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40CE2">
      <w:pPr>
        <w:spacing w:line="720" w:lineRule="exact"/>
        <w:ind w:firstLine="1201"/>
        <w:jc w:val="center"/>
        <w:rPr>
          <w:rFonts w:hint="eastAsia" w:ascii="宋体" w:hAnsi="宋体" w:eastAsia="宋体" w:cs="宋体"/>
          <w:b/>
          <w:bCs/>
          <w:color w:val="auto"/>
          <w:kern w:val="0"/>
          <w:sz w:val="60"/>
          <w:szCs w:val="60"/>
          <w:highlight w:val="none"/>
        </w:rPr>
      </w:pPr>
      <w:bookmarkStart w:id="0" w:name="_Toc82016587"/>
    </w:p>
    <w:p w14:paraId="04EEF825">
      <w:pPr>
        <w:spacing w:line="720" w:lineRule="exact"/>
        <w:ind w:firstLine="172" w:firstLineChars="33"/>
        <w:jc w:val="center"/>
        <w:rPr>
          <w:rFonts w:hint="eastAsia" w:ascii="宋体" w:hAnsi="宋体" w:eastAsia="宋体" w:cs="宋体"/>
          <w:color w:val="auto"/>
          <w:kern w:val="0"/>
          <w:sz w:val="52"/>
          <w:szCs w:val="52"/>
          <w:highlight w:val="none"/>
          <w:lang w:eastAsia="zh-CN"/>
        </w:rPr>
      </w:pPr>
      <w:r>
        <w:rPr>
          <w:rFonts w:hint="eastAsia" w:ascii="宋体" w:hAnsi="宋体" w:cs="宋体"/>
          <w:b/>
          <w:bCs/>
          <w:color w:val="auto"/>
          <w:kern w:val="0"/>
          <w:sz w:val="52"/>
          <w:szCs w:val="52"/>
          <w:highlight w:val="none"/>
          <w:lang w:eastAsia="zh-CN"/>
        </w:rPr>
        <w:t>广西德元工程项目管理有限责任公司</w:t>
      </w:r>
    </w:p>
    <w:p w14:paraId="5EB26633">
      <w:pPr>
        <w:spacing w:line="720" w:lineRule="exact"/>
        <w:ind w:firstLine="1040"/>
        <w:jc w:val="center"/>
        <w:rPr>
          <w:rFonts w:hint="eastAsia" w:ascii="宋体" w:hAnsi="宋体" w:eastAsia="宋体" w:cs="宋体"/>
          <w:color w:val="auto"/>
          <w:kern w:val="0"/>
          <w:sz w:val="52"/>
          <w:highlight w:val="none"/>
        </w:rPr>
      </w:pPr>
      <w:r>
        <w:rPr>
          <w:rFonts w:hint="eastAsia" w:ascii="宋体" w:hAnsi="宋体" w:eastAsia="宋体" w:cs="宋体"/>
          <w:color w:val="auto"/>
          <w:kern w:val="0"/>
          <w:sz w:val="52"/>
          <w:highlight w:val="none"/>
        </w:rPr>
        <w:cr/>
      </w:r>
    </w:p>
    <w:p w14:paraId="7D07ACA8">
      <w:pPr>
        <w:spacing w:line="1000" w:lineRule="exact"/>
        <w:ind w:firstLine="1440"/>
        <w:jc w:val="center"/>
        <w:rPr>
          <w:rFonts w:hint="eastAsia" w:ascii="宋体" w:hAnsi="宋体" w:eastAsia="宋体" w:cs="宋体"/>
          <w:b/>
          <w:color w:val="auto"/>
          <w:kern w:val="0"/>
          <w:sz w:val="84"/>
          <w:szCs w:val="84"/>
          <w:highlight w:val="none"/>
        </w:rPr>
      </w:pPr>
      <w:r>
        <w:rPr>
          <w:rFonts w:hint="eastAsia" w:ascii="宋体" w:hAnsi="宋体" w:eastAsia="宋体" w:cs="宋体"/>
          <w:color w:val="auto"/>
          <w:kern w:val="0"/>
          <w:sz w:val="72"/>
          <w:highlight w:val="none"/>
        </w:rPr>
        <w:cr/>
      </w:r>
      <w:r>
        <w:rPr>
          <w:rFonts w:hint="eastAsia" w:ascii="宋体" w:hAnsi="宋体" w:eastAsia="宋体" w:cs="宋体"/>
          <w:b/>
          <w:color w:val="auto"/>
          <w:kern w:val="0"/>
          <w:sz w:val="84"/>
          <w:szCs w:val="84"/>
          <w:highlight w:val="none"/>
        </w:rPr>
        <w:t>竞争性磋商文件</w:t>
      </w:r>
      <w:r>
        <w:rPr>
          <w:rFonts w:hint="eastAsia" w:ascii="宋体" w:hAnsi="宋体" w:eastAsia="宋体" w:cs="宋体"/>
          <w:b/>
          <w:color w:val="auto"/>
          <w:kern w:val="0"/>
          <w:sz w:val="84"/>
          <w:szCs w:val="84"/>
          <w:highlight w:val="none"/>
        </w:rPr>
        <w:cr/>
      </w:r>
      <w:r>
        <w:rPr>
          <w:rFonts w:hint="eastAsia" w:ascii="宋体" w:hAnsi="宋体" w:eastAsia="宋体" w:cs="宋体"/>
          <w:b/>
          <w:color w:val="auto"/>
          <w:kern w:val="0"/>
          <w:sz w:val="84"/>
          <w:szCs w:val="84"/>
          <w:highlight w:val="none"/>
        </w:rPr>
        <w:cr/>
      </w:r>
    </w:p>
    <w:p w14:paraId="2A77AC15">
      <w:pPr>
        <w:pStyle w:val="26"/>
        <w:ind w:firstLine="4560" w:firstLineChars="1900"/>
        <w:rPr>
          <w:rFonts w:hint="eastAsia" w:ascii="宋体" w:hAnsi="宋体" w:eastAsia="宋体" w:cs="宋体"/>
          <w:color w:val="auto"/>
          <w:kern w:val="0"/>
          <w:highlight w:val="none"/>
        </w:rPr>
      </w:pPr>
    </w:p>
    <w:p w14:paraId="4C116FA1">
      <w:pPr>
        <w:ind w:left="2871" w:leftChars="527" w:hanging="1606" w:hangingChars="500"/>
        <w:rPr>
          <w:rFonts w:hint="eastAsia" w:ascii="宋体" w:hAnsi="宋体" w:eastAsia="宋体" w:cs="宋体"/>
          <w:b/>
          <w:bCs/>
          <w:color w:val="auto"/>
          <w:kern w:val="0"/>
          <w:sz w:val="32"/>
          <w:highlight w:val="none"/>
        </w:rPr>
      </w:pPr>
    </w:p>
    <w:p w14:paraId="53F450B3">
      <w:pPr>
        <w:ind w:left="2871" w:leftChars="527" w:hanging="1606" w:hangingChars="500"/>
        <w:rPr>
          <w:rFonts w:hint="eastAsia" w:ascii="宋体" w:hAnsi="宋体" w:eastAsia="宋体" w:cs="宋体"/>
          <w:b/>
          <w:bCs/>
          <w:color w:val="auto"/>
          <w:kern w:val="0"/>
          <w:sz w:val="32"/>
          <w:highlight w:val="none"/>
        </w:rPr>
      </w:pPr>
      <w:r>
        <w:rPr>
          <w:rFonts w:hint="eastAsia" w:ascii="宋体" w:hAnsi="宋体" w:eastAsia="宋体" w:cs="宋体"/>
          <w:b/>
          <w:bCs/>
          <w:color w:val="auto"/>
          <w:kern w:val="0"/>
          <w:sz w:val="32"/>
          <w:highlight w:val="none"/>
        </w:rPr>
        <w:t>项目名称</w:t>
      </w:r>
      <w:r>
        <w:rPr>
          <w:rFonts w:hint="eastAsia" w:ascii="宋体" w:hAnsi="宋体" w:eastAsia="宋体" w:cs="宋体"/>
          <w:b/>
          <w:bCs/>
          <w:color w:val="auto"/>
          <w:kern w:val="0"/>
          <w:sz w:val="32"/>
          <w:highlight w:val="none"/>
          <w:lang w:eastAsia="zh-CN"/>
        </w:rPr>
        <w:t>：</w:t>
      </w:r>
      <w:r>
        <w:rPr>
          <w:rFonts w:hint="eastAsia" w:ascii="宋体" w:hAnsi="宋体" w:cs="宋体"/>
          <w:b/>
          <w:bCs/>
          <w:color w:val="auto"/>
          <w:kern w:val="0"/>
          <w:sz w:val="32"/>
          <w:highlight w:val="none"/>
          <w:lang w:eastAsia="zh-CN"/>
        </w:rPr>
        <w:t>阳朔县中医药适宜技术推广中心</w:t>
      </w:r>
    </w:p>
    <w:p w14:paraId="5EC8BB5E">
      <w:pPr>
        <w:ind w:left="2871" w:leftChars="527" w:hanging="1606" w:hangingChars="500"/>
        <w:rPr>
          <w:rFonts w:hint="eastAsia" w:ascii="宋体" w:hAnsi="宋体" w:eastAsia="宋体" w:cs="宋体"/>
          <w:b/>
          <w:bCs/>
          <w:color w:val="auto"/>
          <w:kern w:val="0"/>
          <w:sz w:val="32"/>
          <w:highlight w:val="none"/>
          <w:lang w:eastAsia="zh-CN"/>
        </w:rPr>
      </w:pPr>
      <w:r>
        <w:rPr>
          <w:rFonts w:hint="eastAsia" w:ascii="宋体" w:hAnsi="宋体" w:eastAsia="宋体" w:cs="宋体"/>
          <w:b/>
          <w:bCs/>
          <w:color w:val="auto"/>
          <w:kern w:val="0"/>
          <w:sz w:val="32"/>
          <w:highlight w:val="none"/>
        </w:rPr>
        <w:t>项目编号：</w:t>
      </w:r>
      <w:r>
        <w:rPr>
          <w:rFonts w:hint="eastAsia" w:ascii="宋体" w:hAnsi="宋体" w:cs="宋体"/>
          <w:b/>
          <w:bCs/>
          <w:color w:val="auto"/>
          <w:kern w:val="0"/>
          <w:sz w:val="32"/>
          <w:highlight w:val="none"/>
          <w:lang w:eastAsia="zh-CN"/>
        </w:rPr>
        <w:t>GLZC2026-C2-210036-GXDY</w:t>
      </w:r>
    </w:p>
    <w:p w14:paraId="55C8E4E8">
      <w:pPr>
        <w:ind w:left="2871" w:leftChars="527" w:hanging="1606" w:hangingChars="500"/>
        <w:rPr>
          <w:rFonts w:hint="eastAsia" w:ascii="宋体" w:hAnsi="宋体" w:eastAsia="宋体" w:cs="宋体"/>
          <w:b/>
          <w:bCs/>
          <w:color w:val="auto"/>
          <w:kern w:val="0"/>
          <w:sz w:val="32"/>
          <w:highlight w:val="none"/>
          <w:lang w:eastAsia="zh-CN"/>
        </w:rPr>
      </w:pPr>
    </w:p>
    <w:p w14:paraId="1702775E">
      <w:pPr>
        <w:ind w:left="-2" w:leftChars="-1" w:firstLine="720" w:firstLineChars="300"/>
        <w:rPr>
          <w:rFonts w:hint="eastAsia" w:ascii="宋体" w:hAnsi="宋体" w:eastAsia="宋体" w:cs="宋体"/>
          <w:color w:val="auto"/>
          <w:kern w:val="0"/>
          <w:highlight w:val="none"/>
        </w:rPr>
      </w:pPr>
    </w:p>
    <w:p w14:paraId="54AA17E1">
      <w:pPr>
        <w:ind w:firstLine="1446" w:firstLineChars="450"/>
        <w:jc w:val="center"/>
        <w:rPr>
          <w:rFonts w:hint="eastAsia" w:ascii="宋体" w:hAnsi="宋体" w:eastAsia="宋体" w:cs="宋体"/>
          <w:b/>
          <w:bCs/>
          <w:color w:val="auto"/>
          <w:kern w:val="0"/>
          <w:sz w:val="32"/>
          <w:highlight w:val="none"/>
        </w:rPr>
      </w:pPr>
    </w:p>
    <w:p w14:paraId="1C62FE90">
      <w:pPr>
        <w:ind w:firstLine="643"/>
        <w:jc w:val="center"/>
        <w:rPr>
          <w:rFonts w:hint="eastAsia" w:ascii="宋体" w:hAnsi="宋体" w:eastAsia="宋体" w:cs="宋体"/>
          <w:b/>
          <w:bCs/>
          <w:color w:val="auto"/>
          <w:kern w:val="0"/>
          <w:sz w:val="32"/>
          <w:highlight w:val="none"/>
          <w:lang w:eastAsia="zh-CN"/>
        </w:rPr>
      </w:pPr>
      <w:r>
        <w:rPr>
          <w:rFonts w:hint="eastAsia" w:ascii="宋体" w:hAnsi="宋体" w:eastAsia="宋体" w:cs="宋体"/>
          <w:b/>
          <w:bCs/>
          <w:color w:val="auto"/>
          <w:kern w:val="0"/>
          <w:sz w:val="32"/>
          <w:highlight w:val="none"/>
        </w:rPr>
        <w:t>采购代理机构：</w:t>
      </w:r>
      <w:r>
        <w:rPr>
          <w:rFonts w:hint="eastAsia" w:ascii="宋体" w:hAnsi="宋体" w:cs="宋体"/>
          <w:b/>
          <w:bCs/>
          <w:color w:val="auto"/>
          <w:kern w:val="0"/>
          <w:sz w:val="32"/>
          <w:highlight w:val="none"/>
          <w:lang w:eastAsia="zh-CN"/>
        </w:rPr>
        <w:t>广西德元工程项目管理有限责任公司</w:t>
      </w:r>
    </w:p>
    <w:p w14:paraId="1CCC9C67">
      <w:pPr>
        <w:ind w:firstLine="643"/>
        <w:jc w:val="center"/>
        <w:rPr>
          <w:rFonts w:hint="eastAsia" w:ascii="宋体" w:hAnsi="宋体" w:eastAsia="宋体" w:cs="宋体"/>
          <w:b/>
          <w:bCs/>
          <w:color w:val="auto"/>
          <w:kern w:val="0"/>
          <w:sz w:val="32"/>
          <w:highlight w:val="none"/>
          <w:lang w:eastAsia="zh-CN"/>
        </w:rPr>
      </w:pPr>
      <w:r>
        <w:rPr>
          <w:rFonts w:hint="eastAsia" w:ascii="宋体" w:hAnsi="宋体" w:eastAsia="宋体" w:cs="宋体"/>
          <w:b/>
          <w:bCs/>
          <w:color w:val="auto"/>
          <w:kern w:val="0"/>
          <w:sz w:val="32"/>
          <w:highlight w:val="none"/>
          <w:lang w:eastAsia="zh-CN"/>
        </w:rPr>
        <w:t>2026年</w:t>
      </w:r>
      <w:r>
        <w:rPr>
          <w:rFonts w:hint="eastAsia" w:ascii="宋体" w:hAnsi="宋体" w:cs="宋体"/>
          <w:b/>
          <w:bCs/>
          <w:color w:val="auto"/>
          <w:kern w:val="0"/>
          <w:sz w:val="32"/>
          <w:highlight w:val="none"/>
          <w:lang w:val="en-US" w:eastAsia="zh-CN"/>
        </w:rPr>
        <w:t>6月</w:t>
      </w:r>
    </w:p>
    <w:p w14:paraId="7098D6D5">
      <w:pPr>
        <w:pStyle w:val="26"/>
        <w:spacing w:line="420" w:lineRule="exact"/>
        <w:rPr>
          <w:rFonts w:hint="eastAsia" w:ascii="宋体" w:hAnsi="宋体" w:eastAsia="宋体" w:cs="宋体"/>
          <w:color w:val="auto"/>
          <w:kern w:val="0"/>
          <w:sz w:val="4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720" w:footer="720" w:gutter="0"/>
          <w:pgNumType w:start="0"/>
          <w:cols w:space="720" w:num="1"/>
          <w:titlePg/>
          <w:docGrid w:linePitch="331" w:charSpace="0"/>
        </w:sectPr>
      </w:pPr>
    </w:p>
    <w:p w14:paraId="3276AB28">
      <w:pPr>
        <w:pStyle w:val="26"/>
        <w:spacing w:line="420" w:lineRule="exact"/>
        <w:rPr>
          <w:rFonts w:hint="eastAsia" w:ascii="宋体" w:hAnsi="宋体" w:eastAsia="宋体" w:cs="宋体"/>
          <w:color w:val="auto"/>
          <w:kern w:val="0"/>
          <w:sz w:val="44"/>
          <w:highlight w:val="none"/>
        </w:rPr>
      </w:pPr>
    </w:p>
    <w:p w14:paraId="0D90E817">
      <w:pPr>
        <w:pStyle w:val="26"/>
        <w:spacing w:line="420" w:lineRule="exact"/>
        <w:jc w:val="center"/>
        <w:rPr>
          <w:rFonts w:hint="eastAsia" w:ascii="宋体" w:hAnsi="宋体" w:eastAsia="宋体" w:cs="宋体"/>
          <w:color w:val="auto"/>
          <w:kern w:val="0"/>
          <w:sz w:val="44"/>
          <w:highlight w:val="none"/>
        </w:rPr>
      </w:pPr>
    </w:p>
    <w:p w14:paraId="0B246392">
      <w:pPr>
        <w:pStyle w:val="26"/>
        <w:spacing w:line="420" w:lineRule="exact"/>
        <w:jc w:val="center"/>
        <w:rPr>
          <w:rFonts w:hint="eastAsia" w:ascii="宋体" w:hAnsi="宋体" w:eastAsia="宋体" w:cs="宋体"/>
          <w:b/>
          <w:bCs/>
          <w:color w:val="auto"/>
          <w:kern w:val="0"/>
          <w:sz w:val="44"/>
          <w:highlight w:val="none"/>
        </w:rPr>
      </w:pPr>
      <w:r>
        <w:rPr>
          <w:rFonts w:hint="eastAsia" w:ascii="宋体" w:hAnsi="宋体" w:eastAsia="宋体" w:cs="宋体"/>
          <w:b/>
          <w:bCs/>
          <w:color w:val="auto"/>
          <w:kern w:val="0"/>
          <w:sz w:val="44"/>
          <w:highlight w:val="none"/>
        </w:rPr>
        <w:t>目     录</w:t>
      </w:r>
    </w:p>
    <w:p w14:paraId="0E0C87C6">
      <w:pPr>
        <w:pStyle w:val="26"/>
        <w:tabs>
          <w:tab w:val="left" w:pos="8860"/>
          <w:tab w:val="left" w:pos="9140"/>
        </w:tabs>
        <w:rPr>
          <w:rFonts w:hint="eastAsia" w:ascii="宋体" w:hAnsi="宋体" w:eastAsia="宋体" w:cs="宋体"/>
          <w:color w:val="auto"/>
          <w:kern w:val="0"/>
          <w:sz w:val="32"/>
          <w:highlight w:val="none"/>
        </w:rPr>
      </w:pPr>
    </w:p>
    <w:p w14:paraId="11C15F18">
      <w:pPr>
        <w:pStyle w:val="39"/>
        <w:ind w:left="480"/>
        <w:rPr>
          <w:rStyle w:val="58"/>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第一章 竞争性磋商公告………………………………</w:t>
      </w:r>
      <w:r>
        <w:rPr>
          <w:rFonts w:hint="eastAsia" w:ascii="宋体" w:hAnsi="宋体" w:cs="宋体"/>
          <w:b/>
          <w:color w:val="auto"/>
          <w:kern w:val="0"/>
          <w:sz w:val="32"/>
          <w:szCs w:val="32"/>
          <w:highlight w:val="none"/>
          <w:lang w:val="en-US" w:eastAsia="zh-CN"/>
        </w:rPr>
        <w:t>1</w:t>
      </w:r>
    </w:p>
    <w:p w14:paraId="4269DCFB">
      <w:pPr>
        <w:pStyle w:val="39"/>
        <w:ind w:left="480"/>
        <w:rPr>
          <w:rStyle w:val="58"/>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第二章 供应商须知……………………………………</w:t>
      </w:r>
      <w:r>
        <w:rPr>
          <w:rFonts w:hint="eastAsia" w:ascii="宋体" w:hAnsi="宋体" w:cs="宋体"/>
          <w:b/>
          <w:color w:val="auto"/>
          <w:kern w:val="0"/>
          <w:sz w:val="32"/>
          <w:szCs w:val="32"/>
          <w:highlight w:val="none"/>
          <w:lang w:val="en-US" w:eastAsia="zh-CN"/>
        </w:rPr>
        <w:t>4</w:t>
      </w:r>
    </w:p>
    <w:p w14:paraId="6BCA4103">
      <w:pPr>
        <w:pStyle w:val="39"/>
        <w:ind w:left="480"/>
        <w:rPr>
          <w:rStyle w:val="58"/>
          <w:rFonts w:hint="eastAsia" w:ascii="宋体" w:hAnsi="宋体" w:eastAsia="宋体" w:cs="宋体"/>
          <w:b/>
          <w:color w:val="auto"/>
          <w:kern w:val="0"/>
          <w:sz w:val="32"/>
          <w:szCs w:val="32"/>
          <w:highlight w:val="none"/>
          <w:u w:val="none"/>
          <w:lang w:eastAsia="zh-CN"/>
        </w:rPr>
      </w:pPr>
      <w:r>
        <w:rPr>
          <w:rFonts w:hint="eastAsia" w:ascii="宋体" w:hAnsi="宋体" w:eastAsia="宋体" w:cs="宋体"/>
          <w:b/>
          <w:color w:val="auto"/>
          <w:kern w:val="0"/>
          <w:sz w:val="32"/>
          <w:szCs w:val="32"/>
          <w:highlight w:val="none"/>
        </w:rPr>
        <w:t>第三章 工程量清单</w:t>
      </w:r>
      <w:r>
        <w:rPr>
          <w:rFonts w:hint="eastAsia" w:ascii="宋体" w:hAnsi="宋体" w:eastAsia="宋体" w:cs="宋体"/>
          <w:b/>
          <w:color w:val="auto"/>
          <w:kern w:val="0"/>
          <w:sz w:val="32"/>
          <w:szCs w:val="32"/>
          <w:highlight w:val="none"/>
          <w:lang w:eastAsia="zh-CN"/>
        </w:rPr>
        <w:t>及图纸</w:t>
      </w:r>
      <w:r>
        <w:rPr>
          <w:rFonts w:hint="eastAsia" w:ascii="宋体" w:hAnsi="宋体" w:eastAsia="宋体" w:cs="宋体"/>
          <w:b/>
          <w:color w:val="auto"/>
          <w:kern w:val="0"/>
          <w:sz w:val="32"/>
          <w:szCs w:val="32"/>
          <w:highlight w:val="none"/>
        </w:rPr>
        <w:t>……………………………</w:t>
      </w:r>
      <w:r>
        <w:rPr>
          <w:rStyle w:val="58"/>
          <w:rFonts w:hint="eastAsia" w:ascii="宋体" w:hAnsi="宋体" w:eastAsia="宋体" w:cs="宋体"/>
          <w:b/>
          <w:color w:val="auto"/>
          <w:kern w:val="0"/>
          <w:sz w:val="32"/>
          <w:szCs w:val="32"/>
          <w:highlight w:val="none"/>
          <w:u w:val="none"/>
        </w:rPr>
        <w:t>3</w:t>
      </w:r>
      <w:r>
        <w:rPr>
          <w:rStyle w:val="58"/>
          <w:rFonts w:hint="eastAsia" w:ascii="宋体" w:hAnsi="宋体" w:cs="宋体"/>
          <w:b/>
          <w:color w:val="auto"/>
          <w:kern w:val="0"/>
          <w:sz w:val="32"/>
          <w:szCs w:val="32"/>
          <w:highlight w:val="none"/>
          <w:u w:val="none"/>
          <w:lang w:val="en-US" w:eastAsia="zh-CN"/>
        </w:rPr>
        <w:t>0</w:t>
      </w:r>
    </w:p>
    <w:p w14:paraId="492CFCF6">
      <w:pPr>
        <w:pStyle w:val="39"/>
        <w:ind w:left="480"/>
        <w:rPr>
          <w:rFonts w:hint="default" w:ascii="宋体" w:hAnsi="宋体" w:eastAsia="宋体" w:cs="宋体"/>
          <w:b/>
          <w:color w:val="auto"/>
          <w:sz w:val="32"/>
          <w:szCs w:val="32"/>
          <w:highlight w:val="none"/>
          <w:lang w:val="en-US" w:eastAsia="zh-CN"/>
        </w:rPr>
      </w:pPr>
      <w:r>
        <w:rPr>
          <w:rStyle w:val="58"/>
          <w:rFonts w:hint="eastAsia" w:ascii="宋体" w:hAnsi="宋体" w:eastAsia="宋体" w:cs="宋体"/>
          <w:b/>
          <w:color w:val="auto"/>
          <w:kern w:val="0"/>
          <w:sz w:val="32"/>
          <w:szCs w:val="32"/>
          <w:highlight w:val="none"/>
          <w:u w:val="none"/>
        </w:rPr>
        <w:t>第</w:t>
      </w:r>
      <w:r>
        <w:rPr>
          <w:rStyle w:val="58"/>
          <w:rFonts w:hint="eastAsia" w:ascii="宋体" w:hAnsi="宋体" w:eastAsia="宋体" w:cs="宋体"/>
          <w:b/>
          <w:color w:val="auto"/>
          <w:kern w:val="0"/>
          <w:sz w:val="32"/>
          <w:szCs w:val="32"/>
          <w:highlight w:val="none"/>
          <w:u w:val="none"/>
          <w:lang w:eastAsia="zh-CN"/>
        </w:rPr>
        <w:t>四</w:t>
      </w:r>
      <w:r>
        <w:rPr>
          <w:rStyle w:val="58"/>
          <w:rFonts w:hint="eastAsia" w:ascii="宋体" w:hAnsi="宋体" w:eastAsia="宋体" w:cs="宋体"/>
          <w:b/>
          <w:color w:val="auto"/>
          <w:kern w:val="0"/>
          <w:sz w:val="32"/>
          <w:szCs w:val="32"/>
          <w:highlight w:val="none"/>
          <w:u w:val="none"/>
        </w:rPr>
        <w:t xml:space="preserve">章 </w:t>
      </w:r>
      <w:r>
        <w:rPr>
          <w:rFonts w:hint="eastAsia" w:ascii="宋体" w:hAnsi="宋体" w:eastAsia="宋体" w:cs="宋体"/>
          <w:b/>
          <w:color w:val="auto"/>
          <w:sz w:val="32"/>
          <w:szCs w:val="32"/>
          <w:highlight w:val="none"/>
        </w:rPr>
        <w:t>评审方法………………………………………</w:t>
      </w:r>
      <w:r>
        <w:rPr>
          <w:rFonts w:hint="eastAsia" w:ascii="宋体" w:hAnsi="宋体" w:cs="宋体"/>
          <w:b/>
          <w:color w:val="auto"/>
          <w:sz w:val="32"/>
          <w:szCs w:val="32"/>
          <w:highlight w:val="none"/>
          <w:lang w:val="en-US" w:eastAsia="zh-CN"/>
        </w:rPr>
        <w:t>33</w:t>
      </w:r>
    </w:p>
    <w:p w14:paraId="5DF1405C">
      <w:pPr>
        <w:pStyle w:val="39"/>
        <w:ind w:left="480"/>
        <w:rPr>
          <w:rFonts w:hint="default" w:ascii="宋体" w:hAnsi="宋体" w:eastAsia="宋体" w:cs="宋体"/>
          <w:b/>
          <w:color w:val="auto"/>
          <w:sz w:val="32"/>
          <w:szCs w:val="32"/>
          <w:highlight w:val="none"/>
          <w:lang w:val="en-US" w:eastAsia="zh-CN"/>
        </w:rPr>
      </w:pPr>
      <w:r>
        <w:rPr>
          <w:rStyle w:val="58"/>
          <w:rFonts w:hint="eastAsia" w:ascii="宋体" w:hAnsi="宋体" w:eastAsia="宋体" w:cs="宋体"/>
          <w:b/>
          <w:color w:val="auto"/>
          <w:kern w:val="0"/>
          <w:sz w:val="32"/>
          <w:szCs w:val="32"/>
          <w:highlight w:val="none"/>
          <w:u w:val="none"/>
        </w:rPr>
        <w:t>第</w:t>
      </w:r>
      <w:r>
        <w:rPr>
          <w:rStyle w:val="58"/>
          <w:rFonts w:hint="eastAsia" w:ascii="宋体" w:hAnsi="宋体" w:eastAsia="宋体" w:cs="宋体"/>
          <w:b/>
          <w:color w:val="auto"/>
          <w:kern w:val="0"/>
          <w:sz w:val="32"/>
          <w:szCs w:val="32"/>
          <w:highlight w:val="none"/>
          <w:u w:val="none"/>
          <w:lang w:eastAsia="zh-CN"/>
        </w:rPr>
        <w:t>五</w:t>
      </w:r>
      <w:r>
        <w:rPr>
          <w:rStyle w:val="58"/>
          <w:rFonts w:hint="eastAsia" w:ascii="宋体" w:hAnsi="宋体" w:eastAsia="宋体" w:cs="宋体"/>
          <w:b/>
          <w:color w:val="auto"/>
          <w:kern w:val="0"/>
          <w:sz w:val="32"/>
          <w:szCs w:val="32"/>
          <w:highlight w:val="none"/>
          <w:u w:val="none"/>
        </w:rPr>
        <w:t xml:space="preserve">章 </w:t>
      </w:r>
      <w:r>
        <w:rPr>
          <w:rFonts w:hint="eastAsia" w:ascii="宋体" w:hAnsi="宋体" w:eastAsia="宋体" w:cs="宋体"/>
          <w:b/>
          <w:color w:val="auto"/>
          <w:sz w:val="32"/>
          <w:szCs w:val="32"/>
          <w:highlight w:val="none"/>
        </w:rPr>
        <w:t>响应文件（格式）……………………………</w:t>
      </w:r>
      <w:r>
        <w:rPr>
          <w:rFonts w:hint="eastAsia" w:ascii="宋体" w:hAnsi="宋体" w:cs="宋体"/>
          <w:b/>
          <w:color w:val="auto"/>
          <w:sz w:val="32"/>
          <w:szCs w:val="32"/>
          <w:highlight w:val="none"/>
          <w:lang w:val="en-US" w:eastAsia="zh-CN"/>
        </w:rPr>
        <w:t>38</w:t>
      </w:r>
    </w:p>
    <w:p w14:paraId="0B3EDED8">
      <w:pPr>
        <w:pStyle w:val="39"/>
        <w:ind w:left="480"/>
        <w:rPr>
          <w:rStyle w:val="58"/>
          <w:rFonts w:hint="default" w:ascii="宋体" w:hAnsi="宋体" w:eastAsia="宋体" w:cs="宋体"/>
          <w:b/>
          <w:color w:val="auto"/>
          <w:kern w:val="0"/>
          <w:sz w:val="32"/>
          <w:szCs w:val="32"/>
          <w:highlight w:val="none"/>
          <w:u w:val="none"/>
          <w:lang w:val="en-US" w:eastAsia="zh-CN"/>
        </w:rPr>
      </w:pPr>
      <w:r>
        <w:rPr>
          <w:rFonts w:hint="eastAsia" w:ascii="宋体" w:hAnsi="宋体" w:eastAsia="宋体" w:cs="宋体"/>
          <w:b/>
          <w:color w:val="auto"/>
          <w:kern w:val="0"/>
          <w:sz w:val="32"/>
          <w:szCs w:val="32"/>
          <w:highlight w:val="none"/>
        </w:rPr>
        <w:t>第</w:t>
      </w:r>
      <w:r>
        <w:rPr>
          <w:rFonts w:hint="eastAsia" w:ascii="宋体" w:hAnsi="宋体" w:eastAsia="宋体" w:cs="宋体"/>
          <w:b/>
          <w:color w:val="auto"/>
          <w:kern w:val="0"/>
          <w:sz w:val="32"/>
          <w:szCs w:val="32"/>
          <w:highlight w:val="none"/>
          <w:lang w:eastAsia="zh-CN"/>
        </w:rPr>
        <w:t>六</w:t>
      </w:r>
      <w:r>
        <w:rPr>
          <w:rFonts w:hint="eastAsia" w:ascii="宋体" w:hAnsi="宋体" w:eastAsia="宋体" w:cs="宋体"/>
          <w:b/>
          <w:color w:val="auto"/>
          <w:kern w:val="0"/>
          <w:sz w:val="32"/>
          <w:szCs w:val="32"/>
          <w:highlight w:val="none"/>
        </w:rPr>
        <w:t xml:space="preserve">章 </w:t>
      </w:r>
      <w:r>
        <w:rPr>
          <w:rFonts w:hint="eastAsia" w:ascii="宋体" w:hAnsi="宋体" w:eastAsia="宋体" w:cs="宋体"/>
          <w:b/>
          <w:color w:val="auto"/>
          <w:sz w:val="32"/>
          <w:szCs w:val="32"/>
          <w:highlight w:val="none"/>
        </w:rPr>
        <w:t>合同主要条款及格式…………………………</w:t>
      </w:r>
      <w:r>
        <w:rPr>
          <w:rStyle w:val="58"/>
          <w:rFonts w:hint="eastAsia" w:ascii="宋体" w:hAnsi="宋体" w:cs="宋体"/>
          <w:b/>
          <w:color w:val="auto"/>
          <w:kern w:val="0"/>
          <w:sz w:val="32"/>
          <w:szCs w:val="32"/>
          <w:highlight w:val="none"/>
          <w:u w:val="none"/>
          <w:lang w:val="en-US" w:eastAsia="zh-CN"/>
        </w:rPr>
        <w:t>55</w:t>
      </w:r>
    </w:p>
    <w:p w14:paraId="05F7BAA5">
      <w:pPr>
        <w:pStyle w:val="25"/>
        <w:tabs>
          <w:tab w:val="right" w:leader="dot" w:pos="9288"/>
        </w:tabs>
        <w:ind w:left="960"/>
        <w:rPr>
          <w:rFonts w:hint="eastAsia" w:ascii="宋体" w:hAnsi="宋体" w:eastAsia="宋体" w:cs="宋体"/>
          <w:color w:val="auto"/>
          <w:highlight w:val="none"/>
        </w:rPr>
      </w:pPr>
    </w:p>
    <w:p w14:paraId="0BC00BEF">
      <w:pPr>
        <w:pStyle w:val="26"/>
        <w:tabs>
          <w:tab w:val="left" w:pos="8860"/>
          <w:tab w:val="left" w:pos="9140"/>
        </w:tabs>
        <w:spacing w:line="520" w:lineRule="exact"/>
        <w:rPr>
          <w:rFonts w:hint="eastAsia" w:ascii="宋体" w:hAnsi="宋体" w:eastAsia="宋体" w:cs="宋体"/>
          <w:color w:val="auto"/>
          <w:kern w:val="0"/>
          <w:sz w:val="32"/>
          <w:highlight w:val="none"/>
        </w:rPr>
      </w:pPr>
    </w:p>
    <w:p w14:paraId="619687F2">
      <w:pPr>
        <w:pStyle w:val="26"/>
        <w:tabs>
          <w:tab w:val="left" w:pos="8860"/>
          <w:tab w:val="left" w:pos="9140"/>
        </w:tabs>
        <w:spacing w:line="520" w:lineRule="exact"/>
        <w:ind w:firstLine="737"/>
        <w:rPr>
          <w:rFonts w:hint="eastAsia" w:ascii="宋体" w:hAnsi="宋体" w:eastAsia="宋体" w:cs="宋体"/>
          <w:color w:val="auto"/>
          <w:kern w:val="0"/>
          <w:szCs w:val="21"/>
          <w:highlight w:val="none"/>
        </w:rPr>
      </w:pPr>
    </w:p>
    <w:p w14:paraId="66EA2AA0">
      <w:pPr>
        <w:ind w:firstLine="3120" w:firstLineChars="1300"/>
        <w:rPr>
          <w:rFonts w:hint="eastAsia" w:ascii="宋体" w:hAnsi="宋体" w:eastAsia="宋体" w:cs="宋体"/>
          <w:color w:val="auto"/>
          <w:kern w:val="0"/>
          <w:szCs w:val="21"/>
          <w:highlight w:val="none"/>
        </w:rPr>
      </w:pPr>
    </w:p>
    <w:p w14:paraId="4072228D">
      <w:pPr>
        <w:ind w:firstLine="3120" w:firstLineChars="1300"/>
        <w:rPr>
          <w:rFonts w:hint="eastAsia" w:ascii="宋体" w:hAnsi="宋体" w:eastAsia="宋体" w:cs="宋体"/>
          <w:color w:val="auto"/>
          <w:kern w:val="0"/>
          <w:szCs w:val="21"/>
          <w:highlight w:val="none"/>
        </w:rPr>
      </w:pPr>
    </w:p>
    <w:p w14:paraId="75A460AC">
      <w:pPr>
        <w:ind w:firstLine="3120" w:firstLineChars="1300"/>
        <w:rPr>
          <w:rFonts w:hint="eastAsia" w:ascii="宋体" w:hAnsi="宋体" w:eastAsia="宋体" w:cs="宋体"/>
          <w:color w:val="auto"/>
          <w:kern w:val="0"/>
          <w:szCs w:val="21"/>
          <w:highlight w:val="none"/>
        </w:rPr>
      </w:pPr>
    </w:p>
    <w:p w14:paraId="3E1DA470">
      <w:pPr>
        <w:ind w:firstLine="3120" w:firstLineChars="1300"/>
        <w:rPr>
          <w:rFonts w:hint="eastAsia" w:ascii="宋体" w:hAnsi="宋体" w:eastAsia="宋体" w:cs="宋体"/>
          <w:color w:val="auto"/>
          <w:kern w:val="0"/>
          <w:szCs w:val="21"/>
          <w:highlight w:val="none"/>
        </w:rPr>
      </w:pPr>
    </w:p>
    <w:p w14:paraId="123A4391">
      <w:pPr>
        <w:ind w:firstLine="3120" w:firstLineChars="1300"/>
        <w:rPr>
          <w:rFonts w:hint="eastAsia" w:ascii="宋体" w:hAnsi="宋体" w:eastAsia="宋体" w:cs="宋体"/>
          <w:color w:val="auto"/>
          <w:kern w:val="0"/>
          <w:szCs w:val="21"/>
          <w:highlight w:val="none"/>
        </w:rPr>
      </w:pPr>
    </w:p>
    <w:p w14:paraId="603ED436">
      <w:pPr>
        <w:ind w:firstLine="3120" w:firstLineChars="1300"/>
        <w:rPr>
          <w:rFonts w:hint="eastAsia" w:ascii="宋体" w:hAnsi="宋体" w:eastAsia="宋体" w:cs="宋体"/>
          <w:color w:val="auto"/>
          <w:kern w:val="0"/>
          <w:szCs w:val="21"/>
          <w:highlight w:val="none"/>
        </w:rPr>
      </w:pPr>
    </w:p>
    <w:p w14:paraId="656000D8">
      <w:pPr>
        <w:ind w:firstLine="3120" w:firstLineChars="1300"/>
        <w:rPr>
          <w:rFonts w:hint="eastAsia" w:ascii="宋体" w:hAnsi="宋体" w:eastAsia="宋体" w:cs="宋体"/>
          <w:color w:val="auto"/>
          <w:kern w:val="0"/>
          <w:szCs w:val="21"/>
          <w:highlight w:val="none"/>
        </w:rPr>
      </w:pPr>
    </w:p>
    <w:p w14:paraId="2F0D4785">
      <w:pPr>
        <w:ind w:firstLine="3120" w:firstLineChars="1300"/>
        <w:rPr>
          <w:rFonts w:hint="eastAsia" w:ascii="宋体" w:hAnsi="宋体" w:eastAsia="宋体" w:cs="宋体"/>
          <w:color w:val="auto"/>
          <w:kern w:val="0"/>
          <w:szCs w:val="21"/>
          <w:highlight w:val="none"/>
        </w:rPr>
      </w:pPr>
    </w:p>
    <w:p w14:paraId="2B7D861F">
      <w:pPr>
        <w:ind w:firstLine="3120" w:firstLineChars="1300"/>
        <w:rPr>
          <w:rFonts w:hint="eastAsia" w:ascii="宋体" w:hAnsi="宋体" w:eastAsia="宋体" w:cs="宋体"/>
          <w:color w:val="auto"/>
          <w:kern w:val="0"/>
          <w:szCs w:val="21"/>
          <w:highlight w:val="none"/>
        </w:rPr>
      </w:pPr>
    </w:p>
    <w:p w14:paraId="098F0DB6">
      <w:pPr>
        <w:ind w:firstLine="3120" w:firstLineChars="1300"/>
        <w:rPr>
          <w:rFonts w:hint="eastAsia" w:ascii="宋体" w:hAnsi="宋体" w:eastAsia="宋体" w:cs="宋体"/>
          <w:color w:val="auto"/>
          <w:kern w:val="0"/>
          <w:szCs w:val="21"/>
          <w:highlight w:val="none"/>
        </w:rPr>
      </w:pPr>
    </w:p>
    <w:p w14:paraId="500DA64E">
      <w:pPr>
        <w:pStyle w:val="23"/>
        <w:rPr>
          <w:rFonts w:hint="eastAsia" w:ascii="宋体" w:hAnsi="宋体" w:eastAsia="宋体" w:cs="宋体"/>
          <w:color w:val="auto"/>
          <w:highlight w:val="none"/>
        </w:rPr>
      </w:pPr>
    </w:p>
    <w:p w14:paraId="36B1D81A">
      <w:pPr>
        <w:ind w:firstLine="3120" w:firstLineChars="1300"/>
        <w:rPr>
          <w:rFonts w:hint="eastAsia" w:ascii="宋体" w:hAnsi="宋体" w:eastAsia="宋体" w:cs="宋体"/>
          <w:color w:val="auto"/>
          <w:kern w:val="0"/>
          <w:szCs w:val="21"/>
          <w:highlight w:val="none"/>
        </w:rPr>
      </w:pPr>
    </w:p>
    <w:p w14:paraId="5FBC2826">
      <w:pPr>
        <w:ind w:firstLine="3120" w:firstLineChars="1300"/>
        <w:rPr>
          <w:rFonts w:hint="eastAsia" w:ascii="宋体" w:hAnsi="宋体" w:eastAsia="宋体" w:cs="宋体"/>
          <w:color w:val="auto"/>
          <w:kern w:val="0"/>
          <w:szCs w:val="21"/>
          <w:highlight w:val="none"/>
        </w:rPr>
      </w:pPr>
    </w:p>
    <w:p w14:paraId="505D1751">
      <w:pPr>
        <w:ind w:firstLine="3120" w:firstLineChars="1300"/>
        <w:rPr>
          <w:rFonts w:hint="eastAsia" w:ascii="宋体" w:hAnsi="宋体" w:eastAsia="宋体" w:cs="宋体"/>
          <w:color w:val="auto"/>
          <w:kern w:val="0"/>
          <w:szCs w:val="21"/>
          <w:highlight w:val="none"/>
        </w:rPr>
      </w:pPr>
    </w:p>
    <w:p w14:paraId="1E544C47">
      <w:pPr>
        <w:ind w:firstLine="3120" w:firstLineChars="1300"/>
        <w:rPr>
          <w:rFonts w:hint="eastAsia" w:ascii="宋体" w:hAnsi="宋体" w:eastAsia="宋体" w:cs="宋体"/>
          <w:color w:val="auto"/>
          <w:kern w:val="0"/>
          <w:szCs w:val="21"/>
          <w:highlight w:val="none"/>
        </w:rPr>
      </w:pPr>
    </w:p>
    <w:p w14:paraId="44994BE2">
      <w:pPr>
        <w:numPr>
          <w:ilvl w:val="0"/>
          <w:numId w:val="2"/>
        </w:numPr>
        <w:tabs>
          <w:tab w:val="left" w:pos="1080"/>
        </w:tabs>
        <w:spacing w:line="480" w:lineRule="exact"/>
        <w:ind w:left="1077" w:hanging="1077" w:firstLineChars="0"/>
        <w:jc w:val="center"/>
        <w:outlineLvl w:val="1"/>
        <w:rPr>
          <w:rFonts w:hint="eastAsia" w:ascii="宋体" w:hAnsi="宋体" w:eastAsia="宋体" w:cs="宋体"/>
          <w:b/>
          <w:color w:val="auto"/>
          <w:kern w:val="0"/>
          <w:sz w:val="32"/>
          <w:szCs w:val="32"/>
          <w:highlight w:val="none"/>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304" w:bottom="1440" w:left="1304" w:header="720" w:footer="720" w:gutter="0"/>
          <w:cols w:space="720" w:num="1"/>
          <w:titlePg/>
          <w:docGrid w:linePitch="331" w:charSpace="0"/>
        </w:sectPr>
      </w:pPr>
      <w:bookmarkStart w:id="1" w:name="_Toc82016584"/>
      <w:bookmarkStart w:id="2" w:name="_Toc44405619"/>
      <w:bookmarkStart w:id="3" w:name="_Toc44229878"/>
    </w:p>
    <w:p w14:paraId="22FF0F12">
      <w:pPr>
        <w:numPr>
          <w:ilvl w:val="0"/>
          <w:numId w:val="2"/>
        </w:numPr>
        <w:tabs>
          <w:tab w:val="left" w:pos="1080"/>
        </w:tabs>
        <w:spacing w:line="480" w:lineRule="exact"/>
        <w:ind w:left="1077" w:hanging="1077" w:firstLineChars="0"/>
        <w:jc w:val="center"/>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竞争性磋商公告</w:t>
      </w:r>
      <w:bookmarkEnd w:id="1"/>
    </w:p>
    <w:p w14:paraId="2DF1DFC3">
      <w:pPr>
        <w:spacing w:line="320" w:lineRule="exact"/>
        <w:ind w:firstLine="0" w:firstLineChars="0"/>
        <w:rPr>
          <w:rFonts w:hint="eastAsia" w:ascii="宋体" w:hAnsi="宋体" w:eastAsia="宋体" w:cs="宋体"/>
          <w:color w:val="auto"/>
          <w:sz w:val="21"/>
          <w:szCs w:val="24"/>
          <w:highlight w:val="none"/>
        </w:rPr>
      </w:pPr>
    </w:p>
    <w:p w14:paraId="3321F47D">
      <w:pPr>
        <w:pBdr>
          <w:top w:val="single" w:color="auto" w:sz="4" w:space="1"/>
          <w:left w:val="single" w:color="auto" w:sz="4" w:space="4"/>
          <w:bottom w:val="single" w:color="auto" w:sz="4" w:space="1"/>
          <w:right w:val="single" w:color="auto" w:sz="4" w:space="4"/>
        </w:pBdr>
        <w:spacing w:line="320" w:lineRule="exact"/>
        <w:ind w:firstLine="420"/>
        <w:rPr>
          <w:rFonts w:hint="eastAsia" w:ascii="宋体" w:hAnsi="宋体" w:eastAsia="宋体" w:cs="宋体"/>
          <w:color w:val="auto"/>
          <w:sz w:val="21"/>
          <w:szCs w:val="24"/>
          <w:highlight w:val="none"/>
        </w:rPr>
      </w:pPr>
      <w:bookmarkStart w:id="4" w:name="_Hlk37430271"/>
      <w:r>
        <w:rPr>
          <w:rFonts w:hint="eastAsia" w:ascii="宋体" w:hAnsi="宋体" w:eastAsia="宋体" w:cs="宋体"/>
          <w:color w:val="auto"/>
          <w:sz w:val="21"/>
          <w:szCs w:val="24"/>
          <w:highlight w:val="none"/>
        </w:rPr>
        <w:t>项目概况</w:t>
      </w:r>
    </w:p>
    <w:p w14:paraId="38AD1F2D">
      <w:pPr>
        <w:pBdr>
          <w:top w:val="single" w:color="auto" w:sz="4" w:space="1"/>
          <w:left w:val="single" w:color="auto" w:sz="4" w:space="4"/>
          <w:bottom w:val="single" w:color="auto" w:sz="4" w:space="1"/>
          <w:right w:val="single" w:color="auto" w:sz="4" w:space="4"/>
        </w:pBdr>
        <w:spacing w:line="320" w:lineRule="exact"/>
        <w:ind w:firstLine="420"/>
        <w:rPr>
          <w:rFonts w:hint="eastAsia" w:ascii="宋体" w:hAnsi="宋体" w:eastAsia="宋体" w:cs="宋体"/>
          <w:color w:val="auto"/>
          <w:sz w:val="21"/>
          <w:szCs w:val="24"/>
          <w:highlight w:val="none"/>
        </w:rPr>
      </w:pPr>
      <w:r>
        <w:rPr>
          <w:rFonts w:hint="eastAsia" w:ascii="宋体" w:hAnsi="宋体" w:cs="宋体"/>
          <w:color w:val="auto"/>
          <w:sz w:val="21"/>
          <w:szCs w:val="24"/>
          <w:highlight w:val="none"/>
          <w:lang w:eastAsia="zh-CN"/>
        </w:rPr>
        <w:t>阳朔县中医药适宜技术推广中心</w:t>
      </w:r>
      <w:r>
        <w:rPr>
          <w:rFonts w:hint="eastAsia" w:ascii="宋体" w:hAnsi="宋体" w:eastAsia="宋体" w:cs="宋体"/>
          <w:color w:val="auto"/>
          <w:sz w:val="21"/>
          <w:szCs w:val="24"/>
          <w:highlight w:val="none"/>
        </w:rPr>
        <w:t>的潜在供应商应在广西政府采购云平台（https://www.gcy.zfcg.gxzf.gov.cn/）获取竞争性磋商文件，并于</w:t>
      </w:r>
      <w:r>
        <w:rPr>
          <w:rFonts w:hint="eastAsia" w:ascii="宋体" w:hAnsi="宋体" w:eastAsia="宋体" w:cs="宋体"/>
          <w:color w:val="auto"/>
          <w:sz w:val="21"/>
          <w:szCs w:val="24"/>
          <w:highlight w:val="none"/>
          <w:lang w:eastAsia="zh-CN"/>
        </w:rPr>
        <w:t>2026年</w:t>
      </w:r>
      <w:r>
        <w:rPr>
          <w:rFonts w:hint="eastAsia" w:ascii="宋体" w:hAnsi="宋体" w:cs="宋体"/>
          <w:color w:val="auto"/>
          <w:sz w:val="21"/>
          <w:szCs w:val="24"/>
          <w:highlight w:val="none"/>
          <w:lang w:val="en-US" w:eastAsia="zh-CN"/>
        </w:rPr>
        <w:t>7月3日</w:t>
      </w:r>
      <w:r>
        <w:rPr>
          <w:rFonts w:hint="eastAsia" w:ascii="宋体" w:hAnsi="宋体" w:eastAsia="宋体" w:cs="宋体"/>
          <w:color w:val="auto"/>
          <w:sz w:val="21"/>
          <w:szCs w:val="24"/>
          <w:highlight w:val="none"/>
        </w:rPr>
        <w:t>上午9时30分（北京时间）前提交响应文件。</w:t>
      </w:r>
    </w:p>
    <w:bookmarkEnd w:id="4"/>
    <w:p w14:paraId="6491CAED">
      <w:pPr>
        <w:keepNext/>
        <w:keepLines/>
        <w:spacing w:before="260" w:after="260" w:line="400" w:lineRule="exact"/>
        <w:ind w:firstLine="422"/>
        <w:outlineLvl w:val="1"/>
        <w:rPr>
          <w:rFonts w:hint="eastAsia" w:ascii="宋体" w:hAnsi="宋体" w:eastAsia="宋体" w:cs="宋体"/>
          <w:b/>
          <w:color w:val="auto"/>
          <w:sz w:val="21"/>
          <w:szCs w:val="21"/>
          <w:highlight w:val="none"/>
        </w:rPr>
      </w:pPr>
      <w:bookmarkStart w:id="5" w:name="_Toc35393798"/>
      <w:bookmarkStart w:id="6" w:name="_Toc28359089"/>
      <w:bookmarkStart w:id="7" w:name="_Toc35393629"/>
      <w:bookmarkStart w:id="8" w:name="_Toc82016585"/>
      <w:bookmarkStart w:id="9" w:name="_Toc28359012"/>
      <w:r>
        <w:rPr>
          <w:rFonts w:hint="eastAsia" w:ascii="宋体" w:hAnsi="宋体" w:eastAsia="宋体" w:cs="宋体"/>
          <w:b/>
          <w:color w:val="auto"/>
          <w:sz w:val="21"/>
          <w:szCs w:val="21"/>
          <w:highlight w:val="none"/>
        </w:rPr>
        <w:t>一、项目基本情况</w:t>
      </w:r>
      <w:bookmarkEnd w:id="5"/>
      <w:bookmarkEnd w:id="6"/>
      <w:bookmarkEnd w:id="7"/>
      <w:bookmarkEnd w:id="8"/>
      <w:bookmarkEnd w:id="9"/>
    </w:p>
    <w:p w14:paraId="4822CE2C">
      <w:pPr>
        <w:spacing w:line="400" w:lineRule="exact"/>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GLZC2026-C2-210036-GXDY</w:t>
      </w:r>
    </w:p>
    <w:p w14:paraId="7A4C5349">
      <w:pPr>
        <w:spacing w:line="400" w:lineRule="exact"/>
        <w:ind w:firstLine="420"/>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项目名称：</w:t>
      </w:r>
      <w:r>
        <w:rPr>
          <w:rFonts w:hint="eastAsia" w:ascii="宋体" w:hAnsi="宋体" w:cs="宋体"/>
          <w:color w:val="auto"/>
          <w:sz w:val="21"/>
          <w:szCs w:val="24"/>
          <w:highlight w:val="none"/>
          <w:lang w:eastAsia="zh-CN"/>
        </w:rPr>
        <w:t>阳朔县中医药适宜技术推广中心</w:t>
      </w:r>
    </w:p>
    <w:p w14:paraId="5D240789">
      <w:pPr>
        <w:spacing w:line="400" w:lineRule="exact"/>
        <w:ind w:firstLine="42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采购方式：竞争性磋商</w:t>
      </w:r>
    </w:p>
    <w:p w14:paraId="4A4201E3">
      <w:pPr>
        <w:spacing w:line="400" w:lineRule="exact"/>
        <w:ind w:firstLine="42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预算金额（元）：</w:t>
      </w:r>
      <w:r>
        <w:rPr>
          <w:rFonts w:hint="eastAsia" w:ascii="宋体" w:hAnsi="宋体" w:cs="宋体"/>
          <w:color w:val="auto"/>
          <w:sz w:val="21"/>
          <w:szCs w:val="24"/>
          <w:highlight w:val="none"/>
          <w:lang w:val="en-US" w:eastAsia="zh-CN"/>
        </w:rPr>
        <w:t>3046043.80</w:t>
      </w:r>
      <w:r>
        <w:rPr>
          <w:rFonts w:hint="eastAsia" w:ascii="宋体" w:hAnsi="宋体" w:eastAsia="宋体" w:cs="宋体"/>
          <w:color w:val="auto"/>
          <w:sz w:val="21"/>
          <w:szCs w:val="24"/>
          <w:highlight w:val="none"/>
        </w:rPr>
        <w:t>。</w:t>
      </w:r>
    </w:p>
    <w:p w14:paraId="614F499D">
      <w:pPr>
        <w:spacing w:line="400" w:lineRule="exact"/>
        <w:ind w:firstLine="42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最高限价（元）：</w:t>
      </w:r>
      <w:r>
        <w:rPr>
          <w:rFonts w:hint="eastAsia" w:ascii="宋体" w:hAnsi="宋体" w:cs="宋体"/>
          <w:color w:val="auto"/>
          <w:sz w:val="21"/>
          <w:szCs w:val="24"/>
          <w:highlight w:val="none"/>
          <w:lang w:val="en-US" w:eastAsia="zh-CN"/>
        </w:rPr>
        <w:t>3046043.80</w:t>
      </w:r>
      <w:r>
        <w:rPr>
          <w:rFonts w:hint="eastAsia" w:ascii="宋体" w:hAnsi="宋体" w:eastAsia="宋体" w:cs="宋体"/>
          <w:color w:val="auto"/>
          <w:sz w:val="21"/>
          <w:szCs w:val="24"/>
          <w:highlight w:val="none"/>
        </w:rPr>
        <w:t>。</w:t>
      </w:r>
    </w:p>
    <w:p w14:paraId="39C7F84F">
      <w:pPr>
        <w:spacing w:line="400" w:lineRule="exact"/>
        <w:ind w:firstLine="420"/>
        <w:rPr>
          <w:rFonts w:hint="eastAsia" w:ascii="宋体" w:hAnsi="宋体" w:eastAsia="宋体" w:cs="宋体"/>
          <w:color w:val="auto"/>
          <w:sz w:val="21"/>
          <w:szCs w:val="24"/>
          <w:highlight w:val="none"/>
          <w:lang w:eastAsia="zh-CN"/>
        </w:rPr>
      </w:pPr>
      <w:bookmarkStart w:id="10" w:name="_Toc28359013"/>
      <w:bookmarkStart w:id="11" w:name="_Toc35393799"/>
      <w:bookmarkStart w:id="12" w:name="_Toc35393630"/>
      <w:bookmarkStart w:id="13" w:name="_Toc28359090"/>
      <w:r>
        <w:rPr>
          <w:rFonts w:hint="eastAsia" w:ascii="宋体" w:hAnsi="宋体" w:eastAsia="宋体" w:cs="宋体"/>
          <w:color w:val="auto"/>
          <w:sz w:val="21"/>
          <w:szCs w:val="24"/>
          <w:highlight w:val="none"/>
          <w:lang w:eastAsia="zh-CN"/>
        </w:rPr>
        <w:t>（1）标的名称、数量及单位：本工程为</w:t>
      </w:r>
      <w:r>
        <w:rPr>
          <w:rFonts w:hint="eastAsia" w:ascii="宋体" w:hAnsi="宋体" w:cs="宋体"/>
          <w:color w:val="auto"/>
          <w:sz w:val="21"/>
          <w:szCs w:val="24"/>
          <w:highlight w:val="none"/>
          <w:lang w:eastAsia="zh-CN"/>
        </w:rPr>
        <w:t>阳朔县中医药适宜技术推广中心</w:t>
      </w:r>
      <w:r>
        <w:rPr>
          <w:rFonts w:hint="eastAsia" w:ascii="宋体" w:hAnsi="宋体" w:eastAsia="宋体" w:cs="宋体"/>
          <w:color w:val="auto"/>
          <w:sz w:val="21"/>
          <w:szCs w:val="24"/>
          <w:highlight w:val="none"/>
          <w:lang w:eastAsia="zh-CN"/>
        </w:rPr>
        <w:t>，建筑面积为990.95㎡，地上3层，建筑高度为11.9米。结构类型为框架-钢框架结构。本工程计算内容为合同约定范围内建筑装饰及水电安装工程。（2）简要技术需求或者服务要求：工程质量保修期不得少于</w:t>
      </w:r>
      <w:r>
        <w:rPr>
          <w:rFonts w:hint="eastAsia" w:ascii="宋体" w:hAnsi="宋体" w:eastAsia="宋体" w:cs="宋体"/>
          <w:color w:val="auto"/>
          <w:sz w:val="21"/>
          <w:szCs w:val="24"/>
          <w:highlight w:val="none"/>
          <w:lang w:val="en-US" w:eastAsia="zh-CN"/>
        </w:rPr>
        <w:t>2年</w:t>
      </w:r>
      <w:r>
        <w:rPr>
          <w:rFonts w:hint="eastAsia" w:ascii="宋体" w:hAnsi="宋体" w:eastAsia="宋体" w:cs="宋体"/>
          <w:color w:val="auto"/>
          <w:sz w:val="21"/>
          <w:szCs w:val="24"/>
          <w:highlight w:val="none"/>
          <w:lang w:eastAsia="zh-CN"/>
        </w:rPr>
        <w:t>。</w:t>
      </w:r>
    </w:p>
    <w:p w14:paraId="478DB43C">
      <w:pPr>
        <w:spacing w:line="400" w:lineRule="exact"/>
        <w:ind w:firstLine="42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合同履行期限（工期）：</w:t>
      </w:r>
      <w:r>
        <w:rPr>
          <w:rFonts w:hint="eastAsia" w:ascii="宋体" w:hAnsi="宋体" w:cs="宋体"/>
          <w:color w:val="auto"/>
          <w:sz w:val="21"/>
          <w:szCs w:val="24"/>
          <w:highlight w:val="none"/>
          <w:u w:val="single"/>
          <w:lang w:val="en-US" w:eastAsia="zh-CN"/>
        </w:rPr>
        <w:t>120</w:t>
      </w:r>
      <w:r>
        <w:rPr>
          <w:rFonts w:hint="eastAsia" w:ascii="宋体" w:hAnsi="宋体" w:eastAsia="宋体" w:cs="宋体"/>
          <w:color w:val="auto"/>
          <w:sz w:val="21"/>
          <w:szCs w:val="24"/>
          <w:highlight w:val="none"/>
        </w:rPr>
        <w:t>日历天。</w:t>
      </w:r>
    </w:p>
    <w:p w14:paraId="22482ADB">
      <w:pPr>
        <w:spacing w:line="400" w:lineRule="exact"/>
        <w:ind w:firstLine="42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本项目不接受联合体参与磋商。</w:t>
      </w:r>
    </w:p>
    <w:p w14:paraId="45A0CADB">
      <w:pPr>
        <w:spacing w:line="400" w:lineRule="exact"/>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二、申请人的资格要求</w:t>
      </w:r>
      <w:bookmarkEnd w:id="10"/>
      <w:bookmarkEnd w:id="11"/>
      <w:bookmarkEnd w:id="12"/>
      <w:bookmarkEnd w:id="13"/>
    </w:p>
    <w:p w14:paraId="44930F59">
      <w:pPr>
        <w:spacing w:line="400" w:lineRule="exact"/>
        <w:ind w:firstLine="420"/>
        <w:rPr>
          <w:rFonts w:hint="eastAsia" w:ascii="宋体" w:hAnsi="宋体" w:eastAsia="宋体" w:cs="宋体"/>
          <w:color w:val="auto"/>
          <w:sz w:val="21"/>
          <w:szCs w:val="21"/>
          <w:highlight w:val="none"/>
        </w:rPr>
      </w:pPr>
      <w:bookmarkStart w:id="14" w:name="OLE_LINK42"/>
      <w:bookmarkStart w:id="15" w:name="_Toc28359014"/>
      <w:bookmarkStart w:id="16" w:name="_Toc28359091"/>
      <w:r>
        <w:rPr>
          <w:rFonts w:hint="eastAsia" w:ascii="宋体" w:hAnsi="宋体" w:eastAsia="宋体" w:cs="宋体"/>
          <w:color w:val="auto"/>
          <w:sz w:val="21"/>
          <w:szCs w:val="21"/>
          <w:highlight w:val="none"/>
        </w:rPr>
        <w:t>1.满足《中华人民共和国政府采购法》第二十二条规定。</w:t>
      </w:r>
    </w:p>
    <w:p w14:paraId="58C0905D">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2.落实政府采购政策需满足的资格要求：本项目专门面向</w:t>
      </w:r>
      <w:r>
        <w:rPr>
          <w:rFonts w:hint="eastAsia" w:ascii="宋体" w:hAnsi="宋体" w:cs="宋体"/>
          <w:color w:val="auto"/>
          <w:sz w:val="21"/>
          <w:szCs w:val="21"/>
          <w:highlight w:val="none"/>
          <w:lang w:eastAsia="zh-CN"/>
        </w:rPr>
        <w:t>中小微企业</w:t>
      </w:r>
      <w:r>
        <w:rPr>
          <w:rFonts w:hint="eastAsia" w:ascii="宋体" w:hAnsi="宋体" w:eastAsia="宋体" w:cs="宋体"/>
          <w:color w:val="auto"/>
          <w:sz w:val="21"/>
          <w:szCs w:val="21"/>
          <w:highlight w:val="none"/>
        </w:rPr>
        <w:t>采购。供应商应符合《政府采购促进中小企业发展管理办法》（财库﹝2020﹞46号）第二条规定，根据《关于政府采购支持监狱企业发展有关问题的通知》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财库〔2014〕68号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及《关于促进残疾人就业政府采购政策的通知》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财库〔2017〕141号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规定，监狱企业、残疾人福利性单位视同小型、微型企业。</w:t>
      </w:r>
    </w:p>
    <w:p w14:paraId="0905F640">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bookmarkStart w:id="17" w:name="OLE_LINK6"/>
    </w:p>
    <w:p w14:paraId="14ECF79E">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供应商须具备建筑工程施工总承包三级以上（含三级）资质，同时具备有效的安全生产许可证，并在人员、设备、资金等方面具有相应的履约能力。</w:t>
      </w:r>
    </w:p>
    <w:p w14:paraId="7DBA77B5">
      <w:pPr>
        <w:spacing w:line="400" w:lineRule="exact"/>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）供应商提供</w:t>
      </w:r>
      <w:r>
        <w:rPr>
          <w:rFonts w:hint="eastAsia" w:ascii="宋体" w:hAnsi="宋体" w:eastAsia="宋体" w:cs="宋体"/>
          <w:bCs/>
          <w:color w:val="auto"/>
          <w:sz w:val="21"/>
          <w:szCs w:val="21"/>
          <w:highlight w:val="none"/>
        </w:rPr>
        <w:t>项目管理机构组成表</w:t>
      </w:r>
      <w:r>
        <w:rPr>
          <w:rFonts w:hint="eastAsia" w:ascii="宋体" w:hAnsi="宋体" w:eastAsia="宋体" w:cs="宋体"/>
          <w:color w:val="auto"/>
          <w:sz w:val="21"/>
          <w:szCs w:val="21"/>
          <w:highlight w:val="none"/>
          <w:lang w:eastAsia="zh-CN"/>
        </w:rPr>
        <w:t>，且</w:t>
      </w:r>
      <w:r>
        <w:rPr>
          <w:rFonts w:hint="eastAsia" w:ascii="宋体" w:hAnsi="宋体" w:eastAsia="宋体" w:cs="宋体"/>
          <w:bCs/>
          <w:color w:val="auto"/>
          <w:sz w:val="21"/>
          <w:szCs w:val="21"/>
          <w:highlight w:val="none"/>
          <w:lang w:eastAsia="zh-CN"/>
        </w:rPr>
        <w:t>须满足以下最低人员配备要求</w:t>
      </w:r>
      <w:r>
        <w:rPr>
          <w:rFonts w:hint="eastAsia" w:ascii="宋体" w:hAnsi="宋体" w:eastAsia="宋体" w:cs="宋体"/>
          <w:color w:val="auto"/>
          <w:sz w:val="21"/>
          <w:szCs w:val="21"/>
          <w:highlight w:val="none"/>
          <w:lang w:eastAsia="zh-CN"/>
        </w:rPr>
        <w:t>：</w:t>
      </w:r>
    </w:p>
    <w:p w14:paraId="082B201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rPr>
        <w:t>项目经理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拟投入</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项目经理必须具备建筑工程专业二级以上（含二级）注册建造师执业资格，具备有效的安全生产考核合格证书（B类）</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身份证</w:t>
      </w:r>
      <w:r>
        <w:rPr>
          <w:rFonts w:hint="eastAsia" w:ascii="宋体" w:hAnsi="宋体" w:eastAsia="宋体" w:cs="宋体"/>
          <w:color w:val="auto"/>
          <w:sz w:val="21"/>
          <w:szCs w:val="21"/>
          <w:highlight w:val="none"/>
        </w:rPr>
        <w:t>，且未拟派其他在建、已中标（或成交）未开工或已列为其他项目中标（或成交）候选人第一名的建造师作为项目经理（符合桂建管﹝2013﹞17号文及桂建管﹝2016﹞70号</w:t>
      </w:r>
      <w:r>
        <w:rPr>
          <w:rFonts w:hint="eastAsia" w:ascii="宋体" w:hAnsi="宋体" w:eastAsia="宋体" w:cs="宋体"/>
          <w:color w:val="auto"/>
          <w:sz w:val="21"/>
          <w:szCs w:val="21"/>
          <w:highlight w:val="none"/>
          <w:lang w:eastAsia="zh-CN"/>
        </w:rPr>
        <w:t>文</w:t>
      </w:r>
      <w:r>
        <w:rPr>
          <w:rFonts w:hint="eastAsia" w:ascii="宋体" w:hAnsi="宋体" w:eastAsia="宋体" w:cs="宋体"/>
          <w:color w:val="auto"/>
          <w:sz w:val="21"/>
          <w:szCs w:val="21"/>
          <w:highlight w:val="none"/>
        </w:rPr>
        <w:t>除外）</w:t>
      </w:r>
      <w:bookmarkEnd w:id="17"/>
      <w:r>
        <w:rPr>
          <w:rFonts w:hint="eastAsia" w:ascii="宋体" w:hAnsi="宋体" w:eastAsia="宋体" w:cs="宋体"/>
          <w:color w:val="auto"/>
          <w:sz w:val="21"/>
          <w:szCs w:val="21"/>
          <w:highlight w:val="none"/>
        </w:rPr>
        <w:t>。</w:t>
      </w:r>
      <w:bookmarkEnd w:id="14"/>
    </w:p>
    <w:p w14:paraId="6E6F211D">
      <w:pPr>
        <w:spacing w:line="400" w:lineRule="exact"/>
        <w:ind w:firstLine="42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②</w:t>
      </w:r>
      <w:r>
        <w:rPr>
          <w:rFonts w:hint="eastAsia" w:ascii="宋体" w:hAnsi="宋体" w:eastAsia="宋体" w:cs="宋体"/>
          <w:bCs/>
          <w:color w:val="auto"/>
          <w:sz w:val="21"/>
          <w:szCs w:val="21"/>
          <w:highlight w:val="none"/>
        </w:rPr>
        <w:t>技术负责人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1人</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拟投入</w:t>
      </w:r>
      <w:r>
        <w:rPr>
          <w:rFonts w:hint="eastAsia" w:ascii="宋体" w:hAnsi="宋体" w:eastAsia="宋体" w:cs="宋体"/>
          <w:color w:val="auto"/>
          <w:sz w:val="21"/>
          <w:szCs w:val="21"/>
          <w:highlight w:val="none"/>
          <w:lang w:eastAsia="zh-CN"/>
        </w:rPr>
        <w:t>的</w:t>
      </w:r>
      <w:r>
        <w:rPr>
          <w:rFonts w:hint="eastAsia" w:ascii="宋体" w:hAnsi="宋体" w:eastAsia="宋体" w:cs="宋体"/>
          <w:bCs/>
          <w:color w:val="auto"/>
          <w:sz w:val="21"/>
          <w:szCs w:val="21"/>
          <w:highlight w:val="none"/>
        </w:rPr>
        <w:t>技术负责人</w:t>
      </w:r>
      <w:r>
        <w:rPr>
          <w:rFonts w:hint="eastAsia" w:ascii="宋体" w:hAnsi="宋体" w:eastAsia="宋体" w:cs="宋体"/>
          <w:bCs/>
          <w:color w:val="auto"/>
          <w:sz w:val="21"/>
          <w:szCs w:val="21"/>
          <w:highlight w:val="none"/>
          <w:lang w:eastAsia="zh-CN"/>
        </w:rPr>
        <w:t>须具有相关专业中级及以上职称</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身份证</w:t>
      </w:r>
      <w:r>
        <w:rPr>
          <w:rFonts w:hint="eastAsia" w:ascii="宋体" w:hAnsi="宋体" w:eastAsia="宋体" w:cs="宋体"/>
          <w:bCs/>
          <w:color w:val="auto"/>
          <w:sz w:val="21"/>
          <w:szCs w:val="21"/>
          <w:highlight w:val="none"/>
          <w:lang w:eastAsia="zh-CN"/>
        </w:rPr>
        <w:t>。</w:t>
      </w:r>
    </w:p>
    <w:p w14:paraId="0074E223">
      <w:pPr>
        <w:spacing w:line="400" w:lineRule="exact"/>
        <w:ind w:firstLine="42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③</w:t>
      </w:r>
      <w:r>
        <w:rPr>
          <w:rFonts w:hint="eastAsia" w:ascii="宋体" w:hAnsi="宋体" w:eastAsia="宋体" w:cs="宋体"/>
          <w:bCs/>
          <w:color w:val="auto"/>
          <w:sz w:val="21"/>
          <w:szCs w:val="21"/>
          <w:highlight w:val="none"/>
        </w:rPr>
        <w:t>专职安全生产管理人员</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1人</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拟投入</w:t>
      </w:r>
      <w:r>
        <w:rPr>
          <w:rFonts w:hint="eastAsia" w:ascii="宋体" w:hAnsi="宋体" w:eastAsia="宋体" w:cs="宋体"/>
          <w:color w:val="auto"/>
          <w:sz w:val="21"/>
          <w:szCs w:val="21"/>
          <w:highlight w:val="none"/>
          <w:lang w:eastAsia="zh-CN"/>
        </w:rPr>
        <w:t>的</w:t>
      </w:r>
      <w:r>
        <w:rPr>
          <w:rFonts w:hint="eastAsia" w:ascii="宋体" w:hAnsi="宋体" w:eastAsia="宋体" w:cs="宋体"/>
          <w:bCs/>
          <w:color w:val="auto"/>
          <w:sz w:val="21"/>
          <w:szCs w:val="21"/>
          <w:highlight w:val="none"/>
        </w:rPr>
        <w:t>专职安全生产管理人员</w:t>
      </w:r>
      <w:r>
        <w:rPr>
          <w:rFonts w:hint="eastAsia" w:ascii="宋体" w:hAnsi="宋体" w:eastAsia="宋体" w:cs="宋体"/>
          <w:bCs/>
          <w:color w:val="auto"/>
          <w:sz w:val="21"/>
          <w:szCs w:val="21"/>
          <w:highlight w:val="none"/>
          <w:lang w:eastAsia="zh-CN"/>
        </w:rPr>
        <w:t>须具有</w:t>
      </w:r>
      <w:r>
        <w:rPr>
          <w:rFonts w:hint="eastAsia" w:ascii="宋体" w:hAnsi="宋体" w:eastAsia="宋体" w:cs="宋体"/>
          <w:bCs/>
          <w:color w:val="auto"/>
          <w:sz w:val="21"/>
          <w:szCs w:val="21"/>
          <w:highlight w:val="none"/>
        </w:rPr>
        <w:t>相应有效的专职安全员安全生产考核合格证书（C类）</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身份证</w:t>
      </w:r>
      <w:r>
        <w:rPr>
          <w:rFonts w:hint="eastAsia" w:ascii="宋体" w:hAnsi="宋体" w:eastAsia="宋体" w:cs="宋体"/>
          <w:bCs/>
          <w:color w:val="auto"/>
          <w:sz w:val="21"/>
          <w:szCs w:val="21"/>
          <w:highlight w:val="none"/>
          <w:lang w:eastAsia="zh-CN"/>
        </w:rPr>
        <w:t>。</w:t>
      </w:r>
    </w:p>
    <w:p w14:paraId="5617205E">
      <w:pPr>
        <w:spacing w:line="400" w:lineRule="exact"/>
        <w:ind w:firstLine="42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④</w:t>
      </w:r>
      <w:r>
        <w:rPr>
          <w:rFonts w:hint="eastAsia" w:ascii="宋体" w:hAnsi="宋体" w:eastAsia="宋体" w:cs="宋体"/>
          <w:bCs/>
          <w:color w:val="auto"/>
          <w:sz w:val="21"/>
          <w:szCs w:val="21"/>
          <w:highlight w:val="none"/>
        </w:rPr>
        <w:t>施工员、质量员、材料员</w:t>
      </w:r>
      <w:r>
        <w:rPr>
          <w:rFonts w:hint="eastAsia" w:ascii="宋体" w:hAnsi="宋体" w:eastAsia="宋体" w:cs="宋体"/>
          <w:bCs/>
          <w:color w:val="auto"/>
          <w:sz w:val="21"/>
          <w:szCs w:val="21"/>
          <w:highlight w:val="none"/>
          <w:lang w:eastAsia="zh-CN"/>
        </w:rPr>
        <w:t>（各配备</w:t>
      </w:r>
      <w:r>
        <w:rPr>
          <w:rFonts w:hint="eastAsia" w:ascii="宋体" w:hAnsi="宋体" w:eastAsia="宋体" w:cs="宋体"/>
          <w:bCs/>
          <w:color w:val="auto"/>
          <w:sz w:val="21"/>
          <w:szCs w:val="21"/>
          <w:highlight w:val="none"/>
          <w:lang w:val="en-US" w:eastAsia="zh-CN"/>
        </w:rPr>
        <w:t>1人</w:t>
      </w:r>
      <w:r>
        <w:rPr>
          <w:rFonts w:hint="eastAsia" w:ascii="宋体" w:hAnsi="宋体" w:eastAsia="宋体" w:cs="宋体"/>
          <w:bCs/>
          <w:color w:val="auto"/>
          <w:sz w:val="21"/>
          <w:szCs w:val="21"/>
          <w:highlight w:val="none"/>
          <w:lang w:eastAsia="zh-CN"/>
        </w:rPr>
        <w:t>）：拟投入的</w:t>
      </w:r>
      <w:r>
        <w:rPr>
          <w:rFonts w:hint="eastAsia" w:ascii="宋体" w:hAnsi="宋体" w:eastAsia="宋体" w:cs="宋体"/>
          <w:bCs/>
          <w:color w:val="auto"/>
          <w:sz w:val="21"/>
          <w:szCs w:val="21"/>
          <w:highlight w:val="none"/>
        </w:rPr>
        <w:t>施工员、质量员、材料员</w:t>
      </w:r>
      <w:r>
        <w:rPr>
          <w:rFonts w:hint="eastAsia" w:ascii="宋体" w:hAnsi="宋体" w:eastAsia="宋体" w:cs="宋体"/>
          <w:bCs/>
          <w:color w:val="auto"/>
          <w:sz w:val="21"/>
          <w:szCs w:val="21"/>
          <w:highlight w:val="none"/>
          <w:lang w:eastAsia="zh-CN"/>
        </w:rPr>
        <w:t>须具有</w:t>
      </w:r>
      <w:r>
        <w:rPr>
          <w:rFonts w:hint="eastAsia" w:ascii="宋体" w:hAnsi="宋体" w:eastAsia="宋体" w:cs="宋体"/>
          <w:bCs/>
          <w:color w:val="auto"/>
          <w:sz w:val="21"/>
          <w:szCs w:val="21"/>
          <w:highlight w:val="none"/>
        </w:rPr>
        <w:t>相应有效的施工现场专业人员职业培训合格证书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身份证</w:t>
      </w:r>
      <w:r>
        <w:rPr>
          <w:rFonts w:hint="eastAsia" w:ascii="宋体" w:hAnsi="宋体" w:eastAsia="宋体" w:cs="宋体"/>
          <w:bCs/>
          <w:color w:val="auto"/>
          <w:sz w:val="21"/>
          <w:szCs w:val="21"/>
          <w:highlight w:val="none"/>
          <w:lang w:eastAsia="zh-CN"/>
        </w:rPr>
        <w:t>。</w:t>
      </w:r>
    </w:p>
    <w:p w14:paraId="458CEA80">
      <w:pPr>
        <w:spacing w:line="400" w:lineRule="exact"/>
        <w:ind w:firstLine="422"/>
        <w:rPr>
          <w:rFonts w:hint="eastAsia" w:ascii="宋体" w:hAnsi="宋体" w:cs="宋体"/>
          <w:bCs/>
          <w:color w:val="auto"/>
          <w:sz w:val="21"/>
          <w:szCs w:val="21"/>
          <w:highlight w:val="none"/>
          <w:lang w:eastAsia="zh-CN"/>
        </w:rPr>
      </w:pPr>
      <w:bookmarkStart w:id="18" w:name="_Toc35393631"/>
      <w:bookmarkStart w:id="19" w:name="_Toc35393800"/>
      <w:r>
        <w:rPr>
          <w:rFonts w:hint="eastAsia" w:ascii="宋体" w:hAnsi="宋体" w:cs="宋体"/>
          <w:bCs/>
          <w:color w:val="auto"/>
          <w:sz w:val="21"/>
          <w:szCs w:val="21"/>
          <w:highlight w:val="none"/>
          <w:lang w:eastAsia="zh-CN"/>
        </w:rPr>
        <w:t>⑤供应商具有</w:t>
      </w:r>
      <w:r>
        <w:rPr>
          <w:rFonts w:hint="eastAsia" w:ascii="宋体" w:hAnsi="宋体" w:cs="宋体"/>
          <w:bCs/>
          <w:color w:val="auto"/>
          <w:sz w:val="21"/>
          <w:szCs w:val="21"/>
          <w:highlight w:val="none"/>
        </w:rPr>
        <w:t>202</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rPr>
        <w:t>年以来任意1个月为</w:t>
      </w:r>
      <w:r>
        <w:rPr>
          <w:rFonts w:hint="eastAsia" w:ascii="宋体" w:hAnsi="宋体" w:cs="宋体"/>
          <w:bCs/>
          <w:color w:val="auto"/>
          <w:sz w:val="21"/>
          <w:szCs w:val="21"/>
          <w:highlight w:val="none"/>
          <w:lang w:eastAsia="zh-CN"/>
        </w:rPr>
        <w:t>以上</w:t>
      </w:r>
      <w:r>
        <w:rPr>
          <w:rFonts w:hint="eastAsia" w:ascii="宋体" w:hAnsi="宋体" w:cs="宋体"/>
          <w:color w:val="auto"/>
          <w:sz w:val="21"/>
          <w:szCs w:val="21"/>
          <w:highlight w:val="none"/>
        </w:rPr>
        <w:t>项目经理</w:t>
      </w:r>
      <w:r>
        <w:rPr>
          <w:rFonts w:hint="eastAsia" w:ascii="宋体" w:hAnsi="宋体" w:cs="宋体"/>
          <w:color w:val="auto"/>
          <w:sz w:val="21"/>
          <w:szCs w:val="21"/>
          <w:highlight w:val="none"/>
          <w:lang w:eastAsia="zh-CN"/>
        </w:rPr>
        <w:t>、</w:t>
      </w:r>
      <w:r>
        <w:rPr>
          <w:rFonts w:hint="eastAsia" w:ascii="宋体" w:hAnsi="宋体" w:cs="宋体"/>
          <w:bCs/>
          <w:color w:val="auto"/>
          <w:sz w:val="21"/>
          <w:szCs w:val="21"/>
          <w:highlight w:val="none"/>
        </w:rPr>
        <w:t>技术负责人</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专职安全生产管理人员</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施工员、质量员、材料员</w:t>
      </w:r>
      <w:r>
        <w:rPr>
          <w:rFonts w:hint="eastAsia" w:ascii="宋体" w:hAnsi="宋体" w:cs="宋体"/>
          <w:bCs/>
          <w:color w:val="auto"/>
          <w:sz w:val="21"/>
          <w:szCs w:val="21"/>
          <w:highlight w:val="none"/>
          <w:lang w:eastAsia="zh-CN"/>
        </w:rPr>
        <w:t>缴纳</w:t>
      </w:r>
      <w:r>
        <w:rPr>
          <w:rFonts w:hint="eastAsia" w:ascii="宋体" w:hAnsi="宋体" w:cs="宋体"/>
          <w:bCs/>
          <w:color w:val="auto"/>
          <w:sz w:val="21"/>
          <w:szCs w:val="21"/>
          <w:highlight w:val="none"/>
        </w:rPr>
        <w:t>的社保证明材料或供应商与其签订的有效劳动合同</w:t>
      </w:r>
      <w:r>
        <w:rPr>
          <w:rFonts w:hint="eastAsia" w:ascii="宋体" w:hAnsi="宋体" w:cs="宋体"/>
          <w:bCs/>
          <w:color w:val="auto"/>
          <w:sz w:val="21"/>
          <w:szCs w:val="21"/>
          <w:highlight w:val="none"/>
          <w:lang w:eastAsia="zh-CN"/>
        </w:rPr>
        <w:t>。</w:t>
      </w:r>
    </w:p>
    <w:p w14:paraId="45B81530">
      <w:pPr>
        <w:spacing w:line="400" w:lineRule="exact"/>
        <w:ind w:firstLine="420"/>
        <w:rPr>
          <w:rFonts w:hint="eastAsia" w:ascii="宋体" w:hAnsi="宋体" w:cs="宋体"/>
          <w:bCs/>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eastAsia" w:ascii="宋体" w:hAnsi="宋体" w:eastAsia="宋体" w:cs="宋体"/>
          <w:color w:val="auto"/>
          <w:sz w:val="21"/>
          <w:szCs w:val="21"/>
          <w:highlight w:val="none"/>
          <w:lang w:eastAsia="zh-CN"/>
        </w:rPr>
        <w:t>文</w:t>
      </w:r>
      <w:r>
        <w:rPr>
          <w:rFonts w:hint="eastAsia" w:ascii="宋体" w:hAnsi="宋体" w:eastAsia="宋体" w:cs="宋体"/>
          <w:color w:val="auto"/>
          <w:sz w:val="21"/>
          <w:szCs w:val="21"/>
          <w:highlight w:val="none"/>
        </w:rPr>
        <w:t>除外）】</w:t>
      </w:r>
      <w:r>
        <w:rPr>
          <w:rFonts w:hint="eastAsia" w:ascii="宋体" w:hAnsi="宋体" w:eastAsia="宋体" w:cs="宋体"/>
          <w:color w:val="auto"/>
          <w:sz w:val="21"/>
          <w:szCs w:val="21"/>
          <w:highlight w:val="none"/>
          <w:lang w:val="en-US" w:eastAsia="zh-CN"/>
        </w:rPr>
        <w:t>。</w:t>
      </w:r>
    </w:p>
    <w:p w14:paraId="385653DD">
      <w:pPr>
        <w:spacing w:line="400" w:lineRule="exact"/>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三、获取采购文件</w:t>
      </w:r>
      <w:bookmarkEnd w:id="15"/>
      <w:bookmarkEnd w:id="16"/>
      <w:bookmarkEnd w:id="18"/>
      <w:bookmarkEnd w:id="19"/>
    </w:p>
    <w:p w14:paraId="62DC28B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lang w:eastAsia="zh-CN"/>
        </w:rPr>
        <w:t>自磋商公告发布之日起</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lang w:eastAsia="zh-CN"/>
        </w:rPr>
        <w:t>2026年</w:t>
      </w:r>
      <w:r>
        <w:rPr>
          <w:rFonts w:hint="eastAsia" w:ascii="宋体" w:hAnsi="宋体" w:cs="宋体"/>
          <w:color w:val="auto"/>
          <w:sz w:val="21"/>
          <w:szCs w:val="21"/>
          <w:highlight w:val="none"/>
          <w:u w:val="single"/>
          <w:lang w:val="en-US" w:eastAsia="zh-CN"/>
        </w:rPr>
        <w:t>7月3日</w:t>
      </w:r>
      <w:r>
        <w:rPr>
          <w:rFonts w:hint="eastAsia" w:ascii="宋体" w:hAnsi="宋体" w:eastAsia="宋体" w:cs="宋体"/>
          <w:color w:val="auto"/>
          <w:sz w:val="21"/>
          <w:szCs w:val="21"/>
          <w:highlight w:val="none"/>
        </w:rPr>
        <w:t>，每天上午</w:t>
      </w:r>
      <w:r>
        <w:rPr>
          <w:rFonts w:hint="eastAsia" w:ascii="宋体" w:hAnsi="宋体" w:eastAsia="宋体" w:cs="宋体"/>
          <w:color w:val="auto"/>
          <w:sz w:val="21"/>
          <w:szCs w:val="21"/>
          <w:highlight w:val="none"/>
          <w:u w:val="single"/>
        </w:rPr>
        <w:t>00:00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00:00</w:t>
      </w:r>
      <w:r>
        <w:rPr>
          <w:rFonts w:hint="eastAsia" w:ascii="宋体" w:hAnsi="宋体" w:eastAsia="宋体" w:cs="宋体"/>
          <w:color w:val="auto"/>
          <w:sz w:val="21"/>
          <w:szCs w:val="21"/>
          <w:highlight w:val="none"/>
        </w:rPr>
        <w:t>，下午</w:t>
      </w:r>
      <w:r>
        <w:rPr>
          <w:rFonts w:hint="eastAsia" w:ascii="宋体" w:hAnsi="宋体" w:eastAsia="宋体" w:cs="宋体"/>
          <w:color w:val="auto"/>
          <w:sz w:val="21"/>
          <w:szCs w:val="21"/>
          <w:highlight w:val="none"/>
          <w:u w:val="single"/>
        </w:rPr>
        <w:t>12:00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23:59</w:t>
      </w:r>
      <w:r>
        <w:rPr>
          <w:rFonts w:hint="eastAsia" w:ascii="宋体" w:hAnsi="宋体" w:eastAsia="宋体" w:cs="宋体"/>
          <w:color w:val="auto"/>
          <w:sz w:val="21"/>
          <w:szCs w:val="21"/>
          <w:highlight w:val="none"/>
          <w:u w:val="single"/>
          <w:lang w:val="en-US" w:eastAsia="zh-CN"/>
        </w:rPr>
        <w:t>:59</w:t>
      </w:r>
      <w:r>
        <w:rPr>
          <w:rFonts w:hint="eastAsia" w:ascii="宋体" w:hAnsi="宋体" w:eastAsia="宋体" w:cs="宋体"/>
          <w:color w:val="auto"/>
          <w:sz w:val="21"/>
          <w:szCs w:val="21"/>
          <w:highlight w:val="none"/>
        </w:rPr>
        <w:t>（北京时间，法定节假日除外）</w:t>
      </w:r>
    </w:p>
    <w:p w14:paraId="3312CFBF">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bookmarkStart w:id="20" w:name="OLE_LINK7"/>
      <w:bookmarkStart w:id="21" w:name="OLE_LINK8"/>
      <w:r>
        <w:rPr>
          <w:rFonts w:hint="eastAsia" w:ascii="宋体" w:hAnsi="宋体" w:eastAsia="宋体" w:cs="宋体"/>
          <w:color w:val="auto"/>
          <w:sz w:val="21"/>
          <w:szCs w:val="21"/>
          <w:highlight w:val="none"/>
        </w:rPr>
        <w:t>广西政府采购云平台（https://www.gcy.zfcg.gxzf.gov.cn/）</w:t>
      </w:r>
      <w:bookmarkEnd w:id="20"/>
      <w:bookmarkEnd w:id="21"/>
      <w:r>
        <w:rPr>
          <w:rFonts w:hint="eastAsia" w:ascii="宋体" w:hAnsi="宋体" w:eastAsia="宋体" w:cs="宋体"/>
          <w:color w:val="auto"/>
          <w:sz w:val="21"/>
          <w:szCs w:val="21"/>
          <w:highlight w:val="none"/>
        </w:rPr>
        <w:t>。</w:t>
      </w:r>
    </w:p>
    <w:p w14:paraId="73B88F00">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w:t>
      </w:r>
      <w:bookmarkStart w:id="22" w:name="OLE_LINK12"/>
      <w:r>
        <w:rPr>
          <w:rFonts w:hint="eastAsia" w:ascii="宋体" w:hAnsi="宋体" w:eastAsia="宋体" w:cs="宋体"/>
          <w:color w:val="auto"/>
          <w:kern w:val="0"/>
          <w:sz w:val="21"/>
          <w:szCs w:val="21"/>
          <w:highlight w:val="none"/>
        </w:rPr>
        <w:t>潜在供应商登录</w:t>
      </w:r>
      <w:r>
        <w:rPr>
          <w:rFonts w:hint="eastAsia" w:ascii="宋体" w:hAnsi="宋体" w:eastAsia="宋体" w:cs="宋体"/>
          <w:color w:val="auto"/>
          <w:sz w:val="21"/>
          <w:szCs w:val="21"/>
          <w:highlight w:val="none"/>
        </w:rPr>
        <w:t>广西政府采购云平台（https://www.gcy.zfcg.gxzf.gov.cn/）</w:t>
      </w:r>
      <w:r>
        <w:rPr>
          <w:rFonts w:hint="eastAsia" w:ascii="宋体" w:hAnsi="宋体" w:eastAsia="宋体" w:cs="宋体"/>
          <w:color w:val="auto"/>
          <w:sz w:val="21"/>
          <w:szCs w:val="24"/>
          <w:highlight w:val="none"/>
        </w:rPr>
        <w:t>免费</w:t>
      </w:r>
      <w:r>
        <w:rPr>
          <w:rFonts w:hint="eastAsia" w:ascii="宋体" w:hAnsi="宋体" w:eastAsia="宋体" w:cs="宋体"/>
          <w:color w:val="auto"/>
          <w:sz w:val="21"/>
          <w:szCs w:val="21"/>
          <w:highlight w:val="none"/>
        </w:rPr>
        <w:t>获取竞争性磋商文件电子版。</w:t>
      </w:r>
      <w:r>
        <w:rPr>
          <w:rFonts w:hint="eastAsia" w:ascii="宋体" w:hAnsi="宋体" w:eastAsia="宋体" w:cs="宋体"/>
          <w:b/>
          <w:bCs/>
          <w:color w:val="auto"/>
          <w:sz w:val="21"/>
          <w:szCs w:val="21"/>
          <w:highlight w:val="none"/>
        </w:rPr>
        <w:t>供应商应在广西政府采购云平台进行“申请获取采购文件”操作，否则，将导致无法在线编制响应文件并参与竞标，其不利后果由供应商自行承担</w:t>
      </w:r>
      <w:bookmarkEnd w:id="22"/>
      <w:r>
        <w:rPr>
          <w:rFonts w:hint="eastAsia" w:ascii="宋体" w:hAnsi="宋体" w:eastAsia="宋体" w:cs="宋体"/>
          <w:b/>
          <w:bCs/>
          <w:color w:val="auto"/>
          <w:sz w:val="21"/>
          <w:szCs w:val="21"/>
          <w:highlight w:val="none"/>
        </w:rPr>
        <w:t>。</w:t>
      </w:r>
    </w:p>
    <w:p w14:paraId="0A52F12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售价（元）：0。</w:t>
      </w:r>
      <w:bookmarkStart w:id="23" w:name="_Toc35393801"/>
      <w:bookmarkStart w:id="24" w:name="_Toc28359092"/>
      <w:bookmarkStart w:id="25" w:name="_Toc35393632"/>
      <w:bookmarkStart w:id="26" w:name="_Toc28359015"/>
    </w:p>
    <w:p w14:paraId="2AFB470E">
      <w:pPr>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四、响应文件提交</w:t>
      </w:r>
      <w:bookmarkEnd w:id="23"/>
      <w:bookmarkEnd w:id="24"/>
      <w:bookmarkEnd w:id="25"/>
      <w:bookmarkEnd w:id="26"/>
    </w:p>
    <w:p w14:paraId="04E1B9A8">
      <w:pPr>
        <w:spacing w:line="400" w:lineRule="exact"/>
        <w:ind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lang w:eastAsia="zh-CN"/>
        </w:rPr>
        <w:t>2026年</w:t>
      </w:r>
      <w:r>
        <w:rPr>
          <w:rFonts w:hint="eastAsia" w:ascii="宋体" w:hAnsi="宋体" w:cs="宋体"/>
          <w:color w:val="auto"/>
          <w:sz w:val="21"/>
          <w:szCs w:val="21"/>
          <w:highlight w:val="none"/>
          <w:u w:val="single"/>
          <w:lang w:val="en-US" w:eastAsia="zh-CN"/>
        </w:rPr>
        <w:t>7月3日</w:t>
      </w:r>
      <w:r>
        <w:rPr>
          <w:rFonts w:hint="eastAsia" w:ascii="宋体" w:hAnsi="宋体" w:eastAsia="宋体" w:cs="宋体"/>
          <w:color w:val="auto"/>
          <w:sz w:val="21"/>
          <w:szCs w:val="21"/>
          <w:highlight w:val="none"/>
          <w:u w:val="single"/>
        </w:rPr>
        <w:t>上午9</w:t>
      </w:r>
      <w:r>
        <w:rPr>
          <w:rFonts w:hint="eastAsia" w:ascii="宋体" w:hAnsi="宋体" w:eastAsia="宋体" w:cs="宋体"/>
          <w:bCs/>
          <w:color w:val="auto"/>
          <w:sz w:val="21"/>
          <w:szCs w:val="21"/>
          <w:highlight w:val="none"/>
          <w:u w:val="single"/>
        </w:rPr>
        <w:t>时30分</w:t>
      </w:r>
      <w:r>
        <w:rPr>
          <w:rFonts w:hint="eastAsia" w:ascii="宋体" w:hAnsi="宋体" w:eastAsia="宋体" w:cs="宋体"/>
          <w:bCs/>
          <w:color w:val="auto"/>
          <w:sz w:val="21"/>
          <w:szCs w:val="21"/>
          <w:highlight w:val="none"/>
        </w:rPr>
        <w:t>（北京时间）</w:t>
      </w:r>
    </w:p>
    <w:p w14:paraId="629C2624">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bookmarkStart w:id="27" w:name="_Toc35393633"/>
      <w:bookmarkStart w:id="28" w:name="_Toc28359093"/>
      <w:bookmarkStart w:id="29" w:name="_Toc35393802"/>
      <w:bookmarkStart w:id="30" w:name="_Toc28359016"/>
      <w:r>
        <w:rPr>
          <w:rFonts w:hint="eastAsia" w:ascii="宋体" w:hAnsi="宋体" w:cs="宋体"/>
          <w:color w:val="auto"/>
          <w:sz w:val="21"/>
          <w:szCs w:val="21"/>
          <w:highlight w:val="none"/>
          <w:lang w:eastAsia="zh-CN"/>
        </w:rPr>
        <w:t>请登录广西政府采购云平台投标客户端投标</w:t>
      </w:r>
      <w:r>
        <w:rPr>
          <w:rFonts w:hint="eastAsia" w:ascii="宋体" w:hAnsi="宋体" w:eastAsia="宋体" w:cs="宋体"/>
          <w:color w:val="auto"/>
          <w:sz w:val="21"/>
          <w:szCs w:val="21"/>
          <w:highlight w:val="none"/>
        </w:rPr>
        <w:t>。</w:t>
      </w:r>
    </w:p>
    <w:p w14:paraId="1B701131">
      <w:pPr>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五、开启</w:t>
      </w:r>
      <w:bookmarkEnd w:id="27"/>
      <w:bookmarkEnd w:id="28"/>
      <w:bookmarkEnd w:id="29"/>
      <w:bookmarkEnd w:id="30"/>
    </w:p>
    <w:p w14:paraId="35503DAC">
      <w:pPr>
        <w:spacing w:line="400" w:lineRule="exact"/>
        <w:ind w:firstLine="42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lang w:eastAsia="zh-CN"/>
        </w:rPr>
        <w:t>2026年</w:t>
      </w:r>
      <w:r>
        <w:rPr>
          <w:rFonts w:hint="eastAsia" w:ascii="宋体" w:hAnsi="宋体" w:cs="宋体"/>
          <w:color w:val="auto"/>
          <w:sz w:val="21"/>
          <w:szCs w:val="21"/>
          <w:highlight w:val="none"/>
          <w:u w:val="single"/>
          <w:lang w:val="en-US" w:eastAsia="zh-CN"/>
        </w:rPr>
        <w:t>7月3日</w:t>
      </w:r>
      <w:r>
        <w:rPr>
          <w:rFonts w:hint="eastAsia" w:ascii="宋体" w:hAnsi="宋体" w:eastAsia="宋体" w:cs="宋体"/>
          <w:color w:val="auto"/>
          <w:sz w:val="21"/>
          <w:szCs w:val="21"/>
          <w:highlight w:val="none"/>
          <w:u w:val="single"/>
        </w:rPr>
        <w:t>上午9</w:t>
      </w:r>
      <w:r>
        <w:rPr>
          <w:rFonts w:hint="eastAsia" w:ascii="宋体" w:hAnsi="宋体" w:eastAsia="宋体" w:cs="宋体"/>
          <w:bCs/>
          <w:color w:val="auto"/>
          <w:sz w:val="21"/>
          <w:szCs w:val="21"/>
          <w:highlight w:val="none"/>
          <w:u w:val="single"/>
        </w:rPr>
        <w:t>时30分</w:t>
      </w:r>
      <w:r>
        <w:rPr>
          <w:rFonts w:hint="eastAsia" w:ascii="宋体" w:hAnsi="宋体" w:eastAsia="宋体" w:cs="宋体"/>
          <w:bCs/>
          <w:color w:val="auto"/>
          <w:sz w:val="21"/>
          <w:szCs w:val="21"/>
          <w:highlight w:val="none"/>
        </w:rPr>
        <w:t>（北京时间）</w:t>
      </w:r>
    </w:p>
    <w:p w14:paraId="625AC427">
      <w:pPr>
        <w:spacing w:line="400" w:lineRule="exact"/>
        <w:ind w:firstLine="42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w:t>
      </w:r>
      <w:bookmarkStart w:id="31" w:name="_Toc28359094"/>
      <w:bookmarkStart w:id="32" w:name="_Toc35393803"/>
      <w:bookmarkStart w:id="33" w:name="_Toc28359017"/>
      <w:bookmarkStart w:id="34" w:name="_Toc35393634"/>
      <w:r>
        <w:rPr>
          <w:rFonts w:hint="eastAsia" w:ascii="宋体" w:hAnsi="宋体" w:eastAsia="宋体" w:cs="宋体"/>
          <w:color w:val="auto"/>
          <w:sz w:val="21"/>
          <w:szCs w:val="21"/>
          <w:highlight w:val="none"/>
        </w:rPr>
        <w:t>通过广西政府采购云平台在线解密开启。</w:t>
      </w:r>
    </w:p>
    <w:p w14:paraId="4F23EFBF">
      <w:pPr>
        <w:spacing w:line="400" w:lineRule="exact"/>
        <w:ind w:left="240" w:leftChars="100" w:firstLine="211" w:firstLineChars="1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六、公告期限</w:t>
      </w:r>
      <w:bookmarkEnd w:id="31"/>
      <w:bookmarkEnd w:id="32"/>
      <w:bookmarkEnd w:id="33"/>
      <w:bookmarkEnd w:id="34"/>
    </w:p>
    <w:p w14:paraId="30B15B96">
      <w:pPr>
        <w:spacing w:line="4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bookmarkStart w:id="35" w:name="_Toc35393635"/>
      <w:bookmarkStart w:id="36" w:name="_Toc35393804"/>
    </w:p>
    <w:p w14:paraId="1F13643C">
      <w:pPr>
        <w:numPr>
          <w:ilvl w:val="0"/>
          <w:numId w:val="3"/>
        </w:numPr>
        <w:spacing w:line="400" w:lineRule="exact"/>
        <w:ind w:firstLine="422"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其他补充事宜</w:t>
      </w:r>
      <w:bookmarkEnd w:id="35"/>
      <w:bookmarkEnd w:id="36"/>
    </w:p>
    <w:p w14:paraId="45F90400">
      <w:pPr>
        <w:spacing w:line="40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1.信息公告发布媒体：中国政府采购网（www.ccgp.gov.cn）、广西壮族自治区政府采购网（zfcg.gxzf.gov.cn）、桂林市政府采购网（zfcg.czj.guilin.gov.cn）。</w:t>
      </w:r>
    </w:p>
    <w:p w14:paraId="7D1B424C">
      <w:pPr>
        <w:spacing w:line="400" w:lineRule="exact"/>
        <w:ind w:left="480" w:leftChars="20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2.本项目需要落实的政府采购政策：</w:t>
      </w:r>
    </w:p>
    <w:p w14:paraId="19CB56B2">
      <w:pPr>
        <w:spacing w:line="400" w:lineRule="exact"/>
        <w:ind w:left="480" w:leftChars="20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（1）政府采购促进中小企业发展</w:t>
      </w:r>
      <w:r>
        <w:rPr>
          <w:rFonts w:hint="eastAsia" w:ascii="宋体" w:hAnsi="宋体" w:eastAsia="宋体" w:cs="宋体"/>
          <w:color w:val="auto"/>
          <w:sz w:val="21"/>
          <w:szCs w:val="21"/>
          <w:highlight w:val="none"/>
        </w:rPr>
        <w:t>；</w:t>
      </w:r>
    </w:p>
    <w:p w14:paraId="28C9B286">
      <w:pPr>
        <w:spacing w:line="400" w:lineRule="exact"/>
        <w:ind w:left="480" w:leftChars="20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（2）政府采购支持监狱企业发展；</w:t>
      </w:r>
    </w:p>
    <w:p w14:paraId="5CD27992">
      <w:pPr>
        <w:spacing w:line="400" w:lineRule="exact"/>
        <w:ind w:left="480" w:leftChars="20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（3）政府采购促进残疾人就业政策；</w:t>
      </w:r>
    </w:p>
    <w:p w14:paraId="118ECD67">
      <w:pPr>
        <w:spacing w:line="400" w:lineRule="exact"/>
        <w:ind w:left="480" w:leftChars="20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（4）强制采购政府强制采购节能产品；优先采购节能产品、环境标志产品；</w:t>
      </w:r>
    </w:p>
    <w:p w14:paraId="2E6AA975">
      <w:pPr>
        <w:spacing w:line="400" w:lineRule="exact"/>
        <w:ind w:left="480" w:leftChars="20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（5）政府采购支持采用本国产品的政策。</w:t>
      </w:r>
    </w:p>
    <w:p w14:paraId="4CF3BA74">
      <w:pPr>
        <w:spacing w:line="400" w:lineRule="exact"/>
        <w:ind w:firstLine="420"/>
        <w:rPr>
          <w:rFonts w:hint="eastAsia" w:ascii="宋体" w:hAnsi="宋体" w:eastAsia="宋体" w:cs="宋体"/>
          <w:color w:val="auto"/>
          <w:sz w:val="21"/>
          <w:szCs w:val="21"/>
          <w:highlight w:val="none"/>
        </w:rPr>
      </w:pPr>
      <w:bookmarkStart w:id="37" w:name="_Toc35393636"/>
      <w:bookmarkStart w:id="38" w:name="_Toc35393805"/>
      <w:bookmarkStart w:id="39" w:name="_Toc28359095"/>
      <w:bookmarkStart w:id="40" w:name="_Toc28359018"/>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资格条件特别说明：</w:t>
      </w:r>
    </w:p>
    <w:p w14:paraId="3D44E2E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6C0E3C7">
      <w:pPr>
        <w:spacing w:line="400" w:lineRule="exact"/>
        <w:ind w:firstLine="42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（2）对在“信用中国”网站</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www.creditchina.gov.cn</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、中国政府采购网</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www.ccgp.gov.cn</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被列入失信被执行人、重大税收违法失信主体、政府采购严重违法失信行为记录名单及其他不符合《中华人民共和国政府采购法》第二十二条规定条件的供应商，不得参与政府采购活动。</w:t>
      </w:r>
    </w:p>
    <w:p w14:paraId="00EEFD72">
      <w:pPr>
        <w:spacing w:line="400" w:lineRule="exact"/>
        <w:ind w:left="480" w:leftChars="20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4.广西政府采购云平台电子竞标相关事宜：</w:t>
      </w:r>
    </w:p>
    <w:p w14:paraId="6B7DC212">
      <w:pPr>
        <w:adjustRightInd w:val="0"/>
        <w:snapToGrid w:val="0"/>
        <w:spacing w:line="40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供应商应当在响应文件提交截止时间前在广西政府采购云平台</w:t>
      </w:r>
      <w:r>
        <w:rPr>
          <w:rFonts w:hint="eastAsia" w:ascii="宋体" w:hAnsi="宋体" w:eastAsia="宋体" w:cs="宋体"/>
          <w:bCs/>
          <w:color w:val="auto"/>
          <w:sz w:val="21"/>
          <w:szCs w:val="21"/>
          <w:highlight w:val="none"/>
          <w:lang w:eastAsia="zh-CN"/>
        </w:rPr>
        <w:t>完成</w:t>
      </w:r>
      <w:r>
        <w:rPr>
          <w:rFonts w:hint="eastAsia" w:ascii="宋体" w:hAnsi="宋体" w:eastAsia="宋体" w:cs="宋体"/>
          <w:bCs/>
          <w:color w:val="auto"/>
          <w:sz w:val="21"/>
          <w:szCs w:val="21"/>
          <w:highlight w:val="none"/>
        </w:rPr>
        <w:t>身份认证，确保能够对相关数据电文进行加密和使用电子签章；③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528B2D91">
      <w:pPr>
        <w:adjustRightInd w:val="0"/>
        <w:snapToGrid w:val="0"/>
        <w:spacing w:line="40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（2）电子竞标具体操作流程参考《政府采购项目电子交易管理操作指南</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供应商》（详见桂林市政府采购网—采购资讯—重要通知）；如遇平台技术问题详询95763或者0771-3381253。</w:t>
      </w:r>
    </w:p>
    <w:p w14:paraId="233EAF19">
      <w:pPr>
        <w:adjustRightInd w:val="0"/>
        <w:snapToGrid w:val="0"/>
        <w:spacing w:line="400" w:lineRule="exact"/>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（3）</w:t>
      </w:r>
      <w:r>
        <w:rPr>
          <w:rFonts w:hint="eastAsia" w:ascii="宋体" w:hAnsi="宋体" w:eastAsia="宋体" w:cs="宋体"/>
          <w:color w:val="auto"/>
          <w:kern w:val="0"/>
          <w:sz w:val="21"/>
          <w:szCs w:val="21"/>
          <w:highlight w:val="none"/>
        </w:rPr>
        <w:t>电子响应文件的制作、加密、</w:t>
      </w:r>
      <w:r>
        <w:rPr>
          <w:rFonts w:hint="eastAsia" w:ascii="宋体" w:hAnsi="宋体" w:eastAsia="宋体" w:cs="宋体"/>
          <w:color w:val="auto"/>
          <w:sz w:val="21"/>
          <w:szCs w:val="21"/>
          <w:highlight w:val="none"/>
        </w:rPr>
        <w:t>提交、解密等相关事宜详见第二章 “供应商须知”。</w:t>
      </w:r>
    </w:p>
    <w:p w14:paraId="3BA62CEF">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八、凡对本次采购提出询问，请按以下方式联系</w:t>
      </w:r>
      <w:bookmarkEnd w:id="37"/>
      <w:bookmarkEnd w:id="38"/>
      <w:bookmarkEnd w:id="39"/>
      <w:bookmarkEnd w:id="40"/>
    </w:p>
    <w:p w14:paraId="7116B0B3">
      <w:pPr>
        <w:spacing w:line="400" w:lineRule="exact"/>
        <w:ind w:firstLine="42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1.采购人信息</w:t>
      </w:r>
    </w:p>
    <w:p w14:paraId="40FF29E5">
      <w:pPr>
        <w:spacing w:line="400" w:lineRule="exact"/>
        <w:ind w:firstLine="420"/>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名    称：</w:t>
      </w:r>
      <w:r>
        <w:rPr>
          <w:rFonts w:hint="eastAsia" w:ascii="宋体" w:hAnsi="宋体" w:eastAsia="宋体" w:cs="宋体"/>
          <w:color w:val="auto"/>
          <w:sz w:val="21"/>
          <w:szCs w:val="24"/>
          <w:highlight w:val="none"/>
          <w:lang w:eastAsia="zh-CN"/>
        </w:rPr>
        <w:t>阳朔县人民医院</w:t>
      </w:r>
    </w:p>
    <w:p w14:paraId="26B64C56">
      <w:pPr>
        <w:spacing w:line="400" w:lineRule="exact"/>
        <w:ind w:firstLine="420"/>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地    址：</w:t>
      </w:r>
      <w:r>
        <w:rPr>
          <w:rFonts w:hint="eastAsia" w:ascii="宋体" w:hAnsi="宋体" w:eastAsia="宋体" w:cs="宋体"/>
          <w:color w:val="auto"/>
          <w:sz w:val="21"/>
          <w:szCs w:val="24"/>
          <w:highlight w:val="none"/>
        </w:rPr>
        <w:fldChar w:fldCharType="begin"/>
      </w:r>
      <w:r>
        <w:rPr>
          <w:rFonts w:hint="eastAsia" w:ascii="宋体" w:hAnsi="宋体" w:eastAsia="宋体" w:cs="宋体"/>
          <w:color w:val="auto"/>
          <w:sz w:val="21"/>
          <w:szCs w:val="24"/>
          <w:highlight w:val="none"/>
        </w:rPr>
        <w:instrText xml:space="preserve"> HYPERLINK "http://www.baidu.com/link?url=UwmCk_WYCpVhnt8WNof7ACl_V-BcuHdnc9oxKVvXEsbI2CToSKID4qiynhHKz-Z38MbVjKvByWjTTJcI2RD7rbRl6GsnVn8fYXLH2GfoBi9DlUD-8vG0C1H3df1tqvs0YbEEaHRhWrSt5fmFQ7QH_cbW3FN0dP4rhIC1gWdzpMlWF_CLZXb1gKhNq4-9Ng5JYSrG9uXH06Obo5Gm7nOqxaVqTJOe7X4tAv1-drHA9KDYcHvYcwq9BYmqbQz5kzMC4I9wT1fWdB2rVFaTfJvX1eWkIEZWgyn1ta2G0Wr4EpK" \t "_blank" </w:instrText>
      </w:r>
      <w:r>
        <w:rPr>
          <w:rFonts w:hint="eastAsia" w:ascii="宋体" w:hAnsi="宋体" w:eastAsia="宋体" w:cs="宋体"/>
          <w:color w:val="auto"/>
          <w:sz w:val="21"/>
          <w:szCs w:val="24"/>
          <w:highlight w:val="none"/>
        </w:rPr>
        <w:fldChar w:fldCharType="separate"/>
      </w:r>
      <w:r>
        <w:rPr>
          <w:rFonts w:hint="eastAsia" w:ascii="宋体" w:hAnsi="宋体" w:eastAsia="宋体" w:cs="宋体"/>
          <w:color w:val="auto"/>
          <w:sz w:val="21"/>
          <w:szCs w:val="24"/>
          <w:highlight w:val="none"/>
          <w:lang w:eastAsia="zh-CN"/>
        </w:rPr>
        <w:t>阳朔县阳朔镇城中路21号</w:t>
      </w:r>
    </w:p>
    <w:p w14:paraId="0E6E9E33">
      <w:pPr>
        <w:spacing w:line="400" w:lineRule="exact"/>
        <w:ind w:firstLine="420"/>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fldChar w:fldCharType="end"/>
      </w:r>
      <w:r>
        <w:rPr>
          <w:rFonts w:hint="eastAsia" w:ascii="宋体" w:hAnsi="宋体" w:eastAsia="宋体" w:cs="宋体"/>
          <w:color w:val="auto"/>
          <w:sz w:val="21"/>
          <w:szCs w:val="24"/>
          <w:highlight w:val="none"/>
        </w:rPr>
        <w:t>项目联系人</w:t>
      </w:r>
      <w:r>
        <w:rPr>
          <w:rFonts w:hint="eastAsia" w:ascii="宋体" w:hAnsi="宋体" w:eastAsia="宋体" w:cs="宋体"/>
          <w:color w:val="auto"/>
          <w:sz w:val="21"/>
          <w:szCs w:val="24"/>
          <w:highlight w:val="none"/>
          <w:lang w:eastAsia="zh-CN"/>
        </w:rPr>
        <w:t>：徐炎</w:t>
      </w:r>
      <w:r>
        <w:rPr>
          <w:rFonts w:hint="eastAsia" w:ascii="宋体" w:hAnsi="宋体" w:eastAsia="宋体" w:cs="宋体"/>
          <w:color w:val="auto"/>
          <w:sz w:val="21"/>
          <w:szCs w:val="24"/>
          <w:highlight w:val="none"/>
          <w:lang w:val="en-US" w:eastAsia="zh-CN"/>
        </w:rPr>
        <w:t xml:space="preserve"> </w:t>
      </w:r>
    </w:p>
    <w:p w14:paraId="4945E8C6">
      <w:pPr>
        <w:spacing w:line="400" w:lineRule="exact"/>
        <w:ind w:firstLine="420"/>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联系方式：15078961044</w:t>
      </w:r>
      <w:r>
        <w:rPr>
          <w:rFonts w:hint="eastAsia" w:ascii="宋体" w:hAnsi="宋体" w:eastAsia="宋体" w:cs="宋体"/>
          <w:color w:val="auto"/>
          <w:sz w:val="21"/>
          <w:szCs w:val="24"/>
          <w:highlight w:val="none"/>
          <w:lang w:val="en-US" w:eastAsia="zh-CN"/>
        </w:rPr>
        <w:t xml:space="preserve"> </w:t>
      </w:r>
    </w:p>
    <w:p w14:paraId="62864CE7">
      <w:pPr>
        <w:spacing w:line="400" w:lineRule="exact"/>
        <w:ind w:firstLine="42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2.采购代理机构信息</w:t>
      </w:r>
    </w:p>
    <w:p w14:paraId="4170A659">
      <w:pPr>
        <w:spacing w:line="400" w:lineRule="exact"/>
        <w:ind w:firstLine="420"/>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名    称：</w:t>
      </w:r>
      <w:r>
        <w:rPr>
          <w:rFonts w:hint="eastAsia" w:ascii="宋体" w:hAnsi="宋体" w:eastAsia="宋体" w:cs="宋体"/>
          <w:color w:val="auto"/>
          <w:sz w:val="21"/>
          <w:szCs w:val="24"/>
          <w:highlight w:val="none"/>
          <w:lang w:eastAsia="zh-CN"/>
        </w:rPr>
        <w:t>广西德元工程项目管理有限责任公司</w:t>
      </w:r>
    </w:p>
    <w:p w14:paraId="4E34A7F9">
      <w:pPr>
        <w:spacing w:line="400" w:lineRule="exact"/>
        <w:ind w:firstLine="420"/>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地    址：</w:t>
      </w:r>
      <w:r>
        <w:rPr>
          <w:rFonts w:hint="eastAsia" w:ascii="宋体" w:hAnsi="宋体" w:eastAsia="宋体" w:cs="宋体"/>
          <w:color w:val="auto"/>
          <w:sz w:val="21"/>
          <w:szCs w:val="24"/>
          <w:highlight w:val="none"/>
          <w:lang w:eastAsia="zh-CN"/>
        </w:rPr>
        <w:t>桂林市象山区安新南路1号南北楼2楼</w:t>
      </w:r>
    </w:p>
    <w:p w14:paraId="5878FEBA">
      <w:pPr>
        <w:spacing w:line="400" w:lineRule="exact"/>
        <w:ind w:firstLine="420"/>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0"/>
          <w:highlight w:val="none"/>
        </w:rPr>
        <w:t>项目联系人：</w:t>
      </w:r>
      <w:r>
        <w:rPr>
          <w:rFonts w:hint="eastAsia" w:ascii="宋体" w:hAnsi="宋体" w:eastAsia="宋体" w:cs="宋体"/>
          <w:color w:val="auto"/>
          <w:sz w:val="21"/>
          <w:szCs w:val="20"/>
          <w:highlight w:val="none"/>
          <w:lang w:eastAsia="zh-CN"/>
        </w:rPr>
        <w:t xml:space="preserve">秦梓珺 </w:t>
      </w:r>
    </w:p>
    <w:p w14:paraId="20FDAD77">
      <w:pPr>
        <w:spacing w:line="400" w:lineRule="exact"/>
        <w:ind w:firstLine="42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项目联系方式：</w:t>
      </w:r>
      <w:r>
        <w:rPr>
          <w:rFonts w:hint="eastAsia" w:ascii="宋体" w:hAnsi="宋体" w:eastAsia="宋体" w:cs="宋体"/>
          <w:color w:val="auto"/>
          <w:sz w:val="21"/>
          <w:szCs w:val="24"/>
          <w:highlight w:val="none"/>
          <w:lang w:eastAsia="zh-CN"/>
        </w:rPr>
        <w:t>0773-2806258</w:t>
      </w:r>
      <w:r>
        <w:rPr>
          <w:rFonts w:hint="eastAsia" w:ascii="宋体" w:hAnsi="宋体" w:eastAsia="宋体" w:cs="宋体"/>
          <w:color w:val="auto"/>
          <w:sz w:val="21"/>
          <w:szCs w:val="24"/>
          <w:highlight w:val="none"/>
        </w:rPr>
        <w:t xml:space="preserve"> </w:t>
      </w:r>
    </w:p>
    <w:p w14:paraId="3EF47B55">
      <w:pPr>
        <w:widowControl/>
        <w:spacing w:line="240" w:lineRule="auto"/>
        <w:ind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br w:type="page"/>
      </w:r>
    </w:p>
    <w:bookmarkEnd w:id="2"/>
    <w:bookmarkEnd w:id="3"/>
    <w:p w14:paraId="442C4232">
      <w:pPr>
        <w:numPr>
          <w:ilvl w:val="0"/>
          <w:numId w:val="4"/>
        </w:numPr>
        <w:spacing w:line="360" w:lineRule="exact"/>
        <w:ind w:left="1077" w:hanging="1077" w:firstLineChars="0"/>
        <w:jc w:val="center"/>
        <w:outlineLvl w:val="1"/>
        <w:rPr>
          <w:rFonts w:hint="eastAsia" w:ascii="宋体" w:hAnsi="宋体" w:eastAsia="宋体" w:cs="宋体"/>
          <w:b/>
          <w:color w:val="auto"/>
          <w:kern w:val="0"/>
          <w:sz w:val="32"/>
          <w:szCs w:val="32"/>
          <w:highlight w:val="none"/>
        </w:rPr>
      </w:pPr>
      <w:bookmarkStart w:id="41" w:name="_Toc82016586"/>
      <w:r>
        <w:rPr>
          <w:rFonts w:hint="eastAsia" w:ascii="宋体" w:hAnsi="宋体" w:eastAsia="宋体" w:cs="宋体"/>
          <w:b/>
          <w:color w:val="auto"/>
          <w:kern w:val="0"/>
          <w:sz w:val="32"/>
          <w:szCs w:val="32"/>
          <w:highlight w:val="none"/>
        </w:rPr>
        <w:t>供应商须知</w:t>
      </w:r>
      <w:bookmarkEnd w:id="41"/>
    </w:p>
    <w:p w14:paraId="70F45B97">
      <w:pPr>
        <w:tabs>
          <w:tab w:val="left" w:pos="1065"/>
          <w:tab w:val="center" w:pos="4411"/>
        </w:tabs>
        <w:spacing w:line="360" w:lineRule="exact"/>
        <w:ind w:firstLine="482"/>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供 应 商 须 知 前 附 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816"/>
        <w:gridCol w:w="1324"/>
        <w:gridCol w:w="6586"/>
      </w:tblGrid>
      <w:tr w14:paraId="132C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96AB17B">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816" w:type="dxa"/>
            <w:vAlign w:val="center"/>
          </w:tcPr>
          <w:p w14:paraId="3D279ED0">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1324" w:type="dxa"/>
            <w:vAlign w:val="center"/>
          </w:tcPr>
          <w:p w14:paraId="34047751">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条款名称</w:t>
            </w:r>
          </w:p>
        </w:tc>
        <w:tc>
          <w:tcPr>
            <w:tcW w:w="6586" w:type="dxa"/>
            <w:vAlign w:val="center"/>
          </w:tcPr>
          <w:p w14:paraId="2A622B87">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内容、要求</w:t>
            </w:r>
          </w:p>
        </w:tc>
      </w:tr>
      <w:tr w14:paraId="133C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4769CDA">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16" w:type="dxa"/>
            <w:vAlign w:val="center"/>
          </w:tcPr>
          <w:p w14:paraId="456C3275">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324" w:type="dxa"/>
            <w:vAlign w:val="center"/>
          </w:tcPr>
          <w:p w14:paraId="62D8957B">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项目名称及项目编号</w:t>
            </w:r>
          </w:p>
        </w:tc>
        <w:tc>
          <w:tcPr>
            <w:tcW w:w="6586" w:type="dxa"/>
            <w:vAlign w:val="center"/>
          </w:tcPr>
          <w:p w14:paraId="29EB8DDD">
            <w:pPr>
              <w:spacing w:line="340" w:lineRule="exact"/>
              <w:ind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项目名称：</w:t>
            </w:r>
            <w:r>
              <w:rPr>
                <w:rFonts w:hint="eastAsia" w:ascii="宋体" w:hAnsi="宋体" w:cs="宋体"/>
                <w:color w:val="auto"/>
                <w:sz w:val="21"/>
                <w:szCs w:val="24"/>
                <w:highlight w:val="none"/>
                <w:lang w:eastAsia="zh-CN"/>
              </w:rPr>
              <w:t>阳朔县中医药适宜技术推广中心</w:t>
            </w:r>
          </w:p>
          <w:p w14:paraId="50F2F20E">
            <w:pPr>
              <w:spacing w:line="340" w:lineRule="exact"/>
              <w:ind w:firstLine="0" w:firstLineChars="0"/>
              <w:jc w:val="left"/>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1"/>
                <w:highlight w:val="none"/>
              </w:rPr>
              <w:t>项目编号：</w:t>
            </w:r>
            <w:r>
              <w:rPr>
                <w:rFonts w:hint="eastAsia" w:ascii="宋体" w:hAnsi="宋体" w:cs="宋体"/>
                <w:color w:val="auto"/>
                <w:kern w:val="0"/>
                <w:sz w:val="21"/>
                <w:szCs w:val="21"/>
                <w:highlight w:val="none"/>
                <w:lang w:eastAsia="zh-CN"/>
              </w:rPr>
              <w:t>GLZC2026-C2-210036-GXDY</w:t>
            </w:r>
          </w:p>
        </w:tc>
      </w:tr>
      <w:tr w14:paraId="3FCC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788" w:type="dxa"/>
            <w:vAlign w:val="center"/>
          </w:tcPr>
          <w:p w14:paraId="23726510">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16" w:type="dxa"/>
            <w:vAlign w:val="center"/>
          </w:tcPr>
          <w:p w14:paraId="769BCFAE">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324" w:type="dxa"/>
            <w:vAlign w:val="center"/>
          </w:tcPr>
          <w:p w14:paraId="527B413E">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供应商资格</w:t>
            </w:r>
          </w:p>
        </w:tc>
        <w:tc>
          <w:tcPr>
            <w:tcW w:w="6586" w:type="dxa"/>
            <w:vAlign w:val="center"/>
          </w:tcPr>
          <w:p w14:paraId="5D82CB40">
            <w:pPr>
              <w:spacing w:line="340" w:lineRule="exact"/>
              <w:ind w:firstLine="0" w:firstLineChars="0"/>
              <w:jc w:val="left"/>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3.1满足《中华人民共和国政府采购法》第二十二条规定。</w:t>
            </w:r>
          </w:p>
          <w:p w14:paraId="7DBC4D62">
            <w:pPr>
              <w:spacing w:line="340" w:lineRule="exact"/>
              <w:ind w:firstLine="0" w:firstLineChars="0"/>
              <w:jc w:val="left"/>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3.2落实政府采购政策需满足的资格要求：</w:t>
            </w:r>
            <w:r>
              <w:rPr>
                <w:rFonts w:hint="eastAsia" w:ascii="宋体" w:hAnsi="宋体" w:eastAsia="宋体" w:cs="宋体"/>
                <w:color w:val="auto"/>
                <w:sz w:val="21"/>
                <w:szCs w:val="24"/>
                <w:highlight w:val="none"/>
              </w:rPr>
              <w:t>本项目专门面向</w:t>
            </w:r>
            <w:r>
              <w:rPr>
                <w:rFonts w:hint="eastAsia" w:ascii="宋体" w:hAnsi="宋体" w:cs="宋体"/>
                <w:color w:val="auto"/>
                <w:sz w:val="21"/>
                <w:szCs w:val="24"/>
                <w:highlight w:val="none"/>
                <w:lang w:eastAsia="zh-CN"/>
              </w:rPr>
              <w:t>中小微企业</w:t>
            </w:r>
            <w:r>
              <w:rPr>
                <w:rFonts w:hint="eastAsia" w:ascii="宋体" w:hAnsi="宋体" w:eastAsia="宋体" w:cs="宋体"/>
                <w:color w:val="auto"/>
                <w:sz w:val="21"/>
                <w:szCs w:val="24"/>
                <w:highlight w:val="none"/>
              </w:rPr>
              <w:t>采购。供应商应符合《政府采购促进中小企业发展管理办法》（财库﹝2020﹞46号）第二条规定，根据《关于政府采购支持监狱企业发展有关问题的通知》</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财库〔2014〕68号</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及《关于促进残疾人就业政府采购政策的通知》</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财库〔2017〕141号</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规定，监狱企业、残疾人福利性单位视同小型、微型企业。</w:t>
            </w:r>
          </w:p>
          <w:p w14:paraId="53757DFD">
            <w:pPr>
              <w:spacing w:line="340" w:lineRule="exact"/>
              <w:ind w:left="0" w:leftChars="0" w:firstLine="0" w:firstLineChars="0"/>
              <w:jc w:val="left"/>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3.3本项目的特定资格要求：</w:t>
            </w:r>
          </w:p>
          <w:p w14:paraId="06221F01">
            <w:pPr>
              <w:spacing w:line="340" w:lineRule="exact"/>
              <w:ind w:firstLine="0" w:firstLineChars="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1</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供应商须具备建筑工程施工总承包三级以上（含三级）资质，同时具备有效的安全生产许可证，并在人员、设备、资金等方面具有相应的履约能力。</w:t>
            </w:r>
          </w:p>
          <w:p w14:paraId="1516FDC4">
            <w:pPr>
              <w:spacing w:line="340" w:lineRule="exact"/>
              <w:ind w:firstLine="0" w:firstLineChars="0"/>
              <w:jc w:val="lef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2</w:t>
            </w:r>
            <w:r>
              <w:rPr>
                <w:rFonts w:hint="eastAsia" w:ascii="宋体" w:hAnsi="宋体" w:eastAsia="宋体" w:cs="宋体"/>
                <w:color w:val="auto"/>
                <w:sz w:val="21"/>
                <w:szCs w:val="24"/>
                <w:highlight w:val="none"/>
                <w:lang w:eastAsia="zh-CN"/>
              </w:rPr>
              <w:t>）供应商提供</w:t>
            </w:r>
            <w:r>
              <w:rPr>
                <w:rFonts w:hint="eastAsia" w:ascii="宋体" w:hAnsi="宋体" w:eastAsia="宋体" w:cs="宋体"/>
                <w:bCs w:val="0"/>
                <w:color w:val="auto"/>
                <w:sz w:val="21"/>
                <w:szCs w:val="24"/>
                <w:highlight w:val="none"/>
              </w:rPr>
              <w:t>项目管理机构组成表</w:t>
            </w:r>
            <w:r>
              <w:rPr>
                <w:rFonts w:hint="eastAsia" w:ascii="宋体" w:hAnsi="宋体" w:eastAsia="宋体" w:cs="宋体"/>
                <w:color w:val="auto"/>
                <w:sz w:val="21"/>
                <w:szCs w:val="24"/>
                <w:highlight w:val="none"/>
                <w:lang w:eastAsia="zh-CN"/>
              </w:rPr>
              <w:t>，且</w:t>
            </w:r>
            <w:r>
              <w:rPr>
                <w:rFonts w:hint="eastAsia" w:ascii="宋体" w:hAnsi="宋体" w:eastAsia="宋体" w:cs="宋体"/>
                <w:bCs w:val="0"/>
                <w:color w:val="auto"/>
                <w:sz w:val="21"/>
                <w:szCs w:val="24"/>
                <w:highlight w:val="none"/>
                <w:lang w:eastAsia="zh-CN"/>
              </w:rPr>
              <w:t>须满足以下最低人员配备要求</w:t>
            </w:r>
            <w:r>
              <w:rPr>
                <w:rFonts w:hint="eastAsia" w:ascii="宋体" w:hAnsi="宋体" w:eastAsia="宋体" w:cs="宋体"/>
                <w:color w:val="auto"/>
                <w:sz w:val="21"/>
                <w:szCs w:val="24"/>
                <w:highlight w:val="none"/>
                <w:lang w:eastAsia="zh-CN"/>
              </w:rPr>
              <w:t>：</w:t>
            </w:r>
          </w:p>
          <w:p w14:paraId="547A620C">
            <w:pPr>
              <w:spacing w:line="340" w:lineRule="exact"/>
              <w:ind w:firstLine="0" w:firstLineChars="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①</w:t>
            </w:r>
            <w:r>
              <w:rPr>
                <w:rFonts w:hint="eastAsia" w:ascii="宋体" w:hAnsi="宋体" w:eastAsia="宋体" w:cs="宋体"/>
                <w:color w:val="auto"/>
                <w:sz w:val="21"/>
                <w:szCs w:val="24"/>
                <w:highlight w:val="none"/>
              </w:rPr>
              <w:t>项目经理</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1人</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拟投入</w:t>
            </w:r>
            <w:r>
              <w:rPr>
                <w:rFonts w:hint="eastAsia" w:ascii="宋体" w:hAnsi="宋体" w:eastAsia="宋体" w:cs="宋体"/>
                <w:color w:val="auto"/>
                <w:sz w:val="21"/>
                <w:szCs w:val="24"/>
                <w:highlight w:val="none"/>
                <w:lang w:eastAsia="zh-CN"/>
              </w:rPr>
              <w:t>的</w:t>
            </w:r>
            <w:r>
              <w:rPr>
                <w:rFonts w:hint="eastAsia" w:ascii="宋体" w:hAnsi="宋体" w:eastAsia="宋体" w:cs="宋体"/>
                <w:color w:val="auto"/>
                <w:sz w:val="21"/>
                <w:szCs w:val="24"/>
                <w:highlight w:val="none"/>
              </w:rPr>
              <w:t>项目经理必须具备建筑工程专业二级以上（含二级）注册建造师执业资格，具备有效的安全生产考核合格证书（B类）</w:t>
            </w:r>
            <w:r>
              <w:rPr>
                <w:rFonts w:hint="eastAsia" w:ascii="宋体" w:hAnsi="宋体" w:eastAsia="宋体" w:cs="宋体"/>
                <w:color w:val="auto"/>
                <w:sz w:val="21"/>
                <w:szCs w:val="24"/>
                <w:highlight w:val="none"/>
                <w:lang w:eastAsia="zh-CN"/>
              </w:rPr>
              <w:t>、</w:t>
            </w:r>
            <w:r>
              <w:rPr>
                <w:rFonts w:hint="eastAsia" w:ascii="宋体" w:hAnsi="宋体" w:eastAsia="宋体" w:cs="宋体"/>
                <w:bCs w:val="0"/>
                <w:color w:val="auto"/>
                <w:sz w:val="21"/>
                <w:szCs w:val="24"/>
                <w:highlight w:val="none"/>
              </w:rPr>
              <w:t>身份证</w:t>
            </w:r>
            <w:r>
              <w:rPr>
                <w:rFonts w:hint="eastAsia" w:ascii="宋体" w:hAnsi="宋体" w:eastAsia="宋体" w:cs="宋体"/>
                <w:color w:val="auto"/>
                <w:sz w:val="21"/>
                <w:szCs w:val="24"/>
                <w:highlight w:val="none"/>
              </w:rPr>
              <w:t>，且未拟派其他在建、已中标（或成交）未开工或已列为其他项目中标（或成交）候选人第一名的建造师作为项目经理（符合桂建管﹝2013﹞17号文及桂建管﹝2016﹞70号</w:t>
            </w:r>
            <w:r>
              <w:rPr>
                <w:rFonts w:hint="eastAsia" w:ascii="宋体" w:hAnsi="宋体" w:eastAsia="宋体" w:cs="宋体"/>
                <w:color w:val="auto"/>
                <w:sz w:val="21"/>
                <w:szCs w:val="24"/>
                <w:highlight w:val="none"/>
                <w:lang w:eastAsia="zh-CN"/>
              </w:rPr>
              <w:t>文</w:t>
            </w:r>
            <w:r>
              <w:rPr>
                <w:rFonts w:hint="eastAsia" w:ascii="宋体" w:hAnsi="宋体" w:eastAsia="宋体" w:cs="宋体"/>
                <w:color w:val="auto"/>
                <w:sz w:val="21"/>
                <w:szCs w:val="24"/>
                <w:highlight w:val="none"/>
              </w:rPr>
              <w:t>除外）。</w:t>
            </w:r>
          </w:p>
          <w:p w14:paraId="1B797120">
            <w:pPr>
              <w:spacing w:line="340" w:lineRule="exact"/>
              <w:ind w:firstLine="0" w:firstLineChars="0"/>
              <w:jc w:val="left"/>
              <w:rPr>
                <w:rFonts w:hint="eastAsia" w:ascii="宋体" w:hAnsi="宋体" w:eastAsia="宋体" w:cs="宋体"/>
                <w:bCs w:val="0"/>
                <w:color w:val="auto"/>
                <w:sz w:val="21"/>
                <w:szCs w:val="24"/>
                <w:highlight w:val="none"/>
                <w:lang w:eastAsia="zh-CN"/>
              </w:rPr>
            </w:pPr>
            <w:r>
              <w:rPr>
                <w:rFonts w:hint="eastAsia" w:ascii="宋体" w:hAnsi="宋体" w:eastAsia="宋体" w:cs="宋体"/>
                <w:color w:val="auto"/>
                <w:sz w:val="21"/>
                <w:szCs w:val="24"/>
                <w:highlight w:val="none"/>
                <w:lang w:eastAsia="zh-CN"/>
              </w:rPr>
              <w:t>②</w:t>
            </w:r>
            <w:r>
              <w:rPr>
                <w:rFonts w:hint="eastAsia" w:ascii="宋体" w:hAnsi="宋体" w:eastAsia="宋体" w:cs="宋体"/>
                <w:bCs w:val="0"/>
                <w:color w:val="auto"/>
                <w:sz w:val="21"/>
                <w:szCs w:val="24"/>
                <w:highlight w:val="none"/>
              </w:rPr>
              <w:t>技术负责人</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1人</w:t>
            </w:r>
            <w:r>
              <w:rPr>
                <w:rFonts w:hint="eastAsia" w:ascii="宋体" w:hAnsi="宋体" w:eastAsia="宋体" w:cs="宋体"/>
                <w:color w:val="auto"/>
                <w:sz w:val="21"/>
                <w:szCs w:val="24"/>
                <w:highlight w:val="none"/>
                <w:lang w:eastAsia="zh-CN"/>
              </w:rPr>
              <w:t>）</w:t>
            </w:r>
            <w:r>
              <w:rPr>
                <w:rFonts w:hint="eastAsia" w:ascii="宋体" w:hAnsi="宋体" w:eastAsia="宋体" w:cs="宋体"/>
                <w:bCs w:val="0"/>
                <w:color w:val="auto"/>
                <w:sz w:val="21"/>
                <w:szCs w:val="24"/>
                <w:highlight w:val="none"/>
                <w:lang w:eastAsia="zh-CN"/>
              </w:rPr>
              <w:t>：</w:t>
            </w:r>
            <w:r>
              <w:rPr>
                <w:rFonts w:hint="eastAsia" w:ascii="宋体" w:hAnsi="宋体" w:eastAsia="宋体" w:cs="宋体"/>
                <w:color w:val="auto"/>
                <w:sz w:val="21"/>
                <w:szCs w:val="24"/>
                <w:highlight w:val="none"/>
              </w:rPr>
              <w:t>拟投入</w:t>
            </w:r>
            <w:r>
              <w:rPr>
                <w:rFonts w:hint="eastAsia" w:ascii="宋体" w:hAnsi="宋体" w:eastAsia="宋体" w:cs="宋体"/>
                <w:color w:val="auto"/>
                <w:sz w:val="21"/>
                <w:szCs w:val="24"/>
                <w:highlight w:val="none"/>
                <w:lang w:eastAsia="zh-CN"/>
              </w:rPr>
              <w:t>的</w:t>
            </w:r>
            <w:r>
              <w:rPr>
                <w:rFonts w:hint="eastAsia" w:ascii="宋体" w:hAnsi="宋体" w:eastAsia="宋体" w:cs="宋体"/>
                <w:bCs w:val="0"/>
                <w:color w:val="auto"/>
                <w:sz w:val="21"/>
                <w:szCs w:val="24"/>
                <w:highlight w:val="none"/>
              </w:rPr>
              <w:t>技术负责人</w:t>
            </w:r>
            <w:r>
              <w:rPr>
                <w:rFonts w:hint="eastAsia" w:ascii="宋体" w:hAnsi="宋体" w:eastAsia="宋体" w:cs="宋体"/>
                <w:bCs w:val="0"/>
                <w:color w:val="auto"/>
                <w:sz w:val="21"/>
                <w:szCs w:val="24"/>
                <w:highlight w:val="none"/>
                <w:lang w:eastAsia="zh-CN"/>
              </w:rPr>
              <w:t>须具有相关专业中级及以上职称</w:t>
            </w:r>
            <w:r>
              <w:rPr>
                <w:rFonts w:hint="eastAsia" w:ascii="宋体" w:hAnsi="宋体" w:eastAsia="宋体" w:cs="宋体"/>
                <w:color w:val="auto"/>
                <w:sz w:val="21"/>
                <w:szCs w:val="24"/>
                <w:highlight w:val="none"/>
                <w:lang w:eastAsia="zh-CN"/>
              </w:rPr>
              <w:t>、</w:t>
            </w:r>
            <w:r>
              <w:rPr>
                <w:rFonts w:hint="eastAsia" w:ascii="宋体" w:hAnsi="宋体" w:eastAsia="宋体" w:cs="宋体"/>
                <w:bCs w:val="0"/>
                <w:color w:val="auto"/>
                <w:sz w:val="21"/>
                <w:szCs w:val="24"/>
                <w:highlight w:val="none"/>
              </w:rPr>
              <w:t>身份证</w:t>
            </w:r>
            <w:r>
              <w:rPr>
                <w:rFonts w:hint="eastAsia" w:ascii="宋体" w:hAnsi="宋体" w:eastAsia="宋体" w:cs="宋体"/>
                <w:bCs w:val="0"/>
                <w:color w:val="auto"/>
                <w:sz w:val="21"/>
                <w:szCs w:val="24"/>
                <w:highlight w:val="none"/>
                <w:lang w:eastAsia="zh-CN"/>
              </w:rPr>
              <w:t>。</w:t>
            </w:r>
          </w:p>
          <w:p w14:paraId="273DD05F">
            <w:pPr>
              <w:spacing w:line="340" w:lineRule="exact"/>
              <w:ind w:firstLine="0" w:firstLineChars="0"/>
              <w:jc w:val="left"/>
              <w:rPr>
                <w:rFonts w:hint="eastAsia" w:ascii="宋体" w:hAnsi="宋体" w:eastAsia="宋体" w:cs="宋体"/>
                <w:bCs w:val="0"/>
                <w:color w:val="auto"/>
                <w:sz w:val="21"/>
                <w:szCs w:val="24"/>
                <w:highlight w:val="none"/>
                <w:lang w:eastAsia="zh-CN"/>
              </w:rPr>
            </w:pPr>
            <w:r>
              <w:rPr>
                <w:rFonts w:hint="eastAsia" w:ascii="宋体" w:hAnsi="宋体" w:eastAsia="宋体" w:cs="宋体"/>
                <w:bCs w:val="0"/>
                <w:color w:val="auto"/>
                <w:sz w:val="21"/>
                <w:szCs w:val="24"/>
                <w:highlight w:val="none"/>
                <w:lang w:eastAsia="zh-CN"/>
              </w:rPr>
              <w:t>③</w:t>
            </w:r>
            <w:r>
              <w:rPr>
                <w:rFonts w:hint="eastAsia" w:ascii="宋体" w:hAnsi="宋体" w:eastAsia="宋体" w:cs="宋体"/>
                <w:bCs w:val="0"/>
                <w:color w:val="auto"/>
                <w:sz w:val="21"/>
                <w:szCs w:val="24"/>
                <w:highlight w:val="none"/>
              </w:rPr>
              <w:t>专职安全生产管理人员</w:t>
            </w:r>
            <w:r>
              <w:rPr>
                <w:rFonts w:hint="eastAsia" w:ascii="宋体" w:hAnsi="宋体" w:eastAsia="宋体" w:cs="宋体"/>
                <w:bCs w:val="0"/>
                <w:color w:val="auto"/>
                <w:sz w:val="21"/>
                <w:szCs w:val="24"/>
                <w:highlight w:val="none"/>
                <w:lang w:eastAsia="zh-CN"/>
              </w:rPr>
              <w:t>（</w:t>
            </w:r>
            <w:r>
              <w:rPr>
                <w:rFonts w:hint="eastAsia" w:ascii="宋体" w:hAnsi="宋体" w:eastAsia="宋体" w:cs="宋体"/>
                <w:bCs w:val="0"/>
                <w:color w:val="auto"/>
                <w:sz w:val="21"/>
                <w:szCs w:val="24"/>
                <w:highlight w:val="none"/>
                <w:lang w:val="en-US" w:eastAsia="zh-CN"/>
              </w:rPr>
              <w:t>1人</w:t>
            </w:r>
            <w:r>
              <w:rPr>
                <w:rFonts w:hint="eastAsia" w:ascii="宋体" w:hAnsi="宋体" w:eastAsia="宋体" w:cs="宋体"/>
                <w:bCs w:val="0"/>
                <w:color w:val="auto"/>
                <w:sz w:val="21"/>
                <w:szCs w:val="24"/>
                <w:highlight w:val="none"/>
                <w:lang w:eastAsia="zh-CN"/>
              </w:rPr>
              <w:t>）：</w:t>
            </w:r>
            <w:r>
              <w:rPr>
                <w:rFonts w:hint="eastAsia" w:ascii="宋体" w:hAnsi="宋体" w:eastAsia="宋体" w:cs="宋体"/>
                <w:color w:val="auto"/>
                <w:sz w:val="21"/>
                <w:szCs w:val="24"/>
                <w:highlight w:val="none"/>
              </w:rPr>
              <w:t>拟投入</w:t>
            </w:r>
            <w:r>
              <w:rPr>
                <w:rFonts w:hint="eastAsia" w:ascii="宋体" w:hAnsi="宋体" w:eastAsia="宋体" w:cs="宋体"/>
                <w:color w:val="auto"/>
                <w:sz w:val="21"/>
                <w:szCs w:val="24"/>
                <w:highlight w:val="none"/>
                <w:lang w:eastAsia="zh-CN"/>
              </w:rPr>
              <w:t>的</w:t>
            </w:r>
            <w:r>
              <w:rPr>
                <w:rFonts w:hint="eastAsia" w:ascii="宋体" w:hAnsi="宋体" w:eastAsia="宋体" w:cs="宋体"/>
                <w:bCs w:val="0"/>
                <w:color w:val="auto"/>
                <w:sz w:val="21"/>
                <w:szCs w:val="24"/>
                <w:highlight w:val="none"/>
              </w:rPr>
              <w:t>专职安全生产管理人员</w:t>
            </w:r>
            <w:r>
              <w:rPr>
                <w:rFonts w:hint="eastAsia" w:ascii="宋体" w:hAnsi="宋体" w:eastAsia="宋体" w:cs="宋体"/>
                <w:bCs w:val="0"/>
                <w:color w:val="auto"/>
                <w:sz w:val="21"/>
                <w:szCs w:val="24"/>
                <w:highlight w:val="none"/>
                <w:lang w:eastAsia="zh-CN"/>
              </w:rPr>
              <w:t>须具有</w:t>
            </w:r>
            <w:r>
              <w:rPr>
                <w:rFonts w:hint="eastAsia" w:ascii="宋体" w:hAnsi="宋体" w:eastAsia="宋体" w:cs="宋体"/>
                <w:bCs w:val="0"/>
                <w:color w:val="auto"/>
                <w:sz w:val="21"/>
                <w:szCs w:val="24"/>
                <w:highlight w:val="none"/>
              </w:rPr>
              <w:t>相应有效的专职安全员安全生产考核合格证书（C类）</w:t>
            </w:r>
            <w:r>
              <w:rPr>
                <w:rFonts w:hint="eastAsia" w:ascii="宋体" w:hAnsi="宋体" w:eastAsia="宋体" w:cs="宋体"/>
                <w:color w:val="auto"/>
                <w:sz w:val="21"/>
                <w:szCs w:val="24"/>
                <w:highlight w:val="none"/>
                <w:lang w:eastAsia="zh-CN"/>
              </w:rPr>
              <w:t>、</w:t>
            </w:r>
            <w:r>
              <w:rPr>
                <w:rFonts w:hint="eastAsia" w:ascii="宋体" w:hAnsi="宋体" w:eastAsia="宋体" w:cs="宋体"/>
                <w:bCs w:val="0"/>
                <w:color w:val="auto"/>
                <w:sz w:val="21"/>
                <w:szCs w:val="24"/>
                <w:highlight w:val="none"/>
              </w:rPr>
              <w:t>身份证</w:t>
            </w:r>
            <w:r>
              <w:rPr>
                <w:rFonts w:hint="eastAsia" w:ascii="宋体" w:hAnsi="宋体" w:eastAsia="宋体" w:cs="宋体"/>
                <w:bCs w:val="0"/>
                <w:color w:val="auto"/>
                <w:sz w:val="21"/>
                <w:szCs w:val="24"/>
                <w:highlight w:val="none"/>
                <w:lang w:eastAsia="zh-CN"/>
              </w:rPr>
              <w:t>。</w:t>
            </w:r>
          </w:p>
          <w:p w14:paraId="3BF1A176">
            <w:pPr>
              <w:spacing w:line="340" w:lineRule="exact"/>
              <w:ind w:firstLine="0" w:firstLineChars="0"/>
              <w:jc w:val="left"/>
              <w:rPr>
                <w:rFonts w:hint="eastAsia" w:ascii="宋体" w:hAnsi="宋体" w:eastAsia="宋体" w:cs="宋体"/>
                <w:bCs w:val="0"/>
                <w:color w:val="auto"/>
                <w:sz w:val="21"/>
                <w:szCs w:val="24"/>
                <w:highlight w:val="none"/>
                <w:lang w:eastAsia="zh-CN"/>
              </w:rPr>
            </w:pPr>
            <w:r>
              <w:rPr>
                <w:rFonts w:hint="eastAsia" w:ascii="宋体" w:hAnsi="宋体" w:eastAsia="宋体" w:cs="宋体"/>
                <w:bCs w:val="0"/>
                <w:color w:val="auto"/>
                <w:sz w:val="21"/>
                <w:szCs w:val="24"/>
                <w:highlight w:val="none"/>
                <w:lang w:eastAsia="zh-CN"/>
              </w:rPr>
              <w:t>④</w:t>
            </w:r>
            <w:r>
              <w:rPr>
                <w:rFonts w:hint="eastAsia" w:ascii="宋体" w:hAnsi="宋体" w:eastAsia="宋体" w:cs="宋体"/>
                <w:bCs w:val="0"/>
                <w:color w:val="auto"/>
                <w:sz w:val="21"/>
                <w:szCs w:val="24"/>
                <w:highlight w:val="none"/>
              </w:rPr>
              <w:t>施工员、质量员、材料员</w:t>
            </w:r>
            <w:r>
              <w:rPr>
                <w:rFonts w:hint="eastAsia" w:ascii="宋体" w:hAnsi="宋体" w:eastAsia="宋体" w:cs="宋体"/>
                <w:bCs w:val="0"/>
                <w:color w:val="auto"/>
                <w:sz w:val="21"/>
                <w:szCs w:val="24"/>
                <w:highlight w:val="none"/>
                <w:lang w:eastAsia="zh-CN"/>
              </w:rPr>
              <w:t>（各配备</w:t>
            </w:r>
            <w:r>
              <w:rPr>
                <w:rFonts w:hint="eastAsia" w:ascii="宋体" w:hAnsi="宋体" w:eastAsia="宋体" w:cs="宋体"/>
                <w:bCs w:val="0"/>
                <w:color w:val="auto"/>
                <w:sz w:val="21"/>
                <w:szCs w:val="24"/>
                <w:highlight w:val="none"/>
                <w:lang w:val="en-US" w:eastAsia="zh-CN"/>
              </w:rPr>
              <w:t>1人</w:t>
            </w:r>
            <w:r>
              <w:rPr>
                <w:rFonts w:hint="eastAsia" w:ascii="宋体" w:hAnsi="宋体" w:eastAsia="宋体" w:cs="宋体"/>
                <w:bCs w:val="0"/>
                <w:color w:val="auto"/>
                <w:sz w:val="21"/>
                <w:szCs w:val="24"/>
                <w:highlight w:val="none"/>
                <w:lang w:eastAsia="zh-CN"/>
              </w:rPr>
              <w:t>）：拟投入的</w:t>
            </w:r>
            <w:r>
              <w:rPr>
                <w:rFonts w:hint="eastAsia" w:ascii="宋体" w:hAnsi="宋体" w:eastAsia="宋体" w:cs="宋体"/>
                <w:bCs w:val="0"/>
                <w:color w:val="auto"/>
                <w:sz w:val="21"/>
                <w:szCs w:val="24"/>
                <w:highlight w:val="none"/>
              </w:rPr>
              <w:t>施工员、质量员、材料员</w:t>
            </w:r>
            <w:r>
              <w:rPr>
                <w:rFonts w:hint="eastAsia" w:ascii="宋体" w:hAnsi="宋体" w:eastAsia="宋体" w:cs="宋体"/>
                <w:bCs w:val="0"/>
                <w:color w:val="auto"/>
                <w:sz w:val="21"/>
                <w:szCs w:val="24"/>
                <w:highlight w:val="none"/>
                <w:lang w:eastAsia="zh-CN"/>
              </w:rPr>
              <w:t>须具有</w:t>
            </w:r>
            <w:r>
              <w:rPr>
                <w:rFonts w:hint="eastAsia" w:ascii="宋体" w:hAnsi="宋体" w:eastAsia="宋体" w:cs="宋体"/>
                <w:bCs w:val="0"/>
                <w:color w:val="auto"/>
                <w:sz w:val="21"/>
                <w:szCs w:val="24"/>
                <w:highlight w:val="none"/>
              </w:rPr>
              <w:t>相应有效的施工现场专业人员职业培训合格证书</w:t>
            </w:r>
            <w:r>
              <w:rPr>
                <w:rFonts w:hint="eastAsia" w:ascii="宋体" w:hAnsi="宋体" w:eastAsia="宋体" w:cs="宋体"/>
                <w:bCs w:val="0"/>
                <w:color w:val="auto"/>
                <w:sz w:val="21"/>
                <w:szCs w:val="24"/>
                <w:highlight w:val="none"/>
                <w:lang w:eastAsia="zh-CN"/>
              </w:rPr>
              <w:t>、</w:t>
            </w:r>
            <w:r>
              <w:rPr>
                <w:rFonts w:hint="eastAsia" w:ascii="宋体" w:hAnsi="宋体" w:eastAsia="宋体" w:cs="宋体"/>
                <w:bCs w:val="0"/>
                <w:color w:val="auto"/>
                <w:sz w:val="21"/>
                <w:szCs w:val="24"/>
                <w:highlight w:val="none"/>
              </w:rPr>
              <w:t>身份证</w:t>
            </w:r>
            <w:r>
              <w:rPr>
                <w:rFonts w:hint="eastAsia" w:ascii="宋体" w:hAnsi="宋体" w:eastAsia="宋体" w:cs="宋体"/>
                <w:bCs w:val="0"/>
                <w:color w:val="auto"/>
                <w:sz w:val="21"/>
                <w:szCs w:val="24"/>
                <w:highlight w:val="none"/>
                <w:lang w:eastAsia="zh-CN"/>
              </w:rPr>
              <w:t>。</w:t>
            </w:r>
          </w:p>
          <w:p w14:paraId="2EC417B7">
            <w:pPr>
              <w:pStyle w:val="19"/>
              <w:ind w:left="0" w:leftChars="0" w:firstLine="0" w:firstLineChars="0"/>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⑤供应商具有</w:t>
            </w:r>
            <w:r>
              <w:rPr>
                <w:rFonts w:hint="eastAsia" w:ascii="宋体" w:hAnsi="宋体" w:cs="宋体"/>
                <w:bCs/>
                <w:color w:val="auto"/>
                <w:sz w:val="21"/>
                <w:szCs w:val="21"/>
                <w:highlight w:val="none"/>
              </w:rPr>
              <w:t>202</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rPr>
              <w:t>年以来任意1个月为</w:t>
            </w:r>
            <w:r>
              <w:rPr>
                <w:rFonts w:hint="eastAsia" w:ascii="宋体" w:hAnsi="宋体" w:cs="宋体"/>
                <w:bCs/>
                <w:color w:val="auto"/>
                <w:sz w:val="21"/>
                <w:szCs w:val="21"/>
                <w:highlight w:val="none"/>
                <w:lang w:eastAsia="zh-CN"/>
              </w:rPr>
              <w:t>以上</w:t>
            </w:r>
            <w:r>
              <w:rPr>
                <w:rFonts w:hint="eastAsia" w:ascii="宋体" w:hAnsi="宋体" w:cs="宋体"/>
                <w:color w:val="auto"/>
                <w:sz w:val="21"/>
                <w:szCs w:val="21"/>
                <w:highlight w:val="none"/>
              </w:rPr>
              <w:t>项目经理</w:t>
            </w:r>
            <w:r>
              <w:rPr>
                <w:rFonts w:hint="eastAsia" w:ascii="宋体" w:hAnsi="宋体" w:cs="宋体"/>
                <w:color w:val="auto"/>
                <w:sz w:val="21"/>
                <w:szCs w:val="21"/>
                <w:highlight w:val="none"/>
                <w:lang w:eastAsia="zh-CN"/>
              </w:rPr>
              <w:t>、</w:t>
            </w:r>
            <w:r>
              <w:rPr>
                <w:rFonts w:hint="eastAsia" w:ascii="宋体" w:hAnsi="宋体" w:cs="宋体"/>
                <w:bCs/>
                <w:color w:val="auto"/>
                <w:sz w:val="21"/>
                <w:szCs w:val="21"/>
                <w:highlight w:val="none"/>
              </w:rPr>
              <w:t>技术负责人</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专职安全生产管理人员</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施工员、质量员、材料员</w:t>
            </w:r>
            <w:r>
              <w:rPr>
                <w:rFonts w:hint="eastAsia" w:ascii="宋体" w:hAnsi="宋体" w:cs="宋体"/>
                <w:bCs/>
                <w:color w:val="auto"/>
                <w:sz w:val="21"/>
                <w:szCs w:val="21"/>
                <w:highlight w:val="none"/>
                <w:lang w:eastAsia="zh-CN"/>
              </w:rPr>
              <w:t>缴纳</w:t>
            </w:r>
            <w:r>
              <w:rPr>
                <w:rFonts w:hint="eastAsia" w:ascii="宋体" w:hAnsi="宋体" w:cs="宋体"/>
                <w:bCs/>
                <w:color w:val="auto"/>
                <w:sz w:val="21"/>
                <w:szCs w:val="21"/>
                <w:highlight w:val="none"/>
              </w:rPr>
              <w:t>的社保证明材料或供应商与其签订的有效劳动合同</w:t>
            </w:r>
            <w:r>
              <w:rPr>
                <w:rFonts w:hint="eastAsia" w:ascii="宋体" w:hAnsi="宋体" w:cs="宋体"/>
                <w:bCs/>
                <w:color w:val="auto"/>
                <w:sz w:val="21"/>
                <w:szCs w:val="21"/>
                <w:highlight w:val="none"/>
                <w:lang w:eastAsia="zh-CN"/>
              </w:rPr>
              <w:t>。</w:t>
            </w:r>
          </w:p>
          <w:p w14:paraId="533D88A3">
            <w:pPr>
              <w:pStyle w:val="19"/>
              <w:ind w:left="0" w:leftChars="0" w:firstLine="0" w:firstLineChars="0"/>
              <w:rPr>
                <w:rFonts w:hint="eastAsia" w:ascii="宋体" w:hAnsi="宋体" w:cs="宋体"/>
                <w:bCs/>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eastAsia" w:ascii="宋体" w:hAnsi="宋体" w:eastAsia="宋体" w:cs="宋体"/>
                <w:color w:val="auto"/>
                <w:sz w:val="21"/>
                <w:szCs w:val="21"/>
                <w:highlight w:val="none"/>
                <w:lang w:eastAsia="zh-CN"/>
              </w:rPr>
              <w:t>文</w:t>
            </w:r>
            <w:r>
              <w:rPr>
                <w:rFonts w:hint="eastAsia" w:ascii="宋体" w:hAnsi="宋体" w:eastAsia="宋体" w:cs="宋体"/>
                <w:color w:val="auto"/>
                <w:sz w:val="21"/>
                <w:szCs w:val="21"/>
                <w:highlight w:val="none"/>
              </w:rPr>
              <w:t>除外）】</w:t>
            </w:r>
            <w:r>
              <w:rPr>
                <w:rFonts w:hint="eastAsia" w:ascii="宋体" w:hAnsi="宋体" w:eastAsia="宋体" w:cs="宋体"/>
                <w:color w:val="auto"/>
                <w:sz w:val="21"/>
                <w:szCs w:val="21"/>
                <w:highlight w:val="none"/>
                <w:lang w:val="en-US" w:eastAsia="zh-CN"/>
              </w:rPr>
              <w:t>。</w:t>
            </w:r>
          </w:p>
        </w:tc>
      </w:tr>
      <w:tr w14:paraId="2091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0F28334">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816" w:type="dxa"/>
            <w:vAlign w:val="center"/>
          </w:tcPr>
          <w:p w14:paraId="42A02DA5">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324" w:type="dxa"/>
            <w:vAlign w:val="center"/>
          </w:tcPr>
          <w:p w14:paraId="1603DEEC">
            <w:pPr>
              <w:spacing w:line="340" w:lineRule="exact"/>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参与电子竞标的准备工作</w:t>
            </w:r>
          </w:p>
        </w:tc>
        <w:tc>
          <w:tcPr>
            <w:tcW w:w="6586" w:type="dxa"/>
            <w:vAlign w:val="center"/>
          </w:tcPr>
          <w:p w14:paraId="2D8BBE41">
            <w:pPr>
              <w:adjustRightInd w:val="0"/>
              <w:snapToGrid w:val="0"/>
              <w:spacing w:line="34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③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650E9821">
            <w:pPr>
              <w:adjustRightInd w:val="0"/>
              <w:snapToGrid w:val="0"/>
              <w:spacing w:line="34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4.2电子竞标具体操作流程参考《政府采购项目电子交易管理操作指南</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供应商》（详见桂林市政府采购网—采购资讯—重要通知）；如遇平台技术问题详询95763或者0771-3381253。</w:t>
            </w:r>
          </w:p>
          <w:p w14:paraId="7BEF25FE">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4.3不论磋商结果如何，供应商均应自行承担所有与磋商有关的全部费用。 </w:t>
            </w:r>
          </w:p>
        </w:tc>
      </w:tr>
      <w:tr w14:paraId="303E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6EAB09F">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816" w:type="dxa"/>
            <w:vAlign w:val="center"/>
          </w:tcPr>
          <w:p w14:paraId="74868AF1">
            <w:pPr>
              <w:spacing w:line="340" w:lineRule="exact"/>
              <w:ind w:firstLine="0" w:firstLineChars="0"/>
              <w:jc w:val="center"/>
              <w:rPr>
                <w:rFonts w:hint="eastAsia" w:ascii="宋体" w:hAnsi="宋体" w:eastAsia="宋体" w:cs="宋体"/>
                <w:color w:val="auto"/>
                <w:kern w:val="0"/>
                <w:position w:val="-2"/>
                <w:sz w:val="21"/>
                <w:szCs w:val="21"/>
                <w:highlight w:val="none"/>
              </w:rPr>
            </w:pPr>
            <w:r>
              <w:rPr>
                <w:rFonts w:hint="eastAsia" w:ascii="宋体" w:hAnsi="宋体" w:eastAsia="宋体" w:cs="宋体"/>
                <w:color w:val="auto"/>
                <w:kern w:val="0"/>
                <w:position w:val="-2"/>
                <w:sz w:val="21"/>
                <w:szCs w:val="21"/>
                <w:highlight w:val="none"/>
              </w:rPr>
              <w:t>13</w:t>
            </w:r>
          </w:p>
        </w:tc>
        <w:tc>
          <w:tcPr>
            <w:tcW w:w="1324" w:type="dxa"/>
            <w:vAlign w:val="center"/>
          </w:tcPr>
          <w:p w14:paraId="688D2ED1">
            <w:pPr>
              <w:spacing w:line="340" w:lineRule="exact"/>
              <w:ind w:firstLine="0" w:firstLineChars="0"/>
              <w:jc w:val="center"/>
              <w:rPr>
                <w:rFonts w:hint="eastAsia" w:ascii="宋体" w:hAnsi="宋体" w:eastAsia="宋体" w:cs="宋体"/>
                <w:color w:val="auto"/>
                <w:kern w:val="0"/>
                <w:position w:val="-2"/>
                <w:sz w:val="21"/>
                <w:szCs w:val="21"/>
                <w:highlight w:val="none"/>
              </w:rPr>
            </w:pPr>
            <w:r>
              <w:rPr>
                <w:rFonts w:hint="eastAsia" w:ascii="宋体" w:hAnsi="宋体" w:eastAsia="宋体" w:cs="宋体"/>
                <w:color w:val="auto"/>
                <w:kern w:val="0"/>
                <w:sz w:val="21"/>
                <w:szCs w:val="21"/>
                <w:highlight w:val="none"/>
              </w:rPr>
              <w:t>磋商报价及采购预算金额</w:t>
            </w:r>
          </w:p>
        </w:tc>
        <w:tc>
          <w:tcPr>
            <w:tcW w:w="6586" w:type="dxa"/>
            <w:vAlign w:val="center"/>
          </w:tcPr>
          <w:p w14:paraId="0B49FE17">
            <w:pPr>
              <w:adjustRightInd w:val="0"/>
              <w:snapToGrid w:val="0"/>
              <w:spacing w:line="34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13.1磋商报价应按磋商文件中相关附件格式填写。</w:t>
            </w:r>
          </w:p>
          <w:p w14:paraId="30A57CFE">
            <w:pPr>
              <w:adjustRightInd w:val="0"/>
              <w:snapToGrid w:val="0"/>
              <w:spacing w:line="34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13.2</w:t>
            </w:r>
            <w:r>
              <w:rPr>
                <w:rFonts w:hint="eastAsia" w:ascii="宋体" w:hAnsi="宋体" w:eastAsia="宋体" w:cs="宋体"/>
                <w:color w:val="auto"/>
                <w:sz w:val="21"/>
                <w:szCs w:val="21"/>
                <w:highlight w:val="none"/>
              </w:rPr>
              <w:t>报价</w:t>
            </w:r>
            <w:r>
              <w:rPr>
                <w:rFonts w:hint="eastAsia" w:ascii="宋体" w:hAnsi="宋体" w:eastAsia="宋体" w:cs="宋体"/>
                <w:bCs/>
                <w:color w:val="auto"/>
                <w:sz w:val="21"/>
                <w:szCs w:val="21"/>
                <w:highlight w:val="none"/>
              </w:rPr>
              <w:t>包括施工设备、主要材料、辅助材料、铺装、垃圾清运、劳务、管理、维护、保险、利润、增值税、政策性文件规定及合同包含的所有风险、责任等各项应有费用。</w:t>
            </w:r>
          </w:p>
          <w:p w14:paraId="2C35DD16">
            <w:pPr>
              <w:adjustRightInd w:val="0"/>
              <w:snapToGrid w:val="0"/>
              <w:spacing w:line="34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磋商货币：响应文件报价中的单价和合价全部采用人民币表示。</w:t>
            </w:r>
          </w:p>
          <w:p w14:paraId="32A2AB39">
            <w:pPr>
              <w:keepNext w:val="0"/>
              <w:keepLines w:val="0"/>
              <w:pageBreakBefore w:val="0"/>
              <w:widowControl w:val="0"/>
              <w:tabs>
                <w:tab w:val="left" w:pos="210"/>
              </w:tabs>
              <w:kinsoku/>
              <w:wordWrap w:val="0"/>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color w:val="auto"/>
                <w:highlight w:val="none"/>
              </w:rPr>
            </w:pPr>
            <w:r>
              <w:rPr>
                <w:rFonts w:hint="eastAsia" w:ascii="宋体" w:hAnsi="宋体" w:eastAsia="宋体" w:cs="宋体"/>
                <w:b/>
                <w:bCs w:val="0"/>
                <w:color w:val="auto"/>
                <w:sz w:val="21"/>
                <w:szCs w:val="21"/>
                <w:highlight w:val="none"/>
              </w:rPr>
              <w:t>13.</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本项目预算金额</w:t>
            </w:r>
            <w:r>
              <w:rPr>
                <w:rFonts w:hint="eastAsia" w:ascii="宋体" w:hAnsi="宋体" w:eastAsia="宋体" w:cs="宋体"/>
                <w:b/>
                <w:bCs w:val="0"/>
                <w:color w:val="auto"/>
                <w:sz w:val="21"/>
                <w:szCs w:val="21"/>
                <w:highlight w:val="none"/>
                <w:lang w:eastAsia="zh-CN"/>
              </w:rPr>
              <w:t>及最高限价</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本项目预算金额为</w:t>
            </w:r>
            <w:r>
              <w:rPr>
                <w:rFonts w:hint="eastAsia" w:ascii="宋体" w:hAnsi="宋体" w:cs="宋体"/>
                <w:b/>
                <w:bCs w:val="0"/>
                <w:color w:val="auto"/>
                <w:sz w:val="21"/>
                <w:szCs w:val="21"/>
                <w:highlight w:val="none"/>
                <w:lang w:eastAsia="zh-CN"/>
              </w:rPr>
              <w:t>叁佰零肆万陆仟零肆拾叁元捌角整</w:t>
            </w:r>
            <w:r>
              <w:rPr>
                <w:rFonts w:hint="eastAsia" w:ascii="宋体" w:hAnsi="宋体" w:eastAsia="宋体" w:cs="宋体"/>
                <w:b/>
                <w:bCs w:val="0"/>
                <w:color w:val="auto"/>
                <w:sz w:val="21"/>
                <w:szCs w:val="21"/>
                <w:highlight w:val="none"/>
                <w:lang w:eastAsia="zh-CN"/>
              </w:rPr>
              <w:t>（¥</w:t>
            </w:r>
            <w:r>
              <w:rPr>
                <w:rFonts w:hint="eastAsia" w:ascii="宋体" w:hAnsi="宋体" w:cs="宋体"/>
                <w:b/>
                <w:bCs w:val="0"/>
                <w:color w:val="auto"/>
                <w:sz w:val="21"/>
                <w:szCs w:val="21"/>
                <w:highlight w:val="none"/>
                <w:lang w:val="en-US" w:eastAsia="zh-CN"/>
              </w:rPr>
              <w:t>3046043.80</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，最高限价为：人民币</w:t>
            </w:r>
            <w:r>
              <w:rPr>
                <w:rFonts w:hint="eastAsia" w:ascii="宋体" w:hAnsi="宋体" w:cs="宋体"/>
                <w:b/>
                <w:bCs w:val="0"/>
                <w:color w:val="auto"/>
                <w:sz w:val="21"/>
                <w:szCs w:val="21"/>
                <w:highlight w:val="none"/>
                <w:lang w:val="en-US" w:eastAsia="zh-CN"/>
              </w:rPr>
              <w:t>叁佰零肆万陆仟零肆拾叁元捌角整</w:t>
            </w:r>
            <w:r>
              <w:rPr>
                <w:rFonts w:hint="eastAsia" w:ascii="宋体" w:hAnsi="宋体" w:eastAsia="宋体" w:cs="宋体"/>
                <w:b/>
                <w:bCs w:val="0"/>
                <w:color w:val="auto"/>
                <w:sz w:val="21"/>
                <w:szCs w:val="21"/>
                <w:highlight w:val="none"/>
                <w:lang w:eastAsia="zh-CN"/>
              </w:rPr>
              <w:t>（¥</w:t>
            </w:r>
            <w:r>
              <w:rPr>
                <w:rFonts w:hint="eastAsia" w:ascii="宋体" w:hAnsi="宋体" w:cs="宋体"/>
                <w:b/>
                <w:bCs w:val="0"/>
                <w:color w:val="auto"/>
                <w:sz w:val="21"/>
                <w:szCs w:val="21"/>
                <w:highlight w:val="none"/>
                <w:lang w:val="en-US" w:eastAsia="zh-CN"/>
              </w:rPr>
              <w:t>3046043.80</w:t>
            </w:r>
            <w:r>
              <w:rPr>
                <w:rFonts w:hint="eastAsia" w:ascii="宋体" w:hAnsi="宋体" w:eastAsia="宋体" w:cs="宋体"/>
                <w:b/>
                <w:bCs w:val="0"/>
                <w:color w:val="auto"/>
                <w:sz w:val="21"/>
                <w:szCs w:val="21"/>
                <w:highlight w:val="none"/>
                <w:lang w:eastAsia="zh-CN"/>
              </w:rPr>
              <w:t>）。供应商的磋商报价及相应采购标的报价不得高于上述相应最高限价，否则响应文件按无效处理。</w:t>
            </w:r>
          </w:p>
        </w:tc>
      </w:tr>
      <w:tr w14:paraId="42A3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1F3E5CA">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816" w:type="dxa"/>
            <w:vAlign w:val="center"/>
          </w:tcPr>
          <w:p w14:paraId="64C35C49">
            <w:pPr>
              <w:spacing w:line="340" w:lineRule="exact"/>
              <w:ind w:firstLine="0" w:firstLineChars="0"/>
              <w:jc w:val="center"/>
              <w:rPr>
                <w:rFonts w:hint="eastAsia" w:ascii="宋体" w:hAnsi="宋体" w:eastAsia="宋体" w:cs="宋体"/>
                <w:color w:val="auto"/>
                <w:kern w:val="0"/>
                <w:position w:val="-2"/>
                <w:sz w:val="21"/>
                <w:szCs w:val="21"/>
                <w:highlight w:val="none"/>
              </w:rPr>
            </w:pPr>
            <w:r>
              <w:rPr>
                <w:rFonts w:hint="eastAsia" w:ascii="宋体" w:hAnsi="宋体" w:eastAsia="宋体" w:cs="宋体"/>
                <w:color w:val="auto"/>
                <w:kern w:val="0"/>
                <w:position w:val="-2"/>
                <w:sz w:val="21"/>
                <w:szCs w:val="21"/>
                <w:highlight w:val="none"/>
              </w:rPr>
              <w:t>14</w:t>
            </w:r>
          </w:p>
        </w:tc>
        <w:tc>
          <w:tcPr>
            <w:tcW w:w="1324" w:type="dxa"/>
            <w:vAlign w:val="center"/>
          </w:tcPr>
          <w:p w14:paraId="35B8378F">
            <w:pPr>
              <w:spacing w:line="340" w:lineRule="exact"/>
              <w:ind w:firstLine="0" w:firstLineChars="0"/>
              <w:jc w:val="center"/>
              <w:rPr>
                <w:rFonts w:hint="eastAsia" w:ascii="宋体" w:hAnsi="宋体" w:eastAsia="宋体" w:cs="宋体"/>
                <w:color w:val="auto"/>
                <w:kern w:val="0"/>
                <w:position w:val="-2"/>
                <w:sz w:val="21"/>
                <w:szCs w:val="21"/>
                <w:highlight w:val="none"/>
              </w:rPr>
            </w:pPr>
            <w:r>
              <w:rPr>
                <w:rFonts w:hint="eastAsia" w:ascii="宋体" w:hAnsi="宋体" w:eastAsia="宋体" w:cs="宋体"/>
                <w:color w:val="auto"/>
                <w:kern w:val="0"/>
                <w:sz w:val="21"/>
                <w:szCs w:val="21"/>
                <w:highlight w:val="none"/>
              </w:rPr>
              <w:t>响应文件有效期</w:t>
            </w:r>
          </w:p>
        </w:tc>
        <w:tc>
          <w:tcPr>
            <w:tcW w:w="6586" w:type="dxa"/>
            <w:vAlign w:val="center"/>
          </w:tcPr>
          <w:p w14:paraId="77383705">
            <w:pPr>
              <w:tabs>
                <w:tab w:val="left" w:pos="1305"/>
              </w:tabs>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自响应文件提交截止时间之日起90天，有效期不足的响应文件将被拒绝。</w:t>
            </w:r>
          </w:p>
        </w:tc>
      </w:tr>
      <w:tr w14:paraId="45EE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FD72EB8">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816" w:type="dxa"/>
            <w:vAlign w:val="center"/>
          </w:tcPr>
          <w:p w14:paraId="1D280996">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324" w:type="dxa"/>
            <w:vAlign w:val="center"/>
          </w:tcPr>
          <w:p w14:paraId="24047092">
            <w:pPr>
              <w:spacing w:line="340" w:lineRule="exact"/>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电子响应文件的制作、加密</w:t>
            </w:r>
          </w:p>
        </w:tc>
        <w:tc>
          <w:tcPr>
            <w:tcW w:w="6586" w:type="dxa"/>
            <w:vAlign w:val="center"/>
          </w:tcPr>
          <w:p w14:paraId="595F69E7">
            <w:pPr>
              <w:snapToGrid w:val="0"/>
              <w:spacing w:line="340" w:lineRule="exact"/>
              <w:ind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15.1</w:t>
            </w:r>
            <w:r>
              <w:rPr>
                <w:rFonts w:hint="eastAsia" w:ascii="宋体" w:hAnsi="宋体" w:eastAsia="宋体" w:cs="宋体"/>
                <w:bCs/>
                <w:color w:val="auto"/>
                <w:sz w:val="21"/>
                <w:szCs w:val="21"/>
                <w:highlight w:val="none"/>
              </w:rPr>
              <w:t>供应商制作电子响应文件前，应登录广西政府采购云平台进行“申请获取采购文件”操作，否则，将导致无法在线编制响应文件并参与竞标，其不利后果由供应商自行承担。</w:t>
            </w:r>
          </w:p>
          <w:p w14:paraId="3C6EAD18">
            <w:pPr>
              <w:snapToGrid w:val="0"/>
              <w:spacing w:line="340" w:lineRule="exact"/>
              <w:ind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15.2供应商下载或获取竞争性磋商文件后，登录广西政府采购云平台，按照本磋商文件</w:t>
            </w:r>
            <w:r>
              <w:rPr>
                <w:rFonts w:hint="eastAsia" w:ascii="宋体" w:hAnsi="宋体" w:eastAsia="宋体" w:cs="宋体"/>
                <w:color w:val="auto"/>
                <w:sz w:val="21"/>
                <w:szCs w:val="21"/>
                <w:highlight w:val="none"/>
              </w:rPr>
              <w:t>规定的响应文件格式、顺序</w:t>
            </w:r>
            <w:r>
              <w:rPr>
                <w:rFonts w:hint="eastAsia" w:ascii="宋体" w:hAnsi="宋体" w:eastAsia="宋体" w:cs="宋体"/>
                <w:bCs/>
                <w:color w:val="auto"/>
                <w:sz w:val="21"/>
                <w:szCs w:val="21"/>
                <w:highlight w:val="none"/>
              </w:rPr>
              <w:t>以及广西政府采购云平台的要求，通过广西政府采购云平台编制电子响应文件。</w:t>
            </w:r>
          </w:p>
          <w:p w14:paraId="7CF333F4">
            <w:pPr>
              <w:snapToGrid w:val="0"/>
              <w:spacing w:line="34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w:t>
            </w:r>
            <w:r>
              <w:rPr>
                <w:rFonts w:hint="eastAsia" w:ascii="宋体" w:hAnsi="宋体" w:eastAsia="宋体" w:cs="宋体"/>
                <w:color w:val="auto"/>
                <w:sz w:val="21"/>
                <w:szCs w:val="24"/>
                <w:highlight w:val="none"/>
              </w:rPr>
              <w:t>供应商应按</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sz w:val="21"/>
                <w:szCs w:val="24"/>
                <w:highlight w:val="none"/>
              </w:rPr>
              <w:t>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191D075D">
            <w:pPr>
              <w:snapToGrid w:val="0"/>
              <w:spacing w:line="34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电子响应文件不得涂改，若有修改错漏处，须由法定代表人或授权委托代理人签字（或电子签名）。因响应文件字迹潦草、表达不清、内容不完整、编排混乱导致响应文件被误读、漏读，或者在按竞争性磋商文件规定的部位查找不到相关内容的，其不利后果由供应商自行承担。</w:t>
            </w:r>
          </w:p>
          <w:p w14:paraId="09B027AC">
            <w:pPr>
              <w:snapToGrid w:val="0"/>
              <w:spacing w:line="340" w:lineRule="exac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15.5供应商编制、生成电子响应文件后应当</w:t>
            </w:r>
            <w:r>
              <w:rPr>
                <w:rFonts w:hint="eastAsia" w:ascii="宋体" w:hAnsi="宋体" w:eastAsia="宋体" w:cs="宋体"/>
                <w:bCs/>
                <w:color w:val="auto"/>
                <w:sz w:val="21"/>
                <w:szCs w:val="21"/>
                <w:highlight w:val="none"/>
              </w:rPr>
              <w:t>加密响应文件。供应商未按规定编制并加密的响应文件，广西政府采购云平台将予以拒收。</w:t>
            </w:r>
          </w:p>
        </w:tc>
      </w:tr>
      <w:tr w14:paraId="7F3C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E18F019">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816" w:type="dxa"/>
            <w:vAlign w:val="center"/>
          </w:tcPr>
          <w:p w14:paraId="4DBFE911">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15.6</w:t>
            </w:r>
          </w:p>
        </w:tc>
        <w:tc>
          <w:tcPr>
            <w:tcW w:w="1324" w:type="dxa"/>
            <w:vAlign w:val="center"/>
          </w:tcPr>
          <w:p w14:paraId="565CFFED">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供应商公章及签字</w:t>
            </w:r>
          </w:p>
        </w:tc>
        <w:tc>
          <w:tcPr>
            <w:tcW w:w="6586" w:type="dxa"/>
            <w:vAlign w:val="center"/>
          </w:tcPr>
          <w:p w14:paraId="48D2FD44">
            <w:pPr>
              <w:snapToGrid w:val="0"/>
              <w:spacing w:line="380" w:lineRule="exact"/>
              <w:ind w:firstLine="0" w:firstLineChars="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14:paraId="614AEF32">
            <w:pPr>
              <w:snapToGrid w:val="0"/>
              <w:spacing w:line="380" w:lineRule="exact"/>
              <w:ind w:firstLine="0" w:firstLineChars="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12C734AC">
            <w:pPr>
              <w:snapToGrid w:val="0"/>
              <w:spacing w:line="340" w:lineRule="exact"/>
              <w:ind w:firstLine="0" w:firstLineChars="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15.6.3本竞争性磋商文件所称的“电子签章</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电子签名”，是指经</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sz w:val="21"/>
                <w:szCs w:val="24"/>
                <w:highlight w:val="none"/>
              </w:rPr>
              <w:t>认可的CA认证的电子签名数据为表现形式的印章，可用于签署电子响应文件，电子签章与实物印章、电子签名与手写签名具有同等法律效力，不因其采用电子化表现形式而否定其法律效力</w:t>
            </w:r>
            <w:r>
              <w:rPr>
                <w:rFonts w:hint="eastAsia" w:ascii="宋体" w:hAnsi="宋体" w:eastAsia="宋体" w:cs="宋体"/>
                <w:color w:val="auto"/>
                <w:sz w:val="21"/>
                <w:szCs w:val="21"/>
                <w:highlight w:val="none"/>
              </w:rPr>
              <w:t>。</w:t>
            </w:r>
          </w:p>
        </w:tc>
      </w:tr>
      <w:tr w14:paraId="02DF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B2F698E">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816" w:type="dxa"/>
            <w:vAlign w:val="center"/>
          </w:tcPr>
          <w:p w14:paraId="74F144EC">
            <w:pPr>
              <w:spacing w:line="3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24" w:type="dxa"/>
            <w:vAlign w:val="center"/>
          </w:tcPr>
          <w:p w14:paraId="66EE17DB">
            <w:pPr>
              <w:spacing w:line="3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首次响应文件的提交、撤回、修改</w:t>
            </w:r>
          </w:p>
        </w:tc>
        <w:tc>
          <w:tcPr>
            <w:tcW w:w="6586" w:type="dxa"/>
            <w:vAlign w:val="center"/>
          </w:tcPr>
          <w:p w14:paraId="57160BCB">
            <w:pPr>
              <w:spacing w:line="34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16.1响应文件的提交截止时间：</w:t>
            </w:r>
            <w:r>
              <w:rPr>
                <w:rFonts w:hint="eastAsia" w:ascii="宋体" w:hAnsi="宋体" w:eastAsia="宋体" w:cs="宋体"/>
                <w:color w:val="auto"/>
                <w:sz w:val="21"/>
                <w:szCs w:val="21"/>
                <w:highlight w:val="none"/>
                <w:u w:val="single"/>
                <w:lang w:eastAsia="zh-CN"/>
              </w:rPr>
              <w:t>2026年</w:t>
            </w:r>
            <w:r>
              <w:rPr>
                <w:rFonts w:hint="eastAsia" w:ascii="宋体" w:hAnsi="宋体" w:cs="宋体"/>
                <w:color w:val="auto"/>
                <w:sz w:val="21"/>
                <w:szCs w:val="21"/>
                <w:highlight w:val="none"/>
                <w:u w:val="single"/>
                <w:lang w:val="en-US" w:eastAsia="zh-CN"/>
              </w:rPr>
              <w:t>7月3日</w:t>
            </w:r>
            <w:r>
              <w:rPr>
                <w:rFonts w:hint="eastAsia" w:ascii="宋体" w:hAnsi="宋体" w:eastAsia="宋体" w:cs="宋体"/>
                <w:color w:val="auto"/>
                <w:sz w:val="21"/>
                <w:szCs w:val="21"/>
                <w:highlight w:val="none"/>
                <w:u w:val="single"/>
              </w:rPr>
              <w:t>上午9</w:t>
            </w:r>
            <w:r>
              <w:rPr>
                <w:rFonts w:hint="eastAsia" w:ascii="宋体" w:hAnsi="宋体" w:eastAsia="宋体" w:cs="宋体"/>
                <w:bCs/>
                <w:color w:val="auto"/>
                <w:sz w:val="21"/>
                <w:szCs w:val="21"/>
                <w:highlight w:val="none"/>
                <w:u w:val="single"/>
              </w:rPr>
              <w:t>时30分</w:t>
            </w:r>
            <w:r>
              <w:rPr>
                <w:rFonts w:hint="eastAsia" w:ascii="宋体" w:hAnsi="宋体" w:eastAsia="宋体" w:cs="宋体"/>
                <w:bCs/>
                <w:color w:val="auto"/>
                <w:sz w:val="21"/>
                <w:szCs w:val="21"/>
                <w:highlight w:val="none"/>
              </w:rPr>
              <w:t>（北京时间）</w:t>
            </w:r>
          </w:p>
          <w:p w14:paraId="03CF3F6B">
            <w:pPr>
              <w:spacing w:line="3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16.2地点：通过</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sz w:val="21"/>
                <w:szCs w:val="21"/>
                <w:highlight w:val="none"/>
              </w:rPr>
              <w:t>在线提交。</w:t>
            </w:r>
          </w:p>
          <w:p w14:paraId="40C0A916">
            <w:pPr>
              <w:adjustRightInd w:val="0"/>
              <w:snapToGrid w:val="0"/>
              <w:spacing w:line="34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宋体"/>
                <w:color w:val="auto"/>
                <w:kern w:val="0"/>
                <w:sz w:val="21"/>
                <w:szCs w:val="21"/>
                <w:highlight w:val="none"/>
              </w:rPr>
              <w:t>在响应文件提交截止时间后的响应文件有效期内，供应商不得撤回其响应文件。</w:t>
            </w:r>
            <w:r>
              <w:rPr>
                <w:rFonts w:hint="eastAsia" w:ascii="宋体" w:hAnsi="宋体" w:eastAsia="宋体" w:cs="宋体"/>
                <w:bCs/>
                <w:color w:val="auto"/>
                <w:sz w:val="21"/>
                <w:szCs w:val="21"/>
                <w:highlight w:val="none"/>
              </w:rPr>
              <w:t>响应文件提交截止时间止未成功将电子响应文件上传广西政府采购云平台的，视为未提交响应文件。</w:t>
            </w:r>
          </w:p>
          <w:p w14:paraId="3A239A31">
            <w:pPr>
              <w:tabs>
                <w:tab w:val="left" w:pos="1305"/>
              </w:tabs>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16.4除竞争性磋商文件另有规定外，供应商所提交的响应文件不予退还。</w:t>
            </w:r>
          </w:p>
        </w:tc>
      </w:tr>
      <w:tr w14:paraId="64D0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5899AB3">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816" w:type="dxa"/>
            <w:vAlign w:val="center"/>
          </w:tcPr>
          <w:p w14:paraId="4B009354">
            <w:pPr>
              <w:spacing w:line="3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324" w:type="dxa"/>
            <w:vAlign w:val="center"/>
          </w:tcPr>
          <w:p w14:paraId="7020E73D">
            <w:pPr>
              <w:spacing w:line="3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响应文件的解密</w:t>
            </w:r>
          </w:p>
        </w:tc>
        <w:tc>
          <w:tcPr>
            <w:tcW w:w="6586" w:type="dxa"/>
            <w:vAlign w:val="center"/>
          </w:tcPr>
          <w:p w14:paraId="3953F450">
            <w:pPr>
              <w:tabs>
                <w:tab w:val="left" w:pos="1305"/>
              </w:tabs>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响应文件提交截止时间后，采购代理机构开启解密响应文件操作，</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kern w:val="0"/>
                <w:sz w:val="21"/>
                <w:szCs w:val="21"/>
                <w:highlight w:val="none"/>
              </w:rPr>
              <w:t>向各供应商发出电子加密响应文件解密通知，由供应商在系统发出解密通知后30分钟内自行使用加密时的CA通过“项目采购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标评标”功能对响应文件进行解密。若供应商在上述规定的时间内无法解密或解密失败的，可以在响应文件解密截止时间后30分钟内向采购代理机构现场提交电子备份响应文件（接收电子备份响应文件的电子邮箱为：guilinyl@vip.sina.com）；供应商未在上述规定的时间、电子邮箱提交的电子备份响应文件，采购代理机构不予接收或承认。采购代理机构收到电子备份响应文件后按</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kern w:val="0"/>
                <w:sz w:val="21"/>
                <w:szCs w:val="21"/>
                <w:highlight w:val="none"/>
              </w:rPr>
              <w:t>操作规范上传至</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kern w:val="0"/>
                <w:sz w:val="21"/>
                <w:szCs w:val="21"/>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的情况），视为供应商放弃磋商。</w:t>
            </w:r>
          </w:p>
        </w:tc>
      </w:tr>
      <w:tr w14:paraId="295E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E49B31B">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816" w:type="dxa"/>
            <w:vAlign w:val="center"/>
          </w:tcPr>
          <w:p w14:paraId="5C68EAFF">
            <w:pPr>
              <w:spacing w:line="340" w:lineRule="exact"/>
              <w:ind w:firstLine="105" w:firstLineChars="50"/>
              <w:jc w:val="center"/>
              <w:rPr>
                <w:rFonts w:hint="eastAsia" w:ascii="宋体" w:hAnsi="宋体" w:eastAsia="宋体" w:cs="宋体"/>
                <w:color w:val="auto"/>
                <w:kern w:val="0"/>
                <w:position w:val="-2"/>
                <w:sz w:val="21"/>
                <w:szCs w:val="21"/>
                <w:highlight w:val="none"/>
              </w:rPr>
            </w:pPr>
            <w:r>
              <w:rPr>
                <w:rFonts w:hint="eastAsia" w:ascii="宋体" w:hAnsi="宋体" w:eastAsia="宋体" w:cs="宋体"/>
                <w:color w:val="auto"/>
                <w:kern w:val="0"/>
                <w:position w:val="-2"/>
                <w:sz w:val="21"/>
                <w:szCs w:val="21"/>
                <w:highlight w:val="none"/>
              </w:rPr>
              <w:t>18.1</w:t>
            </w:r>
          </w:p>
        </w:tc>
        <w:tc>
          <w:tcPr>
            <w:tcW w:w="1324" w:type="dxa"/>
            <w:vAlign w:val="center"/>
          </w:tcPr>
          <w:p w14:paraId="400C30D2">
            <w:pPr>
              <w:spacing w:line="3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磋商小组组成</w:t>
            </w:r>
          </w:p>
        </w:tc>
        <w:tc>
          <w:tcPr>
            <w:tcW w:w="6586" w:type="dxa"/>
            <w:vAlign w:val="center"/>
          </w:tcPr>
          <w:p w14:paraId="2EB9CF9E">
            <w:pPr>
              <w:tabs>
                <w:tab w:val="left" w:pos="1140"/>
              </w:tabs>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磋商及评审组织工作由采购代理机构负责，具体磋商、评审工作由依法组建的磋商小组负责，磋商小组由采购人代表和</w:t>
            </w:r>
            <w:r>
              <w:rPr>
                <w:rFonts w:hint="eastAsia" w:ascii="宋体" w:hAnsi="宋体" w:eastAsia="宋体" w:cs="宋体"/>
                <w:color w:val="auto"/>
                <w:kern w:val="0"/>
                <w:sz w:val="21"/>
                <w:szCs w:val="21"/>
                <w:highlight w:val="none"/>
                <w:lang w:eastAsia="zh-CN"/>
              </w:rPr>
              <w:t>评审专家</w:t>
            </w:r>
            <w:r>
              <w:rPr>
                <w:rFonts w:hint="eastAsia" w:ascii="宋体" w:hAnsi="宋体" w:eastAsia="宋体" w:cs="宋体"/>
                <w:color w:val="auto"/>
                <w:kern w:val="0"/>
                <w:sz w:val="21"/>
                <w:szCs w:val="21"/>
                <w:highlight w:val="none"/>
              </w:rPr>
              <w:t>3人组成，其中评审专家人数不得少于磋商小组成员总数的2/3。</w:t>
            </w:r>
          </w:p>
        </w:tc>
      </w:tr>
      <w:tr w14:paraId="49CC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F21CA1B">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816" w:type="dxa"/>
            <w:vAlign w:val="center"/>
          </w:tcPr>
          <w:p w14:paraId="3E5332BE">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18.2</w:t>
            </w:r>
          </w:p>
        </w:tc>
        <w:tc>
          <w:tcPr>
            <w:tcW w:w="1324" w:type="dxa"/>
            <w:vAlign w:val="center"/>
          </w:tcPr>
          <w:p w14:paraId="18CE8110">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磋商时间、地点、人员</w:t>
            </w:r>
          </w:p>
        </w:tc>
        <w:tc>
          <w:tcPr>
            <w:tcW w:w="6586" w:type="dxa"/>
          </w:tcPr>
          <w:p w14:paraId="4539F4B7">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18.2.1 磋商时间：首次响应文件提交截止时间后。</w:t>
            </w:r>
          </w:p>
          <w:p w14:paraId="5B6DE945">
            <w:pPr>
              <w:spacing w:line="34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18.2.2 磋商地点：</w:t>
            </w:r>
            <w:r>
              <w:rPr>
                <w:rFonts w:hint="eastAsia" w:ascii="宋体" w:hAnsi="宋体" w:eastAsia="宋体" w:cs="宋体"/>
                <w:bCs/>
                <w:color w:val="auto"/>
                <w:sz w:val="21"/>
                <w:szCs w:val="21"/>
                <w:highlight w:val="none"/>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229ADF46">
            <w:pPr>
              <w:spacing w:line="34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18.2.3磋商参加人员：供应商法定代表人或相应的委托代理人参加磋商。请供应商实时登录广西政府采购云平台等候在线磋商。</w:t>
            </w:r>
          </w:p>
          <w:p w14:paraId="2A7446CA">
            <w:pPr>
              <w:spacing w:line="3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18.2.4 首次响应文件提交截止时间后，登录广西政府采购云平台在线解密开启。</w:t>
            </w:r>
          </w:p>
        </w:tc>
      </w:tr>
      <w:tr w14:paraId="3B4D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88" w:type="dxa"/>
            <w:vAlign w:val="center"/>
          </w:tcPr>
          <w:p w14:paraId="44CBD27A">
            <w:pPr>
              <w:spacing w:line="340" w:lineRule="exact"/>
              <w:ind w:firstLine="0" w:firstLineChars="0"/>
              <w:jc w:val="center"/>
              <w:rPr>
                <w:rFonts w:hint="eastAsia" w:ascii="宋体" w:hAnsi="宋体" w:eastAsia="宋体" w:cs="宋体"/>
                <w:color w:val="auto"/>
                <w:kern w:val="0"/>
                <w:position w:val="-2"/>
                <w:sz w:val="21"/>
                <w:szCs w:val="21"/>
                <w:highlight w:val="none"/>
              </w:rPr>
            </w:pPr>
            <w:r>
              <w:rPr>
                <w:rFonts w:hint="eastAsia" w:ascii="宋体" w:hAnsi="宋体" w:eastAsia="宋体" w:cs="宋体"/>
                <w:color w:val="auto"/>
                <w:kern w:val="0"/>
                <w:position w:val="-2"/>
                <w:sz w:val="21"/>
                <w:szCs w:val="21"/>
                <w:highlight w:val="none"/>
              </w:rPr>
              <w:t>12</w:t>
            </w:r>
          </w:p>
        </w:tc>
        <w:tc>
          <w:tcPr>
            <w:tcW w:w="816" w:type="dxa"/>
            <w:vAlign w:val="center"/>
          </w:tcPr>
          <w:p w14:paraId="5A56723A">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19.2</w:t>
            </w:r>
          </w:p>
        </w:tc>
        <w:tc>
          <w:tcPr>
            <w:tcW w:w="1324" w:type="dxa"/>
            <w:vAlign w:val="center"/>
          </w:tcPr>
          <w:p w14:paraId="41690817">
            <w:pPr>
              <w:spacing w:line="340" w:lineRule="exact"/>
              <w:ind w:left="34" w:leftChars="14"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评审办法</w:t>
            </w:r>
          </w:p>
        </w:tc>
        <w:tc>
          <w:tcPr>
            <w:tcW w:w="6586" w:type="dxa"/>
            <w:vAlign w:val="center"/>
          </w:tcPr>
          <w:p w14:paraId="75683F35">
            <w:pPr>
              <w:spacing w:line="3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综合评分法，具体详见第</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章“评审办法”。</w:t>
            </w:r>
          </w:p>
        </w:tc>
      </w:tr>
      <w:tr w14:paraId="2E43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0EB4023">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816" w:type="dxa"/>
            <w:vAlign w:val="center"/>
          </w:tcPr>
          <w:p w14:paraId="4C083E41">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w:t>
            </w:r>
          </w:p>
        </w:tc>
        <w:tc>
          <w:tcPr>
            <w:tcW w:w="1324" w:type="dxa"/>
            <w:vAlign w:val="center"/>
          </w:tcPr>
          <w:p w14:paraId="73491EA6">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信用查询</w:t>
            </w:r>
          </w:p>
        </w:tc>
        <w:tc>
          <w:tcPr>
            <w:tcW w:w="6586" w:type="dxa"/>
            <w:vAlign w:val="center"/>
          </w:tcPr>
          <w:p w14:paraId="5729BABE">
            <w:pPr>
              <w:spacing w:line="340" w:lineRule="exact"/>
              <w:ind w:left="73" w:leftChars="20" w:hanging="25" w:hangingChars="1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根据《关于做好政府采购有关信用主体标识码登记及在政府采购活动中查询使用信用记录有关问题的通知》（桂财采〔2016〕37），由采购代理机构对第一</w:t>
            </w:r>
            <w:r>
              <w:rPr>
                <w:rFonts w:hint="eastAsia" w:ascii="宋体" w:hAnsi="宋体" w:eastAsia="宋体" w:cs="宋体"/>
                <w:color w:val="auto"/>
                <w:kern w:val="0"/>
                <w:sz w:val="21"/>
                <w:szCs w:val="21"/>
                <w:highlight w:val="none"/>
                <w:lang w:eastAsia="zh-CN"/>
              </w:rPr>
              <w:t>成交候选供应商</w:t>
            </w:r>
            <w:r>
              <w:rPr>
                <w:rFonts w:hint="eastAsia" w:ascii="宋体" w:hAnsi="宋体" w:eastAsia="宋体" w:cs="宋体"/>
                <w:color w:val="auto"/>
                <w:kern w:val="0"/>
                <w:sz w:val="21"/>
                <w:szCs w:val="21"/>
                <w:highlight w:val="none"/>
              </w:rPr>
              <w:t>进行信用查询：</w:t>
            </w:r>
          </w:p>
          <w:p w14:paraId="76EDEF59">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（1）查询渠道：“信用中国”网站</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www.creditchina.gov.cn</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、中国政府采购网</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www.ccgp.gov.cn</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等；</w:t>
            </w:r>
          </w:p>
          <w:p w14:paraId="210431DB">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（2）查询截止时间：成交通知书发出前；</w:t>
            </w:r>
          </w:p>
          <w:p w14:paraId="38F9503D">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（3）信用信息查询记录和证据留存方式：在查询网站中直接打印查询记录，打印材料作为采购活动资料保存；</w:t>
            </w:r>
          </w:p>
          <w:p w14:paraId="4F87F80B">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信用信息使用规则：对在“信用中国”网站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www.creditchina.gov.cn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www.ccgp.gov.cn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等渠道列入失信被执行人、重大税收违法失信主体、政府采购严重违法失信行为记录名单及其他不符合《中华人民共和国政府采购法》第二十二条规定条件的供应商，取消其</w:t>
            </w:r>
            <w:r>
              <w:rPr>
                <w:rFonts w:hint="eastAsia" w:ascii="宋体" w:hAnsi="宋体" w:eastAsia="宋体" w:cs="宋体"/>
                <w:color w:val="auto"/>
                <w:sz w:val="21"/>
                <w:szCs w:val="21"/>
                <w:highlight w:val="none"/>
                <w:lang w:eastAsia="zh-CN"/>
              </w:rPr>
              <w:t>成交候选供应商</w:t>
            </w:r>
            <w:r>
              <w:rPr>
                <w:rFonts w:hint="eastAsia" w:ascii="宋体" w:hAnsi="宋体" w:eastAsia="宋体" w:cs="宋体"/>
                <w:color w:val="auto"/>
                <w:sz w:val="21"/>
                <w:szCs w:val="21"/>
                <w:highlight w:val="none"/>
              </w:rPr>
              <w:t>资格。</w:t>
            </w:r>
          </w:p>
        </w:tc>
      </w:tr>
      <w:tr w14:paraId="324C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56658E8">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816" w:type="dxa"/>
            <w:vAlign w:val="center"/>
          </w:tcPr>
          <w:p w14:paraId="726DB630">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w:t>
            </w:r>
          </w:p>
        </w:tc>
        <w:tc>
          <w:tcPr>
            <w:tcW w:w="1324" w:type="dxa"/>
            <w:vAlign w:val="center"/>
          </w:tcPr>
          <w:p w14:paraId="75F33DA7">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成交公告</w:t>
            </w:r>
          </w:p>
          <w:p w14:paraId="0F91375E">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及成交通知书</w:t>
            </w:r>
          </w:p>
        </w:tc>
        <w:tc>
          <w:tcPr>
            <w:tcW w:w="6586" w:type="dxa"/>
          </w:tcPr>
          <w:p w14:paraId="5105C2D3">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27.1 采购代理机构于评审结束后两个工作日内将评审报告送交采购人，采购人应当自收到评审报告五个工作日内在评审报告推荐的成交候选供应商中按顺序确定</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，采购代理机构在</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确定之日起两个工作日内发出成交通知书，并在指定媒体上公告成交信息。</w:t>
            </w:r>
          </w:p>
          <w:p w14:paraId="651002E6">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27.3在发布成交公告的同时，采购代理机构向</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发出成交通知书。</w:t>
            </w:r>
          </w:p>
        </w:tc>
      </w:tr>
      <w:tr w14:paraId="2D9E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D9F8DDC">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816" w:type="dxa"/>
            <w:vAlign w:val="center"/>
          </w:tcPr>
          <w:p w14:paraId="5D120477">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w:t>
            </w:r>
          </w:p>
        </w:tc>
        <w:tc>
          <w:tcPr>
            <w:tcW w:w="1324" w:type="dxa"/>
            <w:vAlign w:val="center"/>
          </w:tcPr>
          <w:p w14:paraId="17423761">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w:t>
            </w:r>
          </w:p>
        </w:tc>
        <w:tc>
          <w:tcPr>
            <w:tcW w:w="6586" w:type="dxa"/>
            <w:vAlign w:val="center"/>
          </w:tcPr>
          <w:p w14:paraId="62533829">
            <w:pPr>
              <w:snapToGrid w:val="0"/>
              <w:spacing w:line="380" w:lineRule="exact"/>
              <w:ind w:firstLine="0" w:firstLineChars="0"/>
              <w:outlineLvl w:val="4"/>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本项目专门面向</w:t>
            </w:r>
            <w:r>
              <w:rPr>
                <w:rFonts w:hint="eastAsia" w:ascii="宋体" w:hAnsi="宋体" w:cs="宋体"/>
                <w:color w:val="auto"/>
                <w:kern w:val="0"/>
                <w:sz w:val="21"/>
                <w:szCs w:val="21"/>
                <w:highlight w:val="none"/>
                <w:lang w:eastAsia="zh-CN"/>
              </w:rPr>
              <w:t>中小微企业</w:t>
            </w:r>
            <w:r>
              <w:rPr>
                <w:rFonts w:hint="eastAsia" w:ascii="宋体" w:hAnsi="宋体" w:eastAsia="宋体" w:cs="宋体"/>
                <w:color w:val="auto"/>
                <w:kern w:val="0"/>
                <w:sz w:val="21"/>
                <w:szCs w:val="21"/>
                <w:highlight w:val="none"/>
              </w:rPr>
              <w:t>采购，不收取履约保证金。</w:t>
            </w:r>
          </w:p>
        </w:tc>
      </w:tr>
      <w:tr w14:paraId="0BC7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37CE1E7">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816" w:type="dxa"/>
            <w:vAlign w:val="center"/>
          </w:tcPr>
          <w:p w14:paraId="58F32B64">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29.1</w:t>
            </w:r>
          </w:p>
        </w:tc>
        <w:tc>
          <w:tcPr>
            <w:tcW w:w="1324" w:type="dxa"/>
            <w:vAlign w:val="center"/>
          </w:tcPr>
          <w:p w14:paraId="03D47851">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签订合同时间</w:t>
            </w:r>
          </w:p>
        </w:tc>
        <w:tc>
          <w:tcPr>
            <w:tcW w:w="6586" w:type="dxa"/>
            <w:vAlign w:val="center"/>
          </w:tcPr>
          <w:p w14:paraId="09187EDD">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成交通知书发出之日起8个工作日内。供应商应按规定与采购人签订合同。</w:t>
            </w:r>
          </w:p>
        </w:tc>
      </w:tr>
      <w:tr w14:paraId="0398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5D345F6">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816" w:type="dxa"/>
            <w:vAlign w:val="center"/>
          </w:tcPr>
          <w:p w14:paraId="152F994E">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29.3</w:t>
            </w:r>
          </w:p>
        </w:tc>
        <w:tc>
          <w:tcPr>
            <w:tcW w:w="1324" w:type="dxa"/>
            <w:vAlign w:val="center"/>
          </w:tcPr>
          <w:p w14:paraId="5E18FBE2">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政府采购合同公告</w:t>
            </w:r>
          </w:p>
        </w:tc>
        <w:tc>
          <w:tcPr>
            <w:tcW w:w="6586" w:type="dxa"/>
            <w:vAlign w:val="center"/>
          </w:tcPr>
          <w:p w14:paraId="7F83EFEE">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采购人应当自政府采购合同签订之日起2个工作日内，将政府采购合同在省级以上人民政府财政部门指定的媒体上公告，但政府采购合同中涉及国家秘密、商业秘密的内容除外。</w:t>
            </w:r>
          </w:p>
        </w:tc>
      </w:tr>
      <w:tr w14:paraId="1189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9B57021">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816" w:type="dxa"/>
            <w:vAlign w:val="center"/>
          </w:tcPr>
          <w:p w14:paraId="109B5E62">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w:t>
            </w:r>
          </w:p>
        </w:tc>
        <w:tc>
          <w:tcPr>
            <w:tcW w:w="1324" w:type="dxa"/>
            <w:vAlign w:val="center"/>
          </w:tcPr>
          <w:p w14:paraId="33809883">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采购代理服务费</w:t>
            </w:r>
          </w:p>
        </w:tc>
        <w:tc>
          <w:tcPr>
            <w:tcW w:w="6586" w:type="dxa"/>
          </w:tcPr>
          <w:p w14:paraId="6767BB4B">
            <w:pPr>
              <w:snapToGrid w:val="0"/>
              <w:spacing w:line="380" w:lineRule="exact"/>
              <w:ind w:firstLine="0" w:firstLineChars="0"/>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本项目的采购代理服务收费标准参照计价格〔2002〕1980号《招标代理服务收费管理暂行办法》工程类收费标准（不足6000元的，按6000元收取。）向成交人收取，由成交人在领取成交通知书前，向采购代理机构一次付清代理服务费</w:t>
            </w:r>
            <w:r>
              <w:rPr>
                <w:rFonts w:hint="eastAsia" w:ascii="宋体" w:hAnsi="宋体" w:eastAsia="宋体" w:cs="宋体"/>
                <w:color w:val="auto"/>
                <w:kern w:val="0"/>
                <w:sz w:val="21"/>
                <w:szCs w:val="21"/>
                <w:highlight w:val="none"/>
              </w:rPr>
              <w:t>。</w:t>
            </w:r>
          </w:p>
        </w:tc>
      </w:tr>
      <w:tr w14:paraId="6265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5AC12C2">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816" w:type="dxa"/>
            <w:vAlign w:val="center"/>
          </w:tcPr>
          <w:p w14:paraId="4558920A">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w:t>
            </w:r>
          </w:p>
        </w:tc>
        <w:tc>
          <w:tcPr>
            <w:tcW w:w="1324" w:type="dxa"/>
            <w:vAlign w:val="center"/>
          </w:tcPr>
          <w:p w14:paraId="71E7633F">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解释权</w:t>
            </w:r>
          </w:p>
        </w:tc>
        <w:tc>
          <w:tcPr>
            <w:tcW w:w="6586" w:type="dxa"/>
          </w:tcPr>
          <w:p w14:paraId="54D74B04">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本竞争性磋商文件是根据《中华人民共和国政府采购法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中华人民共和国政府采购法实施条例</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政府采购竞争性磋商采购方式管理暂行办法》和政府采购管理有关规定编制，本竞争性磋商文件的解释权属于采购代理机构。</w:t>
            </w:r>
          </w:p>
        </w:tc>
      </w:tr>
      <w:tr w14:paraId="0C9B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441A439">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816" w:type="dxa"/>
            <w:vAlign w:val="center"/>
          </w:tcPr>
          <w:p w14:paraId="15461745">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w:t>
            </w:r>
          </w:p>
        </w:tc>
        <w:tc>
          <w:tcPr>
            <w:tcW w:w="1324" w:type="dxa"/>
            <w:vAlign w:val="center"/>
          </w:tcPr>
          <w:p w14:paraId="3CF76F95">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监督管理机构</w:t>
            </w:r>
          </w:p>
        </w:tc>
        <w:tc>
          <w:tcPr>
            <w:tcW w:w="6586" w:type="dxa"/>
            <w:vAlign w:val="center"/>
          </w:tcPr>
          <w:p w14:paraId="7B8085D6">
            <w:pPr>
              <w:spacing w:line="340" w:lineRule="exact"/>
              <w:ind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阳朔县财政局</w:t>
            </w:r>
            <w:r>
              <w:rPr>
                <w:rFonts w:hint="eastAsia" w:ascii="宋体" w:hAnsi="宋体" w:eastAsia="宋体" w:cs="宋体"/>
                <w:color w:val="auto"/>
                <w:kern w:val="0"/>
                <w:sz w:val="21"/>
                <w:szCs w:val="21"/>
                <w:highlight w:val="none"/>
              </w:rPr>
              <w:t xml:space="preserve">    联系电话：</w:t>
            </w:r>
            <w:r>
              <w:rPr>
                <w:rFonts w:hint="eastAsia" w:ascii="宋体" w:hAnsi="宋体" w:eastAsia="宋体" w:cs="宋体"/>
                <w:color w:val="auto"/>
                <w:kern w:val="0"/>
                <w:sz w:val="21"/>
                <w:szCs w:val="21"/>
                <w:highlight w:val="none"/>
                <w:lang w:eastAsia="zh-CN"/>
              </w:rPr>
              <w:t>0773-8811598</w:t>
            </w:r>
          </w:p>
        </w:tc>
      </w:tr>
      <w:tr w14:paraId="2AF7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DD9CA90">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w:t>
            </w:r>
          </w:p>
        </w:tc>
        <w:tc>
          <w:tcPr>
            <w:tcW w:w="816" w:type="dxa"/>
            <w:vAlign w:val="center"/>
          </w:tcPr>
          <w:p w14:paraId="673CBD7E">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w:t>
            </w:r>
          </w:p>
        </w:tc>
        <w:tc>
          <w:tcPr>
            <w:tcW w:w="1324" w:type="dxa"/>
            <w:vAlign w:val="center"/>
          </w:tcPr>
          <w:p w14:paraId="203E7A0B">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中小企业</w:t>
            </w:r>
          </w:p>
        </w:tc>
        <w:tc>
          <w:tcPr>
            <w:tcW w:w="6586" w:type="dxa"/>
            <w:vAlign w:val="center"/>
          </w:tcPr>
          <w:p w14:paraId="17DCC7B9">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kern w:val="0"/>
                <w:sz w:val="21"/>
                <w:szCs w:val="21"/>
                <w:highlight w:val="none"/>
              </w:rPr>
              <w:t>根据《政府采购促进中小企业发展管理办法》（财库〔2020〕46号）的规定，本磋商文件所称</w:t>
            </w:r>
            <w:r>
              <w:rPr>
                <w:rFonts w:hint="eastAsia" w:ascii="宋体" w:hAnsi="宋体" w:cs="宋体"/>
                <w:color w:val="auto"/>
                <w:kern w:val="0"/>
                <w:sz w:val="21"/>
                <w:szCs w:val="21"/>
                <w:highlight w:val="none"/>
                <w:lang w:eastAsia="zh-CN"/>
              </w:rPr>
              <w:t>中小微企业</w:t>
            </w:r>
            <w:r>
              <w:rPr>
                <w:rFonts w:hint="eastAsia" w:ascii="宋体" w:hAnsi="宋体" w:eastAsia="宋体" w:cs="宋体"/>
                <w:color w:val="auto"/>
                <w:kern w:val="0"/>
                <w:sz w:val="21"/>
                <w:szCs w:val="21"/>
                <w:highlight w:val="none"/>
              </w:rPr>
              <w:t>，是指在中华人民共和国境内依法设立，</w:t>
            </w:r>
            <w:r>
              <w:rPr>
                <w:rFonts w:hint="eastAsia" w:ascii="宋体" w:hAnsi="宋体" w:cs="宋体"/>
                <w:color w:val="auto"/>
                <w:kern w:val="0"/>
                <w:sz w:val="21"/>
                <w:szCs w:val="21"/>
                <w:highlight w:val="none"/>
                <w:lang w:eastAsia="zh-CN"/>
              </w:rPr>
              <w:t>依据国务院批准的中小企业划分标准确定的中型企业、小型企业和微型企业</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但与大企业的负责人为同 一人，或者与大企业存在直接控股、管理关系的除外</w:t>
            </w:r>
            <w:r>
              <w:rPr>
                <w:rFonts w:hint="eastAsia" w:ascii="宋体" w:hAnsi="宋体" w:eastAsia="宋体" w:cs="宋体"/>
                <w:color w:val="auto"/>
                <w:kern w:val="0"/>
                <w:sz w:val="21"/>
                <w:szCs w:val="21"/>
                <w:highlight w:val="none"/>
              </w:rPr>
              <w:t>。</w:t>
            </w:r>
          </w:p>
          <w:p w14:paraId="0BE6C1E0">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color w:val="auto"/>
                <w:kern w:val="0"/>
                <w:sz w:val="21"/>
                <w:szCs w:val="21"/>
                <w:highlight w:val="none"/>
              </w:rPr>
              <w:t>本项目</w:t>
            </w:r>
            <w:r>
              <w:rPr>
                <w:rFonts w:hint="eastAsia" w:ascii="宋体" w:hAnsi="宋体" w:eastAsia="宋体" w:cs="宋体"/>
                <w:color w:val="auto"/>
                <w:kern w:val="0"/>
                <w:sz w:val="21"/>
                <w:szCs w:val="21"/>
                <w:highlight w:val="none"/>
                <w:lang w:eastAsia="zh-CN"/>
              </w:rPr>
              <w:t>标的</w:t>
            </w:r>
            <w:r>
              <w:rPr>
                <w:rFonts w:hint="eastAsia" w:ascii="宋体" w:hAnsi="宋体" w:eastAsia="宋体" w:cs="宋体"/>
                <w:color w:val="auto"/>
                <w:kern w:val="0"/>
                <w:sz w:val="21"/>
                <w:szCs w:val="21"/>
                <w:highlight w:val="none"/>
              </w:rPr>
              <w:t>所属行业为建筑业。</w:t>
            </w:r>
          </w:p>
          <w:p w14:paraId="2EA874A9">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关于印发中小企业划型标准规定的通知》（工信部联企业〔2011〕300号）的规定，建筑业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F903969">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color w:val="auto"/>
                <w:kern w:val="0"/>
                <w:sz w:val="21"/>
                <w:szCs w:val="21"/>
                <w:highlight w:val="none"/>
              </w:rPr>
              <w:t>供应商确定自身属于上述定义的</w:t>
            </w:r>
            <w:r>
              <w:rPr>
                <w:rFonts w:hint="eastAsia" w:ascii="宋体" w:hAnsi="宋体" w:cs="宋体"/>
                <w:color w:val="auto"/>
                <w:kern w:val="0"/>
                <w:sz w:val="21"/>
                <w:szCs w:val="21"/>
                <w:highlight w:val="none"/>
                <w:lang w:eastAsia="zh-CN"/>
              </w:rPr>
              <w:t>中小微企业</w:t>
            </w:r>
            <w:r>
              <w:rPr>
                <w:rFonts w:hint="eastAsia" w:ascii="宋体" w:hAnsi="宋体" w:eastAsia="宋体" w:cs="宋体"/>
                <w:color w:val="auto"/>
                <w:kern w:val="0"/>
                <w:sz w:val="21"/>
                <w:szCs w:val="21"/>
                <w:highlight w:val="none"/>
              </w:rPr>
              <w:t>时，应按第</w:t>
            </w:r>
            <w:r>
              <w:rPr>
                <w:rFonts w:hint="eastAsia" w:ascii="宋体" w:hAnsi="宋体" w:eastAsia="宋体" w:cs="宋体"/>
                <w:color w:val="auto"/>
                <w:kern w:val="0"/>
                <w:sz w:val="21"/>
                <w:szCs w:val="21"/>
                <w:highlight w:val="none"/>
                <w:lang w:eastAsia="zh-CN"/>
              </w:rPr>
              <w:t>六</w:t>
            </w:r>
            <w:r>
              <w:rPr>
                <w:rFonts w:hint="eastAsia" w:ascii="宋体" w:hAnsi="宋体" w:eastAsia="宋体" w:cs="宋体"/>
                <w:color w:val="auto"/>
                <w:kern w:val="0"/>
                <w:sz w:val="21"/>
                <w:szCs w:val="21"/>
                <w:highlight w:val="none"/>
              </w:rPr>
              <w:t>章“响应文件格式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提供相应的《中小企业声明函》，否则评审时不予认定。任何单位和个人不得要求供应商提供《中小企业声明函》之外的中小企业身份证明文件。</w:t>
            </w:r>
          </w:p>
        </w:tc>
      </w:tr>
      <w:tr w14:paraId="265F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66A17C0">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w:t>
            </w:r>
          </w:p>
        </w:tc>
        <w:tc>
          <w:tcPr>
            <w:tcW w:w="816" w:type="dxa"/>
            <w:vAlign w:val="center"/>
          </w:tcPr>
          <w:p w14:paraId="0F1E114C">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w:t>
            </w:r>
          </w:p>
        </w:tc>
        <w:tc>
          <w:tcPr>
            <w:tcW w:w="1324" w:type="dxa"/>
            <w:vAlign w:val="center"/>
          </w:tcPr>
          <w:p w14:paraId="0F8A3D58">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监狱企业</w:t>
            </w:r>
          </w:p>
        </w:tc>
        <w:tc>
          <w:tcPr>
            <w:tcW w:w="6586" w:type="dxa"/>
            <w:vAlign w:val="center"/>
          </w:tcPr>
          <w:p w14:paraId="45601D4E">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kern w:val="0"/>
                <w:sz w:val="21"/>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5105FE">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color w:val="auto"/>
                <w:kern w:val="0"/>
                <w:sz w:val="21"/>
                <w:szCs w:val="21"/>
                <w:highlight w:val="none"/>
              </w:rPr>
              <w:t>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tc>
      </w:tr>
      <w:tr w14:paraId="6930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ACF0773">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w:t>
            </w:r>
          </w:p>
        </w:tc>
        <w:tc>
          <w:tcPr>
            <w:tcW w:w="816" w:type="dxa"/>
            <w:vAlign w:val="center"/>
          </w:tcPr>
          <w:p w14:paraId="335D9FCB">
            <w:pPr>
              <w:spacing w:line="34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w:t>
            </w:r>
          </w:p>
        </w:tc>
        <w:tc>
          <w:tcPr>
            <w:tcW w:w="1324" w:type="dxa"/>
            <w:vAlign w:val="center"/>
          </w:tcPr>
          <w:p w14:paraId="29C8007F">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残疾人福利性单位</w:t>
            </w:r>
          </w:p>
        </w:tc>
        <w:tc>
          <w:tcPr>
            <w:tcW w:w="6586" w:type="dxa"/>
            <w:vAlign w:val="center"/>
          </w:tcPr>
          <w:p w14:paraId="78C7C221">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37.1</w:t>
            </w:r>
            <w:r>
              <w:rPr>
                <w:rFonts w:hint="eastAsia" w:ascii="宋体" w:hAnsi="宋体" w:eastAsia="宋体" w:cs="宋体"/>
                <w:color w:val="auto"/>
                <w:kern w:val="0"/>
                <w:sz w:val="21"/>
                <w:szCs w:val="21"/>
                <w:highlight w:val="none"/>
              </w:rPr>
              <w:t xml:space="preserve"> 根据《关于促进残疾人就业政府采购政策的通知》（财库〔2017〕141号）的规定，享受政府采购支持政策的残疾人福利性单位应当同时满足以下条件：</w:t>
            </w:r>
          </w:p>
          <w:p w14:paraId="226F5C75">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（1）安置的残疾人占本单位在职职工人数的比例不低于25%（含25%），并且安置的残疾人人数不少于10人（含10人）；</w:t>
            </w:r>
          </w:p>
          <w:p w14:paraId="253AC0B5">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（2）依法与安置的每位残疾人签订了一年以上（含一年）的劳动合同或服务协议；</w:t>
            </w:r>
          </w:p>
          <w:p w14:paraId="59FFAF2D">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（3）为安置的每位残疾人按月足额缴纳了基本养老保险、基本医疗保险、失业保险、工伤保险和生育保险等社会保险费；</w:t>
            </w:r>
          </w:p>
          <w:p w14:paraId="40F03FDE">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（4）通过银行等金融机构向安置的每位残疾人，按月支付了不低于单位所在区县适用的经省级人民政府批准的月最低工资标准的工资；</w:t>
            </w:r>
          </w:p>
          <w:p w14:paraId="5BCEFE6A">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（5）提供本单位制造的货物、承担的工程或者服务（以下简称产品），或者提供其他残疾人福利性单位制造的货物（不包括使用非残疾人福利性单位注册商标的货物）。</w:t>
            </w:r>
          </w:p>
          <w:p w14:paraId="2F030F63">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w:t>
            </w:r>
            <w:r>
              <w:rPr>
                <w:rFonts w:hint="eastAsia" w:ascii="宋体" w:hAnsi="宋体" w:eastAsia="宋体" w:cs="宋体"/>
                <w:color w:val="auto"/>
                <w:spacing w:val="-4"/>
                <w:kern w:val="0"/>
                <w:sz w:val="21"/>
                <w:szCs w:val="21"/>
                <w:highlight w:val="none"/>
              </w:rPr>
              <w:t>福利性单位建立劳动关系并依法签订劳动合同或者服务协议的雇员人数。</w:t>
            </w:r>
          </w:p>
          <w:p w14:paraId="23720B81">
            <w:pPr>
              <w:spacing w:line="3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37.2</w:t>
            </w:r>
            <w:r>
              <w:rPr>
                <w:rFonts w:hint="eastAsia" w:ascii="宋体" w:hAnsi="宋体" w:eastAsia="宋体" w:cs="宋体"/>
                <w:color w:val="auto"/>
                <w:kern w:val="0"/>
                <w:sz w:val="21"/>
                <w:szCs w:val="21"/>
                <w:highlight w:val="none"/>
              </w:rPr>
              <w:t>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tc>
      </w:tr>
    </w:tbl>
    <w:p w14:paraId="744B529E">
      <w:pPr>
        <w:spacing w:line="380" w:lineRule="exact"/>
        <w:ind w:firstLine="0" w:firstLineChars="0"/>
        <w:jc w:val="center"/>
        <w:rPr>
          <w:rFonts w:hint="eastAsia" w:ascii="宋体" w:hAnsi="宋体" w:eastAsia="宋体" w:cs="宋体"/>
          <w:b/>
          <w:color w:val="auto"/>
          <w:kern w:val="0"/>
          <w:sz w:val="28"/>
          <w:szCs w:val="28"/>
          <w:highlight w:val="none"/>
        </w:rPr>
      </w:pPr>
    </w:p>
    <w:p w14:paraId="08AD6A91">
      <w:pPr>
        <w:widowControl/>
        <w:spacing w:line="240" w:lineRule="auto"/>
        <w:ind w:firstLine="0" w:firstLineChars="0"/>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7FDDF731">
      <w:pPr>
        <w:spacing w:line="380" w:lineRule="exact"/>
        <w:ind w:firstLine="0" w:firstLineChars="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一、总则</w:t>
      </w:r>
    </w:p>
    <w:p w14:paraId="01610DB0">
      <w:pPr>
        <w:spacing w:line="380" w:lineRule="exact"/>
        <w:ind w:firstLine="413" w:firstLineChars="196"/>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1.适</w:t>
      </w:r>
      <w:r>
        <w:rPr>
          <w:rFonts w:hint="eastAsia" w:ascii="宋体" w:hAnsi="宋体" w:eastAsia="宋体" w:cs="宋体"/>
          <w:b/>
          <w:color w:val="auto"/>
          <w:kern w:val="0"/>
          <w:sz w:val="21"/>
          <w:szCs w:val="21"/>
          <w:highlight w:val="none"/>
          <w:lang w:eastAsia="zh-CN"/>
        </w:rPr>
        <w:t>用</w:t>
      </w:r>
      <w:r>
        <w:rPr>
          <w:rFonts w:hint="eastAsia" w:ascii="宋体" w:hAnsi="宋体" w:eastAsia="宋体" w:cs="宋体"/>
          <w:b/>
          <w:color w:val="auto"/>
          <w:kern w:val="0"/>
          <w:sz w:val="21"/>
          <w:szCs w:val="21"/>
          <w:highlight w:val="none"/>
        </w:rPr>
        <w:t>范围</w:t>
      </w:r>
    </w:p>
    <w:p w14:paraId="0356C839">
      <w:pPr>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 项目名称及项目编号：</w:t>
      </w:r>
    </w:p>
    <w:p w14:paraId="334BD76D">
      <w:pPr>
        <w:spacing w:line="380" w:lineRule="exact"/>
        <w:ind w:firstLine="435"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项目名称：</w:t>
      </w:r>
      <w:r>
        <w:rPr>
          <w:rFonts w:hint="eastAsia" w:ascii="宋体" w:hAnsi="宋体" w:cs="宋体"/>
          <w:color w:val="auto"/>
          <w:sz w:val="21"/>
          <w:szCs w:val="24"/>
          <w:highlight w:val="none"/>
          <w:lang w:eastAsia="zh-CN"/>
        </w:rPr>
        <w:t>阳朔县中医药适宜技术推广中心</w:t>
      </w:r>
    </w:p>
    <w:p w14:paraId="7F942FB7">
      <w:pPr>
        <w:spacing w:line="380" w:lineRule="exact"/>
        <w:ind w:firstLine="43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项目编号：</w:t>
      </w:r>
      <w:r>
        <w:rPr>
          <w:rFonts w:hint="eastAsia" w:ascii="宋体" w:hAnsi="宋体" w:cs="宋体"/>
          <w:color w:val="auto"/>
          <w:kern w:val="0"/>
          <w:sz w:val="21"/>
          <w:szCs w:val="21"/>
          <w:highlight w:val="none"/>
          <w:lang w:eastAsia="zh-CN"/>
        </w:rPr>
        <w:t>GLZC2026-C2-210036-GXDY</w:t>
      </w:r>
    </w:p>
    <w:p w14:paraId="1DD4483C">
      <w:pPr>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 本竞争性磋商文件（以下简称磋商文件）适用于本磋商项目的磋商、评审、合同履约、验收、付款等行为（</w:t>
      </w:r>
      <w:r>
        <w:rPr>
          <w:rFonts w:hint="eastAsia" w:ascii="宋体" w:hAnsi="宋体" w:eastAsia="宋体" w:cs="宋体"/>
          <w:color w:val="auto"/>
          <w:kern w:val="0"/>
          <w:sz w:val="21"/>
          <w:szCs w:val="21"/>
          <w:highlight w:val="none"/>
          <w:lang w:eastAsia="zh-CN"/>
        </w:rPr>
        <w:t>法律法规</w:t>
      </w:r>
      <w:r>
        <w:rPr>
          <w:rFonts w:hint="eastAsia" w:ascii="宋体" w:hAnsi="宋体" w:eastAsia="宋体" w:cs="宋体"/>
          <w:color w:val="auto"/>
          <w:kern w:val="0"/>
          <w:sz w:val="21"/>
          <w:szCs w:val="21"/>
          <w:highlight w:val="none"/>
        </w:rPr>
        <w:t>另有规定的，从其规定）。</w:t>
      </w:r>
    </w:p>
    <w:p w14:paraId="73E3F6A4">
      <w:pPr>
        <w:spacing w:line="380" w:lineRule="exact"/>
        <w:ind w:firstLine="435"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2.定义</w:t>
      </w:r>
    </w:p>
    <w:p w14:paraId="0B79F169">
      <w:pPr>
        <w:spacing w:line="380" w:lineRule="exact"/>
        <w:ind w:firstLine="411" w:firstLineChars="19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2.1“采购人”是指：</w:t>
      </w:r>
      <w:r>
        <w:rPr>
          <w:rFonts w:hint="eastAsia" w:ascii="宋体" w:hAnsi="宋体" w:eastAsia="宋体" w:cs="宋体"/>
          <w:color w:val="auto"/>
          <w:sz w:val="21"/>
          <w:szCs w:val="24"/>
          <w:highlight w:val="none"/>
          <w:lang w:eastAsia="zh-CN"/>
        </w:rPr>
        <w:t>阳朔县人民医院</w:t>
      </w:r>
      <w:r>
        <w:rPr>
          <w:rFonts w:hint="eastAsia" w:ascii="宋体" w:hAnsi="宋体" w:eastAsia="宋体" w:cs="宋体"/>
          <w:color w:val="auto"/>
          <w:sz w:val="21"/>
          <w:szCs w:val="24"/>
          <w:highlight w:val="none"/>
        </w:rPr>
        <w:t>。</w:t>
      </w:r>
    </w:p>
    <w:p w14:paraId="602EF81F">
      <w:pPr>
        <w:spacing w:line="380" w:lineRule="exact"/>
        <w:ind w:firstLine="411" w:firstLineChars="19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2.2“采购代理机构”是指：</w:t>
      </w:r>
      <w:r>
        <w:rPr>
          <w:rFonts w:hint="eastAsia" w:ascii="宋体" w:hAnsi="宋体" w:cs="宋体"/>
          <w:color w:val="auto"/>
          <w:kern w:val="0"/>
          <w:sz w:val="21"/>
          <w:szCs w:val="21"/>
          <w:highlight w:val="none"/>
          <w:lang w:eastAsia="zh-CN"/>
        </w:rPr>
        <w:t>广西德元工程项目管理有限责任公司</w:t>
      </w:r>
      <w:r>
        <w:rPr>
          <w:rFonts w:hint="eastAsia" w:ascii="宋体" w:hAnsi="宋体" w:eastAsia="宋体" w:cs="宋体"/>
          <w:color w:val="auto"/>
          <w:kern w:val="0"/>
          <w:sz w:val="21"/>
          <w:szCs w:val="21"/>
          <w:highlight w:val="none"/>
        </w:rPr>
        <w:t>。</w:t>
      </w:r>
    </w:p>
    <w:p w14:paraId="04F1B932">
      <w:pPr>
        <w:spacing w:line="380" w:lineRule="exact"/>
        <w:ind w:firstLine="411" w:firstLineChars="19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2.3“供应商”是指响应本文件要求，参加磋商的法人或者其他组织。如果该供应商在本次磋商中成交，即成为“</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w:t>
      </w:r>
    </w:p>
    <w:p w14:paraId="485A7746">
      <w:pPr>
        <w:spacing w:line="380" w:lineRule="exact"/>
        <w:ind w:firstLine="411" w:firstLineChars="19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2.4“货物”是指各种形态和种类的物品，包括原材料、燃料、设备、产品等。</w:t>
      </w:r>
    </w:p>
    <w:p w14:paraId="519E968A">
      <w:pPr>
        <w:spacing w:line="380" w:lineRule="exact"/>
        <w:ind w:firstLine="411" w:firstLineChars="19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2.5“工程”是指建设工程，包括建筑物和构筑物的新建、改建、扩建、装修、拆除、修缮等。</w:t>
      </w:r>
    </w:p>
    <w:p w14:paraId="4C020B5E">
      <w:pPr>
        <w:spacing w:line="380" w:lineRule="exact"/>
        <w:ind w:firstLine="411" w:firstLineChars="19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2.6“服务”是指除货物和工程以外的其他采购对象。</w:t>
      </w:r>
    </w:p>
    <w:p w14:paraId="057AE9D2">
      <w:pPr>
        <w:spacing w:line="380" w:lineRule="exact"/>
        <w:ind w:firstLine="411" w:firstLineChars="19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2.7“项目”是指供应商按竞争性磋商文件规定向采购人提供的产品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服务</w:t>
      </w:r>
      <w:r>
        <w:rPr>
          <w:rFonts w:hint="eastAsia" w:ascii="宋体" w:hAnsi="宋体" w:eastAsia="宋体" w:cs="宋体"/>
          <w:color w:val="auto"/>
          <w:kern w:val="0"/>
          <w:sz w:val="21"/>
          <w:szCs w:val="21"/>
          <w:highlight w:val="none"/>
          <w:lang w:eastAsia="zh-CN"/>
        </w:rPr>
        <w:t>及工程</w:t>
      </w:r>
      <w:r>
        <w:rPr>
          <w:rFonts w:hint="eastAsia" w:ascii="宋体" w:hAnsi="宋体" w:eastAsia="宋体" w:cs="宋体"/>
          <w:color w:val="auto"/>
          <w:kern w:val="0"/>
          <w:sz w:val="21"/>
          <w:szCs w:val="21"/>
          <w:highlight w:val="none"/>
        </w:rPr>
        <w:t>。</w:t>
      </w:r>
    </w:p>
    <w:p w14:paraId="5768DA81">
      <w:pPr>
        <w:adjustRightInd w:val="0"/>
        <w:snapToGrid w:val="0"/>
        <w:spacing w:line="38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2.8“响应文件”是指：</w:t>
      </w:r>
      <w:r>
        <w:rPr>
          <w:rFonts w:hint="eastAsia" w:ascii="宋体" w:hAnsi="宋体" w:eastAsia="宋体" w:cs="宋体"/>
          <w:b/>
          <w:color w:val="auto"/>
          <w:kern w:val="0"/>
          <w:sz w:val="21"/>
          <w:szCs w:val="21"/>
          <w:highlight w:val="none"/>
        </w:rPr>
        <w:t>本项目实行全流程电子化采购，供应商通过广西政府采购云平台参与电子竞标。响应文件特指供应商按本磋商文件规定提交的电子响应文件（包括因特殊情况无法解密或解密失败提交的电子备份响应文件）。</w:t>
      </w:r>
    </w:p>
    <w:p w14:paraId="6C93700F">
      <w:pPr>
        <w:spacing w:line="380" w:lineRule="exact"/>
        <w:ind w:firstLine="420"/>
        <w:contextualSpacing/>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2.9 实质性要求</w:t>
      </w:r>
      <w:r>
        <w:rPr>
          <w:rFonts w:hint="eastAsia" w:ascii="宋体" w:hAnsi="宋体" w:eastAsia="宋体" w:cs="宋体"/>
          <w:b/>
          <w:color w:val="auto"/>
          <w:sz w:val="21"/>
          <w:szCs w:val="21"/>
          <w:highlight w:val="none"/>
        </w:rPr>
        <w:t>：“实质性要求”是指磋商文件中已经指明不满足则响应文件按无效处理的条款，或者不能负偏离的条款，或者采购需求中带“▲”的条款。实质性要求若有任意一项不满足的，响应文件按无效处理。</w:t>
      </w:r>
    </w:p>
    <w:p w14:paraId="6F3EF08C">
      <w:pPr>
        <w:spacing w:line="380" w:lineRule="exact"/>
        <w:ind w:firstLine="411" w:firstLineChars="19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2.10供应商为其他组织时，本竞争性磋商文件规定的法定代表人指其他组织的负责人本人。本竞争性磋商文件所称负责人是指参加竞标的其他组织营业执照或者执业许可证等证照上载明的负责人。</w:t>
      </w:r>
    </w:p>
    <w:p w14:paraId="5C9F29DD">
      <w:pPr>
        <w:spacing w:line="380" w:lineRule="exact"/>
        <w:ind w:firstLine="42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3.供应商资格</w:t>
      </w:r>
    </w:p>
    <w:p w14:paraId="6115D8A0">
      <w:pPr>
        <w:tabs>
          <w:tab w:val="left" w:pos="1635"/>
        </w:tabs>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3.1满足《中华人民共和国政府采购法》第二十二条规定。</w:t>
      </w:r>
    </w:p>
    <w:p w14:paraId="1E246E0F">
      <w:pPr>
        <w:spacing w:line="4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3.2落实政府采购政策需满足的资格要求：</w:t>
      </w:r>
      <w:r>
        <w:rPr>
          <w:rFonts w:hint="eastAsia" w:ascii="宋体" w:hAnsi="宋体" w:eastAsia="宋体" w:cs="宋体"/>
          <w:color w:val="auto"/>
          <w:sz w:val="21"/>
          <w:szCs w:val="21"/>
          <w:highlight w:val="none"/>
        </w:rPr>
        <w:t>本项目专门面向</w:t>
      </w:r>
      <w:r>
        <w:rPr>
          <w:rFonts w:hint="eastAsia" w:ascii="宋体" w:hAnsi="宋体" w:cs="宋体"/>
          <w:color w:val="auto"/>
          <w:sz w:val="21"/>
          <w:szCs w:val="21"/>
          <w:highlight w:val="none"/>
          <w:lang w:eastAsia="zh-CN"/>
        </w:rPr>
        <w:t>中小微企业</w:t>
      </w:r>
      <w:r>
        <w:rPr>
          <w:rFonts w:hint="eastAsia" w:ascii="宋体" w:hAnsi="宋体" w:eastAsia="宋体" w:cs="宋体"/>
          <w:color w:val="auto"/>
          <w:sz w:val="21"/>
          <w:szCs w:val="21"/>
          <w:highlight w:val="none"/>
        </w:rPr>
        <w:t>采购。供应商应符合《政府采购促进中小企业发展管理办法》（财库﹝2020﹞46号）第二条规定，根据《关于政府采购支持监狱企业发展有关问题的通知》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财库〔2014〕68号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及《关于促进残疾人就业政府采购政策的通知》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财库〔2017〕141号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规定，监狱企业、残疾人福利性单位视同小型、微型企业。</w:t>
      </w:r>
    </w:p>
    <w:p w14:paraId="3AB396AB">
      <w:pPr>
        <w:spacing w:line="400" w:lineRule="exact"/>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3.3本项目的特定资格要求：</w:t>
      </w:r>
    </w:p>
    <w:p w14:paraId="0A29ADE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供应商须具备建筑工程施工总承包三级以上（含三级）资质，同时具备有效的安全生产许可证，并在人员、设备、资金等方面具有相应的履约能力。</w:t>
      </w:r>
    </w:p>
    <w:p w14:paraId="38A41D2C">
      <w:pPr>
        <w:spacing w:line="400" w:lineRule="exact"/>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）供应商提供</w:t>
      </w:r>
      <w:r>
        <w:rPr>
          <w:rFonts w:hint="eastAsia" w:ascii="宋体" w:hAnsi="宋体" w:eastAsia="宋体" w:cs="宋体"/>
          <w:bCs/>
          <w:color w:val="auto"/>
          <w:sz w:val="21"/>
          <w:szCs w:val="21"/>
          <w:highlight w:val="none"/>
        </w:rPr>
        <w:t>项目管理机构组成表</w:t>
      </w:r>
      <w:r>
        <w:rPr>
          <w:rFonts w:hint="eastAsia" w:ascii="宋体" w:hAnsi="宋体" w:eastAsia="宋体" w:cs="宋体"/>
          <w:color w:val="auto"/>
          <w:sz w:val="21"/>
          <w:szCs w:val="21"/>
          <w:highlight w:val="none"/>
          <w:lang w:eastAsia="zh-CN"/>
        </w:rPr>
        <w:t>，且</w:t>
      </w:r>
      <w:r>
        <w:rPr>
          <w:rFonts w:hint="eastAsia" w:ascii="宋体" w:hAnsi="宋体" w:eastAsia="宋体" w:cs="宋体"/>
          <w:bCs/>
          <w:color w:val="auto"/>
          <w:sz w:val="21"/>
          <w:szCs w:val="21"/>
          <w:highlight w:val="none"/>
          <w:lang w:eastAsia="zh-CN"/>
        </w:rPr>
        <w:t>须满足以下最低人员配备要求</w:t>
      </w:r>
      <w:r>
        <w:rPr>
          <w:rFonts w:hint="eastAsia" w:ascii="宋体" w:hAnsi="宋体" w:eastAsia="宋体" w:cs="宋体"/>
          <w:color w:val="auto"/>
          <w:sz w:val="21"/>
          <w:szCs w:val="21"/>
          <w:highlight w:val="none"/>
          <w:lang w:eastAsia="zh-CN"/>
        </w:rPr>
        <w:t>：</w:t>
      </w:r>
    </w:p>
    <w:p w14:paraId="1C82683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rPr>
        <w:t>项目经理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拟投入</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项目经理必须具备建筑工程专业二级以上（含二级）注册建造师执业资格，具备有效的安全生产考核合格证书（B类）</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身份证</w:t>
      </w:r>
      <w:r>
        <w:rPr>
          <w:rFonts w:hint="eastAsia" w:ascii="宋体" w:hAnsi="宋体" w:eastAsia="宋体" w:cs="宋体"/>
          <w:color w:val="auto"/>
          <w:sz w:val="21"/>
          <w:szCs w:val="21"/>
          <w:highlight w:val="none"/>
        </w:rPr>
        <w:t>，且未拟派其他在建、已中标（或成交）未开工或已列为其他项目中标（或成交）候选人第一名的建造师作为项目经理（符合桂建管﹝2013﹞17号文及桂建管﹝2016﹞70号</w:t>
      </w:r>
      <w:r>
        <w:rPr>
          <w:rFonts w:hint="eastAsia" w:ascii="宋体" w:hAnsi="宋体" w:eastAsia="宋体" w:cs="宋体"/>
          <w:color w:val="auto"/>
          <w:sz w:val="21"/>
          <w:szCs w:val="21"/>
          <w:highlight w:val="none"/>
          <w:lang w:eastAsia="zh-CN"/>
        </w:rPr>
        <w:t>文</w:t>
      </w:r>
      <w:r>
        <w:rPr>
          <w:rFonts w:hint="eastAsia" w:ascii="宋体" w:hAnsi="宋体" w:eastAsia="宋体" w:cs="宋体"/>
          <w:color w:val="auto"/>
          <w:sz w:val="21"/>
          <w:szCs w:val="21"/>
          <w:highlight w:val="none"/>
        </w:rPr>
        <w:t>除外）。</w:t>
      </w:r>
    </w:p>
    <w:p w14:paraId="72FB4B71">
      <w:pPr>
        <w:spacing w:line="400" w:lineRule="exact"/>
        <w:ind w:firstLine="42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②</w:t>
      </w:r>
      <w:r>
        <w:rPr>
          <w:rFonts w:hint="eastAsia" w:ascii="宋体" w:hAnsi="宋体" w:eastAsia="宋体" w:cs="宋体"/>
          <w:bCs/>
          <w:color w:val="auto"/>
          <w:sz w:val="21"/>
          <w:szCs w:val="21"/>
          <w:highlight w:val="none"/>
        </w:rPr>
        <w:t>技术负责人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1人</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拟投入</w:t>
      </w:r>
      <w:r>
        <w:rPr>
          <w:rFonts w:hint="eastAsia" w:ascii="宋体" w:hAnsi="宋体" w:eastAsia="宋体" w:cs="宋体"/>
          <w:color w:val="auto"/>
          <w:sz w:val="21"/>
          <w:szCs w:val="21"/>
          <w:highlight w:val="none"/>
          <w:lang w:eastAsia="zh-CN"/>
        </w:rPr>
        <w:t>的</w:t>
      </w:r>
      <w:r>
        <w:rPr>
          <w:rFonts w:hint="eastAsia" w:ascii="宋体" w:hAnsi="宋体" w:eastAsia="宋体" w:cs="宋体"/>
          <w:bCs/>
          <w:color w:val="auto"/>
          <w:sz w:val="21"/>
          <w:szCs w:val="21"/>
          <w:highlight w:val="none"/>
        </w:rPr>
        <w:t>技术负责人</w:t>
      </w:r>
      <w:r>
        <w:rPr>
          <w:rFonts w:hint="eastAsia" w:ascii="宋体" w:hAnsi="宋体" w:eastAsia="宋体" w:cs="宋体"/>
          <w:bCs/>
          <w:color w:val="auto"/>
          <w:sz w:val="21"/>
          <w:szCs w:val="21"/>
          <w:highlight w:val="none"/>
          <w:lang w:eastAsia="zh-CN"/>
        </w:rPr>
        <w:t>须具有相关专业中级及以上职称</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身份证</w:t>
      </w:r>
      <w:r>
        <w:rPr>
          <w:rFonts w:hint="eastAsia" w:ascii="宋体" w:hAnsi="宋体" w:eastAsia="宋体" w:cs="宋体"/>
          <w:bCs/>
          <w:color w:val="auto"/>
          <w:sz w:val="21"/>
          <w:szCs w:val="21"/>
          <w:highlight w:val="none"/>
          <w:lang w:eastAsia="zh-CN"/>
        </w:rPr>
        <w:t>。</w:t>
      </w:r>
    </w:p>
    <w:p w14:paraId="799E9963">
      <w:pPr>
        <w:spacing w:line="400" w:lineRule="exact"/>
        <w:ind w:firstLine="42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③</w:t>
      </w:r>
      <w:r>
        <w:rPr>
          <w:rFonts w:hint="eastAsia" w:ascii="宋体" w:hAnsi="宋体" w:eastAsia="宋体" w:cs="宋体"/>
          <w:bCs/>
          <w:color w:val="auto"/>
          <w:sz w:val="21"/>
          <w:szCs w:val="21"/>
          <w:highlight w:val="none"/>
        </w:rPr>
        <w:t>专职安全生产管理人员</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1人</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拟投入</w:t>
      </w:r>
      <w:r>
        <w:rPr>
          <w:rFonts w:hint="eastAsia" w:ascii="宋体" w:hAnsi="宋体" w:eastAsia="宋体" w:cs="宋体"/>
          <w:color w:val="auto"/>
          <w:sz w:val="21"/>
          <w:szCs w:val="21"/>
          <w:highlight w:val="none"/>
          <w:lang w:eastAsia="zh-CN"/>
        </w:rPr>
        <w:t>的</w:t>
      </w:r>
      <w:r>
        <w:rPr>
          <w:rFonts w:hint="eastAsia" w:ascii="宋体" w:hAnsi="宋体" w:eastAsia="宋体" w:cs="宋体"/>
          <w:bCs/>
          <w:color w:val="auto"/>
          <w:sz w:val="21"/>
          <w:szCs w:val="21"/>
          <w:highlight w:val="none"/>
        </w:rPr>
        <w:t>专职安全生产管理人员</w:t>
      </w:r>
      <w:r>
        <w:rPr>
          <w:rFonts w:hint="eastAsia" w:ascii="宋体" w:hAnsi="宋体" w:eastAsia="宋体" w:cs="宋体"/>
          <w:bCs/>
          <w:color w:val="auto"/>
          <w:sz w:val="21"/>
          <w:szCs w:val="21"/>
          <w:highlight w:val="none"/>
          <w:lang w:eastAsia="zh-CN"/>
        </w:rPr>
        <w:t>须具有</w:t>
      </w:r>
      <w:r>
        <w:rPr>
          <w:rFonts w:hint="eastAsia" w:ascii="宋体" w:hAnsi="宋体" w:eastAsia="宋体" w:cs="宋体"/>
          <w:bCs/>
          <w:color w:val="auto"/>
          <w:sz w:val="21"/>
          <w:szCs w:val="21"/>
          <w:highlight w:val="none"/>
        </w:rPr>
        <w:t>相应有效的专职安全员安全生产考核合格证书（C类）</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身份证</w:t>
      </w:r>
      <w:r>
        <w:rPr>
          <w:rFonts w:hint="eastAsia" w:ascii="宋体" w:hAnsi="宋体" w:eastAsia="宋体" w:cs="宋体"/>
          <w:bCs/>
          <w:color w:val="auto"/>
          <w:sz w:val="21"/>
          <w:szCs w:val="21"/>
          <w:highlight w:val="none"/>
          <w:lang w:eastAsia="zh-CN"/>
        </w:rPr>
        <w:t>。</w:t>
      </w:r>
    </w:p>
    <w:p w14:paraId="0B120025">
      <w:pPr>
        <w:spacing w:line="400" w:lineRule="exact"/>
        <w:ind w:firstLine="42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④</w:t>
      </w:r>
      <w:r>
        <w:rPr>
          <w:rFonts w:hint="eastAsia" w:ascii="宋体" w:hAnsi="宋体" w:eastAsia="宋体" w:cs="宋体"/>
          <w:bCs/>
          <w:color w:val="auto"/>
          <w:sz w:val="21"/>
          <w:szCs w:val="21"/>
          <w:highlight w:val="none"/>
        </w:rPr>
        <w:t>施工员、质量员、材料员</w:t>
      </w:r>
      <w:r>
        <w:rPr>
          <w:rFonts w:hint="eastAsia" w:ascii="宋体" w:hAnsi="宋体" w:eastAsia="宋体" w:cs="宋体"/>
          <w:bCs/>
          <w:color w:val="auto"/>
          <w:sz w:val="21"/>
          <w:szCs w:val="21"/>
          <w:highlight w:val="none"/>
          <w:lang w:eastAsia="zh-CN"/>
        </w:rPr>
        <w:t>（各配备</w:t>
      </w:r>
      <w:r>
        <w:rPr>
          <w:rFonts w:hint="eastAsia" w:ascii="宋体" w:hAnsi="宋体" w:eastAsia="宋体" w:cs="宋体"/>
          <w:bCs/>
          <w:color w:val="auto"/>
          <w:sz w:val="21"/>
          <w:szCs w:val="21"/>
          <w:highlight w:val="none"/>
          <w:lang w:val="en-US" w:eastAsia="zh-CN"/>
        </w:rPr>
        <w:t>1人</w:t>
      </w:r>
      <w:r>
        <w:rPr>
          <w:rFonts w:hint="eastAsia" w:ascii="宋体" w:hAnsi="宋体" w:eastAsia="宋体" w:cs="宋体"/>
          <w:bCs/>
          <w:color w:val="auto"/>
          <w:sz w:val="21"/>
          <w:szCs w:val="21"/>
          <w:highlight w:val="none"/>
          <w:lang w:eastAsia="zh-CN"/>
        </w:rPr>
        <w:t>）：拟投入的</w:t>
      </w:r>
      <w:r>
        <w:rPr>
          <w:rFonts w:hint="eastAsia" w:ascii="宋体" w:hAnsi="宋体" w:eastAsia="宋体" w:cs="宋体"/>
          <w:bCs/>
          <w:color w:val="auto"/>
          <w:sz w:val="21"/>
          <w:szCs w:val="21"/>
          <w:highlight w:val="none"/>
        </w:rPr>
        <w:t>施工员、质量员、材料员</w:t>
      </w:r>
      <w:r>
        <w:rPr>
          <w:rFonts w:hint="eastAsia" w:ascii="宋体" w:hAnsi="宋体" w:eastAsia="宋体" w:cs="宋体"/>
          <w:bCs/>
          <w:color w:val="auto"/>
          <w:sz w:val="21"/>
          <w:szCs w:val="21"/>
          <w:highlight w:val="none"/>
          <w:lang w:eastAsia="zh-CN"/>
        </w:rPr>
        <w:t>须具有</w:t>
      </w:r>
      <w:r>
        <w:rPr>
          <w:rFonts w:hint="eastAsia" w:ascii="宋体" w:hAnsi="宋体" w:eastAsia="宋体" w:cs="宋体"/>
          <w:bCs/>
          <w:color w:val="auto"/>
          <w:sz w:val="21"/>
          <w:szCs w:val="21"/>
          <w:highlight w:val="none"/>
        </w:rPr>
        <w:t>相应有效的施工现场专业人员职业培训合格证书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身份证</w:t>
      </w:r>
      <w:r>
        <w:rPr>
          <w:rFonts w:hint="eastAsia" w:ascii="宋体" w:hAnsi="宋体" w:eastAsia="宋体" w:cs="宋体"/>
          <w:bCs/>
          <w:color w:val="auto"/>
          <w:sz w:val="21"/>
          <w:szCs w:val="21"/>
          <w:highlight w:val="none"/>
          <w:lang w:eastAsia="zh-CN"/>
        </w:rPr>
        <w:t>。</w:t>
      </w:r>
    </w:p>
    <w:p w14:paraId="507055F8">
      <w:pPr>
        <w:tabs>
          <w:tab w:val="left" w:pos="1635"/>
        </w:tabs>
        <w:spacing w:line="380" w:lineRule="exact"/>
        <w:ind w:firstLine="435"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⑤供应商具有</w:t>
      </w:r>
      <w:r>
        <w:rPr>
          <w:rFonts w:hint="eastAsia" w:ascii="宋体" w:hAnsi="宋体" w:eastAsia="宋体" w:cs="宋体"/>
          <w:bCs/>
          <w:color w:val="auto"/>
          <w:sz w:val="21"/>
          <w:szCs w:val="21"/>
          <w:highlight w:val="none"/>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年以来任意1个月为</w:t>
      </w:r>
      <w:r>
        <w:rPr>
          <w:rFonts w:hint="eastAsia" w:ascii="宋体" w:hAnsi="宋体" w:eastAsia="宋体" w:cs="宋体"/>
          <w:bCs/>
          <w:color w:val="auto"/>
          <w:sz w:val="21"/>
          <w:szCs w:val="21"/>
          <w:highlight w:val="none"/>
          <w:lang w:eastAsia="zh-CN"/>
        </w:rPr>
        <w:t>以上</w:t>
      </w:r>
      <w:r>
        <w:rPr>
          <w:rFonts w:hint="eastAsia" w:ascii="宋体" w:hAnsi="宋体" w:eastAsia="宋体" w:cs="宋体"/>
          <w:color w:val="auto"/>
          <w:sz w:val="21"/>
          <w:szCs w:val="21"/>
          <w:highlight w:val="none"/>
        </w:rPr>
        <w:t>项目经理</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技术负责人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专职安全生产管理人员</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施工员、质量员、材料员</w:t>
      </w:r>
      <w:r>
        <w:rPr>
          <w:rFonts w:hint="eastAsia" w:ascii="宋体" w:hAnsi="宋体" w:eastAsia="宋体" w:cs="宋体"/>
          <w:bCs/>
          <w:color w:val="auto"/>
          <w:sz w:val="21"/>
          <w:szCs w:val="21"/>
          <w:highlight w:val="none"/>
          <w:lang w:eastAsia="zh-CN"/>
        </w:rPr>
        <w:t>缴纳</w:t>
      </w:r>
      <w:r>
        <w:rPr>
          <w:rFonts w:hint="eastAsia" w:ascii="宋体" w:hAnsi="宋体" w:eastAsia="宋体" w:cs="宋体"/>
          <w:bCs/>
          <w:color w:val="auto"/>
          <w:sz w:val="21"/>
          <w:szCs w:val="21"/>
          <w:highlight w:val="none"/>
        </w:rPr>
        <w:t>的社保证明材料或供应商与其签订的有效劳动合同</w:t>
      </w:r>
      <w:r>
        <w:rPr>
          <w:rFonts w:hint="eastAsia" w:ascii="宋体" w:hAnsi="宋体" w:eastAsia="宋体" w:cs="宋体"/>
          <w:bCs/>
          <w:color w:val="auto"/>
          <w:sz w:val="21"/>
          <w:szCs w:val="21"/>
          <w:highlight w:val="none"/>
          <w:lang w:eastAsia="zh-CN"/>
        </w:rPr>
        <w:t>。</w:t>
      </w:r>
    </w:p>
    <w:p w14:paraId="4BD8C10F">
      <w:pPr>
        <w:tabs>
          <w:tab w:val="left" w:pos="1635"/>
        </w:tabs>
        <w:spacing w:line="380" w:lineRule="exact"/>
        <w:ind w:firstLine="435"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4.参与电子竞标的准备工作</w:t>
      </w:r>
    </w:p>
    <w:p w14:paraId="55733BAF">
      <w:pPr>
        <w:tabs>
          <w:tab w:val="left" w:pos="1635"/>
        </w:tabs>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4.1本项目实行全流程电子化采购，供应商通过</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kern w:val="0"/>
          <w:sz w:val="21"/>
          <w:szCs w:val="21"/>
          <w:highlight w:val="none"/>
        </w:rPr>
        <w:t>参与电子竞标，并应做好以下相关准备工作：①在</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kern w:val="0"/>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w:t>
      </w:r>
      <w:r>
        <w:rPr>
          <w:rFonts w:hint="eastAsia" w:ascii="宋体" w:hAnsi="宋体" w:eastAsia="宋体" w:cs="宋体"/>
          <w:bCs/>
          <w:color w:val="auto"/>
          <w:sz w:val="21"/>
          <w:szCs w:val="21"/>
          <w:highlight w:val="none"/>
        </w:rPr>
        <w:t>以便供应商采用CA证书对其响应文件电子签章或电子签名</w:t>
      </w:r>
      <w:r>
        <w:rPr>
          <w:rFonts w:hint="eastAsia" w:ascii="宋体" w:hAnsi="宋体" w:eastAsia="宋体" w:cs="宋体"/>
          <w:color w:val="auto"/>
          <w:kern w:val="0"/>
          <w:sz w:val="21"/>
          <w:szCs w:val="21"/>
          <w:highlight w:val="none"/>
        </w:rPr>
        <w:t>；③自备计算机和网络设备并确保能接入互联网（费用由供应商自行承担，设备确保可进行视频通话和读取</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kern w:val="0"/>
          <w:sz w:val="21"/>
          <w:szCs w:val="21"/>
          <w:highlight w:val="none"/>
        </w:rPr>
        <w:t>CA证书）。因供应商未做好相关准备工作等自身原因导致无法参加本项目电子竞标或竞标失败的，造成的一切后果，由供应商自行承担。</w:t>
      </w:r>
    </w:p>
    <w:p w14:paraId="40C57D3E">
      <w:pPr>
        <w:tabs>
          <w:tab w:val="left" w:pos="1635"/>
        </w:tabs>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4.2电子竞标具体操作流程参考《政府采购项目电子交易管理操作指南</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供应商》（详见桂林市政府采购网—采购资讯—重要通知）；如遇平台技术问题详询95763或者0771-3381253。</w:t>
      </w:r>
    </w:p>
    <w:p w14:paraId="7362971A">
      <w:pPr>
        <w:tabs>
          <w:tab w:val="left" w:pos="1635"/>
        </w:tabs>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4.3不论磋商结果如何，供应商均应自行承担所有与磋商有关的全部费用。</w:t>
      </w:r>
    </w:p>
    <w:p w14:paraId="284BA9A5">
      <w:pPr>
        <w:tabs>
          <w:tab w:val="left" w:pos="1635"/>
        </w:tabs>
        <w:spacing w:line="380" w:lineRule="exact"/>
        <w:ind w:firstLine="435"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5.联合体要求：</w:t>
      </w:r>
    </w:p>
    <w:p w14:paraId="79B7F9AD">
      <w:pPr>
        <w:snapToGrid w:val="0"/>
        <w:spacing w:line="380" w:lineRule="exact"/>
        <w:ind w:firstLine="42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本项目不接受联合体参与磋商。</w:t>
      </w:r>
    </w:p>
    <w:p w14:paraId="21F260C7">
      <w:pPr>
        <w:tabs>
          <w:tab w:val="left" w:pos="2190"/>
        </w:tabs>
        <w:spacing w:line="380" w:lineRule="exact"/>
        <w:ind w:firstLine="413" w:firstLineChars="196"/>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6.质疑和投诉</w:t>
      </w:r>
      <w:r>
        <w:rPr>
          <w:rFonts w:hint="eastAsia" w:ascii="宋体" w:hAnsi="宋体" w:eastAsia="宋体" w:cs="宋体"/>
          <w:b/>
          <w:color w:val="auto"/>
          <w:kern w:val="0"/>
          <w:sz w:val="21"/>
          <w:szCs w:val="21"/>
          <w:highlight w:val="none"/>
        </w:rPr>
        <w:tab/>
      </w:r>
    </w:p>
    <w:p w14:paraId="6A7780BE">
      <w:pPr>
        <w:tabs>
          <w:tab w:val="left" w:pos="2190"/>
        </w:tabs>
        <w:spacing w:line="380" w:lineRule="exact"/>
        <w:ind w:firstLine="43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eastAsia="宋体" w:cs="宋体"/>
          <w:b/>
          <w:color w:val="auto"/>
          <w:sz w:val="21"/>
          <w:szCs w:val="21"/>
          <w:highlight w:val="none"/>
        </w:rPr>
        <w:t>（“质疑函”格式见附表1）</w:t>
      </w:r>
      <w:r>
        <w:rPr>
          <w:rFonts w:hint="eastAsia" w:ascii="宋体" w:hAnsi="宋体" w:eastAsia="宋体" w:cs="宋体"/>
          <w:color w:val="auto"/>
          <w:sz w:val="21"/>
          <w:szCs w:val="21"/>
          <w:highlight w:val="none"/>
        </w:rPr>
        <w:t>。否则，采购代理机构有权拒收。</w:t>
      </w:r>
    </w:p>
    <w:p w14:paraId="0592D9AF">
      <w:pPr>
        <w:tabs>
          <w:tab w:val="left" w:pos="2190"/>
        </w:tabs>
        <w:spacing w:line="380" w:lineRule="exact"/>
        <w:ind w:firstLine="43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6DB5CE30">
      <w:pPr>
        <w:tabs>
          <w:tab w:val="left" w:pos="2190"/>
        </w:tabs>
        <w:spacing w:line="380" w:lineRule="exact"/>
        <w:ind w:firstLine="43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72B3E971">
      <w:pPr>
        <w:tabs>
          <w:tab w:val="left" w:pos="2190"/>
        </w:tabs>
        <w:spacing w:line="380" w:lineRule="exact"/>
        <w:ind w:firstLine="43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供应商对采购代理机构的质疑答复不满意或者采购代理机构未在规定的时间内作出答复的，可以在答复期满后十五个工作日内向</w:t>
      </w:r>
      <w:r>
        <w:rPr>
          <w:rFonts w:hint="eastAsia" w:ascii="宋体" w:hAnsi="宋体" w:cs="宋体"/>
          <w:color w:val="auto"/>
          <w:sz w:val="21"/>
          <w:szCs w:val="21"/>
          <w:highlight w:val="none"/>
          <w:lang w:eastAsia="zh-CN"/>
        </w:rPr>
        <w:t>阳朔县财政局</w:t>
      </w:r>
      <w:r>
        <w:rPr>
          <w:rFonts w:hint="eastAsia" w:ascii="宋体" w:hAnsi="宋体" w:eastAsia="宋体" w:cs="宋体"/>
          <w:color w:val="auto"/>
          <w:sz w:val="21"/>
          <w:szCs w:val="21"/>
          <w:highlight w:val="none"/>
        </w:rPr>
        <w:t>投诉</w:t>
      </w:r>
      <w:r>
        <w:rPr>
          <w:rFonts w:hint="eastAsia" w:ascii="宋体" w:hAnsi="宋体" w:eastAsia="宋体" w:cs="宋体"/>
          <w:b/>
          <w:color w:val="auto"/>
          <w:sz w:val="21"/>
          <w:szCs w:val="21"/>
          <w:highlight w:val="none"/>
        </w:rPr>
        <w:t>（“投诉书”格式见附表2）</w:t>
      </w:r>
      <w:r>
        <w:rPr>
          <w:rFonts w:hint="eastAsia" w:ascii="宋体" w:hAnsi="宋体" w:eastAsia="宋体" w:cs="宋体"/>
          <w:color w:val="auto"/>
          <w:sz w:val="21"/>
          <w:szCs w:val="21"/>
          <w:highlight w:val="none"/>
        </w:rPr>
        <w:t>。</w:t>
      </w:r>
    </w:p>
    <w:p w14:paraId="7B0F845D">
      <w:pPr>
        <w:tabs>
          <w:tab w:val="left" w:pos="2190"/>
        </w:tabs>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eastAsia="宋体" w:cs="宋体"/>
          <w:color w:val="auto"/>
          <w:kern w:val="0"/>
          <w:sz w:val="21"/>
          <w:szCs w:val="21"/>
          <w:highlight w:val="none"/>
        </w:rPr>
        <w:t>。</w:t>
      </w:r>
    </w:p>
    <w:p w14:paraId="1D55EEC8">
      <w:pPr>
        <w:tabs>
          <w:tab w:val="left" w:pos="2190"/>
        </w:tabs>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供应商提出质疑应当提交质疑函和必要的证明材料，针对同一采购程序环节的质疑必须在法定质疑期内一次性提出。质疑函应当包括下列内容：</w:t>
      </w:r>
    </w:p>
    <w:p w14:paraId="04B6200A">
      <w:pPr>
        <w:tabs>
          <w:tab w:val="left" w:pos="2190"/>
        </w:tabs>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（1）供应商的姓名或者名称、地址、邮编、联系人及联系电话；</w:t>
      </w:r>
    </w:p>
    <w:p w14:paraId="59F7C7A5">
      <w:pPr>
        <w:tabs>
          <w:tab w:val="left" w:pos="2190"/>
        </w:tabs>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（2）质疑项目的名称、编号；</w:t>
      </w:r>
    </w:p>
    <w:p w14:paraId="11B2DEA2">
      <w:pPr>
        <w:tabs>
          <w:tab w:val="left" w:pos="2190"/>
        </w:tabs>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（3）具体、明确的质疑事项和与质疑事项相关的请求；</w:t>
      </w:r>
    </w:p>
    <w:p w14:paraId="1613B097">
      <w:pPr>
        <w:tabs>
          <w:tab w:val="left" w:pos="2190"/>
        </w:tabs>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（4）事实依据；</w:t>
      </w:r>
    </w:p>
    <w:p w14:paraId="0C6A4C21">
      <w:pPr>
        <w:tabs>
          <w:tab w:val="left" w:pos="2190"/>
        </w:tabs>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（5）必要的法律依据；</w:t>
      </w:r>
    </w:p>
    <w:p w14:paraId="64F73519">
      <w:pPr>
        <w:tabs>
          <w:tab w:val="left" w:pos="2190"/>
        </w:tabs>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（6）提出质疑的日期。</w:t>
      </w:r>
    </w:p>
    <w:p w14:paraId="7ABCF93D">
      <w:pPr>
        <w:tabs>
          <w:tab w:val="left" w:pos="2190"/>
        </w:tabs>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供应商为自然人的，应当由本人签字；供应商为法人或者其他组织的，应当由法定代表人、主要负责人，或者其授权代表签字或者盖章，并加盖公章。</w:t>
      </w:r>
    </w:p>
    <w:p w14:paraId="3EB28E59">
      <w:pPr>
        <w:tabs>
          <w:tab w:val="left" w:pos="2190"/>
        </w:tabs>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接收质疑函方式：以书面形式</w:t>
      </w:r>
    </w:p>
    <w:p w14:paraId="630BC977">
      <w:pPr>
        <w:tabs>
          <w:tab w:val="left" w:pos="2190"/>
        </w:tabs>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质疑联系部门及联系方式：</w:t>
      </w:r>
      <w:r>
        <w:rPr>
          <w:rFonts w:hint="eastAsia" w:ascii="宋体" w:hAnsi="宋体" w:cs="宋体"/>
          <w:color w:val="auto"/>
          <w:kern w:val="0"/>
          <w:sz w:val="21"/>
          <w:szCs w:val="21"/>
          <w:highlight w:val="none"/>
          <w:lang w:eastAsia="zh-CN"/>
        </w:rPr>
        <w:t>广西德元工程项目管理有限责任公司</w:t>
      </w:r>
      <w:r>
        <w:rPr>
          <w:rFonts w:hint="eastAsia" w:ascii="宋体" w:hAnsi="宋体" w:eastAsia="宋体" w:cs="宋体"/>
          <w:color w:val="auto"/>
          <w:kern w:val="0"/>
          <w:sz w:val="21"/>
          <w:szCs w:val="21"/>
          <w:highlight w:val="none"/>
        </w:rPr>
        <w:t>，联系人：</w:t>
      </w:r>
      <w:r>
        <w:rPr>
          <w:rFonts w:hint="eastAsia" w:ascii="宋体" w:hAnsi="宋体" w:eastAsia="宋体" w:cs="宋体"/>
          <w:color w:val="auto"/>
          <w:sz w:val="21"/>
          <w:szCs w:val="20"/>
          <w:highlight w:val="none"/>
          <w:lang w:eastAsia="zh-CN"/>
        </w:rPr>
        <w:t>秦梓珺</w:t>
      </w: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sz w:val="21"/>
          <w:szCs w:val="24"/>
          <w:highlight w:val="none"/>
          <w:lang w:eastAsia="zh-CN"/>
        </w:rPr>
        <w:t>0773-2806258</w:t>
      </w:r>
      <w:r>
        <w:rPr>
          <w:rFonts w:hint="eastAsia" w:ascii="宋体" w:hAnsi="宋体" w:eastAsia="宋体" w:cs="宋体"/>
          <w:color w:val="auto"/>
          <w:kern w:val="0"/>
          <w:sz w:val="21"/>
          <w:szCs w:val="21"/>
          <w:highlight w:val="none"/>
        </w:rPr>
        <w:t>。通讯地址：</w:t>
      </w:r>
      <w:r>
        <w:rPr>
          <w:rFonts w:hint="eastAsia" w:ascii="宋体" w:hAnsi="宋体" w:eastAsia="宋体" w:cs="宋体"/>
          <w:color w:val="auto"/>
          <w:sz w:val="21"/>
          <w:szCs w:val="24"/>
          <w:highlight w:val="none"/>
          <w:lang w:eastAsia="zh-CN"/>
        </w:rPr>
        <w:t>桂林市象山区安新南路1号南北楼2楼</w:t>
      </w:r>
      <w:r>
        <w:rPr>
          <w:rFonts w:hint="eastAsia" w:ascii="宋体" w:hAnsi="宋体" w:eastAsia="宋体" w:cs="宋体"/>
          <w:color w:val="auto"/>
          <w:kern w:val="0"/>
          <w:sz w:val="21"/>
          <w:szCs w:val="21"/>
          <w:highlight w:val="none"/>
        </w:rPr>
        <w:t>。</w:t>
      </w:r>
    </w:p>
    <w:p w14:paraId="563CD1F7">
      <w:pPr>
        <w:tabs>
          <w:tab w:val="left" w:pos="2190"/>
        </w:tabs>
        <w:spacing w:line="380" w:lineRule="exact"/>
        <w:ind w:firstLine="435"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7.转包与分包</w:t>
      </w:r>
    </w:p>
    <w:p w14:paraId="764FD49B">
      <w:pPr>
        <w:tabs>
          <w:tab w:val="left" w:pos="2190"/>
        </w:tabs>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 本项目不允许转包。</w:t>
      </w:r>
    </w:p>
    <w:p w14:paraId="6F9C4361">
      <w:pPr>
        <w:spacing w:line="400" w:lineRule="exact"/>
        <w:ind w:firstLine="420"/>
        <w:rPr>
          <w:rFonts w:hint="eastAsia" w:ascii="宋体" w:hAnsi="宋体" w:eastAsia="宋体" w:cs="宋体"/>
          <w:color w:val="auto"/>
          <w:sz w:val="21"/>
          <w:szCs w:val="24"/>
          <w:highlight w:val="none"/>
        </w:rPr>
      </w:pPr>
      <w:r>
        <w:rPr>
          <w:rFonts w:hint="eastAsia" w:ascii="宋体" w:hAnsi="宋体" w:eastAsia="宋体" w:cs="宋体"/>
          <w:color w:val="auto"/>
          <w:kern w:val="0"/>
          <w:sz w:val="21"/>
          <w:szCs w:val="21"/>
          <w:highlight w:val="none"/>
        </w:rPr>
        <w:t>7.2 本项目不可以分包。</w:t>
      </w:r>
    </w:p>
    <w:p w14:paraId="58D1D0DB">
      <w:pPr>
        <w:tabs>
          <w:tab w:val="left" w:pos="1635"/>
        </w:tabs>
        <w:spacing w:line="380" w:lineRule="exact"/>
        <w:ind w:firstLine="435"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8. 特别说明</w:t>
      </w:r>
    </w:p>
    <w:p w14:paraId="04463BB4">
      <w:pPr>
        <w:tabs>
          <w:tab w:val="left" w:pos="1635"/>
        </w:tabs>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关联供应商不得参加同一合同项下政府采购活动，否则响应文件将被视为无效：</w:t>
      </w:r>
    </w:p>
    <w:p w14:paraId="156D0936">
      <w:pPr>
        <w:tabs>
          <w:tab w:val="left" w:pos="1635"/>
        </w:tabs>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（1）单位负责人为同一人或者存在直接控股、管理关系的不同供应商，不得参加同一合同项下的政府采购活动。</w:t>
      </w:r>
    </w:p>
    <w:p w14:paraId="13072587">
      <w:pPr>
        <w:tabs>
          <w:tab w:val="left" w:pos="1635"/>
        </w:tabs>
        <w:spacing w:line="380" w:lineRule="exact"/>
        <w:ind w:firstLine="43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（2）为本采购项目提供整体设计、规范编制或者项目管理、监理、检测等服务的供应商，不得再参加本次采购活动。</w:t>
      </w:r>
    </w:p>
    <w:p w14:paraId="14375568">
      <w:pPr>
        <w:tabs>
          <w:tab w:val="left" w:pos="2190"/>
        </w:tabs>
        <w:spacing w:line="380" w:lineRule="exact"/>
        <w:ind w:firstLine="435" w:firstLineChars="0"/>
        <w:jc w:val="center"/>
        <w:rPr>
          <w:rFonts w:hint="eastAsia" w:ascii="宋体" w:hAnsi="宋体" w:eastAsia="宋体" w:cs="宋体"/>
          <w:b/>
          <w:color w:val="auto"/>
          <w:kern w:val="0"/>
          <w:sz w:val="28"/>
          <w:szCs w:val="28"/>
          <w:highlight w:val="none"/>
        </w:rPr>
      </w:pPr>
    </w:p>
    <w:p w14:paraId="29D43473">
      <w:pPr>
        <w:tabs>
          <w:tab w:val="left" w:pos="2190"/>
        </w:tabs>
        <w:spacing w:line="380" w:lineRule="exact"/>
        <w:ind w:firstLine="435" w:firstLineChars="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二、磋商文件</w:t>
      </w:r>
    </w:p>
    <w:p w14:paraId="4CECE60F">
      <w:pPr>
        <w:tabs>
          <w:tab w:val="left" w:pos="2190"/>
        </w:tabs>
        <w:spacing w:line="380" w:lineRule="exact"/>
        <w:ind w:firstLine="437"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9.磋商文件的构成</w:t>
      </w:r>
    </w:p>
    <w:p w14:paraId="3742B5D3">
      <w:pPr>
        <w:tabs>
          <w:tab w:val="left" w:pos="2190"/>
        </w:tabs>
        <w:spacing w:line="380" w:lineRule="exact"/>
        <w:ind w:firstLine="437"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（1）竞争性磋商公告；</w:t>
      </w:r>
    </w:p>
    <w:p w14:paraId="15463A78">
      <w:pPr>
        <w:tabs>
          <w:tab w:val="left" w:pos="2190"/>
        </w:tabs>
        <w:spacing w:line="380" w:lineRule="exact"/>
        <w:ind w:firstLine="437"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（2）供应商须知；</w:t>
      </w:r>
    </w:p>
    <w:p w14:paraId="423DC6C4">
      <w:pPr>
        <w:tabs>
          <w:tab w:val="left" w:pos="2190"/>
        </w:tabs>
        <w:spacing w:line="380" w:lineRule="exact"/>
        <w:ind w:firstLine="437"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（3）采购需求；</w:t>
      </w:r>
    </w:p>
    <w:p w14:paraId="56FF1762">
      <w:pPr>
        <w:tabs>
          <w:tab w:val="left" w:pos="2190"/>
        </w:tabs>
        <w:spacing w:line="380" w:lineRule="exact"/>
        <w:ind w:firstLine="437"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（4）工程量清单及图纸</w:t>
      </w:r>
      <w:r>
        <w:rPr>
          <w:rFonts w:hint="eastAsia" w:ascii="宋体" w:hAnsi="宋体" w:eastAsia="宋体" w:cs="宋体"/>
          <w:color w:val="auto"/>
          <w:kern w:val="0"/>
          <w:sz w:val="21"/>
          <w:szCs w:val="21"/>
          <w:highlight w:val="none"/>
          <w:lang w:eastAsia="zh-CN"/>
        </w:rPr>
        <w:t>；</w:t>
      </w:r>
    </w:p>
    <w:p w14:paraId="1330DDB3">
      <w:pPr>
        <w:tabs>
          <w:tab w:val="left" w:pos="2190"/>
        </w:tabs>
        <w:spacing w:line="380" w:lineRule="exact"/>
        <w:ind w:firstLine="437"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（5）评审方法；</w:t>
      </w:r>
    </w:p>
    <w:p w14:paraId="54B5E05C">
      <w:pPr>
        <w:tabs>
          <w:tab w:val="left" w:pos="2190"/>
        </w:tabs>
        <w:spacing w:line="380" w:lineRule="exact"/>
        <w:ind w:firstLine="437"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（6）响应文件（格式）；</w:t>
      </w:r>
    </w:p>
    <w:p w14:paraId="606D1C6F">
      <w:pPr>
        <w:tabs>
          <w:tab w:val="left" w:pos="2190"/>
        </w:tabs>
        <w:spacing w:line="380" w:lineRule="exact"/>
        <w:ind w:firstLine="437"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（7）合同主要条款。</w:t>
      </w:r>
    </w:p>
    <w:p w14:paraId="54E8C78F">
      <w:pPr>
        <w:tabs>
          <w:tab w:val="left" w:pos="2190"/>
        </w:tabs>
        <w:spacing w:line="380" w:lineRule="exact"/>
        <w:ind w:firstLine="437"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10.磋商文件的澄清与修改</w:t>
      </w:r>
    </w:p>
    <w:p w14:paraId="013C8EBF">
      <w:pPr>
        <w:tabs>
          <w:tab w:val="left" w:pos="2190"/>
        </w:tabs>
        <w:spacing w:line="380" w:lineRule="exact"/>
        <w:ind w:firstLine="437"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3个工作日前在本项目竞争性磋商公告发布的同一媒体上发布更正公告，不足3个工作日的，应当顺延首次响应文件提交截止时间。</w:t>
      </w:r>
    </w:p>
    <w:p w14:paraId="0B3CE80B">
      <w:pPr>
        <w:tabs>
          <w:tab w:val="left" w:pos="2190"/>
        </w:tabs>
        <w:spacing w:line="380" w:lineRule="exact"/>
        <w:ind w:firstLine="437"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3A9E9962">
      <w:pPr>
        <w:tabs>
          <w:tab w:val="left" w:pos="2190"/>
        </w:tabs>
        <w:spacing w:line="380" w:lineRule="exact"/>
        <w:ind w:firstLine="437"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10.3澄清或者修改的内容为磋商文件的组成部分。当澄清或者修改通知就同一内容的表述不一致时，以最后发出的书面文件为准。</w:t>
      </w:r>
    </w:p>
    <w:p w14:paraId="716F0A18">
      <w:pPr>
        <w:tabs>
          <w:tab w:val="left" w:pos="2190"/>
        </w:tabs>
        <w:spacing w:line="380" w:lineRule="exact"/>
        <w:ind w:firstLine="437"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 磋商文件的澄清或者修改都应该通过本项目采购代理机构以法定形式发布，采购人非通过本机构，不得擅自澄清、答复、修改或补充磋商文件。</w:t>
      </w:r>
    </w:p>
    <w:p w14:paraId="4BE339CC">
      <w:pPr>
        <w:tabs>
          <w:tab w:val="left" w:pos="2190"/>
        </w:tabs>
        <w:spacing w:line="380" w:lineRule="exact"/>
        <w:ind w:firstLine="437"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10.5 采购代理机构可以视采购具体情况，延长响应文件提交截止时间和磋商时间，并在本项目竞争性磋商公告发布的同一媒体上发布变更公告。</w:t>
      </w:r>
    </w:p>
    <w:p w14:paraId="672D2358">
      <w:pPr>
        <w:tabs>
          <w:tab w:val="left" w:pos="2190"/>
        </w:tabs>
        <w:spacing w:line="380" w:lineRule="exact"/>
        <w:ind w:firstLine="435" w:firstLineChars="0"/>
        <w:rPr>
          <w:rFonts w:hint="eastAsia" w:ascii="宋体" w:hAnsi="宋体" w:eastAsia="宋体" w:cs="宋体"/>
          <w:color w:val="auto"/>
          <w:kern w:val="0"/>
          <w:sz w:val="21"/>
          <w:szCs w:val="21"/>
          <w:highlight w:val="none"/>
        </w:rPr>
      </w:pPr>
    </w:p>
    <w:p w14:paraId="49B1D7CF">
      <w:pPr>
        <w:tabs>
          <w:tab w:val="left" w:pos="2190"/>
        </w:tabs>
        <w:spacing w:line="380" w:lineRule="exact"/>
        <w:ind w:firstLine="435" w:firstLineChars="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三、响应文件的编制</w:t>
      </w:r>
    </w:p>
    <w:p w14:paraId="46B10F2B">
      <w:pPr>
        <w:tabs>
          <w:tab w:val="left" w:pos="2190"/>
        </w:tabs>
        <w:spacing w:line="380" w:lineRule="exact"/>
        <w:ind w:firstLine="435"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11.响应文件（以下简称响应文件）的组成及要求</w:t>
      </w:r>
    </w:p>
    <w:p w14:paraId="119FBED7">
      <w:pPr>
        <w:tabs>
          <w:tab w:val="left" w:pos="1305"/>
        </w:tabs>
        <w:spacing w:line="380" w:lineRule="exact"/>
        <w:ind w:firstLine="422"/>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11.1响应文件组成【格式见第</w:t>
      </w:r>
      <w:r>
        <w:rPr>
          <w:rFonts w:hint="eastAsia" w:ascii="宋体" w:hAnsi="宋体" w:eastAsia="宋体" w:cs="宋体"/>
          <w:b/>
          <w:color w:val="auto"/>
          <w:kern w:val="0"/>
          <w:sz w:val="21"/>
          <w:szCs w:val="21"/>
          <w:highlight w:val="none"/>
          <w:lang w:eastAsia="zh-CN"/>
        </w:rPr>
        <w:t>六</w:t>
      </w:r>
      <w:r>
        <w:rPr>
          <w:rFonts w:hint="eastAsia" w:ascii="宋体" w:hAnsi="宋体" w:eastAsia="宋体" w:cs="宋体"/>
          <w:b/>
          <w:color w:val="auto"/>
          <w:kern w:val="0"/>
          <w:sz w:val="21"/>
          <w:szCs w:val="21"/>
          <w:highlight w:val="none"/>
        </w:rPr>
        <w:t>章“响应文件（格式）”】</w:t>
      </w:r>
    </w:p>
    <w:p w14:paraId="3868E5E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响应文件应分为资格证明文件、商务证明文件、技术证明文件三个部分组成：</w:t>
      </w:r>
    </w:p>
    <w:p w14:paraId="2B4846FA">
      <w:pPr>
        <w:spacing w:line="400" w:lineRule="exact"/>
        <w:ind w:firstLine="42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11.1.1资格证明文件</w:t>
      </w:r>
      <w:r>
        <w:rPr>
          <w:rFonts w:hint="eastAsia" w:ascii="宋体" w:hAnsi="宋体" w:eastAsia="宋体" w:cs="宋体"/>
          <w:color w:val="auto"/>
          <w:sz w:val="21"/>
          <w:szCs w:val="21"/>
          <w:highlight w:val="none"/>
          <w:lang w:eastAsia="zh-CN"/>
        </w:rPr>
        <w:t>：</w:t>
      </w:r>
    </w:p>
    <w:p w14:paraId="0ED7B4EC">
      <w:pPr>
        <w:spacing w:line="400" w:lineRule="exact"/>
        <w:ind w:firstLine="42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（1）</w:t>
      </w:r>
      <w:bookmarkStart w:id="42" w:name="OLE_LINK16"/>
      <w:bookmarkStart w:id="43" w:name="OLE_LINK17"/>
      <w:r>
        <w:rPr>
          <w:rFonts w:hint="eastAsia" w:ascii="宋体" w:hAnsi="宋体" w:eastAsia="宋体" w:cs="宋体"/>
          <w:bCs/>
          <w:color w:val="auto"/>
          <w:sz w:val="21"/>
          <w:szCs w:val="21"/>
          <w:highlight w:val="none"/>
        </w:rPr>
        <w:t>供应商的“磋商书”</w:t>
      </w:r>
      <w:bookmarkEnd w:id="42"/>
      <w:bookmarkEnd w:id="43"/>
      <w:r>
        <w:rPr>
          <w:rFonts w:hint="eastAsia" w:ascii="宋体" w:hAnsi="宋体" w:eastAsia="宋体" w:cs="宋体"/>
          <w:b/>
          <w:color w:val="auto"/>
          <w:sz w:val="21"/>
          <w:szCs w:val="21"/>
          <w:highlight w:val="none"/>
        </w:rPr>
        <w:t>（</w:t>
      </w:r>
      <w:bookmarkStart w:id="44" w:name="OLE_LINK19"/>
      <w:bookmarkStart w:id="45" w:name="OLE_LINK18"/>
      <w:r>
        <w:rPr>
          <w:rFonts w:hint="eastAsia" w:ascii="宋体" w:hAnsi="宋体" w:eastAsia="宋体" w:cs="宋体"/>
          <w:b/>
          <w:color w:val="auto"/>
          <w:sz w:val="21"/>
          <w:szCs w:val="21"/>
          <w:highlight w:val="none"/>
        </w:rPr>
        <w:t>必须提供</w:t>
      </w:r>
      <w:bookmarkEnd w:id="44"/>
      <w:bookmarkEnd w:id="45"/>
      <w:r>
        <w:rPr>
          <w:rFonts w:hint="eastAsia" w:ascii="宋体" w:hAnsi="宋体" w:eastAsia="宋体" w:cs="宋体"/>
          <w:b/>
          <w:color w:val="auto"/>
          <w:sz w:val="21"/>
          <w:szCs w:val="21"/>
          <w:highlight w:val="none"/>
        </w:rPr>
        <w:t>）；</w:t>
      </w:r>
    </w:p>
    <w:p w14:paraId="04447BE2">
      <w:pPr>
        <w:spacing w:line="400" w:lineRule="exact"/>
        <w:ind w:firstLine="42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 xml:space="preserve">（2）供应商的“参加本项目无围标串标行为的承诺函” </w:t>
      </w:r>
      <w:r>
        <w:rPr>
          <w:rFonts w:hint="eastAsia" w:ascii="宋体" w:hAnsi="宋体" w:eastAsia="宋体" w:cs="宋体"/>
          <w:b/>
          <w:color w:val="auto"/>
          <w:sz w:val="21"/>
          <w:szCs w:val="21"/>
          <w:highlight w:val="none"/>
        </w:rPr>
        <w:t>（必须提供）；</w:t>
      </w:r>
    </w:p>
    <w:p w14:paraId="52513EC7">
      <w:pPr>
        <w:tabs>
          <w:tab w:val="left" w:pos="1305"/>
        </w:tabs>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供应商的法人或者其他组织营业执照等证明文件</w:t>
      </w:r>
      <w:r>
        <w:rPr>
          <w:rFonts w:hint="eastAsia" w:ascii="宋体" w:hAnsi="宋体" w:eastAsia="宋体" w:cs="宋体"/>
          <w:b/>
          <w:color w:val="auto"/>
          <w:sz w:val="21"/>
          <w:szCs w:val="21"/>
          <w:highlight w:val="none"/>
        </w:rPr>
        <w:t>（</w:t>
      </w:r>
      <w:bookmarkStart w:id="46" w:name="OLE_LINK21"/>
      <w:bookmarkStart w:id="47" w:name="OLE_LINK20"/>
      <w:r>
        <w:rPr>
          <w:rFonts w:hint="eastAsia" w:ascii="宋体" w:hAnsi="宋体" w:eastAsia="宋体" w:cs="宋体"/>
          <w:b/>
          <w:color w:val="auto"/>
          <w:sz w:val="21"/>
          <w:szCs w:val="21"/>
          <w:highlight w:val="none"/>
        </w:rPr>
        <w:t>必须提供）；</w:t>
      </w:r>
    </w:p>
    <w:p w14:paraId="11E2428B">
      <w:pPr>
        <w:tabs>
          <w:tab w:val="left" w:pos="1305"/>
        </w:tabs>
        <w:spacing w:line="38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如供应商为企业法人的分支机构的，除应提供营业执照外，还应提供其所属的总公司授权其参加政府采购活动的授权文件或授权其独立开展经营业务活动的证明材料</w:t>
      </w:r>
      <w:bookmarkEnd w:id="46"/>
      <w:bookmarkEnd w:id="47"/>
      <w:r>
        <w:rPr>
          <w:rFonts w:hint="eastAsia" w:ascii="宋体" w:hAnsi="宋体" w:eastAsia="宋体" w:cs="宋体"/>
          <w:b/>
          <w:color w:val="auto"/>
          <w:sz w:val="21"/>
          <w:szCs w:val="21"/>
          <w:highlight w:val="none"/>
        </w:rPr>
        <w:t>。</w:t>
      </w:r>
    </w:p>
    <w:p w14:paraId="301F97B4">
      <w:pPr>
        <w:adjustRightInd w:val="0"/>
        <w:snapToGrid w:val="0"/>
        <w:spacing w:line="360" w:lineRule="exact"/>
        <w:ind w:firstLine="420"/>
        <w:jc w:val="left"/>
        <w:textAlignment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（4）供应商2024年度</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2025年度</w:t>
      </w:r>
      <w:r>
        <w:rPr>
          <w:rFonts w:hint="eastAsia" w:ascii="宋体" w:hAnsi="宋体" w:eastAsia="宋体" w:cs="宋体"/>
          <w:color w:val="auto"/>
          <w:sz w:val="21"/>
          <w:szCs w:val="21"/>
          <w:highlight w:val="none"/>
        </w:rPr>
        <w:t>的财务状况报告</w:t>
      </w:r>
      <w:r>
        <w:rPr>
          <w:rFonts w:hint="eastAsia" w:ascii="宋体" w:hAnsi="宋体" w:eastAsia="宋体" w:cs="宋体"/>
          <w:color w:val="auto"/>
          <w:kern w:val="0"/>
          <w:sz w:val="21"/>
          <w:szCs w:val="21"/>
          <w:highlight w:val="none"/>
        </w:rPr>
        <w:t>（如供应商为参加本项目当年新成立公司的，可提供公司成立之日后的财务报表）</w:t>
      </w:r>
      <w:r>
        <w:rPr>
          <w:rFonts w:hint="eastAsia" w:ascii="宋体" w:hAnsi="宋体" w:eastAsia="宋体" w:cs="宋体"/>
          <w:color w:val="auto"/>
          <w:sz w:val="21"/>
          <w:szCs w:val="21"/>
          <w:highlight w:val="none"/>
        </w:rPr>
        <w:t>或202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年以来银行出具的资信证明或202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年以来中国人民银行征信中心出具的征信报告</w:t>
      </w:r>
      <w:r>
        <w:rPr>
          <w:rFonts w:hint="eastAsia" w:ascii="宋体" w:hAnsi="宋体" w:eastAsia="宋体" w:cs="宋体"/>
          <w:b/>
          <w:color w:val="auto"/>
          <w:sz w:val="21"/>
          <w:szCs w:val="21"/>
          <w:highlight w:val="none"/>
        </w:rPr>
        <w:t>（必须提供）；</w:t>
      </w:r>
    </w:p>
    <w:p w14:paraId="470B99A0">
      <w:pPr>
        <w:adjustRightInd w:val="0"/>
        <w:snapToGrid w:val="0"/>
        <w:spacing w:line="360" w:lineRule="exact"/>
        <w:ind w:firstLine="42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bookmarkStart w:id="48" w:name="OLE_LINK22"/>
      <w:r>
        <w:rPr>
          <w:rFonts w:hint="eastAsia" w:ascii="宋体" w:hAnsi="宋体" w:eastAsia="宋体" w:cs="宋体"/>
          <w:color w:val="auto"/>
          <w:sz w:val="21"/>
          <w:szCs w:val="21"/>
          <w:highlight w:val="none"/>
        </w:rPr>
        <w:t>供应商202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年以来任意1个月依法缴纳社会保障资金的相关材料（</w:t>
      </w:r>
      <w:r>
        <w:rPr>
          <w:rFonts w:hint="eastAsia" w:ascii="宋体" w:hAnsi="宋体" w:eastAsia="宋体" w:cs="宋体"/>
          <w:color w:val="auto"/>
          <w:kern w:val="0"/>
          <w:sz w:val="21"/>
          <w:szCs w:val="21"/>
          <w:highlight w:val="none"/>
        </w:rPr>
        <w:t>供应商无缴费记录或为新成立公司，应提供由供应商所在地社保部门或税务部门出具的《依法缴纳或依法免缴社保费证明》</w:t>
      </w:r>
      <w:r>
        <w:rPr>
          <w:rFonts w:hint="eastAsia" w:ascii="宋体" w:hAnsi="宋体" w:eastAsia="宋体" w:cs="宋体"/>
          <w:color w:val="auto"/>
          <w:sz w:val="21"/>
          <w:szCs w:val="21"/>
          <w:highlight w:val="none"/>
        </w:rPr>
        <w:t>）</w:t>
      </w:r>
      <w:bookmarkEnd w:id="48"/>
      <w:r>
        <w:rPr>
          <w:rFonts w:hint="eastAsia" w:ascii="宋体" w:hAnsi="宋体" w:eastAsia="宋体" w:cs="宋体"/>
          <w:b/>
          <w:color w:val="auto"/>
          <w:sz w:val="21"/>
          <w:szCs w:val="21"/>
          <w:highlight w:val="none"/>
        </w:rPr>
        <w:t>（</w:t>
      </w:r>
      <w:bookmarkStart w:id="49" w:name="OLE_LINK23"/>
      <w:r>
        <w:rPr>
          <w:rFonts w:hint="eastAsia" w:ascii="宋体" w:hAnsi="宋体" w:eastAsia="宋体" w:cs="宋体"/>
          <w:b/>
          <w:color w:val="auto"/>
          <w:sz w:val="21"/>
          <w:szCs w:val="21"/>
          <w:highlight w:val="none"/>
        </w:rPr>
        <w:t>必须提供</w:t>
      </w:r>
      <w:bookmarkEnd w:id="49"/>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 xml:space="preserve"> </w:t>
      </w:r>
    </w:p>
    <w:p w14:paraId="231162AC">
      <w:pPr>
        <w:pStyle w:val="23"/>
        <w:spacing w:line="360" w:lineRule="exact"/>
        <w:ind w:left="0" w:right="34" w:firstLine="420" w:firstLineChars="200"/>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（6）供应商202</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年以来任意1个月依法缴纳税收的相关材料</w:t>
      </w:r>
      <w:r>
        <w:rPr>
          <w:rFonts w:hint="eastAsia" w:ascii="宋体" w:hAnsi="宋体" w:eastAsia="宋体" w:cs="宋体"/>
          <w:color w:val="auto"/>
          <w:sz w:val="21"/>
          <w:szCs w:val="21"/>
          <w:highlight w:val="none"/>
        </w:rPr>
        <w:t>（供应商无纳税记录或为新成立公司，应提供由供应商所在地主管税务部门出具的《依法纳税或依法免税证明》）</w:t>
      </w:r>
      <w:r>
        <w:rPr>
          <w:rFonts w:hint="eastAsia" w:ascii="宋体" w:hAnsi="宋体" w:eastAsia="宋体" w:cs="宋体"/>
          <w:b/>
          <w:color w:val="auto"/>
          <w:sz w:val="21"/>
          <w:szCs w:val="21"/>
          <w:highlight w:val="none"/>
        </w:rPr>
        <w:t>（必须提供）；</w:t>
      </w:r>
    </w:p>
    <w:p w14:paraId="6D032843">
      <w:pPr>
        <w:spacing w:line="400" w:lineRule="exact"/>
        <w:ind w:firstLine="42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（7）</w:t>
      </w:r>
      <w:bookmarkStart w:id="50" w:name="OLE_LINK24"/>
      <w:r>
        <w:rPr>
          <w:rFonts w:hint="eastAsia" w:ascii="宋体" w:hAnsi="宋体" w:eastAsia="宋体" w:cs="宋体"/>
          <w:bCs/>
          <w:color w:val="auto"/>
          <w:sz w:val="21"/>
          <w:szCs w:val="21"/>
          <w:highlight w:val="none"/>
        </w:rPr>
        <w:t>供应商的直接控股、管理关系信息表</w:t>
      </w:r>
      <w:bookmarkEnd w:id="50"/>
      <w:r>
        <w:rPr>
          <w:rFonts w:hint="eastAsia" w:ascii="宋体" w:hAnsi="宋体" w:eastAsia="宋体" w:cs="宋体"/>
          <w:b/>
          <w:color w:val="auto"/>
          <w:sz w:val="21"/>
          <w:szCs w:val="21"/>
          <w:highlight w:val="none"/>
        </w:rPr>
        <w:t>（</w:t>
      </w:r>
      <w:bookmarkStart w:id="51" w:name="OLE_LINK26"/>
      <w:bookmarkStart w:id="52" w:name="OLE_LINK27"/>
      <w:r>
        <w:rPr>
          <w:rFonts w:hint="eastAsia" w:ascii="宋体" w:hAnsi="宋体" w:eastAsia="宋体" w:cs="宋体"/>
          <w:b/>
          <w:color w:val="auto"/>
          <w:sz w:val="21"/>
          <w:szCs w:val="21"/>
          <w:highlight w:val="none"/>
        </w:rPr>
        <w:t>必须提供</w:t>
      </w:r>
      <w:bookmarkEnd w:id="51"/>
      <w:bookmarkEnd w:id="52"/>
      <w:r>
        <w:rPr>
          <w:rFonts w:hint="eastAsia" w:ascii="宋体" w:hAnsi="宋体" w:eastAsia="宋体" w:cs="宋体"/>
          <w:b/>
          <w:color w:val="auto"/>
          <w:sz w:val="21"/>
          <w:szCs w:val="21"/>
          <w:highlight w:val="none"/>
        </w:rPr>
        <w:t>）；</w:t>
      </w:r>
    </w:p>
    <w:p w14:paraId="2D2C92FE">
      <w:pPr>
        <w:spacing w:line="400" w:lineRule="exact"/>
        <w:ind w:firstLine="42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（8）供应商的法定代表人身份证明及法定代表人身份证正反面复印件</w:t>
      </w:r>
      <w:r>
        <w:rPr>
          <w:rFonts w:hint="eastAsia" w:ascii="宋体" w:hAnsi="宋体" w:eastAsia="宋体" w:cs="宋体"/>
          <w:b/>
          <w:color w:val="auto"/>
          <w:sz w:val="21"/>
          <w:szCs w:val="21"/>
          <w:highlight w:val="none"/>
        </w:rPr>
        <w:t>（必须提供）；</w:t>
      </w:r>
    </w:p>
    <w:p w14:paraId="220FEF78">
      <w:pPr>
        <w:spacing w:line="400" w:lineRule="exact"/>
        <w:ind w:firstLine="42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（9）供应商的“授权委托书”、委托代理人身份证正反面复印件</w:t>
      </w:r>
      <w:r>
        <w:rPr>
          <w:rFonts w:hint="eastAsia" w:ascii="宋体" w:hAnsi="宋体" w:eastAsia="宋体" w:cs="宋体"/>
          <w:b/>
          <w:color w:val="auto"/>
          <w:sz w:val="21"/>
          <w:szCs w:val="21"/>
          <w:highlight w:val="none"/>
        </w:rPr>
        <w:t>（委托代理时必须提供）；</w:t>
      </w:r>
    </w:p>
    <w:p w14:paraId="727E2A64">
      <w:pPr>
        <w:spacing w:line="400" w:lineRule="exact"/>
        <w:ind w:firstLine="42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（10）</w:t>
      </w:r>
      <w:r>
        <w:rPr>
          <w:rFonts w:hint="eastAsia" w:ascii="宋体" w:hAnsi="宋体" w:eastAsia="宋体" w:cs="宋体"/>
          <w:bCs/>
          <w:color w:val="auto"/>
          <w:sz w:val="21"/>
          <w:szCs w:val="21"/>
          <w:highlight w:val="none"/>
          <w:lang w:eastAsia="zh-CN"/>
        </w:rPr>
        <w:t>特定资格要求证明材料</w:t>
      </w:r>
      <w:r>
        <w:rPr>
          <w:rFonts w:hint="eastAsia" w:ascii="宋体" w:hAnsi="宋体" w:eastAsia="宋体" w:cs="宋体"/>
          <w:b/>
          <w:color w:val="auto"/>
          <w:sz w:val="21"/>
          <w:szCs w:val="21"/>
          <w:highlight w:val="none"/>
        </w:rPr>
        <w:t>（必须提供）</w:t>
      </w:r>
      <w:r>
        <w:rPr>
          <w:rFonts w:hint="eastAsia" w:ascii="宋体" w:hAnsi="宋体" w:eastAsia="宋体" w:cs="宋体"/>
          <w:bCs/>
          <w:color w:val="auto"/>
          <w:sz w:val="21"/>
          <w:szCs w:val="21"/>
          <w:highlight w:val="none"/>
          <w:lang w:eastAsia="zh-CN"/>
        </w:rPr>
        <w:t>：</w:t>
      </w:r>
    </w:p>
    <w:p w14:paraId="54897446">
      <w:pPr>
        <w:spacing w:line="400" w:lineRule="exact"/>
        <w:ind w:firstLine="630" w:firstLineChars="3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color w:val="auto"/>
          <w:sz w:val="21"/>
          <w:szCs w:val="21"/>
          <w:highlight w:val="none"/>
        </w:rPr>
        <w:t>供应商须具备建筑工程施工总承包三级以上（含三级）资质，同时具备有效的安全生产许可证，并在人员、设备、资金等方面具有相应的履约能力</w:t>
      </w:r>
      <w:r>
        <w:rPr>
          <w:rFonts w:hint="eastAsia" w:ascii="宋体" w:hAnsi="宋体" w:eastAsia="宋体" w:cs="宋体"/>
          <w:color w:val="auto"/>
          <w:sz w:val="21"/>
          <w:szCs w:val="21"/>
          <w:highlight w:val="none"/>
          <w:lang w:eastAsia="zh-CN"/>
        </w:rPr>
        <w:t>。</w:t>
      </w:r>
    </w:p>
    <w:p w14:paraId="5B5AAA36">
      <w:pPr>
        <w:tabs>
          <w:tab w:val="left" w:pos="1635"/>
        </w:tabs>
        <w:spacing w:line="380" w:lineRule="exact"/>
        <w:ind w:firstLine="590" w:firstLineChars="281"/>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bookmarkStart w:id="53" w:name="_Hlk120612644"/>
      <w:r>
        <w:rPr>
          <w:rFonts w:hint="eastAsia" w:ascii="宋体" w:hAnsi="宋体" w:eastAsia="宋体" w:cs="宋体"/>
          <w:color w:val="auto"/>
          <w:sz w:val="21"/>
          <w:szCs w:val="21"/>
          <w:highlight w:val="none"/>
        </w:rPr>
        <w:t>供应商提供项目管理机构组成表，同时于响应文件中</w:t>
      </w:r>
      <w:r>
        <w:rPr>
          <w:rFonts w:hint="eastAsia" w:ascii="宋体" w:hAnsi="宋体" w:eastAsia="宋体" w:cs="宋体"/>
          <w:color w:val="auto"/>
          <w:sz w:val="21"/>
          <w:szCs w:val="21"/>
          <w:highlight w:val="none"/>
          <w:lang w:eastAsia="zh-CN"/>
        </w:rPr>
        <w:t>提供以下证明材料</w:t>
      </w:r>
      <w:r>
        <w:rPr>
          <w:rFonts w:hint="eastAsia" w:ascii="宋体" w:hAnsi="宋体" w:eastAsia="宋体" w:cs="宋体"/>
          <w:color w:val="auto"/>
          <w:sz w:val="21"/>
          <w:szCs w:val="21"/>
          <w:highlight w:val="none"/>
        </w:rPr>
        <w:t>：</w:t>
      </w:r>
    </w:p>
    <w:p w14:paraId="1EE290C4">
      <w:pPr>
        <w:tabs>
          <w:tab w:val="left" w:pos="1635"/>
        </w:tabs>
        <w:spacing w:line="380" w:lineRule="exact"/>
        <w:ind w:firstLine="43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①项目经理（1人）：</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拟投入的项目经理建筑工程专业二级以上（含二级）注册建造师执业资格</w:t>
      </w:r>
      <w:r>
        <w:rPr>
          <w:rFonts w:hint="eastAsia" w:ascii="宋体" w:hAnsi="宋体" w:eastAsia="宋体" w:cs="宋体"/>
          <w:color w:val="auto"/>
          <w:sz w:val="21"/>
          <w:szCs w:val="21"/>
          <w:highlight w:val="none"/>
          <w:lang w:eastAsia="zh-CN"/>
        </w:rPr>
        <w:t>证书复印件</w:t>
      </w:r>
      <w:r>
        <w:rPr>
          <w:rFonts w:hint="eastAsia" w:ascii="宋体" w:hAnsi="宋体" w:eastAsia="宋体" w:cs="宋体"/>
          <w:color w:val="auto"/>
          <w:sz w:val="21"/>
          <w:szCs w:val="21"/>
          <w:highlight w:val="none"/>
        </w:rPr>
        <w:t>，具备有效的安全生产考核合格证书（B类）</w:t>
      </w:r>
      <w:r>
        <w:rPr>
          <w:rFonts w:hint="eastAsia" w:ascii="宋体" w:hAnsi="宋体" w:eastAsia="宋体" w:cs="宋体"/>
          <w:color w:val="auto"/>
          <w:sz w:val="21"/>
          <w:szCs w:val="21"/>
          <w:highlight w:val="none"/>
          <w:lang w:eastAsia="zh-CN"/>
        </w:rPr>
        <w:t>证书复印件及</w:t>
      </w:r>
      <w:r>
        <w:rPr>
          <w:rFonts w:hint="eastAsia" w:ascii="宋体" w:hAnsi="宋体" w:eastAsia="宋体" w:cs="宋体"/>
          <w:color w:val="auto"/>
          <w:sz w:val="21"/>
          <w:szCs w:val="21"/>
          <w:highlight w:val="none"/>
        </w:rPr>
        <w:t>身份证</w:t>
      </w:r>
      <w:r>
        <w:rPr>
          <w:rFonts w:hint="eastAsia" w:ascii="宋体" w:hAnsi="宋体" w:eastAsia="宋体" w:cs="宋体"/>
          <w:color w:val="auto"/>
          <w:sz w:val="21"/>
          <w:szCs w:val="21"/>
          <w:highlight w:val="none"/>
          <w:lang w:eastAsia="zh-CN"/>
        </w:rPr>
        <w:t>复印件；</w:t>
      </w:r>
    </w:p>
    <w:p w14:paraId="3ADEB994">
      <w:pPr>
        <w:tabs>
          <w:tab w:val="left" w:pos="1635"/>
        </w:tabs>
        <w:spacing w:line="380" w:lineRule="exact"/>
        <w:ind w:firstLine="43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②技术负责人（1人）：</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拟投入的技术负责人相关专业中级及以上职称</w:t>
      </w:r>
      <w:r>
        <w:rPr>
          <w:rFonts w:hint="eastAsia" w:ascii="宋体" w:hAnsi="宋体" w:eastAsia="宋体" w:cs="宋体"/>
          <w:color w:val="auto"/>
          <w:sz w:val="21"/>
          <w:szCs w:val="21"/>
          <w:highlight w:val="none"/>
          <w:lang w:eastAsia="zh-CN"/>
        </w:rPr>
        <w:t>证复印件及</w:t>
      </w:r>
      <w:r>
        <w:rPr>
          <w:rFonts w:hint="eastAsia" w:ascii="宋体" w:hAnsi="宋体" w:eastAsia="宋体" w:cs="宋体"/>
          <w:color w:val="auto"/>
          <w:sz w:val="21"/>
          <w:szCs w:val="21"/>
          <w:highlight w:val="none"/>
        </w:rPr>
        <w:t>身份证</w:t>
      </w:r>
      <w:r>
        <w:rPr>
          <w:rFonts w:hint="eastAsia" w:ascii="宋体" w:hAnsi="宋体" w:eastAsia="宋体" w:cs="宋体"/>
          <w:color w:val="auto"/>
          <w:sz w:val="21"/>
          <w:szCs w:val="21"/>
          <w:highlight w:val="none"/>
          <w:lang w:eastAsia="zh-CN"/>
        </w:rPr>
        <w:t>复印件；</w:t>
      </w:r>
    </w:p>
    <w:p w14:paraId="09EDE6AE">
      <w:pPr>
        <w:tabs>
          <w:tab w:val="left" w:pos="1635"/>
        </w:tabs>
        <w:spacing w:line="380" w:lineRule="exact"/>
        <w:ind w:firstLine="43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③专职安全生产管理人员（1人）：</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拟投入的专职安全生产管理人员须具有相应有效的专职安全员安全生产考核合格证书（C类）</w:t>
      </w:r>
      <w:r>
        <w:rPr>
          <w:rFonts w:hint="eastAsia" w:ascii="宋体" w:hAnsi="宋体" w:eastAsia="宋体" w:cs="宋体"/>
          <w:color w:val="auto"/>
          <w:sz w:val="21"/>
          <w:szCs w:val="21"/>
          <w:highlight w:val="none"/>
          <w:lang w:eastAsia="zh-CN"/>
        </w:rPr>
        <w:t>复印件及</w:t>
      </w:r>
      <w:r>
        <w:rPr>
          <w:rFonts w:hint="eastAsia" w:ascii="宋体" w:hAnsi="宋体" w:eastAsia="宋体" w:cs="宋体"/>
          <w:color w:val="auto"/>
          <w:sz w:val="21"/>
          <w:szCs w:val="21"/>
          <w:highlight w:val="none"/>
        </w:rPr>
        <w:t>身份证</w:t>
      </w:r>
      <w:r>
        <w:rPr>
          <w:rFonts w:hint="eastAsia" w:ascii="宋体" w:hAnsi="宋体" w:eastAsia="宋体" w:cs="宋体"/>
          <w:color w:val="auto"/>
          <w:sz w:val="21"/>
          <w:szCs w:val="21"/>
          <w:highlight w:val="none"/>
          <w:lang w:eastAsia="zh-CN"/>
        </w:rPr>
        <w:t>复印件；</w:t>
      </w:r>
    </w:p>
    <w:p w14:paraId="47A0C2B8">
      <w:pPr>
        <w:tabs>
          <w:tab w:val="left" w:pos="1635"/>
        </w:tabs>
        <w:spacing w:line="380" w:lineRule="exact"/>
        <w:ind w:firstLine="43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④施工员、质量员、材料员（各配备1人）：</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拟投入的施工员、质量员、材料员须具有相应有效的施工现场专业人员职业培训合格证书</w:t>
      </w:r>
      <w:r>
        <w:rPr>
          <w:rFonts w:hint="eastAsia" w:ascii="宋体" w:hAnsi="宋体" w:eastAsia="宋体" w:cs="宋体"/>
          <w:color w:val="auto"/>
          <w:sz w:val="21"/>
          <w:szCs w:val="21"/>
          <w:highlight w:val="none"/>
          <w:lang w:eastAsia="zh-CN"/>
        </w:rPr>
        <w:t>复印件及</w:t>
      </w:r>
      <w:r>
        <w:rPr>
          <w:rFonts w:hint="eastAsia" w:ascii="宋体" w:hAnsi="宋体" w:eastAsia="宋体" w:cs="宋体"/>
          <w:color w:val="auto"/>
          <w:sz w:val="21"/>
          <w:szCs w:val="21"/>
          <w:highlight w:val="none"/>
        </w:rPr>
        <w:t>身份证</w:t>
      </w:r>
      <w:r>
        <w:rPr>
          <w:rFonts w:hint="eastAsia" w:ascii="宋体" w:hAnsi="宋体" w:eastAsia="宋体" w:cs="宋体"/>
          <w:color w:val="auto"/>
          <w:sz w:val="21"/>
          <w:szCs w:val="21"/>
          <w:highlight w:val="none"/>
          <w:lang w:eastAsia="zh-CN"/>
        </w:rPr>
        <w:t>复印件；</w:t>
      </w:r>
    </w:p>
    <w:p w14:paraId="06B424BE">
      <w:pPr>
        <w:tabs>
          <w:tab w:val="left" w:pos="1635"/>
        </w:tabs>
        <w:spacing w:line="380" w:lineRule="exact"/>
        <w:ind w:firstLine="43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⑤供应商具有</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年以来任意1个月为</w:t>
      </w:r>
      <w:r>
        <w:rPr>
          <w:rFonts w:hint="eastAsia" w:ascii="宋体" w:hAnsi="宋体" w:eastAsia="宋体" w:cs="宋体"/>
          <w:color w:val="auto"/>
          <w:sz w:val="21"/>
          <w:szCs w:val="21"/>
          <w:highlight w:val="none"/>
          <w:lang w:eastAsia="zh-CN"/>
        </w:rPr>
        <w:t>以上</w:t>
      </w:r>
      <w:r>
        <w:rPr>
          <w:rFonts w:hint="eastAsia" w:ascii="宋体" w:hAnsi="宋体" w:eastAsia="宋体" w:cs="宋体"/>
          <w:color w:val="auto"/>
          <w:sz w:val="21"/>
          <w:szCs w:val="21"/>
          <w:highlight w:val="none"/>
        </w:rPr>
        <w:t>项目经理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专职安全生产管理人员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施工员、质量员、材料员</w:t>
      </w:r>
      <w:r>
        <w:rPr>
          <w:rFonts w:hint="eastAsia" w:ascii="宋体" w:hAnsi="宋体" w:eastAsia="宋体" w:cs="宋体"/>
          <w:color w:val="auto"/>
          <w:sz w:val="21"/>
          <w:szCs w:val="21"/>
          <w:highlight w:val="none"/>
          <w:lang w:eastAsia="zh-CN"/>
        </w:rPr>
        <w:t>缴纳</w:t>
      </w:r>
      <w:r>
        <w:rPr>
          <w:rFonts w:hint="eastAsia" w:ascii="宋体" w:hAnsi="宋体" w:eastAsia="宋体" w:cs="宋体"/>
          <w:color w:val="auto"/>
          <w:sz w:val="21"/>
          <w:szCs w:val="21"/>
          <w:highlight w:val="none"/>
        </w:rPr>
        <w:t>的社保证明材料或供应商与其签订的有效劳动合同</w:t>
      </w:r>
      <w:r>
        <w:rPr>
          <w:rFonts w:hint="eastAsia" w:ascii="宋体" w:hAnsi="宋体" w:eastAsia="宋体" w:cs="宋体"/>
          <w:color w:val="auto"/>
          <w:sz w:val="21"/>
          <w:szCs w:val="21"/>
          <w:highlight w:val="none"/>
          <w:lang w:eastAsia="zh-CN"/>
        </w:rPr>
        <w:t>。</w:t>
      </w:r>
    </w:p>
    <w:bookmarkEnd w:id="53"/>
    <w:p w14:paraId="3A9F3B98">
      <w:pPr>
        <w:spacing w:line="400" w:lineRule="exact"/>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eastAsia" w:ascii="宋体" w:hAnsi="宋体" w:eastAsia="宋体" w:cs="宋体"/>
          <w:color w:val="auto"/>
          <w:sz w:val="21"/>
          <w:szCs w:val="21"/>
          <w:highlight w:val="none"/>
          <w:lang w:eastAsia="zh-CN"/>
        </w:rPr>
        <w:t>文</w:t>
      </w:r>
      <w:r>
        <w:rPr>
          <w:rFonts w:hint="eastAsia" w:ascii="宋体" w:hAnsi="宋体" w:eastAsia="宋体" w:cs="宋体"/>
          <w:color w:val="auto"/>
          <w:sz w:val="21"/>
          <w:szCs w:val="21"/>
          <w:highlight w:val="none"/>
        </w:rPr>
        <w:t>除外）】</w:t>
      </w:r>
      <w:r>
        <w:rPr>
          <w:rFonts w:hint="eastAsia" w:ascii="宋体" w:hAnsi="宋体" w:eastAsia="宋体" w:cs="宋体"/>
          <w:color w:val="auto"/>
          <w:sz w:val="21"/>
          <w:szCs w:val="21"/>
          <w:highlight w:val="none"/>
          <w:lang w:val="en-US" w:eastAsia="zh-CN"/>
        </w:rPr>
        <w:t>。</w:t>
      </w:r>
    </w:p>
    <w:p w14:paraId="09BE1C80">
      <w:pPr>
        <w:spacing w:line="400" w:lineRule="exact"/>
        <w:ind w:left="120" w:leftChars="50" w:firstLine="315" w:firstLineChars="15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供应商为</w:t>
      </w:r>
      <w:r>
        <w:rPr>
          <w:rFonts w:hint="eastAsia" w:ascii="宋体" w:hAnsi="宋体" w:cs="宋体"/>
          <w:color w:val="auto"/>
          <w:sz w:val="21"/>
          <w:szCs w:val="21"/>
          <w:highlight w:val="none"/>
          <w:lang w:eastAsia="zh-CN"/>
        </w:rPr>
        <w:t>中小微企业</w:t>
      </w:r>
      <w:r>
        <w:rPr>
          <w:rFonts w:hint="eastAsia" w:ascii="宋体" w:hAnsi="宋体" w:eastAsia="宋体" w:cs="宋体"/>
          <w:color w:val="auto"/>
          <w:sz w:val="21"/>
          <w:szCs w:val="21"/>
          <w:highlight w:val="none"/>
        </w:rPr>
        <w:t>的相关有效证明材料</w:t>
      </w:r>
      <w:r>
        <w:rPr>
          <w:rFonts w:hint="eastAsia" w:ascii="宋体" w:hAnsi="宋体" w:eastAsia="宋体" w:cs="宋体"/>
          <w:b/>
          <w:color w:val="auto"/>
          <w:sz w:val="21"/>
          <w:szCs w:val="21"/>
          <w:highlight w:val="none"/>
        </w:rPr>
        <w:t>（必须提供）</w:t>
      </w:r>
      <w:r>
        <w:rPr>
          <w:rFonts w:hint="eastAsia" w:ascii="宋体" w:hAnsi="宋体" w:eastAsia="宋体" w:cs="宋体"/>
          <w:color w:val="auto"/>
          <w:sz w:val="21"/>
          <w:szCs w:val="21"/>
          <w:highlight w:val="none"/>
        </w:rPr>
        <w:t>；</w:t>
      </w:r>
    </w:p>
    <w:p w14:paraId="5D580BA7">
      <w:pPr>
        <w:spacing w:line="400" w:lineRule="exact"/>
        <w:ind w:left="120" w:leftChars="50" w:firstLine="42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注：本项目专门面向</w:t>
      </w:r>
      <w:r>
        <w:rPr>
          <w:rFonts w:hint="eastAsia" w:ascii="宋体" w:hAnsi="宋体" w:cs="宋体"/>
          <w:color w:val="auto"/>
          <w:sz w:val="21"/>
          <w:szCs w:val="21"/>
          <w:highlight w:val="none"/>
          <w:lang w:eastAsia="zh-CN"/>
        </w:rPr>
        <w:t>中小微企业</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供应商须满足《政府采购促进中小企业发展管理办法》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财库〔2020〕46号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第二条规定。监狱企业、残疾人福利</w:t>
      </w:r>
      <w:r>
        <w:rPr>
          <w:rFonts w:hint="eastAsia" w:ascii="宋体" w:hAnsi="宋体" w:eastAsia="宋体" w:cs="宋体"/>
          <w:color w:val="auto"/>
          <w:sz w:val="21"/>
          <w:szCs w:val="21"/>
          <w:highlight w:val="none"/>
          <w:lang w:eastAsia="zh-CN"/>
        </w:rPr>
        <w:t>性</w:t>
      </w:r>
      <w:r>
        <w:rPr>
          <w:rFonts w:hint="eastAsia" w:ascii="宋体" w:hAnsi="宋体" w:eastAsia="宋体" w:cs="宋体"/>
          <w:color w:val="auto"/>
          <w:sz w:val="21"/>
          <w:szCs w:val="21"/>
          <w:highlight w:val="none"/>
        </w:rPr>
        <w:t>单位视同小型、微型企业。供应商根据自身情况，相应提供以下证明材料：①供应商如为符合政策要求的</w:t>
      </w:r>
      <w:r>
        <w:rPr>
          <w:rFonts w:hint="eastAsia" w:ascii="宋体" w:hAnsi="宋体" w:cs="宋体"/>
          <w:color w:val="auto"/>
          <w:sz w:val="21"/>
          <w:szCs w:val="21"/>
          <w:highlight w:val="none"/>
          <w:lang w:eastAsia="zh-CN"/>
        </w:rPr>
        <w:t>中小微企业</w:t>
      </w:r>
      <w:r>
        <w:rPr>
          <w:rFonts w:hint="eastAsia" w:ascii="宋体" w:hAnsi="宋体" w:eastAsia="宋体" w:cs="宋体"/>
          <w:color w:val="auto"/>
          <w:sz w:val="21"/>
          <w:szCs w:val="21"/>
          <w:highlight w:val="none"/>
        </w:rPr>
        <w:t>且承接本项目全部工程的，提供《中小企业声明函》。②供应商如属于监狱企业且承接本项目全部工程的，提供由省级以上监狱管理局、戒毒管理局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含新疆生产建设兵团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出具的属于监狱企业的证明文件。③供应商如属于符合条件的残疾人福利性单位且承接本项目全部工程的，提供《残疾人福利性单位声明函》（并对声明的真实性负责）</w:t>
      </w:r>
      <w:r>
        <w:rPr>
          <w:rFonts w:hint="eastAsia" w:ascii="宋体" w:hAnsi="宋体" w:eastAsia="宋体" w:cs="宋体"/>
          <w:bCs/>
          <w:color w:val="auto"/>
          <w:sz w:val="21"/>
          <w:szCs w:val="21"/>
          <w:highlight w:val="none"/>
          <w:lang w:eastAsia="zh-CN"/>
        </w:rPr>
        <w:t>。</w:t>
      </w:r>
    </w:p>
    <w:p w14:paraId="1748458E">
      <w:pPr>
        <w:spacing w:line="400" w:lineRule="exact"/>
        <w:ind w:firstLine="42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）供应商参加政府采购活动前3年内在经营活动中没有重大违法记录及有关信用信息的书面声明或专项信用报告</w:t>
      </w:r>
      <w:r>
        <w:rPr>
          <w:rFonts w:hint="eastAsia" w:ascii="宋体" w:hAnsi="宋体" w:eastAsia="宋体" w:cs="宋体"/>
          <w:b/>
          <w:color w:val="auto"/>
          <w:sz w:val="21"/>
          <w:szCs w:val="21"/>
          <w:highlight w:val="none"/>
        </w:rPr>
        <w:t>（</w:t>
      </w:r>
      <w:bookmarkStart w:id="54" w:name="OLE_LINK28"/>
      <w:bookmarkStart w:id="55" w:name="OLE_LINK29"/>
      <w:r>
        <w:rPr>
          <w:rFonts w:hint="eastAsia" w:ascii="宋体" w:hAnsi="宋体" w:eastAsia="宋体" w:cs="宋体"/>
          <w:b/>
          <w:color w:val="auto"/>
          <w:sz w:val="21"/>
          <w:szCs w:val="21"/>
          <w:highlight w:val="none"/>
        </w:rPr>
        <w:t>必须提供）。</w:t>
      </w:r>
    </w:p>
    <w:p w14:paraId="4AA11B32">
      <w:pPr>
        <w:spacing w:line="40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注：供应商为广西经营主体的，可通过信用中国</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广西</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网站</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http://xygx.fgw.gxzf.gov.cn</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根据注册地信用中国网站的要求获取。</w:t>
      </w:r>
    </w:p>
    <w:bookmarkEnd w:id="54"/>
    <w:bookmarkEnd w:id="55"/>
    <w:p w14:paraId="219D395D">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11.1.2商务证明文件</w:t>
      </w:r>
    </w:p>
    <w:p w14:paraId="682640DF">
      <w:pPr>
        <w:spacing w:line="40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）供应商必须按格式填写“</w:t>
      </w:r>
      <w:bookmarkStart w:id="56" w:name="OLE_LINK31"/>
      <w:bookmarkStart w:id="57" w:name="OLE_LINK32"/>
      <w:r>
        <w:rPr>
          <w:rFonts w:hint="eastAsia" w:ascii="宋体" w:hAnsi="宋体" w:eastAsia="宋体" w:cs="宋体"/>
          <w:bCs/>
          <w:color w:val="auto"/>
          <w:sz w:val="21"/>
          <w:szCs w:val="21"/>
          <w:highlight w:val="none"/>
        </w:rPr>
        <w:t>工程报价汇总表</w:t>
      </w:r>
      <w:bookmarkEnd w:id="56"/>
      <w:bookmarkEnd w:id="57"/>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（必须提供）</w:t>
      </w:r>
      <w:r>
        <w:rPr>
          <w:rFonts w:hint="eastAsia" w:ascii="宋体" w:hAnsi="宋体" w:eastAsia="宋体" w:cs="宋体"/>
          <w:bCs/>
          <w:color w:val="auto"/>
          <w:sz w:val="21"/>
          <w:szCs w:val="21"/>
          <w:highlight w:val="none"/>
        </w:rPr>
        <w:t>；</w:t>
      </w:r>
    </w:p>
    <w:p w14:paraId="1E93884D">
      <w:pPr>
        <w:spacing w:line="40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）供应商必须按要求提供“工程量清单报价表”</w:t>
      </w:r>
      <w:r>
        <w:rPr>
          <w:rFonts w:hint="eastAsia" w:ascii="宋体" w:hAnsi="宋体" w:eastAsia="宋体" w:cs="宋体"/>
          <w:b/>
          <w:color w:val="auto"/>
          <w:sz w:val="21"/>
          <w:szCs w:val="21"/>
          <w:highlight w:val="none"/>
        </w:rPr>
        <w:t>（</w:t>
      </w:r>
      <w:bookmarkStart w:id="58" w:name="OLE_LINK34"/>
      <w:bookmarkStart w:id="59" w:name="OLE_LINK33"/>
      <w:r>
        <w:rPr>
          <w:rFonts w:hint="eastAsia" w:ascii="宋体" w:hAnsi="宋体" w:eastAsia="宋体" w:cs="宋体"/>
          <w:b/>
          <w:color w:val="auto"/>
          <w:sz w:val="21"/>
          <w:szCs w:val="21"/>
          <w:highlight w:val="none"/>
        </w:rPr>
        <w:t>必须提供</w:t>
      </w:r>
      <w:bookmarkEnd w:id="58"/>
      <w:bookmarkEnd w:id="59"/>
      <w:r>
        <w:rPr>
          <w:rFonts w:hint="eastAsia" w:ascii="宋体" w:hAnsi="宋体" w:eastAsia="宋体" w:cs="宋体"/>
          <w:b/>
          <w:color w:val="auto"/>
          <w:sz w:val="21"/>
          <w:szCs w:val="21"/>
          <w:highlight w:val="none"/>
        </w:rPr>
        <w:t>）；</w:t>
      </w:r>
    </w:p>
    <w:p w14:paraId="1CE0AAEC">
      <w:pPr>
        <w:spacing w:line="400" w:lineRule="exact"/>
        <w:ind w:firstLine="42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lang w:eastAsia="zh-CN"/>
        </w:rPr>
        <w:t>2023年1月1日</w:t>
      </w:r>
      <w:r>
        <w:rPr>
          <w:rFonts w:hint="eastAsia" w:ascii="宋体" w:hAnsi="宋体" w:eastAsia="宋体" w:cs="宋体"/>
          <w:bCs/>
          <w:color w:val="auto"/>
          <w:sz w:val="21"/>
          <w:szCs w:val="21"/>
          <w:highlight w:val="none"/>
        </w:rPr>
        <w:t>以来承建或经竣工验收的类似工程</w:t>
      </w:r>
      <w:r>
        <w:rPr>
          <w:rFonts w:hint="eastAsia" w:ascii="宋体" w:hAnsi="宋体" w:eastAsia="宋体" w:cs="宋体"/>
          <w:bCs/>
          <w:color w:val="auto"/>
          <w:sz w:val="21"/>
          <w:szCs w:val="21"/>
          <w:highlight w:val="none"/>
          <w:lang w:eastAsia="zh-CN"/>
        </w:rPr>
        <w:t>业绩</w:t>
      </w:r>
      <w:r>
        <w:rPr>
          <w:rFonts w:hint="eastAsia" w:ascii="宋体" w:hAnsi="宋体" w:eastAsia="宋体" w:cs="宋体"/>
          <w:bCs/>
          <w:color w:val="auto"/>
          <w:sz w:val="21"/>
          <w:szCs w:val="21"/>
          <w:highlight w:val="none"/>
        </w:rPr>
        <w:t>的相关证明材料</w:t>
      </w:r>
      <w:r>
        <w:rPr>
          <w:rFonts w:hint="eastAsia" w:ascii="宋体" w:hAnsi="宋体" w:eastAsia="宋体" w:cs="宋体"/>
          <w:b/>
          <w:color w:val="auto"/>
          <w:sz w:val="21"/>
          <w:szCs w:val="21"/>
          <w:highlight w:val="none"/>
        </w:rPr>
        <w:t>（如有，请提供）；</w:t>
      </w:r>
    </w:p>
    <w:p w14:paraId="7209D501">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供应商相关获奖证书、认证证书等</w:t>
      </w:r>
      <w:r>
        <w:rPr>
          <w:rFonts w:hint="eastAsia" w:ascii="宋体" w:hAnsi="宋体" w:eastAsia="宋体" w:cs="宋体"/>
          <w:b/>
          <w:color w:val="auto"/>
          <w:sz w:val="21"/>
          <w:szCs w:val="21"/>
          <w:highlight w:val="none"/>
        </w:rPr>
        <w:t>（如有，请提供）；</w:t>
      </w:r>
    </w:p>
    <w:p w14:paraId="7E3D8D2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）供应商可结合本项目的评审办法视自身情况自行提交相关证明材料</w:t>
      </w:r>
      <w:r>
        <w:rPr>
          <w:rFonts w:hint="eastAsia" w:ascii="宋体" w:hAnsi="宋体" w:eastAsia="宋体" w:cs="宋体"/>
          <w:b/>
          <w:color w:val="auto"/>
          <w:sz w:val="21"/>
          <w:szCs w:val="21"/>
          <w:highlight w:val="none"/>
        </w:rPr>
        <w:t>（如有，请提供）。</w:t>
      </w:r>
    </w:p>
    <w:p w14:paraId="1A5E2DCD">
      <w:pPr>
        <w:spacing w:line="400" w:lineRule="exact"/>
        <w:ind w:firstLine="42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11.1.3技术证明文件</w:t>
      </w:r>
      <w:r>
        <w:rPr>
          <w:rFonts w:hint="eastAsia" w:ascii="宋体" w:hAnsi="宋体" w:eastAsia="宋体" w:cs="宋体"/>
          <w:color w:val="auto"/>
          <w:sz w:val="21"/>
          <w:szCs w:val="21"/>
          <w:highlight w:val="none"/>
          <w:lang w:eastAsia="zh-CN"/>
        </w:rPr>
        <w:t>：</w:t>
      </w:r>
    </w:p>
    <w:p w14:paraId="2A0FD057">
      <w:pPr>
        <w:spacing w:line="400" w:lineRule="exact"/>
        <w:ind w:firstLine="42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（1）施工组织设计</w:t>
      </w:r>
      <w:r>
        <w:rPr>
          <w:rFonts w:hint="eastAsia" w:ascii="宋体" w:hAnsi="宋体" w:eastAsia="宋体" w:cs="宋体"/>
          <w:b/>
          <w:color w:val="auto"/>
          <w:sz w:val="21"/>
          <w:szCs w:val="21"/>
          <w:highlight w:val="none"/>
        </w:rPr>
        <w:t>（如有，请提供）</w:t>
      </w:r>
    </w:p>
    <w:p w14:paraId="3BB85C4B">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包括但不限于： ①主要施工方法；②关键施工技术、工艺及工程实施的重点、难点和解决方案；③确保安全生产的技术组织措施；④确保工程质量的技术组织措施；⑤确保工期的技术组织措施；⑥确保文明施工的技术组织措施；⑦拟投入的主要物资计划；⑧施工平面布置和临时设施布置；⑨劳动力安排计划；⑩项目风险预测与防范，事故应急预案。</w:t>
      </w:r>
    </w:p>
    <w:p w14:paraId="2AB9760D">
      <w:pPr>
        <w:spacing w:line="400" w:lineRule="exact"/>
        <w:ind w:firstLine="42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（2）供应商可结合本项目的评审办法视自身情况自行提交相关证明材料</w:t>
      </w:r>
      <w:r>
        <w:rPr>
          <w:rFonts w:hint="eastAsia" w:ascii="宋体" w:hAnsi="宋体" w:eastAsia="宋体" w:cs="宋体"/>
          <w:b/>
          <w:color w:val="auto"/>
          <w:sz w:val="21"/>
          <w:szCs w:val="21"/>
          <w:highlight w:val="none"/>
        </w:rPr>
        <w:t>（如有，请提供）。</w:t>
      </w:r>
    </w:p>
    <w:p w14:paraId="27F28B2B">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供应商提供第11.1条规定的相关证明材料必须真实有效，属于“必须提供”的材料应加盖供应商电子签章，否则，响应文件按无效处理； “第六章 响应文件（格式）”中有要求法定代表人或相应的授权委托代理人在规定位置签字（或电子签名）的，必须按要求签字（或电子签名），否则，响应文件按无效处理。</w:t>
      </w:r>
    </w:p>
    <w:p w14:paraId="1ED1BE2D">
      <w:pPr>
        <w:spacing w:line="380" w:lineRule="exact"/>
        <w:ind w:firstLine="42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11.2供应商应按竞争性磋商文件第</w:t>
      </w:r>
      <w:r>
        <w:rPr>
          <w:rFonts w:hint="eastAsia" w:ascii="宋体" w:hAnsi="宋体" w:eastAsia="宋体" w:cs="宋体"/>
          <w:color w:val="auto"/>
          <w:kern w:val="0"/>
          <w:sz w:val="21"/>
          <w:szCs w:val="20"/>
          <w:highlight w:val="none"/>
          <w:lang w:eastAsia="zh-CN"/>
        </w:rPr>
        <w:t>六</w:t>
      </w:r>
      <w:r>
        <w:rPr>
          <w:rFonts w:hint="eastAsia" w:ascii="宋体" w:hAnsi="宋体" w:eastAsia="宋体" w:cs="宋体"/>
          <w:color w:val="auto"/>
          <w:kern w:val="0"/>
          <w:sz w:val="21"/>
          <w:szCs w:val="20"/>
          <w:highlight w:val="none"/>
        </w:rPr>
        <w:t>章“响应文件（格式）”编制响应文件。</w:t>
      </w:r>
    </w:p>
    <w:p w14:paraId="6F7977BF">
      <w:pPr>
        <w:tabs>
          <w:tab w:val="left" w:pos="1305"/>
        </w:tabs>
        <w:spacing w:line="380" w:lineRule="exact"/>
        <w:ind w:firstLine="42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12.响应文件的语言及计量</w:t>
      </w:r>
    </w:p>
    <w:p w14:paraId="21F3CB75">
      <w:pPr>
        <w:tabs>
          <w:tab w:val="left" w:pos="1305"/>
        </w:tabs>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准。</w:t>
      </w:r>
    </w:p>
    <w:p w14:paraId="20D0FEBA">
      <w:pPr>
        <w:tabs>
          <w:tab w:val="left" w:pos="1305"/>
        </w:tabs>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 响应计量单位，磋商文件已有明确规定的，使用磋商文件规定的计量单位；磋商文件没有规定的，必须采用中华人民共和国法定计量单位（货币单位：人民币元），否则视同未响应。</w:t>
      </w:r>
    </w:p>
    <w:p w14:paraId="0CC8FA65">
      <w:pPr>
        <w:tabs>
          <w:tab w:val="left" w:pos="1305"/>
        </w:tabs>
        <w:spacing w:line="380" w:lineRule="exact"/>
        <w:ind w:firstLine="42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13.磋商报价及采购预算金额</w:t>
      </w:r>
    </w:p>
    <w:p w14:paraId="153A997C">
      <w:pPr>
        <w:tabs>
          <w:tab w:val="left" w:pos="1305"/>
        </w:tabs>
        <w:spacing w:line="38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13.1磋商报价应按磋商文件中相关附件格式填写。</w:t>
      </w:r>
    </w:p>
    <w:p w14:paraId="041EE4A5">
      <w:pPr>
        <w:tabs>
          <w:tab w:val="left" w:pos="1305"/>
        </w:tabs>
        <w:spacing w:line="38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13.2</w:t>
      </w:r>
      <w:r>
        <w:rPr>
          <w:rFonts w:hint="eastAsia" w:ascii="宋体" w:hAnsi="宋体" w:eastAsia="宋体" w:cs="宋体"/>
          <w:color w:val="auto"/>
          <w:sz w:val="21"/>
          <w:szCs w:val="21"/>
          <w:highlight w:val="none"/>
        </w:rPr>
        <w:t>报价</w:t>
      </w:r>
      <w:r>
        <w:rPr>
          <w:rFonts w:hint="eastAsia" w:ascii="宋体" w:hAnsi="宋体" w:eastAsia="宋体" w:cs="宋体"/>
          <w:bCs/>
          <w:color w:val="auto"/>
          <w:sz w:val="21"/>
          <w:szCs w:val="21"/>
          <w:highlight w:val="none"/>
        </w:rPr>
        <w:t>包括施工设备、主要材料、辅助材料、铺装、垃圾清运、劳务、管理、维护、保险、利润、增值税、政策性文件规定及合同包含的所有风险、责任等各项应有费用。</w:t>
      </w:r>
    </w:p>
    <w:p w14:paraId="586C6C7E">
      <w:pPr>
        <w:tabs>
          <w:tab w:val="left" w:pos="1305"/>
        </w:tabs>
        <w:spacing w:line="38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磋商货币：响应文件报价中的单价和合价全部采用人民币表示。</w:t>
      </w:r>
    </w:p>
    <w:p w14:paraId="528AF045">
      <w:pPr>
        <w:tabs>
          <w:tab w:val="left" w:pos="1305"/>
        </w:tabs>
        <w:spacing w:line="380" w:lineRule="exact"/>
        <w:ind w:firstLine="420"/>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13.</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本项目预算金额</w:t>
      </w:r>
      <w:r>
        <w:rPr>
          <w:rFonts w:hint="eastAsia" w:ascii="宋体" w:hAnsi="宋体" w:eastAsia="宋体" w:cs="宋体"/>
          <w:b/>
          <w:bCs w:val="0"/>
          <w:color w:val="auto"/>
          <w:sz w:val="21"/>
          <w:szCs w:val="21"/>
          <w:highlight w:val="none"/>
          <w:lang w:eastAsia="zh-CN"/>
        </w:rPr>
        <w:t>及最高限价</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本项目预算金额为</w:t>
      </w:r>
      <w:r>
        <w:rPr>
          <w:rFonts w:hint="eastAsia" w:ascii="宋体" w:hAnsi="宋体" w:cs="宋体"/>
          <w:b/>
          <w:bCs w:val="0"/>
          <w:color w:val="auto"/>
          <w:sz w:val="21"/>
          <w:szCs w:val="21"/>
          <w:highlight w:val="none"/>
          <w:lang w:eastAsia="zh-CN"/>
        </w:rPr>
        <w:t>叁佰零肆万陆仟零肆拾叁元捌角整</w:t>
      </w:r>
      <w:r>
        <w:rPr>
          <w:rFonts w:hint="eastAsia" w:ascii="宋体" w:hAnsi="宋体" w:eastAsia="宋体" w:cs="宋体"/>
          <w:b/>
          <w:bCs w:val="0"/>
          <w:color w:val="auto"/>
          <w:sz w:val="21"/>
          <w:szCs w:val="21"/>
          <w:highlight w:val="none"/>
          <w:lang w:eastAsia="zh-CN"/>
        </w:rPr>
        <w:t>（¥</w:t>
      </w:r>
      <w:r>
        <w:rPr>
          <w:rFonts w:hint="eastAsia" w:ascii="宋体" w:hAnsi="宋体" w:cs="宋体"/>
          <w:b/>
          <w:bCs w:val="0"/>
          <w:color w:val="auto"/>
          <w:sz w:val="21"/>
          <w:szCs w:val="21"/>
          <w:highlight w:val="none"/>
          <w:lang w:val="en-US" w:eastAsia="zh-CN"/>
        </w:rPr>
        <w:t>3046043.80</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，最高限价为：人民币</w:t>
      </w:r>
      <w:r>
        <w:rPr>
          <w:rFonts w:hint="eastAsia" w:ascii="宋体" w:hAnsi="宋体" w:cs="宋体"/>
          <w:b/>
          <w:bCs w:val="0"/>
          <w:color w:val="auto"/>
          <w:sz w:val="21"/>
          <w:szCs w:val="21"/>
          <w:highlight w:val="none"/>
          <w:lang w:val="en-US" w:eastAsia="zh-CN"/>
        </w:rPr>
        <w:t>叁佰零肆万陆仟零肆拾叁元捌角整</w:t>
      </w:r>
      <w:r>
        <w:rPr>
          <w:rFonts w:hint="eastAsia" w:ascii="宋体" w:hAnsi="宋体" w:eastAsia="宋体" w:cs="宋体"/>
          <w:b/>
          <w:bCs w:val="0"/>
          <w:color w:val="auto"/>
          <w:sz w:val="21"/>
          <w:szCs w:val="21"/>
          <w:highlight w:val="none"/>
          <w:lang w:eastAsia="zh-CN"/>
        </w:rPr>
        <w:t>（¥</w:t>
      </w:r>
      <w:r>
        <w:rPr>
          <w:rFonts w:hint="eastAsia" w:ascii="宋体" w:hAnsi="宋体" w:cs="宋体"/>
          <w:b/>
          <w:bCs w:val="0"/>
          <w:color w:val="auto"/>
          <w:sz w:val="21"/>
          <w:szCs w:val="21"/>
          <w:highlight w:val="none"/>
          <w:lang w:val="en-US" w:eastAsia="zh-CN"/>
        </w:rPr>
        <w:t>3046043.80</w:t>
      </w:r>
      <w:r>
        <w:rPr>
          <w:rFonts w:hint="eastAsia" w:ascii="宋体" w:hAnsi="宋体" w:eastAsia="宋体" w:cs="宋体"/>
          <w:b/>
          <w:bCs w:val="0"/>
          <w:color w:val="auto"/>
          <w:sz w:val="21"/>
          <w:szCs w:val="21"/>
          <w:highlight w:val="none"/>
          <w:lang w:eastAsia="zh-CN"/>
        </w:rPr>
        <w:t>）。供应商的磋商报价及相应采购标的报价不得高于上述相应最高限价，否则响应文件按无效处理。</w:t>
      </w:r>
    </w:p>
    <w:p w14:paraId="37306062">
      <w:pPr>
        <w:tabs>
          <w:tab w:val="left" w:pos="1305"/>
        </w:tabs>
        <w:spacing w:line="380" w:lineRule="exact"/>
        <w:ind w:firstLine="42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14.响应文件有效期</w:t>
      </w:r>
    </w:p>
    <w:p w14:paraId="55EE56DB">
      <w:pPr>
        <w:tabs>
          <w:tab w:val="left" w:pos="1305"/>
        </w:tabs>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响应文件有效期：自响应文件提交截止时间之日起90天，有效期不足的响应文件将被拒绝。</w:t>
      </w:r>
    </w:p>
    <w:p w14:paraId="338705CC">
      <w:pPr>
        <w:tabs>
          <w:tab w:val="left" w:pos="1305"/>
        </w:tabs>
        <w:spacing w:line="380" w:lineRule="exact"/>
        <w:ind w:firstLine="42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15.电子响应文件的制作、加密要求</w:t>
      </w:r>
    </w:p>
    <w:p w14:paraId="5DF62EB6">
      <w:pPr>
        <w:snapToGrid w:val="0"/>
        <w:spacing w:line="380" w:lineRule="exact"/>
        <w:ind w:firstLine="42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15.1</w:t>
      </w:r>
      <w:r>
        <w:rPr>
          <w:rFonts w:hint="eastAsia" w:ascii="宋体" w:hAnsi="宋体" w:eastAsia="宋体" w:cs="宋体"/>
          <w:bCs/>
          <w:color w:val="auto"/>
          <w:sz w:val="21"/>
          <w:szCs w:val="21"/>
          <w:highlight w:val="none"/>
        </w:rPr>
        <w:t>供应商制作电子响应文件前，应登录广西政府采购云平台进行“申请获取采购文件”操作，否则，将导致无法在线编制响应文件并参与竞标，其不利后果由供应商自行承担</w:t>
      </w:r>
      <w:r>
        <w:rPr>
          <w:rFonts w:hint="eastAsia" w:ascii="宋体" w:hAnsi="宋体" w:eastAsia="宋体" w:cs="宋体"/>
          <w:color w:val="auto"/>
          <w:sz w:val="21"/>
          <w:szCs w:val="24"/>
          <w:highlight w:val="none"/>
        </w:rPr>
        <w:t>。</w:t>
      </w:r>
    </w:p>
    <w:p w14:paraId="486AE085">
      <w:pPr>
        <w:snapToGrid w:val="0"/>
        <w:spacing w:line="380" w:lineRule="exact"/>
        <w:ind w:firstLine="42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15.2供应商下载或获取竞争性磋商文件后，登录</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sz w:val="21"/>
          <w:szCs w:val="24"/>
          <w:highlight w:val="none"/>
        </w:rPr>
        <w:t>，按照本磋商文件规定的响应文件格式、顺序以及</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sz w:val="21"/>
          <w:szCs w:val="24"/>
          <w:highlight w:val="none"/>
        </w:rPr>
        <w:t>的要求，通过</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sz w:val="21"/>
          <w:szCs w:val="24"/>
          <w:highlight w:val="none"/>
        </w:rPr>
        <w:t>编制电子响应文件。</w:t>
      </w:r>
    </w:p>
    <w:p w14:paraId="47343771">
      <w:pPr>
        <w:snapToGrid w:val="0"/>
        <w:spacing w:line="380" w:lineRule="exact"/>
        <w:ind w:firstLine="42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15.3供应商应按</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sz w:val="21"/>
          <w:szCs w:val="24"/>
          <w:highlight w:val="none"/>
        </w:rPr>
        <w:t>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393FBDD2">
      <w:pPr>
        <w:snapToGrid w:val="0"/>
        <w:spacing w:line="380" w:lineRule="exact"/>
        <w:ind w:firstLine="42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15.4</w:t>
      </w:r>
      <w:r>
        <w:rPr>
          <w:rFonts w:hint="eastAsia" w:ascii="宋体" w:hAnsi="宋体" w:eastAsia="宋体" w:cs="宋体"/>
          <w:color w:val="auto"/>
          <w:sz w:val="21"/>
          <w:szCs w:val="21"/>
          <w:highlight w:val="none"/>
        </w:rPr>
        <w:t>电子响应文件不得涂改，若有修改错漏处，须由法定代表人或授权委托代理人签字（或电子签名）。因响应文件字迹潦草、表达不清、内容不完整、编排混乱导致响应文件被误读、漏读，或者在按竞争性磋商文件规定的部位查找不到相关内容的，其不利后果由供应商自行承担</w:t>
      </w:r>
      <w:r>
        <w:rPr>
          <w:rFonts w:hint="eastAsia" w:ascii="宋体" w:hAnsi="宋体" w:eastAsia="宋体" w:cs="宋体"/>
          <w:color w:val="auto"/>
          <w:sz w:val="21"/>
          <w:szCs w:val="24"/>
          <w:highlight w:val="none"/>
        </w:rPr>
        <w:t>。</w:t>
      </w:r>
    </w:p>
    <w:p w14:paraId="5D61FDF9">
      <w:pPr>
        <w:snapToGrid w:val="0"/>
        <w:spacing w:line="380" w:lineRule="exact"/>
        <w:ind w:firstLine="42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15.5供应商编制、生成电子响应文件后应当加密响应文件。供应商未按规定编制并加密的响应文件，</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sz w:val="21"/>
          <w:szCs w:val="24"/>
          <w:highlight w:val="none"/>
        </w:rPr>
        <w:t>将予以拒收。</w:t>
      </w:r>
    </w:p>
    <w:p w14:paraId="13592DC0">
      <w:pPr>
        <w:snapToGrid w:val="0"/>
        <w:spacing w:line="380" w:lineRule="exact"/>
        <w:ind w:firstLine="42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15.6</w:t>
      </w:r>
      <w:r>
        <w:rPr>
          <w:rFonts w:hint="eastAsia" w:ascii="宋体" w:hAnsi="宋体" w:eastAsia="宋体" w:cs="宋体"/>
          <w:b/>
          <w:color w:val="auto"/>
          <w:kern w:val="0"/>
          <w:sz w:val="21"/>
          <w:szCs w:val="21"/>
          <w:highlight w:val="none"/>
        </w:rPr>
        <w:t>供应商公章及签字</w:t>
      </w:r>
    </w:p>
    <w:p w14:paraId="5F3CCEA1">
      <w:pPr>
        <w:snapToGrid w:val="0"/>
        <w:spacing w:line="380" w:lineRule="exact"/>
        <w:ind w:firstLine="42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14:paraId="3ACFD2F3">
      <w:pPr>
        <w:snapToGrid w:val="0"/>
        <w:spacing w:line="380" w:lineRule="exact"/>
        <w:ind w:firstLine="42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51DC93A9">
      <w:pPr>
        <w:snapToGrid w:val="0"/>
        <w:spacing w:line="380" w:lineRule="exact"/>
        <w:ind w:firstLine="42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15.6.3本竞争性磋商文件所称的“电子签章</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电子签名”，是指经</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sz w:val="21"/>
          <w:szCs w:val="24"/>
          <w:highlight w:val="none"/>
        </w:rPr>
        <w:t>认可的CA认证的电子签名数据为表现形式的印章，可用于签署电子响应文件，电子签章与实物印章、电子签名与手写签名具有同等法律效力，不因其采用电子化表现形式而否定其法律效力。</w:t>
      </w:r>
    </w:p>
    <w:p w14:paraId="16199D01">
      <w:pPr>
        <w:tabs>
          <w:tab w:val="left" w:pos="1305"/>
        </w:tabs>
        <w:spacing w:line="380" w:lineRule="exact"/>
        <w:ind w:firstLine="42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16.首次响应文件的提交、撤回、修改</w:t>
      </w:r>
    </w:p>
    <w:p w14:paraId="6FA8E456">
      <w:pPr>
        <w:spacing w:line="400" w:lineRule="exact"/>
        <w:ind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16.1响应文件的提交截止时间：</w:t>
      </w:r>
      <w:r>
        <w:rPr>
          <w:rFonts w:hint="eastAsia" w:ascii="宋体" w:hAnsi="宋体" w:eastAsia="宋体" w:cs="宋体"/>
          <w:color w:val="auto"/>
          <w:sz w:val="21"/>
          <w:szCs w:val="21"/>
          <w:highlight w:val="none"/>
          <w:u w:val="single"/>
          <w:lang w:eastAsia="zh-CN"/>
        </w:rPr>
        <w:t>2026年</w:t>
      </w:r>
      <w:r>
        <w:rPr>
          <w:rFonts w:hint="eastAsia" w:ascii="宋体" w:hAnsi="宋体" w:cs="宋体"/>
          <w:color w:val="auto"/>
          <w:sz w:val="21"/>
          <w:szCs w:val="21"/>
          <w:highlight w:val="none"/>
          <w:u w:val="single"/>
          <w:lang w:val="en-US" w:eastAsia="zh-CN"/>
        </w:rPr>
        <w:t>7月3日</w:t>
      </w:r>
      <w:r>
        <w:rPr>
          <w:rFonts w:hint="eastAsia" w:ascii="宋体" w:hAnsi="宋体" w:eastAsia="宋体" w:cs="宋体"/>
          <w:color w:val="auto"/>
          <w:sz w:val="21"/>
          <w:szCs w:val="21"/>
          <w:highlight w:val="none"/>
          <w:u w:val="single"/>
        </w:rPr>
        <w:t>上午9</w:t>
      </w:r>
      <w:r>
        <w:rPr>
          <w:rFonts w:hint="eastAsia" w:ascii="宋体" w:hAnsi="宋体" w:eastAsia="宋体" w:cs="宋体"/>
          <w:bCs/>
          <w:color w:val="auto"/>
          <w:sz w:val="21"/>
          <w:szCs w:val="21"/>
          <w:highlight w:val="none"/>
          <w:u w:val="single"/>
        </w:rPr>
        <w:t>时30分</w:t>
      </w:r>
      <w:r>
        <w:rPr>
          <w:rFonts w:hint="eastAsia" w:ascii="宋体" w:hAnsi="宋体" w:eastAsia="宋体" w:cs="宋体"/>
          <w:bCs/>
          <w:color w:val="auto"/>
          <w:sz w:val="21"/>
          <w:szCs w:val="21"/>
          <w:highlight w:val="none"/>
        </w:rPr>
        <w:t>（北京时间）</w:t>
      </w:r>
    </w:p>
    <w:p w14:paraId="3D4CA131">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16.2地点：通过</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sz w:val="21"/>
          <w:szCs w:val="21"/>
          <w:highlight w:val="none"/>
        </w:rPr>
        <w:t>在线提交。</w:t>
      </w:r>
    </w:p>
    <w:p w14:paraId="3FD0A8A5">
      <w:pPr>
        <w:adjustRightInd w:val="0"/>
        <w:snapToGrid w:val="0"/>
        <w:spacing w:line="40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宋体"/>
          <w:color w:val="auto"/>
          <w:kern w:val="0"/>
          <w:sz w:val="21"/>
          <w:szCs w:val="21"/>
          <w:highlight w:val="none"/>
        </w:rPr>
        <w:t>在响应文件提交截止时间后的响应文件有效期内，供应商不得撤回其响应文件。</w:t>
      </w:r>
      <w:r>
        <w:rPr>
          <w:rFonts w:hint="eastAsia" w:ascii="宋体" w:hAnsi="宋体" w:eastAsia="宋体" w:cs="宋体"/>
          <w:bCs/>
          <w:color w:val="auto"/>
          <w:sz w:val="21"/>
          <w:szCs w:val="21"/>
          <w:highlight w:val="none"/>
        </w:rPr>
        <w:t>响应文件提交截止时间止未成功将电子响应文件上传广西政府采购云平台的，视为未提交响应文件。</w:t>
      </w:r>
    </w:p>
    <w:p w14:paraId="42E2A599">
      <w:pPr>
        <w:tabs>
          <w:tab w:val="left" w:pos="1305"/>
        </w:tabs>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16.4除竞争性磋商文件另有规定外，供应商所提交的响应文件不予退还。</w:t>
      </w:r>
    </w:p>
    <w:p w14:paraId="0BF7A864">
      <w:pPr>
        <w:tabs>
          <w:tab w:val="left" w:pos="1305"/>
        </w:tabs>
        <w:spacing w:line="380" w:lineRule="exact"/>
        <w:ind w:firstLine="422"/>
        <w:rPr>
          <w:rFonts w:hint="eastAsia" w:ascii="宋体" w:hAnsi="宋体" w:eastAsia="宋体" w:cs="宋体"/>
          <w:color w:val="auto"/>
          <w:sz w:val="18"/>
          <w:szCs w:val="18"/>
          <w:highlight w:val="none"/>
        </w:rPr>
      </w:pPr>
      <w:r>
        <w:rPr>
          <w:rFonts w:hint="eastAsia" w:ascii="宋体" w:hAnsi="宋体" w:eastAsia="宋体" w:cs="宋体"/>
          <w:b/>
          <w:color w:val="auto"/>
          <w:kern w:val="0"/>
          <w:sz w:val="21"/>
          <w:szCs w:val="21"/>
          <w:highlight w:val="none"/>
        </w:rPr>
        <w:t>17.响应文件的解密</w:t>
      </w:r>
    </w:p>
    <w:p w14:paraId="3703B495">
      <w:pPr>
        <w:tabs>
          <w:tab w:val="left" w:pos="1305"/>
        </w:tabs>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响应文件提交截止时间后，采购代理机构开启解密响应文件操作，</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kern w:val="0"/>
          <w:sz w:val="21"/>
          <w:szCs w:val="21"/>
          <w:highlight w:val="none"/>
        </w:rPr>
        <w:t>向各供应商发出电子加密响应文件解密通知，由供应商在系统发出解密通知后30分钟内自行使用加密时的CA通过“项目采购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标评标”功能对响应文件进行解密。若供应商在上述规定的时间内无法解密或解密失败的，可以在响应文件解密截止时间后30分钟内向采购代理机构现场提交电子备份响应文件（接收电子备份响应文件的电子邮箱为：guilinyl@vip.sina.com）；供应商未在上述规定的时间、电子邮箱提交的电子备份响应文件，采购代理机构不予接收或承认。采购代理机构收到电子备份响应文件后按“政府采购云平台”操作规范上传至</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kern w:val="0"/>
          <w:sz w:val="21"/>
          <w:szCs w:val="21"/>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的情况），视为供应商放弃磋商。</w:t>
      </w:r>
    </w:p>
    <w:p w14:paraId="24339112">
      <w:pPr>
        <w:tabs>
          <w:tab w:val="left" w:pos="1305"/>
        </w:tabs>
        <w:spacing w:line="380" w:lineRule="exact"/>
        <w:ind w:firstLine="420"/>
        <w:rPr>
          <w:rFonts w:hint="eastAsia" w:ascii="宋体" w:hAnsi="宋体" w:eastAsia="宋体" w:cs="宋体"/>
          <w:color w:val="auto"/>
          <w:kern w:val="0"/>
          <w:sz w:val="21"/>
          <w:szCs w:val="21"/>
          <w:highlight w:val="none"/>
        </w:rPr>
      </w:pPr>
    </w:p>
    <w:p w14:paraId="69512A51">
      <w:pPr>
        <w:tabs>
          <w:tab w:val="left" w:pos="1305"/>
        </w:tabs>
        <w:spacing w:line="380" w:lineRule="exact"/>
        <w:ind w:firstLine="562"/>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四、竞争性磋商（简称磋商）与评审</w:t>
      </w:r>
    </w:p>
    <w:p w14:paraId="69D149E7">
      <w:pPr>
        <w:tabs>
          <w:tab w:val="center" w:pos="4411"/>
          <w:tab w:val="left" w:pos="5475"/>
        </w:tabs>
        <w:spacing w:line="380" w:lineRule="exact"/>
        <w:ind w:firstLine="422"/>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18.磋商小组组成及磋商时间、地点、人员</w:t>
      </w:r>
    </w:p>
    <w:p w14:paraId="1D0D1303">
      <w:pPr>
        <w:spacing w:line="380" w:lineRule="exact"/>
        <w:ind w:firstLine="435"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18.1 磋商小组组成：</w:t>
      </w:r>
    </w:p>
    <w:p w14:paraId="199F29BE">
      <w:pPr>
        <w:tabs>
          <w:tab w:val="left" w:pos="1140"/>
        </w:tabs>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磋商及评审组织工作由采购代理机构负责，具体磋商、评审工作由依法组建的磋商小组负责，磋商小组由采购人代表和</w:t>
      </w:r>
      <w:r>
        <w:rPr>
          <w:rFonts w:hint="eastAsia" w:ascii="宋体" w:hAnsi="宋体" w:eastAsia="宋体" w:cs="宋体"/>
          <w:color w:val="auto"/>
          <w:kern w:val="0"/>
          <w:sz w:val="21"/>
          <w:szCs w:val="21"/>
          <w:highlight w:val="none"/>
          <w:lang w:eastAsia="zh-CN"/>
        </w:rPr>
        <w:t>评审专家</w:t>
      </w:r>
      <w:r>
        <w:rPr>
          <w:rFonts w:hint="eastAsia" w:ascii="宋体" w:hAnsi="宋体" w:eastAsia="宋体" w:cs="宋体"/>
          <w:color w:val="auto"/>
          <w:kern w:val="0"/>
          <w:sz w:val="21"/>
          <w:szCs w:val="21"/>
          <w:highlight w:val="none"/>
        </w:rPr>
        <w:t>3人组成，其中评审专家人数不得少于磋商小组成员总数的2/3。</w:t>
      </w:r>
    </w:p>
    <w:p w14:paraId="0A1114BA">
      <w:pPr>
        <w:tabs>
          <w:tab w:val="left" w:pos="1305"/>
        </w:tabs>
        <w:spacing w:line="380" w:lineRule="exact"/>
        <w:ind w:firstLine="42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18.2 磋商时间、地点、人员：</w:t>
      </w:r>
    </w:p>
    <w:p w14:paraId="4C54C79C">
      <w:pPr>
        <w:spacing w:line="380" w:lineRule="exact"/>
        <w:ind w:left="360" w:leftChars="150" w:firstLine="105" w:firstLineChars="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18.2.1 磋商时间：首次响应文件提交截止时间后。</w:t>
      </w:r>
    </w:p>
    <w:p w14:paraId="6B7A93AC">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18.2.2 磋商地点：</w:t>
      </w:r>
      <w:r>
        <w:rPr>
          <w:rFonts w:hint="eastAsia" w:ascii="宋体" w:hAnsi="宋体" w:eastAsia="宋体" w:cs="宋体"/>
          <w:bCs/>
          <w:color w:val="auto"/>
          <w:sz w:val="21"/>
          <w:szCs w:val="21"/>
          <w:highlight w:val="none"/>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58800BD1">
      <w:pPr>
        <w:tabs>
          <w:tab w:val="left" w:pos="1140"/>
        </w:tabs>
        <w:spacing w:line="380" w:lineRule="exact"/>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18.2.3 磋商参加人员：</w:t>
      </w:r>
      <w:r>
        <w:rPr>
          <w:rFonts w:hint="eastAsia" w:ascii="宋体" w:hAnsi="宋体" w:eastAsia="宋体" w:cs="宋体"/>
          <w:color w:val="auto"/>
          <w:sz w:val="21"/>
          <w:szCs w:val="21"/>
          <w:highlight w:val="none"/>
        </w:rPr>
        <w:t>供应商法定代表人或相应的委托代理人参加磋商。请供应商</w:t>
      </w:r>
      <w:r>
        <w:rPr>
          <w:rFonts w:hint="eastAsia" w:ascii="宋体" w:hAnsi="宋体" w:eastAsia="宋体" w:cs="宋体"/>
          <w:bCs/>
          <w:color w:val="auto"/>
          <w:sz w:val="21"/>
          <w:szCs w:val="21"/>
          <w:highlight w:val="none"/>
        </w:rPr>
        <w:t>实时登录广西政府采购云平台</w:t>
      </w:r>
      <w:r>
        <w:rPr>
          <w:rFonts w:hint="eastAsia" w:ascii="宋体" w:hAnsi="宋体" w:eastAsia="宋体" w:cs="宋体"/>
          <w:color w:val="auto"/>
          <w:sz w:val="21"/>
          <w:szCs w:val="21"/>
          <w:highlight w:val="none"/>
        </w:rPr>
        <w:t>等候在线磋商。</w:t>
      </w:r>
    </w:p>
    <w:p w14:paraId="43524524">
      <w:pPr>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18.2.4 首次响应文件提交截止时间后，登录</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sz w:val="21"/>
          <w:szCs w:val="21"/>
          <w:highlight w:val="none"/>
        </w:rPr>
        <w:t>在线解密开启。</w:t>
      </w:r>
    </w:p>
    <w:p w14:paraId="4633455A">
      <w:pPr>
        <w:tabs>
          <w:tab w:val="left" w:pos="1140"/>
        </w:tabs>
        <w:spacing w:line="380" w:lineRule="exact"/>
        <w:ind w:left="472" w:leftChars="172" w:hanging="59" w:hangingChars="28"/>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19.评审原则和评审办法</w:t>
      </w:r>
    </w:p>
    <w:p w14:paraId="37F86E47">
      <w:pPr>
        <w:tabs>
          <w:tab w:val="left" w:pos="1140"/>
        </w:tabs>
        <w:spacing w:line="380" w:lineRule="exact"/>
        <w:ind w:firstLine="359" w:firstLineChars="17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0"/>
          <w:highlight w:val="none"/>
        </w:rPr>
        <w:t xml:space="preserve">19.1 </w:t>
      </w:r>
      <w:r>
        <w:rPr>
          <w:rFonts w:hint="eastAsia" w:ascii="宋体" w:hAnsi="宋体" w:eastAsia="宋体" w:cs="宋体"/>
          <w:color w:val="auto"/>
          <w:kern w:val="0"/>
          <w:sz w:val="21"/>
          <w:szCs w:val="21"/>
          <w:highlight w:val="none"/>
        </w:rPr>
        <w:t>磋商小组必须坚持公平、公正、科学和择优的原则。</w:t>
      </w:r>
    </w:p>
    <w:p w14:paraId="50AB78CD">
      <w:pPr>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19.2综合评分法，具体详见“第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评审办法”。</w:t>
      </w:r>
    </w:p>
    <w:p w14:paraId="5D463699">
      <w:pPr>
        <w:spacing w:line="380" w:lineRule="exact"/>
        <w:ind w:firstLine="359" w:firstLineChars="17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19.3 磋商小组应按磋商文件进行评审，不得擅自更改评审办法。</w:t>
      </w:r>
    </w:p>
    <w:p w14:paraId="69A97B86">
      <w:pPr>
        <w:spacing w:line="380" w:lineRule="exact"/>
        <w:ind w:firstLine="359" w:firstLineChars="17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19.4 在评审过程中，磋商小组任何人不得对某个供应商发表任何倾向性意见，不得向其他磋商小组成员明示或者暗示自己的评审意见。</w:t>
      </w:r>
    </w:p>
    <w:p w14:paraId="25F4ABC2">
      <w:pPr>
        <w:tabs>
          <w:tab w:val="left" w:pos="1140"/>
        </w:tabs>
        <w:spacing w:line="380" w:lineRule="exact"/>
        <w:ind w:firstLine="359" w:firstLineChars="17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19.5磋商小组成员对需要共同认定的事项存在争议的，按照少数服从多数的原则作出结论。持不同意见的磋商小组成员应当在评审报告上签署不同意见并说明理由，否则视为同意。</w:t>
      </w:r>
    </w:p>
    <w:p w14:paraId="366DF06B">
      <w:pPr>
        <w:tabs>
          <w:tab w:val="left" w:pos="1140"/>
        </w:tabs>
        <w:spacing w:line="380" w:lineRule="exact"/>
        <w:ind w:left="472" w:leftChars="172" w:hanging="59" w:hangingChars="28"/>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20.评审程序及磋商要求</w:t>
      </w:r>
    </w:p>
    <w:p w14:paraId="32AD0287">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20.1磋商小组成员的通讯工具或相关电子设备交由桂林市公共资源交易中心统一保管后到达评标室，采购代理机构核实磋商小组成员身份，告知回避要求，宣布评审工作纪律和程序，推选磋商小组组长。</w:t>
      </w:r>
    </w:p>
    <w:p w14:paraId="3246BDB9">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 磋商小组应当审查供应商的响应文件并作出评价；要求供应商解释或者澄清其响应文件；编写评审报告；告知采购人、采购代理机构在评审过程中发现的供应商的违法违规行为。</w:t>
      </w:r>
    </w:p>
    <w:p w14:paraId="5EE94363">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 磋商小组依据法律法规和竞争性磋商文件的规定，</w:t>
      </w:r>
      <w:r>
        <w:rPr>
          <w:rFonts w:hint="eastAsia" w:ascii="宋体" w:hAnsi="宋体" w:eastAsia="宋体" w:cs="宋体"/>
          <w:color w:val="auto"/>
          <w:kern w:val="0"/>
          <w:sz w:val="21"/>
          <w:szCs w:val="20"/>
          <w:highlight w:val="none"/>
        </w:rPr>
        <w:t>首先对响应文件进行资格性审查，</w:t>
      </w:r>
      <w:r>
        <w:rPr>
          <w:rFonts w:hint="eastAsia" w:ascii="宋体" w:hAnsi="宋体" w:eastAsia="宋体" w:cs="宋体"/>
          <w:color w:val="auto"/>
          <w:kern w:val="0"/>
          <w:sz w:val="21"/>
          <w:szCs w:val="21"/>
          <w:highlight w:val="none"/>
        </w:rPr>
        <w:t>以确定供应商是否具备本项目供应商资格；再对通过资格性审查的供应商响应文件的有效性、完整性和对磋商文件的响应程度进行符合性审查，以确定是否对磋商文件的实质性要求做出响应。</w:t>
      </w:r>
    </w:p>
    <w:p w14:paraId="77655E75">
      <w:pPr>
        <w:spacing w:line="380" w:lineRule="exact"/>
        <w:ind w:firstLine="420"/>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20.4</w:t>
      </w:r>
      <w:r>
        <w:rPr>
          <w:rFonts w:hint="eastAsia" w:ascii="宋体" w:hAnsi="宋体" w:eastAsia="宋体" w:cs="宋体"/>
          <w:b/>
          <w:bCs/>
          <w:color w:val="auto"/>
          <w:kern w:val="0"/>
          <w:sz w:val="21"/>
          <w:szCs w:val="21"/>
          <w:highlight w:val="none"/>
          <w:lang w:eastAsia="zh-CN"/>
        </w:rPr>
        <w:t>信用查询及股东查询</w:t>
      </w:r>
    </w:p>
    <w:p w14:paraId="7C82C050">
      <w:pPr>
        <w:spacing w:line="380" w:lineRule="exact"/>
        <w:ind w:firstLine="420"/>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20.4</w:t>
      </w: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lang w:eastAsia="zh-CN"/>
        </w:rPr>
        <w:t>信用查询</w:t>
      </w:r>
    </w:p>
    <w:p w14:paraId="501F5731">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磋商小组在资格审查结束前，对</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进行信用查询。</w:t>
      </w:r>
    </w:p>
    <w:p w14:paraId="5D60E357">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查询渠道：“信用中国”网站（www.creditchina.gov.cn） 、中国政府采购网（www.ccgp.gov.cn）。</w:t>
      </w:r>
    </w:p>
    <w:p w14:paraId="68FE7A10">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信用查询截止时点：资格审查结束前</w:t>
      </w:r>
    </w:p>
    <w:p w14:paraId="059DA284">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查询记录和证据留存方式：作为评审资料打印留存</w:t>
      </w:r>
    </w:p>
    <w:p w14:paraId="5C34D15B">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29A99A20">
      <w:pPr>
        <w:spacing w:line="380" w:lineRule="exact"/>
        <w:ind w:firstLine="422"/>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20.4.2</w:t>
      </w:r>
      <w:r>
        <w:rPr>
          <w:rFonts w:hint="eastAsia" w:ascii="宋体" w:hAnsi="宋体" w:eastAsia="宋体" w:cs="宋体"/>
          <w:b/>
          <w:color w:val="auto"/>
          <w:kern w:val="0"/>
          <w:sz w:val="21"/>
          <w:szCs w:val="21"/>
          <w:highlight w:val="none"/>
        </w:rPr>
        <w:t>供应商企业股东及出资等信息</w:t>
      </w:r>
      <w:r>
        <w:rPr>
          <w:rFonts w:hint="eastAsia" w:ascii="宋体" w:hAnsi="宋体" w:eastAsia="宋体" w:cs="宋体"/>
          <w:b/>
          <w:color w:val="auto"/>
          <w:kern w:val="0"/>
          <w:sz w:val="21"/>
          <w:szCs w:val="21"/>
          <w:highlight w:val="none"/>
          <w:lang w:eastAsia="zh-CN"/>
        </w:rPr>
        <w:t>查询</w:t>
      </w:r>
    </w:p>
    <w:p w14:paraId="35CB1D5C">
      <w:pPr>
        <w:spacing w:line="380" w:lineRule="exact"/>
        <w:ind w:firstLine="42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磋商小组在资格审查结束前，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C321795">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20.4.</w:t>
      </w: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查询渠道：《国家企业信用信息公示系统》（网址：</w:t>
      </w:r>
      <w:r>
        <w:rPr>
          <w:rFonts w:hint="eastAsia" w:ascii="宋体" w:hAnsi="宋体" w:eastAsia="宋体" w:cs="宋体"/>
          <w:color w:val="auto"/>
          <w:sz w:val="21"/>
          <w:szCs w:val="21"/>
          <w:highlight w:val="none"/>
        </w:rPr>
        <w:t>www.gsxt.gov.cn/index.html</w:t>
      </w:r>
      <w:r>
        <w:rPr>
          <w:rFonts w:hint="eastAsia" w:ascii="宋体" w:hAnsi="宋体" w:eastAsia="宋体" w:cs="宋体"/>
          <w:color w:val="auto"/>
          <w:kern w:val="0"/>
          <w:sz w:val="21"/>
          <w:szCs w:val="21"/>
          <w:highlight w:val="none"/>
        </w:rPr>
        <w:t>）</w:t>
      </w:r>
    </w:p>
    <w:p w14:paraId="38BF7BB5">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20.4.</w:t>
      </w:r>
      <w:r>
        <w:rPr>
          <w:rFonts w:hint="eastAsia" w:ascii="宋体" w:hAnsi="宋体" w:eastAsia="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rPr>
        <w:t>审查流程：</w:t>
      </w:r>
    </w:p>
    <w:p w14:paraId="24F99AA9">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（1）进入《国家企业信用信息公示系统》（网址：www.gsxt.gov.cn/index.html），输入企业名称，进入企业信息主页面；</w:t>
      </w:r>
    </w:p>
    <w:p w14:paraId="16AEF8F3">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（2）查看主页“股东及出资信息”栏，或年报中的“股东及出资信息”栏信息；</w:t>
      </w:r>
    </w:p>
    <w:p w14:paraId="5191348E">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（3）将各供应商的股东及出资信息进行比对，得出审查结论；</w:t>
      </w:r>
    </w:p>
    <w:p w14:paraId="4A9A00DB">
      <w:pPr>
        <w:snapToGrid w:val="0"/>
        <w:spacing w:line="380" w:lineRule="exact"/>
        <w:ind w:firstLine="420"/>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（4）将相关资料作为评审资料打印存档。</w:t>
      </w:r>
    </w:p>
    <w:p w14:paraId="111FA029">
      <w:pPr>
        <w:spacing w:line="380" w:lineRule="exact"/>
        <w:ind w:firstLine="42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05500D21">
      <w:pPr>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20.5磋商小组在对响应文件的有效性、完整性和响应程度进行审查时，可以要求供应商对</w:t>
      </w:r>
      <w:r>
        <w:rPr>
          <w:rFonts w:hint="eastAsia" w:ascii="宋体" w:hAnsi="宋体" w:eastAsia="宋体" w:cs="宋体"/>
          <w:color w:val="auto"/>
          <w:sz w:val="21"/>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sz w:val="21"/>
          <w:szCs w:val="21"/>
          <w:highlight w:val="none"/>
        </w:rPr>
        <w:t>采用在线书面形式，澄清、说明或者补正应当加盖供应商电子签章，或者由法定代表人或其授权委托代理人签字（或者电子签名）。</w:t>
      </w:r>
    </w:p>
    <w:p w14:paraId="6B14625C">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080E462E">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磋商小组所有成员应当按已确定的磋商顺序集中与单一供应商分别进行磋商，并给予所有实质性响应竞争性磋商文件要求的供应商平等的磋商机会。</w:t>
      </w:r>
    </w:p>
    <w:p w14:paraId="26A715C6">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磋商中，磋商小组不得透露与磋商有关的其他供应商的技术资料、价格和其他信息。</w:t>
      </w:r>
    </w:p>
    <w:p w14:paraId="72FB1635">
      <w:pPr>
        <w:widowControl/>
        <w:tabs>
          <w:tab w:val="left" w:pos="540"/>
        </w:tabs>
        <w:spacing w:line="38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采购代理机构（磋商小组）对磋商过程和重要磋商内容进行记录。</w:t>
      </w:r>
    </w:p>
    <w:p w14:paraId="258FE1D2">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20.6在磋商过程中，磋商小组可以根据磋商文件和磋商情况实质性变动采购需求中的技术、服务要求以及合同草案条款，但不得变动磋商文件中的其他内容。实质性变动的内容，须经采购人代表确认。</w:t>
      </w:r>
    </w:p>
    <w:p w14:paraId="1BD704CA">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对磋商文件作出的实质性变动是磋商文件的有效组成部分，磋商小组应当及时通过</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kern w:val="0"/>
          <w:sz w:val="21"/>
          <w:szCs w:val="21"/>
          <w:highlight w:val="none"/>
        </w:rPr>
        <w:t>以书面形式同时通知所有参加磋商的供应商。</w:t>
      </w:r>
    </w:p>
    <w:p w14:paraId="22DF8882">
      <w:pPr>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供应商必须按照磋商文件的变动情况和磋商小组的要求重新提交响应文件，并由其法定代表人相应的授权委托代表签字（或电子签名）或者加盖供应商电子签章。逾时不交的，视同放弃磋商。</w:t>
      </w:r>
    </w:p>
    <w:p w14:paraId="7484B5DF">
      <w:pPr>
        <w:widowControl/>
        <w:spacing w:line="38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20.7最后报价</w:t>
      </w:r>
    </w:p>
    <w:p w14:paraId="22421344">
      <w:pPr>
        <w:spacing w:line="380" w:lineRule="exact"/>
        <w:ind w:firstLine="42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20.7.1磋商文件能够详细列明采购标的的技术、服务要求的，磋商结束后，磋商小组应当要求所有实质响应磋商文件要求的供应商在规定时间内通过</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kern w:val="0"/>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kern w:val="0"/>
          <w:sz w:val="21"/>
          <w:szCs w:val="21"/>
          <w:highlight w:val="none"/>
        </w:rPr>
        <w:t>在线提交最后报价。</w:t>
      </w:r>
      <w:r>
        <w:rPr>
          <w:rFonts w:hint="eastAsia" w:ascii="宋体" w:hAnsi="宋体" w:eastAsia="宋体" w:cs="宋体"/>
          <w:b/>
          <w:color w:val="auto"/>
          <w:spacing w:val="-4"/>
          <w:sz w:val="21"/>
          <w:szCs w:val="21"/>
          <w:highlight w:val="none"/>
        </w:rPr>
        <w:t>如供应商维持磋商报价不变，以原磋商报价作为供应商最后报价</w:t>
      </w:r>
      <w:r>
        <w:rPr>
          <w:rFonts w:hint="eastAsia" w:ascii="宋体" w:hAnsi="宋体" w:eastAsia="宋体" w:cs="宋体"/>
          <w:b/>
          <w:bCs/>
          <w:color w:val="auto"/>
          <w:sz w:val="21"/>
          <w:szCs w:val="21"/>
          <w:highlight w:val="none"/>
        </w:rPr>
        <w:t>；如供应商需要改变原磋商报价时，</w:t>
      </w:r>
      <w:r>
        <w:rPr>
          <w:rFonts w:hint="eastAsia" w:ascii="宋体" w:hAnsi="宋体" w:eastAsia="宋体" w:cs="宋体"/>
          <w:b/>
          <w:color w:val="auto"/>
          <w:sz w:val="21"/>
          <w:szCs w:val="21"/>
          <w:highlight w:val="none"/>
        </w:rPr>
        <w:t>供应商应采用综合单价进行工程量清单报价，不得采用总价让利或以百分比让利等形式进行报价，磋商报价格式可按《</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建设工程工程量清单计价规范</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（GB50500-2013）广西壮族自治区实施细则》工程量清单计价表格提供，供应商应预先准备好调整后的报价清单计价表</w:t>
      </w:r>
      <w:r>
        <w:rPr>
          <w:rFonts w:hint="eastAsia" w:ascii="宋体" w:hAnsi="宋体" w:eastAsia="宋体" w:cs="宋体"/>
          <w:b/>
          <w:color w:val="auto"/>
          <w:sz w:val="21"/>
          <w:szCs w:val="21"/>
          <w:highlight w:val="none"/>
          <w:lang w:eastAsia="zh-CN"/>
        </w:rPr>
        <w:t>上传</w:t>
      </w:r>
      <w:r>
        <w:rPr>
          <w:rFonts w:hint="eastAsia" w:ascii="宋体" w:hAnsi="宋体" w:eastAsia="宋体" w:cs="宋体"/>
          <w:b/>
          <w:color w:val="auto"/>
          <w:sz w:val="21"/>
          <w:szCs w:val="21"/>
          <w:highlight w:val="none"/>
        </w:rPr>
        <w:t>作为应答文件的一部分一并递交。如供应商在磋商过程中，改变原报价且未按竞争性磋商文件要求</w:t>
      </w:r>
      <w:r>
        <w:rPr>
          <w:rFonts w:hint="eastAsia" w:ascii="宋体" w:hAnsi="宋体" w:eastAsia="宋体" w:cs="宋体"/>
          <w:b/>
          <w:color w:val="auto"/>
          <w:sz w:val="21"/>
          <w:szCs w:val="21"/>
          <w:highlight w:val="none"/>
          <w:lang w:eastAsia="zh-CN"/>
        </w:rPr>
        <w:t>上传</w:t>
      </w:r>
      <w:r>
        <w:rPr>
          <w:rFonts w:hint="eastAsia" w:ascii="宋体" w:hAnsi="宋体" w:eastAsia="宋体" w:cs="宋体"/>
          <w:b/>
          <w:color w:val="auto"/>
          <w:sz w:val="21"/>
          <w:szCs w:val="21"/>
          <w:highlight w:val="none"/>
        </w:rPr>
        <w:t>调整后的报价清单计价表的，其报价不予认可，视供应商维持原磋商报价不变。</w:t>
      </w:r>
    </w:p>
    <w:p w14:paraId="261D8F2F">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20.7.</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异常低价响应审查</w:t>
      </w:r>
    </w:p>
    <w:p w14:paraId="570ACE79">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小组在评审中发现下列情形之一的，应当启动异常低价响应审查程序：</w:t>
      </w:r>
    </w:p>
    <w:p w14:paraId="549FCDF9">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①响应报价低于全部通过符合性审查供应商响应报价平均值65%的，即响应报价＜全部通过符合性审查供应商响应报价平均值×65%；</w:t>
      </w:r>
    </w:p>
    <w:p w14:paraId="11ADB761">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②响应报价低于通过符合性审查的次低报价供应商响应报价65%的，即响应报价＜通过符合性审查的次低报价供应商响应报价×65%；</w:t>
      </w:r>
    </w:p>
    <w:p w14:paraId="5060C99F">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③响应报价低于采购项目最高限价65%的，即响应报价＜采购项目最高限价×65%；</w:t>
      </w:r>
    </w:p>
    <w:p w14:paraId="2C23BA3F">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小组基于专业判断，认为供应商报价过低，有可能影响产品质量或者不能诚信履约的其他情形。</w:t>
      </w:r>
    </w:p>
    <w:p w14:paraId="71ACC26C">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BABAAA4">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小组应当将其作为无效响应处理。</w:t>
      </w:r>
    </w:p>
    <w:p w14:paraId="53BDFD5D">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采购人、采购代理机构应当为</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小组在评审现场及时获取同类项目中标（成交）价格、类似产品市场价格水平、行业人工费用标准、国家有关部门指导行业协会发布的行业平均成本等相关信息资料提供便利。</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小组借助互联网等渠道查询相关信息的，应当严格遵守评审工作纪律，不得实施影响评审公正的行为。</w:t>
      </w:r>
    </w:p>
    <w:p w14:paraId="3AADC3EF">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异常低价响应审查的启动原因、审查意见和审查结果应当在评审报告中记录，并随供应商提供的相关书面说明及证明材料，以及</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小组有关互联网浏览、查询历史一并归档。</w:t>
      </w:r>
    </w:p>
    <w:p w14:paraId="5BE9D6DE">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20.7.</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根据财库</w:t>
      </w:r>
      <w:r>
        <w:rPr>
          <w:rFonts w:hint="eastAsia" w:ascii="宋体" w:hAnsi="宋体" w:eastAsia="宋体" w:cs="宋体"/>
          <w:color w:val="auto"/>
          <w:kern w:val="0"/>
          <w:sz w:val="21"/>
          <w:szCs w:val="21"/>
          <w:highlight w:val="none"/>
          <w:lang w:eastAsia="zh-CN"/>
        </w:rPr>
        <w:t>〔2015〕124号</w:t>
      </w:r>
      <w:r>
        <w:rPr>
          <w:rFonts w:hint="eastAsia" w:ascii="宋体" w:hAnsi="宋体" w:eastAsia="宋体" w:cs="宋体"/>
          <w:color w:val="auto"/>
          <w:kern w:val="0"/>
          <w:sz w:val="21"/>
          <w:szCs w:val="21"/>
          <w:highlight w:val="none"/>
        </w:rPr>
        <w:t>《财政部关于政府采购竞争性磋商采购方式管理暂行办法有关问题的补充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kern w:val="0"/>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34E4E135">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20.7.</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最后报价是供应商响应文件的有效组成部分。</w:t>
      </w:r>
    </w:p>
    <w:p w14:paraId="4BA090EF">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20.8已提交响应文件的供应商，在提交最后报价之前，可以根据磋商情况书面退出磋商。</w:t>
      </w:r>
    </w:p>
    <w:p w14:paraId="69E50321">
      <w:pPr>
        <w:widowControl/>
        <w:tabs>
          <w:tab w:val="left" w:pos="540"/>
        </w:tabs>
        <w:spacing w:line="38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未书面退出磋商的供应商必须在规定时间内通过</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kern w:val="0"/>
          <w:sz w:val="21"/>
          <w:szCs w:val="21"/>
          <w:highlight w:val="none"/>
        </w:rPr>
        <w:t>在线提交最后报价</w:t>
      </w:r>
      <w:r>
        <w:rPr>
          <w:rFonts w:hint="eastAsia" w:ascii="宋体" w:hAnsi="宋体" w:eastAsia="宋体" w:cs="宋体"/>
          <w:bCs/>
          <w:color w:val="auto"/>
          <w:sz w:val="21"/>
          <w:szCs w:val="21"/>
          <w:highlight w:val="none"/>
        </w:rPr>
        <w:t>，其最后报价不得超出采购预算</w:t>
      </w:r>
      <w:r>
        <w:rPr>
          <w:rFonts w:hint="eastAsia" w:ascii="宋体" w:hAnsi="宋体" w:eastAsia="宋体" w:cs="宋体"/>
          <w:color w:val="auto"/>
          <w:kern w:val="0"/>
          <w:sz w:val="21"/>
          <w:szCs w:val="21"/>
          <w:highlight w:val="none"/>
        </w:rPr>
        <w:t>；磋商过程中磋商文件</w:t>
      </w:r>
      <w:r>
        <w:rPr>
          <w:rFonts w:hint="eastAsia" w:ascii="宋体" w:hAnsi="宋体" w:eastAsia="宋体" w:cs="宋体"/>
          <w:color w:val="auto"/>
          <w:kern w:val="0"/>
          <w:sz w:val="21"/>
          <w:szCs w:val="21"/>
          <w:highlight w:val="none"/>
          <w:lang w:eastAsia="zh-CN"/>
        </w:rPr>
        <w:t>未做</w:t>
      </w:r>
      <w:r>
        <w:rPr>
          <w:rFonts w:hint="eastAsia" w:ascii="宋体" w:hAnsi="宋体" w:eastAsia="宋体" w:cs="宋体"/>
          <w:color w:val="auto"/>
          <w:kern w:val="0"/>
          <w:sz w:val="21"/>
          <w:szCs w:val="21"/>
          <w:highlight w:val="none"/>
        </w:rPr>
        <w:t>实质性变动的，</w:t>
      </w:r>
      <w:r>
        <w:rPr>
          <w:rFonts w:hint="eastAsia" w:ascii="宋体" w:hAnsi="宋体" w:eastAsia="宋体" w:cs="宋体"/>
          <w:color w:val="auto"/>
          <w:sz w:val="21"/>
          <w:szCs w:val="21"/>
          <w:highlight w:val="none"/>
        </w:rPr>
        <w:t>最后报价不得超过首次报价</w:t>
      </w:r>
      <w:r>
        <w:rPr>
          <w:rFonts w:hint="eastAsia" w:ascii="宋体" w:hAnsi="宋体" w:eastAsia="宋体" w:cs="宋体"/>
          <w:color w:val="auto"/>
          <w:kern w:val="0"/>
          <w:sz w:val="21"/>
          <w:szCs w:val="21"/>
          <w:highlight w:val="none"/>
        </w:rPr>
        <w:t>。</w:t>
      </w:r>
    </w:p>
    <w:p w14:paraId="11B5EED2">
      <w:pPr>
        <w:widowControl/>
        <w:tabs>
          <w:tab w:val="left" w:pos="540"/>
        </w:tabs>
        <w:spacing w:line="38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20.9综合比较与评价：</w:t>
      </w:r>
    </w:p>
    <w:p w14:paraId="0B979C00">
      <w:pPr>
        <w:tabs>
          <w:tab w:val="left" w:pos="1140"/>
        </w:tabs>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.9.1 经磋商确定最终采购需求和提交最后报价的供应商后，由磋商小组采用综合评分法对提交最后报价的供应商的响应文件和最后报价进行综合评分。</w:t>
      </w:r>
    </w:p>
    <w:p w14:paraId="524857D5">
      <w:pPr>
        <w:tabs>
          <w:tab w:val="left" w:pos="1140"/>
        </w:tabs>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20.9.2磋商小组成员应当独立对每个供应商的响应文件进行评价，最终汇总每个供应商的得分。各供应商的得分为所有磋商小组的有效评分的算术平均数。</w:t>
      </w:r>
    </w:p>
    <w:p w14:paraId="3C5E6A2F">
      <w:pPr>
        <w:tabs>
          <w:tab w:val="left" w:pos="1140"/>
        </w:tabs>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20.9.3采购代理机构对评审数据进行校对、核对，对畸高、畸低的重大差异评分提示磋商小组复核或书面说明理由。</w:t>
      </w:r>
    </w:p>
    <w:p w14:paraId="0D1C64D2">
      <w:pPr>
        <w:tabs>
          <w:tab w:val="left" w:pos="1140"/>
        </w:tabs>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20.10 在评审过程中出现法律法规和磋商文件均没有明确规定的情形时，由磋商小组现场协商解决，协商不一致的，由全体磋商小组投票表决，以得票率二分之一以上专家的意见为准。</w:t>
      </w:r>
    </w:p>
    <w:p w14:paraId="1554744E">
      <w:pPr>
        <w:tabs>
          <w:tab w:val="left" w:pos="1140"/>
        </w:tabs>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20.11采购代理机构发现磋商小组有明显的违规倾向或歧视现象，或不按评审办法进行，或其他不正常行为的，应当及时制止。如制止无效，应及时向</w:t>
      </w:r>
      <w:r>
        <w:rPr>
          <w:rFonts w:hint="eastAsia" w:ascii="宋体" w:hAnsi="宋体" w:cs="宋体"/>
          <w:color w:val="auto"/>
          <w:sz w:val="21"/>
          <w:szCs w:val="21"/>
          <w:highlight w:val="none"/>
          <w:lang w:eastAsia="zh-CN"/>
        </w:rPr>
        <w:t>阳朔县财政局</w:t>
      </w:r>
      <w:r>
        <w:rPr>
          <w:rFonts w:hint="eastAsia" w:ascii="宋体" w:hAnsi="宋体" w:eastAsia="宋体" w:cs="宋体"/>
          <w:color w:val="auto"/>
          <w:kern w:val="0"/>
          <w:sz w:val="21"/>
          <w:szCs w:val="21"/>
          <w:highlight w:val="none"/>
        </w:rPr>
        <w:t>报告。</w:t>
      </w:r>
    </w:p>
    <w:p w14:paraId="63FE87A9">
      <w:pPr>
        <w:spacing w:line="380" w:lineRule="exact"/>
        <w:ind w:firstLine="422"/>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21.</w:t>
      </w:r>
      <w:r>
        <w:rPr>
          <w:rFonts w:hint="eastAsia" w:ascii="宋体" w:hAnsi="宋体" w:eastAsia="宋体" w:cs="宋体"/>
          <w:b/>
          <w:color w:val="auto"/>
          <w:kern w:val="0"/>
          <w:sz w:val="21"/>
          <w:szCs w:val="20"/>
          <w:highlight w:val="none"/>
        </w:rPr>
        <w:t>推荐及确定成交候选供应商原则</w:t>
      </w:r>
    </w:p>
    <w:p w14:paraId="36A7487E">
      <w:pPr>
        <w:tabs>
          <w:tab w:val="left" w:pos="1140"/>
        </w:tabs>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施工组织设计分、履约能力分由高到低顺序排列并推荐成交候选供应商。</w:t>
      </w:r>
    </w:p>
    <w:p w14:paraId="4A94EB68">
      <w:pPr>
        <w:tabs>
          <w:tab w:val="left" w:pos="1140"/>
        </w:tabs>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（2）采购代理机构在评审结束后2个工作日内将评审报告送采购人确认。采购人应当在收到评审报告后5个工作日内，从评审报告提出的成交候选供应商中，按照排序由高到低的原则确定</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。本项目确定一名</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w:t>
      </w:r>
    </w:p>
    <w:p w14:paraId="4E17C242">
      <w:pPr>
        <w:tabs>
          <w:tab w:val="left" w:pos="1140"/>
        </w:tabs>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（3）排名第一的成交候选供应商放弃成交、拒绝或迟延签订合同、因不可抗力提出不能履行合同，或因失信行为被取消</w:t>
      </w:r>
      <w:r>
        <w:rPr>
          <w:rFonts w:hint="eastAsia" w:ascii="宋体" w:hAnsi="宋体" w:eastAsia="宋体" w:cs="宋体"/>
          <w:color w:val="auto"/>
          <w:kern w:val="0"/>
          <w:sz w:val="21"/>
          <w:szCs w:val="21"/>
          <w:highlight w:val="none"/>
          <w:lang w:eastAsia="zh-CN"/>
        </w:rPr>
        <w:t>成交候选供应商</w:t>
      </w:r>
      <w:r>
        <w:rPr>
          <w:rFonts w:hint="eastAsia" w:ascii="宋体" w:hAnsi="宋体" w:eastAsia="宋体" w:cs="宋体"/>
          <w:color w:val="auto"/>
          <w:kern w:val="0"/>
          <w:sz w:val="21"/>
          <w:szCs w:val="21"/>
          <w:highlight w:val="none"/>
        </w:rPr>
        <w:t>资格的，采购人可以确定排名第二的成交候选供应商为</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。排名第二的成交候选供应商因前述规定的同样原因不能签订合同的，采购人可以确定排名第三的</w:t>
      </w:r>
      <w:r>
        <w:rPr>
          <w:rFonts w:hint="eastAsia" w:ascii="宋体" w:hAnsi="宋体" w:eastAsia="宋体" w:cs="宋体"/>
          <w:color w:val="auto"/>
          <w:kern w:val="0"/>
          <w:sz w:val="21"/>
          <w:szCs w:val="21"/>
          <w:highlight w:val="none"/>
          <w:lang w:eastAsia="zh-CN"/>
        </w:rPr>
        <w:t>成交候选供应商</w:t>
      </w:r>
      <w:r>
        <w:rPr>
          <w:rFonts w:hint="eastAsia" w:ascii="宋体" w:hAnsi="宋体" w:eastAsia="宋体" w:cs="宋体"/>
          <w:color w:val="auto"/>
          <w:kern w:val="0"/>
          <w:sz w:val="21"/>
          <w:szCs w:val="21"/>
          <w:highlight w:val="none"/>
        </w:rPr>
        <w:t>为</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。以此类推。</w:t>
      </w:r>
    </w:p>
    <w:p w14:paraId="008430C7">
      <w:pPr>
        <w:widowControl/>
        <w:shd w:val="clear" w:color="auto" w:fill="FFFFFF"/>
        <w:spacing w:line="380" w:lineRule="exact"/>
        <w:ind w:firstLine="480" w:firstLineChars="0"/>
        <w:jc w:val="left"/>
        <w:rPr>
          <w:rFonts w:hint="eastAsia" w:ascii="宋体" w:hAnsi="宋体" w:eastAsia="宋体" w:cs="宋体"/>
          <w:b/>
          <w:color w:val="auto"/>
          <w:kern w:val="0"/>
          <w:sz w:val="21"/>
          <w:szCs w:val="21"/>
          <w:highlight w:val="none"/>
        </w:rPr>
      </w:pPr>
      <w:r>
        <w:rPr>
          <w:rFonts w:hint="eastAsia" w:ascii="宋体" w:hAnsi="宋体" w:eastAsia="宋体" w:cs="宋体"/>
          <w:b/>
          <w:bCs/>
          <w:color w:val="auto"/>
          <w:kern w:val="0"/>
          <w:sz w:val="21"/>
          <w:szCs w:val="21"/>
          <w:highlight w:val="none"/>
        </w:rPr>
        <w:t>22.</w:t>
      </w:r>
      <w:r>
        <w:rPr>
          <w:rFonts w:hint="eastAsia" w:ascii="宋体" w:hAnsi="宋体" w:eastAsia="宋体" w:cs="宋体"/>
          <w:b/>
          <w:color w:val="auto"/>
          <w:kern w:val="0"/>
          <w:sz w:val="21"/>
          <w:szCs w:val="21"/>
          <w:highlight w:val="none"/>
        </w:rPr>
        <w:t>属于下列情况之一者，响应文件无效：</w:t>
      </w:r>
    </w:p>
    <w:p w14:paraId="6A4FEAC1">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（1）未按磋商文件规定完整提交响应文件或未按规定要求签字（或电子签名）、签章的，或未提供授权委托书（委托代理的）；</w:t>
      </w:r>
    </w:p>
    <w:p w14:paraId="16EDCB41">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（2）不具备磋商文件规定的资格要求的</w:t>
      </w:r>
      <w:r>
        <w:rPr>
          <w:rFonts w:hint="eastAsia" w:ascii="宋体" w:hAnsi="宋体" w:eastAsia="宋体" w:cs="宋体"/>
          <w:color w:val="auto"/>
          <w:kern w:val="0"/>
          <w:sz w:val="21"/>
          <w:szCs w:val="24"/>
          <w:highlight w:val="none"/>
        </w:rPr>
        <w:t>；</w:t>
      </w:r>
    </w:p>
    <w:p w14:paraId="3B9B3316">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（3）响应文件未按磋商文件的内容和要求编制，或提供虚假材料的；</w:t>
      </w:r>
    </w:p>
    <w:p w14:paraId="4C03AEDB">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（4）响应文件有效期不能满足磋商文件要求的；</w:t>
      </w:r>
    </w:p>
    <w:p w14:paraId="4457D58F">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报价</w:t>
      </w:r>
      <w:r>
        <w:rPr>
          <w:rFonts w:hint="eastAsia" w:ascii="宋体" w:hAnsi="宋体" w:eastAsia="宋体" w:cs="宋体"/>
          <w:color w:val="auto"/>
          <w:kern w:val="0"/>
          <w:sz w:val="21"/>
          <w:szCs w:val="21"/>
          <w:highlight w:val="none"/>
          <w:lang w:eastAsia="zh-CN"/>
        </w:rPr>
        <w:t>（即工程总造价报价）或相应采购标的报价</w:t>
      </w:r>
      <w:r>
        <w:rPr>
          <w:rFonts w:hint="eastAsia" w:ascii="宋体" w:hAnsi="宋体" w:eastAsia="宋体" w:cs="宋体"/>
          <w:color w:val="auto"/>
          <w:kern w:val="0"/>
          <w:sz w:val="21"/>
          <w:szCs w:val="21"/>
          <w:highlight w:val="none"/>
        </w:rPr>
        <w:t>超过竞争性磋商文件规定的</w:t>
      </w:r>
      <w:r>
        <w:rPr>
          <w:rFonts w:hint="eastAsia" w:ascii="宋体" w:hAnsi="宋体" w:eastAsia="宋体" w:cs="宋体"/>
          <w:color w:val="auto"/>
          <w:kern w:val="0"/>
          <w:sz w:val="21"/>
          <w:szCs w:val="21"/>
          <w:highlight w:val="none"/>
          <w:lang w:eastAsia="zh-CN"/>
        </w:rPr>
        <w:t>相应最高限价的；</w:t>
      </w:r>
    </w:p>
    <w:p w14:paraId="1B03565E">
      <w:pPr>
        <w:snapToGrid w:val="0"/>
        <w:spacing w:line="380" w:lineRule="exact"/>
        <w:ind w:firstLine="411" w:firstLineChars="196"/>
        <w:outlineLvl w:val="4"/>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工程量清单封面</w:t>
      </w:r>
      <w:r>
        <w:rPr>
          <w:rFonts w:hint="eastAsia" w:ascii="宋体" w:hAnsi="宋体" w:eastAsia="宋体" w:cs="宋体"/>
          <w:color w:val="auto"/>
          <w:kern w:val="0"/>
          <w:sz w:val="21"/>
          <w:szCs w:val="21"/>
          <w:highlight w:val="none"/>
          <w:lang w:eastAsia="zh-CN"/>
        </w:rPr>
        <w:t>未</w:t>
      </w:r>
      <w:r>
        <w:rPr>
          <w:rFonts w:hint="eastAsia" w:ascii="宋体" w:hAnsi="宋体" w:eastAsia="宋体" w:cs="宋体"/>
          <w:color w:val="auto"/>
          <w:kern w:val="0"/>
          <w:sz w:val="21"/>
          <w:szCs w:val="21"/>
          <w:highlight w:val="none"/>
        </w:rPr>
        <w:t>由编制人签字并盖专用章</w:t>
      </w:r>
      <w:r>
        <w:rPr>
          <w:rFonts w:hint="eastAsia" w:ascii="宋体" w:hAnsi="宋体" w:eastAsia="宋体" w:cs="宋体"/>
          <w:color w:val="auto"/>
          <w:kern w:val="0"/>
          <w:sz w:val="21"/>
          <w:szCs w:val="21"/>
          <w:highlight w:val="none"/>
          <w:lang w:eastAsia="zh-CN"/>
        </w:rPr>
        <w:t>的；</w:t>
      </w:r>
    </w:p>
    <w:p w14:paraId="216B6BDE">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）供应商未就本工程进行报价或者存在漏项报价；供应商未就本工程的单项内容作唯一报价；供应商未就本工程的全部内容作完整唯一总价报价；</w:t>
      </w:r>
    </w:p>
    <w:p w14:paraId="23ADB056">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）在单价合同工程中供应商采用总价优惠或以总价百分比优惠的方式进行</w:t>
      </w:r>
      <w:r>
        <w:rPr>
          <w:rFonts w:hint="eastAsia" w:ascii="宋体" w:hAnsi="宋体" w:eastAsia="宋体" w:cs="宋体"/>
          <w:color w:val="auto"/>
          <w:kern w:val="0"/>
          <w:sz w:val="21"/>
          <w:szCs w:val="21"/>
          <w:highlight w:val="none"/>
          <w:lang w:eastAsia="zh-CN"/>
        </w:rPr>
        <w:t>磋商报价</w:t>
      </w:r>
      <w:r>
        <w:rPr>
          <w:rFonts w:hint="eastAsia" w:ascii="宋体" w:hAnsi="宋体" w:eastAsia="宋体" w:cs="宋体"/>
          <w:color w:val="auto"/>
          <w:kern w:val="0"/>
          <w:sz w:val="21"/>
          <w:szCs w:val="21"/>
          <w:highlight w:val="none"/>
        </w:rPr>
        <w:t>的；</w:t>
      </w:r>
    </w:p>
    <w:p w14:paraId="3730B945">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）安全文明施工费和规费、增值税不按广西区费用定额及造价管理相关文件规定报价的（园林绿化及仿古建筑工程除外）；</w:t>
      </w:r>
    </w:p>
    <w:p w14:paraId="13A9AB56">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）供应商已标价工程量清单的项目编码（12位）、计量单位、工程量任何一处与工程量清单不一致的；</w:t>
      </w:r>
    </w:p>
    <w:p w14:paraId="02B3106D">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）供应商已标价工程量清单的项目名称或项目特征与工程量清单不一致，</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要求澄清、说明或补正，但供应商拒绝澄清、说明或补正的；</w:t>
      </w:r>
    </w:p>
    <w:p w14:paraId="554075D3">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）设有暂估价、暂列金额的，竞标时未按工程量清单给出的暂估价总价、暂列金额总价计入竞标总报价中的；</w:t>
      </w:r>
    </w:p>
    <w:p w14:paraId="2D69C135">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rPr>
        <w:t>）供应商对工程量清单内容进行增减或对竞标范围进行调整的；</w:t>
      </w:r>
    </w:p>
    <w:p w14:paraId="59F4D2A1">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）未满足磋商文件实质性要求的；或者响应文件有采购人不能接受的附加条件的；</w:t>
      </w:r>
    </w:p>
    <w:p w14:paraId="2041509E">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0"/>
          <w:highlight w:val="none"/>
        </w:rPr>
        <w:t>（</w:t>
      </w:r>
      <w:r>
        <w:rPr>
          <w:rFonts w:hint="eastAsia" w:ascii="宋体" w:hAnsi="宋体" w:eastAsia="宋体" w:cs="宋体"/>
          <w:color w:val="auto"/>
          <w:kern w:val="0"/>
          <w:sz w:val="21"/>
          <w:szCs w:val="20"/>
          <w:highlight w:val="none"/>
          <w:lang w:val="en-US" w:eastAsia="zh-CN"/>
        </w:rPr>
        <w:t>15</w:t>
      </w:r>
      <w:r>
        <w:rPr>
          <w:rFonts w:hint="eastAsia" w:ascii="宋体" w:hAnsi="宋体" w:eastAsia="宋体" w:cs="宋体"/>
          <w:color w:val="auto"/>
          <w:kern w:val="0"/>
          <w:sz w:val="21"/>
          <w:szCs w:val="20"/>
          <w:highlight w:val="none"/>
        </w:rPr>
        <w:t>）</w:t>
      </w:r>
      <w:r>
        <w:rPr>
          <w:rFonts w:hint="eastAsia" w:ascii="宋体" w:hAnsi="宋体" w:eastAsia="宋体" w:cs="宋体"/>
          <w:color w:val="auto"/>
          <w:kern w:val="0"/>
          <w:sz w:val="21"/>
          <w:szCs w:val="21"/>
          <w:highlight w:val="none"/>
        </w:rPr>
        <w:t>不符合</w:t>
      </w:r>
      <w:r>
        <w:rPr>
          <w:rFonts w:hint="eastAsia" w:ascii="宋体" w:hAnsi="宋体" w:eastAsia="宋体" w:cs="宋体"/>
          <w:color w:val="auto"/>
          <w:kern w:val="0"/>
          <w:sz w:val="21"/>
          <w:szCs w:val="21"/>
          <w:highlight w:val="none"/>
          <w:lang w:eastAsia="zh-CN"/>
        </w:rPr>
        <w:t>法律法规</w:t>
      </w:r>
      <w:r>
        <w:rPr>
          <w:rFonts w:hint="eastAsia" w:ascii="宋体" w:hAnsi="宋体" w:eastAsia="宋体" w:cs="宋体"/>
          <w:color w:val="auto"/>
          <w:kern w:val="0"/>
          <w:sz w:val="21"/>
          <w:szCs w:val="21"/>
          <w:highlight w:val="none"/>
        </w:rPr>
        <w:t>和磋商文件规定的其他实质性要求和条件的。</w:t>
      </w:r>
    </w:p>
    <w:p w14:paraId="04BE86FB">
      <w:pPr>
        <w:snapToGrid w:val="0"/>
        <w:spacing w:line="380" w:lineRule="exact"/>
        <w:ind w:left="406" w:leftChars="169" w:firstLine="103" w:firstLineChars="49"/>
        <w:outlineLvl w:val="4"/>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供应商有下列情形之一的，视为串通参与磋商，响应文件将被视为无效：</w:t>
      </w:r>
    </w:p>
    <w:p w14:paraId="1C4D0CE6">
      <w:pPr>
        <w:snapToGrid w:val="0"/>
        <w:spacing w:line="380" w:lineRule="exact"/>
        <w:ind w:left="406" w:leftChars="169" w:firstLine="102" w:firstLineChars="49"/>
        <w:outlineLvl w:val="4"/>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（1）不同供应商的响应文件由同一单位或者个人编制的；</w:t>
      </w:r>
    </w:p>
    <w:p w14:paraId="52F4927E">
      <w:pPr>
        <w:snapToGrid w:val="0"/>
        <w:spacing w:line="380" w:lineRule="exact"/>
        <w:ind w:left="406" w:leftChars="169" w:firstLine="102" w:firstLineChars="49"/>
        <w:outlineLvl w:val="4"/>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（2）不同供应商委托同一单位或者个人办理磋商事宜的；</w:t>
      </w:r>
    </w:p>
    <w:p w14:paraId="0BA4DBCB">
      <w:pPr>
        <w:snapToGrid w:val="0"/>
        <w:spacing w:line="380" w:lineRule="exact"/>
        <w:ind w:left="406" w:leftChars="169" w:firstLine="102" w:firstLineChars="49"/>
        <w:outlineLvl w:val="4"/>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（3）不同的供应商的响应文件载明的项目管理员为同一个人的；</w:t>
      </w:r>
    </w:p>
    <w:p w14:paraId="4E90C36D">
      <w:pPr>
        <w:snapToGrid w:val="0"/>
        <w:spacing w:line="380" w:lineRule="exact"/>
        <w:ind w:left="406" w:leftChars="169" w:firstLine="102" w:firstLineChars="49"/>
        <w:outlineLvl w:val="4"/>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（4）不同供应商的响应文件异常一致或最后报价呈规律性差异的； </w:t>
      </w:r>
    </w:p>
    <w:p w14:paraId="22A60DC8">
      <w:pPr>
        <w:snapToGrid w:val="0"/>
        <w:spacing w:line="380" w:lineRule="exact"/>
        <w:ind w:left="406" w:leftChars="169" w:firstLine="102" w:firstLineChars="49"/>
        <w:outlineLvl w:val="4"/>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（5）不同供应商的响应文件相互混装的；</w:t>
      </w:r>
    </w:p>
    <w:p w14:paraId="576B7BAF">
      <w:pPr>
        <w:snapToGrid w:val="0"/>
        <w:spacing w:line="380" w:lineRule="exact"/>
        <w:ind w:left="406" w:leftChars="169" w:firstLine="102" w:firstLineChars="49"/>
        <w:outlineLvl w:val="4"/>
        <w:rPr>
          <w:rFonts w:hint="eastAsia" w:ascii="宋体" w:hAnsi="宋体" w:eastAsia="宋体" w:cs="宋体"/>
          <w:b/>
          <w:color w:val="auto"/>
          <w:kern w:val="0"/>
          <w:szCs w:val="24"/>
          <w:highlight w:val="none"/>
        </w:rPr>
      </w:pPr>
      <w:r>
        <w:rPr>
          <w:rFonts w:hint="eastAsia" w:ascii="宋体" w:hAnsi="宋体" w:eastAsia="宋体" w:cs="宋体"/>
          <w:color w:val="auto"/>
          <w:kern w:val="0"/>
          <w:sz w:val="21"/>
          <w:szCs w:val="24"/>
          <w:highlight w:val="none"/>
        </w:rPr>
        <w:t>（6）磋商文件未作实质性变动，供应商最后报价高于首次报价的</w:t>
      </w:r>
      <w:r>
        <w:rPr>
          <w:rFonts w:hint="eastAsia" w:ascii="宋体" w:hAnsi="宋体" w:eastAsia="宋体" w:cs="宋体"/>
          <w:b/>
          <w:color w:val="auto"/>
          <w:kern w:val="0"/>
          <w:szCs w:val="24"/>
          <w:highlight w:val="none"/>
        </w:rPr>
        <w:t>。</w:t>
      </w:r>
    </w:p>
    <w:p w14:paraId="5174D418">
      <w:pPr>
        <w:snapToGrid w:val="0"/>
        <w:spacing w:line="380" w:lineRule="exact"/>
        <w:ind w:firstLine="413" w:firstLineChars="196"/>
        <w:outlineLvl w:val="4"/>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23.出现下列情形之一的，采购人或者采购代理机构应当终止竞争性磋商采购活动，发布项目终止公告并说明原因，重新开展采购活动：</w:t>
      </w:r>
    </w:p>
    <w:p w14:paraId="09F98FAA">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（1）因情况变化，不再符合规定的竞争性磋商采购方式适用情形的；</w:t>
      </w:r>
    </w:p>
    <w:p w14:paraId="4609124C">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（2）出现影响采购公正的违法、违规行为的；</w:t>
      </w:r>
    </w:p>
    <w:p w14:paraId="650FC785">
      <w:pPr>
        <w:widowControl/>
        <w:spacing w:line="380" w:lineRule="exact"/>
        <w:ind w:firstLine="422" w:firstLineChars="20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（3）除本须知第20.7.</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条及法律法规规定的情形外，在采购过程中符合要求的供应商或者报价未超过采购预算的供应商不足3家的。</w:t>
      </w:r>
    </w:p>
    <w:p w14:paraId="29663852">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24.在采购活动中因重大变故，采购任务取消的，采购人或者采购代理机构应当终止采购活动，通知所有参加采购活动的供应商，并将项目实施情况和采购任务取消原因报送本级财政部门。</w:t>
      </w:r>
    </w:p>
    <w:p w14:paraId="518B770F">
      <w:pPr>
        <w:snapToGrid w:val="0"/>
        <w:spacing w:line="380" w:lineRule="exact"/>
        <w:ind w:firstLine="422"/>
        <w:outlineLvl w:val="4"/>
        <w:rPr>
          <w:rFonts w:hint="eastAsia" w:ascii="宋体" w:hAnsi="宋体" w:eastAsia="宋体" w:cs="宋体"/>
          <w:b/>
          <w:color w:val="auto"/>
          <w:kern w:val="0"/>
          <w:sz w:val="21"/>
          <w:szCs w:val="24"/>
          <w:highlight w:val="none"/>
        </w:rPr>
      </w:pPr>
      <w:r>
        <w:rPr>
          <w:rFonts w:hint="eastAsia" w:ascii="宋体" w:hAnsi="宋体" w:eastAsia="宋体" w:cs="宋体"/>
          <w:b/>
          <w:color w:val="auto"/>
          <w:kern w:val="0"/>
          <w:sz w:val="21"/>
          <w:szCs w:val="24"/>
          <w:highlight w:val="none"/>
        </w:rPr>
        <w:t>25.磋商过程的监控</w:t>
      </w:r>
    </w:p>
    <w:p w14:paraId="6E63490C">
      <w:pPr>
        <w:spacing w:line="380" w:lineRule="exact"/>
        <w:ind w:firstLine="411" w:firstLineChars="196"/>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本项目磋商过程实行全程录音、录像监控，供应商在磋商过程中所进行的试图影响磋商结果的不公正活动，可能导致其</w:t>
      </w: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0"/>
          <w:highlight w:val="none"/>
        </w:rPr>
        <w:t>被拒绝。</w:t>
      </w:r>
    </w:p>
    <w:p w14:paraId="71F63FF3">
      <w:pPr>
        <w:snapToGrid w:val="0"/>
        <w:spacing w:line="380" w:lineRule="exact"/>
        <w:ind w:firstLine="422"/>
        <w:outlineLvl w:val="4"/>
        <w:rPr>
          <w:rFonts w:hint="eastAsia" w:ascii="宋体" w:hAnsi="宋体" w:eastAsia="宋体" w:cs="宋体"/>
          <w:b/>
          <w:color w:val="auto"/>
          <w:kern w:val="0"/>
          <w:sz w:val="21"/>
          <w:szCs w:val="24"/>
          <w:highlight w:val="none"/>
        </w:rPr>
      </w:pPr>
      <w:r>
        <w:rPr>
          <w:rFonts w:hint="eastAsia" w:ascii="宋体" w:hAnsi="宋体" w:eastAsia="宋体" w:cs="宋体"/>
          <w:b/>
          <w:color w:val="auto"/>
          <w:kern w:val="0"/>
          <w:sz w:val="21"/>
          <w:szCs w:val="24"/>
          <w:highlight w:val="none"/>
        </w:rPr>
        <w:t xml:space="preserve">26. 信用查询 </w:t>
      </w:r>
    </w:p>
    <w:p w14:paraId="0F005161">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根据《关于做好政府采购有关信用主体标识码登记及在政府采购活动中查询使用信用记录有关问题的通知》（桂财采〔2016〕37），由采购代理机构对第一</w:t>
      </w:r>
      <w:r>
        <w:rPr>
          <w:rFonts w:hint="eastAsia" w:ascii="宋体" w:hAnsi="宋体" w:eastAsia="宋体" w:cs="宋体"/>
          <w:color w:val="auto"/>
          <w:kern w:val="0"/>
          <w:sz w:val="21"/>
          <w:szCs w:val="21"/>
          <w:highlight w:val="none"/>
          <w:lang w:eastAsia="zh-CN"/>
        </w:rPr>
        <w:t>成交候选供应商</w:t>
      </w:r>
      <w:r>
        <w:rPr>
          <w:rFonts w:hint="eastAsia" w:ascii="宋体" w:hAnsi="宋体" w:eastAsia="宋体" w:cs="宋体"/>
          <w:color w:val="auto"/>
          <w:kern w:val="0"/>
          <w:sz w:val="21"/>
          <w:szCs w:val="21"/>
          <w:highlight w:val="none"/>
        </w:rPr>
        <w:t>进行信用查询：</w:t>
      </w:r>
    </w:p>
    <w:p w14:paraId="1A3EB2B5">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⑴查询渠道：</w:t>
      </w:r>
      <w:r>
        <w:rPr>
          <w:rFonts w:hint="eastAsia" w:ascii="宋体" w:hAnsi="宋体" w:eastAsia="宋体" w:cs="宋体"/>
          <w:color w:val="auto"/>
          <w:spacing w:val="-4"/>
          <w:kern w:val="0"/>
          <w:sz w:val="21"/>
          <w:szCs w:val="21"/>
          <w:highlight w:val="none"/>
        </w:rPr>
        <w:t>“信用中国”网站</w:t>
      </w:r>
      <w:r>
        <w:rPr>
          <w:rFonts w:hint="eastAsia" w:ascii="宋体" w:hAnsi="宋体" w:eastAsia="宋体" w:cs="宋体"/>
          <w:color w:val="auto"/>
          <w:spacing w:val="-4"/>
          <w:kern w:val="0"/>
          <w:sz w:val="21"/>
          <w:szCs w:val="21"/>
          <w:highlight w:val="none"/>
          <w:lang w:eastAsia="zh-CN"/>
        </w:rPr>
        <w:t>（</w:t>
      </w:r>
      <w:r>
        <w:rPr>
          <w:rFonts w:hint="eastAsia" w:ascii="宋体" w:hAnsi="宋体" w:eastAsia="宋体" w:cs="宋体"/>
          <w:color w:val="auto"/>
          <w:spacing w:val="-4"/>
          <w:kern w:val="0"/>
          <w:sz w:val="21"/>
          <w:szCs w:val="21"/>
          <w:highlight w:val="none"/>
        </w:rPr>
        <w:t>www.creditchina.gov.cn</w:t>
      </w:r>
      <w:r>
        <w:rPr>
          <w:rFonts w:hint="eastAsia" w:ascii="宋体" w:hAnsi="宋体" w:eastAsia="宋体" w:cs="宋体"/>
          <w:color w:val="auto"/>
          <w:spacing w:val="-4"/>
          <w:kern w:val="0"/>
          <w:sz w:val="21"/>
          <w:szCs w:val="21"/>
          <w:highlight w:val="none"/>
          <w:lang w:eastAsia="zh-CN"/>
        </w:rPr>
        <w:t>）</w:t>
      </w:r>
      <w:r>
        <w:rPr>
          <w:rFonts w:hint="eastAsia" w:ascii="宋体" w:hAnsi="宋体" w:eastAsia="宋体" w:cs="宋体"/>
          <w:color w:val="auto"/>
          <w:spacing w:val="-4"/>
          <w:kern w:val="0"/>
          <w:sz w:val="21"/>
          <w:szCs w:val="21"/>
          <w:highlight w:val="none"/>
        </w:rPr>
        <w:t>、中国政府采购网</w:t>
      </w:r>
      <w:r>
        <w:rPr>
          <w:rFonts w:hint="eastAsia" w:ascii="宋体" w:hAnsi="宋体" w:eastAsia="宋体" w:cs="宋体"/>
          <w:color w:val="auto"/>
          <w:spacing w:val="-4"/>
          <w:kern w:val="0"/>
          <w:sz w:val="21"/>
          <w:szCs w:val="21"/>
          <w:highlight w:val="none"/>
          <w:lang w:eastAsia="zh-CN"/>
        </w:rPr>
        <w:t>（</w:t>
      </w:r>
      <w:r>
        <w:rPr>
          <w:rFonts w:hint="eastAsia" w:ascii="宋体" w:hAnsi="宋体" w:eastAsia="宋体" w:cs="宋体"/>
          <w:color w:val="auto"/>
          <w:spacing w:val="-4"/>
          <w:kern w:val="0"/>
          <w:sz w:val="21"/>
          <w:szCs w:val="21"/>
          <w:highlight w:val="none"/>
        </w:rPr>
        <w:t>www.ccgp.gov.cn</w:t>
      </w:r>
      <w:r>
        <w:rPr>
          <w:rFonts w:hint="eastAsia" w:ascii="宋体" w:hAnsi="宋体" w:eastAsia="宋体" w:cs="宋体"/>
          <w:color w:val="auto"/>
          <w:spacing w:val="-4"/>
          <w:kern w:val="0"/>
          <w:sz w:val="21"/>
          <w:szCs w:val="21"/>
          <w:highlight w:val="none"/>
          <w:lang w:eastAsia="zh-CN"/>
        </w:rPr>
        <w:t>）</w:t>
      </w:r>
      <w:r>
        <w:rPr>
          <w:rFonts w:hint="eastAsia" w:ascii="宋体" w:hAnsi="宋体" w:eastAsia="宋体" w:cs="宋体"/>
          <w:color w:val="auto"/>
          <w:spacing w:val="-4"/>
          <w:kern w:val="0"/>
          <w:sz w:val="21"/>
          <w:szCs w:val="21"/>
          <w:highlight w:val="none"/>
        </w:rPr>
        <w:t>等；</w:t>
      </w:r>
    </w:p>
    <w:p w14:paraId="725A93A1">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⑵查询截止时间：成交通知书发出前；</w:t>
      </w:r>
    </w:p>
    <w:p w14:paraId="17DE8B71">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⑶信用信息查询记录和证据留存方式：在查询网站中直接打印查询记录，打印材料作为采购活动资料保存；</w:t>
      </w:r>
    </w:p>
    <w:p w14:paraId="4F981C95">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⑷信用信息使用规则：对在“信用中国”网站</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www.creditchina.gov.cn</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、中国政府采购网</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www.ccgp.gov.cn</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等渠道列入失信被执行人、重大税收违法失信主体、政府采购严重违法失信行为记录名单及其他不符合《中华人民共和国政府采购法》第二十二条规定条件的供应商，取消其</w:t>
      </w:r>
      <w:r>
        <w:rPr>
          <w:rFonts w:hint="eastAsia" w:ascii="宋体" w:hAnsi="宋体" w:eastAsia="宋体" w:cs="宋体"/>
          <w:color w:val="auto"/>
          <w:kern w:val="0"/>
          <w:sz w:val="21"/>
          <w:szCs w:val="21"/>
          <w:highlight w:val="none"/>
          <w:lang w:eastAsia="zh-CN"/>
        </w:rPr>
        <w:t>成交候选供应商</w:t>
      </w:r>
      <w:r>
        <w:rPr>
          <w:rFonts w:hint="eastAsia" w:ascii="宋体" w:hAnsi="宋体" w:eastAsia="宋体" w:cs="宋体"/>
          <w:color w:val="auto"/>
          <w:kern w:val="0"/>
          <w:sz w:val="21"/>
          <w:szCs w:val="21"/>
          <w:highlight w:val="none"/>
        </w:rPr>
        <w:t xml:space="preserve">资格。    </w:t>
      </w:r>
    </w:p>
    <w:p w14:paraId="198D5241">
      <w:pPr>
        <w:spacing w:line="380" w:lineRule="exact"/>
        <w:ind w:firstLine="413" w:firstLineChars="196"/>
        <w:rPr>
          <w:rFonts w:hint="eastAsia" w:ascii="宋体" w:hAnsi="宋体" w:eastAsia="宋体" w:cs="宋体"/>
          <w:b/>
          <w:color w:val="auto"/>
          <w:kern w:val="0"/>
          <w:sz w:val="21"/>
          <w:szCs w:val="20"/>
          <w:highlight w:val="none"/>
        </w:rPr>
      </w:pPr>
      <w:r>
        <w:rPr>
          <w:rFonts w:hint="eastAsia" w:ascii="宋体" w:hAnsi="宋体" w:eastAsia="宋体" w:cs="宋体"/>
          <w:b/>
          <w:color w:val="auto"/>
          <w:kern w:val="0"/>
          <w:sz w:val="21"/>
          <w:szCs w:val="20"/>
          <w:highlight w:val="none"/>
        </w:rPr>
        <w:t>27</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4"/>
          <w:highlight w:val="none"/>
        </w:rPr>
        <w:t>成交公告及成交通知书</w:t>
      </w:r>
    </w:p>
    <w:p w14:paraId="5D993E16">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27.1 采购代理机构于评审结束后两个工作日内将评审报告送交采购人，采购人应当自收到评审报告五个工作日内在评审报告推荐的成交候选供应商中按顺序确定</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，采购代理机构在</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确定之日起两个工作日内发出成交通知书，并在指定媒体上公告成交信息。</w:t>
      </w:r>
    </w:p>
    <w:p w14:paraId="5AEFADDA">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27.2</w:t>
      </w:r>
      <w:r>
        <w:rPr>
          <w:rFonts w:hint="eastAsia" w:ascii="宋体" w:hAnsi="宋体" w:cs="宋体"/>
          <w:color w:val="auto"/>
          <w:kern w:val="0"/>
          <w:sz w:val="21"/>
          <w:szCs w:val="21"/>
          <w:highlight w:val="none"/>
          <w:lang w:eastAsia="zh-CN"/>
        </w:rPr>
        <w:t>中小微企业</w:t>
      </w:r>
      <w:r>
        <w:rPr>
          <w:rFonts w:hint="eastAsia" w:ascii="宋体" w:hAnsi="宋体" w:eastAsia="宋体" w:cs="宋体"/>
          <w:color w:val="auto"/>
          <w:kern w:val="0"/>
          <w:sz w:val="21"/>
          <w:szCs w:val="21"/>
          <w:highlight w:val="none"/>
        </w:rPr>
        <w:t>在政府采购活动过程中，请根据自己的真实情况出具《中小企业声明函》。采购人或采购代理机构在公告成交结果时，同时公告其《中小企业声明函》，接受社会监督。</w:t>
      </w:r>
    </w:p>
    <w:p w14:paraId="37ED788F">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27.3在发布成交公告的同时，采购代理机构向</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发出成交通知书。</w:t>
      </w:r>
    </w:p>
    <w:p w14:paraId="2C36E329">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27.4采购代理机构无义务向未成交的供应商解释未成交原因和退还响应文件。</w:t>
      </w:r>
    </w:p>
    <w:p w14:paraId="50B5743C">
      <w:pPr>
        <w:spacing w:line="380" w:lineRule="exact"/>
        <w:ind w:left="3" w:firstLine="0" w:firstLineChars="0"/>
        <w:jc w:val="center"/>
        <w:rPr>
          <w:rFonts w:hint="eastAsia" w:ascii="宋体" w:hAnsi="宋体" w:eastAsia="宋体" w:cs="宋体"/>
          <w:b/>
          <w:color w:val="auto"/>
          <w:kern w:val="0"/>
          <w:sz w:val="28"/>
          <w:szCs w:val="28"/>
          <w:highlight w:val="none"/>
        </w:rPr>
      </w:pPr>
    </w:p>
    <w:p w14:paraId="5C39018E">
      <w:pPr>
        <w:spacing w:line="380" w:lineRule="exact"/>
        <w:ind w:left="3" w:firstLine="0" w:firstLineChars="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五、签订合同</w:t>
      </w:r>
    </w:p>
    <w:p w14:paraId="11FD83AC">
      <w:pPr>
        <w:spacing w:line="380" w:lineRule="exact"/>
        <w:ind w:firstLine="413" w:firstLineChars="196"/>
        <w:rPr>
          <w:rFonts w:hint="eastAsia" w:ascii="宋体" w:hAnsi="宋体" w:eastAsia="宋体" w:cs="宋体"/>
          <w:b/>
          <w:color w:val="auto"/>
          <w:kern w:val="0"/>
          <w:sz w:val="21"/>
          <w:szCs w:val="24"/>
          <w:highlight w:val="none"/>
        </w:rPr>
      </w:pPr>
      <w:r>
        <w:rPr>
          <w:rFonts w:hint="eastAsia" w:ascii="宋体" w:hAnsi="宋体" w:eastAsia="宋体" w:cs="宋体"/>
          <w:b/>
          <w:color w:val="auto"/>
          <w:kern w:val="0"/>
          <w:sz w:val="21"/>
          <w:szCs w:val="24"/>
          <w:highlight w:val="none"/>
        </w:rPr>
        <w:t>28</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4"/>
          <w:highlight w:val="none"/>
        </w:rPr>
        <w:t>履约保证金</w:t>
      </w:r>
    </w:p>
    <w:p w14:paraId="45B12437">
      <w:pPr>
        <w:snapToGrid w:val="0"/>
        <w:spacing w:line="380" w:lineRule="exact"/>
        <w:ind w:firstLine="420"/>
        <w:outlineLvl w:val="4"/>
        <w:rPr>
          <w:rFonts w:hint="eastAsia" w:ascii="宋体" w:hAnsi="宋体" w:eastAsia="宋体" w:cs="宋体"/>
          <w:strike/>
          <w:color w:val="auto"/>
          <w:kern w:val="0"/>
          <w:sz w:val="21"/>
          <w:szCs w:val="21"/>
          <w:highlight w:val="none"/>
        </w:rPr>
      </w:pPr>
      <w:r>
        <w:rPr>
          <w:rFonts w:hint="eastAsia" w:ascii="宋体" w:hAnsi="宋体" w:eastAsia="宋体" w:cs="宋体"/>
          <w:color w:val="auto"/>
          <w:kern w:val="0"/>
          <w:sz w:val="21"/>
          <w:szCs w:val="21"/>
          <w:highlight w:val="none"/>
        </w:rPr>
        <w:t>本项目专门面向</w:t>
      </w:r>
      <w:r>
        <w:rPr>
          <w:rFonts w:hint="eastAsia" w:ascii="宋体" w:hAnsi="宋体" w:cs="宋体"/>
          <w:color w:val="auto"/>
          <w:kern w:val="0"/>
          <w:sz w:val="21"/>
          <w:szCs w:val="21"/>
          <w:highlight w:val="none"/>
          <w:lang w:eastAsia="zh-CN"/>
        </w:rPr>
        <w:t>中小微企业</w:t>
      </w:r>
      <w:r>
        <w:rPr>
          <w:rFonts w:hint="eastAsia" w:ascii="宋体" w:hAnsi="宋体" w:eastAsia="宋体" w:cs="宋体"/>
          <w:color w:val="auto"/>
          <w:kern w:val="0"/>
          <w:sz w:val="21"/>
          <w:szCs w:val="21"/>
          <w:highlight w:val="none"/>
        </w:rPr>
        <w:t>采购，不收取履约保证金。</w:t>
      </w:r>
    </w:p>
    <w:p w14:paraId="37C73DCE">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29.签订合同</w:t>
      </w:r>
    </w:p>
    <w:p w14:paraId="719AC9EC">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4"/>
          <w:highlight w:val="none"/>
        </w:rPr>
        <w:t xml:space="preserve">29.1 </w:t>
      </w:r>
      <w:r>
        <w:rPr>
          <w:rFonts w:hint="eastAsia" w:ascii="宋体" w:hAnsi="宋体" w:eastAsia="宋体" w:cs="宋体"/>
          <w:color w:val="auto"/>
          <w:kern w:val="0"/>
          <w:sz w:val="21"/>
          <w:szCs w:val="21"/>
          <w:highlight w:val="none"/>
        </w:rPr>
        <w:t>签订合同时间：成交通知书发出之日起8个工作日内。供应商应按规定与采购人签订合同。</w:t>
      </w:r>
    </w:p>
    <w:p w14:paraId="5A414484">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29.2 如</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有下列情形之一，情节严重的，由财政部门将其列入不良行为记录名单，在一至三年内禁止参加政府采购活动，并予以通报。采购代理机构可从磋商小组推荐的成交候选供应商中按顺序重新确定</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或重新组织采购。拒绝签订政府采购合同的</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不得参加对该项目重新开展的采购活动。</w:t>
      </w:r>
    </w:p>
    <w:p w14:paraId="14EE5772">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（1）成交后不与采购人签订合同的（不可抗力除外）；</w:t>
      </w:r>
    </w:p>
    <w:p w14:paraId="169D5B93">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（2）将成交项目转让给他人，或者在响应文件中未说明，且未经采购人同意，将成交项目分包给他人的；</w:t>
      </w:r>
    </w:p>
    <w:p w14:paraId="2DCEE1DB">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（3）拒绝履行合同义务的。</w:t>
      </w:r>
    </w:p>
    <w:p w14:paraId="74BB6506">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29.3 政府采购合同公告：</w:t>
      </w:r>
      <w:r>
        <w:rPr>
          <w:rFonts w:hint="eastAsia" w:ascii="宋体" w:hAnsi="宋体" w:eastAsia="宋体" w:cs="宋体"/>
          <w:color w:val="auto"/>
          <w:sz w:val="21"/>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hint="eastAsia" w:ascii="宋体" w:hAnsi="宋体" w:eastAsia="宋体" w:cs="宋体"/>
          <w:color w:val="auto"/>
          <w:kern w:val="0"/>
          <w:sz w:val="21"/>
          <w:szCs w:val="21"/>
          <w:highlight w:val="none"/>
        </w:rPr>
        <w:t>。</w:t>
      </w:r>
    </w:p>
    <w:p w14:paraId="541F888C">
      <w:pPr>
        <w:spacing w:line="240" w:lineRule="auto"/>
        <w:ind w:left="2940" w:firstLine="0" w:firstLineChars="0"/>
        <w:rPr>
          <w:rFonts w:hint="eastAsia" w:ascii="宋体" w:hAnsi="宋体" w:eastAsia="宋体" w:cs="宋体"/>
          <w:color w:val="auto"/>
          <w:sz w:val="21"/>
          <w:szCs w:val="24"/>
          <w:highlight w:val="none"/>
        </w:rPr>
      </w:pPr>
    </w:p>
    <w:p w14:paraId="58C635F4">
      <w:pPr>
        <w:spacing w:line="380" w:lineRule="exact"/>
        <w:ind w:left="3" w:firstLine="0" w:firstLineChars="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六、其他事项</w:t>
      </w:r>
    </w:p>
    <w:p w14:paraId="4710BC57">
      <w:pPr>
        <w:spacing w:line="380" w:lineRule="exact"/>
        <w:ind w:firstLine="413" w:firstLineChars="196"/>
        <w:rPr>
          <w:rFonts w:hint="eastAsia" w:ascii="宋体" w:hAnsi="宋体" w:eastAsia="宋体" w:cs="宋体"/>
          <w:b/>
          <w:color w:val="auto"/>
          <w:kern w:val="0"/>
          <w:sz w:val="21"/>
          <w:szCs w:val="24"/>
          <w:highlight w:val="none"/>
        </w:rPr>
      </w:pPr>
      <w:r>
        <w:rPr>
          <w:rFonts w:hint="eastAsia" w:ascii="宋体" w:hAnsi="宋体" w:eastAsia="宋体" w:cs="宋体"/>
          <w:b/>
          <w:color w:val="auto"/>
          <w:kern w:val="0"/>
          <w:sz w:val="21"/>
          <w:szCs w:val="24"/>
          <w:highlight w:val="none"/>
        </w:rPr>
        <w:t>30</w:t>
      </w:r>
      <w:r>
        <w:rPr>
          <w:rFonts w:hint="eastAsia" w:ascii="宋体" w:hAnsi="宋体" w:eastAsia="宋体" w:cs="宋体"/>
          <w:b/>
          <w:color w:val="auto"/>
          <w:kern w:val="0"/>
          <w:sz w:val="21"/>
          <w:szCs w:val="21"/>
          <w:highlight w:val="none"/>
        </w:rPr>
        <w:t>.采购</w:t>
      </w:r>
      <w:r>
        <w:rPr>
          <w:rFonts w:hint="eastAsia" w:ascii="宋体" w:hAnsi="宋体" w:eastAsia="宋体" w:cs="宋体"/>
          <w:b/>
          <w:color w:val="auto"/>
          <w:kern w:val="0"/>
          <w:sz w:val="21"/>
          <w:szCs w:val="24"/>
          <w:highlight w:val="none"/>
        </w:rPr>
        <w:t>代理服务费</w:t>
      </w:r>
    </w:p>
    <w:p w14:paraId="68162241">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本项目的采购代理服务收费标准参照计价格〔2002〕1980号《招标代理服务收费管理暂行办法》工程类收费标准（不足6000元的，按6000元收取。）向成交人收取，由成交人在领取成交通知书前，向采购代理机构一次付清代理服务费</w:t>
      </w:r>
      <w:r>
        <w:rPr>
          <w:rFonts w:hint="eastAsia" w:ascii="宋体" w:hAnsi="宋体" w:eastAsia="宋体" w:cs="宋体"/>
          <w:color w:val="auto"/>
          <w:kern w:val="0"/>
          <w:sz w:val="21"/>
          <w:szCs w:val="21"/>
          <w:highlight w:val="none"/>
        </w:rPr>
        <w:t>。</w:t>
      </w:r>
    </w:p>
    <w:p w14:paraId="342D10D9">
      <w:pPr>
        <w:spacing w:line="400" w:lineRule="exact"/>
        <w:ind w:firstLine="422"/>
        <w:rPr>
          <w:rFonts w:hint="eastAsia" w:ascii="宋体" w:hAnsi="宋体" w:eastAsia="宋体" w:cs="宋体"/>
          <w:b/>
          <w:color w:val="auto"/>
          <w:kern w:val="0"/>
          <w:sz w:val="21"/>
          <w:szCs w:val="24"/>
          <w:highlight w:val="none"/>
        </w:rPr>
      </w:pPr>
      <w:r>
        <w:rPr>
          <w:rFonts w:hint="eastAsia" w:ascii="宋体" w:hAnsi="宋体" w:eastAsia="宋体" w:cs="宋体"/>
          <w:b/>
          <w:color w:val="auto"/>
          <w:kern w:val="0"/>
          <w:sz w:val="21"/>
          <w:szCs w:val="24"/>
          <w:highlight w:val="none"/>
        </w:rPr>
        <w:t>31.采购代理机构银行账户（用于缴纳采购代理服务费）：</w:t>
      </w:r>
    </w:p>
    <w:p w14:paraId="2CE71EDE">
      <w:pPr>
        <w:spacing w:line="400" w:lineRule="exact"/>
        <w:ind w:left="480" w:leftChars="200" w:firstLine="0" w:firstLineChars="0"/>
        <w:rPr>
          <w:rFonts w:hint="eastAsia" w:ascii="宋体" w:hAnsi="宋体" w:eastAsia="宋体" w:cs="宋体"/>
          <w:color w:val="auto"/>
          <w:sz w:val="21"/>
          <w:szCs w:val="21"/>
          <w:highlight w:val="none"/>
          <w:lang w:eastAsia="zh-CN"/>
        </w:rPr>
      </w:pPr>
      <w:bookmarkStart w:id="60" w:name="_Toc1584"/>
      <w:bookmarkStart w:id="61" w:name="_Toc25818"/>
      <w:bookmarkStart w:id="62" w:name="_Toc23962"/>
      <w:bookmarkStart w:id="63" w:name="_Toc6830"/>
      <w:bookmarkStart w:id="64" w:name="_Toc12651"/>
      <w:bookmarkStart w:id="65" w:name="_Toc25986"/>
      <w:bookmarkStart w:id="66" w:name="_Toc30297"/>
      <w:r>
        <w:rPr>
          <w:rFonts w:hint="eastAsia" w:ascii="宋体" w:hAnsi="宋体" w:eastAsia="宋体" w:cs="宋体"/>
          <w:color w:val="auto"/>
          <w:sz w:val="21"/>
          <w:szCs w:val="21"/>
          <w:highlight w:val="none"/>
        </w:rPr>
        <w:t>开户名称：</w:t>
      </w:r>
      <w:r>
        <w:rPr>
          <w:rFonts w:hint="eastAsia" w:ascii="宋体" w:hAnsi="宋体" w:cs="宋体"/>
          <w:color w:val="auto"/>
          <w:sz w:val="21"/>
          <w:szCs w:val="21"/>
          <w:highlight w:val="none"/>
          <w:lang w:eastAsia="zh-CN"/>
        </w:rPr>
        <w:t>广西德元工程项目管理有限责任公司</w:t>
      </w:r>
      <w:r>
        <w:rPr>
          <w:rFonts w:hint="eastAsia" w:ascii="宋体" w:hAnsi="宋体" w:eastAsia="宋体" w:cs="宋体"/>
          <w:color w:val="auto"/>
          <w:sz w:val="21"/>
          <w:szCs w:val="21"/>
          <w:highlight w:val="none"/>
          <w:lang w:eastAsia="zh-CN"/>
        </w:rPr>
        <w:t>桂林分公司</w:t>
      </w:r>
    </w:p>
    <w:bookmarkEnd w:id="60"/>
    <w:bookmarkEnd w:id="61"/>
    <w:bookmarkEnd w:id="62"/>
    <w:bookmarkEnd w:id="63"/>
    <w:bookmarkEnd w:id="64"/>
    <w:bookmarkEnd w:id="65"/>
    <w:bookmarkEnd w:id="66"/>
    <w:p w14:paraId="1CE1D214">
      <w:pPr>
        <w:spacing w:line="400" w:lineRule="exact"/>
        <w:ind w:left="480" w:leftChars="200" w:firstLine="0" w:firstLineChars="0"/>
        <w:rPr>
          <w:rFonts w:hint="eastAsia" w:ascii="宋体" w:hAnsi="宋体" w:eastAsia="宋体" w:cs="宋体"/>
          <w:color w:val="auto"/>
          <w:sz w:val="21"/>
          <w:szCs w:val="21"/>
          <w:highlight w:val="none"/>
          <w:lang w:val="en-US" w:eastAsia="zh-CN"/>
        </w:rPr>
      </w:pPr>
      <w:bookmarkStart w:id="67" w:name="_Toc16849"/>
      <w:bookmarkStart w:id="68" w:name="_Toc29196"/>
      <w:bookmarkStart w:id="69" w:name="_Toc13642"/>
      <w:bookmarkStart w:id="70" w:name="_Toc23186"/>
      <w:bookmarkStart w:id="71" w:name="_Toc12506"/>
      <w:bookmarkStart w:id="72" w:name="_Toc1973"/>
      <w:r>
        <w:rPr>
          <w:rFonts w:hint="eastAsia" w:ascii="宋体" w:hAnsi="宋体" w:eastAsia="宋体" w:cs="宋体"/>
          <w:color w:val="auto"/>
          <w:sz w:val="21"/>
          <w:szCs w:val="21"/>
          <w:highlight w:val="none"/>
        </w:rPr>
        <w:t>账户号码：</w:t>
      </w:r>
      <w:r>
        <w:rPr>
          <w:rFonts w:hint="eastAsia" w:ascii="宋体" w:hAnsi="宋体" w:eastAsia="宋体" w:cs="宋体"/>
          <w:color w:val="auto"/>
          <w:sz w:val="21"/>
          <w:szCs w:val="21"/>
          <w:highlight w:val="none"/>
          <w:lang w:val="en-US" w:eastAsia="zh-CN"/>
        </w:rPr>
        <w:t>0004 9850 2800 010</w:t>
      </w:r>
    </w:p>
    <w:bookmarkEnd w:id="67"/>
    <w:bookmarkEnd w:id="68"/>
    <w:bookmarkEnd w:id="69"/>
    <w:bookmarkEnd w:id="70"/>
    <w:bookmarkEnd w:id="71"/>
    <w:bookmarkEnd w:id="72"/>
    <w:p w14:paraId="5D87E37A">
      <w:pPr>
        <w:spacing w:line="400" w:lineRule="exact"/>
        <w:ind w:left="480" w:leftChars="200" w:firstLine="0" w:firstLineChars="0"/>
        <w:rPr>
          <w:rFonts w:hint="eastAsia" w:ascii="宋体" w:hAnsi="宋体" w:eastAsia="宋体" w:cs="宋体"/>
          <w:color w:val="auto"/>
          <w:sz w:val="21"/>
          <w:szCs w:val="21"/>
          <w:highlight w:val="none"/>
        </w:rPr>
      </w:pPr>
      <w:bookmarkStart w:id="73" w:name="_Toc5432"/>
      <w:bookmarkStart w:id="74" w:name="_Toc10729"/>
      <w:bookmarkStart w:id="75" w:name="_Toc9296"/>
      <w:bookmarkStart w:id="76" w:name="_Toc25168"/>
      <w:bookmarkStart w:id="77" w:name="_Toc4224"/>
      <w:bookmarkStart w:id="78" w:name="_Toc3527"/>
      <w:bookmarkStart w:id="79" w:name="_Toc32405"/>
      <w:r>
        <w:rPr>
          <w:rFonts w:hint="eastAsia" w:ascii="宋体" w:hAnsi="宋体" w:eastAsia="宋体" w:cs="宋体"/>
          <w:color w:val="auto"/>
          <w:sz w:val="21"/>
          <w:szCs w:val="21"/>
          <w:highlight w:val="none"/>
        </w:rPr>
        <w:t>开户银行：</w:t>
      </w:r>
      <w:bookmarkEnd w:id="73"/>
      <w:bookmarkEnd w:id="74"/>
      <w:bookmarkEnd w:id="75"/>
      <w:bookmarkEnd w:id="76"/>
      <w:bookmarkEnd w:id="77"/>
      <w:bookmarkEnd w:id="78"/>
      <w:bookmarkEnd w:id="79"/>
      <w:r>
        <w:rPr>
          <w:rFonts w:hint="eastAsia" w:ascii="宋体" w:hAnsi="宋体" w:eastAsia="宋体" w:cs="宋体"/>
          <w:color w:val="auto"/>
          <w:sz w:val="21"/>
          <w:szCs w:val="21"/>
          <w:highlight w:val="none"/>
          <w:lang w:eastAsia="zh-CN"/>
        </w:rPr>
        <w:t>桂林银行股份有限公司城中支行</w:t>
      </w:r>
    </w:p>
    <w:p w14:paraId="6FEB9A02">
      <w:pPr>
        <w:spacing w:line="340" w:lineRule="exact"/>
        <w:ind w:firstLine="422"/>
        <w:rPr>
          <w:rFonts w:hint="eastAsia" w:ascii="宋体" w:hAnsi="宋体" w:eastAsia="宋体" w:cs="宋体"/>
          <w:b/>
          <w:color w:val="auto"/>
          <w:kern w:val="0"/>
          <w:sz w:val="21"/>
          <w:szCs w:val="24"/>
          <w:highlight w:val="none"/>
        </w:rPr>
      </w:pPr>
      <w:r>
        <w:rPr>
          <w:rFonts w:hint="eastAsia" w:ascii="宋体" w:hAnsi="宋体" w:eastAsia="宋体" w:cs="宋体"/>
          <w:b/>
          <w:color w:val="auto"/>
          <w:kern w:val="0"/>
          <w:sz w:val="21"/>
          <w:szCs w:val="24"/>
          <w:highlight w:val="none"/>
        </w:rPr>
        <w:t>32.广西线上“政采贷”政策详见附表4.</w:t>
      </w:r>
    </w:p>
    <w:p w14:paraId="3C802F32">
      <w:pPr>
        <w:spacing w:line="400" w:lineRule="exact"/>
        <w:ind w:firstLine="422"/>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4"/>
          <w:highlight w:val="none"/>
        </w:rPr>
        <w:t>33.解释权：</w:t>
      </w:r>
      <w:r>
        <w:rPr>
          <w:rFonts w:hint="eastAsia" w:ascii="宋体" w:hAnsi="宋体" w:eastAsia="宋体" w:cs="宋体"/>
          <w:color w:val="auto"/>
          <w:kern w:val="0"/>
          <w:sz w:val="21"/>
          <w:szCs w:val="21"/>
          <w:highlight w:val="none"/>
        </w:rPr>
        <w:t>本竞争性磋商文件是根据《中华人民共和国政府采购法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中华人民共和国政府采购法实施条例</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政府采购竞争性磋商采购方式管理暂行办法》和政府采购管理有关规定编制，本竞争性磋商文件的解释权属于采购代理机构。</w:t>
      </w:r>
    </w:p>
    <w:p w14:paraId="1C9F5D5E">
      <w:pPr>
        <w:spacing w:line="340" w:lineRule="exact"/>
        <w:ind w:firstLine="422"/>
        <w:rPr>
          <w:rFonts w:hint="eastAsia" w:ascii="宋体" w:hAnsi="宋体" w:eastAsia="宋体" w:cs="宋体"/>
          <w:color w:val="auto"/>
          <w:kern w:val="0"/>
          <w:sz w:val="21"/>
          <w:szCs w:val="21"/>
          <w:highlight w:val="none"/>
          <w:lang w:eastAsia="zh-CN"/>
        </w:rPr>
      </w:pPr>
      <w:r>
        <w:rPr>
          <w:rFonts w:hint="eastAsia" w:ascii="宋体" w:hAnsi="宋体" w:eastAsia="宋体" w:cs="宋体"/>
          <w:b/>
          <w:color w:val="auto"/>
          <w:kern w:val="0"/>
          <w:sz w:val="21"/>
          <w:szCs w:val="24"/>
          <w:highlight w:val="none"/>
        </w:rPr>
        <w:t>34.监督管理机构：</w:t>
      </w:r>
      <w:r>
        <w:rPr>
          <w:rFonts w:hint="eastAsia" w:ascii="宋体" w:hAnsi="宋体" w:eastAsia="宋体" w:cs="宋体"/>
          <w:color w:val="auto"/>
          <w:kern w:val="0"/>
          <w:sz w:val="21"/>
          <w:szCs w:val="21"/>
          <w:highlight w:val="none"/>
          <w:lang w:eastAsia="zh-CN"/>
        </w:rPr>
        <w:t>阳朔县财政局</w:t>
      </w:r>
      <w:r>
        <w:rPr>
          <w:rFonts w:hint="eastAsia" w:ascii="宋体" w:hAnsi="宋体" w:eastAsia="宋体" w:cs="宋体"/>
          <w:color w:val="auto"/>
          <w:kern w:val="0"/>
          <w:sz w:val="21"/>
          <w:szCs w:val="21"/>
          <w:highlight w:val="none"/>
        </w:rPr>
        <w:t xml:space="preserve">    联系电话：</w:t>
      </w:r>
      <w:r>
        <w:rPr>
          <w:rFonts w:hint="eastAsia" w:ascii="宋体" w:hAnsi="宋体" w:eastAsia="宋体" w:cs="宋体"/>
          <w:color w:val="auto"/>
          <w:kern w:val="0"/>
          <w:sz w:val="21"/>
          <w:szCs w:val="21"/>
          <w:highlight w:val="none"/>
          <w:lang w:eastAsia="zh-CN"/>
        </w:rPr>
        <w:t>0773-8811598</w:t>
      </w:r>
    </w:p>
    <w:p w14:paraId="28CDAE93">
      <w:pPr>
        <w:spacing w:line="440" w:lineRule="exact"/>
        <w:ind w:firstLine="422"/>
        <w:rPr>
          <w:rFonts w:hint="eastAsia" w:ascii="宋体" w:hAnsi="宋体" w:eastAsia="宋体" w:cs="宋体"/>
          <w:b/>
          <w:color w:val="auto"/>
          <w:kern w:val="0"/>
          <w:sz w:val="21"/>
          <w:szCs w:val="24"/>
          <w:highlight w:val="none"/>
        </w:rPr>
      </w:pPr>
      <w:r>
        <w:rPr>
          <w:rFonts w:hint="eastAsia" w:ascii="宋体" w:hAnsi="宋体" w:eastAsia="宋体" w:cs="宋体"/>
          <w:b/>
          <w:color w:val="auto"/>
          <w:kern w:val="0"/>
          <w:sz w:val="21"/>
          <w:szCs w:val="24"/>
          <w:highlight w:val="none"/>
        </w:rPr>
        <w:t>35.中小企业</w:t>
      </w:r>
    </w:p>
    <w:p w14:paraId="75AF058E">
      <w:pPr>
        <w:spacing w:line="44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kern w:val="0"/>
          <w:sz w:val="21"/>
          <w:szCs w:val="21"/>
          <w:highlight w:val="none"/>
        </w:rPr>
        <w:t>根据《政府采购促进中小企业发展管理办法》（财库〔2020〕46号）的规定，本磋商文件所称中小企业，是指在中华人民共和国境内依法设立，依据中小企业划分标准确定的中型企业、小型企业和微型企业，但与大企业的负责人为同一人，或者与大企业存在直接控股、管理关系的除外。</w:t>
      </w:r>
    </w:p>
    <w:p w14:paraId="567515B7">
      <w:pPr>
        <w:spacing w:line="44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color w:val="auto"/>
          <w:kern w:val="0"/>
          <w:sz w:val="21"/>
          <w:szCs w:val="21"/>
          <w:highlight w:val="none"/>
        </w:rPr>
        <w:t>本项目</w:t>
      </w:r>
      <w:r>
        <w:rPr>
          <w:rFonts w:hint="eastAsia" w:ascii="宋体" w:hAnsi="宋体" w:eastAsia="宋体" w:cs="宋体"/>
          <w:color w:val="auto"/>
          <w:kern w:val="0"/>
          <w:sz w:val="21"/>
          <w:szCs w:val="21"/>
          <w:highlight w:val="none"/>
          <w:lang w:eastAsia="zh-CN"/>
        </w:rPr>
        <w:t>标的</w:t>
      </w:r>
      <w:r>
        <w:rPr>
          <w:rFonts w:hint="eastAsia" w:ascii="宋体" w:hAnsi="宋体" w:eastAsia="宋体" w:cs="宋体"/>
          <w:color w:val="auto"/>
          <w:kern w:val="0"/>
          <w:sz w:val="21"/>
          <w:szCs w:val="21"/>
          <w:highlight w:val="none"/>
        </w:rPr>
        <w:t>所属行业为建筑业。</w:t>
      </w:r>
    </w:p>
    <w:p w14:paraId="64CEF481">
      <w:pPr>
        <w:spacing w:line="44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关于印发中小企业划型标准规定的通知》（工信部联企业〔2011〕300号）的规定，建筑业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86EFB2">
      <w:pPr>
        <w:pStyle w:val="23"/>
        <w:spacing w:line="440" w:lineRule="exact"/>
        <w:ind w:left="0" w:firstLine="420" w:firstLineChars="200"/>
        <w:rPr>
          <w:rFonts w:hint="eastAsia" w:ascii="宋体" w:hAnsi="宋体" w:eastAsia="宋体" w:cs="宋体"/>
          <w:color w:val="auto"/>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供应商确定自身属于上述定义的</w:t>
      </w:r>
      <w:r>
        <w:rPr>
          <w:rFonts w:hint="eastAsia" w:ascii="宋体" w:hAnsi="宋体" w:cs="宋体"/>
          <w:color w:val="auto"/>
          <w:sz w:val="21"/>
          <w:szCs w:val="21"/>
          <w:highlight w:val="none"/>
          <w:lang w:eastAsia="zh-CN"/>
        </w:rPr>
        <w:t>中小微企业</w:t>
      </w:r>
      <w:r>
        <w:rPr>
          <w:rFonts w:hint="eastAsia" w:ascii="宋体" w:hAnsi="宋体" w:eastAsia="宋体" w:cs="宋体"/>
          <w:color w:val="auto"/>
          <w:sz w:val="21"/>
          <w:szCs w:val="21"/>
          <w:highlight w:val="none"/>
        </w:rPr>
        <w:t>时，应按第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章“响应文件格式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提供相应的《中小企业声明函》，否则评审时不予认定。任何单位和个人不得要求供应商提供《中小企业声明函》之外的</w:t>
      </w:r>
      <w:r>
        <w:rPr>
          <w:rFonts w:hint="eastAsia" w:ascii="宋体" w:hAnsi="宋体" w:cs="宋体"/>
          <w:color w:val="auto"/>
          <w:sz w:val="21"/>
          <w:szCs w:val="21"/>
          <w:highlight w:val="none"/>
          <w:lang w:eastAsia="zh-CN"/>
        </w:rPr>
        <w:t>中小微企业</w:t>
      </w:r>
      <w:r>
        <w:rPr>
          <w:rFonts w:hint="eastAsia" w:ascii="宋体" w:hAnsi="宋体" w:eastAsia="宋体" w:cs="宋体"/>
          <w:color w:val="auto"/>
          <w:sz w:val="21"/>
          <w:szCs w:val="21"/>
          <w:highlight w:val="none"/>
        </w:rPr>
        <w:t>身份证明文件。</w:t>
      </w:r>
    </w:p>
    <w:p w14:paraId="3DA68304">
      <w:pPr>
        <w:spacing w:line="440" w:lineRule="exact"/>
        <w:ind w:firstLine="422"/>
        <w:rPr>
          <w:rFonts w:hint="eastAsia" w:ascii="宋体" w:hAnsi="宋体" w:eastAsia="宋体" w:cs="宋体"/>
          <w:b/>
          <w:color w:val="auto"/>
          <w:kern w:val="0"/>
          <w:sz w:val="21"/>
          <w:szCs w:val="24"/>
          <w:highlight w:val="none"/>
        </w:rPr>
      </w:pPr>
      <w:r>
        <w:rPr>
          <w:rFonts w:hint="eastAsia" w:ascii="宋体" w:hAnsi="宋体" w:eastAsia="宋体" w:cs="宋体"/>
          <w:b/>
          <w:color w:val="auto"/>
          <w:kern w:val="0"/>
          <w:sz w:val="21"/>
          <w:szCs w:val="24"/>
          <w:highlight w:val="none"/>
        </w:rPr>
        <w:t>36.监狱企业</w:t>
      </w:r>
    </w:p>
    <w:p w14:paraId="37FCF3F7">
      <w:pPr>
        <w:spacing w:line="42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kern w:val="0"/>
          <w:sz w:val="21"/>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281774">
      <w:pPr>
        <w:pStyle w:val="23"/>
        <w:spacing w:line="420" w:lineRule="exact"/>
        <w:ind w:left="0" w:firstLine="420" w:firstLineChars="200"/>
        <w:rPr>
          <w:rFonts w:hint="eastAsia" w:ascii="宋体" w:hAnsi="宋体" w:eastAsia="宋体" w:cs="宋体"/>
          <w:color w:val="auto"/>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318BD57">
      <w:pPr>
        <w:spacing w:line="420" w:lineRule="exact"/>
        <w:ind w:firstLine="422"/>
        <w:rPr>
          <w:rFonts w:hint="eastAsia" w:ascii="宋体" w:hAnsi="宋体" w:eastAsia="宋体" w:cs="宋体"/>
          <w:b/>
          <w:color w:val="auto"/>
          <w:kern w:val="0"/>
          <w:sz w:val="21"/>
          <w:szCs w:val="24"/>
          <w:highlight w:val="none"/>
        </w:rPr>
      </w:pPr>
      <w:r>
        <w:rPr>
          <w:rFonts w:hint="eastAsia" w:ascii="宋体" w:hAnsi="宋体" w:eastAsia="宋体" w:cs="宋体"/>
          <w:b/>
          <w:color w:val="auto"/>
          <w:kern w:val="0"/>
          <w:sz w:val="21"/>
          <w:szCs w:val="24"/>
          <w:highlight w:val="none"/>
        </w:rPr>
        <w:t>37.残疾人福利性单位</w:t>
      </w:r>
    </w:p>
    <w:p w14:paraId="4724AAB7">
      <w:pPr>
        <w:spacing w:line="42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37.1</w:t>
      </w:r>
      <w:r>
        <w:rPr>
          <w:rFonts w:hint="eastAsia" w:ascii="宋体" w:hAnsi="宋体" w:eastAsia="宋体" w:cs="宋体"/>
          <w:color w:val="auto"/>
          <w:kern w:val="0"/>
          <w:sz w:val="21"/>
          <w:szCs w:val="21"/>
          <w:highlight w:val="none"/>
        </w:rPr>
        <w:t>根据《关于促进残疾人就业政府采购政策的通知》（财库〔2017〕141号）的规定，享受政府采购支持政策的残疾人福利性单位应当同时满足以下条件：</w:t>
      </w:r>
    </w:p>
    <w:p w14:paraId="64B60ED6">
      <w:pPr>
        <w:spacing w:line="42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（1）安置的残疾人占本单位在职职工人数的比例不低于25%（含25%），并且安置的残疾人人数不少于10人（含10人）；</w:t>
      </w:r>
    </w:p>
    <w:p w14:paraId="37641836">
      <w:pPr>
        <w:spacing w:line="42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（2）依法与安置的每位残疾人签订了一年以上（含一年）的劳动合同或服务协议；</w:t>
      </w:r>
    </w:p>
    <w:p w14:paraId="16019BBF">
      <w:pPr>
        <w:spacing w:line="42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（3）为安置的每位残疾人按月足额缴纳了基本养老保险、基本医疗保险、失业保险、工伤保险和生育保险等社会保险费；</w:t>
      </w:r>
    </w:p>
    <w:p w14:paraId="56C0B6D7">
      <w:pPr>
        <w:spacing w:line="42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（4）通过银行等金融机构向安置的每位残疾人，按月支付了不低于单位所在区县适用的经省级人民政府批准的月最低工资标准的工资；</w:t>
      </w:r>
    </w:p>
    <w:p w14:paraId="3A3348BF">
      <w:pPr>
        <w:spacing w:line="42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（5）提供本单位制造的货物、承担的工程或者服务（以下简称产品），或者提供其他残疾人福利性单位制造的货物（不包括使用非残疾人福利性单位注册商标的货物）。</w:t>
      </w:r>
    </w:p>
    <w:p w14:paraId="5C7A9DC7">
      <w:pPr>
        <w:spacing w:line="42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703C5B0">
      <w:pPr>
        <w:snapToGrid w:val="0"/>
        <w:spacing w:line="420" w:lineRule="exact"/>
        <w:ind w:firstLine="420"/>
        <w:rPr>
          <w:rFonts w:hint="eastAsia" w:ascii="宋体" w:hAnsi="宋体" w:eastAsia="宋体" w:cs="宋体"/>
          <w:b/>
          <w:color w:val="auto"/>
          <w:szCs w:val="24"/>
          <w:highlight w:val="none"/>
        </w:rPr>
      </w:pPr>
      <w:r>
        <w:rPr>
          <w:rFonts w:hint="eastAsia" w:ascii="宋体" w:hAnsi="宋体" w:eastAsia="宋体" w:cs="宋体"/>
          <w:color w:val="auto"/>
          <w:kern w:val="0"/>
          <w:sz w:val="21"/>
          <w:szCs w:val="21"/>
          <w:highlight w:val="none"/>
          <w:lang w:val="en-US" w:eastAsia="zh-CN"/>
        </w:rPr>
        <w:t>37.2</w:t>
      </w:r>
      <w:r>
        <w:rPr>
          <w:rFonts w:hint="eastAsia" w:ascii="宋体" w:hAnsi="宋体" w:eastAsia="宋体" w:cs="宋体"/>
          <w:color w:val="auto"/>
          <w:kern w:val="0"/>
          <w:sz w:val="21"/>
          <w:szCs w:val="21"/>
          <w:highlight w:val="none"/>
        </w:rPr>
        <w:t>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6C3EE72">
      <w:pPr>
        <w:snapToGrid w:val="0"/>
        <w:spacing w:line="240" w:lineRule="auto"/>
        <w:ind w:firstLine="0" w:firstLineChars="0"/>
        <w:rPr>
          <w:rFonts w:hint="eastAsia" w:ascii="宋体" w:hAnsi="宋体" w:eastAsia="宋体" w:cs="宋体"/>
          <w:b/>
          <w:color w:val="auto"/>
          <w:szCs w:val="24"/>
          <w:highlight w:val="none"/>
        </w:rPr>
      </w:pPr>
    </w:p>
    <w:p w14:paraId="759F4867">
      <w:pPr>
        <w:widowControl/>
        <w:spacing w:line="240" w:lineRule="auto"/>
        <w:ind w:firstLine="0" w:firstLineChars="0"/>
        <w:jc w:val="lef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br w:type="page"/>
      </w:r>
    </w:p>
    <w:p w14:paraId="7AA99213">
      <w:pPr>
        <w:snapToGrid w:val="0"/>
        <w:spacing w:line="240" w:lineRule="auto"/>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附表1：</w:t>
      </w:r>
    </w:p>
    <w:p w14:paraId="5655CA14">
      <w:pPr>
        <w:spacing w:line="460" w:lineRule="exact"/>
        <w:ind w:firstLine="0" w:firstLineChars="0"/>
        <w:jc w:val="center"/>
        <w:rPr>
          <w:rFonts w:hint="eastAsia" w:ascii="宋体" w:hAnsi="宋体" w:eastAsia="宋体" w:cs="宋体"/>
          <w:color w:val="auto"/>
          <w:sz w:val="44"/>
          <w:szCs w:val="24"/>
          <w:highlight w:val="none"/>
        </w:rPr>
      </w:pPr>
      <w:r>
        <w:rPr>
          <w:rFonts w:hint="eastAsia" w:ascii="宋体" w:hAnsi="宋体" w:eastAsia="宋体" w:cs="宋体"/>
          <w:color w:val="auto"/>
          <w:sz w:val="44"/>
          <w:szCs w:val="24"/>
          <w:highlight w:val="none"/>
        </w:rPr>
        <w:t>质疑函（格式）</w:t>
      </w:r>
    </w:p>
    <w:p w14:paraId="34363FC0">
      <w:pPr>
        <w:snapToGrid w:val="0"/>
        <w:spacing w:line="360" w:lineRule="exact"/>
        <w:ind w:firstLine="422"/>
        <w:rPr>
          <w:rFonts w:hint="eastAsia" w:ascii="宋体" w:hAnsi="宋体" w:eastAsia="宋体" w:cs="宋体"/>
          <w:b/>
          <w:bCs/>
          <w:color w:val="auto"/>
          <w:sz w:val="21"/>
          <w:szCs w:val="20"/>
          <w:highlight w:val="none"/>
        </w:rPr>
      </w:pPr>
      <w:r>
        <w:rPr>
          <w:rFonts w:hint="eastAsia" w:ascii="宋体" w:hAnsi="宋体" w:eastAsia="宋体" w:cs="宋体"/>
          <w:b/>
          <w:bCs/>
          <w:color w:val="auto"/>
          <w:sz w:val="21"/>
          <w:szCs w:val="20"/>
          <w:highlight w:val="none"/>
        </w:rPr>
        <w:t>一、质疑供应商基本信息：</w:t>
      </w:r>
    </w:p>
    <w:p w14:paraId="20388477">
      <w:pPr>
        <w:snapToGrid w:val="0"/>
        <w:spacing w:line="360" w:lineRule="exact"/>
        <w:ind w:firstLine="420"/>
        <w:rPr>
          <w:rFonts w:hint="eastAsia" w:ascii="宋体" w:hAnsi="宋体" w:eastAsia="宋体" w:cs="宋体"/>
          <w:bCs/>
          <w:color w:val="auto"/>
          <w:sz w:val="21"/>
          <w:szCs w:val="20"/>
          <w:highlight w:val="none"/>
          <w:u w:val="single"/>
        </w:rPr>
      </w:pPr>
      <w:r>
        <w:rPr>
          <w:rFonts w:hint="eastAsia" w:ascii="宋体" w:hAnsi="宋体" w:eastAsia="宋体" w:cs="宋体"/>
          <w:bCs/>
          <w:color w:val="auto"/>
          <w:sz w:val="21"/>
          <w:szCs w:val="20"/>
          <w:highlight w:val="none"/>
        </w:rPr>
        <w:t>质疑供应商：</w:t>
      </w:r>
      <w:r>
        <w:rPr>
          <w:rFonts w:hint="eastAsia" w:ascii="宋体" w:hAnsi="宋体" w:eastAsia="宋体" w:cs="宋体"/>
          <w:bCs/>
          <w:color w:val="auto"/>
          <w:sz w:val="21"/>
          <w:szCs w:val="20"/>
          <w:highlight w:val="none"/>
          <w:u w:val="single"/>
        </w:rPr>
        <w:t xml:space="preserve">                    </w:t>
      </w:r>
    </w:p>
    <w:p w14:paraId="333E894C">
      <w:pPr>
        <w:snapToGrid w:val="0"/>
        <w:spacing w:line="360" w:lineRule="exact"/>
        <w:ind w:firstLine="420"/>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地址：</w:t>
      </w:r>
      <w:r>
        <w:rPr>
          <w:rFonts w:hint="eastAsia" w:ascii="宋体" w:hAnsi="宋体" w:eastAsia="宋体" w:cs="宋体"/>
          <w:bCs/>
          <w:color w:val="auto"/>
          <w:sz w:val="21"/>
          <w:szCs w:val="20"/>
          <w:highlight w:val="none"/>
          <w:u w:val="single"/>
        </w:rPr>
        <w:t xml:space="preserve">                          </w:t>
      </w:r>
      <w:r>
        <w:rPr>
          <w:rFonts w:hint="eastAsia" w:ascii="宋体" w:hAnsi="宋体" w:eastAsia="宋体" w:cs="宋体"/>
          <w:bCs/>
          <w:color w:val="auto"/>
          <w:sz w:val="21"/>
          <w:szCs w:val="20"/>
          <w:highlight w:val="none"/>
        </w:rPr>
        <w:t>邮编：</w:t>
      </w:r>
      <w:r>
        <w:rPr>
          <w:rFonts w:hint="eastAsia" w:ascii="宋体" w:hAnsi="宋体" w:eastAsia="宋体" w:cs="宋体"/>
          <w:bCs/>
          <w:color w:val="auto"/>
          <w:sz w:val="21"/>
          <w:szCs w:val="20"/>
          <w:highlight w:val="none"/>
          <w:u w:val="single"/>
        </w:rPr>
        <w:t xml:space="preserve">                        </w:t>
      </w:r>
    </w:p>
    <w:p w14:paraId="0125E7B4">
      <w:pPr>
        <w:snapToGrid w:val="0"/>
        <w:spacing w:line="360" w:lineRule="exact"/>
        <w:ind w:firstLine="420"/>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联系人：</w:t>
      </w:r>
      <w:r>
        <w:rPr>
          <w:rFonts w:hint="eastAsia" w:ascii="宋体" w:hAnsi="宋体" w:eastAsia="宋体" w:cs="宋体"/>
          <w:bCs/>
          <w:color w:val="auto"/>
          <w:sz w:val="21"/>
          <w:szCs w:val="20"/>
          <w:highlight w:val="none"/>
          <w:u w:val="single"/>
        </w:rPr>
        <w:t xml:space="preserve">                        </w:t>
      </w:r>
      <w:r>
        <w:rPr>
          <w:rFonts w:hint="eastAsia" w:ascii="宋体" w:hAnsi="宋体" w:eastAsia="宋体" w:cs="宋体"/>
          <w:bCs/>
          <w:color w:val="auto"/>
          <w:sz w:val="21"/>
          <w:szCs w:val="20"/>
          <w:highlight w:val="none"/>
        </w:rPr>
        <w:t>联系电话：</w:t>
      </w:r>
      <w:r>
        <w:rPr>
          <w:rFonts w:hint="eastAsia" w:ascii="宋体" w:hAnsi="宋体" w:eastAsia="宋体" w:cs="宋体"/>
          <w:bCs/>
          <w:color w:val="auto"/>
          <w:sz w:val="21"/>
          <w:szCs w:val="20"/>
          <w:highlight w:val="none"/>
          <w:u w:val="single"/>
        </w:rPr>
        <w:t xml:space="preserve">                        </w:t>
      </w:r>
    </w:p>
    <w:p w14:paraId="2636959F">
      <w:pPr>
        <w:snapToGrid w:val="0"/>
        <w:spacing w:line="360" w:lineRule="exact"/>
        <w:ind w:firstLine="420"/>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授权代表：</w:t>
      </w:r>
      <w:r>
        <w:rPr>
          <w:rFonts w:hint="eastAsia" w:ascii="宋体" w:hAnsi="宋体" w:eastAsia="宋体" w:cs="宋体"/>
          <w:bCs/>
          <w:color w:val="auto"/>
          <w:sz w:val="21"/>
          <w:szCs w:val="20"/>
          <w:highlight w:val="none"/>
          <w:u w:val="single"/>
        </w:rPr>
        <w:t xml:space="preserve">                      </w:t>
      </w:r>
    </w:p>
    <w:p w14:paraId="1716B534">
      <w:pPr>
        <w:snapToGrid w:val="0"/>
        <w:spacing w:line="360" w:lineRule="exact"/>
        <w:ind w:firstLine="420"/>
        <w:rPr>
          <w:rFonts w:hint="eastAsia" w:ascii="宋体" w:hAnsi="宋体" w:eastAsia="宋体" w:cs="宋体"/>
          <w:bCs/>
          <w:color w:val="auto"/>
          <w:sz w:val="21"/>
          <w:szCs w:val="20"/>
          <w:highlight w:val="none"/>
          <w:u w:val="single"/>
        </w:rPr>
      </w:pPr>
      <w:r>
        <w:rPr>
          <w:rFonts w:hint="eastAsia" w:ascii="宋体" w:hAnsi="宋体" w:eastAsia="宋体" w:cs="宋体"/>
          <w:bCs/>
          <w:color w:val="auto"/>
          <w:sz w:val="21"/>
          <w:szCs w:val="20"/>
          <w:highlight w:val="none"/>
        </w:rPr>
        <w:t>联系电话：</w:t>
      </w:r>
      <w:r>
        <w:rPr>
          <w:rFonts w:hint="eastAsia" w:ascii="宋体" w:hAnsi="宋体" w:eastAsia="宋体" w:cs="宋体"/>
          <w:bCs/>
          <w:color w:val="auto"/>
          <w:sz w:val="21"/>
          <w:szCs w:val="20"/>
          <w:highlight w:val="none"/>
          <w:u w:val="single"/>
        </w:rPr>
        <w:t xml:space="preserve">                      </w:t>
      </w:r>
    </w:p>
    <w:p w14:paraId="5D3252F5">
      <w:pPr>
        <w:snapToGrid w:val="0"/>
        <w:spacing w:line="360" w:lineRule="exact"/>
        <w:ind w:firstLine="420"/>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地址：</w:t>
      </w:r>
      <w:r>
        <w:rPr>
          <w:rFonts w:hint="eastAsia" w:ascii="宋体" w:hAnsi="宋体" w:eastAsia="宋体" w:cs="宋体"/>
          <w:bCs/>
          <w:color w:val="auto"/>
          <w:sz w:val="21"/>
          <w:szCs w:val="20"/>
          <w:highlight w:val="none"/>
          <w:u w:val="single"/>
        </w:rPr>
        <w:t xml:space="preserve">                          </w:t>
      </w:r>
      <w:r>
        <w:rPr>
          <w:rFonts w:hint="eastAsia" w:ascii="宋体" w:hAnsi="宋体" w:eastAsia="宋体" w:cs="宋体"/>
          <w:bCs/>
          <w:color w:val="auto"/>
          <w:sz w:val="21"/>
          <w:szCs w:val="20"/>
          <w:highlight w:val="none"/>
        </w:rPr>
        <w:t>邮编：</w:t>
      </w:r>
      <w:r>
        <w:rPr>
          <w:rFonts w:hint="eastAsia" w:ascii="宋体" w:hAnsi="宋体" w:eastAsia="宋体" w:cs="宋体"/>
          <w:bCs/>
          <w:color w:val="auto"/>
          <w:sz w:val="21"/>
          <w:szCs w:val="20"/>
          <w:highlight w:val="none"/>
          <w:u w:val="single"/>
        </w:rPr>
        <w:t xml:space="preserve">                        </w:t>
      </w:r>
    </w:p>
    <w:p w14:paraId="6EA57900">
      <w:pPr>
        <w:snapToGrid w:val="0"/>
        <w:spacing w:line="360" w:lineRule="exact"/>
        <w:ind w:firstLine="422"/>
        <w:rPr>
          <w:rFonts w:hint="eastAsia" w:ascii="宋体" w:hAnsi="宋体" w:eastAsia="宋体" w:cs="宋体"/>
          <w:b/>
          <w:bCs/>
          <w:color w:val="auto"/>
          <w:sz w:val="21"/>
          <w:szCs w:val="20"/>
          <w:highlight w:val="none"/>
        </w:rPr>
      </w:pPr>
      <w:r>
        <w:rPr>
          <w:rFonts w:hint="eastAsia" w:ascii="宋体" w:hAnsi="宋体" w:eastAsia="宋体" w:cs="宋体"/>
          <w:b/>
          <w:bCs/>
          <w:color w:val="auto"/>
          <w:sz w:val="21"/>
          <w:szCs w:val="20"/>
          <w:highlight w:val="none"/>
        </w:rPr>
        <w:t>二、质疑项目基本情况：</w:t>
      </w:r>
    </w:p>
    <w:p w14:paraId="5D1FDE0C">
      <w:pPr>
        <w:spacing w:line="360" w:lineRule="exact"/>
        <w:ind w:left="29"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0"/>
          <w:highlight w:val="none"/>
        </w:rPr>
        <w:t>质疑</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0"/>
          <w:highlight w:val="none"/>
          <w:u w:val="single"/>
        </w:rPr>
        <w:t xml:space="preserve">                        </w:t>
      </w:r>
    </w:p>
    <w:p w14:paraId="2A9665AD">
      <w:pPr>
        <w:spacing w:line="360" w:lineRule="exact"/>
        <w:ind w:left="29"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0"/>
          <w:highlight w:val="none"/>
        </w:rPr>
        <w:t>质疑</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0"/>
          <w:highlight w:val="none"/>
          <w:u w:val="single"/>
        </w:rPr>
        <w:t xml:space="preserve">                        </w:t>
      </w:r>
    </w:p>
    <w:p w14:paraId="66C7663A">
      <w:pPr>
        <w:spacing w:line="360" w:lineRule="exact"/>
        <w:ind w:left="29"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0"/>
          <w:highlight w:val="none"/>
          <w:u w:val="single"/>
        </w:rPr>
        <w:t xml:space="preserve">                        </w:t>
      </w:r>
    </w:p>
    <w:p w14:paraId="0AA9AABF">
      <w:pPr>
        <w:spacing w:line="360" w:lineRule="exact"/>
        <w:ind w:left="29"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w:t>
      </w:r>
      <w:r>
        <w:rPr>
          <w:rFonts w:hint="eastAsia" w:ascii="宋体" w:hAnsi="宋体" w:eastAsia="宋体" w:cs="宋体"/>
          <w:bCs/>
          <w:color w:val="auto"/>
          <w:sz w:val="21"/>
          <w:szCs w:val="20"/>
          <w:highlight w:val="none"/>
          <w:u w:val="single"/>
        </w:rPr>
        <w:t xml:space="preserve">                        </w:t>
      </w:r>
    </w:p>
    <w:p w14:paraId="2A08158A">
      <w:pPr>
        <w:spacing w:line="360" w:lineRule="exact"/>
        <w:ind w:left="29" w:leftChars="12" w:firstLine="441" w:firstLineChars="147"/>
        <w:rPr>
          <w:rFonts w:hint="eastAsia" w:ascii="宋体" w:hAnsi="宋体" w:eastAsia="宋体" w:cs="宋体"/>
          <w:color w:val="auto"/>
          <w:sz w:val="21"/>
          <w:szCs w:val="21"/>
          <w:highlight w:val="none"/>
        </w:rPr>
      </w:pPr>
      <w:r>
        <w:rPr>
          <w:rFonts w:hint="eastAsia" w:ascii="宋体" w:hAnsi="宋体" w:eastAsia="宋体" w:cs="宋体"/>
          <w:color w:val="auto"/>
          <w:sz w:val="30"/>
          <w:szCs w:val="30"/>
          <w:highlight w:val="none"/>
        </w:rPr>
        <w:t>□</w:t>
      </w:r>
      <w:r>
        <w:rPr>
          <w:rFonts w:hint="eastAsia" w:ascii="宋体" w:hAnsi="宋体" w:eastAsia="宋体" w:cs="宋体"/>
          <w:color w:val="auto"/>
          <w:sz w:val="21"/>
          <w:szCs w:val="21"/>
          <w:highlight w:val="none"/>
        </w:rPr>
        <w:t>磋商文件   磋商文件获取日期：</w:t>
      </w:r>
      <w:r>
        <w:rPr>
          <w:rFonts w:hint="eastAsia" w:ascii="宋体" w:hAnsi="宋体" w:eastAsia="宋体" w:cs="宋体"/>
          <w:bCs/>
          <w:color w:val="auto"/>
          <w:sz w:val="21"/>
          <w:szCs w:val="20"/>
          <w:highlight w:val="none"/>
          <w:u w:val="single"/>
        </w:rPr>
        <w:t xml:space="preserve">                        </w:t>
      </w:r>
    </w:p>
    <w:p w14:paraId="132F12CC">
      <w:pPr>
        <w:spacing w:line="360" w:lineRule="exact"/>
        <w:ind w:left="29" w:leftChars="12" w:firstLine="441" w:firstLineChars="147"/>
        <w:rPr>
          <w:rFonts w:hint="eastAsia" w:ascii="宋体" w:hAnsi="宋体" w:eastAsia="宋体" w:cs="宋体"/>
          <w:color w:val="auto"/>
          <w:sz w:val="21"/>
          <w:szCs w:val="21"/>
          <w:highlight w:val="none"/>
        </w:rPr>
      </w:pPr>
      <w:r>
        <w:rPr>
          <w:rFonts w:hint="eastAsia" w:ascii="宋体" w:hAnsi="宋体" w:eastAsia="宋体" w:cs="宋体"/>
          <w:color w:val="auto"/>
          <w:sz w:val="30"/>
          <w:szCs w:val="30"/>
          <w:highlight w:val="none"/>
        </w:rPr>
        <w:t>□</w:t>
      </w:r>
      <w:r>
        <w:rPr>
          <w:rFonts w:hint="eastAsia" w:ascii="宋体" w:hAnsi="宋体" w:eastAsia="宋体" w:cs="宋体"/>
          <w:color w:val="auto"/>
          <w:sz w:val="21"/>
          <w:szCs w:val="21"/>
          <w:highlight w:val="none"/>
        </w:rPr>
        <w:t xml:space="preserve">采购过程   </w:t>
      </w:r>
    </w:p>
    <w:p w14:paraId="0FF0D06A">
      <w:pPr>
        <w:spacing w:line="360" w:lineRule="exact"/>
        <w:ind w:left="29" w:leftChars="12" w:firstLine="441" w:firstLineChars="147"/>
        <w:rPr>
          <w:rFonts w:hint="eastAsia" w:ascii="宋体" w:hAnsi="宋体" w:eastAsia="宋体" w:cs="宋体"/>
          <w:bCs/>
          <w:color w:val="auto"/>
          <w:sz w:val="21"/>
          <w:szCs w:val="20"/>
          <w:highlight w:val="none"/>
          <w:u w:val="single"/>
        </w:rPr>
      </w:pPr>
      <w:r>
        <w:rPr>
          <w:rFonts w:hint="eastAsia" w:ascii="宋体" w:hAnsi="宋体" w:eastAsia="宋体" w:cs="宋体"/>
          <w:color w:val="auto"/>
          <w:sz w:val="30"/>
          <w:szCs w:val="30"/>
          <w:highlight w:val="none"/>
        </w:rPr>
        <w:t>□</w:t>
      </w:r>
      <w:r>
        <w:rPr>
          <w:rFonts w:hint="eastAsia" w:ascii="宋体" w:hAnsi="宋体" w:eastAsia="宋体" w:cs="宋体"/>
          <w:color w:val="auto"/>
          <w:sz w:val="21"/>
          <w:szCs w:val="21"/>
          <w:highlight w:val="none"/>
        </w:rPr>
        <w:t xml:space="preserve">成交结果   </w:t>
      </w:r>
    </w:p>
    <w:p w14:paraId="24781DBE">
      <w:pPr>
        <w:spacing w:line="360" w:lineRule="exact"/>
        <w:ind w:left="29"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三、质疑事项具体内容</w:t>
      </w:r>
    </w:p>
    <w:p w14:paraId="2F19D472">
      <w:pPr>
        <w:spacing w:line="360" w:lineRule="exact"/>
        <w:ind w:left="29"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质疑事项1：</w:t>
      </w:r>
      <w:r>
        <w:rPr>
          <w:rFonts w:hint="eastAsia" w:ascii="宋体" w:hAnsi="宋体" w:eastAsia="宋体" w:cs="宋体"/>
          <w:bCs/>
          <w:color w:val="auto"/>
          <w:sz w:val="21"/>
          <w:szCs w:val="20"/>
          <w:highlight w:val="none"/>
          <w:u w:val="single"/>
        </w:rPr>
        <w:t xml:space="preserve">                        </w:t>
      </w:r>
    </w:p>
    <w:p w14:paraId="0CF7EBC4">
      <w:pPr>
        <w:spacing w:line="360" w:lineRule="exact"/>
        <w:ind w:left="29"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bCs/>
          <w:color w:val="auto"/>
          <w:sz w:val="21"/>
          <w:szCs w:val="20"/>
          <w:highlight w:val="none"/>
          <w:u w:val="single"/>
        </w:rPr>
        <w:t xml:space="preserve">                        </w:t>
      </w:r>
    </w:p>
    <w:p w14:paraId="1E1C6338">
      <w:pPr>
        <w:spacing w:line="360" w:lineRule="exact"/>
        <w:ind w:left="29"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w:t>
      </w:r>
      <w:r>
        <w:rPr>
          <w:rFonts w:hint="eastAsia" w:ascii="宋体" w:hAnsi="宋体" w:eastAsia="宋体" w:cs="宋体"/>
          <w:bCs/>
          <w:color w:val="auto"/>
          <w:sz w:val="21"/>
          <w:szCs w:val="20"/>
          <w:highlight w:val="none"/>
          <w:u w:val="single"/>
        </w:rPr>
        <w:t xml:space="preserve">                        </w:t>
      </w:r>
    </w:p>
    <w:p w14:paraId="42172AD8">
      <w:pPr>
        <w:spacing w:line="360" w:lineRule="exact"/>
        <w:ind w:left="29"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质疑事项2</w:t>
      </w:r>
      <w:r>
        <w:rPr>
          <w:rFonts w:hint="eastAsia" w:ascii="宋体" w:hAnsi="宋体" w:eastAsia="宋体" w:cs="宋体"/>
          <w:bCs/>
          <w:color w:val="auto"/>
          <w:sz w:val="21"/>
          <w:szCs w:val="20"/>
          <w:highlight w:val="none"/>
          <w:u w:val="single"/>
        </w:rPr>
        <w:t xml:space="preserve">                        </w:t>
      </w:r>
    </w:p>
    <w:p w14:paraId="0DD36F99">
      <w:pPr>
        <w:spacing w:line="360" w:lineRule="exact"/>
        <w:ind w:left="29"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36CECDE">
      <w:pPr>
        <w:spacing w:line="360" w:lineRule="exact"/>
        <w:ind w:left="29"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四、与质疑事项相关的质疑请求：</w:t>
      </w:r>
    </w:p>
    <w:p w14:paraId="04C7C18A">
      <w:pPr>
        <w:spacing w:line="360" w:lineRule="exact"/>
        <w:ind w:left="29"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0"/>
          <w:highlight w:val="none"/>
          <w:u w:val="single"/>
        </w:rPr>
        <w:t xml:space="preserve">                        </w:t>
      </w:r>
    </w:p>
    <w:p w14:paraId="7E588A25">
      <w:pPr>
        <w:spacing w:line="360" w:lineRule="exact"/>
        <w:ind w:left="29" w:leftChars="12" w:firstLine="308" w:firstLineChars="147"/>
        <w:rPr>
          <w:rFonts w:hint="eastAsia" w:ascii="宋体" w:hAnsi="宋体" w:eastAsia="宋体" w:cs="宋体"/>
          <w:color w:val="auto"/>
          <w:sz w:val="21"/>
          <w:szCs w:val="21"/>
          <w:highlight w:val="none"/>
        </w:rPr>
      </w:pPr>
    </w:p>
    <w:p w14:paraId="25B8A46E">
      <w:pPr>
        <w:spacing w:line="360" w:lineRule="exact"/>
        <w:ind w:left="29"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3788D485">
      <w:pPr>
        <w:spacing w:line="360" w:lineRule="exact"/>
        <w:ind w:left="29" w:leftChars="12" w:firstLine="308" w:firstLineChars="147"/>
        <w:rPr>
          <w:rFonts w:hint="eastAsia" w:ascii="宋体" w:hAnsi="宋体" w:eastAsia="宋体" w:cs="宋体"/>
          <w:color w:val="auto"/>
          <w:sz w:val="21"/>
          <w:szCs w:val="21"/>
          <w:highlight w:val="none"/>
        </w:rPr>
      </w:pPr>
    </w:p>
    <w:p w14:paraId="174DD3E0">
      <w:pPr>
        <w:spacing w:line="360" w:lineRule="exact"/>
        <w:ind w:left="29"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1FC5FEE3">
      <w:pPr>
        <w:snapToGrid w:val="0"/>
        <w:spacing w:line="34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09CFFB06">
      <w:pPr>
        <w:snapToGrid w:val="0"/>
        <w:spacing w:line="34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1.供应商提出质疑时，应提交质疑函和必要的证明材料。</w:t>
      </w:r>
    </w:p>
    <w:p w14:paraId="0ADDBD45">
      <w:pPr>
        <w:snapToGrid w:val="0"/>
        <w:spacing w:line="34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B2BA5C">
      <w:pPr>
        <w:snapToGrid w:val="0"/>
        <w:spacing w:line="34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3.质疑函的质疑事项应具体、明确，并有必要的事实依据和法律依据。</w:t>
      </w:r>
    </w:p>
    <w:p w14:paraId="1EA44167">
      <w:pPr>
        <w:snapToGrid w:val="0"/>
        <w:spacing w:line="34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4.质疑函的质疑请求应与质疑事项相关。</w:t>
      </w:r>
    </w:p>
    <w:p w14:paraId="1E6DC823">
      <w:pPr>
        <w:snapToGrid w:val="0"/>
        <w:spacing w:line="34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5.质疑供应商为自然人的，质疑函应由本人签字；质疑供应商为法人或者其他组织的，质疑函应由法定代表人、主要负责人，或者其授权代表签字或者盖章，并加盖公章。</w:t>
      </w:r>
    </w:p>
    <w:p w14:paraId="74A3B7A2">
      <w:pPr>
        <w:spacing w:line="240" w:lineRule="auto"/>
        <w:ind w:firstLine="0" w:firstLineChars="0"/>
        <w:rPr>
          <w:rFonts w:hint="eastAsia" w:ascii="宋体" w:hAnsi="宋体" w:eastAsia="宋体" w:cs="宋体"/>
          <w:color w:val="auto"/>
          <w:sz w:val="21"/>
          <w:szCs w:val="24"/>
          <w:highlight w:val="none"/>
        </w:rPr>
      </w:pPr>
    </w:p>
    <w:p w14:paraId="47C8C8A6">
      <w:pPr>
        <w:snapToGrid w:val="0"/>
        <w:spacing w:line="340" w:lineRule="exact"/>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附表2：</w:t>
      </w:r>
    </w:p>
    <w:p w14:paraId="7CC65973">
      <w:pPr>
        <w:spacing w:line="240" w:lineRule="auto"/>
        <w:ind w:left="2940" w:firstLine="0" w:firstLineChars="0"/>
        <w:rPr>
          <w:rFonts w:hint="eastAsia" w:ascii="宋体" w:hAnsi="宋体" w:eastAsia="宋体" w:cs="宋体"/>
          <w:color w:val="auto"/>
          <w:sz w:val="21"/>
          <w:szCs w:val="24"/>
          <w:highlight w:val="none"/>
        </w:rPr>
      </w:pPr>
    </w:p>
    <w:p w14:paraId="6062861D">
      <w:pPr>
        <w:spacing w:line="460" w:lineRule="exact"/>
        <w:ind w:firstLine="0" w:firstLineChars="0"/>
        <w:jc w:val="center"/>
        <w:rPr>
          <w:rFonts w:hint="eastAsia" w:ascii="宋体" w:hAnsi="宋体" w:eastAsia="宋体" w:cs="宋体"/>
          <w:color w:val="auto"/>
          <w:sz w:val="44"/>
          <w:szCs w:val="24"/>
          <w:highlight w:val="none"/>
        </w:rPr>
      </w:pPr>
    </w:p>
    <w:p w14:paraId="3EBFF1C2">
      <w:pPr>
        <w:spacing w:line="460" w:lineRule="exact"/>
        <w:ind w:firstLine="0" w:firstLineChars="0"/>
        <w:jc w:val="center"/>
        <w:rPr>
          <w:rFonts w:hint="eastAsia" w:ascii="宋体" w:hAnsi="宋体" w:eastAsia="宋体" w:cs="宋体"/>
          <w:color w:val="auto"/>
          <w:sz w:val="44"/>
          <w:szCs w:val="24"/>
          <w:highlight w:val="none"/>
        </w:rPr>
      </w:pPr>
      <w:r>
        <w:rPr>
          <w:rFonts w:hint="eastAsia" w:ascii="宋体" w:hAnsi="宋体" w:eastAsia="宋体" w:cs="宋体"/>
          <w:color w:val="auto"/>
          <w:sz w:val="44"/>
          <w:szCs w:val="24"/>
          <w:highlight w:val="none"/>
        </w:rPr>
        <w:t>投诉书（格式）</w:t>
      </w:r>
    </w:p>
    <w:p w14:paraId="64AA768B">
      <w:pPr>
        <w:snapToGrid w:val="0"/>
        <w:spacing w:line="400" w:lineRule="exact"/>
        <w:ind w:firstLine="422"/>
        <w:rPr>
          <w:rFonts w:hint="eastAsia" w:ascii="宋体" w:hAnsi="宋体" w:eastAsia="宋体" w:cs="宋体"/>
          <w:b/>
          <w:bCs/>
          <w:color w:val="auto"/>
          <w:sz w:val="21"/>
          <w:szCs w:val="20"/>
          <w:highlight w:val="none"/>
        </w:rPr>
      </w:pPr>
      <w:r>
        <w:rPr>
          <w:rFonts w:hint="eastAsia" w:ascii="宋体" w:hAnsi="宋体" w:eastAsia="宋体" w:cs="宋体"/>
          <w:b/>
          <w:bCs/>
          <w:color w:val="auto"/>
          <w:sz w:val="21"/>
          <w:szCs w:val="20"/>
          <w:highlight w:val="none"/>
        </w:rPr>
        <w:t>一、投诉相关主体基本情况：</w:t>
      </w:r>
    </w:p>
    <w:p w14:paraId="7A928EE1">
      <w:pPr>
        <w:snapToGrid w:val="0"/>
        <w:spacing w:line="400" w:lineRule="exact"/>
        <w:ind w:firstLine="420"/>
        <w:rPr>
          <w:rFonts w:hint="eastAsia" w:ascii="宋体" w:hAnsi="宋体" w:eastAsia="宋体" w:cs="宋体"/>
          <w:bCs/>
          <w:color w:val="auto"/>
          <w:sz w:val="21"/>
          <w:szCs w:val="20"/>
          <w:highlight w:val="none"/>
          <w:u w:val="single"/>
        </w:rPr>
      </w:pPr>
      <w:r>
        <w:rPr>
          <w:rFonts w:hint="eastAsia" w:ascii="宋体" w:hAnsi="宋体" w:eastAsia="宋体" w:cs="宋体"/>
          <w:bCs/>
          <w:color w:val="auto"/>
          <w:sz w:val="21"/>
          <w:szCs w:val="20"/>
          <w:highlight w:val="none"/>
        </w:rPr>
        <w:t>供应商：</w:t>
      </w:r>
      <w:r>
        <w:rPr>
          <w:rFonts w:hint="eastAsia" w:ascii="宋体" w:hAnsi="宋体" w:eastAsia="宋体" w:cs="宋体"/>
          <w:bCs/>
          <w:color w:val="auto"/>
          <w:sz w:val="21"/>
          <w:szCs w:val="20"/>
          <w:highlight w:val="none"/>
          <w:u w:val="single"/>
        </w:rPr>
        <w:t xml:space="preserve">                        </w:t>
      </w:r>
    </w:p>
    <w:p w14:paraId="63804C84">
      <w:pPr>
        <w:snapToGrid w:val="0"/>
        <w:spacing w:line="400" w:lineRule="exact"/>
        <w:ind w:firstLine="420"/>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地址：</w:t>
      </w:r>
      <w:r>
        <w:rPr>
          <w:rFonts w:hint="eastAsia" w:ascii="宋体" w:hAnsi="宋体" w:eastAsia="宋体" w:cs="宋体"/>
          <w:bCs/>
          <w:color w:val="auto"/>
          <w:sz w:val="21"/>
          <w:szCs w:val="20"/>
          <w:highlight w:val="none"/>
          <w:u w:val="single"/>
        </w:rPr>
        <w:t xml:space="preserve">                            </w:t>
      </w:r>
      <w:r>
        <w:rPr>
          <w:rFonts w:hint="eastAsia" w:ascii="宋体" w:hAnsi="宋体" w:eastAsia="宋体" w:cs="宋体"/>
          <w:bCs/>
          <w:color w:val="auto"/>
          <w:sz w:val="21"/>
          <w:szCs w:val="20"/>
          <w:highlight w:val="none"/>
        </w:rPr>
        <w:t>邮编：</w:t>
      </w:r>
      <w:r>
        <w:rPr>
          <w:rFonts w:hint="eastAsia" w:ascii="宋体" w:hAnsi="宋体" w:eastAsia="宋体" w:cs="宋体"/>
          <w:bCs/>
          <w:color w:val="auto"/>
          <w:sz w:val="21"/>
          <w:szCs w:val="20"/>
          <w:highlight w:val="none"/>
          <w:u w:val="single"/>
        </w:rPr>
        <w:t xml:space="preserve">                        </w:t>
      </w:r>
    </w:p>
    <w:p w14:paraId="4C044AAE">
      <w:pPr>
        <w:snapToGrid w:val="0"/>
        <w:spacing w:line="400" w:lineRule="exact"/>
        <w:ind w:firstLine="420"/>
        <w:rPr>
          <w:rFonts w:hint="eastAsia" w:ascii="宋体" w:hAnsi="宋体" w:eastAsia="宋体" w:cs="宋体"/>
          <w:bCs/>
          <w:color w:val="auto"/>
          <w:sz w:val="21"/>
          <w:szCs w:val="20"/>
          <w:highlight w:val="none"/>
          <w:u w:val="single"/>
        </w:rPr>
      </w:pPr>
      <w:r>
        <w:rPr>
          <w:rFonts w:hint="eastAsia" w:ascii="宋体" w:hAnsi="宋体" w:eastAsia="宋体" w:cs="宋体"/>
          <w:bCs/>
          <w:color w:val="auto"/>
          <w:sz w:val="21"/>
          <w:szCs w:val="20"/>
          <w:highlight w:val="none"/>
        </w:rPr>
        <w:t>法定代表人/主要负责人：</w:t>
      </w:r>
      <w:r>
        <w:rPr>
          <w:rFonts w:hint="eastAsia" w:ascii="宋体" w:hAnsi="宋体" w:eastAsia="宋体" w:cs="宋体"/>
          <w:bCs/>
          <w:color w:val="auto"/>
          <w:sz w:val="21"/>
          <w:szCs w:val="20"/>
          <w:highlight w:val="none"/>
          <w:u w:val="single"/>
        </w:rPr>
        <w:t xml:space="preserve">                        </w:t>
      </w:r>
    </w:p>
    <w:p w14:paraId="5BB1D02C">
      <w:pPr>
        <w:snapToGrid w:val="0"/>
        <w:spacing w:line="400" w:lineRule="exact"/>
        <w:ind w:firstLine="420"/>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联系电话：</w:t>
      </w:r>
      <w:r>
        <w:rPr>
          <w:rFonts w:hint="eastAsia" w:ascii="宋体" w:hAnsi="宋体" w:eastAsia="宋体" w:cs="宋体"/>
          <w:bCs/>
          <w:color w:val="auto"/>
          <w:sz w:val="21"/>
          <w:szCs w:val="20"/>
          <w:highlight w:val="none"/>
          <w:u w:val="single"/>
        </w:rPr>
        <w:t xml:space="preserve">                        </w:t>
      </w:r>
    </w:p>
    <w:p w14:paraId="4F8C1574">
      <w:pPr>
        <w:snapToGrid w:val="0"/>
        <w:spacing w:line="400" w:lineRule="exact"/>
        <w:ind w:firstLine="420"/>
        <w:rPr>
          <w:rFonts w:hint="eastAsia" w:ascii="宋体" w:hAnsi="宋体" w:eastAsia="宋体" w:cs="宋体"/>
          <w:bCs/>
          <w:color w:val="auto"/>
          <w:sz w:val="21"/>
          <w:szCs w:val="20"/>
          <w:highlight w:val="none"/>
          <w:u w:val="single"/>
        </w:rPr>
      </w:pPr>
      <w:r>
        <w:rPr>
          <w:rFonts w:hint="eastAsia" w:ascii="宋体" w:hAnsi="宋体" w:eastAsia="宋体" w:cs="宋体"/>
          <w:bCs/>
          <w:color w:val="auto"/>
          <w:sz w:val="21"/>
          <w:szCs w:val="20"/>
          <w:highlight w:val="none"/>
        </w:rPr>
        <w:t>授权代表：</w:t>
      </w:r>
      <w:r>
        <w:rPr>
          <w:rFonts w:hint="eastAsia" w:ascii="宋体" w:hAnsi="宋体" w:eastAsia="宋体" w:cs="宋体"/>
          <w:bCs/>
          <w:color w:val="auto"/>
          <w:sz w:val="21"/>
          <w:szCs w:val="20"/>
          <w:highlight w:val="none"/>
          <w:u w:val="single"/>
        </w:rPr>
        <w:t xml:space="preserve">                        </w:t>
      </w:r>
      <w:r>
        <w:rPr>
          <w:rFonts w:hint="eastAsia" w:ascii="宋体" w:hAnsi="宋体" w:eastAsia="宋体" w:cs="宋体"/>
          <w:bCs/>
          <w:color w:val="auto"/>
          <w:sz w:val="21"/>
          <w:szCs w:val="20"/>
          <w:highlight w:val="none"/>
        </w:rPr>
        <w:t>联系电话：</w:t>
      </w:r>
      <w:r>
        <w:rPr>
          <w:rFonts w:hint="eastAsia" w:ascii="宋体" w:hAnsi="宋体" w:eastAsia="宋体" w:cs="宋体"/>
          <w:bCs/>
          <w:color w:val="auto"/>
          <w:sz w:val="21"/>
          <w:szCs w:val="20"/>
          <w:highlight w:val="none"/>
          <w:u w:val="single"/>
        </w:rPr>
        <w:t xml:space="preserve">                        </w:t>
      </w:r>
    </w:p>
    <w:p w14:paraId="4C1FEB71">
      <w:pPr>
        <w:snapToGrid w:val="0"/>
        <w:spacing w:line="400" w:lineRule="exact"/>
        <w:ind w:firstLine="420"/>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地址：</w:t>
      </w:r>
      <w:r>
        <w:rPr>
          <w:rFonts w:hint="eastAsia" w:ascii="宋体" w:hAnsi="宋体" w:eastAsia="宋体" w:cs="宋体"/>
          <w:bCs/>
          <w:color w:val="auto"/>
          <w:sz w:val="21"/>
          <w:szCs w:val="20"/>
          <w:highlight w:val="none"/>
          <w:u w:val="single"/>
        </w:rPr>
        <w:t xml:space="preserve">                            </w:t>
      </w:r>
      <w:r>
        <w:rPr>
          <w:rFonts w:hint="eastAsia" w:ascii="宋体" w:hAnsi="宋体" w:eastAsia="宋体" w:cs="宋体"/>
          <w:bCs/>
          <w:color w:val="auto"/>
          <w:sz w:val="21"/>
          <w:szCs w:val="20"/>
          <w:highlight w:val="none"/>
        </w:rPr>
        <w:t>邮编：</w:t>
      </w:r>
      <w:r>
        <w:rPr>
          <w:rFonts w:hint="eastAsia" w:ascii="宋体" w:hAnsi="宋体" w:eastAsia="宋体" w:cs="宋体"/>
          <w:bCs/>
          <w:color w:val="auto"/>
          <w:sz w:val="21"/>
          <w:szCs w:val="20"/>
          <w:highlight w:val="none"/>
          <w:u w:val="single"/>
        </w:rPr>
        <w:t xml:space="preserve">                        </w:t>
      </w:r>
    </w:p>
    <w:p w14:paraId="7F9821E4">
      <w:pPr>
        <w:snapToGrid w:val="0"/>
        <w:spacing w:line="400" w:lineRule="exact"/>
        <w:ind w:firstLine="420"/>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被投诉人1：</w:t>
      </w:r>
      <w:r>
        <w:rPr>
          <w:rFonts w:hint="eastAsia" w:ascii="宋体" w:hAnsi="宋体" w:eastAsia="宋体" w:cs="宋体"/>
          <w:bCs/>
          <w:color w:val="auto"/>
          <w:sz w:val="21"/>
          <w:szCs w:val="20"/>
          <w:highlight w:val="none"/>
          <w:u w:val="single"/>
        </w:rPr>
        <w:t xml:space="preserve">                        </w:t>
      </w:r>
    </w:p>
    <w:p w14:paraId="0A5931DA">
      <w:pPr>
        <w:snapToGrid w:val="0"/>
        <w:spacing w:line="400" w:lineRule="exact"/>
        <w:ind w:firstLine="420"/>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地址：</w:t>
      </w:r>
      <w:r>
        <w:rPr>
          <w:rFonts w:hint="eastAsia" w:ascii="宋体" w:hAnsi="宋体" w:eastAsia="宋体" w:cs="宋体"/>
          <w:bCs/>
          <w:color w:val="auto"/>
          <w:sz w:val="21"/>
          <w:szCs w:val="20"/>
          <w:highlight w:val="none"/>
          <w:u w:val="single"/>
        </w:rPr>
        <w:t xml:space="preserve">                            </w:t>
      </w:r>
      <w:r>
        <w:rPr>
          <w:rFonts w:hint="eastAsia" w:ascii="宋体" w:hAnsi="宋体" w:eastAsia="宋体" w:cs="宋体"/>
          <w:bCs/>
          <w:color w:val="auto"/>
          <w:sz w:val="21"/>
          <w:szCs w:val="20"/>
          <w:highlight w:val="none"/>
        </w:rPr>
        <w:t>邮编：</w:t>
      </w:r>
      <w:r>
        <w:rPr>
          <w:rFonts w:hint="eastAsia" w:ascii="宋体" w:hAnsi="宋体" w:eastAsia="宋体" w:cs="宋体"/>
          <w:bCs/>
          <w:color w:val="auto"/>
          <w:sz w:val="21"/>
          <w:szCs w:val="20"/>
          <w:highlight w:val="none"/>
          <w:u w:val="single"/>
        </w:rPr>
        <w:t xml:space="preserve">                        </w:t>
      </w:r>
    </w:p>
    <w:p w14:paraId="1ADA1BCA">
      <w:pPr>
        <w:snapToGrid w:val="0"/>
        <w:spacing w:line="400" w:lineRule="exact"/>
        <w:ind w:firstLine="420"/>
        <w:rPr>
          <w:rFonts w:hint="eastAsia" w:ascii="宋体" w:hAnsi="宋体" w:eastAsia="宋体" w:cs="宋体"/>
          <w:bCs/>
          <w:color w:val="auto"/>
          <w:sz w:val="21"/>
          <w:szCs w:val="20"/>
          <w:highlight w:val="none"/>
          <w:u w:val="single"/>
        </w:rPr>
      </w:pPr>
      <w:r>
        <w:rPr>
          <w:rFonts w:hint="eastAsia" w:ascii="宋体" w:hAnsi="宋体" w:eastAsia="宋体" w:cs="宋体"/>
          <w:bCs/>
          <w:color w:val="auto"/>
          <w:sz w:val="21"/>
          <w:szCs w:val="20"/>
          <w:highlight w:val="none"/>
        </w:rPr>
        <w:t>联系人：</w:t>
      </w:r>
      <w:r>
        <w:rPr>
          <w:rFonts w:hint="eastAsia" w:ascii="宋体" w:hAnsi="宋体" w:eastAsia="宋体" w:cs="宋体"/>
          <w:bCs/>
          <w:color w:val="auto"/>
          <w:sz w:val="21"/>
          <w:szCs w:val="20"/>
          <w:highlight w:val="none"/>
          <w:u w:val="single"/>
        </w:rPr>
        <w:t xml:space="preserve">                          </w:t>
      </w:r>
      <w:r>
        <w:rPr>
          <w:rFonts w:hint="eastAsia" w:ascii="宋体" w:hAnsi="宋体" w:eastAsia="宋体" w:cs="宋体"/>
          <w:bCs/>
          <w:color w:val="auto"/>
          <w:sz w:val="21"/>
          <w:szCs w:val="20"/>
          <w:highlight w:val="none"/>
        </w:rPr>
        <w:t>联系电话：</w:t>
      </w:r>
      <w:r>
        <w:rPr>
          <w:rFonts w:hint="eastAsia" w:ascii="宋体" w:hAnsi="宋体" w:eastAsia="宋体" w:cs="宋体"/>
          <w:bCs/>
          <w:color w:val="auto"/>
          <w:sz w:val="21"/>
          <w:szCs w:val="20"/>
          <w:highlight w:val="none"/>
          <w:u w:val="single"/>
        </w:rPr>
        <w:t xml:space="preserve">                        </w:t>
      </w:r>
    </w:p>
    <w:p w14:paraId="3C68D293">
      <w:pPr>
        <w:snapToGrid w:val="0"/>
        <w:spacing w:line="400" w:lineRule="exact"/>
        <w:ind w:firstLine="420"/>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被投诉人2：</w:t>
      </w:r>
      <w:r>
        <w:rPr>
          <w:rFonts w:hint="eastAsia" w:ascii="宋体" w:hAnsi="宋体" w:eastAsia="宋体" w:cs="宋体"/>
          <w:bCs/>
          <w:color w:val="auto"/>
          <w:sz w:val="21"/>
          <w:szCs w:val="20"/>
          <w:highlight w:val="none"/>
          <w:u w:val="single"/>
        </w:rPr>
        <w:t xml:space="preserve">                        </w:t>
      </w:r>
    </w:p>
    <w:p w14:paraId="1C63221A">
      <w:pPr>
        <w:snapToGrid w:val="0"/>
        <w:spacing w:line="400" w:lineRule="exact"/>
        <w:ind w:firstLine="420"/>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w:t>
      </w:r>
    </w:p>
    <w:p w14:paraId="22200AFA">
      <w:pPr>
        <w:snapToGrid w:val="0"/>
        <w:spacing w:line="400" w:lineRule="exact"/>
        <w:ind w:firstLine="420"/>
        <w:rPr>
          <w:rFonts w:hint="eastAsia" w:ascii="宋体" w:hAnsi="宋体" w:eastAsia="宋体" w:cs="宋体"/>
          <w:bCs/>
          <w:color w:val="auto"/>
          <w:sz w:val="21"/>
          <w:szCs w:val="20"/>
          <w:highlight w:val="none"/>
          <w:u w:val="single"/>
        </w:rPr>
      </w:pPr>
      <w:r>
        <w:rPr>
          <w:rFonts w:hint="eastAsia" w:ascii="宋体" w:hAnsi="宋体" w:eastAsia="宋体" w:cs="宋体"/>
          <w:bCs/>
          <w:color w:val="auto"/>
          <w:sz w:val="21"/>
          <w:szCs w:val="20"/>
          <w:highlight w:val="none"/>
        </w:rPr>
        <w:t>相关供应商：</w:t>
      </w:r>
      <w:r>
        <w:rPr>
          <w:rFonts w:hint="eastAsia" w:ascii="宋体" w:hAnsi="宋体" w:eastAsia="宋体" w:cs="宋体"/>
          <w:bCs/>
          <w:color w:val="auto"/>
          <w:sz w:val="21"/>
          <w:szCs w:val="20"/>
          <w:highlight w:val="none"/>
          <w:u w:val="single"/>
        </w:rPr>
        <w:t xml:space="preserve">                        </w:t>
      </w:r>
    </w:p>
    <w:p w14:paraId="4251CFE5">
      <w:pPr>
        <w:snapToGrid w:val="0"/>
        <w:spacing w:line="400" w:lineRule="exact"/>
        <w:ind w:firstLine="420"/>
        <w:rPr>
          <w:rFonts w:hint="eastAsia" w:ascii="宋体" w:hAnsi="宋体" w:eastAsia="宋体" w:cs="宋体"/>
          <w:bCs/>
          <w:color w:val="auto"/>
          <w:sz w:val="21"/>
          <w:szCs w:val="20"/>
          <w:highlight w:val="none"/>
          <w:u w:val="single"/>
        </w:rPr>
      </w:pPr>
      <w:r>
        <w:rPr>
          <w:rFonts w:hint="eastAsia" w:ascii="宋体" w:hAnsi="宋体" w:eastAsia="宋体" w:cs="宋体"/>
          <w:bCs/>
          <w:color w:val="auto"/>
          <w:sz w:val="21"/>
          <w:szCs w:val="20"/>
          <w:highlight w:val="none"/>
        </w:rPr>
        <w:t>地址：</w:t>
      </w:r>
      <w:r>
        <w:rPr>
          <w:rFonts w:hint="eastAsia" w:ascii="宋体" w:hAnsi="宋体" w:eastAsia="宋体" w:cs="宋体"/>
          <w:bCs/>
          <w:color w:val="auto"/>
          <w:sz w:val="21"/>
          <w:szCs w:val="20"/>
          <w:highlight w:val="none"/>
          <w:u w:val="single"/>
        </w:rPr>
        <w:t xml:space="preserve">                            </w:t>
      </w:r>
      <w:r>
        <w:rPr>
          <w:rFonts w:hint="eastAsia" w:ascii="宋体" w:hAnsi="宋体" w:eastAsia="宋体" w:cs="宋体"/>
          <w:bCs/>
          <w:color w:val="auto"/>
          <w:sz w:val="21"/>
          <w:szCs w:val="20"/>
          <w:highlight w:val="none"/>
        </w:rPr>
        <w:t>邮编：</w:t>
      </w:r>
      <w:r>
        <w:rPr>
          <w:rFonts w:hint="eastAsia" w:ascii="宋体" w:hAnsi="宋体" w:eastAsia="宋体" w:cs="宋体"/>
          <w:bCs/>
          <w:color w:val="auto"/>
          <w:sz w:val="21"/>
          <w:szCs w:val="20"/>
          <w:highlight w:val="none"/>
          <w:u w:val="single"/>
        </w:rPr>
        <w:t xml:space="preserve">                        </w:t>
      </w:r>
    </w:p>
    <w:p w14:paraId="57A14B13">
      <w:pPr>
        <w:snapToGrid w:val="0"/>
        <w:spacing w:line="400" w:lineRule="exact"/>
        <w:ind w:firstLine="420"/>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联系人：</w:t>
      </w:r>
      <w:r>
        <w:rPr>
          <w:rFonts w:hint="eastAsia" w:ascii="宋体" w:hAnsi="宋体" w:eastAsia="宋体" w:cs="宋体"/>
          <w:bCs/>
          <w:color w:val="auto"/>
          <w:sz w:val="21"/>
          <w:szCs w:val="20"/>
          <w:highlight w:val="none"/>
          <w:u w:val="single"/>
        </w:rPr>
        <w:t xml:space="preserve">                          </w:t>
      </w:r>
      <w:r>
        <w:rPr>
          <w:rFonts w:hint="eastAsia" w:ascii="宋体" w:hAnsi="宋体" w:eastAsia="宋体" w:cs="宋体"/>
          <w:bCs/>
          <w:color w:val="auto"/>
          <w:sz w:val="21"/>
          <w:szCs w:val="20"/>
          <w:highlight w:val="none"/>
        </w:rPr>
        <w:t>联系电话：</w:t>
      </w:r>
      <w:r>
        <w:rPr>
          <w:rFonts w:hint="eastAsia" w:ascii="宋体" w:hAnsi="宋体" w:eastAsia="宋体" w:cs="宋体"/>
          <w:bCs/>
          <w:color w:val="auto"/>
          <w:sz w:val="21"/>
          <w:szCs w:val="20"/>
          <w:highlight w:val="none"/>
          <w:u w:val="single"/>
        </w:rPr>
        <w:t xml:space="preserve">                        </w:t>
      </w:r>
    </w:p>
    <w:p w14:paraId="61C9EB4C">
      <w:pPr>
        <w:snapToGrid w:val="0"/>
        <w:spacing w:line="400" w:lineRule="exact"/>
        <w:ind w:firstLine="422"/>
        <w:rPr>
          <w:rFonts w:hint="eastAsia" w:ascii="宋体" w:hAnsi="宋体" w:eastAsia="宋体" w:cs="宋体"/>
          <w:b/>
          <w:bCs/>
          <w:color w:val="auto"/>
          <w:sz w:val="21"/>
          <w:szCs w:val="20"/>
          <w:highlight w:val="none"/>
        </w:rPr>
      </w:pPr>
      <w:r>
        <w:rPr>
          <w:rFonts w:hint="eastAsia" w:ascii="宋体" w:hAnsi="宋体" w:eastAsia="宋体" w:cs="宋体"/>
          <w:b/>
          <w:bCs/>
          <w:color w:val="auto"/>
          <w:sz w:val="21"/>
          <w:szCs w:val="20"/>
          <w:highlight w:val="none"/>
        </w:rPr>
        <w:t>二、投诉项目基本情况：</w:t>
      </w:r>
    </w:p>
    <w:p w14:paraId="1A54A2D2">
      <w:pPr>
        <w:spacing w:line="400" w:lineRule="exact"/>
        <w:ind w:left="29"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0"/>
          <w:highlight w:val="none"/>
        </w:rPr>
        <w:t>采购</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0"/>
          <w:highlight w:val="none"/>
          <w:u w:val="single"/>
        </w:rPr>
        <w:t xml:space="preserve">                        </w:t>
      </w:r>
    </w:p>
    <w:p w14:paraId="3BF70E75">
      <w:pPr>
        <w:spacing w:line="400" w:lineRule="exact"/>
        <w:ind w:left="29"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0"/>
          <w:highlight w:val="none"/>
        </w:rPr>
        <w:t>采购</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0"/>
          <w:highlight w:val="none"/>
          <w:u w:val="single"/>
        </w:rPr>
        <w:t xml:space="preserve">                        </w:t>
      </w:r>
    </w:p>
    <w:p w14:paraId="0FF272E0">
      <w:pPr>
        <w:spacing w:line="400" w:lineRule="exact"/>
        <w:ind w:left="29" w:leftChars="12" w:firstLine="413" w:firstLineChars="197"/>
        <w:rPr>
          <w:rFonts w:hint="eastAsia" w:ascii="宋体" w:hAnsi="宋体" w:eastAsia="宋体" w:cs="宋体"/>
          <w:bCs/>
          <w:color w:val="auto"/>
          <w:sz w:val="21"/>
          <w:szCs w:val="20"/>
          <w:highlight w:val="none"/>
          <w:u w:val="singl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0"/>
          <w:highlight w:val="none"/>
          <w:u w:val="single"/>
        </w:rPr>
        <w:t xml:space="preserve">                            </w:t>
      </w:r>
    </w:p>
    <w:p w14:paraId="632DC314">
      <w:pPr>
        <w:spacing w:line="400" w:lineRule="exact"/>
        <w:ind w:left="29" w:leftChars="12" w:firstLine="413" w:firstLineChars="197"/>
        <w:rPr>
          <w:rFonts w:hint="eastAsia" w:ascii="宋体" w:hAnsi="宋体" w:eastAsia="宋体" w:cs="宋体"/>
          <w:bCs/>
          <w:color w:val="auto"/>
          <w:sz w:val="21"/>
          <w:szCs w:val="20"/>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bCs/>
          <w:color w:val="auto"/>
          <w:sz w:val="21"/>
          <w:szCs w:val="20"/>
          <w:highlight w:val="none"/>
          <w:u w:val="single"/>
        </w:rPr>
        <w:t xml:space="preserve">                          </w:t>
      </w:r>
    </w:p>
    <w:p w14:paraId="6DA1CFF2">
      <w:pPr>
        <w:spacing w:line="400" w:lineRule="exact"/>
        <w:ind w:left="29" w:leftChars="12" w:firstLine="413" w:firstLineChars="197"/>
        <w:rPr>
          <w:rFonts w:hint="eastAsia" w:ascii="宋体" w:hAnsi="宋体" w:eastAsia="宋体" w:cs="宋体"/>
          <w:bCs/>
          <w:color w:val="auto"/>
          <w:sz w:val="21"/>
          <w:szCs w:val="20"/>
          <w:highlight w:val="none"/>
          <w:u w:val="single"/>
        </w:rPr>
      </w:pPr>
      <w:r>
        <w:rPr>
          <w:rFonts w:hint="eastAsia" w:ascii="宋体" w:hAnsi="宋体" w:eastAsia="宋体" w:cs="宋体"/>
          <w:bCs/>
          <w:color w:val="auto"/>
          <w:sz w:val="21"/>
          <w:szCs w:val="20"/>
          <w:highlight w:val="none"/>
        </w:rPr>
        <w:t>采购文件公告：</w:t>
      </w:r>
      <w:r>
        <w:rPr>
          <w:rFonts w:hint="eastAsia" w:ascii="宋体" w:hAnsi="宋体" w:eastAsia="宋体" w:cs="宋体"/>
          <w:bCs/>
          <w:color w:val="auto"/>
          <w:sz w:val="21"/>
          <w:szCs w:val="20"/>
          <w:highlight w:val="none"/>
          <w:u w:val="single"/>
        </w:rPr>
        <w:t xml:space="preserve">是/否 </w:t>
      </w:r>
      <w:r>
        <w:rPr>
          <w:rFonts w:hint="eastAsia" w:ascii="宋体" w:hAnsi="宋体" w:eastAsia="宋体" w:cs="宋体"/>
          <w:bCs/>
          <w:color w:val="auto"/>
          <w:sz w:val="21"/>
          <w:szCs w:val="20"/>
          <w:highlight w:val="none"/>
        </w:rPr>
        <w:t>公告期限：</w:t>
      </w:r>
      <w:r>
        <w:rPr>
          <w:rFonts w:hint="eastAsia" w:ascii="宋体" w:hAnsi="宋体" w:eastAsia="宋体" w:cs="宋体"/>
          <w:bCs/>
          <w:color w:val="auto"/>
          <w:sz w:val="21"/>
          <w:szCs w:val="20"/>
          <w:highlight w:val="none"/>
          <w:u w:val="single"/>
        </w:rPr>
        <w:t xml:space="preserve">                        </w:t>
      </w:r>
    </w:p>
    <w:p w14:paraId="73B37684">
      <w:pPr>
        <w:spacing w:line="400" w:lineRule="exact"/>
        <w:ind w:left="29" w:leftChars="12" w:firstLine="413" w:firstLineChars="197"/>
        <w:rPr>
          <w:rFonts w:hint="eastAsia" w:ascii="宋体" w:hAnsi="宋体" w:eastAsia="宋体" w:cs="宋体"/>
          <w:b/>
          <w:color w:val="auto"/>
          <w:sz w:val="21"/>
          <w:szCs w:val="21"/>
          <w:highlight w:val="none"/>
        </w:rPr>
      </w:pPr>
      <w:r>
        <w:rPr>
          <w:rFonts w:hint="eastAsia" w:ascii="宋体" w:hAnsi="宋体" w:eastAsia="宋体" w:cs="宋体"/>
          <w:bCs/>
          <w:color w:val="auto"/>
          <w:sz w:val="21"/>
          <w:szCs w:val="20"/>
          <w:highlight w:val="none"/>
        </w:rPr>
        <w:t>采购结果公告：</w:t>
      </w:r>
      <w:r>
        <w:rPr>
          <w:rFonts w:hint="eastAsia" w:ascii="宋体" w:hAnsi="宋体" w:eastAsia="宋体" w:cs="宋体"/>
          <w:bCs/>
          <w:color w:val="auto"/>
          <w:sz w:val="21"/>
          <w:szCs w:val="20"/>
          <w:highlight w:val="none"/>
          <w:u w:val="single"/>
        </w:rPr>
        <w:t>是/否</w:t>
      </w:r>
      <w:r>
        <w:rPr>
          <w:rFonts w:hint="eastAsia" w:ascii="宋体" w:hAnsi="宋体" w:eastAsia="宋体" w:cs="宋体"/>
          <w:bCs/>
          <w:color w:val="auto"/>
          <w:sz w:val="21"/>
          <w:szCs w:val="20"/>
          <w:highlight w:val="none"/>
        </w:rPr>
        <w:t>公告期限：</w:t>
      </w:r>
      <w:r>
        <w:rPr>
          <w:rFonts w:hint="eastAsia" w:ascii="宋体" w:hAnsi="宋体" w:eastAsia="宋体" w:cs="宋体"/>
          <w:bCs/>
          <w:color w:val="auto"/>
          <w:sz w:val="21"/>
          <w:szCs w:val="20"/>
          <w:highlight w:val="none"/>
          <w:u w:val="single"/>
        </w:rPr>
        <w:t xml:space="preserve">                        </w:t>
      </w:r>
    </w:p>
    <w:p w14:paraId="46D68CAE">
      <w:pPr>
        <w:spacing w:line="400" w:lineRule="exact"/>
        <w:ind w:left="29"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三、质疑基本情况</w:t>
      </w:r>
    </w:p>
    <w:p w14:paraId="2FDFCA40">
      <w:pPr>
        <w:spacing w:line="400" w:lineRule="exact"/>
        <w:ind w:left="29" w:leftChars="12" w:firstLine="833" w:firstLineChars="3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日，向提出质疑，质疑事项为：</w:t>
      </w:r>
      <w:r>
        <w:rPr>
          <w:rFonts w:hint="eastAsia" w:ascii="宋体" w:hAnsi="宋体" w:eastAsia="宋体" w:cs="宋体"/>
          <w:bCs/>
          <w:color w:val="auto"/>
          <w:sz w:val="21"/>
          <w:szCs w:val="20"/>
          <w:highlight w:val="none"/>
          <w:u w:val="single"/>
        </w:rPr>
        <w:t xml:space="preserve">                        </w:t>
      </w:r>
    </w:p>
    <w:p w14:paraId="375EC753">
      <w:pPr>
        <w:spacing w:line="400" w:lineRule="exact"/>
        <w:ind w:firstLine="0" w:firstLineChars="0"/>
        <w:rPr>
          <w:rFonts w:hint="eastAsia" w:ascii="宋体" w:hAnsi="宋体" w:eastAsia="宋体" w:cs="宋体"/>
          <w:bCs/>
          <w:color w:val="auto"/>
          <w:sz w:val="21"/>
          <w:szCs w:val="20"/>
          <w:highlight w:val="none"/>
          <w:u w:val="single"/>
        </w:rPr>
      </w:pPr>
    </w:p>
    <w:p w14:paraId="4A119F55">
      <w:pPr>
        <w:spacing w:line="400" w:lineRule="exact"/>
        <w:ind w:firstLine="0" w:firstLineChars="0"/>
        <w:rPr>
          <w:rFonts w:hint="eastAsia" w:ascii="宋体" w:hAnsi="宋体" w:eastAsia="宋体" w:cs="宋体"/>
          <w:bCs/>
          <w:color w:val="auto"/>
          <w:sz w:val="21"/>
          <w:szCs w:val="20"/>
          <w:highlight w:val="none"/>
          <w:u w:val="single"/>
        </w:rPr>
      </w:pPr>
    </w:p>
    <w:p w14:paraId="211A541A">
      <w:pPr>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0"/>
          <w:highlight w:val="none"/>
          <w:u w:val="single"/>
        </w:rPr>
        <w:t>采购人/代理机构</w:t>
      </w:r>
      <w:r>
        <w:rPr>
          <w:rFonts w:hint="eastAsia" w:ascii="宋体" w:hAnsi="宋体" w:eastAsia="宋体" w:cs="宋体"/>
          <w:bCs/>
          <w:color w:val="auto"/>
          <w:sz w:val="21"/>
          <w:szCs w:val="20"/>
          <w:highlight w:val="none"/>
        </w:rPr>
        <w:t>于</w:t>
      </w:r>
      <w:r>
        <w:rPr>
          <w:rFonts w:hint="eastAsia" w:ascii="宋体" w:hAnsi="宋体" w:eastAsia="宋体" w:cs="宋体"/>
          <w:bCs/>
          <w:color w:val="auto"/>
          <w:sz w:val="21"/>
          <w:szCs w:val="20"/>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bCs/>
          <w:color w:val="auto"/>
          <w:sz w:val="21"/>
          <w:szCs w:val="20"/>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bCs/>
          <w:color w:val="auto"/>
          <w:sz w:val="21"/>
          <w:szCs w:val="20"/>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0"/>
          <w:highlight w:val="none"/>
        </w:rPr>
        <w:t xml:space="preserve">就质疑事项作出了答复/没有在法定期限内作出答复。                                                                                             </w:t>
      </w:r>
    </w:p>
    <w:p w14:paraId="0A192338">
      <w:pPr>
        <w:spacing w:line="400" w:lineRule="exact"/>
        <w:ind w:left="29"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四、投诉事项具体内容</w:t>
      </w:r>
    </w:p>
    <w:p w14:paraId="0168D08C">
      <w:pPr>
        <w:spacing w:line="400" w:lineRule="exact"/>
        <w:ind w:left="29" w:leftChars="12" w:firstLine="413" w:firstLineChars="197"/>
        <w:rPr>
          <w:rFonts w:hint="eastAsia" w:ascii="宋体" w:hAnsi="宋体" w:eastAsia="宋体" w:cs="宋体"/>
          <w:bCs/>
          <w:color w:val="auto"/>
          <w:sz w:val="21"/>
          <w:szCs w:val="20"/>
          <w:highlight w:val="none"/>
          <w:u w:val="single"/>
        </w:rPr>
      </w:pPr>
      <w:r>
        <w:rPr>
          <w:rFonts w:hint="eastAsia" w:ascii="宋体" w:hAnsi="宋体" w:eastAsia="宋体" w:cs="宋体"/>
          <w:color w:val="auto"/>
          <w:sz w:val="21"/>
          <w:szCs w:val="21"/>
          <w:highlight w:val="none"/>
        </w:rPr>
        <w:t>投诉事项1：</w:t>
      </w:r>
      <w:r>
        <w:rPr>
          <w:rFonts w:hint="eastAsia" w:ascii="宋体" w:hAnsi="宋体" w:eastAsia="宋体" w:cs="宋体"/>
          <w:bCs/>
          <w:color w:val="auto"/>
          <w:sz w:val="21"/>
          <w:szCs w:val="20"/>
          <w:highlight w:val="none"/>
          <w:u w:val="single"/>
        </w:rPr>
        <w:t xml:space="preserve">                               </w:t>
      </w:r>
    </w:p>
    <w:p w14:paraId="2D153CFD">
      <w:pPr>
        <w:spacing w:line="400" w:lineRule="exact"/>
        <w:ind w:firstLine="420"/>
        <w:rPr>
          <w:rFonts w:hint="eastAsia" w:ascii="宋体" w:hAnsi="宋体" w:eastAsia="宋体" w:cs="宋体"/>
          <w:bCs/>
          <w:color w:val="auto"/>
          <w:sz w:val="21"/>
          <w:szCs w:val="20"/>
          <w:highlight w:val="none"/>
          <w:u w:val="single"/>
        </w:rPr>
      </w:pPr>
      <w:r>
        <w:rPr>
          <w:rFonts w:hint="eastAsia" w:ascii="宋体" w:hAnsi="宋体" w:eastAsia="宋体" w:cs="宋体"/>
          <w:bCs/>
          <w:color w:val="auto"/>
          <w:sz w:val="21"/>
          <w:szCs w:val="20"/>
          <w:highlight w:val="none"/>
        </w:rPr>
        <w:t>事实依据：</w:t>
      </w:r>
      <w:r>
        <w:rPr>
          <w:rFonts w:hint="eastAsia" w:ascii="宋体" w:hAnsi="宋体" w:eastAsia="宋体" w:cs="宋体"/>
          <w:bCs/>
          <w:color w:val="auto"/>
          <w:sz w:val="21"/>
          <w:szCs w:val="20"/>
          <w:highlight w:val="none"/>
          <w:u w:val="single"/>
        </w:rPr>
        <w:t xml:space="preserve">                               </w:t>
      </w:r>
    </w:p>
    <w:p w14:paraId="22D17D3F">
      <w:pPr>
        <w:spacing w:line="400" w:lineRule="exact"/>
        <w:ind w:left="29" w:leftChars="12" w:firstLine="413" w:firstLineChars="197"/>
        <w:rPr>
          <w:rFonts w:hint="eastAsia" w:ascii="宋体" w:hAnsi="宋体" w:eastAsia="宋体" w:cs="宋体"/>
          <w:color w:val="auto"/>
          <w:sz w:val="21"/>
          <w:szCs w:val="21"/>
          <w:highlight w:val="none"/>
        </w:rPr>
      </w:pPr>
    </w:p>
    <w:p w14:paraId="59BE95DE">
      <w:pPr>
        <w:spacing w:line="400" w:lineRule="exact"/>
        <w:ind w:firstLine="420"/>
        <w:rPr>
          <w:rFonts w:hint="eastAsia" w:ascii="宋体" w:hAnsi="宋体" w:eastAsia="宋体" w:cs="宋体"/>
          <w:bCs/>
          <w:color w:val="auto"/>
          <w:sz w:val="21"/>
          <w:szCs w:val="20"/>
          <w:highlight w:val="none"/>
          <w:u w:val="single"/>
        </w:rPr>
      </w:pPr>
      <w:r>
        <w:rPr>
          <w:rFonts w:hint="eastAsia" w:ascii="宋体" w:hAnsi="宋体" w:eastAsia="宋体" w:cs="宋体"/>
          <w:bCs/>
          <w:color w:val="auto"/>
          <w:sz w:val="21"/>
          <w:szCs w:val="20"/>
          <w:highlight w:val="none"/>
        </w:rPr>
        <w:t>法律依据：</w:t>
      </w:r>
      <w:r>
        <w:rPr>
          <w:rFonts w:hint="eastAsia" w:ascii="宋体" w:hAnsi="宋体" w:eastAsia="宋体" w:cs="宋体"/>
          <w:bCs/>
          <w:color w:val="auto"/>
          <w:sz w:val="21"/>
          <w:szCs w:val="20"/>
          <w:highlight w:val="none"/>
          <w:u w:val="single"/>
        </w:rPr>
        <w:t xml:space="preserve">                               </w:t>
      </w:r>
    </w:p>
    <w:p w14:paraId="7F883BC6">
      <w:pPr>
        <w:spacing w:line="400" w:lineRule="exact"/>
        <w:ind w:left="29" w:leftChars="12" w:firstLine="308" w:firstLineChars="147"/>
        <w:rPr>
          <w:rFonts w:hint="eastAsia" w:ascii="宋体" w:hAnsi="宋体" w:eastAsia="宋体" w:cs="宋体"/>
          <w:bCs/>
          <w:color w:val="auto"/>
          <w:sz w:val="21"/>
          <w:szCs w:val="20"/>
          <w:highlight w:val="none"/>
          <w:u w:val="single"/>
        </w:rPr>
      </w:pPr>
    </w:p>
    <w:p w14:paraId="286A2673">
      <w:pPr>
        <w:spacing w:line="400" w:lineRule="exact"/>
        <w:ind w:left="29" w:leftChars="12" w:firstLine="413" w:firstLineChars="197"/>
        <w:rPr>
          <w:rFonts w:hint="eastAsia" w:ascii="宋体" w:hAnsi="宋体" w:eastAsia="宋体" w:cs="宋体"/>
          <w:bCs/>
          <w:color w:val="auto"/>
          <w:sz w:val="21"/>
          <w:szCs w:val="20"/>
          <w:highlight w:val="none"/>
        </w:rPr>
      </w:pPr>
      <w:r>
        <w:rPr>
          <w:rFonts w:hint="eastAsia" w:ascii="宋体" w:hAnsi="宋体" w:eastAsia="宋体" w:cs="宋体"/>
          <w:color w:val="auto"/>
          <w:sz w:val="21"/>
          <w:szCs w:val="21"/>
          <w:highlight w:val="none"/>
        </w:rPr>
        <w:t xml:space="preserve">投诉事项2  </w:t>
      </w:r>
      <w:r>
        <w:rPr>
          <w:rFonts w:hint="eastAsia" w:ascii="宋体" w:hAnsi="宋体" w:eastAsia="宋体" w:cs="宋体"/>
          <w:bCs/>
          <w:color w:val="auto"/>
          <w:sz w:val="21"/>
          <w:szCs w:val="20"/>
          <w:highlight w:val="none"/>
          <w:u w:val="single"/>
        </w:rPr>
        <w:t xml:space="preserve">                               </w:t>
      </w:r>
    </w:p>
    <w:p w14:paraId="0B51C5A6">
      <w:pPr>
        <w:spacing w:line="400" w:lineRule="exact"/>
        <w:ind w:left="29" w:leftChars="12" w:firstLine="413" w:firstLineChars="197"/>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w:t>
      </w:r>
    </w:p>
    <w:p w14:paraId="5B1829CD">
      <w:pPr>
        <w:spacing w:line="400" w:lineRule="exact"/>
        <w:ind w:left="29"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五、与投诉事项相关的投诉请求：</w:t>
      </w:r>
    </w:p>
    <w:p w14:paraId="490875AA">
      <w:pPr>
        <w:spacing w:line="400" w:lineRule="exact"/>
        <w:ind w:left="29"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p>
    <w:p w14:paraId="6496CC94">
      <w:pPr>
        <w:spacing w:line="400" w:lineRule="exact"/>
        <w:ind w:left="29" w:leftChars="12" w:firstLine="308" w:firstLineChars="147"/>
        <w:rPr>
          <w:rFonts w:hint="eastAsia" w:ascii="宋体" w:hAnsi="宋体" w:eastAsia="宋体" w:cs="宋体"/>
          <w:color w:val="auto"/>
          <w:sz w:val="21"/>
          <w:szCs w:val="21"/>
          <w:highlight w:val="none"/>
        </w:rPr>
      </w:pPr>
    </w:p>
    <w:p w14:paraId="08333118">
      <w:pPr>
        <w:spacing w:line="400" w:lineRule="exact"/>
        <w:ind w:left="29"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2EEF2BB4">
      <w:pPr>
        <w:spacing w:line="400" w:lineRule="exact"/>
        <w:ind w:left="29" w:leftChars="12" w:firstLine="308" w:firstLineChars="147"/>
        <w:rPr>
          <w:rFonts w:hint="eastAsia" w:ascii="宋体" w:hAnsi="宋体" w:eastAsia="宋体" w:cs="宋体"/>
          <w:color w:val="auto"/>
          <w:sz w:val="21"/>
          <w:szCs w:val="21"/>
          <w:highlight w:val="none"/>
        </w:rPr>
      </w:pPr>
    </w:p>
    <w:p w14:paraId="286C64E5">
      <w:pPr>
        <w:spacing w:line="400" w:lineRule="exact"/>
        <w:ind w:left="29"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61676A20">
      <w:pPr>
        <w:spacing w:line="360" w:lineRule="exact"/>
        <w:ind w:left="29" w:leftChars="12" w:firstLine="413" w:firstLineChars="197"/>
        <w:rPr>
          <w:rFonts w:hint="eastAsia" w:ascii="宋体" w:hAnsi="宋体" w:eastAsia="宋体" w:cs="宋体"/>
          <w:color w:val="auto"/>
          <w:sz w:val="21"/>
          <w:szCs w:val="21"/>
          <w:highlight w:val="none"/>
        </w:rPr>
      </w:pPr>
    </w:p>
    <w:p w14:paraId="575F2BA9">
      <w:pPr>
        <w:snapToGrid w:val="0"/>
        <w:spacing w:line="340" w:lineRule="exact"/>
        <w:ind w:firstLine="0" w:firstLineChars="0"/>
        <w:rPr>
          <w:rFonts w:hint="eastAsia" w:ascii="宋体" w:hAnsi="宋体" w:eastAsia="宋体" w:cs="宋体"/>
          <w:b/>
          <w:color w:val="auto"/>
          <w:sz w:val="21"/>
          <w:szCs w:val="21"/>
          <w:highlight w:val="none"/>
        </w:rPr>
      </w:pPr>
    </w:p>
    <w:p w14:paraId="791ACAA8">
      <w:pPr>
        <w:spacing w:line="340" w:lineRule="exact"/>
        <w:ind w:left="29"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13DD8E30">
      <w:pPr>
        <w:spacing w:line="340" w:lineRule="exact"/>
        <w:ind w:left="29"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1.投诉人提起投诉时，应当提交投诉书和必要的证明材料，并按照被投诉人和与投诉事项有关的供应商数量提供投诉书副本。</w:t>
      </w:r>
    </w:p>
    <w:p w14:paraId="35A4845B">
      <w:pPr>
        <w:spacing w:line="340" w:lineRule="exact"/>
        <w:ind w:left="29" w:leftChars="12" w:firstLine="310" w:firstLineChars="147"/>
        <w:rPr>
          <w:rFonts w:hint="eastAsia" w:ascii="宋体" w:hAnsi="宋体" w:eastAsia="宋体" w:cs="宋体"/>
          <w:b/>
          <w:color w:val="auto"/>
          <w:sz w:val="21"/>
          <w:szCs w:val="20"/>
          <w:highlight w:val="none"/>
        </w:rPr>
      </w:pPr>
      <w:r>
        <w:rPr>
          <w:rFonts w:hint="eastAsia" w:ascii="宋体" w:hAnsi="宋体" w:eastAsia="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3766463">
      <w:pPr>
        <w:spacing w:line="340" w:lineRule="exact"/>
        <w:ind w:left="29"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3.投诉书应简要列明质疑事项，质疑函、质疑答复等作为附件材料提供。</w:t>
      </w:r>
    </w:p>
    <w:p w14:paraId="6FF5EED2">
      <w:pPr>
        <w:spacing w:line="340" w:lineRule="exact"/>
        <w:ind w:left="29"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4.投诉书的投诉事项应具体、明确，并有必要的事实依据和法律依据。</w:t>
      </w:r>
    </w:p>
    <w:p w14:paraId="48D7EBB8">
      <w:pPr>
        <w:spacing w:line="340" w:lineRule="exact"/>
        <w:ind w:left="29"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5.投诉书的投诉请求应与投诉事项相关。</w:t>
      </w:r>
    </w:p>
    <w:p w14:paraId="1E7ACE62">
      <w:pPr>
        <w:spacing w:line="340" w:lineRule="exact"/>
        <w:ind w:left="29"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6.投诉人为自然人的，投诉书应由本人签字；投诉人为法人或者其他组织的，投诉书应由法定代表人、主要负责人，或者其授权代表签字或者盖章，并加盖公章。</w:t>
      </w:r>
    </w:p>
    <w:p w14:paraId="684C4597">
      <w:pPr>
        <w:spacing w:line="340" w:lineRule="exact"/>
        <w:ind w:left="29" w:leftChars="12" w:firstLine="310" w:firstLineChars="147"/>
        <w:rPr>
          <w:rFonts w:hint="eastAsia" w:ascii="宋体" w:hAnsi="宋体" w:eastAsia="宋体" w:cs="宋体"/>
          <w:b/>
          <w:color w:val="auto"/>
          <w:kern w:val="0"/>
          <w:sz w:val="21"/>
          <w:szCs w:val="21"/>
          <w:highlight w:val="none"/>
        </w:rPr>
      </w:pPr>
    </w:p>
    <w:p w14:paraId="51169057">
      <w:pPr>
        <w:spacing w:line="340" w:lineRule="exact"/>
        <w:ind w:left="29" w:leftChars="12" w:firstLine="310" w:firstLineChars="147"/>
        <w:rPr>
          <w:rFonts w:hint="eastAsia" w:ascii="宋体" w:hAnsi="宋体" w:eastAsia="宋体" w:cs="宋体"/>
          <w:b/>
          <w:color w:val="auto"/>
          <w:kern w:val="0"/>
          <w:sz w:val="21"/>
          <w:szCs w:val="21"/>
          <w:highlight w:val="none"/>
        </w:rPr>
      </w:pPr>
    </w:p>
    <w:p w14:paraId="69AC3551">
      <w:pPr>
        <w:tabs>
          <w:tab w:val="center" w:pos="4410"/>
          <w:tab w:val="left" w:pos="6735"/>
        </w:tabs>
        <w:spacing w:line="480" w:lineRule="auto"/>
        <w:ind w:firstLine="0" w:firstLineChars="0"/>
        <w:jc w:val="center"/>
        <w:rPr>
          <w:rFonts w:hint="eastAsia" w:ascii="宋体" w:hAnsi="宋体" w:eastAsia="宋体" w:cs="宋体"/>
          <w:b/>
          <w:color w:val="auto"/>
          <w:kern w:val="0"/>
          <w:sz w:val="32"/>
          <w:szCs w:val="32"/>
          <w:highlight w:val="none"/>
        </w:rPr>
      </w:pPr>
    </w:p>
    <w:p w14:paraId="0E864ADB">
      <w:pPr>
        <w:tabs>
          <w:tab w:val="center" w:pos="4410"/>
          <w:tab w:val="left" w:pos="6735"/>
        </w:tabs>
        <w:spacing w:line="480" w:lineRule="auto"/>
        <w:ind w:firstLine="0" w:firstLineChars="0"/>
        <w:jc w:val="center"/>
        <w:rPr>
          <w:rFonts w:hint="eastAsia" w:ascii="宋体" w:hAnsi="宋体" w:eastAsia="宋体" w:cs="宋体"/>
          <w:b/>
          <w:color w:val="auto"/>
          <w:kern w:val="0"/>
          <w:sz w:val="32"/>
          <w:szCs w:val="32"/>
          <w:highlight w:val="none"/>
        </w:rPr>
      </w:pPr>
    </w:p>
    <w:p w14:paraId="50F272A6">
      <w:pPr>
        <w:tabs>
          <w:tab w:val="center" w:pos="4410"/>
          <w:tab w:val="left" w:pos="6735"/>
        </w:tabs>
        <w:spacing w:line="480" w:lineRule="auto"/>
        <w:ind w:firstLine="0" w:firstLineChars="0"/>
        <w:jc w:val="center"/>
        <w:rPr>
          <w:rFonts w:hint="eastAsia" w:ascii="宋体" w:hAnsi="宋体" w:eastAsia="宋体" w:cs="宋体"/>
          <w:b/>
          <w:color w:val="auto"/>
          <w:kern w:val="0"/>
          <w:sz w:val="32"/>
          <w:szCs w:val="32"/>
          <w:highlight w:val="none"/>
        </w:rPr>
      </w:pPr>
    </w:p>
    <w:p w14:paraId="002521E6">
      <w:pPr>
        <w:spacing w:line="240" w:lineRule="auto"/>
        <w:ind w:firstLine="0" w:firstLineChars="0"/>
        <w:rPr>
          <w:rFonts w:hint="eastAsia" w:ascii="宋体" w:hAnsi="宋体" w:eastAsia="宋体" w:cs="宋体"/>
          <w:b/>
          <w:color w:val="auto"/>
          <w:kern w:val="0"/>
          <w:sz w:val="32"/>
          <w:szCs w:val="32"/>
          <w:highlight w:val="none"/>
        </w:rPr>
      </w:pPr>
    </w:p>
    <w:p w14:paraId="2B9234FF">
      <w:pPr>
        <w:spacing w:line="240" w:lineRule="auto"/>
        <w:ind w:firstLine="0" w:firstLineChars="0"/>
        <w:rPr>
          <w:rFonts w:hint="eastAsia" w:ascii="宋体" w:hAnsi="宋体" w:eastAsia="宋体" w:cs="宋体"/>
          <w:b/>
          <w:color w:val="auto"/>
          <w:kern w:val="0"/>
          <w:sz w:val="32"/>
          <w:szCs w:val="32"/>
          <w:highlight w:val="none"/>
        </w:rPr>
      </w:pPr>
    </w:p>
    <w:p w14:paraId="2307D635">
      <w:pPr>
        <w:spacing w:line="240" w:lineRule="auto"/>
        <w:ind w:firstLine="0" w:firstLineChars="0"/>
        <w:rPr>
          <w:rFonts w:hint="eastAsia" w:ascii="宋体" w:hAnsi="宋体" w:eastAsia="宋体" w:cs="宋体"/>
          <w:b/>
          <w:color w:val="auto"/>
          <w:kern w:val="0"/>
          <w:sz w:val="32"/>
          <w:szCs w:val="32"/>
          <w:highlight w:val="none"/>
        </w:rPr>
      </w:pPr>
    </w:p>
    <w:p w14:paraId="7EB1809F">
      <w:pPr>
        <w:spacing w:line="240" w:lineRule="auto"/>
        <w:ind w:firstLine="0" w:firstLineChars="0"/>
        <w:rPr>
          <w:rFonts w:hint="eastAsia" w:ascii="宋体" w:hAnsi="宋体" w:eastAsia="宋体" w:cs="宋体"/>
          <w:b/>
          <w:color w:val="auto"/>
          <w:kern w:val="0"/>
          <w:sz w:val="32"/>
          <w:szCs w:val="32"/>
          <w:highlight w:val="none"/>
        </w:rPr>
      </w:pPr>
    </w:p>
    <w:p w14:paraId="7AA05E00">
      <w:pPr>
        <w:pStyle w:val="23"/>
        <w:rPr>
          <w:rFonts w:hint="eastAsia" w:ascii="宋体" w:hAnsi="宋体" w:eastAsia="宋体" w:cs="宋体"/>
          <w:color w:val="auto"/>
          <w:highlight w:val="none"/>
        </w:rPr>
      </w:pPr>
    </w:p>
    <w:p w14:paraId="75432B25">
      <w:pPr>
        <w:spacing w:line="240" w:lineRule="auto"/>
        <w:ind w:firstLine="0" w:firstLineChars="0"/>
        <w:rPr>
          <w:rFonts w:hint="eastAsia" w:ascii="宋体" w:hAnsi="宋体" w:eastAsia="宋体" w:cs="宋体"/>
          <w:color w:val="auto"/>
          <w:sz w:val="21"/>
          <w:szCs w:val="24"/>
          <w:highlight w:val="none"/>
        </w:rPr>
      </w:pPr>
    </w:p>
    <w:p w14:paraId="2CDB221A">
      <w:pPr>
        <w:snapToGrid w:val="0"/>
        <w:spacing w:line="340" w:lineRule="exact"/>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附表3：</w:t>
      </w:r>
    </w:p>
    <w:p w14:paraId="6DB81C6E">
      <w:pPr>
        <w:spacing w:line="460" w:lineRule="exact"/>
        <w:ind w:firstLine="0" w:firstLineChars="0"/>
        <w:jc w:val="center"/>
        <w:rPr>
          <w:rFonts w:hint="eastAsia" w:ascii="宋体" w:hAnsi="宋体" w:eastAsia="宋体" w:cs="宋体"/>
          <w:color w:val="auto"/>
          <w:sz w:val="44"/>
          <w:szCs w:val="24"/>
          <w:highlight w:val="none"/>
        </w:rPr>
      </w:pPr>
    </w:p>
    <w:p w14:paraId="4B2791C2">
      <w:pPr>
        <w:spacing w:line="460" w:lineRule="exact"/>
        <w:ind w:firstLine="0" w:firstLineChars="0"/>
        <w:jc w:val="center"/>
        <w:rPr>
          <w:rFonts w:hint="eastAsia" w:ascii="宋体" w:hAnsi="宋体" w:eastAsia="宋体" w:cs="宋体"/>
          <w:color w:val="auto"/>
          <w:sz w:val="44"/>
          <w:szCs w:val="24"/>
          <w:highlight w:val="none"/>
        </w:rPr>
      </w:pPr>
      <w:r>
        <w:rPr>
          <w:rFonts w:hint="eastAsia" w:ascii="宋体" w:hAnsi="宋体" w:eastAsia="宋体" w:cs="宋体"/>
          <w:color w:val="auto"/>
          <w:sz w:val="44"/>
          <w:szCs w:val="24"/>
          <w:highlight w:val="none"/>
        </w:rPr>
        <w:t>桂林市政府采购项目合同验收书（格式）</w:t>
      </w:r>
    </w:p>
    <w:p w14:paraId="480FAB99">
      <w:pPr>
        <w:widowControl/>
        <w:spacing w:line="600" w:lineRule="atLeast"/>
        <w:ind w:firstLine="0" w:firstLineChars="0"/>
        <w:jc w:val="center"/>
        <w:rPr>
          <w:rFonts w:hint="eastAsia" w:ascii="宋体" w:hAnsi="宋体" w:eastAsia="宋体" w:cs="宋体"/>
          <w:color w:val="auto"/>
          <w:kern w:val="0"/>
          <w:sz w:val="36"/>
          <w:szCs w:val="36"/>
          <w:highlight w:val="none"/>
        </w:rPr>
      </w:pPr>
    </w:p>
    <w:p w14:paraId="1C36EA8B">
      <w:pPr>
        <w:widowControl/>
        <w:spacing w:line="460" w:lineRule="exact"/>
        <w:ind w:firstLine="482" w:firstLineChars="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Cs w:val="24"/>
          <w:highlight w:val="none"/>
        </w:rPr>
        <w:t>根据政府采购项目（</w:t>
      </w:r>
      <w:r>
        <w:rPr>
          <w:rFonts w:hint="eastAsia" w:ascii="宋体" w:hAnsi="宋体" w:eastAsia="宋体" w:cs="宋体"/>
          <w:color w:val="auto"/>
          <w:kern w:val="0"/>
          <w:szCs w:val="24"/>
          <w:highlight w:val="none"/>
          <w:u w:val="single"/>
        </w:rPr>
        <w:t>采购合同编号：</w:t>
      </w:r>
      <w:r>
        <w:rPr>
          <w:rFonts w:hint="eastAsia" w:ascii="宋体" w:hAnsi="宋体" w:eastAsia="宋体" w:cs="宋体"/>
          <w:color w:val="auto"/>
          <w:kern w:val="0"/>
          <w:szCs w:val="24"/>
          <w:highlight w:val="none"/>
          <w:u w:val="single"/>
        </w:rPr>
        <w:softHyphen/>
      </w:r>
      <w:r>
        <w:rPr>
          <w:rFonts w:hint="eastAsia" w:ascii="宋体" w:hAnsi="宋体" w:eastAsia="宋体" w:cs="宋体"/>
          <w:color w:val="auto"/>
          <w:kern w:val="0"/>
          <w:szCs w:val="24"/>
          <w:highlight w:val="none"/>
          <w:u w:val="single"/>
        </w:rPr>
        <w:t>   </w:t>
      </w:r>
      <w:r>
        <w:rPr>
          <w:rFonts w:hint="eastAsia" w:ascii="宋体" w:hAnsi="宋体" w:eastAsia="宋体" w:cs="宋体"/>
          <w:color w:val="auto"/>
          <w:kern w:val="0"/>
          <w:szCs w:val="24"/>
          <w:highlight w:val="none"/>
        </w:rPr>
        <w:t>）的约定，采购人对（</w:t>
      </w:r>
      <w:r>
        <w:rPr>
          <w:rFonts w:hint="eastAsia" w:ascii="宋体" w:hAnsi="宋体" w:eastAsia="宋体" w:cs="宋体"/>
          <w:color w:val="auto"/>
          <w:kern w:val="0"/>
          <w:szCs w:val="24"/>
          <w:highlight w:val="none"/>
          <w:u w:val="single"/>
        </w:rPr>
        <w:t> 项目名称   </w:t>
      </w:r>
      <w:r>
        <w:rPr>
          <w:rFonts w:hint="eastAsia" w:ascii="宋体" w:hAnsi="宋体" w:eastAsia="宋体" w:cs="宋体"/>
          <w:color w:val="auto"/>
          <w:kern w:val="0"/>
          <w:szCs w:val="24"/>
          <w:highlight w:val="none"/>
        </w:rPr>
        <w:t>）政府采购项目</w:t>
      </w:r>
      <w:r>
        <w:rPr>
          <w:rFonts w:hint="eastAsia" w:ascii="宋体" w:hAnsi="宋体" w:eastAsia="宋体" w:cs="宋体"/>
          <w:color w:val="auto"/>
          <w:kern w:val="0"/>
          <w:szCs w:val="24"/>
          <w:highlight w:val="none"/>
          <w:lang w:eastAsia="zh-CN"/>
        </w:rPr>
        <w:t>成交供应商</w:t>
      </w:r>
      <w:r>
        <w:rPr>
          <w:rFonts w:hint="eastAsia" w:ascii="宋体" w:hAnsi="宋体" w:eastAsia="宋体" w:cs="宋体"/>
          <w:color w:val="auto"/>
          <w:kern w:val="0"/>
          <w:szCs w:val="24"/>
          <w:highlight w:val="none"/>
        </w:rPr>
        <w:t>（</w:t>
      </w:r>
      <w:r>
        <w:rPr>
          <w:rFonts w:hint="eastAsia" w:ascii="宋体" w:hAnsi="宋体" w:eastAsia="宋体" w:cs="宋体"/>
          <w:color w:val="auto"/>
          <w:kern w:val="0"/>
          <w:szCs w:val="24"/>
          <w:highlight w:val="none"/>
          <w:u w:val="single"/>
        </w:rPr>
        <w:t>      公司名称         </w:t>
      </w:r>
      <w:r>
        <w:rPr>
          <w:rFonts w:hint="eastAsia" w:ascii="宋体" w:hAnsi="宋体" w:eastAsia="宋体" w:cs="宋体"/>
          <w:color w:val="auto"/>
          <w:kern w:val="0"/>
          <w:szCs w:val="24"/>
          <w:highlight w:val="none"/>
        </w:rPr>
        <w:t>）提供的服务进行了验收，验收情况如下：</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77AD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14:paraId="01D0A7CC">
            <w:pPr>
              <w:widowControl/>
              <w:spacing w:line="320" w:lineRule="atLeast"/>
              <w:ind w:firstLine="5"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验收方式：</w:t>
            </w:r>
          </w:p>
        </w:tc>
        <w:tc>
          <w:tcPr>
            <w:tcW w:w="5806" w:type="dxa"/>
            <w:gridSpan w:val="5"/>
            <w:vAlign w:val="center"/>
          </w:tcPr>
          <w:p w14:paraId="3CC1F3A8">
            <w:pPr>
              <w:widowControl/>
              <w:spacing w:line="320" w:lineRule="atLeast"/>
              <w:ind w:firstLine="480"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□自行验收        □委托验收</w:t>
            </w:r>
          </w:p>
        </w:tc>
      </w:tr>
      <w:tr w14:paraId="5EDF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4FEA3D2B">
            <w:pPr>
              <w:widowControl/>
              <w:spacing w:line="320" w:lineRule="atLeast"/>
              <w:ind w:firstLine="2"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序号</w:t>
            </w:r>
          </w:p>
        </w:tc>
        <w:tc>
          <w:tcPr>
            <w:tcW w:w="2294" w:type="dxa"/>
            <w:vAlign w:val="center"/>
          </w:tcPr>
          <w:p w14:paraId="68396F37">
            <w:pPr>
              <w:widowControl/>
              <w:spacing w:line="320" w:lineRule="atLeast"/>
              <w:ind w:firstLine="2"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名 称</w:t>
            </w:r>
          </w:p>
        </w:tc>
        <w:tc>
          <w:tcPr>
            <w:tcW w:w="3441" w:type="dxa"/>
            <w:gridSpan w:val="2"/>
            <w:vAlign w:val="center"/>
          </w:tcPr>
          <w:p w14:paraId="7E6C6D97">
            <w:pPr>
              <w:widowControl/>
              <w:spacing w:line="320" w:lineRule="atLeast"/>
              <w:ind w:firstLine="2"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服务内容、标准</w:t>
            </w:r>
          </w:p>
        </w:tc>
        <w:tc>
          <w:tcPr>
            <w:tcW w:w="998" w:type="dxa"/>
            <w:gridSpan w:val="2"/>
            <w:vAlign w:val="center"/>
          </w:tcPr>
          <w:p w14:paraId="20B5272E">
            <w:pPr>
              <w:widowControl/>
              <w:spacing w:line="320" w:lineRule="atLeast"/>
              <w:ind w:firstLine="0"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数量</w:t>
            </w:r>
          </w:p>
        </w:tc>
        <w:tc>
          <w:tcPr>
            <w:tcW w:w="1367" w:type="dxa"/>
            <w:vAlign w:val="center"/>
          </w:tcPr>
          <w:p w14:paraId="60ACC3C9">
            <w:pPr>
              <w:widowControl/>
              <w:spacing w:line="320" w:lineRule="atLeast"/>
              <w:ind w:firstLine="2"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金 额</w:t>
            </w:r>
          </w:p>
        </w:tc>
      </w:tr>
      <w:tr w14:paraId="271B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4C978CB0">
            <w:pPr>
              <w:widowControl/>
              <w:spacing w:line="320" w:lineRule="atLeast"/>
              <w:ind w:firstLine="5"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c>
          <w:tcPr>
            <w:tcW w:w="2294" w:type="dxa"/>
            <w:vAlign w:val="center"/>
          </w:tcPr>
          <w:p w14:paraId="6CFD0D28">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c>
          <w:tcPr>
            <w:tcW w:w="3441" w:type="dxa"/>
            <w:gridSpan w:val="2"/>
            <w:vAlign w:val="center"/>
          </w:tcPr>
          <w:p w14:paraId="42EEB3D6">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c>
          <w:tcPr>
            <w:tcW w:w="998" w:type="dxa"/>
            <w:gridSpan w:val="2"/>
            <w:vAlign w:val="center"/>
          </w:tcPr>
          <w:p w14:paraId="5A75FFC4">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c>
          <w:tcPr>
            <w:tcW w:w="1367" w:type="dxa"/>
            <w:vAlign w:val="center"/>
          </w:tcPr>
          <w:p w14:paraId="7BE1F909">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r>
      <w:tr w14:paraId="3FF7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71458445">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c>
          <w:tcPr>
            <w:tcW w:w="2294" w:type="dxa"/>
            <w:vAlign w:val="center"/>
          </w:tcPr>
          <w:p w14:paraId="12F03E29">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c>
          <w:tcPr>
            <w:tcW w:w="3441" w:type="dxa"/>
            <w:gridSpan w:val="2"/>
            <w:vAlign w:val="center"/>
          </w:tcPr>
          <w:p w14:paraId="258D5E5F">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c>
          <w:tcPr>
            <w:tcW w:w="998" w:type="dxa"/>
            <w:gridSpan w:val="2"/>
            <w:vAlign w:val="center"/>
          </w:tcPr>
          <w:p w14:paraId="3B6A342F">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c>
          <w:tcPr>
            <w:tcW w:w="1367" w:type="dxa"/>
            <w:vAlign w:val="center"/>
          </w:tcPr>
          <w:p w14:paraId="7460C876">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r>
      <w:tr w14:paraId="7082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0D169343">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c>
          <w:tcPr>
            <w:tcW w:w="2294" w:type="dxa"/>
            <w:vAlign w:val="center"/>
          </w:tcPr>
          <w:p w14:paraId="361C16F4">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c>
          <w:tcPr>
            <w:tcW w:w="3441" w:type="dxa"/>
            <w:gridSpan w:val="2"/>
            <w:vAlign w:val="center"/>
          </w:tcPr>
          <w:p w14:paraId="6EA96F85">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c>
          <w:tcPr>
            <w:tcW w:w="998" w:type="dxa"/>
            <w:gridSpan w:val="2"/>
            <w:vAlign w:val="center"/>
          </w:tcPr>
          <w:p w14:paraId="75283C32">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c>
          <w:tcPr>
            <w:tcW w:w="1367" w:type="dxa"/>
            <w:vAlign w:val="center"/>
          </w:tcPr>
          <w:p w14:paraId="239A462C">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r>
      <w:tr w14:paraId="1882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659E0CAC">
            <w:pPr>
              <w:widowControl/>
              <w:spacing w:line="320" w:lineRule="atLeast"/>
              <w:ind w:firstLine="5"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合       计</w:t>
            </w:r>
          </w:p>
        </w:tc>
        <w:tc>
          <w:tcPr>
            <w:tcW w:w="998" w:type="dxa"/>
            <w:gridSpan w:val="2"/>
            <w:vAlign w:val="center"/>
          </w:tcPr>
          <w:p w14:paraId="7B58FE1E">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c>
          <w:tcPr>
            <w:tcW w:w="1367" w:type="dxa"/>
            <w:vAlign w:val="center"/>
          </w:tcPr>
          <w:p w14:paraId="2019CAB9">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r>
      <w:tr w14:paraId="1900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6FA145D4">
            <w:pPr>
              <w:widowControl/>
              <w:spacing w:line="320" w:lineRule="atLeast"/>
              <w:ind w:firstLine="2"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合计大写金额：  仟   佰   拾   万   仟   佰   拾   元</w:t>
            </w:r>
          </w:p>
        </w:tc>
      </w:tr>
      <w:tr w14:paraId="488F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4BA36814">
            <w:pPr>
              <w:widowControl/>
              <w:spacing w:line="320" w:lineRule="atLeast"/>
              <w:ind w:firstLine="2"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服务期限</w:t>
            </w:r>
          </w:p>
        </w:tc>
        <w:tc>
          <w:tcPr>
            <w:tcW w:w="3240" w:type="dxa"/>
            <w:gridSpan w:val="2"/>
            <w:vAlign w:val="center"/>
          </w:tcPr>
          <w:p w14:paraId="56DCAEAA">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c>
          <w:tcPr>
            <w:tcW w:w="2700" w:type="dxa"/>
            <w:gridSpan w:val="2"/>
            <w:vAlign w:val="center"/>
          </w:tcPr>
          <w:p w14:paraId="6B25A312">
            <w:pPr>
              <w:widowControl/>
              <w:spacing w:line="320" w:lineRule="atLeast"/>
              <w:ind w:firstLine="46"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验收日期</w:t>
            </w:r>
          </w:p>
        </w:tc>
        <w:tc>
          <w:tcPr>
            <w:tcW w:w="2160" w:type="dxa"/>
            <w:gridSpan w:val="2"/>
            <w:vAlign w:val="center"/>
          </w:tcPr>
          <w:p w14:paraId="1DEDD849">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r>
      <w:tr w14:paraId="4898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14:paraId="37E3B845">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c>
          <w:tcPr>
            <w:tcW w:w="3240" w:type="dxa"/>
            <w:gridSpan w:val="2"/>
            <w:vAlign w:val="center"/>
          </w:tcPr>
          <w:p w14:paraId="362110D9">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c>
          <w:tcPr>
            <w:tcW w:w="2700" w:type="dxa"/>
            <w:gridSpan w:val="2"/>
            <w:vAlign w:val="center"/>
          </w:tcPr>
          <w:p w14:paraId="2D90303F">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c>
          <w:tcPr>
            <w:tcW w:w="2160" w:type="dxa"/>
            <w:gridSpan w:val="2"/>
            <w:vAlign w:val="center"/>
          </w:tcPr>
          <w:p w14:paraId="0F97AB72">
            <w:pPr>
              <w:widowControl/>
              <w:spacing w:line="320" w:lineRule="atLeast"/>
              <w:ind w:firstLine="48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r>
      <w:tr w14:paraId="4368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2B7B1938">
            <w:pPr>
              <w:widowControl/>
              <w:spacing w:line="320" w:lineRule="atLeast"/>
              <w:ind w:firstLine="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验收具体内容</w:t>
            </w:r>
          </w:p>
        </w:tc>
        <w:tc>
          <w:tcPr>
            <w:tcW w:w="8100" w:type="dxa"/>
            <w:gridSpan w:val="6"/>
            <w:tcMar>
              <w:top w:w="0" w:type="dxa"/>
              <w:left w:w="108" w:type="dxa"/>
              <w:bottom w:w="0" w:type="dxa"/>
              <w:right w:w="108" w:type="dxa"/>
            </w:tcMar>
            <w:vAlign w:val="center"/>
          </w:tcPr>
          <w:p w14:paraId="2C8347DF">
            <w:pPr>
              <w:widowControl/>
              <w:spacing w:line="320" w:lineRule="atLeast"/>
              <w:ind w:firstLine="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响应文件承诺、合同条款、国家相关标准规范以及行政主管部门政策文件进行验收。</w:t>
            </w:r>
            <w:r>
              <w:rPr>
                <w:rFonts w:hint="eastAsia" w:ascii="宋体" w:hAnsi="宋体" w:eastAsia="宋体" w:cs="宋体"/>
                <w:color w:val="auto"/>
                <w:kern w:val="0"/>
                <w:sz w:val="21"/>
                <w:szCs w:val="24"/>
                <w:highlight w:val="none"/>
              </w:rPr>
              <w:t>可附件</w:t>
            </w:r>
            <w:r>
              <w:rPr>
                <w:rFonts w:hint="eastAsia" w:ascii="宋体" w:hAnsi="宋体" w:eastAsia="宋体" w:cs="宋体"/>
                <w:color w:val="auto"/>
                <w:kern w:val="0"/>
                <w:sz w:val="21"/>
                <w:szCs w:val="24"/>
                <w:highlight w:val="none"/>
                <w:lang w:eastAsia="zh-CN"/>
              </w:rPr>
              <w:t>）</w:t>
            </w:r>
          </w:p>
        </w:tc>
      </w:tr>
      <w:tr w14:paraId="48A7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2CE31A4A">
            <w:pPr>
              <w:widowControl/>
              <w:spacing w:line="320" w:lineRule="atLeast"/>
              <w:ind w:firstLine="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验收小组意见</w:t>
            </w:r>
          </w:p>
        </w:tc>
        <w:tc>
          <w:tcPr>
            <w:tcW w:w="8100" w:type="dxa"/>
            <w:gridSpan w:val="6"/>
            <w:vAlign w:val="center"/>
          </w:tcPr>
          <w:p w14:paraId="1F7444E7">
            <w:pPr>
              <w:widowControl/>
              <w:spacing w:line="320" w:lineRule="atLeast"/>
              <w:ind w:firstLine="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验收结论性意见：</w:t>
            </w:r>
          </w:p>
          <w:p w14:paraId="4A84185A">
            <w:pPr>
              <w:widowControl/>
              <w:spacing w:line="320" w:lineRule="atLeast"/>
              <w:ind w:firstLine="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w:t>
            </w:r>
          </w:p>
        </w:tc>
      </w:tr>
      <w:tr w14:paraId="2A41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vAlign w:val="center"/>
          </w:tcPr>
          <w:p w14:paraId="4A6A0083">
            <w:pPr>
              <w:widowControl/>
              <w:spacing w:line="240" w:lineRule="auto"/>
              <w:ind w:firstLine="0" w:firstLineChars="0"/>
              <w:jc w:val="left"/>
              <w:rPr>
                <w:rFonts w:hint="eastAsia" w:ascii="宋体" w:hAnsi="宋体" w:eastAsia="宋体" w:cs="宋体"/>
                <w:color w:val="auto"/>
                <w:kern w:val="0"/>
                <w:sz w:val="21"/>
                <w:szCs w:val="24"/>
                <w:highlight w:val="none"/>
              </w:rPr>
            </w:pPr>
          </w:p>
        </w:tc>
        <w:tc>
          <w:tcPr>
            <w:tcW w:w="8100" w:type="dxa"/>
            <w:gridSpan w:val="6"/>
            <w:vAlign w:val="center"/>
          </w:tcPr>
          <w:p w14:paraId="5FA281DF">
            <w:pPr>
              <w:widowControl/>
              <w:spacing w:line="320" w:lineRule="atLeast"/>
              <w:ind w:firstLine="96"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有异议的意见和说明理由：</w:t>
            </w:r>
          </w:p>
          <w:p w14:paraId="785D3182">
            <w:pPr>
              <w:widowControl/>
              <w:spacing w:line="320" w:lineRule="atLeast"/>
              <w:ind w:firstLine="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签字：</w:t>
            </w:r>
          </w:p>
        </w:tc>
      </w:tr>
      <w:tr w14:paraId="426F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24148643">
            <w:pPr>
              <w:widowControl/>
              <w:spacing w:line="320" w:lineRule="atLeast"/>
              <w:ind w:firstLine="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验收小组成员签字：</w:t>
            </w:r>
          </w:p>
        </w:tc>
      </w:tr>
      <w:tr w14:paraId="6940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4CD1E5AF">
            <w:pPr>
              <w:widowControl/>
              <w:spacing w:line="320" w:lineRule="atLeast"/>
              <w:ind w:firstLine="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监督人员或其他相关人员签字：</w:t>
            </w:r>
          </w:p>
          <w:p w14:paraId="2B65537A">
            <w:pPr>
              <w:widowControl/>
              <w:spacing w:line="320" w:lineRule="atLeast"/>
              <w:ind w:firstLine="74"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或受邀机构的意见（盖章）：</w:t>
            </w:r>
          </w:p>
        </w:tc>
      </w:tr>
      <w:tr w14:paraId="56A9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14:paraId="5E38AA1F">
            <w:pPr>
              <w:widowControl/>
              <w:spacing w:line="320" w:lineRule="atLeast"/>
              <w:ind w:firstLine="74"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成交供应商</w:t>
            </w:r>
            <w:r>
              <w:rPr>
                <w:rFonts w:hint="eastAsia" w:ascii="宋体" w:hAnsi="宋体" w:eastAsia="宋体" w:cs="宋体"/>
                <w:color w:val="auto"/>
                <w:kern w:val="0"/>
                <w:sz w:val="21"/>
                <w:szCs w:val="24"/>
                <w:highlight w:val="none"/>
              </w:rPr>
              <w:t>负责人签字或盖章：</w:t>
            </w:r>
          </w:p>
          <w:p w14:paraId="3EE35A6D">
            <w:pPr>
              <w:widowControl/>
              <w:spacing w:line="320" w:lineRule="atLeast"/>
              <w:ind w:firstLine="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联系电话：        年 月   日</w:t>
            </w:r>
          </w:p>
        </w:tc>
        <w:tc>
          <w:tcPr>
            <w:tcW w:w="4860" w:type="dxa"/>
            <w:gridSpan w:val="4"/>
            <w:vAlign w:val="center"/>
          </w:tcPr>
          <w:p w14:paraId="3310E868">
            <w:pPr>
              <w:widowControl/>
              <w:spacing w:line="320" w:lineRule="atLeast"/>
              <w:ind w:firstLine="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采购人或受托机构的意见（盖章）：</w:t>
            </w:r>
          </w:p>
          <w:p w14:paraId="2AB0AB55">
            <w:pPr>
              <w:widowControl/>
              <w:spacing w:line="320" w:lineRule="atLeast"/>
              <w:ind w:firstLine="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联系电话：                 年   月   日</w:t>
            </w:r>
          </w:p>
        </w:tc>
      </w:tr>
    </w:tbl>
    <w:p w14:paraId="47AA45A5">
      <w:pPr>
        <w:snapToGrid w:val="0"/>
        <w:spacing w:line="340" w:lineRule="exact"/>
        <w:ind w:firstLine="0" w:firstLineChars="0"/>
        <w:rPr>
          <w:rFonts w:hint="eastAsia" w:ascii="宋体" w:hAnsi="宋体" w:eastAsia="宋体" w:cs="宋体"/>
          <w:b/>
          <w:color w:val="auto"/>
          <w:szCs w:val="24"/>
          <w:highlight w:val="none"/>
        </w:rPr>
      </w:pPr>
    </w:p>
    <w:p w14:paraId="138E92AD">
      <w:pPr>
        <w:snapToGrid w:val="0"/>
        <w:spacing w:line="340" w:lineRule="exact"/>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附表4：</w:t>
      </w:r>
    </w:p>
    <w:p w14:paraId="5F9DBC88">
      <w:pPr>
        <w:snapToGrid w:val="0"/>
        <w:spacing w:line="340" w:lineRule="exact"/>
        <w:ind w:firstLine="0" w:firstLineChars="0"/>
        <w:rPr>
          <w:rFonts w:hint="eastAsia" w:ascii="宋体" w:hAnsi="宋体" w:eastAsia="宋体" w:cs="宋体"/>
          <w:b/>
          <w:color w:val="auto"/>
          <w:szCs w:val="24"/>
          <w:highlight w:val="none"/>
        </w:rPr>
      </w:pPr>
    </w:p>
    <w:p w14:paraId="41568466">
      <w:pPr>
        <w:snapToGrid w:val="0"/>
        <w:spacing w:line="340" w:lineRule="exact"/>
        <w:ind w:firstLine="0" w:firstLineChars="0"/>
        <w:rPr>
          <w:rFonts w:hint="eastAsia" w:ascii="宋体" w:hAnsi="宋体" w:eastAsia="宋体" w:cs="宋体"/>
          <w:b/>
          <w:color w:val="auto"/>
          <w:szCs w:val="24"/>
          <w:highlight w:val="none"/>
        </w:rPr>
      </w:pPr>
    </w:p>
    <w:p w14:paraId="2F221279">
      <w:pPr>
        <w:snapToGrid w:val="0"/>
        <w:spacing w:line="340" w:lineRule="exact"/>
        <w:ind w:firstLine="0" w:firstLineChars="0"/>
        <w:rPr>
          <w:rFonts w:hint="eastAsia" w:ascii="宋体" w:hAnsi="宋体" w:eastAsia="宋体" w:cs="宋体"/>
          <w:b/>
          <w:color w:val="auto"/>
          <w:szCs w:val="24"/>
          <w:highlight w:val="none"/>
        </w:rPr>
      </w:pPr>
    </w:p>
    <w:p w14:paraId="492B887E">
      <w:pPr>
        <w:widowControl/>
        <w:spacing w:line="240" w:lineRule="auto"/>
        <w:ind w:firstLine="480" w:firstLineChars="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drawing>
          <wp:inline distT="0" distB="0" distL="114300" distR="114300">
            <wp:extent cx="5826760" cy="5836285"/>
            <wp:effectExtent l="0" t="0" r="254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31" r:link="rId32" cstate="print"/>
                    <a:stretch>
                      <a:fillRect/>
                    </a:stretch>
                  </pic:blipFill>
                  <pic:spPr>
                    <a:xfrm>
                      <a:off x="0" y="0"/>
                      <a:ext cx="5826760" cy="5836285"/>
                    </a:xfrm>
                    <a:prstGeom prst="rect">
                      <a:avLst/>
                    </a:prstGeom>
                    <a:noFill/>
                    <a:ln>
                      <a:noFill/>
                    </a:ln>
                  </pic:spPr>
                </pic:pic>
              </a:graphicData>
            </a:graphic>
          </wp:inline>
        </w:drawing>
      </w:r>
    </w:p>
    <w:p w14:paraId="26203021">
      <w:pPr>
        <w:spacing w:line="360" w:lineRule="exact"/>
        <w:ind w:firstLine="643"/>
        <w:jc w:val="center"/>
        <w:rPr>
          <w:rFonts w:hint="eastAsia" w:ascii="宋体" w:hAnsi="宋体" w:eastAsia="宋体" w:cs="宋体"/>
          <w:b/>
          <w:color w:val="auto"/>
          <w:sz w:val="32"/>
          <w:szCs w:val="32"/>
          <w:highlight w:val="none"/>
        </w:rPr>
      </w:pPr>
    </w:p>
    <w:p w14:paraId="3BE31A1C">
      <w:pPr>
        <w:spacing w:line="360" w:lineRule="exact"/>
        <w:ind w:firstLine="643"/>
        <w:jc w:val="center"/>
        <w:rPr>
          <w:rFonts w:hint="eastAsia" w:ascii="宋体" w:hAnsi="宋体" w:eastAsia="宋体" w:cs="宋体"/>
          <w:b/>
          <w:color w:val="auto"/>
          <w:sz w:val="32"/>
          <w:szCs w:val="32"/>
          <w:highlight w:val="none"/>
        </w:rPr>
      </w:pPr>
    </w:p>
    <w:p w14:paraId="126D7FE3">
      <w:pPr>
        <w:spacing w:line="360" w:lineRule="exact"/>
        <w:ind w:firstLine="643"/>
        <w:jc w:val="center"/>
        <w:rPr>
          <w:rFonts w:hint="eastAsia" w:ascii="宋体" w:hAnsi="宋体" w:eastAsia="宋体" w:cs="宋体"/>
          <w:b/>
          <w:color w:val="auto"/>
          <w:sz w:val="32"/>
          <w:szCs w:val="32"/>
          <w:highlight w:val="none"/>
        </w:rPr>
      </w:pPr>
    </w:p>
    <w:p w14:paraId="0DCFE788">
      <w:pPr>
        <w:spacing w:line="360" w:lineRule="exact"/>
        <w:ind w:firstLine="643"/>
        <w:jc w:val="center"/>
        <w:rPr>
          <w:rFonts w:hint="eastAsia" w:ascii="宋体" w:hAnsi="宋体" w:eastAsia="宋体" w:cs="宋体"/>
          <w:b/>
          <w:color w:val="auto"/>
          <w:sz w:val="32"/>
          <w:szCs w:val="32"/>
          <w:highlight w:val="none"/>
        </w:rPr>
      </w:pPr>
    </w:p>
    <w:p w14:paraId="7BF20B7E">
      <w:pPr>
        <w:spacing w:line="360" w:lineRule="exact"/>
        <w:ind w:firstLine="643"/>
        <w:jc w:val="center"/>
        <w:rPr>
          <w:rFonts w:hint="eastAsia" w:ascii="宋体" w:hAnsi="宋体" w:eastAsia="宋体" w:cs="宋体"/>
          <w:b/>
          <w:color w:val="auto"/>
          <w:sz w:val="32"/>
          <w:szCs w:val="32"/>
          <w:highlight w:val="none"/>
        </w:rPr>
      </w:pPr>
    </w:p>
    <w:p w14:paraId="0FAFDEBB">
      <w:pPr>
        <w:spacing w:line="360" w:lineRule="exact"/>
        <w:ind w:firstLine="643"/>
        <w:jc w:val="center"/>
        <w:rPr>
          <w:rFonts w:hint="eastAsia" w:ascii="宋体" w:hAnsi="宋体" w:eastAsia="宋体" w:cs="宋体"/>
          <w:b/>
          <w:color w:val="auto"/>
          <w:sz w:val="32"/>
          <w:szCs w:val="32"/>
          <w:highlight w:val="none"/>
        </w:rPr>
      </w:pPr>
    </w:p>
    <w:p w14:paraId="69006C72">
      <w:pPr>
        <w:spacing w:line="360" w:lineRule="exact"/>
        <w:ind w:firstLine="643"/>
        <w:jc w:val="center"/>
        <w:rPr>
          <w:rFonts w:hint="eastAsia" w:ascii="宋体" w:hAnsi="宋体" w:eastAsia="宋体" w:cs="宋体"/>
          <w:b/>
          <w:color w:val="auto"/>
          <w:sz w:val="32"/>
          <w:szCs w:val="32"/>
          <w:highlight w:val="none"/>
        </w:rPr>
      </w:pPr>
    </w:p>
    <w:p w14:paraId="1438C025">
      <w:pPr>
        <w:spacing w:line="360" w:lineRule="exact"/>
        <w:ind w:firstLine="643"/>
        <w:jc w:val="center"/>
        <w:rPr>
          <w:rFonts w:hint="eastAsia" w:ascii="宋体" w:hAnsi="宋体" w:eastAsia="宋体" w:cs="宋体"/>
          <w:b/>
          <w:color w:val="auto"/>
          <w:sz w:val="32"/>
          <w:szCs w:val="32"/>
          <w:highlight w:val="none"/>
        </w:rPr>
      </w:pPr>
    </w:p>
    <w:p w14:paraId="7F3C9854">
      <w:pPr>
        <w:spacing w:line="360" w:lineRule="exact"/>
        <w:ind w:firstLine="643"/>
        <w:jc w:val="center"/>
        <w:rPr>
          <w:rFonts w:hint="eastAsia" w:ascii="宋体" w:hAnsi="宋体" w:eastAsia="宋体" w:cs="宋体"/>
          <w:b/>
          <w:color w:val="auto"/>
          <w:sz w:val="32"/>
          <w:szCs w:val="32"/>
          <w:highlight w:val="none"/>
        </w:rPr>
      </w:pPr>
    </w:p>
    <w:bookmarkEnd w:id="0"/>
    <w:p w14:paraId="3CA9B5A3">
      <w:pPr>
        <w:spacing w:line="240" w:lineRule="auto"/>
        <w:ind w:firstLine="0" w:firstLineChars="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color w:val="auto"/>
          <w:sz w:val="32"/>
          <w:szCs w:val="32"/>
          <w:highlight w:val="none"/>
        </w:rPr>
        <w:t xml:space="preserve">第三章 </w:t>
      </w:r>
      <w:r>
        <w:rPr>
          <w:rFonts w:hint="eastAsia" w:ascii="宋体" w:hAnsi="宋体" w:eastAsia="宋体" w:cs="宋体"/>
          <w:b/>
          <w:bCs/>
          <w:color w:val="auto"/>
          <w:sz w:val="28"/>
          <w:szCs w:val="28"/>
          <w:highlight w:val="none"/>
        </w:rPr>
        <w:t>工程量清单</w:t>
      </w:r>
      <w:r>
        <w:rPr>
          <w:rFonts w:hint="eastAsia" w:ascii="宋体" w:hAnsi="宋体" w:eastAsia="宋体" w:cs="宋体"/>
          <w:b/>
          <w:bCs/>
          <w:color w:val="auto"/>
          <w:sz w:val="28"/>
          <w:szCs w:val="28"/>
          <w:highlight w:val="none"/>
          <w:lang w:eastAsia="zh-CN"/>
        </w:rPr>
        <w:t>及图纸</w:t>
      </w:r>
    </w:p>
    <w:p w14:paraId="7873C233">
      <w:pPr>
        <w:ind w:firstLine="480"/>
        <w:rPr>
          <w:rFonts w:hint="eastAsia" w:ascii="宋体" w:hAnsi="宋体" w:eastAsia="宋体" w:cs="宋体"/>
          <w:color w:val="auto"/>
          <w:highlight w:val="none"/>
        </w:rPr>
      </w:pPr>
    </w:p>
    <w:p w14:paraId="65D993F8">
      <w:pPr>
        <w:pStyle w:val="26"/>
        <w:spacing w:line="440" w:lineRule="exact"/>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Ⅰ、工程量清单（另附）</w:t>
      </w:r>
    </w:p>
    <w:p w14:paraId="0BEE27E0">
      <w:pPr>
        <w:pStyle w:val="26"/>
        <w:spacing w:line="440" w:lineRule="exact"/>
        <w:rPr>
          <w:rFonts w:hint="eastAsia" w:ascii="宋体" w:hAnsi="宋体" w:eastAsia="宋体" w:cs="宋体"/>
          <w:color w:val="auto"/>
          <w:kern w:val="21"/>
          <w:sz w:val="21"/>
          <w:highlight w:val="none"/>
        </w:rPr>
      </w:pPr>
      <w:r>
        <w:rPr>
          <w:rFonts w:hint="eastAsia" w:ascii="宋体" w:hAnsi="宋体" w:eastAsia="宋体" w:cs="宋体"/>
          <w:b/>
          <w:color w:val="auto"/>
          <w:highlight w:val="none"/>
        </w:rPr>
        <w:t>一</w:t>
      </w:r>
      <w:r>
        <w:rPr>
          <w:rFonts w:hint="eastAsia" w:ascii="宋体" w:hAnsi="宋体" w:eastAsia="宋体" w:cs="宋体"/>
          <w:b/>
          <w:color w:val="auto"/>
          <w:sz w:val="21"/>
          <w:highlight w:val="none"/>
        </w:rPr>
        <w:t>、工程量清单</w:t>
      </w:r>
      <w:r>
        <w:rPr>
          <w:rFonts w:hint="eastAsia" w:ascii="宋体" w:hAnsi="宋体" w:eastAsia="宋体" w:cs="宋体"/>
          <w:b/>
          <w:color w:val="auto"/>
          <w:sz w:val="21"/>
          <w:highlight w:val="none"/>
          <w:lang w:eastAsia="zh-CN"/>
        </w:rPr>
        <w:t>编制</w:t>
      </w:r>
      <w:r>
        <w:rPr>
          <w:rFonts w:hint="eastAsia" w:ascii="宋体" w:hAnsi="宋体" w:eastAsia="宋体" w:cs="宋体"/>
          <w:b/>
          <w:color w:val="auto"/>
          <w:sz w:val="21"/>
          <w:highlight w:val="none"/>
        </w:rPr>
        <w:t>说明</w:t>
      </w:r>
      <w:r>
        <w:rPr>
          <w:rFonts w:hint="eastAsia" w:ascii="宋体" w:hAnsi="宋体" w:eastAsia="宋体" w:cs="宋体"/>
          <w:color w:val="auto"/>
          <w:kern w:val="21"/>
          <w:sz w:val="21"/>
          <w:highlight w:val="none"/>
        </w:rPr>
        <w:t>：</w:t>
      </w:r>
    </w:p>
    <w:p w14:paraId="4A7C6DE7">
      <w:pPr>
        <w:pStyle w:val="26"/>
        <w:spacing w:line="440" w:lineRule="exact"/>
        <w:ind w:firstLine="420"/>
        <w:rPr>
          <w:rFonts w:hint="eastAsia" w:ascii="宋体" w:hAnsi="宋体" w:eastAsia="宋体" w:cs="宋体"/>
          <w:color w:val="auto"/>
          <w:kern w:val="21"/>
          <w:sz w:val="21"/>
          <w:highlight w:val="none"/>
        </w:rPr>
      </w:pPr>
      <w:r>
        <w:rPr>
          <w:rFonts w:hint="eastAsia" w:ascii="宋体" w:hAnsi="宋体" w:eastAsia="宋体" w:cs="宋体"/>
          <w:color w:val="auto"/>
          <w:kern w:val="21"/>
          <w:sz w:val="21"/>
          <w:highlight w:val="none"/>
        </w:rPr>
        <w:t>1.工程量清单所列的工程数量为采购时的工程量，仅作为报价的共同基础，不作为最终结算与支付的依据。实际支付应按磋商</w:t>
      </w:r>
      <w:r>
        <w:rPr>
          <w:rFonts w:hint="eastAsia" w:ascii="宋体" w:hAnsi="宋体" w:eastAsia="宋体" w:cs="宋体"/>
          <w:color w:val="auto"/>
          <w:kern w:val="21"/>
          <w:sz w:val="21"/>
          <w:highlight w:val="none"/>
          <w:lang w:eastAsia="zh-CN"/>
        </w:rPr>
        <w:t>文件</w:t>
      </w:r>
      <w:r>
        <w:rPr>
          <w:rFonts w:hint="eastAsia" w:ascii="宋体" w:hAnsi="宋体" w:eastAsia="宋体" w:cs="宋体"/>
          <w:color w:val="auto"/>
          <w:kern w:val="21"/>
          <w:sz w:val="21"/>
          <w:highlight w:val="none"/>
        </w:rPr>
        <w:t>中“合同条款”有关规定执行。</w:t>
      </w:r>
    </w:p>
    <w:p w14:paraId="2291133B">
      <w:pPr>
        <w:pStyle w:val="26"/>
        <w:spacing w:line="440" w:lineRule="exact"/>
        <w:ind w:firstLine="420"/>
        <w:rPr>
          <w:rFonts w:hint="eastAsia" w:ascii="宋体" w:hAnsi="宋体" w:eastAsia="宋体" w:cs="宋体"/>
          <w:color w:val="auto"/>
          <w:sz w:val="21"/>
          <w:highlight w:val="none"/>
        </w:rPr>
      </w:pPr>
      <w:r>
        <w:rPr>
          <w:rFonts w:hint="eastAsia" w:ascii="宋体" w:hAnsi="宋体" w:eastAsia="宋体" w:cs="宋体"/>
          <w:color w:val="auto"/>
          <w:kern w:val="21"/>
          <w:sz w:val="21"/>
          <w:highlight w:val="none"/>
        </w:rPr>
        <w:t>2.</w:t>
      </w:r>
      <w:r>
        <w:rPr>
          <w:rFonts w:hint="eastAsia" w:ascii="宋体" w:hAnsi="宋体" w:eastAsia="宋体" w:cs="宋体"/>
          <w:color w:val="auto"/>
          <w:sz w:val="21"/>
          <w:highlight w:val="none"/>
        </w:rPr>
        <w:t>本工程计价及结算参考依据：</w:t>
      </w:r>
    </w:p>
    <w:p w14:paraId="34BEF002">
      <w:pPr>
        <w:pStyle w:val="26"/>
        <w:spacing w:line="440" w:lineRule="exact"/>
        <w:ind w:firstLine="42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val="en-US" w:eastAsia="zh-CN"/>
        </w:rPr>
        <w:t>2.1</w:t>
      </w:r>
      <w:r>
        <w:rPr>
          <w:rFonts w:hint="eastAsia" w:ascii="宋体" w:hAnsi="宋体" w:cs="宋体"/>
          <w:color w:val="auto"/>
          <w:sz w:val="21"/>
          <w:highlight w:val="none"/>
          <w:lang w:eastAsia="zh-CN"/>
        </w:rPr>
        <w:t>阳朔县中医药适宜技术推广中心</w:t>
      </w:r>
    </w:p>
    <w:p w14:paraId="4279F06E">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(1)《医院》图纸； </w:t>
      </w:r>
    </w:p>
    <w:p w14:paraId="7040B20C">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(2)《建设工程工程量清单计价规范》（GB50500-2013）、《&lt;建筑工程工程量清单计价规范&gt;GB50500-2013广西壮族自治区实施细则》（桂建标〔2013〕43号）</w:t>
      </w:r>
    </w:p>
    <w:p w14:paraId="79B5ADF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(3)2024年《广西壮族自治区建筑装饰装修工程消耗量定额》；</w:t>
      </w:r>
    </w:p>
    <w:p w14:paraId="101FCAB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(4)2024年《广西壮族自治区建筑工程费用定额》；  </w:t>
      </w:r>
    </w:p>
    <w:p w14:paraId="1695E84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(5)2023年版《广西壮族自治区安装工程消耗量及费用定额》；</w:t>
      </w:r>
    </w:p>
    <w:p w14:paraId="05113D3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(6)2024年《广西壮族自治区建筑工程拆除消耗量定额》；</w:t>
      </w:r>
    </w:p>
    <w:p w14:paraId="000E933C">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(7)管理费、利润按中值计取，社会保险费、养老保险费、失业保险费、医疗保险费、生育保险费、工伤保险费、住房公积金、工程排污费、增值税按相关文件规定计取；     </w:t>
      </w:r>
    </w:p>
    <w:p w14:paraId="403C2AE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(8)《自治区住房城乡建设厅关于调整建设工程计价增值税税率的通知》（桂建标〔2019〕12号）；    </w:t>
      </w:r>
    </w:p>
    <w:p w14:paraId="2A8AF52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(9)《关于调整除税价计算适用增值税税率的通知》（桂造价〔2019〕10号）；</w:t>
      </w:r>
    </w:p>
    <w:p w14:paraId="2D1B8A9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（10）桂建价〔2024〕2号《广西壮族自治区房屋建筑和市政基础设施工程安全生产责任保险费计价规定的通知》。</w:t>
      </w:r>
    </w:p>
    <w:p w14:paraId="675C124D">
      <w:pPr>
        <w:pStyle w:val="26"/>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2.2其他说明</w:t>
      </w:r>
    </w:p>
    <w:p w14:paraId="76D31DFE">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(1)本工程框架结构采用商品泵送砼，胶合板模板钢支撑，钢管脚手架；</w:t>
      </w:r>
    </w:p>
    <w:p w14:paraId="10773CF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(2)材料价格按《桂林市建设工程造价信息》2026年第2期阳朔县除税材料信息价，没有部分按桂林市及市场询价价格计算。</w:t>
      </w:r>
    </w:p>
    <w:p w14:paraId="06D59DC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(3)此次预算编制不包括二次装修。</w:t>
      </w:r>
    </w:p>
    <w:p w14:paraId="4C120F17">
      <w:pPr>
        <w:pStyle w:val="26"/>
        <w:spacing w:line="440" w:lineRule="exac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二、磋商报价说明</w:t>
      </w:r>
    </w:p>
    <w:p w14:paraId="1FC84B19">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供应商应依据磋商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02272C17">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供应商应按磋商文件提供的工程量清单计算工程项目的综合单价和合价。工程量清单中的每一项均需计算填写综合单价和合价，供应商没有填写综合单价和合价的项目将不予支付，并认为此项费用已包括在工程量清单的其他综合单价和合价中。供应商在工程量清单中多报的细目或单价、合价或总额价采购人将不予支持。</w:t>
      </w:r>
    </w:p>
    <w:p w14:paraId="3661EB63">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3.供应商应对磋商文件中工程量清单所列的各项内容和要求作实质性响应。</w:t>
      </w:r>
    </w:p>
    <w:p w14:paraId="6FA9AB87">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4.供应商报价依据：本工程磋商文件、工程量清单、采购人提供的有关的计价文件。</w:t>
      </w:r>
    </w:p>
    <w:p w14:paraId="59B70184">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5.磋商价格采用方式：本工程报价采用工程量清单报价方式。</w:t>
      </w:r>
    </w:p>
    <w:p w14:paraId="0E996DFC">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分部分项工程量清单部分：报价单位所填写的综合单价在合同实施期间不因市场变化因素而变化，成交综合单价即为结算综合单价，其在合同实施期间，由于施工方法的修正、变更而引起的费用增加，由成交供应商自理，不另追加费用，合价在合同实施期间以监理工程师及业主代表认可的，按技术规范要求完成的实际工程数量为计算依据，供应商在计算报价时可考虑一定的风险系数。</w:t>
      </w:r>
    </w:p>
    <w:p w14:paraId="2C858325">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本工程合同实施期间，因不可预见因素或设计及采购人要求所发生的工程量增减（由变更签证产生），按其实际发生的采购人代表签证确认，其结算综合单价的确定按合同条款规定计算，其最终结算价格以采购人审核后的价格为准。</w:t>
      </w:r>
    </w:p>
    <w:p w14:paraId="4AF67C8E">
      <w:pPr>
        <w:tabs>
          <w:tab w:val="left" w:pos="210"/>
        </w:tabs>
        <w:spacing w:line="440" w:lineRule="exact"/>
        <w:ind w:firstLine="422"/>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8.供应商应按工程量清单填报价格。项目编码（12位）、项目名称、项目特征、计量单位、工程量必须与工程量清单一致，供应商不得对工程量清单项目进行增减调整。</w:t>
      </w:r>
    </w:p>
    <w:p w14:paraId="6D30F0F5">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9.综合单价中应包含磋商文件中划分的应由供应商承担的风险范围及其费用。</w:t>
      </w:r>
    </w:p>
    <w:p w14:paraId="71107208">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分部分项工程项目和单价措施项目，应根据磋商文件和工程量清单项目中的特征描述确定综合单价计算。如出现工程量清单特征描述与设计图纸不符时，供应商应以工程量清单的项目特征描述为准，确定磋商报价的综合单价。</w:t>
      </w:r>
    </w:p>
    <w:p w14:paraId="67990DF5">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11.总价措施项目的金额应根据磋商文件及竞标时拟定的施工组织设计或施工方案，按计价规范的规定自主确定。但安全文明施工费按国家、省级或行业建设主管部门的有关规定执行，作为不竞争费用单列。</w:t>
      </w:r>
    </w:p>
    <w:p w14:paraId="13A0C19F">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12.其他项目费应按下列规定报价：</w:t>
      </w:r>
    </w:p>
    <w:p w14:paraId="1BC13BCF">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（1）暂列金额应按工程量清单中列出的金额填写；</w:t>
      </w:r>
    </w:p>
    <w:p w14:paraId="742E9E35">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（2）材料、工程设备暂估价应按工程量清单中列出的单价计入综合单价；</w:t>
      </w:r>
    </w:p>
    <w:p w14:paraId="11F6D35F">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（3）专业工程暂估价应按工程量清单中列出的金额填写；</w:t>
      </w:r>
    </w:p>
    <w:p w14:paraId="762A504A">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（4）安全生产责任保险费暂估价应按工程量清单中列出的金额填写；</w:t>
      </w:r>
    </w:p>
    <w:p w14:paraId="439BFAB5">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（5）计日工应按工程量清单中列出的项目和估算数量，自主确定综合单价并计算计日工总额；计日工单价均不含规费和税金。</w:t>
      </w:r>
    </w:p>
    <w:p w14:paraId="6ADC6E18">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13. 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6FAB46D4">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14. 磋商总价应当与分部分项工程费、措施项目费、其他项目费和规费、增值税的合计金额一致。</w:t>
      </w:r>
    </w:p>
    <w:p w14:paraId="4D99A9D2">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未尽事宜详见本工程工程量清单以及现行《计价规范》等有关规定执行。</w:t>
      </w:r>
    </w:p>
    <w:p w14:paraId="51D0FCED">
      <w:pPr>
        <w:tabs>
          <w:tab w:val="left" w:pos="210"/>
        </w:tabs>
        <w:spacing w:line="440" w:lineRule="exact"/>
        <w:ind w:firstLine="422"/>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附的工程量清单及相关说明为准。</w:t>
      </w:r>
    </w:p>
    <w:p w14:paraId="7B9F14BB">
      <w:pPr>
        <w:tabs>
          <w:tab w:val="left" w:pos="210"/>
        </w:tabs>
        <w:spacing w:line="440" w:lineRule="exact"/>
        <w:ind w:firstLine="42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15</w:t>
      </w:r>
      <w:r>
        <w:rPr>
          <w:rFonts w:hint="eastAsia" w:ascii="宋体" w:hAnsi="宋体" w:eastAsia="宋体" w:cs="宋体"/>
          <w:b/>
          <w:color w:val="auto"/>
          <w:sz w:val="21"/>
          <w:szCs w:val="21"/>
          <w:highlight w:val="none"/>
        </w:rPr>
        <w:t>.工程量清单封面须由编制人签字并盖专用章，否则响应文件按无效处理。</w:t>
      </w:r>
    </w:p>
    <w:p w14:paraId="20EB44F8">
      <w:pPr>
        <w:tabs>
          <w:tab w:val="left" w:pos="210"/>
        </w:tabs>
        <w:spacing w:line="440" w:lineRule="exact"/>
        <w:ind w:firstLine="42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三、本项目预算金额及最高限价</w:t>
      </w:r>
    </w:p>
    <w:p w14:paraId="2A75CEA4">
      <w:pPr>
        <w:keepNext w:val="0"/>
        <w:keepLines w:val="0"/>
        <w:pageBreakBefore w:val="0"/>
        <w:widowControl w:val="0"/>
        <w:tabs>
          <w:tab w:val="left" w:pos="210"/>
        </w:tabs>
        <w:kinsoku/>
        <w:wordWrap w:val="0"/>
        <w:overflowPunct/>
        <w:topLinePunct w:val="0"/>
        <w:autoSpaceDE/>
        <w:autoSpaceDN/>
        <w:bidi w:val="0"/>
        <w:adjustRightInd/>
        <w:snapToGrid/>
        <w:spacing w:line="440" w:lineRule="exact"/>
        <w:ind w:firstLine="422"/>
        <w:jc w:val="left"/>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rPr>
        <w:t>本项目预算金额</w:t>
      </w:r>
      <w:r>
        <w:rPr>
          <w:rFonts w:hint="eastAsia" w:ascii="宋体" w:hAnsi="宋体" w:eastAsia="宋体" w:cs="宋体"/>
          <w:b/>
          <w:bCs w:val="0"/>
          <w:color w:val="auto"/>
          <w:sz w:val="21"/>
          <w:szCs w:val="21"/>
          <w:highlight w:val="none"/>
          <w:lang w:eastAsia="zh-CN"/>
        </w:rPr>
        <w:t>及最高限价</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本项目预算金额为</w:t>
      </w:r>
      <w:r>
        <w:rPr>
          <w:rFonts w:hint="eastAsia" w:ascii="宋体" w:hAnsi="宋体" w:cs="宋体"/>
          <w:b/>
          <w:bCs w:val="0"/>
          <w:color w:val="auto"/>
          <w:sz w:val="21"/>
          <w:szCs w:val="21"/>
          <w:highlight w:val="none"/>
          <w:lang w:eastAsia="zh-CN"/>
        </w:rPr>
        <w:t>叁佰零肆万陆仟零肆拾叁元捌角整</w:t>
      </w:r>
      <w:r>
        <w:rPr>
          <w:rFonts w:hint="eastAsia" w:ascii="宋体" w:hAnsi="宋体" w:eastAsia="宋体" w:cs="宋体"/>
          <w:b/>
          <w:bCs w:val="0"/>
          <w:color w:val="auto"/>
          <w:sz w:val="21"/>
          <w:szCs w:val="21"/>
          <w:highlight w:val="none"/>
          <w:lang w:eastAsia="zh-CN"/>
        </w:rPr>
        <w:t>（¥</w:t>
      </w:r>
      <w:r>
        <w:rPr>
          <w:rFonts w:hint="eastAsia" w:ascii="宋体" w:hAnsi="宋体" w:cs="宋体"/>
          <w:b/>
          <w:bCs w:val="0"/>
          <w:color w:val="auto"/>
          <w:sz w:val="21"/>
          <w:szCs w:val="21"/>
          <w:highlight w:val="none"/>
          <w:lang w:val="en-US" w:eastAsia="zh-CN"/>
        </w:rPr>
        <w:t>3046043.80</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，最高限价为：人民币</w:t>
      </w:r>
      <w:r>
        <w:rPr>
          <w:rFonts w:hint="eastAsia" w:ascii="宋体" w:hAnsi="宋体" w:cs="宋体"/>
          <w:b/>
          <w:bCs w:val="0"/>
          <w:color w:val="auto"/>
          <w:sz w:val="21"/>
          <w:szCs w:val="21"/>
          <w:highlight w:val="none"/>
          <w:lang w:val="en-US" w:eastAsia="zh-CN"/>
        </w:rPr>
        <w:t>叁佰零肆万陆仟零肆拾叁元捌角整</w:t>
      </w:r>
      <w:r>
        <w:rPr>
          <w:rFonts w:hint="eastAsia" w:ascii="宋体" w:hAnsi="宋体" w:eastAsia="宋体" w:cs="宋体"/>
          <w:b/>
          <w:bCs w:val="0"/>
          <w:color w:val="auto"/>
          <w:sz w:val="21"/>
          <w:szCs w:val="21"/>
          <w:highlight w:val="none"/>
          <w:lang w:eastAsia="zh-CN"/>
        </w:rPr>
        <w:t>（¥</w:t>
      </w:r>
      <w:r>
        <w:rPr>
          <w:rFonts w:hint="eastAsia" w:ascii="宋体" w:hAnsi="宋体" w:cs="宋体"/>
          <w:b/>
          <w:bCs w:val="0"/>
          <w:color w:val="auto"/>
          <w:sz w:val="21"/>
          <w:szCs w:val="21"/>
          <w:highlight w:val="none"/>
          <w:lang w:val="en-US" w:eastAsia="zh-CN"/>
        </w:rPr>
        <w:t>3046043.80</w:t>
      </w:r>
      <w:r>
        <w:rPr>
          <w:rFonts w:hint="eastAsia" w:ascii="宋体" w:hAnsi="宋体" w:eastAsia="宋体" w:cs="宋体"/>
          <w:b/>
          <w:bCs w:val="0"/>
          <w:color w:val="auto"/>
          <w:sz w:val="21"/>
          <w:szCs w:val="21"/>
          <w:highlight w:val="none"/>
          <w:lang w:eastAsia="zh-CN"/>
        </w:rPr>
        <w:t>）。供应商的磋商报价及相应采购标的报价不得高于上述相应最高限价，否则响应文件按无效处理。</w:t>
      </w:r>
    </w:p>
    <w:p w14:paraId="086B38E7">
      <w:pPr>
        <w:tabs>
          <w:tab w:val="left" w:pos="210"/>
        </w:tabs>
        <w:spacing w:line="440" w:lineRule="exact"/>
        <w:ind w:firstLine="422"/>
        <w:jc w:val="left"/>
        <w:rPr>
          <w:rFonts w:hint="eastAsia" w:ascii="宋体" w:hAnsi="宋体" w:eastAsia="宋体" w:cs="宋体"/>
          <w:b/>
          <w:color w:val="auto"/>
          <w:sz w:val="21"/>
          <w:szCs w:val="21"/>
          <w:highlight w:val="none"/>
        </w:rPr>
      </w:pPr>
      <w:r>
        <w:rPr>
          <w:rFonts w:hint="eastAsia" w:ascii="宋体" w:hAnsi="宋体" w:eastAsia="宋体" w:cs="宋体"/>
          <w:b/>
          <w:color w:val="auto"/>
          <w:highlight w:val="none"/>
          <w:lang w:val="en-US" w:eastAsia="zh-CN"/>
        </w:rPr>
        <w:t>Ⅱ、图纸（另附）</w:t>
      </w:r>
    </w:p>
    <w:p w14:paraId="06643DF6">
      <w:pPr>
        <w:pStyle w:val="23"/>
        <w:rPr>
          <w:rFonts w:hint="eastAsia" w:ascii="宋体" w:hAnsi="宋体" w:eastAsia="宋体" w:cs="宋体"/>
          <w:b/>
          <w:color w:val="auto"/>
          <w:sz w:val="21"/>
          <w:szCs w:val="21"/>
          <w:highlight w:val="none"/>
        </w:rPr>
      </w:pPr>
    </w:p>
    <w:p w14:paraId="4EA9C562">
      <w:pPr>
        <w:spacing w:line="380" w:lineRule="exact"/>
        <w:ind w:firstLine="420"/>
        <w:rPr>
          <w:rFonts w:hint="eastAsia" w:ascii="宋体" w:hAnsi="宋体" w:eastAsia="宋体" w:cs="宋体"/>
          <w:color w:val="auto"/>
          <w:sz w:val="21"/>
          <w:szCs w:val="21"/>
          <w:highlight w:val="none"/>
        </w:rPr>
      </w:pPr>
    </w:p>
    <w:p w14:paraId="62061139">
      <w:pPr>
        <w:adjustRightInd w:val="0"/>
        <w:snapToGrid w:val="0"/>
        <w:spacing w:line="400" w:lineRule="exact"/>
        <w:ind w:firstLine="643"/>
        <w:jc w:val="center"/>
        <w:rPr>
          <w:rFonts w:hint="eastAsia" w:ascii="宋体" w:hAnsi="宋体" w:eastAsia="宋体" w:cs="宋体"/>
          <w:b/>
          <w:color w:val="auto"/>
          <w:kern w:val="0"/>
          <w:sz w:val="32"/>
          <w:highlight w:val="none"/>
        </w:rPr>
      </w:pPr>
    </w:p>
    <w:p w14:paraId="1DCFA2A2">
      <w:pPr>
        <w:adjustRightInd w:val="0"/>
        <w:snapToGrid w:val="0"/>
        <w:spacing w:line="400" w:lineRule="exact"/>
        <w:ind w:firstLine="643"/>
        <w:jc w:val="center"/>
        <w:rPr>
          <w:rFonts w:hint="eastAsia" w:ascii="宋体" w:hAnsi="宋体" w:eastAsia="宋体" w:cs="宋体"/>
          <w:b/>
          <w:color w:val="auto"/>
          <w:kern w:val="0"/>
          <w:sz w:val="32"/>
          <w:highlight w:val="none"/>
        </w:rPr>
      </w:pPr>
    </w:p>
    <w:p w14:paraId="419EDC0C">
      <w:pPr>
        <w:adjustRightInd w:val="0"/>
        <w:snapToGrid w:val="0"/>
        <w:spacing w:line="400" w:lineRule="exact"/>
        <w:ind w:firstLine="643"/>
        <w:jc w:val="center"/>
        <w:rPr>
          <w:rFonts w:hint="eastAsia" w:ascii="宋体" w:hAnsi="宋体" w:eastAsia="宋体" w:cs="宋体"/>
          <w:b/>
          <w:color w:val="auto"/>
          <w:kern w:val="0"/>
          <w:sz w:val="32"/>
          <w:highlight w:val="none"/>
        </w:rPr>
      </w:pPr>
    </w:p>
    <w:p w14:paraId="066C7EDF">
      <w:pPr>
        <w:adjustRightInd w:val="0"/>
        <w:snapToGrid w:val="0"/>
        <w:spacing w:line="400" w:lineRule="exact"/>
        <w:ind w:firstLine="643"/>
        <w:jc w:val="center"/>
        <w:rPr>
          <w:rFonts w:hint="eastAsia" w:ascii="宋体" w:hAnsi="宋体" w:eastAsia="宋体" w:cs="宋体"/>
          <w:b/>
          <w:color w:val="auto"/>
          <w:kern w:val="0"/>
          <w:sz w:val="32"/>
          <w:highlight w:val="none"/>
        </w:rPr>
      </w:pPr>
    </w:p>
    <w:p w14:paraId="395B2269">
      <w:pPr>
        <w:widowControl/>
        <w:spacing w:line="240" w:lineRule="auto"/>
        <w:ind w:firstLine="0" w:firstLineChars="0"/>
        <w:jc w:val="left"/>
        <w:rPr>
          <w:rFonts w:hint="eastAsia" w:ascii="宋体" w:hAnsi="宋体" w:eastAsia="宋体" w:cs="宋体"/>
          <w:b/>
          <w:color w:val="auto"/>
          <w:kern w:val="0"/>
          <w:sz w:val="32"/>
          <w:szCs w:val="20"/>
          <w:highlight w:val="none"/>
        </w:rPr>
      </w:pPr>
      <w:r>
        <w:rPr>
          <w:rFonts w:hint="eastAsia" w:ascii="宋体" w:hAnsi="宋体" w:eastAsia="宋体" w:cs="宋体"/>
          <w:b/>
          <w:color w:val="auto"/>
          <w:sz w:val="32"/>
          <w:highlight w:val="none"/>
        </w:rPr>
        <w:br w:type="page"/>
      </w:r>
    </w:p>
    <w:p w14:paraId="6154A87A">
      <w:pPr>
        <w:adjustRightInd w:val="0"/>
        <w:snapToGrid w:val="0"/>
        <w:spacing w:line="400" w:lineRule="exact"/>
        <w:ind w:firstLine="643"/>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highlight w:val="none"/>
        </w:rPr>
        <w:t>第</w:t>
      </w:r>
      <w:r>
        <w:rPr>
          <w:rFonts w:hint="eastAsia" w:ascii="宋体" w:hAnsi="宋体" w:eastAsia="宋体" w:cs="宋体"/>
          <w:b/>
          <w:color w:val="auto"/>
          <w:kern w:val="0"/>
          <w:sz w:val="32"/>
          <w:highlight w:val="none"/>
          <w:lang w:eastAsia="zh-CN"/>
        </w:rPr>
        <w:t>四</w:t>
      </w:r>
      <w:r>
        <w:rPr>
          <w:rFonts w:hint="eastAsia" w:ascii="宋体" w:hAnsi="宋体" w:eastAsia="宋体" w:cs="宋体"/>
          <w:b/>
          <w:color w:val="auto"/>
          <w:kern w:val="0"/>
          <w:sz w:val="32"/>
          <w:highlight w:val="none"/>
        </w:rPr>
        <w:t xml:space="preserve">章  </w:t>
      </w:r>
      <w:r>
        <w:rPr>
          <w:rFonts w:hint="eastAsia" w:ascii="宋体" w:hAnsi="宋体" w:eastAsia="宋体" w:cs="宋体"/>
          <w:b/>
          <w:color w:val="auto"/>
          <w:kern w:val="0"/>
          <w:sz w:val="32"/>
          <w:szCs w:val="32"/>
          <w:highlight w:val="none"/>
        </w:rPr>
        <w:t>评审办法</w:t>
      </w:r>
    </w:p>
    <w:p w14:paraId="07D031F5">
      <w:pPr>
        <w:keepNext w:val="0"/>
        <w:keepLines w:val="0"/>
        <w:pageBreakBefore w:val="0"/>
        <w:widowControl w:val="0"/>
        <w:kinsoku/>
        <w:wordWrap/>
        <w:overflowPunct/>
        <w:topLinePunct w:val="0"/>
        <w:autoSpaceDE/>
        <w:autoSpaceDN/>
        <w:bidi w:val="0"/>
        <w:spacing w:line="400" w:lineRule="exact"/>
        <w:ind w:firstLine="413" w:firstLineChars="196"/>
        <w:textAlignment w:val="auto"/>
        <w:rPr>
          <w:rFonts w:hint="eastAsia" w:ascii="宋体" w:hAnsi="宋体" w:eastAsia="宋体" w:cs="宋体"/>
          <w:b/>
          <w:bCs/>
          <w:color w:val="auto"/>
          <w:kern w:val="0"/>
          <w:sz w:val="21"/>
          <w:szCs w:val="20"/>
          <w:highlight w:val="none"/>
        </w:rPr>
      </w:pPr>
      <w:r>
        <w:rPr>
          <w:rFonts w:hint="eastAsia" w:ascii="宋体" w:hAnsi="宋体" w:eastAsia="宋体" w:cs="宋体"/>
          <w:b/>
          <w:bCs/>
          <w:color w:val="auto"/>
          <w:kern w:val="0"/>
          <w:sz w:val="21"/>
          <w:szCs w:val="20"/>
          <w:highlight w:val="none"/>
        </w:rPr>
        <w:t>一、评审依据及方式</w:t>
      </w:r>
    </w:p>
    <w:p w14:paraId="59192B1E">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1.评审依据：磋商小组以竞争性磋商文件和响应文件为评审依据，对供应商的报价、</w:t>
      </w:r>
      <w:r>
        <w:rPr>
          <w:rFonts w:hint="eastAsia" w:ascii="宋体" w:hAnsi="宋体" w:eastAsia="宋体" w:cs="宋体"/>
          <w:color w:val="auto"/>
          <w:sz w:val="21"/>
          <w:szCs w:val="21"/>
          <w:highlight w:val="none"/>
        </w:rPr>
        <w:t>施工组织设计、</w:t>
      </w:r>
      <w:r>
        <w:rPr>
          <w:rFonts w:hint="eastAsia" w:ascii="宋体" w:hAnsi="宋体" w:eastAsia="宋体" w:cs="宋体"/>
          <w:color w:val="auto"/>
          <w:kern w:val="0"/>
          <w:sz w:val="21"/>
          <w:szCs w:val="20"/>
          <w:highlight w:val="none"/>
        </w:rPr>
        <w:t>履约能力等方面内容按百分制打分。</w:t>
      </w:r>
    </w:p>
    <w:p w14:paraId="3597F0B2">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2.评审方式：以封闭方式进行评审。</w:t>
      </w:r>
    </w:p>
    <w:p w14:paraId="2534B78C">
      <w:pPr>
        <w:keepNext w:val="0"/>
        <w:keepLines w:val="0"/>
        <w:pageBreakBefore w:val="0"/>
        <w:widowControl w:val="0"/>
        <w:kinsoku/>
        <w:wordWrap/>
        <w:overflowPunct/>
        <w:topLinePunct w:val="0"/>
        <w:autoSpaceDE/>
        <w:autoSpaceDN/>
        <w:bidi w:val="0"/>
        <w:adjustRightInd w:val="0"/>
        <w:snapToGrid w:val="0"/>
        <w:spacing w:line="400" w:lineRule="exact"/>
        <w:ind w:left="240" w:leftChars="100" w:firstLine="210" w:firstLineChars="100"/>
        <w:textAlignment w:val="auto"/>
        <w:rPr>
          <w:rFonts w:hint="eastAsia" w:ascii="宋体" w:hAnsi="宋体" w:eastAsia="宋体" w:cs="宋体"/>
          <w:b/>
          <w:bCs/>
          <w:color w:val="auto"/>
          <w:kern w:val="0"/>
          <w:sz w:val="21"/>
          <w:szCs w:val="20"/>
          <w:highlight w:val="none"/>
        </w:rPr>
      </w:pPr>
      <w:r>
        <w:rPr>
          <w:rFonts w:hint="eastAsia" w:ascii="宋体" w:hAnsi="宋体" w:eastAsia="宋体" w:cs="宋体"/>
          <w:color w:val="auto"/>
          <w:kern w:val="0"/>
          <w:sz w:val="21"/>
          <w:szCs w:val="20"/>
          <w:highlight w:val="none"/>
        </w:rPr>
        <w:t>3.根据财库〔2012〕69号文规定，采购人和采购代理机构，磋商小组成员要严格遵守政府采购相关法律制度，依法履行各自职责，公正、客观、审慎地组织和参与评审工作。</w:t>
      </w:r>
    </w:p>
    <w:p w14:paraId="7272473B">
      <w:pPr>
        <w:keepNext w:val="0"/>
        <w:keepLines w:val="0"/>
        <w:pageBreakBefore w:val="0"/>
        <w:widowControl w:val="0"/>
        <w:kinsoku/>
        <w:wordWrap/>
        <w:overflowPunct/>
        <w:topLinePunct w:val="0"/>
        <w:autoSpaceDE/>
        <w:autoSpaceDN/>
        <w:bidi w:val="0"/>
        <w:adjustRightInd w:val="0"/>
        <w:snapToGrid w:val="0"/>
        <w:spacing w:line="400" w:lineRule="exact"/>
        <w:ind w:firstLine="422"/>
        <w:textAlignment w:val="auto"/>
        <w:rPr>
          <w:rFonts w:hint="eastAsia" w:ascii="宋体" w:hAnsi="宋体" w:eastAsia="宋体" w:cs="宋体"/>
          <w:b/>
          <w:bCs/>
          <w:color w:val="auto"/>
          <w:kern w:val="0"/>
          <w:sz w:val="21"/>
          <w:szCs w:val="20"/>
          <w:highlight w:val="none"/>
        </w:rPr>
      </w:pPr>
      <w:r>
        <w:rPr>
          <w:rFonts w:hint="eastAsia" w:ascii="宋体" w:hAnsi="宋体" w:eastAsia="宋体" w:cs="宋体"/>
          <w:b/>
          <w:bCs/>
          <w:color w:val="auto"/>
          <w:kern w:val="0"/>
          <w:sz w:val="21"/>
          <w:szCs w:val="20"/>
          <w:highlight w:val="none"/>
        </w:rPr>
        <w:t>二、评审办法</w:t>
      </w:r>
    </w:p>
    <w:p w14:paraId="25238651">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ascii="宋体" w:hAnsi="宋体" w:eastAsia="宋体" w:cs="宋体"/>
          <w:bCs/>
          <w:color w:val="auto"/>
          <w:kern w:val="0"/>
          <w:sz w:val="21"/>
          <w:szCs w:val="20"/>
          <w:highlight w:val="none"/>
        </w:rPr>
      </w:pPr>
      <w:r>
        <w:rPr>
          <w:rFonts w:hint="eastAsia" w:ascii="宋体" w:hAnsi="宋体" w:eastAsia="宋体" w:cs="宋体"/>
          <w:bCs/>
          <w:color w:val="auto"/>
          <w:kern w:val="0"/>
          <w:sz w:val="21"/>
          <w:szCs w:val="20"/>
          <w:highlight w:val="none"/>
        </w:rPr>
        <w:t>（一）对进入详评的，采用综合评分法。</w:t>
      </w:r>
    </w:p>
    <w:p w14:paraId="5EE489D8">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ascii="宋体" w:hAnsi="宋体" w:eastAsia="宋体" w:cs="宋体"/>
          <w:bCs/>
          <w:color w:val="auto"/>
          <w:kern w:val="0"/>
          <w:sz w:val="21"/>
          <w:szCs w:val="20"/>
          <w:highlight w:val="none"/>
        </w:rPr>
      </w:pPr>
      <w:r>
        <w:rPr>
          <w:rFonts w:hint="eastAsia" w:ascii="宋体" w:hAnsi="宋体" w:eastAsia="宋体" w:cs="宋体"/>
          <w:bCs/>
          <w:color w:val="auto"/>
          <w:kern w:val="0"/>
          <w:sz w:val="21"/>
          <w:szCs w:val="20"/>
          <w:highlight w:val="none"/>
        </w:rPr>
        <w:t>（二）计分办法（按四舍五入取至小数点后</w:t>
      </w:r>
      <w:r>
        <w:rPr>
          <w:rFonts w:hint="eastAsia" w:ascii="宋体" w:hAnsi="宋体" w:eastAsia="宋体" w:cs="宋体"/>
          <w:bCs/>
          <w:color w:val="auto"/>
          <w:kern w:val="0"/>
          <w:sz w:val="21"/>
          <w:szCs w:val="20"/>
          <w:highlight w:val="none"/>
          <w:lang w:eastAsia="zh-CN"/>
        </w:rPr>
        <w:t>两位</w:t>
      </w:r>
      <w:r>
        <w:rPr>
          <w:rFonts w:hint="eastAsia" w:ascii="宋体" w:hAnsi="宋体" w:eastAsia="宋体" w:cs="宋体"/>
          <w:bCs/>
          <w:color w:val="auto"/>
          <w:kern w:val="0"/>
          <w:sz w:val="21"/>
          <w:szCs w:val="20"/>
          <w:highlight w:val="none"/>
        </w:rPr>
        <w:t>）</w:t>
      </w:r>
    </w:p>
    <w:tbl>
      <w:tblPr>
        <w:tblStyle w:val="48"/>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68"/>
        <w:gridCol w:w="7398"/>
      </w:tblGrid>
      <w:tr w14:paraId="7835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00891B0F">
            <w:pPr>
              <w:adjustRightInd w:val="0"/>
              <w:snapToGrid w:val="0"/>
              <w:spacing w:line="360" w:lineRule="exact"/>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68" w:type="dxa"/>
            <w:tcBorders>
              <w:top w:val="single" w:color="auto" w:sz="4" w:space="0"/>
              <w:left w:val="single" w:color="auto" w:sz="4" w:space="0"/>
              <w:bottom w:val="single" w:color="auto" w:sz="4" w:space="0"/>
              <w:right w:val="single" w:color="auto" w:sz="4" w:space="0"/>
            </w:tcBorders>
            <w:noWrap/>
            <w:vAlign w:val="center"/>
          </w:tcPr>
          <w:p w14:paraId="26DFBE08">
            <w:pPr>
              <w:adjustRightInd w:val="0"/>
              <w:snapToGrid w:val="0"/>
              <w:spacing w:line="36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7398" w:type="dxa"/>
            <w:tcBorders>
              <w:top w:val="single" w:color="auto" w:sz="4" w:space="0"/>
              <w:left w:val="single" w:color="auto" w:sz="4" w:space="0"/>
              <w:bottom w:val="single" w:color="auto" w:sz="4" w:space="0"/>
              <w:right w:val="single" w:color="auto" w:sz="4" w:space="0"/>
            </w:tcBorders>
            <w:noWrap/>
            <w:vAlign w:val="center"/>
          </w:tcPr>
          <w:p w14:paraId="7089F97E">
            <w:pPr>
              <w:adjustRightInd w:val="0"/>
              <w:snapToGrid w:val="0"/>
              <w:spacing w:line="360" w:lineRule="exact"/>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评标标准</w:t>
            </w:r>
          </w:p>
        </w:tc>
      </w:tr>
      <w:tr w14:paraId="3A02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098B902D">
            <w:pPr>
              <w:adjustRightInd w:val="0"/>
              <w:snapToGrid w:val="0"/>
              <w:spacing w:line="360" w:lineRule="exact"/>
              <w:ind w:firstLine="0" w:firstLineChars="0"/>
              <w:jc w:val="center"/>
              <w:rPr>
                <w:rFonts w:hint="eastAsia" w:ascii="Times New Roman" w:hAnsi="Times New Roman" w:eastAsia="宋体" w:cs="Times New Roman"/>
                <w:kern w:val="2"/>
                <w:sz w:val="24"/>
                <w:szCs w:val="22"/>
                <w:lang w:val="en-US" w:eastAsia="zh-CN" w:bidi="ar-SA"/>
              </w:rPr>
            </w:pPr>
            <w:r>
              <w:rPr>
                <w:rFonts w:hint="eastAsia" w:ascii="宋体" w:hAnsi="宋体" w:eastAsia="宋体" w:cs="宋体"/>
                <w:b/>
                <w:color w:val="auto"/>
                <w:sz w:val="21"/>
                <w:szCs w:val="21"/>
                <w:highlight w:val="none"/>
              </w:rPr>
              <w:t>1</w:t>
            </w:r>
          </w:p>
        </w:tc>
        <w:tc>
          <w:tcPr>
            <w:tcW w:w="1268" w:type="dxa"/>
            <w:tcBorders>
              <w:top w:val="single" w:color="auto" w:sz="4" w:space="0"/>
              <w:left w:val="single" w:color="auto" w:sz="4" w:space="0"/>
              <w:bottom w:val="single" w:color="auto" w:sz="4" w:space="0"/>
              <w:right w:val="single" w:color="auto" w:sz="4" w:space="0"/>
            </w:tcBorders>
            <w:noWrap/>
            <w:vAlign w:val="top"/>
          </w:tcPr>
          <w:p w14:paraId="186B8FA8">
            <w:pPr>
              <w:pStyle w:val="33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b/>
                <w:bCs/>
                <w:spacing w:val="5"/>
                <w:lang w:eastAsia="zh-CN"/>
              </w:rPr>
            </w:pPr>
          </w:p>
          <w:p w14:paraId="2A6140D6">
            <w:pPr>
              <w:pStyle w:val="33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auto"/>
                <w:sz w:val="21"/>
                <w:szCs w:val="21"/>
                <w:highlight w:val="none"/>
              </w:rPr>
            </w:pPr>
            <w:r>
              <w:rPr>
                <w:rFonts w:hint="eastAsia"/>
                <w:b/>
                <w:bCs/>
                <w:spacing w:val="5"/>
                <w:lang w:eastAsia="zh-CN"/>
              </w:rPr>
              <w:t>价</w:t>
            </w:r>
            <w:r>
              <w:rPr>
                <w:b/>
                <w:bCs/>
                <w:spacing w:val="5"/>
              </w:rPr>
              <w:t>格分（满</w:t>
            </w:r>
            <w:r>
              <w:rPr>
                <w:b/>
                <w:bCs/>
                <w:spacing w:val="-4"/>
              </w:rPr>
              <w:t>分</w:t>
            </w:r>
            <w:r>
              <w:rPr>
                <w:spacing w:val="-30"/>
              </w:rPr>
              <w:t xml:space="preserve"> </w:t>
            </w:r>
            <w:r>
              <w:rPr>
                <w:b/>
                <w:bCs/>
                <w:spacing w:val="-4"/>
              </w:rPr>
              <w:t>30</w:t>
            </w:r>
            <w:r>
              <w:rPr>
                <w:spacing w:val="-36"/>
              </w:rPr>
              <w:t xml:space="preserve"> </w:t>
            </w:r>
            <w:r>
              <w:rPr>
                <w:b/>
                <w:bCs/>
                <w:spacing w:val="-4"/>
              </w:rPr>
              <w:t>分）</w:t>
            </w:r>
          </w:p>
        </w:tc>
        <w:tc>
          <w:tcPr>
            <w:tcW w:w="7398" w:type="dxa"/>
            <w:tcBorders>
              <w:top w:val="single" w:color="auto" w:sz="4" w:space="0"/>
              <w:left w:val="single" w:color="auto" w:sz="4" w:space="0"/>
              <w:bottom w:val="single" w:color="auto" w:sz="4" w:space="0"/>
              <w:right w:val="single" w:color="auto" w:sz="4" w:space="0"/>
            </w:tcBorders>
            <w:noWrap/>
            <w:vAlign w:val="top"/>
          </w:tcPr>
          <w:p w14:paraId="1BFA5211">
            <w:pPr>
              <w:pStyle w:val="335"/>
              <w:spacing w:before="141" w:line="369" w:lineRule="auto"/>
              <w:ind w:left="0" w:leftChars="0" w:right="107" w:firstLine="0" w:firstLineChars="0"/>
            </w:pPr>
            <w:r>
              <w:rPr>
                <w:spacing w:val="10"/>
              </w:rPr>
              <w:t>（1）</w:t>
            </w:r>
            <w:r>
              <w:rPr>
                <w:spacing w:val="-51"/>
              </w:rPr>
              <w:t xml:space="preserve"> </w:t>
            </w:r>
            <w:r>
              <w:rPr>
                <w:spacing w:val="10"/>
              </w:rPr>
              <w:t>以进入综合评分环节的最低的最后报价为基准价，基准价报价得</w:t>
            </w:r>
            <w:r>
              <w:rPr>
                <w:spacing w:val="9"/>
              </w:rPr>
              <w:t>分为</w:t>
            </w:r>
            <w:r>
              <w:rPr>
                <w:spacing w:val="-33"/>
              </w:rPr>
              <w:t xml:space="preserve"> </w:t>
            </w:r>
            <w:r>
              <w:rPr>
                <w:spacing w:val="9"/>
              </w:rPr>
              <w:t>30</w:t>
            </w:r>
            <w:r>
              <w:rPr>
                <w:spacing w:val="-1"/>
              </w:rPr>
              <w:t>分。</w:t>
            </w:r>
          </w:p>
          <w:p w14:paraId="5AEAF93C">
            <w:pPr>
              <w:pStyle w:val="335"/>
              <w:spacing w:line="226" w:lineRule="auto"/>
              <w:ind w:left="0" w:leftChars="0" w:firstLine="0" w:firstLineChars="0"/>
              <w:rPr>
                <w:rFonts w:hint="eastAsia" w:ascii="宋体" w:hAnsi="宋体" w:eastAsia="宋体" w:cs="宋体"/>
                <w:b/>
                <w:color w:val="auto"/>
                <w:sz w:val="21"/>
                <w:szCs w:val="21"/>
                <w:highlight w:val="none"/>
              </w:rPr>
            </w:pPr>
            <w:r>
              <w:rPr>
                <w:spacing w:val="7"/>
              </w:rPr>
              <w:t>（2）供应商磋商报价得分=（磋商基准价/供应</w:t>
            </w:r>
            <w:r>
              <w:rPr>
                <w:spacing w:val="6"/>
              </w:rPr>
              <w:t>商的最后报价）</w:t>
            </w:r>
            <w:r>
              <w:rPr>
                <w:spacing w:val="-52"/>
              </w:rPr>
              <w:t xml:space="preserve"> </w:t>
            </w:r>
            <w:r>
              <w:rPr>
                <w:spacing w:val="6"/>
              </w:rPr>
              <w:t>×30</w:t>
            </w:r>
            <w:r>
              <w:rPr>
                <w:spacing w:val="-38"/>
              </w:rPr>
              <w:t xml:space="preserve"> </w:t>
            </w:r>
            <w:r>
              <w:rPr>
                <w:spacing w:val="6"/>
              </w:rPr>
              <w:t>分。</w:t>
            </w:r>
          </w:p>
        </w:tc>
      </w:tr>
      <w:tr w14:paraId="16C5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59" w:type="dxa"/>
            <w:tcBorders>
              <w:top w:val="single" w:color="auto" w:sz="4" w:space="0"/>
              <w:left w:val="single" w:color="auto" w:sz="4" w:space="0"/>
              <w:right w:val="single" w:color="auto" w:sz="4" w:space="0"/>
            </w:tcBorders>
            <w:noWrap/>
            <w:vAlign w:val="center"/>
          </w:tcPr>
          <w:p w14:paraId="1815786E">
            <w:pPr>
              <w:adjustRightInd w:val="0"/>
              <w:snapToGrid w:val="0"/>
              <w:spacing w:line="36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268" w:type="dxa"/>
            <w:tcBorders>
              <w:top w:val="single" w:color="auto" w:sz="4" w:space="0"/>
              <w:left w:val="single" w:color="auto" w:sz="4" w:space="0"/>
              <w:bottom w:val="single" w:color="auto" w:sz="4" w:space="0"/>
              <w:right w:val="single" w:color="auto" w:sz="4" w:space="0"/>
            </w:tcBorders>
            <w:noWrap/>
            <w:vAlign w:val="center"/>
          </w:tcPr>
          <w:p w14:paraId="0AB9C784">
            <w:pPr>
              <w:pStyle w:val="43"/>
              <w:widowControl w:val="0"/>
              <w:adjustRightInd w:val="0"/>
              <w:snapToGrid w:val="0"/>
              <w:spacing w:before="0" w:beforeAutospacing="0" w:after="0" w:afterAutospacing="0" w:line="360" w:lineRule="exact"/>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 w:val="21"/>
                <w:szCs w:val="21"/>
                <w:highlight w:val="none"/>
              </w:rPr>
              <w:t>施工组织设计分（满分 60 分）</w:t>
            </w:r>
          </w:p>
        </w:tc>
        <w:tc>
          <w:tcPr>
            <w:tcW w:w="7398" w:type="dxa"/>
            <w:tcBorders>
              <w:top w:val="single" w:color="auto" w:sz="4" w:space="0"/>
              <w:left w:val="single" w:color="auto" w:sz="4" w:space="0"/>
              <w:bottom w:val="single" w:color="auto" w:sz="4" w:space="0"/>
              <w:right w:val="single" w:color="auto" w:sz="4" w:space="0"/>
            </w:tcBorders>
            <w:noWrap/>
            <w:vAlign w:val="center"/>
          </w:tcPr>
          <w:p w14:paraId="012A8037">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（1）主要施工方法分（10 分）</w:t>
            </w:r>
          </w:p>
          <w:p w14:paraId="0A3C276A">
            <w:pPr>
              <w:pStyle w:val="26"/>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评委根据供应商提供的施工组织设计中“主要施工方法 ”内容进行独立评审并打分：</w:t>
            </w:r>
          </w:p>
          <w:p w14:paraId="6289FC30">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一档（10 分）：各主要分部施工方法优于项目需求，有详尽且完善的施工技术方案，工艺方法合理可行，能有效地指导具体施工并确保安全；</w:t>
            </w:r>
          </w:p>
          <w:p w14:paraId="0AF6F087">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二档（7 分） ：各主要分部施工方法符合项目需求，有具体完整的施工技术方案，工艺方法合理可行，能指导具体施工并确保安全；</w:t>
            </w:r>
          </w:p>
          <w:p w14:paraId="7554DBDB">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三档（4 分） ：各主要分部施工方法能满足项目需求，有施工技术方案，能指导具体施工并确保安全；</w:t>
            </w:r>
          </w:p>
          <w:p w14:paraId="4A9E1C13">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四档（1分）：各主要分部施工方法不能指导具体施工并确保安全。</w:t>
            </w:r>
          </w:p>
          <w:p w14:paraId="22CC5E6B">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（2）关键施工技术、工艺及工程实施的重点、难点和解决方案分（8 分）</w:t>
            </w:r>
          </w:p>
          <w:p w14:paraId="77ED3792">
            <w:pPr>
              <w:pStyle w:val="26"/>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评委根据供应商提供的施工组织设计中“关键施工技术、工艺及工程实施的重点、难点和解决方案 ”内容进行独立评审并打分：</w:t>
            </w:r>
          </w:p>
          <w:p w14:paraId="3E4272C4">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一档（8 分） ：对项目关键技术、工艺有深入的表达，对重点、难点有切实可行的施工措施及安全措施，解决方案完善、经济、安全、切实可行，措施得力。二档（6 分） ：对项目关键技术、工艺有深入的表达，对重点、难点有合理的建议，解决方案经济、安全。</w:t>
            </w:r>
          </w:p>
          <w:p w14:paraId="09FD3612">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三档（4 分） ：对项目关键技术有了解不深入，对重点、难点有建议，解决方案缺乏可行性。</w:t>
            </w:r>
          </w:p>
          <w:p w14:paraId="784FFC94">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val="en-US"/>
              </w:rPr>
              <w:t>2分</w:t>
            </w:r>
            <w:r>
              <w:rPr>
                <w:rFonts w:hint="eastAsia" w:ascii="宋体" w:hAnsi="宋体" w:eastAsia="宋体" w:cs="宋体"/>
                <w:color w:val="auto"/>
                <w:sz w:val="21"/>
                <w:szCs w:val="21"/>
                <w:highlight w:val="none"/>
              </w:rPr>
              <w:t>）：</w:t>
            </w:r>
            <w:r>
              <w:rPr>
                <w:rFonts w:hint="eastAsia" w:ascii="宋体" w:hAnsi="宋体" w:eastAsia="宋体" w:cs="宋体"/>
                <w:color w:val="auto"/>
                <w:spacing w:val="-4"/>
                <w:sz w:val="21"/>
                <w:szCs w:val="21"/>
                <w:highlight w:val="none"/>
              </w:rPr>
              <w:t>对项目关键技术有表述，对重点、难点有建议，解决方案不可行。</w:t>
            </w:r>
          </w:p>
          <w:p w14:paraId="2F99B5A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（3）确保安全生产的技术组织措施分 （</w:t>
            </w: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rPr>
              <w:t xml:space="preserve">分）  </w:t>
            </w:r>
          </w:p>
          <w:p w14:paraId="4D53A0C4">
            <w:pPr>
              <w:pStyle w:val="26"/>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评委根据供应商提供的施工组织设计中“确保安全生产的技术组织措施 ”内容进行独立评审并打分：</w:t>
            </w:r>
          </w:p>
          <w:p w14:paraId="38492DEF">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一档（8 分） ：具有专门的安全管理人员和制度，项目人员配备合理，制度健全、完善，各道工序安全技术措施具有针对性，满足实际且优于有关安全技术标准要求。现场防火、应急救援和社会治安安全措施得力、可行。</w:t>
            </w:r>
          </w:p>
          <w:p w14:paraId="03E27FBD">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二档（6 分） ：具有专门的安全管理人员和制度，项目人员配备合理，制度健全，各道工序安全技术措施具有针对性，符合实际且满足有关安全技术标准要求。现场防火、应急救援和社会治安安全措施可行。</w:t>
            </w:r>
          </w:p>
          <w:p w14:paraId="03AA3887">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三档（4 分） ：具有专门的安全管理人员和制度，项目人员配备制度、各道工序安全技术措施缺乏针对性，满足有关安全技术标准要求。现场防火、应急救援和社会治安安全措施缺乏针对性。</w:t>
            </w:r>
          </w:p>
          <w:p w14:paraId="5144EE8B">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四档（2 分） ：具有安全管理人员和制度，项目人员配备不合理，制度、各道工序安全技术措施无针对性，不符合实际。现场防火、应急救援和社会治安安全措施无针对性。</w:t>
            </w:r>
          </w:p>
          <w:p w14:paraId="5C802B27">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（4）确保工程质量的技术组织措施分 （</w:t>
            </w: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rPr>
              <w:t xml:space="preserve">分）  </w:t>
            </w:r>
          </w:p>
          <w:p w14:paraId="1D6410D3">
            <w:pPr>
              <w:pStyle w:val="26"/>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评委根据供应商提供的施工组织设计中“确保工程质量的技术组织措施 ”内容进行独立评审并打分：</w:t>
            </w:r>
          </w:p>
          <w:p w14:paraId="7A4DC486">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一档（8 分） ：有专门的质量技术管理班子和制度，人员配备合理、完善、制度健全。主要工序具有强有力的质量技术保证措施和手段，质控体系完善，能有效保证技术质量，达到承诺的质量标准且优于项目需求。</w:t>
            </w:r>
          </w:p>
          <w:p w14:paraId="25B234FD">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二档（6 分）：有专门的质量技术管理班子和制度，人员配备合理，制度健全。主要工序有质量技术保证措施和手段，质控体系完整，保证技术质量，达到承诺的质量标准。</w:t>
            </w:r>
          </w:p>
          <w:p w14:paraId="1FE54D85">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三档（4 分） ：有质量技术管理班子和制度，人员配备缺乏合理性，制度完善性欠缺。主要工序有质量技术保证措施和手段，质控体系能保证技术质量，达到承诺的质量标准。</w:t>
            </w:r>
          </w:p>
          <w:p w14:paraId="5F7A891B">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四档（2 分） ：有质量技术管理班子和制度，人员配备不合理，制度不完善。主要工序无质量技术保证措施和手段，质控体系完整性差，不能保证技术质量。</w:t>
            </w:r>
          </w:p>
          <w:p w14:paraId="7AEAC2B2">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（5）确保工期的技术组织措施分 （</w:t>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分）  </w:t>
            </w:r>
          </w:p>
          <w:p w14:paraId="1B3C2A77">
            <w:pPr>
              <w:pStyle w:val="26"/>
              <w:keepNext w:val="0"/>
              <w:keepLines w:val="0"/>
              <w:pageBreakBefore w:val="0"/>
              <w:widowControl/>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评委根据供应商提供的施工组织设计中“确保工期的技术组织措施”内容进行独立评审并打分：</w:t>
            </w:r>
          </w:p>
          <w:p w14:paraId="39E6F33C">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一档（5 分） ：在施工工艺、施工方法、材料选用、劳动力安排、技术等方面有保证工期的具体措施且措施得当。有完善的控制工期的施工进度计划。具有完善施工总进度表或施工网络图，各项计划图表编制完善，安排合理可行，优于本项目施工实际要求。</w:t>
            </w:r>
          </w:p>
          <w:p w14:paraId="07CF78F8">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二档（4 分） ：在施工工艺、施工方法、材料选用、劳动力安排、技术等方面有保证工期的措施。有完整的控制工期的施工进度计划。具有完整的施工总进度表或施工网络图，各项计划图表编制完整，符合本项目施工实际要求。</w:t>
            </w:r>
          </w:p>
          <w:p w14:paraId="104B7F25">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三档（3 分） ：在施工工艺、施工方法、材料选用、劳动力安排、技术等方面有保证工期的措施、有控制工期的施工进度计划缺乏可行性，各项计划图表编制、安排符合本项目施工实际要求。</w:t>
            </w:r>
          </w:p>
          <w:p w14:paraId="6C4DCD98">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四档（2 分） ：在施工工艺、施工方法、材料选用、劳动力安排、技术等方面有保证工期的措施、有控制工期的施工进度计划，但无针对性，各项计划图表编制不完善。</w:t>
            </w:r>
          </w:p>
          <w:p w14:paraId="7FD52F2F">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（6）确保文明施工的技术组织措施分 （</w:t>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分）  </w:t>
            </w:r>
          </w:p>
          <w:p w14:paraId="30801EBA">
            <w:pPr>
              <w:pStyle w:val="26"/>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评委根据供应商提供的施工组织设计中“确保文明施工的技术组织措施”内容进行</w:t>
            </w:r>
            <w:r>
              <w:rPr>
                <w:rFonts w:hint="eastAsia" w:ascii="宋体" w:hAnsi="宋体" w:eastAsia="宋体" w:cs="宋体"/>
                <w:color w:val="auto"/>
                <w:sz w:val="21"/>
                <w:szCs w:val="21"/>
                <w:highlight w:val="none"/>
                <w:lang w:val="en-US"/>
              </w:rPr>
              <w:t>独立评审并打分：</w:t>
            </w:r>
          </w:p>
          <w:p w14:paraId="7CE88816">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一档（5 分） ：针对本工程项目特点，具有现场文明施工、环境保护措施，且措施内容优于《建筑施工安全检查标准》（JGJ59-2011）合格标准并符合《广西壮族自治区建筑工程文明施工导则》要求。各项措施完善、具体、有效、具有针对性。有具体实现现场文明施工目标的承诺。</w:t>
            </w:r>
          </w:p>
          <w:p w14:paraId="277A5502">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二档（4 分） ：针对本工程项目特点，具有现场文明施工、环境保护措施，且措施内容达到《建筑施工安全检查标准》（JGJ59-2011）合格标准并符合《广西壮族自治区建筑工程文明施工导则》要求。各项措施具有针对性。有实现现场文明施工目标的承诺。</w:t>
            </w:r>
          </w:p>
          <w:p w14:paraId="23140F67">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三档（3 分） ：针对本工程项目特点，具有现场文明施工、环境保护措施，且措施内容达到《建筑施工安全检查标准》（JGJ59-2011）合格标准符合《广西壮族自治区建筑工程文明施工导则》要求。</w:t>
            </w:r>
          </w:p>
          <w:p w14:paraId="048CF415">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四档（2分）：具有现场文明施工、环境保护措施。</w:t>
            </w:r>
          </w:p>
          <w:p w14:paraId="2E7C898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（7）拟投入的主要物资计划分 （</w:t>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分）  </w:t>
            </w:r>
          </w:p>
          <w:p w14:paraId="7AB57102">
            <w:pPr>
              <w:pStyle w:val="26"/>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评委根据供应商提供的施工组织设计中“拟投入的主要物资计划”内容进行独立评审并打分：</w:t>
            </w:r>
          </w:p>
          <w:p w14:paraId="2C570E77">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一档（5 分） ：投入的施工材料有完善的组织计划且计划周密，数量、选型配置、进场时间安排合理，有针对性，切实可行，优于施工需要。</w:t>
            </w:r>
          </w:p>
          <w:p w14:paraId="0515C6DE">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二档（4 分） ：投入的施工材料完整的组织计划，数量、选型配置、进场时间安排合理，有针对性，满足施工需要。</w:t>
            </w:r>
          </w:p>
          <w:p w14:paraId="1EB61375">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三档（3 分） ：投入的施工材料有组织计划，缺乏针对性，数量、选型配置、进场时间安排满足施工需要。</w:t>
            </w:r>
          </w:p>
          <w:p w14:paraId="166B675D">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四档（2 分） ：投入的施工材料的组织计划，数量、选型配置、进场时间安排不合理，不能满足施工需要。</w:t>
            </w:r>
          </w:p>
          <w:p w14:paraId="316919B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（8）施工平面布置和临时设施布置分 （3分） </w:t>
            </w:r>
            <w:r>
              <w:rPr>
                <w:rFonts w:hint="eastAsia" w:ascii="宋体" w:hAnsi="宋体" w:eastAsia="宋体" w:cs="宋体"/>
                <w:color w:val="auto"/>
                <w:sz w:val="21"/>
                <w:szCs w:val="21"/>
                <w:highlight w:val="none"/>
              </w:rPr>
              <w:t xml:space="preserve"> </w:t>
            </w:r>
          </w:p>
          <w:p w14:paraId="280CBE3A">
            <w:pPr>
              <w:pStyle w:val="26"/>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评委根据供应商提供的施工组织设计中“施工平面布置和临时设施布置”内容进行独立评审并打分：</w:t>
            </w:r>
          </w:p>
          <w:p w14:paraId="0BEA7FC1">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一档（3分）：总体布置有针对性、合理，</w:t>
            </w:r>
            <w:r>
              <w:rPr>
                <w:rFonts w:hint="eastAsia" w:ascii="宋体" w:hAnsi="宋体" w:eastAsia="宋体" w:cs="宋体"/>
                <w:color w:val="auto"/>
                <w:sz w:val="21"/>
                <w:szCs w:val="21"/>
                <w:highlight w:val="none"/>
                <w:lang w:val="en-US" w:eastAsia="zh-CN"/>
              </w:rPr>
              <w:t>优于</w:t>
            </w:r>
            <w:r>
              <w:rPr>
                <w:rFonts w:hint="eastAsia" w:ascii="宋体" w:hAnsi="宋体" w:eastAsia="宋体" w:cs="宋体"/>
                <w:color w:val="auto"/>
                <w:sz w:val="21"/>
                <w:szCs w:val="21"/>
                <w:highlight w:val="none"/>
                <w:lang w:val="en-US"/>
              </w:rPr>
              <w:t>施工需要，符合安全、文明生产要求。</w:t>
            </w:r>
          </w:p>
          <w:p w14:paraId="3E33C9EF">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二档（2分）：总体布置合理，满足施工需要。</w:t>
            </w:r>
          </w:p>
          <w:p w14:paraId="63D69FDA">
            <w:pPr>
              <w:pStyle w:val="2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三档（1分）：总体布置不</w:t>
            </w:r>
            <w:r>
              <w:rPr>
                <w:rFonts w:hint="eastAsia" w:ascii="宋体" w:hAnsi="宋体" w:eastAsia="宋体" w:cs="宋体"/>
                <w:color w:val="auto"/>
                <w:sz w:val="21"/>
                <w:szCs w:val="21"/>
                <w:highlight w:val="none"/>
                <w:lang w:val="en-US" w:eastAsia="zh-CN"/>
              </w:rPr>
              <w:t>合理</w:t>
            </w:r>
            <w:r>
              <w:rPr>
                <w:rFonts w:hint="eastAsia" w:ascii="宋体" w:hAnsi="宋体" w:eastAsia="宋体" w:cs="宋体"/>
                <w:color w:val="auto"/>
                <w:sz w:val="21"/>
                <w:szCs w:val="21"/>
                <w:highlight w:val="none"/>
                <w:lang w:val="en-US"/>
              </w:rPr>
              <w:t>、无针对性。</w:t>
            </w:r>
          </w:p>
          <w:p w14:paraId="3BBF59B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color w:val="auto"/>
                <w:sz w:val="21"/>
                <w:szCs w:val="21"/>
                <w:highlight w:val="none"/>
              </w:rPr>
            </w:pPr>
            <w:bookmarkStart w:id="80" w:name="OLE_LINK35"/>
            <w:r>
              <w:rPr>
                <w:rFonts w:hint="eastAsia" w:ascii="宋体" w:hAnsi="宋体" w:eastAsia="宋体" w:cs="宋体"/>
                <w:b/>
                <w:color w:val="auto"/>
                <w:sz w:val="21"/>
                <w:szCs w:val="21"/>
                <w:highlight w:val="none"/>
              </w:rPr>
              <w:t>（9）劳动力安排计划分 （</w:t>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分）  </w:t>
            </w:r>
          </w:p>
          <w:p w14:paraId="36E1B46C">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评委根据供应商提供的施工组织设</w:t>
            </w:r>
            <w:r>
              <w:rPr>
                <w:rFonts w:hint="eastAsia" w:ascii="宋体" w:hAnsi="宋体" w:eastAsia="宋体" w:cs="宋体"/>
                <w:color w:val="auto"/>
                <w:sz w:val="21"/>
                <w:szCs w:val="21"/>
                <w:highlight w:val="none"/>
              </w:rPr>
              <w:t>计</w:t>
            </w:r>
            <w:r>
              <w:rPr>
                <w:rFonts w:hint="eastAsia" w:ascii="宋体" w:hAnsi="宋体" w:eastAsia="宋体" w:cs="宋体"/>
                <w:bCs/>
                <w:color w:val="auto"/>
                <w:sz w:val="21"/>
                <w:szCs w:val="21"/>
                <w:highlight w:val="none"/>
              </w:rPr>
              <w:t>中“劳动力安排计划”内容</w:t>
            </w:r>
            <w:r>
              <w:rPr>
                <w:rFonts w:hint="eastAsia" w:ascii="宋体" w:hAnsi="宋体" w:eastAsia="宋体" w:cs="宋体"/>
                <w:color w:val="auto"/>
                <w:sz w:val="21"/>
                <w:szCs w:val="21"/>
                <w:highlight w:val="none"/>
              </w:rPr>
              <w:t>进行独立评审并打分：</w:t>
            </w:r>
          </w:p>
          <w:p w14:paraId="0CBED45F">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一档（5分）：各主要施工工序有详细周密的劳动力安排计划，各工种劳动力安排计划完善、有针对性，劳动力投入合理、准确，优于施工需要。</w:t>
            </w:r>
          </w:p>
          <w:p w14:paraId="5DC5ADC7">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二档（4 分）：各主要施工工序有完整周密的劳动力安排计划，各工种劳动力安排计划完整、有针对性，劳动力投入合理、准确，满足施工需要。</w:t>
            </w:r>
          </w:p>
          <w:p w14:paraId="14CD12D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三档（3分）：各主要施工工序的劳动力安排计划，各工种劳动力安排计划缺乏针对性，劳动力投入缺乏合理性、准确性，满足施工需要。</w:t>
            </w:r>
          </w:p>
          <w:p w14:paraId="23BBEF42">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四档（2分）：各主要施工工序的劳动力安排计划、各工种劳动力安排计划无针对性。</w:t>
            </w:r>
            <w:bookmarkEnd w:id="80"/>
          </w:p>
          <w:p w14:paraId="7BD6859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color w:val="auto"/>
                <w:sz w:val="21"/>
                <w:szCs w:val="21"/>
                <w:highlight w:val="none"/>
              </w:rPr>
            </w:pPr>
            <w:bookmarkStart w:id="81" w:name="OLE_LINK36"/>
            <w:r>
              <w:rPr>
                <w:rFonts w:hint="eastAsia" w:ascii="宋体" w:hAnsi="宋体" w:eastAsia="宋体" w:cs="宋体"/>
                <w:b/>
                <w:color w:val="auto"/>
                <w:sz w:val="21"/>
                <w:szCs w:val="21"/>
                <w:highlight w:val="none"/>
              </w:rPr>
              <w:t xml:space="preserve">（10）项目风险预测与防范，事故应急预案分（3分）  </w:t>
            </w:r>
          </w:p>
          <w:p w14:paraId="6FCF46F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评委根据供应商提供的施工组织设计中“项目风险预测与防范，事故应急预案”内容进行独立评审并打分：</w:t>
            </w:r>
          </w:p>
          <w:p w14:paraId="7DE3825E">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一档（3分）：项目风险预测与防范、事故应急预案</w:t>
            </w:r>
            <w:r>
              <w:rPr>
                <w:rFonts w:hint="eastAsia" w:ascii="宋体" w:hAnsi="宋体" w:eastAsia="宋体" w:cs="宋体"/>
                <w:bCs/>
                <w:color w:val="auto"/>
                <w:sz w:val="21"/>
                <w:szCs w:val="21"/>
                <w:highlight w:val="none"/>
                <w:lang w:eastAsia="zh-CN"/>
              </w:rPr>
              <w:t>完善、切实</w:t>
            </w:r>
            <w:r>
              <w:rPr>
                <w:rFonts w:hint="eastAsia" w:ascii="宋体" w:hAnsi="宋体" w:eastAsia="宋体" w:cs="宋体"/>
                <w:bCs/>
                <w:color w:val="auto"/>
                <w:sz w:val="21"/>
                <w:szCs w:val="21"/>
                <w:highlight w:val="none"/>
              </w:rPr>
              <w:t>合理、</w:t>
            </w:r>
            <w:r>
              <w:rPr>
                <w:rFonts w:hint="eastAsia" w:ascii="宋体" w:hAnsi="宋体" w:eastAsia="宋体" w:cs="宋体"/>
                <w:bCs/>
                <w:color w:val="auto"/>
                <w:sz w:val="21"/>
                <w:szCs w:val="21"/>
                <w:highlight w:val="none"/>
                <w:lang w:eastAsia="zh-CN"/>
              </w:rPr>
              <w:t>具有</w:t>
            </w:r>
            <w:r>
              <w:rPr>
                <w:rFonts w:hint="eastAsia" w:ascii="宋体" w:hAnsi="宋体" w:eastAsia="宋体" w:cs="宋体"/>
                <w:bCs/>
                <w:color w:val="auto"/>
                <w:sz w:val="21"/>
                <w:szCs w:val="21"/>
                <w:highlight w:val="none"/>
              </w:rPr>
              <w:t>针对性</w:t>
            </w:r>
            <w:r>
              <w:rPr>
                <w:rFonts w:hint="eastAsia" w:ascii="宋体" w:hAnsi="宋体" w:eastAsia="宋体" w:cs="宋体"/>
                <w:bCs/>
                <w:color w:val="auto"/>
                <w:sz w:val="21"/>
                <w:szCs w:val="21"/>
                <w:highlight w:val="none"/>
                <w:lang w:eastAsia="zh-CN"/>
              </w:rPr>
              <w:t>，优于施工需要</w:t>
            </w:r>
            <w:r>
              <w:rPr>
                <w:rFonts w:hint="eastAsia" w:ascii="宋体" w:hAnsi="宋体" w:eastAsia="宋体" w:cs="宋体"/>
                <w:bCs/>
                <w:color w:val="auto"/>
                <w:sz w:val="21"/>
                <w:szCs w:val="21"/>
                <w:highlight w:val="none"/>
              </w:rPr>
              <w:t>。</w:t>
            </w:r>
          </w:p>
          <w:p w14:paraId="1C0D595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二档（2分）：项目风险预测与防范，事故应急预案完整、可行，</w:t>
            </w:r>
            <w:r>
              <w:rPr>
                <w:rFonts w:hint="eastAsia" w:ascii="宋体" w:hAnsi="宋体" w:eastAsia="宋体" w:cs="宋体"/>
                <w:bCs/>
                <w:color w:val="auto"/>
                <w:sz w:val="21"/>
                <w:szCs w:val="21"/>
                <w:highlight w:val="none"/>
                <w:lang w:eastAsia="zh-CN"/>
              </w:rPr>
              <w:t>具有针对性，满足施工需要</w:t>
            </w:r>
            <w:r>
              <w:rPr>
                <w:rFonts w:hint="eastAsia" w:ascii="宋体" w:hAnsi="宋体" w:eastAsia="宋体" w:cs="宋体"/>
                <w:bCs/>
                <w:color w:val="auto"/>
                <w:sz w:val="21"/>
                <w:szCs w:val="21"/>
                <w:highlight w:val="none"/>
              </w:rPr>
              <w:t>。</w:t>
            </w:r>
          </w:p>
          <w:p w14:paraId="47294EE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三档（1分）：项目风险预测与防范、事故应急预案不</w:t>
            </w:r>
            <w:r>
              <w:rPr>
                <w:rFonts w:hint="eastAsia" w:ascii="宋体" w:hAnsi="宋体" w:eastAsia="宋体" w:cs="宋体"/>
                <w:bCs/>
                <w:color w:val="auto"/>
                <w:sz w:val="21"/>
                <w:szCs w:val="21"/>
                <w:highlight w:val="none"/>
                <w:lang w:eastAsia="zh-CN"/>
              </w:rPr>
              <w:t>完整</w:t>
            </w:r>
            <w:r>
              <w:rPr>
                <w:rFonts w:hint="eastAsia" w:ascii="宋体" w:hAnsi="宋体" w:eastAsia="宋体" w:cs="宋体"/>
                <w:bCs/>
                <w:color w:val="auto"/>
                <w:sz w:val="21"/>
                <w:szCs w:val="21"/>
                <w:highlight w:val="none"/>
              </w:rPr>
              <w:t>、无针对性。</w:t>
            </w:r>
            <w:bookmarkEnd w:id="81"/>
          </w:p>
        </w:tc>
      </w:tr>
      <w:tr w14:paraId="2B4B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35701F95">
            <w:pPr>
              <w:adjustRightInd w:val="0"/>
              <w:snapToGrid w:val="0"/>
              <w:spacing w:line="36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268" w:type="dxa"/>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14:paraId="781ED29C">
            <w:pPr>
              <w:adjustRightInd w:val="0"/>
              <w:snapToGrid w:val="0"/>
              <w:spacing w:line="360" w:lineRule="exact"/>
              <w:ind w:firstLine="0" w:firstLineChars="0"/>
              <w:jc w:val="center"/>
              <w:rPr>
                <w:rFonts w:hint="eastAsia" w:ascii="宋体" w:hAnsi="宋体" w:eastAsia="宋体" w:cs="宋体"/>
                <w:b/>
                <w:color w:val="auto"/>
                <w:sz w:val="21"/>
                <w:szCs w:val="21"/>
                <w:highlight w:val="none"/>
              </w:rPr>
            </w:pPr>
            <w:bookmarkStart w:id="82" w:name="OLE_LINK37"/>
            <w:bookmarkStart w:id="83" w:name="OLE_LINK38"/>
            <w:r>
              <w:rPr>
                <w:rFonts w:hint="eastAsia" w:ascii="宋体" w:hAnsi="宋体" w:eastAsia="宋体" w:cs="宋体"/>
                <w:b/>
                <w:color w:val="auto"/>
                <w:sz w:val="21"/>
                <w:szCs w:val="21"/>
                <w:highlight w:val="none"/>
              </w:rPr>
              <w:t>履约能力分（满分 10</w:t>
            </w:r>
          </w:p>
          <w:p w14:paraId="297862A9">
            <w:pPr>
              <w:adjustRightInd w:val="0"/>
              <w:snapToGrid w:val="0"/>
              <w:spacing w:line="36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w:t>
            </w:r>
            <w:bookmarkEnd w:id="82"/>
            <w:bookmarkEnd w:id="83"/>
          </w:p>
        </w:tc>
        <w:tc>
          <w:tcPr>
            <w:tcW w:w="7398" w:type="dxa"/>
            <w:tcBorders>
              <w:top w:val="single" w:color="auto" w:sz="4" w:space="0"/>
              <w:left w:val="single" w:color="auto" w:sz="4" w:space="0"/>
              <w:bottom w:val="single" w:color="auto" w:sz="4" w:space="0"/>
              <w:right w:val="single" w:color="auto" w:sz="4" w:space="0"/>
            </w:tcBorders>
            <w:noWrap/>
            <w:vAlign w:val="center"/>
          </w:tcPr>
          <w:p w14:paraId="0A6DA47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2023年1月1日</w:t>
            </w:r>
            <w:r>
              <w:rPr>
                <w:rFonts w:hint="eastAsia" w:ascii="宋体" w:hAnsi="宋体" w:eastAsia="宋体" w:cs="宋体"/>
                <w:bCs/>
                <w:color w:val="auto"/>
                <w:sz w:val="21"/>
                <w:szCs w:val="21"/>
                <w:highlight w:val="none"/>
              </w:rPr>
              <w:t>以来经竣工验收的类似工程</w:t>
            </w:r>
            <w:r>
              <w:rPr>
                <w:rFonts w:hint="eastAsia" w:ascii="宋体" w:hAnsi="宋体" w:eastAsia="宋体" w:cs="宋体"/>
                <w:bCs/>
                <w:color w:val="auto"/>
                <w:sz w:val="21"/>
                <w:szCs w:val="21"/>
                <w:highlight w:val="none"/>
                <w:lang w:eastAsia="zh-CN"/>
              </w:rPr>
              <w:t>业绩的</w:t>
            </w:r>
            <w:r>
              <w:rPr>
                <w:rFonts w:hint="eastAsia" w:ascii="宋体" w:hAnsi="宋体" w:eastAsia="宋体" w:cs="宋体"/>
                <w:bCs/>
                <w:color w:val="auto"/>
                <w:sz w:val="21"/>
                <w:szCs w:val="21"/>
                <w:highlight w:val="none"/>
              </w:rPr>
              <w:t>，每提供1个得</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分，最多得</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分【供应商于响应文件中提供</w:t>
            </w:r>
            <w:r>
              <w:rPr>
                <w:rFonts w:hint="eastAsia" w:ascii="宋体" w:hAnsi="宋体" w:eastAsia="宋体" w:cs="宋体"/>
                <w:color w:val="auto"/>
                <w:sz w:val="21"/>
                <w:highlight w:val="none"/>
              </w:rPr>
              <w:t>中标（成交）通知书</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或合同协议书扫描件</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lang w:val="en-US" w:eastAsia="zh-CN"/>
              </w:rPr>
              <w:t>并同时提供</w:t>
            </w:r>
            <w:r>
              <w:rPr>
                <w:rFonts w:hint="eastAsia" w:ascii="宋体" w:hAnsi="宋体" w:eastAsia="宋体" w:cs="宋体"/>
                <w:color w:val="auto"/>
                <w:sz w:val="21"/>
                <w:highlight w:val="none"/>
              </w:rPr>
              <w:t>经竣工验收的</w:t>
            </w:r>
            <w:r>
              <w:rPr>
                <w:rFonts w:hint="eastAsia" w:ascii="宋体" w:hAnsi="宋体" w:eastAsia="宋体" w:cs="宋体"/>
                <w:bCs/>
                <w:color w:val="auto"/>
                <w:sz w:val="21"/>
                <w:szCs w:val="21"/>
                <w:highlight w:val="none"/>
              </w:rPr>
              <w:t>相关有效证明材料，并加盖供应商电子签章</w:t>
            </w:r>
            <w:r>
              <w:rPr>
                <w:rFonts w:hint="eastAsia" w:ascii="宋体" w:hAnsi="宋体" w:eastAsia="宋体" w:cs="宋体"/>
                <w:bCs/>
                <w:color w:val="auto"/>
                <w:sz w:val="21"/>
                <w:szCs w:val="21"/>
                <w:highlight w:val="none"/>
                <w:lang w:eastAsia="zh-CN"/>
              </w:rPr>
              <w:t>，否则不予认可</w:t>
            </w:r>
            <w:r>
              <w:rPr>
                <w:rFonts w:hint="eastAsia" w:ascii="宋体" w:hAnsi="宋体" w:eastAsia="宋体" w:cs="宋体"/>
                <w:bCs/>
                <w:color w:val="auto"/>
                <w:sz w:val="21"/>
                <w:szCs w:val="21"/>
                <w:highlight w:val="none"/>
              </w:rPr>
              <w:t>】。</w:t>
            </w:r>
          </w:p>
        </w:tc>
      </w:tr>
      <w:tr w14:paraId="5A1B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425" w:type="dxa"/>
            <w:gridSpan w:val="3"/>
            <w:tcBorders>
              <w:top w:val="single" w:color="auto" w:sz="4" w:space="0"/>
              <w:left w:val="single" w:color="auto" w:sz="4" w:space="0"/>
              <w:bottom w:val="single" w:color="auto" w:sz="4" w:space="0"/>
              <w:right w:val="single" w:color="auto" w:sz="4" w:space="0"/>
            </w:tcBorders>
            <w:noWrap/>
            <w:vAlign w:val="center"/>
          </w:tcPr>
          <w:p w14:paraId="044159B8">
            <w:pPr>
              <w:pStyle w:val="43"/>
              <w:widowControl w:val="0"/>
              <w:adjustRightInd w:val="0"/>
              <w:snapToGrid w:val="0"/>
              <w:spacing w:before="0" w:beforeAutospacing="0" w:after="0" w:afterAutospacing="0" w:line="320" w:lineRule="exact"/>
              <w:jc w:val="both"/>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highlight w:val="none"/>
              </w:rPr>
              <w:t>总得分为以上各项评审因素得分合计</w:t>
            </w:r>
            <w:r>
              <w:rPr>
                <w:rFonts w:hint="eastAsia" w:ascii="宋体" w:hAnsi="宋体" w:eastAsia="宋体" w:cs="宋体"/>
                <w:color w:val="auto"/>
                <w:kern w:val="2"/>
                <w:sz w:val="21"/>
                <w:highlight w:val="none"/>
                <w:lang w:eastAsia="zh-CN"/>
              </w:rPr>
              <w:t>（满分</w:t>
            </w:r>
            <w:r>
              <w:rPr>
                <w:rFonts w:hint="eastAsia" w:ascii="宋体" w:hAnsi="宋体" w:eastAsia="宋体" w:cs="宋体"/>
                <w:color w:val="auto"/>
                <w:kern w:val="2"/>
                <w:sz w:val="21"/>
                <w:highlight w:val="none"/>
                <w:lang w:val="en-US" w:eastAsia="zh-CN"/>
              </w:rPr>
              <w:t>100分</w:t>
            </w:r>
            <w:r>
              <w:rPr>
                <w:rFonts w:hint="eastAsia" w:ascii="宋体" w:hAnsi="宋体" w:eastAsia="宋体" w:cs="宋体"/>
                <w:color w:val="auto"/>
                <w:kern w:val="2"/>
                <w:sz w:val="21"/>
                <w:highlight w:val="none"/>
                <w:lang w:eastAsia="zh-CN"/>
              </w:rPr>
              <w:t>）。</w:t>
            </w:r>
          </w:p>
        </w:tc>
      </w:tr>
    </w:tbl>
    <w:p w14:paraId="7116BF77">
      <w:pPr>
        <w:keepNext w:val="0"/>
        <w:keepLines w:val="0"/>
        <w:pageBreakBefore w:val="0"/>
        <w:widowControl w:val="0"/>
        <w:kinsoku/>
        <w:wordWrap/>
        <w:overflowPunct/>
        <w:topLinePunct w:val="0"/>
        <w:autoSpaceDE/>
        <w:autoSpaceDN/>
        <w:bidi w:val="0"/>
        <w:adjustRightInd/>
        <w:snapToGrid/>
        <w:spacing w:line="420" w:lineRule="exact"/>
        <w:ind w:firstLine="527" w:firstLineChars="25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三、推荐及确定成交候选供应商原则</w:t>
      </w:r>
    </w:p>
    <w:p w14:paraId="10BC32F7">
      <w:pPr>
        <w:keepNext w:val="0"/>
        <w:keepLines w:val="0"/>
        <w:pageBreakBefore w:val="0"/>
        <w:widowControl w:val="0"/>
        <w:tabs>
          <w:tab w:val="left" w:pos="1140"/>
        </w:tabs>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施工组织设计分、履约能力分由高到低顺序排列并推荐成交候选供应商。</w:t>
      </w:r>
    </w:p>
    <w:p w14:paraId="1EFBF597">
      <w:pPr>
        <w:keepNext w:val="0"/>
        <w:keepLines w:val="0"/>
        <w:pageBreakBefore w:val="0"/>
        <w:widowControl w:val="0"/>
        <w:tabs>
          <w:tab w:val="left" w:pos="1140"/>
        </w:tabs>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（2）采购代理机构在评审结束后2个工作日内将评审报告送采购人确认。采购人应当在收到评审报告后5个工作日内，从评审报告提出的成交候选供应商中，按照排序由高到低的原则确定</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。本项目确定一名</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w:t>
      </w:r>
    </w:p>
    <w:p w14:paraId="43095CC0">
      <w:pPr>
        <w:keepNext w:val="0"/>
        <w:keepLines w:val="0"/>
        <w:pageBreakBefore w:val="0"/>
        <w:widowControl w:val="0"/>
        <w:tabs>
          <w:tab w:val="left" w:pos="1140"/>
        </w:tabs>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kern w:val="0"/>
          <w:sz w:val="21"/>
          <w:szCs w:val="21"/>
          <w:highlight w:val="none"/>
        </w:rPr>
        <w:sectPr>
          <w:footerReference r:id="rId19" w:type="first"/>
          <w:footerReference r:id="rId17" w:type="default"/>
          <w:footerReference r:id="rId18" w:type="even"/>
          <w:pgSz w:w="11906" w:h="16838"/>
          <w:pgMar w:top="1440" w:right="1304" w:bottom="1440" w:left="1304" w:header="720" w:footer="720" w:gutter="0"/>
          <w:pgNumType w:fmt="decimal" w:start="1"/>
          <w:cols w:space="720" w:num="1"/>
          <w:titlePg/>
          <w:docGrid w:linePitch="331" w:charSpace="0"/>
        </w:sectPr>
      </w:pPr>
      <w:r>
        <w:rPr>
          <w:rFonts w:hint="eastAsia" w:ascii="宋体" w:hAnsi="宋体" w:eastAsia="宋体" w:cs="宋体"/>
          <w:color w:val="auto"/>
          <w:kern w:val="0"/>
          <w:sz w:val="21"/>
          <w:szCs w:val="21"/>
          <w:highlight w:val="none"/>
        </w:rPr>
        <w:t>（3）排名第一的成交候选供应商放弃成交、拒绝或迟延签订合同、因不可抗力提出不能履行合同，或因失信行为被取消</w:t>
      </w:r>
      <w:r>
        <w:rPr>
          <w:rFonts w:hint="eastAsia" w:ascii="宋体" w:hAnsi="宋体" w:eastAsia="宋体" w:cs="宋体"/>
          <w:color w:val="auto"/>
          <w:kern w:val="0"/>
          <w:sz w:val="21"/>
          <w:szCs w:val="21"/>
          <w:highlight w:val="none"/>
          <w:lang w:eastAsia="zh-CN"/>
        </w:rPr>
        <w:t>成交候选供应商</w:t>
      </w:r>
      <w:r>
        <w:rPr>
          <w:rFonts w:hint="eastAsia" w:ascii="宋体" w:hAnsi="宋体" w:eastAsia="宋体" w:cs="宋体"/>
          <w:color w:val="auto"/>
          <w:kern w:val="0"/>
          <w:sz w:val="21"/>
          <w:szCs w:val="21"/>
          <w:highlight w:val="none"/>
        </w:rPr>
        <w:t>资格的，采购人可以确定排名第二的成交候选供应商为</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。排名第二的成交候选供应商因前述规定的同样原因不能签订合同的，采购人可以确定排名第三的</w:t>
      </w:r>
      <w:r>
        <w:rPr>
          <w:rFonts w:hint="eastAsia" w:ascii="宋体" w:hAnsi="宋体" w:eastAsia="宋体" w:cs="宋体"/>
          <w:color w:val="auto"/>
          <w:kern w:val="0"/>
          <w:sz w:val="21"/>
          <w:szCs w:val="21"/>
          <w:highlight w:val="none"/>
          <w:lang w:eastAsia="zh-CN"/>
        </w:rPr>
        <w:t>成交候选供应商</w:t>
      </w:r>
      <w:r>
        <w:rPr>
          <w:rFonts w:hint="eastAsia" w:ascii="宋体" w:hAnsi="宋体" w:eastAsia="宋体" w:cs="宋体"/>
          <w:color w:val="auto"/>
          <w:kern w:val="0"/>
          <w:sz w:val="21"/>
          <w:szCs w:val="21"/>
          <w:highlight w:val="none"/>
        </w:rPr>
        <w:t>为</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。以此类推。</w:t>
      </w:r>
    </w:p>
    <w:p w14:paraId="54CE40C9">
      <w:pPr>
        <w:pStyle w:val="23"/>
        <w:rPr>
          <w:rFonts w:hint="eastAsia" w:ascii="宋体" w:hAnsi="宋体" w:eastAsia="宋体" w:cs="宋体"/>
          <w:b/>
          <w:color w:val="auto"/>
          <w:sz w:val="32"/>
          <w:szCs w:val="32"/>
          <w:highlight w:val="none"/>
        </w:rPr>
      </w:pPr>
      <w:bookmarkStart w:id="84" w:name="_Toc82016593"/>
    </w:p>
    <w:p w14:paraId="07985257">
      <w:pPr>
        <w:pStyle w:val="23"/>
        <w:rPr>
          <w:rFonts w:hint="eastAsia" w:ascii="宋体" w:hAnsi="宋体" w:eastAsia="宋体" w:cs="宋体"/>
          <w:b/>
          <w:color w:val="auto"/>
          <w:sz w:val="32"/>
          <w:szCs w:val="32"/>
          <w:highlight w:val="none"/>
        </w:rPr>
      </w:pPr>
    </w:p>
    <w:p w14:paraId="799B759F">
      <w:pPr>
        <w:spacing w:line="440" w:lineRule="atLeast"/>
        <w:ind w:firstLine="0" w:firstLineChars="0"/>
        <w:jc w:val="center"/>
        <w:outlineLvl w:val="1"/>
        <w:rPr>
          <w:rFonts w:hint="eastAsia" w:ascii="宋体" w:hAnsi="宋体" w:eastAsia="宋体" w:cs="宋体"/>
          <w:b/>
          <w:color w:val="auto"/>
          <w:kern w:val="0"/>
          <w:sz w:val="32"/>
          <w:szCs w:val="32"/>
          <w:highlight w:val="none"/>
        </w:rPr>
      </w:pPr>
    </w:p>
    <w:p w14:paraId="5BFC406F">
      <w:pPr>
        <w:spacing w:line="440" w:lineRule="atLeast"/>
        <w:ind w:firstLine="0" w:firstLineChars="0"/>
        <w:jc w:val="center"/>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w:t>
      </w:r>
      <w:r>
        <w:rPr>
          <w:rFonts w:ascii="宋体" w:hAnsi="宋体" w:eastAsia="宋体" w:cs="宋体"/>
          <w:b/>
          <w:bCs/>
          <w:spacing w:val="2"/>
          <w:sz w:val="31"/>
          <w:szCs w:val="31"/>
        </w:rPr>
        <w:t>五</w:t>
      </w:r>
      <w:r>
        <w:rPr>
          <w:rFonts w:hint="eastAsia" w:ascii="宋体" w:hAnsi="宋体" w:eastAsia="宋体" w:cs="宋体"/>
          <w:b/>
          <w:color w:val="auto"/>
          <w:kern w:val="0"/>
          <w:sz w:val="32"/>
          <w:szCs w:val="32"/>
          <w:highlight w:val="none"/>
        </w:rPr>
        <w:t>章  响应文件（格式）</w:t>
      </w:r>
      <w:bookmarkEnd w:id="84"/>
    </w:p>
    <w:p w14:paraId="7740BCE9">
      <w:pPr>
        <w:pStyle w:val="23"/>
        <w:rPr>
          <w:rFonts w:hint="eastAsia" w:ascii="宋体" w:hAnsi="宋体" w:eastAsia="宋体" w:cs="宋体"/>
          <w:color w:val="auto"/>
          <w:highlight w:val="none"/>
        </w:rPr>
      </w:pPr>
    </w:p>
    <w:p w14:paraId="099C27A4">
      <w:pPr>
        <w:spacing w:line="240" w:lineRule="auto"/>
        <w:ind w:firstLine="0" w:firstLineChars="0"/>
        <w:rPr>
          <w:rFonts w:hint="eastAsia" w:ascii="宋体" w:hAnsi="宋体" w:eastAsia="宋体" w:cs="宋体"/>
          <w:b/>
          <w:color w:val="auto"/>
          <w:kern w:val="0"/>
          <w:sz w:val="32"/>
          <w:szCs w:val="32"/>
          <w:highlight w:val="none"/>
        </w:rPr>
      </w:pPr>
    </w:p>
    <w:p w14:paraId="46A96EC2">
      <w:pPr>
        <w:spacing w:line="240" w:lineRule="atLeast"/>
        <w:ind w:firstLine="643"/>
        <w:jc w:val="center"/>
        <w:rPr>
          <w:rFonts w:hint="eastAsia" w:ascii="宋体" w:hAnsi="宋体" w:eastAsia="宋体" w:cs="宋体"/>
          <w:b/>
          <w:color w:val="auto"/>
          <w:sz w:val="32"/>
          <w:szCs w:val="32"/>
          <w:highlight w:val="none"/>
        </w:rPr>
      </w:pPr>
    </w:p>
    <w:p w14:paraId="6D0ADA72">
      <w:pPr>
        <w:spacing w:line="240" w:lineRule="atLeast"/>
        <w:ind w:firstLine="643"/>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响 应 文 件 </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封面</w:t>
      </w:r>
      <w:r>
        <w:rPr>
          <w:rFonts w:hint="eastAsia" w:ascii="宋体" w:hAnsi="宋体" w:eastAsia="宋体" w:cs="宋体"/>
          <w:b/>
          <w:color w:val="auto"/>
          <w:sz w:val="32"/>
          <w:szCs w:val="32"/>
          <w:highlight w:val="none"/>
          <w:lang w:eastAsia="zh-CN"/>
        </w:rPr>
        <w:t>）</w:t>
      </w:r>
    </w:p>
    <w:p w14:paraId="546B3CAD">
      <w:pPr>
        <w:ind w:firstLine="480"/>
        <w:jc w:val="center"/>
        <w:rPr>
          <w:rFonts w:hint="eastAsia" w:ascii="宋体" w:hAnsi="宋体" w:eastAsia="宋体" w:cs="宋体"/>
          <w:color w:val="auto"/>
          <w:szCs w:val="21"/>
          <w:highlight w:val="none"/>
        </w:rPr>
      </w:pPr>
    </w:p>
    <w:p w14:paraId="31039D07">
      <w:pPr>
        <w:ind w:firstLine="480"/>
        <w:jc w:val="center"/>
        <w:rPr>
          <w:rFonts w:hint="eastAsia" w:ascii="宋体" w:hAnsi="宋体" w:eastAsia="宋体" w:cs="宋体"/>
          <w:color w:val="auto"/>
          <w:szCs w:val="21"/>
          <w:highlight w:val="none"/>
        </w:rPr>
      </w:pPr>
    </w:p>
    <w:p w14:paraId="72ABE9C2">
      <w:pPr>
        <w:ind w:firstLine="480"/>
        <w:jc w:val="center"/>
        <w:rPr>
          <w:rFonts w:hint="eastAsia" w:ascii="宋体" w:hAnsi="宋体" w:eastAsia="宋体" w:cs="宋体"/>
          <w:color w:val="auto"/>
          <w:szCs w:val="21"/>
          <w:highlight w:val="none"/>
        </w:rPr>
      </w:pPr>
    </w:p>
    <w:p w14:paraId="4833BDF9">
      <w:pPr>
        <w:spacing w:line="560" w:lineRule="exact"/>
        <w:ind w:firstLine="48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采购项目编号：</w:t>
      </w:r>
      <w:r>
        <w:rPr>
          <w:rFonts w:hint="eastAsia" w:ascii="宋体" w:hAnsi="宋体" w:eastAsia="宋体" w:cs="宋体"/>
          <w:color w:val="auto"/>
          <w:szCs w:val="21"/>
          <w:highlight w:val="none"/>
          <w:u w:val="single"/>
        </w:rPr>
        <w:t xml:space="preserve">                       </w:t>
      </w:r>
    </w:p>
    <w:p w14:paraId="040BD519">
      <w:pPr>
        <w:tabs>
          <w:tab w:val="left" w:pos="3240"/>
        </w:tabs>
        <w:spacing w:line="560" w:lineRule="exact"/>
        <w:ind w:firstLine="48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采购项目名称：</w:t>
      </w:r>
      <w:r>
        <w:rPr>
          <w:rFonts w:hint="eastAsia" w:ascii="宋体" w:hAnsi="宋体" w:eastAsia="宋体" w:cs="宋体"/>
          <w:color w:val="auto"/>
          <w:szCs w:val="21"/>
          <w:highlight w:val="none"/>
          <w:u w:val="single"/>
        </w:rPr>
        <w:t xml:space="preserve">                       </w:t>
      </w:r>
    </w:p>
    <w:p w14:paraId="54FAD92D">
      <w:pPr>
        <w:tabs>
          <w:tab w:val="left" w:pos="2625"/>
        </w:tabs>
        <w:ind w:firstLine="480"/>
        <w:jc w:val="center"/>
        <w:rPr>
          <w:rFonts w:hint="eastAsia" w:ascii="宋体" w:hAnsi="宋体" w:eastAsia="宋体" w:cs="宋体"/>
          <w:color w:val="auto"/>
          <w:szCs w:val="21"/>
          <w:highlight w:val="none"/>
        </w:rPr>
      </w:pPr>
    </w:p>
    <w:p w14:paraId="366A7CEC">
      <w:pPr>
        <w:tabs>
          <w:tab w:val="left" w:pos="2625"/>
        </w:tabs>
        <w:ind w:firstLine="480"/>
        <w:jc w:val="center"/>
        <w:rPr>
          <w:rFonts w:hint="eastAsia" w:ascii="宋体" w:hAnsi="宋体" w:eastAsia="宋体" w:cs="宋体"/>
          <w:color w:val="auto"/>
          <w:szCs w:val="21"/>
          <w:highlight w:val="none"/>
        </w:rPr>
      </w:pPr>
    </w:p>
    <w:p w14:paraId="2E4740F4">
      <w:pPr>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（供应商名称）</w:t>
      </w:r>
    </w:p>
    <w:p w14:paraId="7E939499">
      <w:pPr>
        <w:ind w:firstLine="6000" w:firstLineChars="2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7EB8A81D">
      <w:pPr>
        <w:snapToGrid w:val="0"/>
        <w:spacing w:before="120" w:beforeLines="50" w:after="50" w:line="240" w:lineRule="auto"/>
        <w:ind w:firstLine="360" w:firstLineChars="150"/>
        <w:rPr>
          <w:rFonts w:hint="eastAsia" w:ascii="宋体" w:hAnsi="宋体" w:eastAsia="宋体" w:cs="宋体"/>
          <w:bCs/>
          <w:color w:val="auto"/>
          <w:kern w:val="0"/>
          <w:szCs w:val="24"/>
          <w:highlight w:val="none"/>
        </w:rPr>
      </w:pPr>
    </w:p>
    <w:p w14:paraId="0D166E87">
      <w:pPr>
        <w:snapToGrid w:val="0"/>
        <w:spacing w:before="120" w:beforeLines="50" w:after="50" w:line="240" w:lineRule="auto"/>
        <w:ind w:firstLine="360" w:firstLineChars="150"/>
        <w:rPr>
          <w:rFonts w:hint="eastAsia" w:ascii="宋体" w:hAnsi="宋体" w:eastAsia="宋体" w:cs="宋体"/>
          <w:bCs/>
          <w:color w:val="auto"/>
          <w:kern w:val="0"/>
          <w:szCs w:val="24"/>
          <w:highlight w:val="none"/>
        </w:rPr>
      </w:pPr>
    </w:p>
    <w:p w14:paraId="309AEC9D">
      <w:pPr>
        <w:spacing w:line="440" w:lineRule="atLeast"/>
        <w:ind w:firstLine="0" w:firstLineChars="0"/>
        <w:rPr>
          <w:rFonts w:hint="eastAsia" w:ascii="宋体" w:hAnsi="宋体" w:eastAsia="宋体" w:cs="宋体"/>
          <w:b/>
          <w:color w:val="auto"/>
          <w:kern w:val="0"/>
          <w:sz w:val="32"/>
          <w:szCs w:val="32"/>
          <w:highlight w:val="none"/>
        </w:rPr>
      </w:pPr>
    </w:p>
    <w:p w14:paraId="42740605">
      <w:pPr>
        <w:spacing w:line="440" w:lineRule="atLeast"/>
        <w:ind w:firstLine="0" w:firstLineChars="0"/>
        <w:rPr>
          <w:rFonts w:hint="eastAsia" w:ascii="宋体" w:hAnsi="宋体" w:eastAsia="宋体" w:cs="宋体"/>
          <w:b/>
          <w:color w:val="auto"/>
          <w:kern w:val="0"/>
          <w:sz w:val="32"/>
          <w:szCs w:val="32"/>
          <w:highlight w:val="none"/>
        </w:rPr>
      </w:pPr>
    </w:p>
    <w:p w14:paraId="7817D67D">
      <w:pPr>
        <w:spacing w:line="440" w:lineRule="atLeast"/>
        <w:ind w:firstLine="0" w:firstLineChars="0"/>
        <w:rPr>
          <w:rFonts w:hint="eastAsia" w:ascii="宋体" w:hAnsi="宋体" w:eastAsia="宋体" w:cs="宋体"/>
          <w:b/>
          <w:color w:val="auto"/>
          <w:kern w:val="0"/>
          <w:sz w:val="32"/>
          <w:szCs w:val="32"/>
          <w:highlight w:val="none"/>
        </w:rPr>
      </w:pPr>
    </w:p>
    <w:p w14:paraId="458C7019">
      <w:pPr>
        <w:spacing w:line="440" w:lineRule="atLeast"/>
        <w:ind w:firstLine="0" w:firstLineChars="0"/>
        <w:rPr>
          <w:rFonts w:hint="eastAsia" w:ascii="宋体" w:hAnsi="宋体" w:eastAsia="宋体" w:cs="宋体"/>
          <w:b/>
          <w:color w:val="auto"/>
          <w:kern w:val="0"/>
          <w:sz w:val="32"/>
          <w:szCs w:val="32"/>
          <w:highlight w:val="none"/>
        </w:rPr>
      </w:pPr>
    </w:p>
    <w:p w14:paraId="37B53E22">
      <w:pPr>
        <w:pStyle w:val="23"/>
        <w:rPr>
          <w:rFonts w:hint="eastAsia" w:ascii="宋体" w:hAnsi="宋体" w:eastAsia="宋体" w:cs="宋体"/>
          <w:b/>
          <w:color w:val="auto"/>
          <w:sz w:val="32"/>
          <w:szCs w:val="32"/>
          <w:highlight w:val="none"/>
        </w:rPr>
      </w:pPr>
    </w:p>
    <w:p w14:paraId="3F1D6A08">
      <w:pPr>
        <w:pStyle w:val="23"/>
        <w:rPr>
          <w:rFonts w:hint="eastAsia" w:ascii="宋体" w:hAnsi="宋体" w:eastAsia="宋体" w:cs="宋体"/>
          <w:b/>
          <w:color w:val="auto"/>
          <w:sz w:val="32"/>
          <w:szCs w:val="32"/>
          <w:highlight w:val="none"/>
        </w:rPr>
      </w:pPr>
    </w:p>
    <w:p w14:paraId="667979EA">
      <w:pPr>
        <w:pStyle w:val="23"/>
        <w:rPr>
          <w:rFonts w:hint="eastAsia" w:ascii="宋体" w:hAnsi="宋体" w:eastAsia="宋体" w:cs="宋体"/>
          <w:b/>
          <w:color w:val="auto"/>
          <w:sz w:val="32"/>
          <w:szCs w:val="32"/>
          <w:highlight w:val="none"/>
        </w:rPr>
      </w:pPr>
    </w:p>
    <w:p w14:paraId="5D46EB02">
      <w:pPr>
        <w:pStyle w:val="23"/>
        <w:rPr>
          <w:rFonts w:hint="eastAsia" w:ascii="宋体" w:hAnsi="宋体" w:eastAsia="宋体" w:cs="宋体"/>
          <w:b/>
          <w:color w:val="auto"/>
          <w:sz w:val="32"/>
          <w:szCs w:val="32"/>
          <w:highlight w:val="none"/>
        </w:rPr>
      </w:pPr>
    </w:p>
    <w:p w14:paraId="04B2A63D">
      <w:pPr>
        <w:pStyle w:val="23"/>
        <w:rPr>
          <w:rFonts w:hint="eastAsia" w:ascii="宋体" w:hAnsi="宋体" w:eastAsia="宋体" w:cs="宋体"/>
          <w:b/>
          <w:color w:val="auto"/>
          <w:sz w:val="32"/>
          <w:szCs w:val="32"/>
          <w:highlight w:val="none"/>
        </w:rPr>
      </w:pPr>
    </w:p>
    <w:p w14:paraId="54A024F6">
      <w:pPr>
        <w:pStyle w:val="23"/>
        <w:rPr>
          <w:rFonts w:hint="eastAsia" w:ascii="宋体" w:hAnsi="宋体" w:eastAsia="宋体" w:cs="宋体"/>
          <w:b/>
          <w:color w:val="auto"/>
          <w:sz w:val="32"/>
          <w:szCs w:val="32"/>
          <w:highlight w:val="none"/>
        </w:rPr>
      </w:pPr>
    </w:p>
    <w:p w14:paraId="1EB6D10E">
      <w:pPr>
        <w:spacing w:line="440" w:lineRule="atLeast"/>
        <w:ind w:firstLine="0" w:firstLineChars="0"/>
        <w:rPr>
          <w:rFonts w:hint="eastAsia" w:ascii="宋体" w:hAnsi="宋体" w:eastAsia="宋体" w:cs="宋体"/>
          <w:b/>
          <w:color w:val="auto"/>
          <w:kern w:val="0"/>
          <w:sz w:val="32"/>
          <w:szCs w:val="32"/>
          <w:highlight w:val="none"/>
        </w:rPr>
      </w:pPr>
    </w:p>
    <w:p w14:paraId="667EB7D6">
      <w:pPr>
        <w:pStyle w:val="23"/>
        <w:rPr>
          <w:rFonts w:hint="eastAsia" w:ascii="宋体" w:hAnsi="宋体" w:eastAsia="宋体" w:cs="宋体"/>
          <w:color w:val="auto"/>
          <w:highlight w:val="none"/>
        </w:rPr>
      </w:pPr>
    </w:p>
    <w:p w14:paraId="0B16A034">
      <w:pPr>
        <w:spacing w:line="300" w:lineRule="auto"/>
        <w:ind w:firstLine="562"/>
        <w:rPr>
          <w:rFonts w:hint="eastAsia" w:ascii="宋体" w:hAnsi="宋体" w:eastAsia="宋体" w:cs="宋体"/>
          <w:b/>
          <w:color w:val="auto"/>
          <w:sz w:val="28"/>
          <w:szCs w:val="28"/>
          <w:highlight w:val="none"/>
        </w:rPr>
      </w:pPr>
    </w:p>
    <w:p w14:paraId="265F7DF6">
      <w:pPr>
        <w:spacing w:line="300" w:lineRule="auto"/>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1.资格证明文件</w:t>
      </w:r>
    </w:p>
    <w:p w14:paraId="38700B7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（1）供应商的“磋商书”（必须提供）</w:t>
      </w:r>
    </w:p>
    <w:p w14:paraId="3D7426C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（2）供应商的“参加本项目无围标串标行为的承诺函” （必须提供）</w:t>
      </w:r>
    </w:p>
    <w:p w14:paraId="2BFF63C6">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color w:val="auto"/>
          <w:sz w:val="21"/>
          <w:szCs w:val="21"/>
          <w:highlight w:val="none"/>
        </w:rPr>
        <w:t>供应商的法人或者其他组织营业执照等证明文件（必须提供）</w:t>
      </w:r>
    </w:p>
    <w:p w14:paraId="7FA37C77">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供应商2024年度或2025年度的财务状况报告（如供应商为参加本项目当年新成立公司的，可提供公司成立之日后的财务报表）或2026年以来银行出具的资信证明或2026年以来中国人民银行征信中心出具的征信报告（必须提供）</w:t>
      </w:r>
    </w:p>
    <w:p w14:paraId="3DEAE3C2">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（5）供应商202</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 xml:space="preserve">年以来任意1个月依法缴纳社会保障资金的相关材料（供应商无缴费记录或为新成立公司，应提供由供应商所在地社保部门或税务部门出具的《依法缴纳或依法免缴社保费证明》）（必须提供） </w:t>
      </w:r>
    </w:p>
    <w:p w14:paraId="77304D22">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（6）供应商202</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年以来任意1个月依法缴纳税收的相关材料（供应商无纳税记录或为新成立公司，应提供由供应商所在地主管税务部门出具的《依法纳税或依法免税证明》）（必须提供）</w:t>
      </w:r>
    </w:p>
    <w:p w14:paraId="130C126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（7）供应商的直接控股、管理关系信息表</w:t>
      </w:r>
      <w:r>
        <w:rPr>
          <w:rFonts w:hint="eastAsia" w:ascii="宋体" w:hAnsi="宋体" w:eastAsia="宋体" w:cs="宋体"/>
          <w:b/>
          <w:color w:val="auto"/>
          <w:sz w:val="21"/>
          <w:szCs w:val="21"/>
          <w:highlight w:val="none"/>
        </w:rPr>
        <w:t>（必须提供）</w:t>
      </w:r>
    </w:p>
    <w:p w14:paraId="5129E4F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（8）供应商的法定代表人身份证明及法定代表人身份证正反面复印件</w:t>
      </w:r>
      <w:r>
        <w:rPr>
          <w:rFonts w:hint="eastAsia" w:ascii="宋体" w:hAnsi="宋体" w:eastAsia="宋体" w:cs="宋体"/>
          <w:b/>
          <w:color w:val="auto"/>
          <w:sz w:val="21"/>
          <w:szCs w:val="21"/>
          <w:highlight w:val="none"/>
        </w:rPr>
        <w:t>（必须提供）</w:t>
      </w:r>
    </w:p>
    <w:p w14:paraId="4F4277E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（9）供应商的“授权委托书”、委托代理人身份证正反面复印件</w:t>
      </w:r>
      <w:r>
        <w:rPr>
          <w:rFonts w:hint="eastAsia" w:ascii="宋体" w:hAnsi="宋体" w:eastAsia="宋体" w:cs="宋体"/>
          <w:b/>
          <w:color w:val="auto"/>
          <w:sz w:val="21"/>
          <w:szCs w:val="21"/>
          <w:highlight w:val="none"/>
        </w:rPr>
        <w:t>（委托代理时必须提供）</w:t>
      </w:r>
    </w:p>
    <w:p w14:paraId="43FEC96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r>
        <w:rPr>
          <w:rFonts w:hint="eastAsia" w:ascii="宋体" w:hAnsi="宋体" w:eastAsia="宋体" w:cs="宋体"/>
          <w:b/>
          <w:bCs/>
          <w:color w:val="auto"/>
          <w:sz w:val="21"/>
          <w:szCs w:val="21"/>
          <w:highlight w:val="none"/>
          <w:lang w:eastAsia="zh-CN"/>
        </w:rPr>
        <w:t>特定资格要求证明材料</w:t>
      </w:r>
      <w:r>
        <w:rPr>
          <w:rFonts w:hint="eastAsia" w:ascii="宋体" w:hAnsi="宋体" w:eastAsia="宋体" w:cs="宋体"/>
          <w:b/>
          <w:bCs/>
          <w:color w:val="auto"/>
          <w:sz w:val="21"/>
          <w:szCs w:val="21"/>
          <w:highlight w:val="none"/>
        </w:rPr>
        <w:t>（必须提供）</w:t>
      </w:r>
    </w:p>
    <w:p w14:paraId="77BAE69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）供应商为</w:t>
      </w:r>
      <w:r>
        <w:rPr>
          <w:rFonts w:hint="eastAsia" w:ascii="宋体" w:hAnsi="宋体" w:cs="宋体"/>
          <w:b/>
          <w:color w:val="auto"/>
          <w:sz w:val="21"/>
          <w:szCs w:val="21"/>
          <w:highlight w:val="none"/>
          <w:lang w:eastAsia="zh-CN"/>
        </w:rPr>
        <w:t>中小微企业</w:t>
      </w:r>
      <w:r>
        <w:rPr>
          <w:rFonts w:hint="eastAsia" w:ascii="宋体" w:hAnsi="宋体" w:eastAsia="宋体" w:cs="宋体"/>
          <w:b/>
          <w:color w:val="auto"/>
          <w:sz w:val="21"/>
          <w:szCs w:val="21"/>
          <w:highlight w:val="none"/>
        </w:rPr>
        <w:t>的相关有效证明材料（必须提供）</w:t>
      </w:r>
    </w:p>
    <w:p w14:paraId="05ECEF5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）供应商参加政府采购活动前3年内在经营活动中没有重大违法记录及有关信用信息的书面声明或专项信用报告（必须提供）</w:t>
      </w:r>
    </w:p>
    <w:p w14:paraId="6DA74422">
      <w:pPr>
        <w:spacing w:line="24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sz w:val="28"/>
          <w:szCs w:val="28"/>
          <w:highlight w:val="none"/>
        </w:rPr>
        <w:t>（1）供应商的“磋商书”（必须提供）</w:t>
      </w:r>
    </w:p>
    <w:p w14:paraId="44EDB088">
      <w:pPr>
        <w:spacing w:line="30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 </w:t>
      </w:r>
    </w:p>
    <w:p w14:paraId="6D9A25B3">
      <w:pPr>
        <w:spacing w:line="300" w:lineRule="auto"/>
        <w:ind w:firstLine="2891" w:firstLineChars="9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磋  商  书（格式）</w:t>
      </w:r>
    </w:p>
    <w:p w14:paraId="4DA52B21">
      <w:pPr>
        <w:pStyle w:val="26"/>
        <w:spacing w:line="400" w:lineRule="exact"/>
        <w:rPr>
          <w:rFonts w:hint="eastAsia" w:ascii="宋体" w:hAnsi="宋体" w:eastAsia="宋体" w:cs="宋体"/>
          <w:color w:val="auto"/>
          <w:sz w:val="21"/>
          <w:highlight w:val="none"/>
        </w:rPr>
      </w:pPr>
      <w:r>
        <w:rPr>
          <w:rFonts w:hint="eastAsia" w:ascii="宋体" w:hAnsi="宋体" w:cs="宋体"/>
          <w:color w:val="auto"/>
          <w:sz w:val="21"/>
          <w:highlight w:val="none"/>
          <w:u w:val="single"/>
          <w:lang w:eastAsia="zh-CN"/>
        </w:rPr>
        <w:t>广西德元工程项目管理有限责任公司</w:t>
      </w:r>
      <w:r>
        <w:rPr>
          <w:rFonts w:hint="eastAsia" w:ascii="宋体" w:hAnsi="宋体" w:eastAsia="宋体" w:cs="宋体"/>
          <w:color w:val="auto"/>
          <w:sz w:val="21"/>
          <w:highlight w:val="none"/>
        </w:rPr>
        <w:t>：</w:t>
      </w:r>
    </w:p>
    <w:p w14:paraId="5474686E">
      <w:pPr>
        <w:pStyle w:val="26"/>
        <w:spacing w:line="400" w:lineRule="exact"/>
        <w:ind w:firstLine="480"/>
        <w:rPr>
          <w:rFonts w:hint="eastAsia" w:ascii="宋体" w:hAnsi="宋体" w:eastAsia="宋体" w:cs="宋体"/>
          <w:color w:val="auto"/>
          <w:sz w:val="21"/>
          <w:highlight w:val="none"/>
        </w:rPr>
      </w:pPr>
      <w:r>
        <w:rPr>
          <w:rFonts w:hint="eastAsia" w:ascii="宋体" w:hAnsi="宋体" w:eastAsia="宋体" w:cs="宋体"/>
          <w:color w:val="auto"/>
          <w:sz w:val="21"/>
          <w:highlight w:val="none"/>
        </w:rPr>
        <w:t>依据贵方</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项目（采购项目名称及项目编号）采购的磋商邀请，我方</w:t>
      </w:r>
      <w:r>
        <w:rPr>
          <w:rFonts w:hint="eastAsia" w:ascii="宋体" w:hAnsi="宋体" w:eastAsia="宋体" w:cs="宋体"/>
          <w:color w:val="auto"/>
          <w:sz w:val="21"/>
          <w:highlight w:val="none"/>
          <w:u w:val="single"/>
        </w:rPr>
        <w:t>（姓名和职务）</w:t>
      </w:r>
      <w:r>
        <w:rPr>
          <w:rFonts w:hint="eastAsia" w:ascii="宋体" w:hAnsi="宋体" w:eastAsia="宋体" w:cs="宋体"/>
          <w:color w:val="auto"/>
          <w:sz w:val="21"/>
          <w:highlight w:val="none"/>
        </w:rPr>
        <w:t>经正式授权并代表供应商</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供应商名称、地址）提交响应文件。</w:t>
      </w:r>
    </w:p>
    <w:p w14:paraId="10D71CD4">
      <w:pPr>
        <w:pStyle w:val="26"/>
        <w:spacing w:line="4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在此，签字代表宣布同意如下：</w:t>
      </w:r>
    </w:p>
    <w:p w14:paraId="2779B4D4">
      <w:pPr>
        <w:pStyle w:val="26"/>
        <w:spacing w:line="4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1. 将按竞争性磋商文件的约定履行合同责任和义务。</w:t>
      </w:r>
    </w:p>
    <w:p w14:paraId="031AEB42">
      <w:pPr>
        <w:pStyle w:val="26"/>
        <w:spacing w:line="4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2. 已详细审查全部竞争性磋商文件，包括</w:t>
      </w:r>
      <w:r>
        <w:rPr>
          <w:rFonts w:hint="eastAsia" w:ascii="宋体" w:hAnsi="宋体" w:eastAsia="宋体" w:cs="宋体"/>
          <w:color w:val="auto"/>
          <w:sz w:val="21"/>
          <w:highlight w:val="none"/>
          <w:u w:val="single"/>
        </w:rPr>
        <w:t>（补遗文件）（如有）</w:t>
      </w:r>
      <w:r>
        <w:rPr>
          <w:rFonts w:hint="eastAsia" w:ascii="宋体" w:hAnsi="宋体" w:eastAsia="宋体" w:cs="宋体"/>
          <w:color w:val="auto"/>
          <w:sz w:val="21"/>
          <w:highlight w:val="none"/>
        </w:rPr>
        <w:t>；将自行承担因对全部竞争性磋商文件（补遗文件）（如有）理解不正确或误解而产生的相应后果；我们完全理解并同意放弃对这方面有不明及误解的权利。</w:t>
      </w:r>
    </w:p>
    <w:p w14:paraId="3ABFE5F8">
      <w:pPr>
        <w:pStyle w:val="26"/>
        <w:spacing w:line="4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3. 本项目响应文件有效期：</w:t>
      </w:r>
      <w:r>
        <w:rPr>
          <w:rFonts w:hint="eastAsia" w:ascii="宋体" w:hAnsi="宋体" w:eastAsia="宋体" w:cs="宋体"/>
          <w:color w:val="auto"/>
          <w:sz w:val="21"/>
          <w:highlight w:val="none"/>
          <w:lang w:val="en-US"/>
        </w:rPr>
        <w:t>90</w:t>
      </w:r>
      <w:r>
        <w:rPr>
          <w:rFonts w:hint="eastAsia" w:ascii="宋体" w:hAnsi="宋体" w:eastAsia="宋体" w:cs="宋体"/>
          <w:color w:val="auto"/>
          <w:sz w:val="21"/>
          <w:highlight w:val="none"/>
        </w:rPr>
        <w:t>天，有效期不足的响应文件将被拒绝。</w:t>
      </w:r>
    </w:p>
    <w:p w14:paraId="6EE62E44">
      <w:pPr>
        <w:pStyle w:val="26"/>
        <w:spacing w:line="4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4. 同意提供按照贵方可能要求的与其磋商有关的一切数据或资料。</w:t>
      </w:r>
    </w:p>
    <w:p w14:paraId="0F89C903">
      <w:pPr>
        <w:spacing w:line="400" w:lineRule="exact"/>
        <w:ind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5.如我方成交：</w:t>
      </w:r>
    </w:p>
    <w:p w14:paraId="33F1378E">
      <w:pPr>
        <w:spacing w:line="400" w:lineRule="exact"/>
        <w:ind w:firstLine="42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我方承诺，若我方成交，保证在获取成交通知书前按本项目磋商文件的规定及标准向贵单位一次性足额支付代理服务费。代理服务费发票我方选择开具：</w:t>
      </w:r>
      <w:r>
        <w:rPr>
          <w:rFonts w:hint="eastAsia" w:ascii="宋体" w:hAnsi="宋体" w:eastAsia="宋体" w:cs="宋体"/>
          <w:color w:val="auto"/>
          <w:kern w:val="0"/>
          <w:szCs w:val="24"/>
          <w:highlight w:val="none"/>
        </w:rPr>
        <w:t>□</w:t>
      </w:r>
      <w:r>
        <w:rPr>
          <w:rFonts w:hint="eastAsia" w:ascii="宋体" w:hAnsi="宋体" w:eastAsia="宋体" w:cs="宋体"/>
          <w:color w:val="auto"/>
          <w:kern w:val="0"/>
          <w:sz w:val="21"/>
          <w:szCs w:val="20"/>
          <w:highlight w:val="none"/>
          <w:u w:val="single"/>
        </w:rPr>
        <w:t>增值税普通发票</w:t>
      </w:r>
      <w:r>
        <w:rPr>
          <w:rFonts w:hint="eastAsia" w:ascii="宋体" w:hAnsi="宋体" w:eastAsia="宋体" w:cs="宋体"/>
          <w:color w:val="auto"/>
          <w:kern w:val="0"/>
          <w:sz w:val="21"/>
          <w:szCs w:val="20"/>
          <w:highlight w:val="none"/>
        </w:rPr>
        <w:t>、</w:t>
      </w:r>
      <w:r>
        <w:rPr>
          <w:rFonts w:hint="eastAsia" w:ascii="宋体" w:hAnsi="宋体" w:eastAsia="宋体" w:cs="宋体"/>
          <w:color w:val="auto"/>
          <w:kern w:val="0"/>
          <w:szCs w:val="24"/>
          <w:highlight w:val="none"/>
        </w:rPr>
        <w:t>□</w:t>
      </w:r>
      <w:r>
        <w:rPr>
          <w:rFonts w:hint="eastAsia" w:ascii="宋体" w:hAnsi="宋体" w:eastAsia="宋体" w:cs="宋体"/>
          <w:color w:val="auto"/>
          <w:kern w:val="0"/>
          <w:sz w:val="21"/>
          <w:szCs w:val="20"/>
          <w:highlight w:val="none"/>
          <w:u w:val="single"/>
        </w:rPr>
        <w:t>增值税专用发票</w:t>
      </w:r>
      <w:r>
        <w:rPr>
          <w:rFonts w:hint="eastAsia" w:ascii="宋体" w:hAnsi="宋体" w:eastAsia="宋体" w:cs="宋体"/>
          <w:color w:val="auto"/>
          <w:kern w:val="0"/>
          <w:sz w:val="21"/>
          <w:szCs w:val="20"/>
          <w:highlight w:val="none"/>
        </w:rPr>
        <w:t>。</w:t>
      </w:r>
    </w:p>
    <w:p w14:paraId="47ED16A8">
      <w:pPr>
        <w:pStyle w:val="26"/>
        <w:spacing w:line="400" w:lineRule="exact"/>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6. 与本磋商有关的一切正式往来信函请寄：                       </w:t>
      </w:r>
    </w:p>
    <w:p w14:paraId="6D8AFD3A">
      <w:pPr>
        <w:pStyle w:val="26"/>
        <w:spacing w:line="400" w:lineRule="exact"/>
        <w:ind w:left="120" w:leftChars="50" w:firstLine="420" w:firstLineChars="20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地址：</w:t>
      </w:r>
      <w:r>
        <w:rPr>
          <w:rFonts w:hint="eastAsia" w:ascii="宋体" w:hAnsi="宋体" w:eastAsia="宋体" w:cs="宋体"/>
          <w:color w:val="auto"/>
          <w:sz w:val="21"/>
          <w:highlight w:val="none"/>
          <w:u w:val="single"/>
        </w:rPr>
        <w:t xml:space="preserve">                                   </w:t>
      </w:r>
    </w:p>
    <w:p w14:paraId="08217DE1">
      <w:pPr>
        <w:pStyle w:val="26"/>
        <w:spacing w:line="400" w:lineRule="exact"/>
        <w:ind w:left="840" w:hanging="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邮编：</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邮箱：</w:t>
      </w:r>
      <w:r>
        <w:rPr>
          <w:rFonts w:hint="eastAsia" w:ascii="宋体" w:hAnsi="宋体" w:eastAsia="宋体" w:cs="宋体"/>
          <w:color w:val="auto"/>
          <w:sz w:val="21"/>
          <w:highlight w:val="none"/>
          <w:u w:val="single"/>
        </w:rPr>
        <w:t xml:space="preserve">              </w:t>
      </w:r>
    </w:p>
    <w:p w14:paraId="07E6D21F">
      <w:pPr>
        <w:pStyle w:val="26"/>
        <w:spacing w:line="400" w:lineRule="exact"/>
        <w:ind w:firstLine="525" w:firstLineChars="250"/>
        <w:rPr>
          <w:rFonts w:hint="eastAsia" w:ascii="宋体" w:hAnsi="宋体" w:eastAsia="宋体" w:cs="宋体"/>
          <w:color w:val="auto"/>
          <w:sz w:val="21"/>
          <w:highlight w:val="none"/>
        </w:rPr>
      </w:pPr>
      <w:r>
        <w:rPr>
          <w:rFonts w:hint="eastAsia" w:ascii="宋体" w:hAnsi="宋体" w:eastAsia="宋体" w:cs="宋体"/>
          <w:color w:val="auto"/>
          <w:sz w:val="21"/>
          <w:highlight w:val="none"/>
        </w:rPr>
        <w:t>办公电话：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传真：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3D179746">
      <w:pPr>
        <w:pStyle w:val="26"/>
        <w:spacing w:line="400" w:lineRule="exact"/>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委托代理人联系电话：</w:t>
      </w:r>
      <w:r>
        <w:rPr>
          <w:rFonts w:hint="eastAsia" w:ascii="宋体" w:hAnsi="宋体" w:eastAsia="宋体" w:cs="宋体"/>
          <w:color w:val="auto"/>
          <w:sz w:val="21"/>
          <w:highlight w:val="none"/>
          <w:u w:val="single"/>
        </w:rPr>
        <w:t xml:space="preserve">                       </w:t>
      </w:r>
    </w:p>
    <w:p w14:paraId="4D13321E">
      <w:pPr>
        <w:pStyle w:val="26"/>
        <w:spacing w:line="400" w:lineRule="exact"/>
        <w:ind w:firstLine="525" w:firstLineChars="250"/>
        <w:rPr>
          <w:rFonts w:hint="eastAsia" w:ascii="宋体" w:hAnsi="宋体" w:eastAsia="宋体" w:cs="宋体"/>
          <w:color w:val="auto"/>
          <w:sz w:val="21"/>
          <w:highlight w:val="none"/>
        </w:rPr>
      </w:pPr>
      <w:r>
        <w:rPr>
          <w:rFonts w:hint="eastAsia" w:ascii="宋体" w:hAnsi="宋体" w:eastAsia="宋体" w:cs="宋体"/>
          <w:color w:val="auto"/>
          <w:sz w:val="21"/>
          <w:highlight w:val="none"/>
        </w:rPr>
        <w:t>开户名称：</w:t>
      </w:r>
      <w:r>
        <w:rPr>
          <w:rFonts w:hint="eastAsia" w:ascii="宋体" w:hAnsi="宋体" w:eastAsia="宋体" w:cs="宋体"/>
          <w:color w:val="auto"/>
          <w:sz w:val="21"/>
          <w:highlight w:val="none"/>
          <w:u w:val="single"/>
        </w:rPr>
        <w:t xml:space="preserve">                                         </w:t>
      </w:r>
    </w:p>
    <w:p w14:paraId="747692FE">
      <w:pPr>
        <w:pStyle w:val="26"/>
        <w:spacing w:line="400" w:lineRule="exact"/>
        <w:ind w:firstLine="525" w:firstLineChars="250"/>
        <w:rPr>
          <w:rFonts w:hint="eastAsia" w:ascii="宋体" w:hAnsi="宋体" w:eastAsia="宋体" w:cs="宋体"/>
          <w:color w:val="auto"/>
          <w:sz w:val="21"/>
          <w:highlight w:val="none"/>
        </w:rPr>
      </w:pPr>
      <w:r>
        <w:rPr>
          <w:rFonts w:hint="eastAsia" w:ascii="宋体" w:hAnsi="宋体" w:eastAsia="宋体" w:cs="宋体"/>
          <w:color w:val="auto"/>
          <w:sz w:val="21"/>
          <w:highlight w:val="none"/>
        </w:rPr>
        <w:t>开户银行：</w:t>
      </w:r>
      <w:r>
        <w:rPr>
          <w:rFonts w:hint="eastAsia" w:ascii="宋体" w:hAnsi="宋体" w:eastAsia="宋体" w:cs="宋体"/>
          <w:color w:val="auto"/>
          <w:sz w:val="21"/>
          <w:highlight w:val="none"/>
          <w:u w:val="single"/>
        </w:rPr>
        <w:t xml:space="preserve">                                　       </w:t>
      </w:r>
    </w:p>
    <w:p w14:paraId="03F22246">
      <w:pPr>
        <w:pStyle w:val="26"/>
        <w:spacing w:line="400" w:lineRule="exact"/>
        <w:ind w:firstLine="525" w:firstLineChars="25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账号：</w:t>
      </w:r>
      <w:r>
        <w:rPr>
          <w:rFonts w:hint="eastAsia" w:ascii="宋体" w:hAnsi="宋体" w:eastAsia="宋体" w:cs="宋体"/>
          <w:color w:val="auto"/>
          <w:sz w:val="21"/>
          <w:highlight w:val="none"/>
          <w:u w:val="single"/>
        </w:rPr>
        <w:t xml:space="preserve">                               </w:t>
      </w:r>
    </w:p>
    <w:p w14:paraId="7B197E9D">
      <w:pPr>
        <w:pStyle w:val="26"/>
        <w:spacing w:line="400" w:lineRule="exact"/>
        <w:ind w:firstLine="1995" w:firstLineChars="95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法定代表人或委托代理人签字（或电子签名）：</w:t>
      </w:r>
      <w:r>
        <w:rPr>
          <w:rFonts w:hint="eastAsia" w:ascii="宋体" w:hAnsi="宋体" w:eastAsia="宋体" w:cs="宋体"/>
          <w:color w:val="auto"/>
          <w:sz w:val="21"/>
          <w:highlight w:val="none"/>
          <w:u w:val="single"/>
        </w:rPr>
        <w:t xml:space="preserve">                       </w:t>
      </w:r>
    </w:p>
    <w:p w14:paraId="1C1B4D2A">
      <w:pPr>
        <w:pStyle w:val="26"/>
        <w:spacing w:line="400" w:lineRule="exact"/>
        <w:ind w:firstLine="4305" w:firstLineChars="2050"/>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供应商（电子签章）：</w:t>
      </w:r>
    </w:p>
    <w:p w14:paraId="5E6C0F1C">
      <w:pPr>
        <w:pStyle w:val="26"/>
        <w:spacing w:line="440" w:lineRule="exact"/>
        <w:ind w:firstLine="5880" w:firstLineChars="280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日期：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日</w:t>
      </w:r>
    </w:p>
    <w:p w14:paraId="728C909E">
      <w:pPr>
        <w:pStyle w:val="26"/>
        <w:spacing w:line="440" w:lineRule="exact"/>
        <w:ind w:firstLine="84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p>
    <w:p w14:paraId="1594E95F">
      <w:pPr>
        <w:tabs>
          <w:tab w:val="left" w:pos="1305"/>
          <w:tab w:val="left" w:pos="1560"/>
        </w:tabs>
        <w:spacing w:line="360" w:lineRule="exact"/>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注：供应商必须按本磋商书（格式）要求注明清楚联系方式（包括地址、邮编、邮箱、电话等），从而确保成交结果等相关信息能及时通知到位。</w:t>
      </w:r>
    </w:p>
    <w:p w14:paraId="0CC9B19D">
      <w:pPr>
        <w:pStyle w:val="23"/>
        <w:rPr>
          <w:rFonts w:hint="eastAsia" w:ascii="宋体" w:hAnsi="宋体" w:eastAsia="宋体" w:cs="宋体"/>
          <w:b/>
          <w:color w:val="auto"/>
          <w:sz w:val="21"/>
          <w:szCs w:val="21"/>
          <w:highlight w:val="none"/>
        </w:rPr>
      </w:pPr>
    </w:p>
    <w:p w14:paraId="30AF8E2E">
      <w:pPr>
        <w:pStyle w:val="23"/>
        <w:rPr>
          <w:rFonts w:hint="eastAsia" w:ascii="宋体" w:hAnsi="宋体" w:eastAsia="宋体" w:cs="宋体"/>
          <w:b/>
          <w:color w:val="auto"/>
          <w:sz w:val="21"/>
          <w:szCs w:val="21"/>
          <w:highlight w:val="none"/>
        </w:rPr>
      </w:pPr>
    </w:p>
    <w:p w14:paraId="59EE52C0">
      <w:pPr>
        <w:widowControl/>
        <w:spacing w:line="240" w:lineRule="auto"/>
        <w:ind w:firstLine="0" w:firstLineChars="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br w:type="page"/>
      </w:r>
    </w:p>
    <w:p w14:paraId="46F2857D">
      <w:pPr>
        <w:spacing w:line="38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（2）供应商的“参加本项目无围标串标行为的承诺函”（必须提供）</w:t>
      </w:r>
    </w:p>
    <w:p w14:paraId="60F7DFF4">
      <w:pPr>
        <w:spacing w:line="300" w:lineRule="auto"/>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 </w:t>
      </w:r>
    </w:p>
    <w:p w14:paraId="205781CA">
      <w:pPr>
        <w:spacing w:line="380" w:lineRule="exact"/>
        <w:ind w:firstLine="1124" w:firstLineChars="40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供应商参加本项目无围标串标行为的承诺函（格式）</w:t>
      </w:r>
    </w:p>
    <w:p w14:paraId="581AD64F">
      <w:pPr>
        <w:snapToGrid w:val="0"/>
        <w:spacing w:before="50" w:after="120" w:afterLines="50"/>
        <w:ind w:firstLine="562"/>
        <w:jc w:val="center"/>
        <w:rPr>
          <w:rFonts w:hint="eastAsia" w:ascii="宋体" w:hAnsi="宋体" w:eastAsia="宋体" w:cs="宋体"/>
          <w:b/>
          <w:color w:val="auto"/>
          <w:sz w:val="28"/>
          <w:szCs w:val="28"/>
          <w:highlight w:val="none"/>
        </w:rPr>
      </w:pPr>
    </w:p>
    <w:p w14:paraId="189C69D2">
      <w:pPr>
        <w:snapToGrid w:val="0"/>
        <w:spacing w:before="120" w:beforeLines="50" w:after="50" w:line="360" w:lineRule="exact"/>
        <w:ind w:firstLine="42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一、我公司承诺无下列相互串通磋商的情形：</w:t>
      </w:r>
    </w:p>
    <w:p w14:paraId="43945DF4">
      <w:pPr>
        <w:snapToGrid w:val="0"/>
        <w:spacing w:before="120" w:beforeLines="50" w:after="50" w:line="36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1.不同供应商的响应文件由同一单位或者个人编制；或不同供应商报名的IP地址一致；</w:t>
      </w:r>
    </w:p>
    <w:p w14:paraId="2DE52A1D">
      <w:pPr>
        <w:snapToGrid w:val="0"/>
        <w:spacing w:before="120" w:beforeLines="50" w:after="50" w:line="36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4B8D7785">
      <w:pPr>
        <w:snapToGrid w:val="0"/>
        <w:spacing w:before="120" w:beforeLines="50" w:after="50" w:line="36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3.不同的供应商的响应文件载明的项目管理员为同一个人；</w:t>
      </w:r>
    </w:p>
    <w:p w14:paraId="0D2F131E">
      <w:pPr>
        <w:snapToGrid w:val="0"/>
        <w:spacing w:before="120" w:beforeLines="50" w:after="50" w:line="36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4.不同供应商的响应文件异常一致或报价呈规律性差异；</w:t>
      </w:r>
    </w:p>
    <w:p w14:paraId="61FD2BA8">
      <w:pPr>
        <w:snapToGrid w:val="0"/>
        <w:spacing w:before="120" w:beforeLines="50" w:after="50" w:line="36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4880A9FE">
      <w:pPr>
        <w:snapToGrid w:val="0"/>
        <w:spacing w:before="120" w:beforeLines="50" w:after="50" w:line="36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6.不同供应商的磋商保证金从同一单位或者个人账户转出。</w:t>
      </w:r>
    </w:p>
    <w:p w14:paraId="0B064693">
      <w:pPr>
        <w:snapToGrid w:val="0"/>
        <w:spacing w:before="120" w:beforeLines="50" w:after="50" w:line="360" w:lineRule="exact"/>
        <w:ind w:firstLine="422"/>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二、我公司承诺无下列恶意串通的情形：</w:t>
      </w:r>
    </w:p>
    <w:p w14:paraId="0ACE2BF4">
      <w:pPr>
        <w:snapToGrid w:val="0"/>
        <w:spacing w:before="120" w:beforeLines="50" w:after="50" w:line="36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2278EC1C">
      <w:pPr>
        <w:snapToGrid w:val="0"/>
        <w:spacing w:before="120" w:beforeLines="50" w:after="50" w:line="36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1406B80E">
      <w:pPr>
        <w:snapToGrid w:val="0"/>
        <w:spacing w:before="120" w:beforeLines="50" w:after="50" w:line="36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3.供应商之间协商报价、技术方案等响应文件的实质性内容；</w:t>
      </w:r>
    </w:p>
    <w:p w14:paraId="60CFA84E">
      <w:pPr>
        <w:snapToGrid w:val="0"/>
        <w:spacing w:before="120" w:beforeLines="50" w:after="50" w:line="36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4.属于同一集团、协会、商会等组织成员的供应商按照该组织要求协同参加采购活动；</w:t>
      </w:r>
    </w:p>
    <w:p w14:paraId="1978B385">
      <w:pPr>
        <w:snapToGrid w:val="0"/>
        <w:spacing w:before="120" w:beforeLines="50" w:after="50" w:line="36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或者在采购项目中事先约定轮流以高价位或者低价位成交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或者事先约定由某一特定供应商成交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然后再参加磋商；</w:t>
      </w:r>
    </w:p>
    <w:p w14:paraId="468BC078">
      <w:pPr>
        <w:snapToGrid w:val="0"/>
        <w:spacing w:before="120" w:beforeLines="50" w:after="50" w:line="36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6.供应商之间商定部分供应商放弃参加采购活动或者放弃成交；</w:t>
      </w:r>
    </w:p>
    <w:p w14:paraId="7A639C8C">
      <w:pPr>
        <w:snapToGrid w:val="0"/>
        <w:spacing w:before="120" w:beforeLines="50" w:after="50" w:line="36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7.供应商与采购人或者采购代理机构之间、供应商相互之间，为谋求特定供应商成交或者排斥其他供应商的其他串通行为。</w:t>
      </w:r>
    </w:p>
    <w:p w14:paraId="5A79A8B5">
      <w:pPr>
        <w:snapToGrid w:val="0"/>
        <w:spacing w:before="120" w:beforeLines="50" w:after="50"/>
        <w:ind w:firstLine="413" w:firstLineChars="196"/>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以上情形一经核查属实，我方愿意承担一切后果，并不再寻求任何旨在减轻或免除法律责任的辩解。</w:t>
      </w:r>
    </w:p>
    <w:p w14:paraId="084A1FB8">
      <w:pPr>
        <w:snapToGrid w:val="0"/>
        <w:spacing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w:t>
      </w:r>
      <w:r>
        <w:rPr>
          <w:rFonts w:hint="eastAsia" w:ascii="宋体" w:hAnsi="宋体" w:eastAsia="宋体" w:cs="宋体"/>
          <w:b/>
          <w:color w:val="auto"/>
          <w:sz w:val="21"/>
          <w:szCs w:val="21"/>
          <w:highlight w:val="none"/>
        </w:rPr>
        <w:t>（电子签章）</w:t>
      </w:r>
      <w:r>
        <w:rPr>
          <w:rFonts w:hint="eastAsia" w:ascii="宋体" w:hAnsi="宋体" w:eastAsia="宋体" w:cs="宋体"/>
          <w:color w:val="auto"/>
          <w:sz w:val="21"/>
          <w:szCs w:val="21"/>
          <w:highlight w:val="none"/>
        </w:rPr>
        <w:t>：</w:t>
      </w:r>
    </w:p>
    <w:p w14:paraId="1EAF81E7">
      <w:pPr>
        <w:spacing w:line="340" w:lineRule="exact"/>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法定代表人或委托代理人签字</w:t>
      </w:r>
      <w:r>
        <w:rPr>
          <w:rFonts w:hint="eastAsia" w:ascii="宋体" w:hAnsi="宋体" w:eastAsia="宋体" w:cs="宋体"/>
          <w:b/>
          <w:color w:val="auto"/>
          <w:sz w:val="21"/>
          <w:szCs w:val="21"/>
          <w:highlight w:val="none"/>
        </w:rPr>
        <w:t>（或电子签名）</w:t>
      </w:r>
      <w:r>
        <w:rPr>
          <w:rFonts w:hint="eastAsia" w:ascii="宋体" w:hAnsi="宋体" w:eastAsia="宋体" w:cs="宋体"/>
          <w:color w:val="auto"/>
          <w:sz w:val="21"/>
          <w:szCs w:val="24"/>
          <w:highlight w:val="none"/>
        </w:rPr>
        <w:t>：</w:t>
      </w:r>
    </w:p>
    <w:p w14:paraId="4E174D43">
      <w:pPr>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0"/>
          <w:highlight w:val="none"/>
        </w:rPr>
        <w:t>日          期：</w:t>
      </w:r>
    </w:p>
    <w:p w14:paraId="6EFBF514">
      <w:pPr>
        <w:spacing w:line="380" w:lineRule="exact"/>
        <w:ind w:firstLine="0" w:firstLineChars="0"/>
        <w:rPr>
          <w:rFonts w:hint="eastAsia" w:ascii="宋体" w:hAnsi="宋体" w:eastAsia="宋体" w:cs="宋体"/>
          <w:b/>
          <w:color w:val="auto"/>
          <w:sz w:val="28"/>
          <w:szCs w:val="28"/>
          <w:highlight w:val="none"/>
        </w:rPr>
      </w:pPr>
    </w:p>
    <w:p w14:paraId="52F5F621">
      <w:pPr>
        <w:widowControl/>
        <w:spacing w:line="240" w:lineRule="auto"/>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0F01F30">
      <w:pPr>
        <w:spacing w:line="380" w:lineRule="exact"/>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（3）供应商的法人或者其他组织营业执照等证明文件（必须提供）</w:t>
      </w:r>
    </w:p>
    <w:p w14:paraId="56E94E0D">
      <w:pPr>
        <w:tabs>
          <w:tab w:val="left" w:pos="1305"/>
        </w:tabs>
        <w:spacing w:line="38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如供应商为企业法人的分支机构的，除应提供营业执照外，还应提供其所属的总公司授权其参加政府采购活动的授权文件或授权其独立开展经营业务活动的证明材料。</w:t>
      </w:r>
    </w:p>
    <w:p w14:paraId="4F642BDA">
      <w:pPr>
        <w:spacing w:line="240" w:lineRule="auto"/>
        <w:ind w:firstLine="0" w:firstLineChars="0"/>
        <w:jc w:val="center"/>
        <w:rPr>
          <w:rFonts w:hint="eastAsia" w:ascii="宋体" w:hAnsi="宋体" w:eastAsia="宋体" w:cs="宋体"/>
          <w:b/>
          <w:color w:val="auto"/>
          <w:sz w:val="28"/>
          <w:szCs w:val="28"/>
          <w:highlight w:val="none"/>
        </w:rPr>
      </w:pPr>
    </w:p>
    <w:p w14:paraId="50F32FF2">
      <w:pPr>
        <w:spacing w:line="240" w:lineRule="auto"/>
        <w:ind w:firstLine="0" w:firstLine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总公司法人授权书（分公司参与磋商时必须提供）</w:t>
      </w:r>
    </w:p>
    <w:p w14:paraId="1C834A62">
      <w:pPr>
        <w:spacing w:line="240" w:lineRule="auto"/>
        <w:ind w:firstLine="803" w:firstLineChars="250"/>
        <w:jc w:val="center"/>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授权书（格式）</w:t>
      </w:r>
    </w:p>
    <w:p w14:paraId="73C9418E">
      <w:pPr>
        <w:spacing w:line="400" w:lineRule="exact"/>
        <w:ind w:firstLine="0" w:firstLineChars="0"/>
        <w:rPr>
          <w:rFonts w:hint="eastAsia" w:ascii="宋体" w:hAnsi="宋体" w:eastAsia="宋体" w:cs="宋体"/>
          <w:b/>
          <w:color w:val="auto"/>
          <w:sz w:val="32"/>
          <w:szCs w:val="32"/>
          <w:highlight w:val="none"/>
        </w:rPr>
      </w:pPr>
    </w:p>
    <w:p w14:paraId="0AE4C805">
      <w:pPr>
        <w:spacing w:line="400" w:lineRule="exact"/>
        <w:ind w:firstLine="0" w:firstLineChars="0"/>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1"/>
          <w:highlight w:val="none"/>
        </w:rPr>
        <w:t>致：</w:t>
      </w:r>
      <w:r>
        <w:rPr>
          <w:rFonts w:hint="eastAsia" w:ascii="宋体" w:hAnsi="宋体" w:cs="宋体"/>
          <w:color w:val="auto"/>
          <w:sz w:val="21"/>
          <w:szCs w:val="24"/>
          <w:highlight w:val="none"/>
          <w:u w:val="single"/>
          <w:lang w:eastAsia="zh-CN"/>
        </w:rPr>
        <w:t>广西德元工程项目管理有限责任公司</w:t>
      </w:r>
    </w:p>
    <w:p w14:paraId="05DA1CCB">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我公司授权</w:t>
      </w:r>
      <w:r>
        <w:rPr>
          <w:rFonts w:hint="eastAsia" w:ascii="宋体" w:hAnsi="宋体" w:eastAsia="宋体" w:cs="宋体"/>
          <w:color w:val="auto"/>
          <w:sz w:val="21"/>
          <w:szCs w:val="21"/>
          <w:highlight w:val="none"/>
          <w:u w:val="single"/>
        </w:rPr>
        <w:t xml:space="preserve">    （供应商名称，即分公司名称）    </w:t>
      </w:r>
      <w:r>
        <w:rPr>
          <w:rFonts w:hint="eastAsia" w:ascii="宋体" w:hAnsi="宋体" w:eastAsia="宋体" w:cs="宋体"/>
          <w:color w:val="auto"/>
          <w:sz w:val="21"/>
          <w:szCs w:val="21"/>
          <w:highlight w:val="none"/>
        </w:rPr>
        <w:t>参加</w:t>
      </w:r>
      <w:r>
        <w:rPr>
          <w:rFonts w:hint="eastAsia" w:ascii="宋体" w:hAnsi="宋体" w:eastAsia="宋体" w:cs="宋体"/>
          <w:color w:val="auto"/>
          <w:sz w:val="21"/>
          <w:szCs w:val="21"/>
          <w:highlight w:val="none"/>
          <w:u w:val="single"/>
        </w:rPr>
        <w:t xml:space="preserve">       项目名称（项目编号：     ）</w:t>
      </w:r>
      <w:r>
        <w:rPr>
          <w:rFonts w:hint="eastAsia" w:ascii="宋体" w:hAnsi="宋体" w:eastAsia="宋体" w:cs="宋体"/>
          <w:color w:val="auto"/>
          <w:sz w:val="21"/>
          <w:szCs w:val="21"/>
          <w:highlight w:val="none"/>
        </w:rPr>
        <w:t>的磋商活动，其权限如下</w:t>
      </w:r>
      <w:r>
        <w:rPr>
          <w:rFonts w:hint="eastAsia" w:ascii="宋体" w:hAnsi="宋体" w:eastAsia="宋体" w:cs="宋体"/>
          <w:color w:val="auto"/>
          <w:sz w:val="21"/>
          <w:szCs w:val="21"/>
          <w:highlight w:val="none"/>
          <w:lang w:eastAsia="zh-CN"/>
        </w:rPr>
        <w:t>：</w:t>
      </w:r>
    </w:p>
    <w:p w14:paraId="1B8F5B5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一、提交保证金，接收退回的保证金（如有）。</w:t>
      </w:r>
    </w:p>
    <w:p w14:paraId="65AF9F92">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二、提交响应文件（含补充、修改文件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，或者撤回已提交的响应文件（含补充、修改文件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，或者接收退回的响应文件。</w:t>
      </w:r>
    </w:p>
    <w:p w14:paraId="1D89A01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三、依法参加磋商等活动，答复磋商小组提出的澄清等。</w:t>
      </w:r>
    </w:p>
    <w:p w14:paraId="43D0974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四、提出事先由委托人确认的异议、投诉，并接收异议、投诉答复。</w:t>
      </w:r>
    </w:p>
    <w:p w14:paraId="34498791">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五、接收采购人或采购代理机构发出的有关本项目相关的公告、文书等。</w:t>
      </w:r>
    </w:p>
    <w:p w14:paraId="03E2A5A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、交纳代理服务费，办理成交手续，参加采购合同磋商和签约。</w:t>
      </w:r>
    </w:p>
    <w:p w14:paraId="28FA120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、进行合同履约、参加验收、提供服务等。</w:t>
      </w:r>
    </w:p>
    <w:p w14:paraId="1C922A8D">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被授权单位无转委托权。</w:t>
      </w:r>
    </w:p>
    <w:p w14:paraId="2E7729CE">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本授权书自签发之日起生效，有效期180天。如被授权方成交，则本授权书的有效期自签发之日起生效至项目合同履行完毕结束。</w:t>
      </w:r>
      <w:r>
        <w:rPr>
          <w:rFonts w:hint="eastAsia" w:ascii="宋体" w:hAnsi="宋体" w:eastAsia="宋体" w:cs="宋体"/>
          <w:color w:val="auto"/>
          <w:sz w:val="21"/>
          <w:szCs w:val="20"/>
          <w:highlight w:val="none"/>
        </w:rPr>
        <w:t>项目执行过程中所发生的一切后果，由我公司承担相应的法律责任。</w:t>
      </w:r>
    </w:p>
    <w:p w14:paraId="2C8BA1B9">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特此授权。</w:t>
      </w:r>
    </w:p>
    <w:p w14:paraId="03C8008A">
      <w:pPr>
        <w:spacing w:line="400" w:lineRule="exact"/>
        <w:ind w:firstLine="420"/>
        <w:rPr>
          <w:rFonts w:hint="eastAsia" w:ascii="宋体" w:hAnsi="宋体" w:eastAsia="宋体" w:cs="宋体"/>
          <w:color w:val="auto"/>
          <w:sz w:val="21"/>
          <w:szCs w:val="20"/>
          <w:highlight w:val="none"/>
        </w:rPr>
      </w:pPr>
    </w:p>
    <w:p w14:paraId="2AC968CE">
      <w:pPr>
        <w:widowControl/>
        <w:snapToGrid w:val="0"/>
        <w:spacing w:line="360" w:lineRule="exact"/>
        <w:ind w:firstLine="3780" w:firstLineChars="1800"/>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1"/>
          <w:szCs w:val="20"/>
          <w:highlight w:val="none"/>
        </w:rPr>
        <w:t>授权人</w:t>
      </w:r>
      <w:r>
        <w:rPr>
          <w:rFonts w:hint="eastAsia" w:ascii="宋体" w:hAnsi="宋体" w:eastAsia="宋体" w:cs="宋体"/>
          <w:color w:val="auto"/>
          <w:kern w:val="0"/>
          <w:sz w:val="20"/>
          <w:highlight w:val="none"/>
        </w:rPr>
        <w:t>（公章）：</w:t>
      </w:r>
      <w:r>
        <w:rPr>
          <w:rFonts w:hint="eastAsia" w:ascii="宋体" w:hAnsi="宋体" w:eastAsia="宋体" w:cs="宋体"/>
          <w:color w:val="auto"/>
          <w:kern w:val="0"/>
          <w:sz w:val="20"/>
          <w:szCs w:val="20"/>
          <w:highlight w:val="none"/>
        </w:rPr>
        <w:t>____________</w:t>
      </w:r>
    </w:p>
    <w:p w14:paraId="0BC662EF">
      <w:pPr>
        <w:widowControl/>
        <w:snapToGrid w:val="0"/>
        <w:spacing w:line="360" w:lineRule="exact"/>
        <w:ind w:firstLine="420" w:firstLineChars="0"/>
        <w:textAlignment w:val="baseline"/>
        <w:rPr>
          <w:rFonts w:hint="eastAsia" w:ascii="宋体" w:hAnsi="宋体" w:eastAsia="宋体" w:cs="宋体"/>
          <w:color w:val="auto"/>
          <w:kern w:val="0"/>
          <w:sz w:val="20"/>
          <w:szCs w:val="20"/>
          <w:highlight w:val="none"/>
        </w:rPr>
      </w:pPr>
    </w:p>
    <w:p w14:paraId="54CE11DC">
      <w:pPr>
        <w:widowControl/>
        <w:snapToGrid w:val="0"/>
        <w:spacing w:line="360" w:lineRule="exact"/>
        <w:ind w:firstLine="420" w:firstLineChars="0"/>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日期：______年____月____日</w:t>
      </w:r>
    </w:p>
    <w:p w14:paraId="0090171E">
      <w:pPr>
        <w:pStyle w:val="23"/>
        <w:rPr>
          <w:rFonts w:hint="eastAsia" w:ascii="宋体" w:hAnsi="宋体" w:eastAsia="宋体" w:cs="宋体"/>
          <w:color w:val="auto"/>
          <w:highlight w:val="none"/>
        </w:rPr>
      </w:pPr>
    </w:p>
    <w:p w14:paraId="32D3867B">
      <w:pPr>
        <w:pStyle w:val="23"/>
        <w:rPr>
          <w:rFonts w:hint="eastAsia" w:ascii="宋体" w:hAnsi="宋体" w:eastAsia="宋体" w:cs="宋体"/>
          <w:color w:val="auto"/>
          <w:highlight w:val="none"/>
        </w:rPr>
      </w:pPr>
    </w:p>
    <w:p w14:paraId="77DAF971">
      <w:pPr>
        <w:pStyle w:val="23"/>
        <w:rPr>
          <w:rFonts w:hint="eastAsia" w:ascii="宋体" w:hAnsi="宋体" w:eastAsia="宋体" w:cs="宋体"/>
          <w:color w:val="auto"/>
          <w:highlight w:val="none"/>
        </w:rPr>
      </w:pPr>
    </w:p>
    <w:p w14:paraId="26A06AD0">
      <w:pPr>
        <w:pStyle w:val="23"/>
        <w:rPr>
          <w:rFonts w:hint="eastAsia" w:ascii="宋体" w:hAnsi="宋体" w:eastAsia="宋体" w:cs="宋体"/>
          <w:color w:val="auto"/>
          <w:highlight w:val="none"/>
        </w:rPr>
      </w:pPr>
    </w:p>
    <w:p w14:paraId="77EB89EC">
      <w:pPr>
        <w:pStyle w:val="23"/>
        <w:rPr>
          <w:rFonts w:hint="eastAsia" w:ascii="宋体" w:hAnsi="宋体" w:eastAsia="宋体" w:cs="宋体"/>
          <w:color w:val="auto"/>
          <w:highlight w:val="none"/>
        </w:rPr>
      </w:pPr>
    </w:p>
    <w:p w14:paraId="1BE07D05">
      <w:pPr>
        <w:pStyle w:val="23"/>
        <w:rPr>
          <w:rFonts w:hint="eastAsia" w:ascii="宋体" w:hAnsi="宋体" w:eastAsia="宋体" w:cs="宋体"/>
          <w:color w:val="auto"/>
          <w:highlight w:val="none"/>
        </w:rPr>
      </w:pPr>
    </w:p>
    <w:p w14:paraId="2586482A">
      <w:pPr>
        <w:pStyle w:val="23"/>
        <w:rPr>
          <w:rFonts w:hint="eastAsia" w:ascii="宋体" w:hAnsi="宋体" w:eastAsia="宋体" w:cs="宋体"/>
          <w:color w:val="auto"/>
          <w:highlight w:val="none"/>
        </w:rPr>
      </w:pPr>
    </w:p>
    <w:p w14:paraId="732E6814">
      <w:pPr>
        <w:spacing w:line="380" w:lineRule="exact"/>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4）供应商2024年度或2025年度的财务状况报告（如供应商为参加本项目当年新成立公司的，可提供公司成立之日后的财务报表）或2026年以来银行出具的资信证明或2026年以来中国人民银行征信中心出具的征信报告（必须提供）</w:t>
      </w:r>
    </w:p>
    <w:p w14:paraId="565BC226">
      <w:pPr>
        <w:spacing w:line="380" w:lineRule="exact"/>
        <w:ind w:firstLine="0" w:firstLineChars="0"/>
        <w:rPr>
          <w:rFonts w:hint="eastAsia" w:ascii="宋体" w:hAnsi="宋体" w:eastAsia="宋体" w:cs="宋体"/>
          <w:b/>
          <w:color w:val="auto"/>
          <w:sz w:val="28"/>
          <w:szCs w:val="28"/>
          <w:highlight w:val="none"/>
        </w:rPr>
      </w:pPr>
    </w:p>
    <w:p w14:paraId="19340173">
      <w:pPr>
        <w:pStyle w:val="23"/>
        <w:rPr>
          <w:rFonts w:hint="eastAsia" w:ascii="宋体" w:hAnsi="宋体" w:eastAsia="宋体" w:cs="宋体"/>
          <w:color w:val="auto"/>
          <w:highlight w:val="none"/>
        </w:rPr>
      </w:pPr>
    </w:p>
    <w:p w14:paraId="7B2863DA">
      <w:pPr>
        <w:pStyle w:val="23"/>
        <w:rPr>
          <w:rFonts w:hint="eastAsia" w:ascii="宋体" w:hAnsi="宋体" w:eastAsia="宋体" w:cs="宋体"/>
          <w:color w:val="auto"/>
          <w:highlight w:val="none"/>
        </w:rPr>
      </w:pPr>
    </w:p>
    <w:p w14:paraId="578BA28C">
      <w:pPr>
        <w:spacing w:line="380" w:lineRule="exact"/>
        <w:ind w:firstLine="0" w:firstLineChars="0"/>
        <w:rPr>
          <w:rFonts w:hint="eastAsia" w:ascii="宋体" w:hAnsi="宋体" w:eastAsia="宋体" w:cs="宋体"/>
          <w:b/>
          <w:color w:val="auto"/>
          <w:sz w:val="28"/>
          <w:szCs w:val="28"/>
          <w:highlight w:val="none"/>
        </w:rPr>
      </w:pPr>
    </w:p>
    <w:p w14:paraId="22E7B48B">
      <w:pPr>
        <w:spacing w:line="380" w:lineRule="exact"/>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（5）供应商202</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年以来任意1个月依法缴纳社会保障资金的相关材料（供应商无缴费记录或为新成立公司，应提供由供应商所在地社保部门或税务部门出具的《依法缴纳或依法免缴社保费证明》）（必须提供）</w:t>
      </w:r>
    </w:p>
    <w:p w14:paraId="2E06109D">
      <w:pPr>
        <w:spacing w:line="380" w:lineRule="exact"/>
        <w:ind w:firstLine="0" w:firstLineChars="0"/>
        <w:rPr>
          <w:rFonts w:hint="eastAsia" w:ascii="宋体" w:hAnsi="宋体" w:eastAsia="宋体" w:cs="宋体"/>
          <w:b/>
          <w:color w:val="auto"/>
          <w:sz w:val="28"/>
          <w:szCs w:val="28"/>
          <w:highlight w:val="none"/>
        </w:rPr>
      </w:pPr>
    </w:p>
    <w:p w14:paraId="39B821E4">
      <w:pPr>
        <w:spacing w:line="380" w:lineRule="exact"/>
        <w:ind w:firstLine="0" w:firstLineChars="0"/>
        <w:rPr>
          <w:rFonts w:hint="eastAsia" w:ascii="宋体" w:hAnsi="宋体" w:eastAsia="宋体" w:cs="宋体"/>
          <w:b/>
          <w:color w:val="auto"/>
          <w:sz w:val="28"/>
          <w:szCs w:val="28"/>
          <w:highlight w:val="none"/>
        </w:rPr>
      </w:pPr>
    </w:p>
    <w:p w14:paraId="67F8ECE9">
      <w:pPr>
        <w:pStyle w:val="23"/>
        <w:rPr>
          <w:rFonts w:hint="eastAsia" w:ascii="宋体" w:hAnsi="宋体" w:eastAsia="宋体" w:cs="宋体"/>
          <w:color w:val="auto"/>
          <w:highlight w:val="none"/>
        </w:rPr>
      </w:pPr>
    </w:p>
    <w:p w14:paraId="53A5929E">
      <w:pPr>
        <w:pStyle w:val="23"/>
        <w:rPr>
          <w:rFonts w:hint="eastAsia" w:ascii="宋体" w:hAnsi="宋体" w:eastAsia="宋体" w:cs="宋体"/>
          <w:color w:val="auto"/>
          <w:highlight w:val="none"/>
        </w:rPr>
      </w:pPr>
    </w:p>
    <w:p w14:paraId="11F6876D">
      <w:pPr>
        <w:spacing w:line="380" w:lineRule="exact"/>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（6）供应商202</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年以来任意1个月依法缴纳税收的相关材料（供应商无纳税记录或为新成立公司，应提供由供应商所在地主管税务部门出具的《依法纳税或依法免税证明》）（必须提供）</w:t>
      </w:r>
    </w:p>
    <w:p w14:paraId="39B613C6">
      <w:pPr>
        <w:spacing w:line="380" w:lineRule="exact"/>
        <w:ind w:firstLine="0" w:firstLineChars="0"/>
        <w:rPr>
          <w:rFonts w:hint="eastAsia" w:ascii="宋体" w:hAnsi="宋体" w:eastAsia="宋体" w:cs="宋体"/>
          <w:b/>
          <w:color w:val="auto"/>
          <w:sz w:val="28"/>
          <w:szCs w:val="28"/>
          <w:highlight w:val="none"/>
        </w:rPr>
      </w:pPr>
    </w:p>
    <w:p w14:paraId="19216F18">
      <w:pPr>
        <w:widowControl/>
        <w:spacing w:line="240" w:lineRule="auto"/>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2AFAF3B">
      <w:pPr>
        <w:spacing w:line="380" w:lineRule="exact"/>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（7）供应商的直接控股、管理关系信息表（必须提供）</w:t>
      </w:r>
    </w:p>
    <w:p w14:paraId="18E2372A">
      <w:pPr>
        <w:spacing w:line="320" w:lineRule="exact"/>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 </w:t>
      </w:r>
    </w:p>
    <w:p w14:paraId="396AF9BC">
      <w:pPr>
        <w:spacing w:line="300" w:lineRule="exact"/>
        <w:ind w:firstLine="562"/>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供应商直接控股、管理关系信息表（格式）</w:t>
      </w:r>
    </w:p>
    <w:p w14:paraId="57FB72F8">
      <w:pPr>
        <w:spacing w:line="300" w:lineRule="exact"/>
        <w:ind w:firstLine="562"/>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供应商直接控股股东信息表</w:t>
      </w:r>
    </w:p>
    <w:tbl>
      <w:tblPr>
        <w:tblStyle w:val="48"/>
        <w:tblW w:w="9617" w:type="dxa"/>
        <w:tblInd w:w="0" w:type="dxa"/>
        <w:shd w:val="clear" w:color="auto" w:fill="FBFBFB"/>
        <w:tblLayout w:type="fixed"/>
        <w:tblCellMar>
          <w:top w:w="0" w:type="dxa"/>
          <w:left w:w="0" w:type="dxa"/>
          <w:bottom w:w="0" w:type="dxa"/>
          <w:right w:w="0" w:type="dxa"/>
        </w:tblCellMar>
      </w:tblPr>
      <w:tblGrid>
        <w:gridCol w:w="839"/>
        <w:gridCol w:w="2303"/>
        <w:gridCol w:w="1257"/>
        <w:gridCol w:w="3780"/>
        <w:gridCol w:w="1438"/>
      </w:tblGrid>
      <w:tr w14:paraId="0CC7ADD5">
        <w:tblPrEx>
          <w:shd w:val="clear" w:color="auto" w:fill="FBFBFB"/>
          <w:tblCellMar>
            <w:top w:w="0" w:type="dxa"/>
            <w:left w:w="0" w:type="dxa"/>
            <w:bottom w:w="0" w:type="dxa"/>
            <w:right w:w="0" w:type="dxa"/>
          </w:tblCellMar>
        </w:tblPrEx>
        <w:trPr>
          <w:trHeight w:val="564" w:hRule="atLeast"/>
          <w:tblHeader/>
        </w:trPr>
        <w:tc>
          <w:tcPr>
            <w:tcW w:w="8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4766D7B">
            <w:pPr>
              <w:widowControl/>
              <w:spacing w:line="340" w:lineRule="exact"/>
              <w:ind w:firstLine="0" w:firstLineChars="0"/>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序号</w:t>
            </w:r>
          </w:p>
        </w:tc>
        <w:tc>
          <w:tcPr>
            <w:tcW w:w="2303"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E52FC46">
            <w:pPr>
              <w:widowControl/>
              <w:spacing w:line="340" w:lineRule="exact"/>
              <w:ind w:firstLine="0" w:firstLineChars="0"/>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直接控股股东名称</w:t>
            </w:r>
          </w:p>
        </w:tc>
        <w:tc>
          <w:tcPr>
            <w:tcW w:w="1257"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0A4D52F">
            <w:pPr>
              <w:widowControl/>
              <w:spacing w:line="340" w:lineRule="exact"/>
              <w:ind w:firstLine="0" w:firstLineChars="0"/>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出资比例</w:t>
            </w:r>
          </w:p>
        </w:tc>
        <w:tc>
          <w:tcPr>
            <w:tcW w:w="3780"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E93380E">
            <w:pPr>
              <w:widowControl/>
              <w:spacing w:line="340" w:lineRule="exact"/>
              <w:ind w:firstLine="0" w:firstLineChars="0"/>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身份证号码或统一社会信用代码</w:t>
            </w:r>
          </w:p>
        </w:tc>
        <w:tc>
          <w:tcPr>
            <w:tcW w:w="143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0DA2B9B">
            <w:pPr>
              <w:widowControl/>
              <w:spacing w:line="340" w:lineRule="exact"/>
              <w:ind w:firstLine="0" w:firstLineChars="0"/>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备注</w:t>
            </w:r>
          </w:p>
        </w:tc>
      </w:tr>
      <w:tr w14:paraId="64DF1BFD">
        <w:tblPrEx>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36473A8">
            <w:pPr>
              <w:widowControl/>
              <w:spacing w:line="340" w:lineRule="exact"/>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FB5E57A">
            <w:pPr>
              <w:widowControl/>
              <w:spacing w:line="340" w:lineRule="exact"/>
              <w:ind w:firstLine="480"/>
              <w:jc w:val="center"/>
              <w:rPr>
                <w:rFonts w:hint="eastAsia" w:ascii="宋体" w:hAnsi="宋体" w:eastAsia="宋体" w:cs="宋体"/>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0312CF3">
            <w:pPr>
              <w:widowControl/>
              <w:spacing w:line="340" w:lineRule="exact"/>
              <w:ind w:firstLine="480"/>
              <w:jc w:val="center"/>
              <w:rPr>
                <w:rFonts w:hint="eastAsia" w:ascii="宋体" w:hAnsi="宋体" w:eastAsia="宋体" w:cs="宋体"/>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9961F86">
            <w:pPr>
              <w:widowControl/>
              <w:spacing w:line="340" w:lineRule="exact"/>
              <w:ind w:firstLine="480"/>
              <w:jc w:val="center"/>
              <w:rPr>
                <w:rFonts w:hint="eastAsia" w:ascii="宋体" w:hAnsi="宋体" w:eastAsia="宋体" w:cs="宋体"/>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F4428D4">
            <w:pPr>
              <w:widowControl/>
              <w:spacing w:line="340" w:lineRule="exact"/>
              <w:ind w:firstLine="480"/>
              <w:jc w:val="center"/>
              <w:rPr>
                <w:rFonts w:hint="eastAsia" w:ascii="宋体" w:hAnsi="宋体" w:eastAsia="宋体" w:cs="宋体"/>
                <w:color w:val="auto"/>
                <w:kern w:val="0"/>
                <w:highlight w:val="none"/>
              </w:rPr>
            </w:pPr>
          </w:p>
        </w:tc>
      </w:tr>
      <w:tr w14:paraId="5235ED3C">
        <w:tblPrEx>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E41A3FB">
            <w:pPr>
              <w:widowControl/>
              <w:spacing w:line="340" w:lineRule="exact"/>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73CC3AE">
            <w:pPr>
              <w:widowControl/>
              <w:spacing w:line="340" w:lineRule="exact"/>
              <w:ind w:firstLine="480"/>
              <w:jc w:val="center"/>
              <w:rPr>
                <w:rFonts w:hint="eastAsia" w:ascii="宋体" w:hAnsi="宋体" w:eastAsia="宋体" w:cs="宋体"/>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12BA87B">
            <w:pPr>
              <w:widowControl/>
              <w:spacing w:line="340" w:lineRule="exact"/>
              <w:ind w:firstLine="480"/>
              <w:jc w:val="center"/>
              <w:rPr>
                <w:rFonts w:hint="eastAsia" w:ascii="宋体" w:hAnsi="宋体" w:eastAsia="宋体" w:cs="宋体"/>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2EB27FC">
            <w:pPr>
              <w:widowControl/>
              <w:spacing w:line="340" w:lineRule="exact"/>
              <w:ind w:firstLine="480"/>
              <w:jc w:val="center"/>
              <w:rPr>
                <w:rFonts w:hint="eastAsia" w:ascii="宋体" w:hAnsi="宋体" w:eastAsia="宋体" w:cs="宋体"/>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269DC52">
            <w:pPr>
              <w:widowControl/>
              <w:spacing w:line="340" w:lineRule="exact"/>
              <w:ind w:firstLine="480"/>
              <w:jc w:val="center"/>
              <w:rPr>
                <w:rFonts w:hint="eastAsia" w:ascii="宋体" w:hAnsi="宋体" w:eastAsia="宋体" w:cs="宋体"/>
                <w:color w:val="auto"/>
                <w:kern w:val="0"/>
                <w:highlight w:val="none"/>
              </w:rPr>
            </w:pPr>
          </w:p>
        </w:tc>
      </w:tr>
      <w:tr w14:paraId="62D6788D">
        <w:tblPrEx>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9DB0084">
            <w:pPr>
              <w:widowControl/>
              <w:spacing w:line="340" w:lineRule="exact"/>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1AFD378">
            <w:pPr>
              <w:widowControl/>
              <w:spacing w:line="340" w:lineRule="exact"/>
              <w:ind w:firstLine="480"/>
              <w:jc w:val="center"/>
              <w:rPr>
                <w:rFonts w:hint="eastAsia" w:ascii="宋体" w:hAnsi="宋体" w:eastAsia="宋体" w:cs="宋体"/>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15084D3">
            <w:pPr>
              <w:widowControl/>
              <w:spacing w:line="340" w:lineRule="exact"/>
              <w:ind w:firstLine="480"/>
              <w:jc w:val="center"/>
              <w:rPr>
                <w:rFonts w:hint="eastAsia" w:ascii="宋体" w:hAnsi="宋体" w:eastAsia="宋体" w:cs="宋体"/>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9047182">
            <w:pPr>
              <w:widowControl/>
              <w:spacing w:line="340" w:lineRule="exact"/>
              <w:ind w:firstLine="480"/>
              <w:jc w:val="center"/>
              <w:rPr>
                <w:rFonts w:hint="eastAsia" w:ascii="宋体" w:hAnsi="宋体" w:eastAsia="宋体" w:cs="宋体"/>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A8386C8">
            <w:pPr>
              <w:widowControl/>
              <w:spacing w:line="340" w:lineRule="exact"/>
              <w:ind w:firstLine="480"/>
              <w:jc w:val="center"/>
              <w:rPr>
                <w:rFonts w:hint="eastAsia" w:ascii="宋体" w:hAnsi="宋体" w:eastAsia="宋体" w:cs="宋体"/>
                <w:color w:val="auto"/>
                <w:kern w:val="0"/>
                <w:highlight w:val="none"/>
              </w:rPr>
            </w:pPr>
          </w:p>
        </w:tc>
      </w:tr>
      <w:tr w14:paraId="771D080E">
        <w:tblPrEx>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8DBA784">
            <w:pPr>
              <w:widowControl/>
              <w:spacing w:line="340" w:lineRule="exact"/>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DB65B2D">
            <w:pPr>
              <w:widowControl/>
              <w:spacing w:line="340" w:lineRule="exact"/>
              <w:ind w:firstLine="480"/>
              <w:jc w:val="center"/>
              <w:rPr>
                <w:rFonts w:hint="eastAsia" w:ascii="宋体" w:hAnsi="宋体" w:eastAsia="宋体" w:cs="宋体"/>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7D4C096">
            <w:pPr>
              <w:widowControl/>
              <w:spacing w:line="340" w:lineRule="exact"/>
              <w:ind w:firstLine="480"/>
              <w:jc w:val="center"/>
              <w:rPr>
                <w:rFonts w:hint="eastAsia" w:ascii="宋体" w:hAnsi="宋体" w:eastAsia="宋体" w:cs="宋体"/>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7ED226C">
            <w:pPr>
              <w:widowControl/>
              <w:spacing w:line="340" w:lineRule="exact"/>
              <w:ind w:firstLine="480"/>
              <w:jc w:val="center"/>
              <w:rPr>
                <w:rFonts w:hint="eastAsia" w:ascii="宋体" w:hAnsi="宋体" w:eastAsia="宋体" w:cs="宋体"/>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F4E3A3C">
            <w:pPr>
              <w:widowControl/>
              <w:spacing w:line="340" w:lineRule="exact"/>
              <w:ind w:firstLine="480"/>
              <w:jc w:val="center"/>
              <w:rPr>
                <w:rFonts w:hint="eastAsia" w:ascii="宋体" w:hAnsi="宋体" w:eastAsia="宋体" w:cs="宋体"/>
                <w:color w:val="auto"/>
                <w:kern w:val="0"/>
                <w:highlight w:val="none"/>
              </w:rPr>
            </w:pPr>
          </w:p>
        </w:tc>
      </w:tr>
    </w:tbl>
    <w:p w14:paraId="2FCAEF75">
      <w:pPr>
        <w:snapToGrid w:val="0"/>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7512469">
      <w:pPr>
        <w:snapToGrid w:val="0"/>
        <w:spacing w:line="34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的决议产生重大影响的股东。2.本表所指的控股关系仅限于直接控股关系，不包括间接的控股关系。公司实际控制人与公司之间的关系不属于本表所指的直接控股关系。</w:t>
      </w:r>
    </w:p>
    <w:p w14:paraId="1EEE9FDF">
      <w:pPr>
        <w:snapToGrid w:val="0"/>
        <w:spacing w:line="34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w:t>
      </w:r>
      <w:r>
        <w:rPr>
          <w:rFonts w:hint="eastAsia" w:ascii="宋体" w:hAnsi="宋体" w:eastAsia="宋体" w:cs="宋体"/>
          <w:b/>
          <w:color w:val="auto"/>
          <w:sz w:val="21"/>
          <w:szCs w:val="21"/>
          <w:highlight w:val="none"/>
        </w:rPr>
        <w:t>（电子签章）</w:t>
      </w:r>
      <w:r>
        <w:rPr>
          <w:rFonts w:hint="eastAsia" w:ascii="宋体" w:hAnsi="宋体" w:eastAsia="宋体" w:cs="宋体"/>
          <w:color w:val="auto"/>
          <w:sz w:val="21"/>
          <w:szCs w:val="21"/>
          <w:highlight w:val="none"/>
        </w:rPr>
        <w:t>：</w:t>
      </w:r>
    </w:p>
    <w:p w14:paraId="4377EBAE">
      <w:pPr>
        <w:spacing w:line="340" w:lineRule="exact"/>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法定代表人或委托代理人签字</w:t>
      </w:r>
      <w:r>
        <w:rPr>
          <w:rFonts w:hint="eastAsia" w:ascii="宋体" w:hAnsi="宋体" w:eastAsia="宋体" w:cs="宋体"/>
          <w:b/>
          <w:color w:val="auto"/>
          <w:sz w:val="21"/>
          <w:szCs w:val="21"/>
          <w:highlight w:val="none"/>
        </w:rPr>
        <w:t>（或电子签名）</w:t>
      </w:r>
      <w:r>
        <w:rPr>
          <w:rFonts w:hint="eastAsia" w:ascii="宋体" w:hAnsi="宋体" w:eastAsia="宋体" w:cs="宋体"/>
          <w:color w:val="auto"/>
          <w:sz w:val="21"/>
          <w:szCs w:val="24"/>
          <w:highlight w:val="none"/>
        </w:rPr>
        <w:t>：</w:t>
      </w:r>
    </w:p>
    <w:p w14:paraId="6A99387E">
      <w:pPr>
        <w:spacing w:line="3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0"/>
          <w:highlight w:val="none"/>
        </w:rPr>
        <w:t>日          期：</w:t>
      </w:r>
    </w:p>
    <w:p w14:paraId="13192227">
      <w:pPr>
        <w:spacing w:line="340" w:lineRule="exact"/>
        <w:ind w:firstLine="562"/>
        <w:jc w:val="center"/>
        <w:outlineLvl w:val="1"/>
        <w:rPr>
          <w:rFonts w:hint="eastAsia" w:ascii="宋体" w:hAnsi="宋体" w:eastAsia="宋体" w:cs="宋体"/>
          <w:b/>
          <w:color w:val="auto"/>
          <w:sz w:val="28"/>
          <w:szCs w:val="28"/>
          <w:highlight w:val="none"/>
        </w:rPr>
      </w:pPr>
    </w:p>
    <w:p w14:paraId="463FE69E">
      <w:pPr>
        <w:spacing w:line="340" w:lineRule="exact"/>
        <w:ind w:firstLine="2249" w:firstLineChars="80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供应商直接管理关系信息表</w:t>
      </w:r>
    </w:p>
    <w:tbl>
      <w:tblPr>
        <w:tblStyle w:val="48"/>
        <w:tblW w:w="9623" w:type="dxa"/>
        <w:tblInd w:w="0" w:type="dxa"/>
        <w:shd w:val="clear" w:color="auto" w:fill="FBFBFB"/>
        <w:tblLayout w:type="fixed"/>
        <w:tblCellMar>
          <w:top w:w="0" w:type="dxa"/>
          <w:left w:w="0" w:type="dxa"/>
          <w:bottom w:w="0" w:type="dxa"/>
          <w:right w:w="0" w:type="dxa"/>
        </w:tblCellMar>
      </w:tblPr>
      <w:tblGrid>
        <w:gridCol w:w="779"/>
        <w:gridCol w:w="2281"/>
        <w:gridCol w:w="2837"/>
        <w:gridCol w:w="3726"/>
      </w:tblGrid>
      <w:tr w14:paraId="7B80208A">
        <w:tblPrEx>
          <w:shd w:val="clear" w:color="auto" w:fill="FBFBFB"/>
          <w:tblCellMar>
            <w:top w:w="0" w:type="dxa"/>
            <w:left w:w="0" w:type="dxa"/>
            <w:bottom w:w="0" w:type="dxa"/>
            <w:right w:w="0" w:type="dxa"/>
          </w:tblCellMar>
        </w:tblPrEx>
        <w:trPr>
          <w:trHeight w:val="581" w:hRule="atLeast"/>
          <w:tblHeader/>
        </w:trPr>
        <w:tc>
          <w:tcPr>
            <w:tcW w:w="77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C7F1AEF">
            <w:pPr>
              <w:widowControl/>
              <w:spacing w:line="340" w:lineRule="exact"/>
              <w:ind w:firstLine="0" w:firstLineChars="0"/>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序号</w:t>
            </w:r>
          </w:p>
        </w:tc>
        <w:tc>
          <w:tcPr>
            <w:tcW w:w="2281"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3390D01">
            <w:pPr>
              <w:widowControl/>
              <w:spacing w:line="340" w:lineRule="exact"/>
              <w:ind w:firstLine="0" w:firstLineChars="0"/>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直接管理关系单位名称</w:t>
            </w:r>
          </w:p>
        </w:tc>
        <w:tc>
          <w:tcPr>
            <w:tcW w:w="2837"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EB4B275">
            <w:pPr>
              <w:widowControl/>
              <w:spacing w:line="340" w:lineRule="exact"/>
              <w:ind w:firstLine="0" w:firstLineChars="0"/>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统一社会信用代码</w:t>
            </w:r>
          </w:p>
        </w:tc>
        <w:tc>
          <w:tcPr>
            <w:tcW w:w="3726"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52F1D35">
            <w:pPr>
              <w:widowControl/>
              <w:spacing w:line="340" w:lineRule="exact"/>
              <w:ind w:firstLine="0" w:firstLineChars="0"/>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备注</w:t>
            </w:r>
          </w:p>
        </w:tc>
      </w:tr>
      <w:tr w14:paraId="1346A9E4">
        <w:tblPrEx>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D6D475D">
            <w:pPr>
              <w:widowControl/>
              <w:spacing w:line="340" w:lineRule="exact"/>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457B717">
            <w:pPr>
              <w:widowControl/>
              <w:spacing w:line="340" w:lineRule="exact"/>
              <w:ind w:firstLine="480"/>
              <w:jc w:val="center"/>
              <w:rPr>
                <w:rFonts w:hint="eastAsia" w:ascii="宋体" w:hAnsi="宋体" w:eastAsia="宋体" w:cs="宋体"/>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17D463">
            <w:pPr>
              <w:widowControl/>
              <w:spacing w:line="340" w:lineRule="exact"/>
              <w:ind w:firstLine="480"/>
              <w:jc w:val="center"/>
              <w:rPr>
                <w:rFonts w:hint="eastAsia" w:ascii="宋体" w:hAnsi="宋体" w:eastAsia="宋体" w:cs="宋体"/>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13B8412">
            <w:pPr>
              <w:widowControl/>
              <w:spacing w:line="340" w:lineRule="exact"/>
              <w:ind w:firstLine="480"/>
              <w:jc w:val="center"/>
              <w:rPr>
                <w:rFonts w:hint="eastAsia" w:ascii="宋体" w:hAnsi="宋体" w:eastAsia="宋体" w:cs="宋体"/>
                <w:color w:val="auto"/>
                <w:kern w:val="0"/>
                <w:highlight w:val="none"/>
              </w:rPr>
            </w:pPr>
          </w:p>
        </w:tc>
      </w:tr>
      <w:tr w14:paraId="12C3AC58">
        <w:tblPrEx>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8F05357">
            <w:pPr>
              <w:widowControl/>
              <w:spacing w:line="340" w:lineRule="exact"/>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B9FD55">
            <w:pPr>
              <w:widowControl/>
              <w:spacing w:line="340" w:lineRule="exact"/>
              <w:ind w:firstLine="480"/>
              <w:jc w:val="center"/>
              <w:rPr>
                <w:rFonts w:hint="eastAsia" w:ascii="宋体" w:hAnsi="宋体" w:eastAsia="宋体" w:cs="宋体"/>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8387FB8">
            <w:pPr>
              <w:widowControl/>
              <w:spacing w:line="340" w:lineRule="exact"/>
              <w:ind w:firstLine="480"/>
              <w:jc w:val="center"/>
              <w:rPr>
                <w:rFonts w:hint="eastAsia" w:ascii="宋体" w:hAnsi="宋体" w:eastAsia="宋体" w:cs="宋体"/>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A888783">
            <w:pPr>
              <w:widowControl/>
              <w:spacing w:line="340" w:lineRule="exact"/>
              <w:ind w:firstLine="480"/>
              <w:jc w:val="center"/>
              <w:rPr>
                <w:rFonts w:hint="eastAsia" w:ascii="宋体" w:hAnsi="宋体" w:eastAsia="宋体" w:cs="宋体"/>
                <w:color w:val="auto"/>
                <w:kern w:val="0"/>
                <w:highlight w:val="none"/>
              </w:rPr>
            </w:pPr>
          </w:p>
        </w:tc>
      </w:tr>
      <w:tr w14:paraId="2842D98B">
        <w:tblPrEx>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7B77A31">
            <w:pPr>
              <w:widowControl/>
              <w:spacing w:line="340" w:lineRule="exact"/>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4D79BEA">
            <w:pPr>
              <w:widowControl/>
              <w:spacing w:line="340" w:lineRule="exact"/>
              <w:ind w:firstLine="480"/>
              <w:jc w:val="center"/>
              <w:rPr>
                <w:rFonts w:hint="eastAsia" w:ascii="宋体" w:hAnsi="宋体" w:eastAsia="宋体" w:cs="宋体"/>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85526C">
            <w:pPr>
              <w:widowControl/>
              <w:spacing w:line="340" w:lineRule="exact"/>
              <w:ind w:firstLine="480"/>
              <w:jc w:val="center"/>
              <w:rPr>
                <w:rFonts w:hint="eastAsia" w:ascii="宋体" w:hAnsi="宋体" w:eastAsia="宋体" w:cs="宋体"/>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BB7E117">
            <w:pPr>
              <w:widowControl/>
              <w:spacing w:line="340" w:lineRule="exact"/>
              <w:ind w:firstLine="480"/>
              <w:jc w:val="center"/>
              <w:rPr>
                <w:rFonts w:hint="eastAsia" w:ascii="宋体" w:hAnsi="宋体" w:eastAsia="宋体" w:cs="宋体"/>
                <w:color w:val="auto"/>
                <w:kern w:val="0"/>
                <w:highlight w:val="none"/>
              </w:rPr>
            </w:pPr>
          </w:p>
        </w:tc>
      </w:tr>
      <w:tr w14:paraId="7219F7CB">
        <w:tblPrEx>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7A06717">
            <w:pPr>
              <w:widowControl/>
              <w:spacing w:line="340" w:lineRule="exact"/>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F9F9CAB">
            <w:pPr>
              <w:widowControl/>
              <w:spacing w:line="340" w:lineRule="exact"/>
              <w:ind w:firstLine="480"/>
              <w:jc w:val="center"/>
              <w:rPr>
                <w:rFonts w:hint="eastAsia" w:ascii="宋体" w:hAnsi="宋体" w:eastAsia="宋体" w:cs="宋体"/>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94A389E">
            <w:pPr>
              <w:widowControl/>
              <w:spacing w:line="340" w:lineRule="exact"/>
              <w:ind w:firstLine="480"/>
              <w:jc w:val="center"/>
              <w:rPr>
                <w:rFonts w:hint="eastAsia" w:ascii="宋体" w:hAnsi="宋体" w:eastAsia="宋体" w:cs="宋体"/>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6ADFD6">
            <w:pPr>
              <w:widowControl/>
              <w:spacing w:line="340" w:lineRule="exact"/>
              <w:ind w:firstLine="480"/>
              <w:jc w:val="center"/>
              <w:rPr>
                <w:rFonts w:hint="eastAsia" w:ascii="宋体" w:hAnsi="宋体" w:eastAsia="宋体" w:cs="宋体"/>
                <w:color w:val="auto"/>
                <w:kern w:val="0"/>
                <w:highlight w:val="none"/>
              </w:rPr>
            </w:pPr>
          </w:p>
        </w:tc>
      </w:tr>
    </w:tbl>
    <w:p w14:paraId="69442C0B">
      <w:pPr>
        <w:snapToGrid w:val="0"/>
        <w:spacing w:line="34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75A813A">
      <w:pPr>
        <w:snapToGrid w:val="0"/>
        <w:spacing w:line="34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1.管理关系：是指不具有出资持股关系的其他单位之间存在的管理与被管理关系，如一些上下级关系的事业单位和团体组织。2.本表所指的管理关系仅限于直接管理关系，不包括间接的管理关系。</w:t>
      </w:r>
    </w:p>
    <w:p w14:paraId="661C891A">
      <w:pPr>
        <w:snapToGrid w:val="0"/>
        <w:spacing w:line="34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w:t>
      </w:r>
      <w:r>
        <w:rPr>
          <w:rFonts w:hint="eastAsia" w:ascii="宋体" w:hAnsi="宋体" w:eastAsia="宋体" w:cs="宋体"/>
          <w:b/>
          <w:color w:val="auto"/>
          <w:sz w:val="21"/>
          <w:szCs w:val="21"/>
          <w:highlight w:val="none"/>
        </w:rPr>
        <w:t>（电子签章）</w:t>
      </w:r>
      <w:r>
        <w:rPr>
          <w:rFonts w:hint="eastAsia" w:ascii="宋体" w:hAnsi="宋体" w:eastAsia="宋体" w:cs="宋体"/>
          <w:color w:val="auto"/>
          <w:sz w:val="21"/>
          <w:szCs w:val="21"/>
          <w:highlight w:val="none"/>
        </w:rPr>
        <w:t>：</w:t>
      </w:r>
    </w:p>
    <w:p w14:paraId="6FC48E2C">
      <w:pPr>
        <w:spacing w:line="3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法定代表人或委托代理人签字</w:t>
      </w:r>
      <w:r>
        <w:rPr>
          <w:rFonts w:hint="eastAsia" w:ascii="宋体" w:hAnsi="宋体" w:eastAsia="宋体" w:cs="宋体"/>
          <w:b/>
          <w:color w:val="auto"/>
          <w:sz w:val="21"/>
          <w:szCs w:val="21"/>
          <w:highlight w:val="none"/>
        </w:rPr>
        <w:t>（或电子签名）</w:t>
      </w:r>
      <w:r>
        <w:rPr>
          <w:rFonts w:hint="eastAsia" w:ascii="宋体" w:hAnsi="宋体" w:eastAsia="宋体" w:cs="宋体"/>
          <w:color w:val="auto"/>
          <w:sz w:val="21"/>
          <w:szCs w:val="21"/>
          <w:highlight w:val="none"/>
        </w:rPr>
        <w:t>：</w:t>
      </w:r>
    </w:p>
    <w:p w14:paraId="628F251E">
      <w:pPr>
        <w:spacing w:line="3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1F56D392">
      <w:pPr>
        <w:spacing w:line="380" w:lineRule="exact"/>
        <w:ind w:firstLine="0" w:firstLineChars="0"/>
        <w:rPr>
          <w:rFonts w:hint="eastAsia" w:ascii="宋体" w:hAnsi="宋体" w:eastAsia="宋体" w:cs="宋体"/>
          <w:b/>
          <w:color w:val="auto"/>
          <w:sz w:val="28"/>
          <w:szCs w:val="28"/>
          <w:highlight w:val="none"/>
        </w:rPr>
      </w:pPr>
    </w:p>
    <w:p w14:paraId="288FE8E9">
      <w:pPr>
        <w:spacing w:line="380" w:lineRule="exact"/>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（8）供应商的法定代表人身份证明及法定代表人身份证正反面复印件（必须提供）</w:t>
      </w:r>
    </w:p>
    <w:p w14:paraId="33E6F389">
      <w:pPr>
        <w:spacing w:line="300" w:lineRule="auto"/>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 </w:t>
      </w:r>
    </w:p>
    <w:p w14:paraId="3E198DC9">
      <w:pPr>
        <w:snapToGrid w:val="0"/>
        <w:spacing w:before="120" w:beforeLines="50" w:after="50" w:line="320" w:lineRule="exact"/>
        <w:ind w:firstLine="643"/>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法定代表人身份证明（格式）</w:t>
      </w:r>
    </w:p>
    <w:p w14:paraId="756128A4">
      <w:pPr>
        <w:spacing w:line="500" w:lineRule="exact"/>
        <w:ind w:left="540" w:firstLine="480"/>
        <w:rPr>
          <w:rFonts w:hint="eastAsia" w:ascii="宋体" w:hAnsi="宋体" w:eastAsia="宋体" w:cs="宋体"/>
          <w:color w:val="auto"/>
          <w:szCs w:val="21"/>
          <w:highlight w:val="none"/>
        </w:rPr>
      </w:pPr>
    </w:p>
    <w:p w14:paraId="2B610681">
      <w:pPr>
        <w:spacing w:line="5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 应 商：</w:t>
      </w:r>
      <w:r>
        <w:rPr>
          <w:rFonts w:hint="eastAsia" w:ascii="宋体" w:hAnsi="宋体" w:eastAsia="宋体" w:cs="宋体"/>
          <w:color w:val="auto"/>
          <w:szCs w:val="21"/>
          <w:highlight w:val="none"/>
          <w:u w:val="single"/>
        </w:rPr>
        <w:t xml:space="preserve">                                                        </w:t>
      </w:r>
    </w:p>
    <w:p w14:paraId="44433E22">
      <w:pPr>
        <w:spacing w:line="5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62B36BD3">
      <w:pPr>
        <w:spacing w:line="5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183C76D0">
      <w:pPr>
        <w:spacing w:line="5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2A6D863">
      <w:pPr>
        <w:spacing w:line="5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35C82B1A">
      <w:pPr>
        <w:spacing w:line="5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      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5B2A55D1">
      <w:pP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年    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022B16CF">
      <w:pPr>
        <w:spacing w:line="5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4A16BB8C">
      <w:pPr>
        <w:spacing w:line="5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（供应商名称）的法定代表人。</w:t>
      </w:r>
    </w:p>
    <w:p w14:paraId="6525B41D">
      <w:pPr>
        <w:spacing w:line="500" w:lineRule="exact"/>
        <w:ind w:left="54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727BAD99">
      <w:pPr>
        <w:spacing w:line="500" w:lineRule="exact"/>
        <w:ind w:left="540" w:firstLine="480"/>
        <w:rPr>
          <w:rFonts w:hint="eastAsia" w:ascii="宋体" w:hAnsi="宋体" w:eastAsia="宋体" w:cs="宋体"/>
          <w:color w:val="auto"/>
          <w:szCs w:val="21"/>
          <w:highlight w:val="none"/>
        </w:rPr>
      </w:pPr>
    </w:p>
    <w:p w14:paraId="0DBFCA76">
      <w:pPr>
        <w:spacing w:line="500" w:lineRule="exact"/>
        <w:ind w:left="54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附：法定代表人有效身份证正反面复印件</w:t>
      </w:r>
    </w:p>
    <w:p w14:paraId="11C6B85C">
      <w:pPr>
        <w:spacing w:line="500" w:lineRule="exact"/>
        <w:ind w:left="540" w:firstLine="480"/>
        <w:rPr>
          <w:rFonts w:hint="eastAsia" w:ascii="宋体" w:hAnsi="宋体" w:eastAsia="宋体" w:cs="宋体"/>
          <w:color w:val="auto"/>
          <w:szCs w:val="21"/>
          <w:highlight w:val="none"/>
        </w:rPr>
      </w:pPr>
    </w:p>
    <w:p w14:paraId="0F9B4A56">
      <w:pPr>
        <w:spacing w:line="500" w:lineRule="exact"/>
        <w:ind w:left="540" w:right="420" w:firstLine="3780" w:firstLineChars="18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b/>
          <w:color w:val="auto"/>
          <w:sz w:val="21"/>
          <w:szCs w:val="21"/>
          <w:highlight w:val="none"/>
        </w:rPr>
        <w:t>（电子签章）</w:t>
      </w:r>
      <w:r>
        <w:rPr>
          <w:rFonts w:hint="eastAsia" w:ascii="宋体" w:hAnsi="宋体" w:eastAsia="宋体" w:cs="宋体"/>
          <w:b/>
          <w:color w:val="auto"/>
          <w:sz w:val="21"/>
          <w:szCs w:val="21"/>
          <w:highlight w:val="none"/>
          <w:lang w:eastAsia="zh-CN"/>
        </w:rPr>
        <w:t>：</w:t>
      </w:r>
    </w:p>
    <w:p w14:paraId="537F7F76">
      <w:pPr>
        <w:tabs>
          <w:tab w:val="left" w:pos="1305"/>
        </w:tabs>
        <w:spacing w:line="520" w:lineRule="exact"/>
        <w:ind w:firstLine="4200" w:firstLineChars="175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5D49B0E0">
      <w:pPr>
        <w:tabs>
          <w:tab w:val="left" w:pos="1305"/>
        </w:tabs>
        <w:spacing w:line="520" w:lineRule="exact"/>
        <w:ind w:firstLine="4200" w:firstLineChars="1750"/>
        <w:jc w:val="left"/>
        <w:rPr>
          <w:rFonts w:hint="eastAsia" w:ascii="宋体" w:hAnsi="宋体" w:eastAsia="宋体" w:cs="宋体"/>
          <w:color w:val="auto"/>
          <w:highlight w:val="none"/>
        </w:rPr>
      </w:pPr>
    </w:p>
    <w:p w14:paraId="6F136780">
      <w:pPr>
        <w:tabs>
          <w:tab w:val="left" w:pos="1305"/>
        </w:tabs>
        <w:spacing w:line="520" w:lineRule="exact"/>
        <w:ind w:firstLine="4200" w:firstLineChars="1750"/>
        <w:jc w:val="left"/>
        <w:rPr>
          <w:rFonts w:hint="eastAsia" w:ascii="宋体" w:hAnsi="宋体" w:eastAsia="宋体" w:cs="宋体"/>
          <w:color w:val="auto"/>
          <w:highlight w:val="none"/>
        </w:rPr>
      </w:pPr>
    </w:p>
    <w:p w14:paraId="56768971">
      <w:pPr>
        <w:spacing w:line="380" w:lineRule="exact"/>
        <w:ind w:firstLine="482"/>
        <w:rPr>
          <w:rFonts w:hint="eastAsia" w:ascii="宋体" w:hAnsi="宋体" w:eastAsia="宋体" w:cs="宋体"/>
          <w:b/>
          <w:color w:val="auto"/>
          <w:highlight w:val="none"/>
        </w:rPr>
      </w:pPr>
      <w:r>
        <w:rPr>
          <w:rFonts w:hint="eastAsia" w:ascii="宋体" w:hAnsi="宋体" w:eastAsia="宋体" w:cs="宋体"/>
          <w:b/>
          <w:color w:val="auto"/>
          <w:highlight w:val="none"/>
        </w:rPr>
        <w:t>注：附法定代表人有效身份证正反面复印件。</w:t>
      </w:r>
    </w:p>
    <w:p w14:paraId="1C839C47">
      <w:pPr>
        <w:pStyle w:val="23"/>
        <w:rPr>
          <w:rFonts w:hint="eastAsia" w:ascii="宋体" w:hAnsi="宋体" w:eastAsia="宋体" w:cs="宋体"/>
          <w:b/>
          <w:color w:val="auto"/>
          <w:highlight w:val="none"/>
        </w:rPr>
      </w:pPr>
    </w:p>
    <w:p w14:paraId="000F1CAC">
      <w:pPr>
        <w:pStyle w:val="23"/>
        <w:rPr>
          <w:rFonts w:hint="eastAsia" w:ascii="宋体" w:hAnsi="宋体" w:eastAsia="宋体" w:cs="宋体"/>
          <w:b/>
          <w:color w:val="auto"/>
          <w:highlight w:val="none"/>
        </w:rPr>
      </w:pPr>
    </w:p>
    <w:p w14:paraId="5ECBB3E5">
      <w:pPr>
        <w:pStyle w:val="23"/>
        <w:rPr>
          <w:rFonts w:hint="eastAsia" w:ascii="宋体" w:hAnsi="宋体" w:eastAsia="宋体" w:cs="宋体"/>
          <w:b/>
          <w:color w:val="auto"/>
          <w:highlight w:val="none"/>
        </w:rPr>
      </w:pPr>
    </w:p>
    <w:p w14:paraId="47C147FC">
      <w:pPr>
        <w:pStyle w:val="23"/>
        <w:rPr>
          <w:rFonts w:hint="eastAsia" w:ascii="宋体" w:hAnsi="宋体" w:eastAsia="宋体" w:cs="宋体"/>
          <w:b/>
          <w:color w:val="auto"/>
          <w:highlight w:val="none"/>
        </w:rPr>
      </w:pPr>
    </w:p>
    <w:p w14:paraId="5CF37652">
      <w:pPr>
        <w:pStyle w:val="23"/>
        <w:rPr>
          <w:rFonts w:hint="eastAsia" w:ascii="宋体" w:hAnsi="宋体" w:eastAsia="宋体" w:cs="宋体"/>
          <w:b/>
          <w:color w:val="auto"/>
          <w:highlight w:val="none"/>
        </w:rPr>
      </w:pPr>
    </w:p>
    <w:p w14:paraId="030F1796">
      <w:pPr>
        <w:pStyle w:val="23"/>
        <w:rPr>
          <w:rFonts w:hint="eastAsia" w:ascii="宋体" w:hAnsi="宋体" w:eastAsia="宋体" w:cs="宋体"/>
          <w:b/>
          <w:color w:val="auto"/>
          <w:highlight w:val="none"/>
        </w:rPr>
      </w:pPr>
    </w:p>
    <w:p w14:paraId="23A25A0A">
      <w:pPr>
        <w:pStyle w:val="23"/>
        <w:rPr>
          <w:rFonts w:hint="eastAsia" w:ascii="宋体" w:hAnsi="宋体" w:eastAsia="宋体" w:cs="宋体"/>
          <w:b/>
          <w:color w:val="auto"/>
          <w:highlight w:val="none"/>
        </w:rPr>
      </w:pPr>
    </w:p>
    <w:p w14:paraId="75088944">
      <w:pPr>
        <w:pStyle w:val="23"/>
        <w:rPr>
          <w:rFonts w:hint="eastAsia" w:ascii="宋体" w:hAnsi="宋体" w:eastAsia="宋体" w:cs="宋体"/>
          <w:b/>
          <w:color w:val="auto"/>
          <w:highlight w:val="none"/>
        </w:rPr>
      </w:pPr>
    </w:p>
    <w:p w14:paraId="6386E340">
      <w:pPr>
        <w:spacing w:line="380" w:lineRule="exact"/>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（9）供应商的“授权委托书”、委托代理人身份证正反面复印件（委托代理时必须提供）</w:t>
      </w:r>
    </w:p>
    <w:p w14:paraId="48C8EE3C">
      <w:pPr>
        <w:spacing w:line="300" w:lineRule="auto"/>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 </w:t>
      </w:r>
    </w:p>
    <w:p w14:paraId="5F68416C">
      <w:pPr>
        <w:snapToGrid w:val="0"/>
        <w:spacing w:before="120" w:beforeLines="50" w:after="50" w:line="320" w:lineRule="exact"/>
        <w:ind w:firstLine="643"/>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授权委托书（格式）</w:t>
      </w:r>
    </w:p>
    <w:p w14:paraId="3DA2ACF8">
      <w:pPr>
        <w:snapToGrid w:val="0"/>
        <w:spacing w:before="120" w:beforeLines="50" w:after="50"/>
        <w:ind w:firstLine="480"/>
        <w:rPr>
          <w:rFonts w:hint="eastAsia" w:ascii="宋体" w:hAnsi="宋体" w:eastAsia="宋体" w:cs="宋体"/>
          <w:bCs/>
          <w:color w:val="auto"/>
          <w:highlight w:val="none"/>
        </w:rPr>
      </w:pPr>
    </w:p>
    <w:p w14:paraId="24D26CAE">
      <w:pPr>
        <w:snapToGrid w:val="0"/>
        <w:spacing w:before="120" w:beforeLines="50" w:after="50" w:line="400" w:lineRule="exact"/>
        <w:ind w:firstLine="0" w:firstLineChars="0"/>
        <w:rPr>
          <w:rFonts w:hint="eastAsia" w:ascii="宋体" w:hAnsi="宋体" w:eastAsia="宋体" w:cs="宋体"/>
          <w:b/>
          <w:bCs/>
          <w:color w:val="auto"/>
          <w:szCs w:val="20"/>
          <w:highlight w:val="none"/>
        </w:rPr>
      </w:pPr>
      <w:r>
        <w:rPr>
          <w:rFonts w:hint="eastAsia" w:ascii="宋体" w:hAnsi="宋体" w:eastAsia="宋体" w:cs="宋体"/>
          <w:bCs/>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（采购代理机构）</w:t>
      </w:r>
      <w:r>
        <w:rPr>
          <w:rFonts w:hint="eastAsia" w:ascii="宋体" w:hAnsi="宋体" w:eastAsia="宋体" w:cs="宋体"/>
          <w:b/>
          <w:bCs/>
          <w:color w:val="auto"/>
          <w:highlight w:val="none"/>
        </w:rPr>
        <w:t xml:space="preserve"> </w:t>
      </w:r>
      <w:r>
        <w:rPr>
          <w:rFonts w:hint="eastAsia" w:ascii="宋体" w:hAnsi="宋体" w:eastAsia="宋体" w:cs="宋体"/>
          <w:color w:val="auto"/>
          <w:highlight w:val="none"/>
        </w:rPr>
        <w:t>：</w:t>
      </w:r>
    </w:p>
    <w:p w14:paraId="37A006BC">
      <w:pPr>
        <w:snapToGrid w:val="0"/>
        <w:spacing w:before="120" w:beforeLines="50" w:after="50" w:line="400" w:lineRule="exact"/>
        <w:ind w:firstLine="566" w:firstLineChars="236"/>
        <w:rPr>
          <w:rFonts w:hint="eastAsia" w:ascii="宋体" w:hAnsi="宋体" w:eastAsia="宋体" w:cs="宋体"/>
          <w:color w:val="auto"/>
          <w:szCs w:val="20"/>
          <w:highlight w:val="none"/>
        </w:rPr>
      </w:pPr>
      <w:r>
        <w:rPr>
          <w:rFonts w:hint="eastAsia" w:ascii="宋体" w:hAnsi="宋体" w:eastAsia="宋体" w:cs="宋体"/>
          <w:color w:val="auto"/>
          <w:highlight w:val="none"/>
        </w:rPr>
        <w:t>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（供应商名称）的法定代表人，现授权委托本单位在职职工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（姓名）以我方的名义参加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项目的磋商活动，并代表我方全权办理针对上述项目的磋商、评审、签约等具体事务和签署相关文件。</w:t>
      </w:r>
    </w:p>
    <w:p w14:paraId="112F24A1">
      <w:pPr>
        <w:snapToGrid w:val="0"/>
        <w:spacing w:before="120" w:beforeLines="50" w:after="50" w:line="400" w:lineRule="exact"/>
        <w:ind w:firstLine="480"/>
        <w:rPr>
          <w:rFonts w:hint="eastAsia" w:ascii="宋体" w:hAnsi="宋体" w:eastAsia="宋体" w:cs="宋体"/>
          <w:color w:val="auto"/>
          <w:szCs w:val="20"/>
          <w:highlight w:val="none"/>
        </w:rPr>
      </w:pPr>
      <w:r>
        <w:rPr>
          <w:rFonts w:hint="eastAsia" w:ascii="宋体" w:hAnsi="宋体" w:eastAsia="宋体" w:cs="宋体"/>
          <w:color w:val="auto"/>
          <w:highlight w:val="none"/>
        </w:rPr>
        <w:t xml:space="preserve">    我方对委托代理人的签字事项负全部责任。</w:t>
      </w:r>
    </w:p>
    <w:p w14:paraId="589CEF28">
      <w:pPr>
        <w:snapToGrid w:val="0"/>
        <w:spacing w:before="120" w:beforeLines="50" w:after="50" w:line="400" w:lineRule="exact"/>
        <w:ind w:firstLine="480"/>
        <w:rPr>
          <w:rFonts w:hint="eastAsia" w:ascii="宋体" w:hAnsi="宋体" w:eastAsia="宋体" w:cs="宋体"/>
          <w:color w:val="auto"/>
          <w:szCs w:val="20"/>
          <w:highlight w:val="none"/>
        </w:rPr>
      </w:pPr>
      <w:r>
        <w:rPr>
          <w:rFonts w:hint="eastAsia" w:ascii="宋体" w:hAnsi="宋体" w:eastAsia="宋体" w:cs="宋体"/>
          <w:color w:val="auto"/>
          <w:highlight w:val="none"/>
          <w:u w:val="single"/>
        </w:rPr>
        <w:t>在撤销授权的书面通知以前，本授权书一直有效。</w:t>
      </w:r>
      <w:r>
        <w:rPr>
          <w:rFonts w:hint="eastAsia" w:ascii="宋体" w:hAnsi="宋体" w:eastAsia="宋体" w:cs="宋体"/>
          <w:color w:val="auto"/>
          <w:highlight w:val="none"/>
        </w:rPr>
        <w:t>委托代理人在授权书有效期内签署的所有文件不因授权的撤销而失效。</w:t>
      </w:r>
    </w:p>
    <w:p w14:paraId="178FB3FD">
      <w:pPr>
        <w:snapToGrid w:val="0"/>
        <w:spacing w:before="120" w:beforeLines="50" w:after="50" w:line="4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委托代理人无转委托权，特此委托。</w:t>
      </w:r>
    </w:p>
    <w:p w14:paraId="7EF8BE4F">
      <w:pPr>
        <w:snapToGrid w:val="0"/>
        <w:spacing w:before="120" w:beforeLines="50" w:after="50" w:line="400" w:lineRule="exact"/>
        <w:ind w:firstLine="480"/>
        <w:rPr>
          <w:rFonts w:hint="eastAsia" w:ascii="宋体" w:hAnsi="宋体" w:eastAsia="宋体" w:cs="宋体"/>
          <w:color w:val="auto"/>
          <w:szCs w:val="20"/>
          <w:highlight w:val="none"/>
        </w:rPr>
      </w:pPr>
      <w:r>
        <w:rPr>
          <w:rFonts w:hint="eastAsia" w:ascii="宋体" w:hAnsi="宋体" w:eastAsia="宋体" w:cs="宋体"/>
          <w:color w:val="auto"/>
          <w:highlight w:val="none"/>
        </w:rPr>
        <w:t>附：委托代理人有效身份证正反面复印件</w:t>
      </w:r>
    </w:p>
    <w:p w14:paraId="27A9CEE4">
      <w:pPr>
        <w:snapToGrid w:val="0"/>
        <w:spacing w:before="120" w:beforeLines="50" w:after="50" w:line="4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委托代理人签字（或电子签名）：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872D3C6">
      <w:pPr>
        <w:snapToGrid w:val="0"/>
        <w:spacing w:before="120" w:beforeLines="50" w:after="50" w:line="4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所在部门职务：</w:t>
      </w:r>
      <w:r>
        <w:rPr>
          <w:rFonts w:hint="eastAsia" w:ascii="宋体" w:hAnsi="宋体" w:eastAsia="宋体" w:cs="宋体"/>
          <w:color w:val="auto"/>
          <w:highlight w:val="none"/>
          <w:u w:val="single"/>
        </w:rPr>
        <w:t xml:space="preserve">               </w:t>
      </w:r>
    </w:p>
    <w:p w14:paraId="28332FB1">
      <w:pPr>
        <w:snapToGrid w:val="0"/>
        <w:spacing w:before="120" w:beforeLines="50" w:after="50" w:line="4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委托代理人身份证号码：</w:t>
      </w:r>
      <w:r>
        <w:rPr>
          <w:rFonts w:hint="eastAsia" w:ascii="宋体" w:hAnsi="宋体" w:eastAsia="宋体" w:cs="宋体"/>
          <w:color w:val="auto"/>
          <w:highlight w:val="none"/>
          <w:u w:val="single"/>
        </w:rPr>
        <w:t xml:space="preserve">                             </w:t>
      </w:r>
    </w:p>
    <w:p w14:paraId="4EB96E32">
      <w:pPr>
        <w:snapToGrid w:val="0"/>
        <w:spacing w:before="120" w:beforeLines="50" w:after="50" w:line="400" w:lineRule="exact"/>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法定代表人签字（或电子签名）：</w:t>
      </w:r>
      <w:r>
        <w:rPr>
          <w:rFonts w:hint="eastAsia" w:ascii="宋体" w:hAnsi="宋体" w:eastAsia="宋体" w:cs="宋体"/>
          <w:color w:val="auto"/>
          <w:highlight w:val="none"/>
          <w:u w:val="single"/>
        </w:rPr>
        <w:t xml:space="preserve">              </w:t>
      </w:r>
    </w:p>
    <w:p w14:paraId="3AC54649">
      <w:pPr>
        <w:snapToGrid w:val="0"/>
        <w:spacing w:before="120" w:beforeLines="50" w:after="50" w:line="400" w:lineRule="exact"/>
        <w:ind w:firstLine="480"/>
        <w:rPr>
          <w:rFonts w:hint="eastAsia" w:ascii="宋体" w:hAnsi="宋体" w:eastAsia="宋体" w:cs="宋体"/>
          <w:color w:val="auto"/>
          <w:szCs w:val="20"/>
          <w:highlight w:val="none"/>
        </w:rPr>
      </w:pPr>
      <w:r>
        <w:rPr>
          <w:rFonts w:hint="eastAsia" w:ascii="宋体" w:hAnsi="宋体" w:eastAsia="宋体" w:cs="宋体"/>
          <w:color w:val="auto"/>
          <w:highlight w:val="none"/>
        </w:rPr>
        <w:t>职务：</w:t>
      </w:r>
      <w:r>
        <w:rPr>
          <w:rFonts w:hint="eastAsia" w:ascii="宋体" w:hAnsi="宋体" w:eastAsia="宋体" w:cs="宋体"/>
          <w:color w:val="auto"/>
          <w:highlight w:val="none"/>
          <w:u w:val="single"/>
        </w:rPr>
        <w:t xml:space="preserve">                  </w:t>
      </w:r>
    </w:p>
    <w:p w14:paraId="3D263B5B">
      <w:pPr>
        <w:snapToGrid w:val="0"/>
        <w:spacing w:before="120" w:beforeLines="50" w:after="50" w:line="400" w:lineRule="exact"/>
        <w:ind w:firstLine="480"/>
        <w:rPr>
          <w:rFonts w:hint="eastAsia" w:ascii="宋体" w:hAnsi="宋体" w:eastAsia="宋体" w:cs="宋体"/>
          <w:color w:val="auto"/>
          <w:szCs w:val="20"/>
          <w:highlight w:val="none"/>
        </w:rPr>
      </w:pPr>
      <w:r>
        <w:rPr>
          <w:rFonts w:hint="eastAsia" w:ascii="宋体" w:hAnsi="宋体" w:eastAsia="宋体" w:cs="宋体"/>
          <w:color w:val="auto"/>
          <w:highlight w:val="none"/>
        </w:rPr>
        <w:t xml:space="preserve"> </w:t>
      </w:r>
    </w:p>
    <w:p w14:paraId="7EBFEDEB">
      <w:pPr>
        <w:snapToGrid w:val="0"/>
        <w:spacing w:before="120" w:beforeLines="50" w:after="50"/>
        <w:ind w:firstLine="480"/>
        <w:jc w:val="center"/>
        <w:rPr>
          <w:rFonts w:hint="eastAsia" w:ascii="宋体" w:hAnsi="宋体" w:eastAsia="宋体" w:cs="宋体"/>
          <w:color w:val="auto"/>
          <w:szCs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4"/>
          <w:highlight w:val="none"/>
        </w:rPr>
        <w:t xml:space="preserve"> 供应商</w:t>
      </w:r>
      <w:r>
        <w:rPr>
          <w:rFonts w:hint="eastAsia" w:ascii="宋体" w:hAnsi="宋体" w:eastAsia="宋体" w:cs="宋体"/>
          <w:b/>
          <w:color w:val="auto"/>
          <w:szCs w:val="24"/>
          <w:highlight w:val="none"/>
        </w:rPr>
        <w:t>（电子签章）</w:t>
      </w:r>
      <w:r>
        <w:rPr>
          <w:rFonts w:hint="eastAsia" w:ascii="宋体" w:hAnsi="宋体" w:eastAsia="宋体" w:cs="宋体"/>
          <w:b/>
          <w:color w:val="auto"/>
          <w:szCs w:val="24"/>
          <w:highlight w:val="none"/>
          <w:lang w:eastAsia="zh-CN"/>
        </w:rPr>
        <w:t>：</w:t>
      </w:r>
    </w:p>
    <w:p w14:paraId="241744BD">
      <w:pPr>
        <w:autoSpaceDE w:val="0"/>
        <w:autoSpaceDN w:val="0"/>
        <w:spacing w:line="300" w:lineRule="auto"/>
        <w:ind w:left="480" w:firstLine="480"/>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                                             年    月    日</w:t>
      </w:r>
    </w:p>
    <w:p w14:paraId="2BB4BD96">
      <w:pPr>
        <w:spacing w:line="400" w:lineRule="exact"/>
        <w:ind w:firstLine="602" w:firstLineChars="25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附：委托代理人身份证正反面复印件（委托代理时必须提供）。</w:t>
      </w:r>
    </w:p>
    <w:p w14:paraId="4FD9DC70">
      <w:pPr>
        <w:spacing w:line="380" w:lineRule="exact"/>
        <w:ind w:firstLine="0" w:firstLineChars="0"/>
        <w:rPr>
          <w:rFonts w:hint="eastAsia" w:ascii="宋体" w:hAnsi="宋体" w:eastAsia="宋体" w:cs="宋体"/>
          <w:b/>
          <w:color w:val="auto"/>
          <w:sz w:val="28"/>
          <w:szCs w:val="28"/>
          <w:highlight w:val="none"/>
        </w:rPr>
      </w:pPr>
    </w:p>
    <w:p w14:paraId="73EA9052">
      <w:pPr>
        <w:pStyle w:val="23"/>
        <w:rPr>
          <w:rFonts w:hint="eastAsia" w:ascii="宋体" w:hAnsi="宋体" w:eastAsia="宋体" w:cs="宋体"/>
          <w:color w:val="auto"/>
          <w:highlight w:val="none"/>
        </w:rPr>
      </w:pPr>
    </w:p>
    <w:p w14:paraId="08AF9F9D">
      <w:pPr>
        <w:spacing w:line="380" w:lineRule="exact"/>
        <w:ind w:firstLine="0" w:firstLineChars="0"/>
        <w:rPr>
          <w:rFonts w:hint="eastAsia" w:ascii="宋体" w:hAnsi="宋体" w:eastAsia="宋体" w:cs="宋体"/>
          <w:b/>
          <w:color w:val="auto"/>
          <w:sz w:val="28"/>
          <w:szCs w:val="28"/>
          <w:highlight w:val="none"/>
        </w:rPr>
      </w:pPr>
    </w:p>
    <w:p w14:paraId="349D620E">
      <w:pPr>
        <w:spacing w:line="420" w:lineRule="exact"/>
        <w:ind w:firstLine="0" w:firstLineChars="0"/>
        <w:rPr>
          <w:rFonts w:hint="eastAsia" w:ascii="宋体" w:hAnsi="宋体" w:eastAsia="宋体" w:cs="宋体"/>
          <w:b/>
          <w:color w:val="auto"/>
          <w:sz w:val="28"/>
          <w:szCs w:val="28"/>
          <w:highlight w:val="none"/>
        </w:rPr>
      </w:pPr>
    </w:p>
    <w:p w14:paraId="45C894FC">
      <w:pPr>
        <w:pStyle w:val="19"/>
        <w:rPr>
          <w:rFonts w:hint="eastAsia"/>
        </w:rPr>
      </w:pPr>
    </w:p>
    <w:p w14:paraId="77687185">
      <w:pPr>
        <w:spacing w:line="420" w:lineRule="exact"/>
        <w:ind w:firstLine="0" w:firstLineChars="0"/>
        <w:rPr>
          <w:rFonts w:hint="eastAsia" w:ascii="宋体" w:hAnsi="宋体" w:eastAsia="宋体" w:cs="宋体"/>
          <w:b/>
          <w:color w:val="auto"/>
          <w:sz w:val="28"/>
          <w:szCs w:val="28"/>
          <w:highlight w:val="none"/>
        </w:rPr>
      </w:pPr>
    </w:p>
    <w:p w14:paraId="0703E036">
      <w:pPr>
        <w:spacing w:line="420" w:lineRule="exact"/>
        <w:ind w:firstLine="0" w:firstLineChars="0"/>
        <w:rPr>
          <w:rFonts w:hint="eastAsia" w:ascii="宋体" w:hAnsi="宋体" w:eastAsia="宋体" w:cs="宋体"/>
          <w:b/>
          <w:color w:val="auto"/>
          <w:sz w:val="28"/>
          <w:szCs w:val="28"/>
          <w:highlight w:val="none"/>
        </w:rPr>
      </w:pPr>
    </w:p>
    <w:p w14:paraId="22C1223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rPr>
        <w:t>（10）</w:t>
      </w:r>
      <w:r>
        <w:rPr>
          <w:rFonts w:hint="eastAsia" w:ascii="宋体" w:hAnsi="宋体" w:eastAsia="宋体" w:cs="宋体"/>
          <w:b/>
          <w:bCs w:val="0"/>
          <w:color w:val="auto"/>
          <w:sz w:val="28"/>
          <w:szCs w:val="28"/>
          <w:highlight w:val="none"/>
          <w:lang w:eastAsia="zh-CN"/>
        </w:rPr>
        <w:t>特定资格要求证明材料</w:t>
      </w:r>
      <w:r>
        <w:rPr>
          <w:rFonts w:hint="eastAsia" w:ascii="宋体" w:hAnsi="宋体" w:eastAsia="宋体" w:cs="宋体"/>
          <w:b/>
          <w:color w:val="auto"/>
          <w:sz w:val="28"/>
          <w:szCs w:val="28"/>
          <w:highlight w:val="none"/>
        </w:rPr>
        <w:t>（必须提供）</w:t>
      </w:r>
    </w:p>
    <w:p w14:paraId="71021E7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1）</w:t>
      </w:r>
      <w:r>
        <w:rPr>
          <w:rFonts w:hint="eastAsia" w:ascii="宋体" w:hAnsi="宋体" w:eastAsia="宋体" w:cs="宋体"/>
          <w:b/>
          <w:color w:val="auto"/>
          <w:sz w:val="28"/>
          <w:szCs w:val="28"/>
          <w:highlight w:val="none"/>
        </w:rPr>
        <w:t>供应商具备建筑工程施工总承包三级以上（含三级）资质</w:t>
      </w:r>
      <w:r>
        <w:rPr>
          <w:rFonts w:hint="eastAsia" w:ascii="宋体" w:hAnsi="宋体" w:eastAsia="宋体" w:cs="宋体"/>
          <w:b/>
          <w:color w:val="auto"/>
          <w:sz w:val="28"/>
          <w:szCs w:val="28"/>
          <w:highlight w:val="none"/>
          <w:lang w:eastAsia="zh-CN"/>
        </w:rPr>
        <w:t>证书复印件及</w:t>
      </w:r>
      <w:r>
        <w:rPr>
          <w:rFonts w:hint="eastAsia" w:ascii="宋体" w:hAnsi="宋体" w:eastAsia="宋体" w:cs="宋体"/>
          <w:b/>
          <w:color w:val="auto"/>
          <w:sz w:val="28"/>
          <w:szCs w:val="28"/>
          <w:highlight w:val="none"/>
        </w:rPr>
        <w:t>有效的安全生产许可证</w:t>
      </w:r>
      <w:r>
        <w:rPr>
          <w:rFonts w:hint="eastAsia" w:ascii="宋体" w:hAnsi="宋体" w:eastAsia="宋体" w:cs="宋体"/>
          <w:b/>
          <w:color w:val="auto"/>
          <w:sz w:val="28"/>
          <w:szCs w:val="28"/>
          <w:highlight w:val="none"/>
          <w:lang w:eastAsia="zh-CN"/>
        </w:rPr>
        <w:t>书复印件。</w:t>
      </w:r>
    </w:p>
    <w:p w14:paraId="49319E4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val="0"/>
          <w:color w:val="auto"/>
          <w:sz w:val="28"/>
          <w:szCs w:val="28"/>
          <w:highlight w:val="none"/>
          <w:lang w:val="en-US" w:eastAsia="zh-CN"/>
        </w:rPr>
      </w:pPr>
    </w:p>
    <w:p w14:paraId="3279B56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val="0"/>
          <w:color w:val="auto"/>
          <w:sz w:val="28"/>
          <w:szCs w:val="28"/>
          <w:highlight w:val="none"/>
          <w:lang w:val="en-US" w:eastAsia="zh-CN"/>
        </w:rPr>
      </w:pPr>
    </w:p>
    <w:p w14:paraId="360CC6B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color w:val="auto"/>
          <w:sz w:val="28"/>
          <w:szCs w:val="28"/>
          <w:highlight w:val="none"/>
        </w:rPr>
      </w:pPr>
      <w:r>
        <w:rPr>
          <w:rFonts w:hint="eastAsia" w:ascii="宋体" w:hAnsi="宋体" w:eastAsia="宋体" w:cs="宋体"/>
          <w:b/>
          <w:bCs w:val="0"/>
          <w:color w:val="auto"/>
          <w:sz w:val="28"/>
          <w:szCs w:val="28"/>
          <w:highlight w:val="none"/>
          <w:lang w:val="en-US" w:eastAsia="zh-CN"/>
        </w:rPr>
        <w:t>2</w:t>
      </w:r>
      <w:r>
        <w:rPr>
          <w:rFonts w:hint="eastAsia" w:ascii="宋体" w:hAnsi="宋体" w:eastAsia="宋体" w:cs="宋体"/>
          <w:b/>
          <w:bCs w:val="0"/>
          <w:color w:val="auto"/>
          <w:sz w:val="28"/>
          <w:szCs w:val="28"/>
          <w:highlight w:val="none"/>
        </w:rPr>
        <w:t>）</w:t>
      </w:r>
      <w:r>
        <w:rPr>
          <w:rFonts w:hint="eastAsia" w:ascii="宋体" w:hAnsi="宋体" w:eastAsia="宋体" w:cs="宋体"/>
          <w:b/>
          <w:color w:val="auto"/>
          <w:sz w:val="28"/>
          <w:szCs w:val="28"/>
          <w:highlight w:val="none"/>
        </w:rPr>
        <w:t>供应商提供项目管理机构组成表</w:t>
      </w:r>
    </w:p>
    <w:p w14:paraId="48E235BF">
      <w:pPr>
        <w:spacing w:before="120" w:beforeLines="50" w:after="240" w:afterLines="100" w:line="320" w:lineRule="exact"/>
        <w:ind w:firstLine="562"/>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2934AD57">
      <w:pPr>
        <w:spacing w:before="120" w:beforeLines="50" w:after="240" w:afterLines="100" w:line="440" w:lineRule="exact"/>
        <w:ind w:firstLine="2880" w:firstLineChars="1200"/>
        <w:jc w:val="left"/>
        <w:rPr>
          <w:rFonts w:hint="eastAsia" w:ascii="宋体" w:hAnsi="宋体" w:eastAsia="宋体" w:cs="宋体"/>
          <w:b/>
          <w:color w:val="auto"/>
          <w:sz w:val="28"/>
          <w:szCs w:val="28"/>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sz w:val="28"/>
          <w:szCs w:val="28"/>
          <w:highlight w:val="none"/>
        </w:rPr>
        <w:t>项目管理机构组成表（格式）</w:t>
      </w:r>
    </w:p>
    <w:p w14:paraId="64EAAAFC">
      <w:pPr>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19AE7139">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项目编号： </w:t>
      </w:r>
      <w:r>
        <w:rPr>
          <w:rFonts w:hint="eastAsia" w:ascii="宋体" w:hAnsi="宋体" w:eastAsia="宋体" w:cs="宋体"/>
          <w:color w:val="auto"/>
          <w:highlight w:val="none"/>
          <w:u w:val="single"/>
        </w:rPr>
        <w:t xml:space="preserve">                      </w:t>
      </w:r>
    </w:p>
    <w:tbl>
      <w:tblPr>
        <w:tblStyle w:val="48"/>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7"/>
        <w:gridCol w:w="723"/>
        <w:gridCol w:w="723"/>
        <w:gridCol w:w="1321"/>
        <w:gridCol w:w="3353"/>
      </w:tblGrid>
      <w:tr w14:paraId="3B14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543A4BDB">
            <w:pPr>
              <w:adjustRightInd w:val="0"/>
              <w:spacing w:line="30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岗位名称</w:t>
            </w:r>
          </w:p>
        </w:tc>
        <w:tc>
          <w:tcPr>
            <w:tcW w:w="723" w:type="dxa"/>
            <w:tcBorders>
              <w:top w:val="single" w:color="auto" w:sz="4" w:space="0"/>
              <w:left w:val="single" w:color="auto" w:sz="4" w:space="0"/>
              <w:bottom w:val="single" w:color="auto" w:sz="4" w:space="0"/>
              <w:right w:val="single" w:color="auto" w:sz="4" w:space="0"/>
            </w:tcBorders>
            <w:noWrap/>
            <w:vAlign w:val="center"/>
          </w:tcPr>
          <w:p w14:paraId="5B7CFA95">
            <w:pPr>
              <w:adjustRightInd w:val="0"/>
              <w:spacing w:line="30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23" w:type="dxa"/>
            <w:tcBorders>
              <w:top w:val="single" w:color="auto" w:sz="4" w:space="0"/>
              <w:left w:val="single" w:color="auto" w:sz="4" w:space="0"/>
              <w:bottom w:val="single" w:color="auto" w:sz="4" w:space="0"/>
              <w:right w:val="single" w:color="auto" w:sz="4" w:space="0"/>
            </w:tcBorders>
            <w:noWrap/>
            <w:vAlign w:val="center"/>
          </w:tcPr>
          <w:p w14:paraId="64A600CA">
            <w:pPr>
              <w:adjustRightInd w:val="0"/>
              <w:spacing w:line="30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321" w:type="dxa"/>
            <w:tcBorders>
              <w:top w:val="single" w:color="auto" w:sz="4" w:space="0"/>
              <w:left w:val="single" w:color="auto" w:sz="4" w:space="0"/>
              <w:bottom w:val="single" w:color="auto" w:sz="4" w:space="0"/>
              <w:right w:val="single" w:color="auto" w:sz="4" w:space="0"/>
            </w:tcBorders>
            <w:noWrap/>
            <w:vAlign w:val="center"/>
          </w:tcPr>
          <w:p w14:paraId="4F793D58">
            <w:pPr>
              <w:adjustRightInd w:val="0"/>
              <w:spacing w:line="30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资质/职称</w:t>
            </w:r>
          </w:p>
        </w:tc>
        <w:tc>
          <w:tcPr>
            <w:tcW w:w="3353" w:type="dxa"/>
            <w:tcBorders>
              <w:top w:val="single" w:color="auto" w:sz="4" w:space="0"/>
              <w:left w:val="single" w:color="auto" w:sz="4" w:space="0"/>
              <w:bottom w:val="single" w:color="auto" w:sz="4" w:space="0"/>
              <w:right w:val="single" w:color="auto" w:sz="4" w:space="0"/>
            </w:tcBorders>
            <w:noWrap/>
            <w:vAlign w:val="center"/>
          </w:tcPr>
          <w:p w14:paraId="79332B63">
            <w:pPr>
              <w:adjustRightInd w:val="0"/>
              <w:spacing w:line="30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主要资历、经验及承担的项目</w:t>
            </w:r>
          </w:p>
        </w:tc>
      </w:tr>
      <w:tr w14:paraId="6B1A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19C0514E">
            <w:pPr>
              <w:adjustRightInd w:val="0"/>
              <w:spacing w:line="300" w:lineRule="auto"/>
              <w:ind w:firstLine="480"/>
              <w:rPr>
                <w:rFonts w:hint="eastAsia" w:ascii="宋体" w:hAnsi="宋体" w:eastAsia="宋体" w:cs="宋体"/>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01FBCD72">
            <w:pPr>
              <w:adjustRightInd w:val="0"/>
              <w:spacing w:line="300" w:lineRule="auto"/>
              <w:ind w:firstLine="480"/>
              <w:rPr>
                <w:rFonts w:hint="eastAsia" w:ascii="宋体" w:hAnsi="宋体" w:eastAsia="宋体" w:cs="宋体"/>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3405330E">
            <w:pPr>
              <w:adjustRightInd w:val="0"/>
              <w:spacing w:line="300" w:lineRule="auto"/>
              <w:ind w:firstLine="480"/>
              <w:rPr>
                <w:rFonts w:hint="eastAsia" w:ascii="宋体" w:hAnsi="宋体" w:eastAsia="宋体" w:cs="宋体"/>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4684731C">
            <w:pPr>
              <w:adjustRightInd w:val="0"/>
              <w:spacing w:line="300" w:lineRule="auto"/>
              <w:ind w:firstLine="480"/>
              <w:rPr>
                <w:rFonts w:hint="eastAsia" w:ascii="宋体" w:hAnsi="宋体" w:eastAsia="宋体" w:cs="宋体"/>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6240CD8A">
            <w:pPr>
              <w:adjustRightInd w:val="0"/>
              <w:spacing w:line="300" w:lineRule="auto"/>
              <w:ind w:firstLine="480"/>
              <w:rPr>
                <w:rFonts w:hint="eastAsia" w:ascii="宋体" w:hAnsi="宋体" w:eastAsia="宋体" w:cs="宋体"/>
                <w:color w:val="auto"/>
                <w:szCs w:val="21"/>
                <w:highlight w:val="none"/>
              </w:rPr>
            </w:pPr>
          </w:p>
        </w:tc>
      </w:tr>
      <w:tr w14:paraId="7F67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62AC3F36">
            <w:pPr>
              <w:adjustRightInd w:val="0"/>
              <w:spacing w:line="300" w:lineRule="auto"/>
              <w:ind w:firstLine="480"/>
              <w:rPr>
                <w:rFonts w:hint="eastAsia" w:ascii="宋体" w:hAnsi="宋体" w:eastAsia="宋体" w:cs="宋体"/>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0501D3DC">
            <w:pPr>
              <w:adjustRightInd w:val="0"/>
              <w:spacing w:line="300" w:lineRule="auto"/>
              <w:ind w:firstLine="480"/>
              <w:rPr>
                <w:rFonts w:hint="eastAsia" w:ascii="宋体" w:hAnsi="宋体" w:eastAsia="宋体" w:cs="宋体"/>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32295F36">
            <w:pPr>
              <w:adjustRightInd w:val="0"/>
              <w:spacing w:line="300" w:lineRule="auto"/>
              <w:ind w:firstLine="480"/>
              <w:rPr>
                <w:rFonts w:hint="eastAsia" w:ascii="宋体" w:hAnsi="宋体" w:eastAsia="宋体" w:cs="宋体"/>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78366E9C">
            <w:pPr>
              <w:adjustRightInd w:val="0"/>
              <w:spacing w:line="300" w:lineRule="auto"/>
              <w:ind w:firstLine="480"/>
              <w:rPr>
                <w:rFonts w:hint="eastAsia" w:ascii="宋体" w:hAnsi="宋体" w:eastAsia="宋体" w:cs="宋体"/>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5B3E4843">
            <w:pPr>
              <w:adjustRightInd w:val="0"/>
              <w:spacing w:line="300" w:lineRule="auto"/>
              <w:ind w:firstLine="480"/>
              <w:rPr>
                <w:rFonts w:hint="eastAsia" w:ascii="宋体" w:hAnsi="宋体" w:eastAsia="宋体" w:cs="宋体"/>
                <w:color w:val="auto"/>
                <w:szCs w:val="21"/>
                <w:highlight w:val="none"/>
              </w:rPr>
            </w:pPr>
          </w:p>
        </w:tc>
      </w:tr>
      <w:tr w14:paraId="4330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31677A12">
            <w:pPr>
              <w:adjustRightInd w:val="0"/>
              <w:spacing w:line="300" w:lineRule="auto"/>
              <w:ind w:firstLine="480"/>
              <w:rPr>
                <w:rFonts w:hint="eastAsia" w:ascii="宋体" w:hAnsi="宋体" w:eastAsia="宋体" w:cs="宋体"/>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69C2D695">
            <w:pPr>
              <w:adjustRightInd w:val="0"/>
              <w:spacing w:line="300" w:lineRule="auto"/>
              <w:ind w:firstLine="480"/>
              <w:rPr>
                <w:rFonts w:hint="eastAsia" w:ascii="宋体" w:hAnsi="宋体" w:eastAsia="宋体" w:cs="宋体"/>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72AF0E5B">
            <w:pPr>
              <w:adjustRightInd w:val="0"/>
              <w:spacing w:line="300" w:lineRule="auto"/>
              <w:ind w:firstLine="480"/>
              <w:rPr>
                <w:rFonts w:hint="eastAsia" w:ascii="宋体" w:hAnsi="宋体" w:eastAsia="宋体" w:cs="宋体"/>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40C6BF68">
            <w:pPr>
              <w:adjustRightInd w:val="0"/>
              <w:spacing w:line="300" w:lineRule="auto"/>
              <w:ind w:firstLine="480"/>
              <w:rPr>
                <w:rFonts w:hint="eastAsia" w:ascii="宋体" w:hAnsi="宋体" w:eastAsia="宋体" w:cs="宋体"/>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23A9C67C">
            <w:pPr>
              <w:adjustRightInd w:val="0"/>
              <w:spacing w:line="300" w:lineRule="auto"/>
              <w:ind w:firstLine="480"/>
              <w:rPr>
                <w:rFonts w:hint="eastAsia" w:ascii="宋体" w:hAnsi="宋体" w:eastAsia="宋体" w:cs="宋体"/>
                <w:color w:val="auto"/>
                <w:szCs w:val="21"/>
                <w:highlight w:val="none"/>
              </w:rPr>
            </w:pPr>
          </w:p>
        </w:tc>
      </w:tr>
      <w:tr w14:paraId="7572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2DBC4C6D">
            <w:pPr>
              <w:adjustRightInd w:val="0"/>
              <w:spacing w:line="300" w:lineRule="auto"/>
              <w:ind w:firstLine="480"/>
              <w:rPr>
                <w:rFonts w:hint="eastAsia" w:ascii="宋体" w:hAnsi="宋体" w:eastAsia="宋体" w:cs="宋体"/>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2BCCCFDC">
            <w:pPr>
              <w:adjustRightInd w:val="0"/>
              <w:spacing w:line="300" w:lineRule="auto"/>
              <w:ind w:firstLine="480"/>
              <w:rPr>
                <w:rFonts w:hint="eastAsia" w:ascii="宋体" w:hAnsi="宋体" w:eastAsia="宋体" w:cs="宋体"/>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6B4EF1BA">
            <w:pPr>
              <w:adjustRightInd w:val="0"/>
              <w:spacing w:line="300" w:lineRule="auto"/>
              <w:ind w:firstLine="480"/>
              <w:rPr>
                <w:rFonts w:hint="eastAsia" w:ascii="宋体" w:hAnsi="宋体" w:eastAsia="宋体" w:cs="宋体"/>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4E9C5F5C">
            <w:pPr>
              <w:adjustRightInd w:val="0"/>
              <w:spacing w:line="300" w:lineRule="auto"/>
              <w:ind w:firstLine="480"/>
              <w:rPr>
                <w:rFonts w:hint="eastAsia" w:ascii="宋体" w:hAnsi="宋体" w:eastAsia="宋体" w:cs="宋体"/>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600330C0">
            <w:pPr>
              <w:adjustRightInd w:val="0"/>
              <w:spacing w:line="300" w:lineRule="auto"/>
              <w:ind w:firstLine="480"/>
              <w:rPr>
                <w:rFonts w:hint="eastAsia" w:ascii="宋体" w:hAnsi="宋体" w:eastAsia="宋体" w:cs="宋体"/>
                <w:color w:val="auto"/>
                <w:szCs w:val="21"/>
                <w:highlight w:val="none"/>
              </w:rPr>
            </w:pPr>
          </w:p>
        </w:tc>
      </w:tr>
      <w:tr w14:paraId="22B4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350BF72C">
            <w:pPr>
              <w:adjustRightInd w:val="0"/>
              <w:spacing w:line="300" w:lineRule="auto"/>
              <w:ind w:firstLine="480"/>
              <w:rPr>
                <w:rFonts w:hint="eastAsia" w:ascii="宋体" w:hAnsi="宋体" w:eastAsia="宋体" w:cs="宋体"/>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27162F5F">
            <w:pPr>
              <w:adjustRightInd w:val="0"/>
              <w:spacing w:line="300" w:lineRule="auto"/>
              <w:ind w:firstLine="480"/>
              <w:rPr>
                <w:rFonts w:hint="eastAsia" w:ascii="宋体" w:hAnsi="宋体" w:eastAsia="宋体" w:cs="宋体"/>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192427EE">
            <w:pPr>
              <w:adjustRightInd w:val="0"/>
              <w:spacing w:line="300" w:lineRule="auto"/>
              <w:ind w:firstLine="480"/>
              <w:rPr>
                <w:rFonts w:hint="eastAsia" w:ascii="宋体" w:hAnsi="宋体" w:eastAsia="宋体" w:cs="宋体"/>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1B1C95D4">
            <w:pPr>
              <w:adjustRightInd w:val="0"/>
              <w:spacing w:line="300" w:lineRule="auto"/>
              <w:ind w:firstLine="480"/>
              <w:rPr>
                <w:rFonts w:hint="eastAsia" w:ascii="宋体" w:hAnsi="宋体" w:eastAsia="宋体" w:cs="宋体"/>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32AC9A9E">
            <w:pPr>
              <w:adjustRightInd w:val="0"/>
              <w:spacing w:line="300" w:lineRule="auto"/>
              <w:ind w:firstLine="480"/>
              <w:rPr>
                <w:rFonts w:hint="eastAsia" w:ascii="宋体" w:hAnsi="宋体" w:eastAsia="宋体" w:cs="宋体"/>
                <w:color w:val="auto"/>
                <w:szCs w:val="21"/>
                <w:highlight w:val="none"/>
              </w:rPr>
            </w:pPr>
          </w:p>
        </w:tc>
      </w:tr>
      <w:tr w14:paraId="4922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00F9EB02">
            <w:pPr>
              <w:adjustRightInd w:val="0"/>
              <w:spacing w:line="300" w:lineRule="auto"/>
              <w:ind w:firstLine="48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723" w:type="dxa"/>
            <w:tcBorders>
              <w:top w:val="single" w:color="auto" w:sz="4" w:space="0"/>
              <w:left w:val="single" w:color="auto" w:sz="4" w:space="0"/>
              <w:bottom w:val="single" w:color="auto" w:sz="4" w:space="0"/>
              <w:right w:val="single" w:color="auto" w:sz="4" w:space="0"/>
            </w:tcBorders>
            <w:noWrap/>
            <w:vAlign w:val="center"/>
          </w:tcPr>
          <w:p w14:paraId="0EB9553D">
            <w:pPr>
              <w:adjustRightInd w:val="0"/>
              <w:spacing w:line="300" w:lineRule="auto"/>
              <w:ind w:firstLine="480"/>
              <w:rPr>
                <w:rFonts w:hint="eastAsia" w:ascii="宋体" w:hAnsi="宋体" w:eastAsia="宋体" w:cs="宋体"/>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7707D0C3">
            <w:pPr>
              <w:adjustRightInd w:val="0"/>
              <w:spacing w:line="300" w:lineRule="auto"/>
              <w:ind w:firstLine="480"/>
              <w:rPr>
                <w:rFonts w:hint="eastAsia" w:ascii="宋体" w:hAnsi="宋体" w:eastAsia="宋体" w:cs="宋体"/>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01E0B8C0">
            <w:pPr>
              <w:adjustRightInd w:val="0"/>
              <w:spacing w:line="300" w:lineRule="auto"/>
              <w:ind w:firstLine="480"/>
              <w:rPr>
                <w:rFonts w:hint="eastAsia" w:ascii="宋体" w:hAnsi="宋体" w:eastAsia="宋体" w:cs="宋体"/>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251C48D6">
            <w:pPr>
              <w:adjustRightInd w:val="0"/>
              <w:spacing w:line="300" w:lineRule="auto"/>
              <w:ind w:firstLine="480"/>
              <w:rPr>
                <w:rFonts w:hint="eastAsia" w:ascii="宋体" w:hAnsi="宋体" w:eastAsia="宋体" w:cs="宋体"/>
                <w:color w:val="auto"/>
                <w:szCs w:val="21"/>
                <w:highlight w:val="none"/>
              </w:rPr>
            </w:pPr>
          </w:p>
        </w:tc>
      </w:tr>
    </w:tbl>
    <w:p w14:paraId="70344940">
      <w:pPr>
        <w:tabs>
          <w:tab w:val="left" w:pos="1635"/>
        </w:tabs>
        <w:spacing w:line="380" w:lineRule="exact"/>
        <w:ind w:firstLine="435" w:firstLineChars="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附：</w:t>
      </w:r>
      <w:r>
        <w:rPr>
          <w:rFonts w:hint="eastAsia" w:ascii="宋体" w:hAnsi="宋体" w:eastAsia="宋体" w:cs="宋体"/>
          <w:b/>
          <w:bCs/>
          <w:color w:val="auto"/>
          <w:sz w:val="21"/>
          <w:szCs w:val="21"/>
          <w:highlight w:val="none"/>
          <w:lang w:eastAsia="zh-CN"/>
        </w:rPr>
        <w:t>响应文件中必须同时提供：</w:t>
      </w:r>
    </w:p>
    <w:p w14:paraId="75A529D9">
      <w:pPr>
        <w:spacing w:line="400" w:lineRule="exact"/>
        <w:ind w:firstLine="420"/>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①项目经理（1人）：提供拟投入的项目经理建筑工程专业二级以上（含二级）注册建造师执业资格证书复印件，具备有效的安全生产考核合格证书（B类）证书复印件及身份证复印件；</w:t>
      </w:r>
    </w:p>
    <w:p w14:paraId="748C10D5">
      <w:pPr>
        <w:spacing w:line="400" w:lineRule="exact"/>
        <w:ind w:firstLine="420"/>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②技术负责人（1人）：提供拟投入的技术负责人相关专业中级及以上职称证复印件及身份证复印件；</w:t>
      </w:r>
    </w:p>
    <w:p w14:paraId="64FEC3DB">
      <w:pPr>
        <w:spacing w:line="400" w:lineRule="exact"/>
        <w:ind w:firstLine="420"/>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③专职安全生产管理人员（1人）：提供拟投入的专职安全生产管理人员须具有相应有效的专职安全员安全生产考核合格证书（C类）复印件及身份证复印件；</w:t>
      </w:r>
    </w:p>
    <w:p w14:paraId="3562D82B">
      <w:pPr>
        <w:spacing w:line="400" w:lineRule="exact"/>
        <w:ind w:firstLine="420"/>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④施工员、质量员、材料员（各配备1人）：提供拟投入的施工员、质量员、材料员须具有相应有效的施工现场专业人员职业培训合格证书复印件及身份证复印件；</w:t>
      </w:r>
    </w:p>
    <w:p w14:paraId="361D7FF4">
      <w:pPr>
        <w:spacing w:line="400" w:lineRule="exact"/>
        <w:ind w:firstLine="420"/>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⑤供应商具有</w:t>
      </w:r>
      <w:r>
        <w:rPr>
          <w:rFonts w:hint="eastAsia" w:ascii="宋体" w:hAnsi="宋体" w:eastAsia="宋体" w:cs="宋体"/>
          <w:b w:val="0"/>
          <w:bCs w:val="0"/>
          <w:color w:val="auto"/>
          <w:sz w:val="21"/>
          <w:szCs w:val="21"/>
          <w:highlight w:val="none"/>
          <w:lang w:val="en-US"/>
        </w:rPr>
        <w:t>202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rPr>
        <w:t>年以来任意1个月为</w:t>
      </w:r>
      <w:r>
        <w:rPr>
          <w:rFonts w:hint="eastAsia" w:ascii="宋体" w:hAnsi="宋体" w:eastAsia="宋体" w:cs="宋体"/>
          <w:b w:val="0"/>
          <w:bCs w:val="0"/>
          <w:color w:val="auto"/>
          <w:sz w:val="21"/>
          <w:szCs w:val="21"/>
          <w:highlight w:val="none"/>
          <w:lang w:val="en-US" w:eastAsia="zh-CN"/>
        </w:rPr>
        <w:t>以上</w:t>
      </w:r>
      <w:r>
        <w:rPr>
          <w:rFonts w:hint="eastAsia" w:ascii="宋体" w:hAnsi="宋体" w:eastAsia="宋体" w:cs="宋体"/>
          <w:b w:val="0"/>
          <w:bCs w:val="0"/>
          <w:color w:val="auto"/>
          <w:sz w:val="21"/>
          <w:szCs w:val="21"/>
          <w:highlight w:val="none"/>
          <w:lang w:val="en-US"/>
        </w:rPr>
        <w:t>项目经理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技术负责人</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专职安全生产管理人员</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施工员、质量员、材料员</w:t>
      </w:r>
      <w:r>
        <w:rPr>
          <w:rFonts w:hint="eastAsia" w:ascii="宋体" w:hAnsi="宋体" w:eastAsia="宋体" w:cs="宋体"/>
          <w:b w:val="0"/>
          <w:bCs w:val="0"/>
          <w:color w:val="auto"/>
          <w:sz w:val="21"/>
          <w:szCs w:val="21"/>
          <w:highlight w:val="none"/>
          <w:lang w:val="en-US" w:eastAsia="zh-CN"/>
        </w:rPr>
        <w:t>缴纳</w:t>
      </w:r>
      <w:r>
        <w:rPr>
          <w:rFonts w:hint="eastAsia" w:ascii="宋体" w:hAnsi="宋体" w:eastAsia="宋体" w:cs="宋体"/>
          <w:b w:val="0"/>
          <w:bCs w:val="0"/>
          <w:color w:val="auto"/>
          <w:sz w:val="21"/>
          <w:szCs w:val="21"/>
          <w:highlight w:val="none"/>
          <w:lang w:val="en-US"/>
        </w:rPr>
        <w:t>的社保证明材料或供应商与其签订的有效劳动合同</w:t>
      </w:r>
      <w:r>
        <w:rPr>
          <w:rFonts w:hint="eastAsia" w:ascii="宋体" w:hAnsi="宋体" w:eastAsia="宋体" w:cs="宋体"/>
          <w:b w:val="0"/>
          <w:bCs w:val="0"/>
          <w:color w:val="auto"/>
          <w:sz w:val="21"/>
          <w:szCs w:val="21"/>
          <w:highlight w:val="none"/>
          <w:lang w:val="en-US" w:eastAsia="zh-CN"/>
        </w:rPr>
        <w:t>。</w:t>
      </w:r>
    </w:p>
    <w:p w14:paraId="76F0206F">
      <w:pPr>
        <w:snapToGrid w:val="0"/>
        <w:spacing w:line="400" w:lineRule="exact"/>
        <w:ind w:firstLine="0" w:firstLineChars="0"/>
        <w:rPr>
          <w:rFonts w:hint="eastAsia" w:ascii="宋体" w:hAnsi="宋体" w:eastAsia="宋体" w:cs="宋体"/>
          <w:color w:val="auto"/>
          <w:sz w:val="21"/>
          <w:szCs w:val="21"/>
          <w:highlight w:val="none"/>
        </w:rPr>
      </w:pPr>
    </w:p>
    <w:p w14:paraId="24C292A7">
      <w:pPr>
        <w:snapToGrid w:val="0"/>
        <w:spacing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w:t>
      </w:r>
      <w:r>
        <w:rPr>
          <w:rFonts w:hint="eastAsia" w:ascii="宋体" w:hAnsi="宋体" w:eastAsia="宋体" w:cs="宋体"/>
          <w:b/>
          <w:color w:val="auto"/>
          <w:sz w:val="21"/>
          <w:szCs w:val="21"/>
          <w:highlight w:val="none"/>
        </w:rPr>
        <w:t>（电子签章）</w:t>
      </w:r>
      <w:r>
        <w:rPr>
          <w:rFonts w:hint="eastAsia" w:ascii="宋体" w:hAnsi="宋体" w:eastAsia="宋体" w:cs="宋体"/>
          <w:color w:val="auto"/>
          <w:sz w:val="21"/>
          <w:szCs w:val="21"/>
          <w:highlight w:val="none"/>
        </w:rPr>
        <w:t>：</w:t>
      </w:r>
    </w:p>
    <w:p w14:paraId="5780D06E">
      <w:pPr>
        <w:spacing w:line="340" w:lineRule="exact"/>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法定代表人或委托代理人签字</w:t>
      </w:r>
      <w:r>
        <w:rPr>
          <w:rFonts w:hint="eastAsia" w:ascii="宋体" w:hAnsi="宋体" w:eastAsia="宋体" w:cs="宋体"/>
          <w:b/>
          <w:color w:val="auto"/>
          <w:sz w:val="21"/>
          <w:szCs w:val="21"/>
          <w:highlight w:val="none"/>
        </w:rPr>
        <w:t>（或电子签名）</w:t>
      </w:r>
      <w:r>
        <w:rPr>
          <w:rFonts w:hint="eastAsia" w:ascii="宋体" w:hAnsi="宋体" w:eastAsia="宋体" w:cs="宋体"/>
          <w:color w:val="auto"/>
          <w:sz w:val="21"/>
          <w:szCs w:val="24"/>
          <w:highlight w:val="none"/>
        </w:rPr>
        <w:t>：</w:t>
      </w:r>
    </w:p>
    <w:p w14:paraId="03C8FBE8">
      <w:pPr>
        <w:spacing w:line="400" w:lineRule="exact"/>
        <w:ind w:firstLine="0" w:firstLineChars="0"/>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日          期：</w:t>
      </w:r>
    </w:p>
    <w:p w14:paraId="074593EB">
      <w:pPr>
        <w:spacing w:line="380" w:lineRule="exact"/>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eastAsia" w:ascii="宋体" w:hAnsi="宋体" w:eastAsia="宋体" w:cs="宋体"/>
          <w:b/>
          <w:color w:val="auto"/>
          <w:sz w:val="28"/>
          <w:szCs w:val="28"/>
          <w:highlight w:val="none"/>
          <w:lang w:eastAsia="zh-CN"/>
        </w:rPr>
        <w:t>文</w:t>
      </w:r>
      <w:r>
        <w:rPr>
          <w:rFonts w:hint="eastAsia" w:ascii="宋体" w:hAnsi="宋体" w:eastAsia="宋体" w:cs="宋体"/>
          <w:b/>
          <w:color w:val="auto"/>
          <w:sz w:val="28"/>
          <w:szCs w:val="28"/>
          <w:highlight w:val="none"/>
        </w:rPr>
        <w:t>除外）】（必须提供）</w:t>
      </w:r>
    </w:p>
    <w:p w14:paraId="13485931">
      <w:pPr>
        <w:pStyle w:val="26"/>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599276D4">
      <w:pPr>
        <w:pStyle w:val="26"/>
        <w:spacing w:line="400" w:lineRule="exact"/>
        <w:rPr>
          <w:rFonts w:hint="eastAsia" w:ascii="宋体" w:hAnsi="宋体" w:eastAsia="宋体" w:cs="宋体"/>
          <w:b/>
          <w:color w:val="auto"/>
          <w:sz w:val="32"/>
          <w:szCs w:val="32"/>
          <w:highlight w:val="none"/>
        </w:rPr>
      </w:pPr>
    </w:p>
    <w:p w14:paraId="62E58E89">
      <w:pPr>
        <w:pStyle w:val="26"/>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承诺函（格式）</w:t>
      </w:r>
    </w:p>
    <w:p w14:paraId="1B9A10B6">
      <w:pPr>
        <w:pStyle w:val="26"/>
        <w:spacing w:line="400" w:lineRule="exact"/>
        <w:jc w:val="center"/>
        <w:rPr>
          <w:rFonts w:hint="eastAsia" w:ascii="宋体" w:hAnsi="宋体" w:eastAsia="宋体" w:cs="宋体"/>
          <w:b/>
          <w:color w:val="auto"/>
          <w:sz w:val="32"/>
          <w:szCs w:val="32"/>
          <w:highlight w:val="none"/>
        </w:rPr>
      </w:pPr>
    </w:p>
    <w:p w14:paraId="007FE206">
      <w:pPr>
        <w:pStyle w:val="26"/>
        <w:spacing w:line="400" w:lineRule="exact"/>
        <w:rPr>
          <w:rFonts w:hint="eastAsia" w:ascii="宋体" w:hAnsi="宋体" w:eastAsia="宋体" w:cs="宋体"/>
          <w:b/>
          <w:color w:val="auto"/>
          <w:sz w:val="21"/>
          <w:highlight w:val="none"/>
        </w:rPr>
      </w:pPr>
      <w:r>
        <w:rPr>
          <w:rFonts w:hint="eastAsia" w:ascii="宋体" w:hAnsi="宋体" w:eastAsia="宋体" w:cs="宋体"/>
          <w:b/>
          <w:color w:val="auto"/>
          <w:sz w:val="21"/>
          <w:highlight w:val="none"/>
          <w:lang w:eastAsia="zh-CN"/>
        </w:rPr>
        <w:t>阳朔县人民医院</w:t>
      </w:r>
      <w:r>
        <w:rPr>
          <w:rFonts w:hint="eastAsia" w:ascii="宋体" w:hAnsi="宋体" w:eastAsia="宋体" w:cs="宋体"/>
          <w:b/>
          <w:color w:val="auto"/>
          <w:sz w:val="21"/>
          <w:highlight w:val="none"/>
        </w:rPr>
        <w:t>：</w:t>
      </w:r>
    </w:p>
    <w:p w14:paraId="450EB3BB">
      <w:pPr>
        <w:pStyle w:val="26"/>
        <w:spacing w:line="400" w:lineRule="exac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 xml:space="preserve">    我公司郑重承诺：</w:t>
      </w:r>
    </w:p>
    <w:p w14:paraId="6011E593">
      <w:pPr>
        <w:pStyle w:val="26"/>
        <w:spacing w:line="400" w:lineRule="exac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 xml:space="preserve">    （1）我公司在人员、设备、资金等方面具有与</w:t>
      </w:r>
      <w:r>
        <w:rPr>
          <w:rFonts w:hint="eastAsia" w:ascii="宋体" w:hAnsi="宋体" w:cs="宋体"/>
          <w:b/>
          <w:color w:val="auto"/>
          <w:sz w:val="21"/>
          <w:highlight w:val="none"/>
          <w:lang w:eastAsia="zh-CN"/>
        </w:rPr>
        <w:t>阳朔县中医药适宜技术推广中心</w:t>
      </w:r>
      <w:r>
        <w:rPr>
          <w:rFonts w:hint="eastAsia" w:ascii="宋体" w:hAnsi="宋体" w:eastAsia="宋体" w:cs="宋体"/>
          <w:b/>
          <w:color w:val="auto"/>
          <w:sz w:val="21"/>
          <w:highlight w:val="none"/>
        </w:rPr>
        <w:t>（</w:t>
      </w:r>
      <w:r>
        <w:rPr>
          <w:rFonts w:hint="eastAsia" w:ascii="宋体" w:hAnsi="宋体" w:cs="宋体"/>
          <w:b/>
          <w:color w:val="auto"/>
          <w:sz w:val="21"/>
          <w:highlight w:val="none"/>
          <w:lang w:eastAsia="zh-CN"/>
        </w:rPr>
        <w:t>GLZC2026-C2-210036-GXDY</w:t>
      </w:r>
      <w:r>
        <w:rPr>
          <w:rFonts w:hint="eastAsia" w:ascii="宋体" w:hAnsi="宋体" w:eastAsia="宋体" w:cs="宋体"/>
          <w:b/>
          <w:color w:val="auto"/>
          <w:sz w:val="21"/>
          <w:highlight w:val="none"/>
        </w:rPr>
        <w:t>）的相应的</w:t>
      </w:r>
      <w:r>
        <w:rPr>
          <w:rFonts w:hint="eastAsia" w:ascii="宋体" w:hAnsi="宋体" w:eastAsia="宋体" w:cs="宋体"/>
          <w:b/>
          <w:color w:val="auto"/>
          <w:sz w:val="21"/>
          <w:highlight w:val="none"/>
          <w:lang w:eastAsia="zh-CN"/>
        </w:rPr>
        <w:t>履约</w:t>
      </w:r>
      <w:r>
        <w:rPr>
          <w:rFonts w:hint="eastAsia" w:ascii="宋体" w:hAnsi="宋体" w:eastAsia="宋体" w:cs="宋体"/>
          <w:b/>
          <w:color w:val="auto"/>
          <w:sz w:val="21"/>
          <w:highlight w:val="none"/>
        </w:rPr>
        <w:t>能力。</w:t>
      </w:r>
    </w:p>
    <w:p w14:paraId="29A11923">
      <w:pPr>
        <w:pStyle w:val="26"/>
        <w:spacing w:line="400" w:lineRule="exac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 xml:space="preserve">    （2）我公司未拟派其他在建、已中标（或成交）未开工或已列为其他项目中标（或成交）候选人第一名的建造师作为项目经理（符合桂建管﹝2013﹞17号文及桂建管﹝2016﹞70号</w:t>
      </w:r>
      <w:r>
        <w:rPr>
          <w:rFonts w:hint="eastAsia" w:ascii="宋体" w:hAnsi="宋体" w:eastAsia="宋体" w:cs="宋体"/>
          <w:b/>
          <w:color w:val="auto"/>
          <w:sz w:val="21"/>
          <w:highlight w:val="none"/>
          <w:lang w:eastAsia="zh-CN"/>
        </w:rPr>
        <w:t>文</w:t>
      </w:r>
      <w:r>
        <w:rPr>
          <w:rFonts w:hint="eastAsia" w:ascii="宋体" w:hAnsi="宋体" w:eastAsia="宋体" w:cs="宋体"/>
          <w:b/>
          <w:color w:val="auto"/>
          <w:sz w:val="21"/>
          <w:highlight w:val="none"/>
        </w:rPr>
        <w:t>除外）。</w:t>
      </w:r>
    </w:p>
    <w:p w14:paraId="244E1A4D">
      <w:pPr>
        <w:pStyle w:val="26"/>
        <w:spacing w:line="400" w:lineRule="exact"/>
        <w:rPr>
          <w:rFonts w:hint="eastAsia" w:ascii="宋体" w:hAnsi="宋体" w:eastAsia="宋体" w:cs="宋体"/>
          <w:b/>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b/>
          <w:color w:val="auto"/>
          <w:sz w:val="21"/>
          <w:highlight w:val="none"/>
        </w:rPr>
        <w:t>我公司对上述承诺承担一切法律责任。</w:t>
      </w:r>
    </w:p>
    <w:p w14:paraId="6353B37E">
      <w:pPr>
        <w:pStyle w:val="26"/>
        <w:spacing w:line="400" w:lineRule="exact"/>
        <w:rPr>
          <w:rFonts w:hint="eastAsia" w:ascii="宋体" w:hAnsi="宋体" w:eastAsia="宋体" w:cs="宋体"/>
          <w:b/>
          <w:color w:val="auto"/>
          <w:sz w:val="32"/>
          <w:szCs w:val="32"/>
          <w:highlight w:val="none"/>
        </w:rPr>
      </w:pPr>
    </w:p>
    <w:p w14:paraId="1D19D978">
      <w:pPr>
        <w:pStyle w:val="26"/>
        <w:spacing w:line="400" w:lineRule="exact"/>
        <w:rPr>
          <w:rFonts w:hint="eastAsia" w:ascii="宋体" w:hAnsi="宋体" w:eastAsia="宋体" w:cs="宋体"/>
          <w:b/>
          <w:color w:val="auto"/>
          <w:sz w:val="32"/>
          <w:szCs w:val="32"/>
          <w:highlight w:val="none"/>
        </w:rPr>
      </w:pPr>
    </w:p>
    <w:p w14:paraId="03B88B44">
      <w:pPr>
        <w:pStyle w:val="26"/>
        <w:spacing w:line="400" w:lineRule="exact"/>
        <w:rPr>
          <w:rFonts w:hint="eastAsia" w:ascii="宋体" w:hAnsi="宋体" w:eastAsia="宋体" w:cs="宋体"/>
          <w:b/>
          <w:color w:val="auto"/>
          <w:sz w:val="32"/>
          <w:szCs w:val="32"/>
          <w:highlight w:val="none"/>
        </w:rPr>
      </w:pPr>
    </w:p>
    <w:p w14:paraId="59C36BCB">
      <w:pPr>
        <w:pStyle w:val="26"/>
        <w:spacing w:line="400" w:lineRule="exact"/>
        <w:rPr>
          <w:rFonts w:hint="eastAsia" w:ascii="宋体" w:hAnsi="宋体" w:eastAsia="宋体" w:cs="宋体"/>
          <w:b/>
          <w:color w:val="auto"/>
          <w:sz w:val="32"/>
          <w:szCs w:val="32"/>
          <w:highlight w:val="none"/>
        </w:rPr>
      </w:pPr>
    </w:p>
    <w:p w14:paraId="390B3E83">
      <w:pPr>
        <w:snapToGrid w:val="0"/>
        <w:spacing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w:t>
      </w:r>
      <w:r>
        <w:rPr>
          <w:rFonts w:hint="eastAsia" w:ascii="宋体" w:hAnsi="宋体" w:eastAsia="宋体" w:cs="宋体"/>
          <w:b/>
          <w:color w:val="auto"/>
          <w:sz w:val="21"/>
          <w:szCs w:val="21"/>
          <w:highlight w:val="none"/>
        </w:rPr>
        <w:t>（电子签章）</w:t>
      </w:r>
      <w:r>
        <w:rPr>
          <w:rFonts w:hint="eastAsia" w:ascii="宋体" w:hAnsi="宋体" w:eastAsia="宋体" w:cs="宋体"/>
          <w:color w:val="auto"/>
          <w:sz w:val="21"/>
          <w:szCs w:val="21"/>
          <w:highlight w:val="none"/>
        </w:rPr>
        <w:t>：</w:t>
      </w:r>
    </w:p>
    <w:p w14:paraId="7F69F36A">
      <w:pPr>
        <w:spacing w:line="340" w:lineRule="exact"/>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法定代表人或委托代理人签字</w:t>
      </w:r>
      <w:r>
        <w:rPr>
          <w:rFonts w:hint="eastAsia" w:ascii="宋体" w:hAnsi="宋体" w:eastAsia="宋体" w:cs="宋体"/>
          <w:b/>
          <w:color w:val="auto"/>
          <w:sz w:val="21"/>
          <w:szCs w:val="21"/>
          <w:highlight w:val="none"/>
        </w:rPr>
        <w:t>（或电子签名）</w:t>
      </w:r>
      <w:r>
        <w:rPr>
          <w:rFonts w:hint="eastAsia" w:ascii="宋体" w:hAnsi="宋体" w:eastAsia="宋体" w:cs="宋体"/>
          <w:color w:val="auto"/>
          <w:sz w:val="21"/>
          <w:szCs w:val="24"/>
          <w:highlight w:val="none"/>
        </w:rPr>
        <w:t>：</w:t>
      </w:r>
    </w:p>
    <w:p w14:paraId="1EAC22D2">
      <w:pPr>
        <w:spacing w:line="400" w:lineRule="exact"/>
        <w:ind w:firstLine="0" w:firstLineChars="0"/>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日          期：</w:t>
      </w:r>
    </w:p>
    <w:p w14:paraId="4CC088C3">
      <w:pPr>
        <w:pStyle w:val="23"/>
        <w:rPr>
          <w:rFonts w:hint="eastAsia" w:ascii="宋体" w:hAnsi="宋体" w:eastAsia="宋体" w:cs="宋体"/>
          <w:color w:val="auto"/>
          <w:sz w:val="21"/>
          <w:highlight w:val="none"/>
        </w:rPr>
      </w:pPr>
    </w:p>
    <w:p w14:paraId="114B7CB5">
      <w:pPr>
        <w:pStyle w:val="23"/>
        <w:rPr>
          <w:rFonts w:hint="eastAsia" w:ascii="宋体" w:hAnsi="宋体" w:eastAsia="宋体" w:cs="宋体"/>
          <w:color w:val="auto"/>
          <w:sz w:val="21"/>
          <w:highlight w:val="none"/>
        </w:rPr>
      </w:pPr>
    </w:p>
    <w:p w14:paraId="17FBD365">
      <w:pPr>
        <w:pStyle w:val="23"/>
        <w:rPr>
          <w:rFonts w:hint="eastAsia" w:ascii="宋体" w:hAnsi="宋体" w:eastAsia="宋体" w:cs="宋体"/>
          <w:color w:val="auto"/>
          <w:sz w:val="21"/>
          <w:highlight w:val="none"/>
        </w:rPr>
      </w:pPr>
    </w:p>
    <w:p w14:paraId="32E9808A">
      <w:pPr>
        <w:pStyle w:val="23"/>
        <w:rPr>
          <w:rFonts w:hint="eastAsia" w:ascii="宋体" w:hAnsi="宋体" w:eastAsia="宋体" w:cs="宋体"/>
          <w:color w:val="auto"/>
          <w:sz w:val="21"/>
          <w:highlight w:val="none"/>
        </w:rPr>
      </w:pPr>
    </w:p>
    <w:p w14:paraId="42F50679">
      <w:pPr>
        <w:pStyle w:val="23"/>
        <w:rPr>
          <w:rFonts w:hint="eastAsia" w:ascii="宋体" w:hAnsi="宋体" w:eastAsia="宋体" w:cs="宋体"/>
          <w:color w:val="auto"/>
          <w:sz w:val="21"/>
          <w:highlight w:val="none"/>
        </w:rPr>
      </w:pPr>
    </w:p>
    <w:p w14:paraId="4D062FB7">
      <w:pPr>
        <w:pStyle w:val="23"/>
        <w:rPr>
          <w:rFonts w:hint="eastAsia" w:ascii="宋体" w:hAnsi="宋体" w:eastAsia="宋体" w:cs="宋体"/>
          <w:b/>
          <w:color w:val="auto"/>
          <w:sz w:val="21"/>
          <w:szCs w:val="21"/>
          <w:highlight w:val="none"/>
        </w:rPr>
      </w:pPr>
    </w:p>
    <w:p w14:paraId="01615E92">
      <w:pPr>
        <w:pStyle w:val="23"/>
        <w:rPr>
          <w:rFonts w:hint="eastAsia" w:ascii="宋体" w:hAnsi="宋体" w:eastAsia="宋体" w:cs="宋体"/>
          <w:b/>
          <w:color w:val="auto"/>
          <w:sz w:val="21"/>
          <w:szCs w:val="21"/>
          <w:highlight w:val="none"/>
        </w:rPr>
      </w:pPr>
    </w:p>
    <w:p w14:paraId="0F75A769">
      <w:pPr>
        <w:pStyle w:val="23"/>
        <w:rPr>
          <w:rFonts w:hint="eastAsia" w:ascii="宋体" w:hAnsi="宋体" w:eastAsia="宋体" w:cs="宋体"/>
          <w:b/>
          <w:color w:val="auto"/>
          <w:sz w:val="21"/>
          <w:szCs w:val="21"/>
          <w:highlight w:val="none"/>
        </w:rPr>
      </w:pPr>
    </w:p>
    <w:p w14:paraId="2FA42C9B">
      <w:pPr>
        <w:pStyle w:val="23"/>
        <w:rPr>
          <w:rFonts w:hint="eastAsia" w:ascii="宋体" w:hAnsi="宋体" w:eastAsia="宋体" w:cs="宋体"/>
          <w:b/>
          <w:color w:val="auto"/>
          <w:sz w:val="21"/>
          <w:szCs w:val="21"/>
          <w:highlight w:val="none"/>
        </w:rPr>
      </w:pPr>
    </w:p>
    <w:p w14:paraId="485003E6">
      <w:pPr>
        <w:pStyle w:val="23"/>
        <w:rPr>
          <w:rFonts w:hint="eastAsia" w:ascii="宋体" w:hAnsi="宋体" w:eastAsia="宋体" w:cs="宋体"/>
          <w:b/>
          <w:color w:val="auto"/>
          <w:sz w:val="21"/>
          <w:szCs w:val="21"/>
          <w:highlight w:val="none"/>
        </w:rPr>
      </w:pPr>
    </w:p>
    <w:p w14:paraId="40B2589F">
      <w:pPr>
        <w:pStyle w:val="23"/>
        <w:rPr>
          <w:rFonts w:hint="eastAsia" w:ascii="宋体" w:hAnsi="宋体" w:eastAsia="宋体" w:cs="宋体"/>
          <w:b/>
          <w:color w:val="auto"/>
          <w:sz w:val="21"/>
          <w:szCs w:val="21"/>
          <w:highlight w:val="none"/>
        </w:rPr>
      </w:pPr>
    </w:p>
    <w:p w14:paraId="14FEA7A0">
      <w:pPr>
        <w:pStyle w:val="23"/>
        <w:rPr>
          <w:rFonts w:hint="eastAsia" w:ascii="宋体" w:hAnsi="宋体" w:eastAsia="宋体" w:cs="宋体"/>
          <w:b/>
          <w:color w:val="auto"/>
          <w:sz w:val="21"/>
          <w:szCs w:val="21"/>
          <w:highlight w:val="none"/>
        </w:rPr>
      </w:pPr>
    </w:p>
    <w:p w14:paraId="08717321">
      <w:pPr>
        <w:pStyle w:val="23"/>
        <w:rPr>
          <w:rFonts w:hint="eastAsia" w:ascii="宋体" w:hAnsi="宋体" w:eastAsia="宋体" w:cs="宋体"/>
          <w:b/>
          <w:color w:val="auto"/>
          <w:sz w:val="21"/>
          <w:szCs w:val="21"/>
          <w:highlight w:val="none"/>
        </w:rPr>
      </w:pPr>
    </w:p>
    <w:p w14:paraId="035A6FD7">
      <w:pPr>
        <w:pStyle w:val="23"/>
        <w:rPr>
          <w:rFonts w:hint="eastAsia" w:ascii="宋体" w:hAnsi="宋体" w:eastAsia="宋体" w:cs="宋体"/>
          <w:b/>
          <w:color w:val="auto"/>
          <w:sz w:val="21"/>
          <w:szCs w:val="21"/>
          <w:highlight w:val="none"/>
        </w:rPr>
      </w:pPr>
    </w:p>
    <w:p w14:paraId="3F813D15">
      <w:pPr>
        <w:pStyle w:val="23"/>
        <w:rPr>
          <w:rFonts w:hint="eastAsia" w:ascii="宋体" w:hAnsi="宋体" w:eastAsia="宋体" w:cs="宋体"/>
          <w:b/>
          <w:color w:val="auto"/>
          <w:sz w:val="21"/>
          <w:szCs w:val="21"/>
          <w:highlight w:val="none"/>
        </w:rPr>
      </w:pPr>
    </w:p>
    <w:p w14:paraId="5C112E63">
      <w:pPr>
        <w:pStyle w:val="23"/>
        <w:rPr>
          <w:rFonts w:hint="eastAsia" w:ascii="宋体" w:hAnsi="宋体" w:eastAsia="宋体" w:cs="宋体"/>
          <w:b/>
          <w:color w:val="auto"/>
          <w:sz w:val="21"/>
          <w:szCs w:val="21"/>
          <w:highlight w:val="none"/>
        </w:rPr>
      </w:pPr>
    </w:p>
    <w:p w14:paraId="59C8B859">
      <w:pPr>
        <w:pStyle w:val="23"/>
        <w:rPr>
          <w:rFonts w:hint="eastAsia" w:ascii="宋体" w:hAnsi="宋体" w:eastAsia="宋体" w:cs="宋体"/>
          <w:b/>
          <w:color w:val="auto"/>
          <w:sz w:val="21"/>
          <w:szCs w:val="21"/>
          <w:highlight w:val="none"/>
        </w:rPr>
      </w:pPr>
    </w:p>
    <w:p w14:paraId="65478B8E">
      <w:pPr>
        <w:pStyle w:val="23"/>
        <w:rPr>
          <w:rFonts w:hint="eastAsia" w:ascii="宋体" w:hAnsi="宋体" w:eastAsia="宋体" w:cs="宋体"/>
          <w:b/>
          <w:color w:val="auto"/>
          <w:sz w:val="21"/>
          <w:szCs w:val="21"/>
          <w:highlight w:val="none"/>
        </w:rPr>
      </w:pPr>
    </w:p>
    <w:p w14:paraId="542788E8">
      <w:pPr>
        <w:pStyle w:val="23"/>
        <w:rPr>
          <w:rFonts w:hint="eastAsia" w:ascii="宋体" w:hAnsi="宋体" w:eastAsia="宋体" w:cs="宋体"/>
          <w:b/>
          <w:color w:val="auto"/>
          <w:sz w:val="21"/>
          <w:szCs w:val="21"/>
          <w:highlight w:val="none"/>
        </w:rPr>
      </w:pPr>
    </w:p>
    <w:p w14:paraId="1A2D6B0D">
      <w:pPr>
        <w:pStyle w:val="23"/>
        <w:rPr>
          <w:rFonts w:hint="eastAsia" w:ascii="宋体" w:hAnsi="宋体" w:eastAsia="宋体" w:cs="宋体"/>
          <w:b/>
          <w:color w:val="auto"/>
          <w:sz w:val="21"/>
          <w:szCs w:val="21"/>
          <w:highlight w:val="none"/>
        </w:rPr>
      </w:pPr>
    </w:p>
    <w:p w14:paraId="3C20C82B">
      <w:pPr>
        <w:spacing w:line="380" w:lineRule="exact"/>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11</w:t>
      </w:r>
      <w:r>
        <w:rPr>
          <w:rFonts w:hint="eastAsia" w:ascii="宋体" w:hAnsi="宋体" w:eastAsia="宋体" w:cs="宋体"/>
          <w:b/>
          <w:color w:val="auto"/>
          <w:sz w:val="28"/>
          <w:szCs w:val="28"/>
          <w:highlight w:val="none"/>
        </w:rPr>
        <w:t>）供应商为</w:t>
      </w:r>
      <w:r>
        <w:rPr>
          <w:rFonts w:hint="eastAsia" w:ascii="宋体" w:hAnsi="宋体" w:cs="宋体"/>
          <w:b/>
          <w:color w:val="auto"/>
          <w:sz w:val="28"/>
          <w:szCs w:val="28"/>
          <w:highlight w:val="none"/>
          <w:lang w:eastAsia="zh-CN"/>
        </w:rPr>
        <w:t>中小微企业</w:t>
      </w:r>
      <w:r>
        <w:rPr>
          <w:rFonts w:hint="eastAsia" w:ascii="宋体" w:hAnsi="宋体" w:eastAsia="宋体" w:cs="宋体"/>
          <w:b/>
          <w:color w:val="auto"/>
          <w:sz w:val="28"/>
          <w:szCs w:val="28"/>
          <w:highlight w:val="none"/>
        </w:rPr>
        <w:t>的相关有效证明材料（必须提供）</w:t>
      </w:r>
    </w:p>
    <w:p w14:paraId="50ABE42D">
      <w:pPr>
        <w:pStyle w:val="26"/>
        <w:spacing w:line="400" w:lineRule="exact"/>
        <w:rPr>
          <w:rFonts w:hint="eastAsia" w:ascii="宋体" w:hAnsi="宋体" w:eastAsia="宋体" w:cs="宋体"/>
          <w:b/>
          <w:color w:val="auto"/>
          <w:sz w:val="32"/>
          <w:szCs w:val="32"/>
          <w:highlight w:val="none"/>
        </w:rPr>
      </w:pPr>
      <w:r>
        <w:rPr>
          <w:rFonts w:hint="eastAsia" w:ascii="宋体" w:hAnsi="宋体" w:eastAsia="宋体" w:cs="宋体"/>
          <w:color w:val="auto"/>
          <w:sz w:val="21"/>
          <w:szCs w:val="21"/>
          <w:highlight w:val="none"/>
        </w:rPr>
        <w:t>注：本项目专门面向</w:t>
      </w:r>
      <w:r>
        <w:rPr>
          <w:rFonts w:hint="eastAsia" w:ascii="宋体" w:hAnsi="宋体" w:cs="宋体"/>
          <w:color w:val="auto"/>
          <w:sz w:val="21"/>
          <w:szCs w:val="21"/>
          <w:highlight w:val="none"/>
          <w:lang w:eastAsia="zh-CN"/>
        </w:rPr>
        <w:t>中小微企业</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供应商须满足《政府采购促进中小企业发展管理办法》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财库〔2020〕46号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第二条规定。监狱企业、残疾人福利</w:t>
      </w:r>
      <w:r>
        <w:rPr>
          <w:rFonts w:hint="eastAsia" w:ascii="宋体" w:hAnsi="宋体" w:eastAsia="宋体" w:cs="宋体"/>
          <w:color w:val="auto"/>
          <w:sz w:val="21"/>
          <w:szCs w:val="21"/>
          <w:highlight w:val="none"/>
          <w:lang w:eastAsia="zh-CN"/>
        </w:rPr>
        <w:t>性</w:t>
      </w:r>
      <w:r>
        <w:rPr>
          <w:rFonts w:hint="eastAsia" w:ascii="宋体" w:hAnsi="宋体" w:eastAsia="宋体" w:cs="宋体"/>
          <w:color w:val="auto"/>
          <w:sz w:val="21"/>
          <w:szCs w:val="21"/>
          <w:highlight w:val="none"/>
        </w:rPr>
        <w:t>单位视同小型、微型企业。供应商根据自身情况，相应提供以下证明材料：①供应商如为符合政策要求的</w:t>
      </w:r>
      <w:r>
        <w:rPr>
          <w:rFonts w:hint="eastAsia" w:ascii="宋体" w:hAnsi="宋体" w:cs="宋体"/>
          <w:color w:val="auto"/>
          <w:sz w:val="21"/>
          <w:szCs w:val="21"/>
          <w:highlight w:val="none"/>
          <w:lang w:eastAsia="zh-CN"/>
        </w:rPr>
        <w:t>中小微企业</w:t>
      </w:r>
      <w:r>
        <w:rPr>
          <w:rFonts w:hint="eastAsia" w:ascii="宋体" w:hAnsi="宋体" w:eastAsia="宋体" w:cs="宋体"/>
          <w:color w:val="auto"/>
          <w:sz w:val="21"/>
          <w:szCs w:val="21"/>
          <w:highlight w:val="none"/>
        </w:rPr>
        <w:t>且承接本项目全部工程的，提供《中小企业声明函》。②供应商如属于监狱企业且承接本项目全部工程的，提供由省级以上监狱管理局、戒毒管理局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含新疆生产建设兵团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出具的属于监狱企业的证明文件。③供应商如属于符合条件的残疾人福利性单位且承接本项目全部工程的，提供《残疾人福利性单位声明函》（并对声明的真实性负责）</w:t>
      </w:r>
      <w:r>
        <w:rPr>
          <w:rFonts w:hint="eastAsia" w:ascii="宋体" w:hAnsi="宋体" w:eastAsia="宋体" w:cs="宋体"/>
          <w:bCs/>
          <w:color w:val="auto"/>
          <w:sz w:val="21"/>
          <w:szCs w:val="21"/>
          <w:highlight w:val="none"/>
        </w:rPr>
        <w:t>；</w:t>
      </w:r>
    </w:p>
    <w:p w14:paraId="6D5D61EB">
      <w:pPr>
        <w:pStyle w:val="26"/>
        <w:spacing w:line="4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附件</w:t>
      </w:r>
    </w:p>
    <w:p w14:paraId="328270D4">
      <w:pPr>
        <w:pStyle w:val="43"/>
        <w:snapToGrid w:val="0"/>
        <w:spacing w:line="300" w:lineRule="auto"/>
        <w:jc w:val="center"/>
        <w:rPr>
          <w:rFonts w:hint="eastAsia" w:ascii="宋体" w:hAnsi="宋体" w:eastAsia="宋体" w:cs="宋体"/>
          <w:b/>
          <w:snapToGrid w:val="0"/>
          <w:color w:val="auto"/>
          <w:highlight w:val="none"/>
        </w:rPr>
      </w:pPr>
      <w:r>
        <w:rPr>
          <w:rFonts w:hint="eastAsia" w:ascii="宋体" w:hAnsi="宋体" w:eastAsia="宋体" w:cs="宋体"/>
          <w:b/>
          <w:snapToGrid w:val="0"/>
          <w:color w:val="auto"/>
          <w:highlight w:val="none"/>
        </w:rPr>
        <w:t>中小企业声明函（工程）</w:t>
      </w:r>
    </w:p>
    <w:p w14:paraId="512F439D">
      <w:pPr>
        <w:ind w:firstLine="480"/>
        <w:rPr>
          <w:rFonts w:hint="eastAsia" w:ascii="宋体" w:hAnsi="宋体" w:eastAsia="宋体" w:cs="宋体"/>
          <w:bCs/>
          <w:color w:val="auto"/>
          <w:highlight w:val="none"/>
        </w:rPr>
      </w:pPr>
      <w:r>
        <w:rPr>
          <w:rFonts w:hint="eastAsia" w:ascii="宋体" w:hAnsi="宋体" w:eastAsia="宋体" w:cs="宋体"/>
          <w:bCs/>
          <w:color w:val="auto"/>
          <w:highlight w:val="none"/>
        </w:rPr>
        <w:t>本公司郑重声明，根据《政府采购促进中小企业发展管理办法》（财库﹝2020﹞46号）的规定，本公司参加</w:t>
      </w:r>
      <w:r>
        <w:rPr>
          <w:rFonts w:hint="eastAsia" w:ascii="宋体" w:hAnsi="宋体" w:eastAsia="宋体" w:cs="宋体"/>
          <w:bCs/>
          <w:color w:val="auto"/>
          <w:highlight w:val="none"/>
          <w:u w:val="single"/>
        </w:rPr>
        <w:t>（单位名称）</w:t>
      </w:r>
      <w:r>
        <w:rPr>
          <w:rFonts w:hint="eastAsia" w:ascii="宋体" w:hAnsi="宋体" w:eastAsia="宋体" w:cs="宋体"/>
          <w:bCs/>
          <w:color w:val="auto"/>
          <w:highlight w:val="none"/>
        </w:rPr>
        <w:t>的</w:t>
      </w:r>
      <w:r>
        <w:rPr>
          <w:rFonts w:hint="eastAsia" w:ascii="宋体" w:hAnsi="宋体" w:eastAsia="宋体" w:cs="宋体"/>
          <w:bCs/>
          <w:color w:val="auto"/>
          <w:highlight w:val="none"/>
          <w:u w:val="single"/>
        </w:rPr>
        <w:t>（项目名称）</w:t>
      </w:r>
      <w:r>
        <w:rPr>
          <w:rFonts w:hint="eastAsia" w:ascii="宋体" w:hAnsi="宋体" w:eastAsia="宋体" w:cs="宋体"/>
          <w:bCs/>
          <w:color w:val="auto"/>
          <w:highlight w:val="none"/>
        </w:rPr>
        <w:t>采购活动，工程的施工单位全部为符合政策要求的</w:t>
      </w:r>
      <w:r>
        <w:rPr>
          <w:rFonts w:hint="eastAsia" w:ascii="宋体" w:hAnsi="宋体" w:cs="宋体"/>
          <w:bCs/>
          <w:color w:val="auto"/>
          <w:highlight w:val="none"/>
          <w:lang w:eastAsia="zh-CN"/>
        </w:rPr>
        <w:t>中小微企业</w:t>
      </w:r>
      <w:r>
        <w:rPr>
          <w:rFonts w:hint="eastAsia" w:ascii="宋体" w:hAnsi="宋体" w:eastAsia="宋体" w:cs="宋体"/>
          <w:bCs/>
          <w:color w:val="auto"/>
          <w:highlight w:val="none"/>
        </w:rPr>
        <w:t>。相关企业的具体情况如下：</w:t>
      </w:r>
    </w:p>
    <w:p w14:paraId="1D41CCA2">
      <w:pPr>
        <w:ind w:firstLine="480"/>
        <w:rPr>
          <w:rFonts w:hint="eastAsia" w:ascii="宋体" w:hAnsi="宋体" w:eastAsia="宋体" w:cs="宋体"/>
          <w:bCs/>
          <w:color w:val="auto"/>
          <w:highlight w:val="none"/>
        </w:rPr>
      </w:pPr>
      <w:r>
        <w:rPr>
          <w:rFonts w:hint="eastAsia" w:ascii="宋体" w:hAnsi="宋体" w:eastAsia="宋体" w:cs="宋体"/>
          <w:bCs/>
          <w:color w:val="auto"/>
          <w:highlight w:val="none"/>
        </w:rPr>
        <w:t>1.</w:t>
      </w:r>
      <w:r>
        <w:rPr>
          <w:rFonts w:hint="eastAsia" w:ascii="宋体" w:hAnsi="宋体" w:eastAsia="宋体" w:cs="宋体"/>
          <w:color w:val="auto"/>
          <w:sz w:val="21"/>
          <w:szCs w:val="24"/>
          <w:highlight w:val="none"/>
        </w:rPr>
        <w:t xml:space="preserve"> </w:t>
      </w:r>
      <w:r>
        <w:rPr>
          <w:rFonts w:hint="eastAsia" w:ascii="宋体" w:hAnsi="宋体" w:cs="宋体"/>
          <w:color w:val="auto"/>
          <w:sz w:val="21"/>
          <w:szCs w:val="24"/>
          <w:highlight w:val="none"/>
          <w:u w:val="single"/>
          <w:lang w:val="en-US" w:eastAsia="zh-CN"/>
        </w:rPr>
        <w:t xml:space="preserve"> </w:t>
      </w:r>
      <w:r>
        <w:rPr>
          <w:rFonts w:hint="eastAsia" w:ascii="宋体" w:hAnsi="宋体" w:eastAsia="宋体" w:cs="宋体"/>
          <w:bCs/>
          <w:color w:val="auto"/>
          <w:highlight w:val="none"/>
          <w:u w:val="single"/>
          <w:lang w:val="en-US" w:eastAsia="zh-CN"/>
        </w:rPr>
        <w:t>（标的名称）</w:t>
      </w:r>
      <w:r>
        <w:rPr>
          <w:rFonts w:hint="eastAsia" w:ascii="宋体" w:hAnsi="宋体" w:cs="宋体"/>
          <w:bCs/>
          <w:color w:val="auto"/>
          <w:highlight w:val="none"/>
          <w:u w:val="single"/>
          <w:lang w:val="en-US" w:eastAsia="zh-CN"/>
        </w:rPr>
        <w:t xml:space="preserve"> </w:t>
      </w:r>
      <w:r>
        <w:rPr>
          <w:rFonts w:hint="eastAsia" w:ascii="宋体" w:hAnsi="宋体" w:eastAsia="宋体" w:cs="宋体"/>
          <w:bCs/>
          <w:color w:val="auto"/>
          <w:highlight w:val="none"/>
        </w:rPr>
        <w:t>，属于</w:t>
      </w:r>
      <w:r>
        <w:rPr>
          <w:rFonts w:hint="eastAsia" w:ascii="宋体" w:hAnsi="宋体" w:cs="宋体"/>
          <w:bCs/>
          <w:color w:val="auto"/>
          <w:highlight w:val="none"/>
          <w:u w:val="single"/>
          <w:lang w:val="en-US" w:eastAsia="zh-CN"/>
        </w:rPr>
        <w:t xml:space="preserve"> （文件中明确的所属行业） </w:t>
      </w:r>
      <w:r>
        <w:rPr>
          <w:rFonts w:hint="eastAsia" w:ascii="宋体" w:hAnsi="宋体" w:eastAsia="宋体" w:cs="宋体"/>
          <w:bCs/>
          <w:color w:val="auto"/>
          <w:highlight w:val="none"/>
        </w:rPr>
        <w:t>行业；承建企业为</w:t>
      </w:r>
      <w:r>
        <w:rPr>
          <w:rFonts w:hint="eastAsia" w:ascii="宋体" w:hAnsi="宋体" w:eastAsia="宋体" w:cs="宋体"/>
          <w:bCs/>
          <w:color w:val="auto"/>
          <w:highlight w:val="none"/>
          <w:u w:val="single"/>
        </w:rPr>
        <w:t>（企业名称）</w:t>
      </w:r>
      <w:r>
        <w:rPr>
          <w:rFonts w:hint="eastAsia" w:ascii="宋体" w:hAnsi="宋体" w:eastAsia="宋体" w:cs="宋体"/>
          <w:bCs/>
          <w:color w:val="auto"/>
          <w:highlight w:val="none"/>
        </w:rPr>
        <w:t>，从业人员</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人，营业收入为</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万元，资产总额为</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万元，属于</w:t>
      </w:r>
      <w:r>
        <w:rPr>
          <w:rFonts w:hint="eastAsia" w:ascii="宋体" w:hAnsi="宋体" w:eastAsia="宋体" w:cs="宋体"/>
          <w:bCs/>
          <w:color w:val="auto"/>
          <w:highlight w:val="none"/>
          <w:u w:val="single"/>
        </w:rPr>
        <w:t>（中型企业、 小型企业、微型企业）</w:t>
      </w:r>
      <w:r>
        <w:rPr>
          <w:rFonts w:hint="eastAsia" w:ascii="宋体" w:hAnsi="宋体" w:eastAsia="宋体" w:cs="宋体"/>
          <w:bCs/>
          <w:color w:val="auto"/>
          <w:highlight w:val="none"/>
        </w:rPr>
        <w:t>；</w:t>
      </w:r>
    </w:p>
    <w:p w14:paraId="357EDF77">
      <w:pPr>
        <w:ind w:firstLine="480"/>
        <w:rPr>
          <w:rFonts w:hint="eastAsia" w:ascii="宋体" w:hAnsi="宋体" w:eastAsia="宋体" w:cs="宋体"/>
          <w:bCs/>
          <w:color w:val="auto"/>
          <w:highlight w:val="none"/>
        </w:rPr>
      </w:pPr>
      <w:r>
        <w:rPr>
          <w:rFonts w:hint="eastAsia" w:ascii="宋体" w:hAnsi="宋体" w:eastAsia="宋体" w:cs="宋体"/>
          <w:bCs/>
          <w:color w:val="auto"/>
          <w:highlight w:val="none"/>
        </w:rPr>
        <w:t xml:space="preserve">…… </w:t>
      </w:r>
    </w:p>
    <w:p w14:paraId="5F4F9B24">
      <w:pPr>
        <w:ind w:firstLine="480"/>
        <w:rPr>
          <w:rFonts w:hint="eastAsia" w:ascii="宋体" w:hAnsi="宋体" w:eastAsia="宋体" w:cs="宋体"/>
          <w:bCs/>
          <w:color w:val="auto"/>
          <w:highlight w:val="none"/>
        </w:rPr>
      </w:pPr>
      <w:r>
        <w:rPr>
          <w:rFonts w:hint="eastAsia" w:ascii="宋体" w:hAnsi="宋体" w:eastAsia="宋体" w:cs="宋体"/>
          <w:bCs/>
          <w:color w:val="auto"/>
          <w:highlight w:val="none"/>
        </w:rPr>
        <w:t>以上企业，不属于大企业的分支机构，不存在控股股东为大企业的情形，也不存在与大企业的负责人为同一人的情形。</w:t>
      </w:r>
    </w:p>
    <w:p w14:paraId="0BFFA42D">
      <w:pPr>
        <w:ind w:firstLine="480"/>
        <w:rPr>
          <w:rFonts w:hint="eastAsia" w:ascii="宋体" w:hAnsi="宋体" w:eastAsia="宋体" w:cs="宋体"/>
          <w:bCs/>
          <w:color w:val="auto"/>
          <w:highlight w:val="none"/>
        </w:rPr>
      </w:pPr>
      <w:r>
        <w:rPr>
          <w:rFonts w:hint="eastAsia" w:ascii="宋体" w:hAnsi="宋体" w:eastAsia="宋体" w:cs="宋体"/>
          <w:bCs/>
          <w:color w:val="auto"/>
          <w:highlight w:val="none"/>
        </w:rPr>
        <w:t>本企业对上述声明内容的真实性负责。如有虚假，将依法承担相应责任。</w:t>
      </w:r>
    </w:p>
    <w:p w14:paraId="6949FBA2">
      <w:pPr>
        <w:ind w:firstLine="3600" w:firstLineChars="1500"/>
        <w:rPr>
          <w:rFonts w:hint="eastAsia" w:ascii="宋体" w:hAnsi="宋体" w:eastAsia="宋体" w:cs="宋体"/>
          <w:bCs/>
          <w:color w:val="auto"/>
          <w:highlight w:val="none"/>
        </w:rPr>
      </w:pPr>
    </w:p>
    <w:p w14:paraId="564752E9">
      <w:pPr>
        <w:ind w:firstLine="3600" w:firstLineChars="1500"/>
        <w:rPr>
          <w:rFonts w:hint="eastAsia" w:ascii="宋体" w:hAnsi="宋体" w:eastAsia="宋体" w:cs="宋体"/>
          <w:bCs/>
          <w:color w:val="auto"/>
          <w:highlight w:val="none"/>
        </w:rPr>
      </w:pPr>
      <w:r>
        <w:rPr>
          <w:rFonts w:hint="eastAsia" w:ascii="宋体" w:hAnsi="宋体" w:eastAsia="宋体" w:cs="宋体"/>
          <w:bCs/>
          <w:color w:val="auto"/>
          <w:highlight w:val="none"/>
        </w:rPr>
        <w:t>企业名称（</w:t>
      </w:r>
      <w:r>
        <w:rPr>
          <w:rFonts w:hint="eastAsia" w:ascii="宋体" w:hAnsi="宋体" w:eastAsia="宋体" w:cs="宋体"/>
          <w:color w:val="auto"/>
          <w:spacing w:val="6"/>
          <w:highlight w:val="none"/>
        </w:rPr>
        <w:t>盖</w:t>
      </w:r>
      <w:r>
        <w:rPr>
          <w:rFonts w:hint="eastAsia" w:ascii="宋体" w:hAnsi="宋体" w:eastAsia="宋体" w:cs="宋体"/>
          <w:color w:val="auto"/>
          <w:spacing w:val="6"/>
          <w:highlight w:val="none"/>
          <w:lang w:eastAsia="zh-CN"/>
        </w:rPr>
        <w:t>供应商</w:t>
      </w:r>
      <w:r>
        <w:rPr>
          <w:rFonts w:hint="eastAsia" w:ascii="宋体" w:hAnsi="宋体" w:eastAsia="宋体" w:cs="宋体"/>
          <w:color w:val="auto"/>
          <w:spacing w:val="6"/>
          <w:highlight w:val="none"/>
        </w:rPr>
        <w:t>电子签章</w:t>
      </w:r>
      <w:r>
        <w:rPr>
          <w:rFonts w:hint="eastAsia" w:ascii="宋体" w:hAnsi="宋体" w:eastAsia="宋体" w:cs="宋体"/>
          <w:bCs/>
          <w:color w:val="auto"/>
          <w:highlight w:val="none"/>
        </w:rPr>
        <w:t>）：</w:t>
      </w:r>
    </w:p>
    <w:p w14:paraId="0944A56A">
      <w:pPr>
        <w:ind w:firstLine="3600" w:firstLineChars="1500"/>
        <w:rPr>
          <w:rFonts w:hint="eastAsia" w:ascii="宋体" w:hAnsi="宋体" w:eastAsia="宋体" w:cs="宋体"/>
          <w:bCs/>
          <w:color w:val="auto"/>
          <w:highlight w:val="none"/>
        </w:rPr>
      </w:pPr>
      <w:r>
        <w:rPr>
          <w:rFonts w:hint="eastAsia" w:ascii="宋体" w:hAnsi="宋体" w:eastAsia="宋体" w:cs="宋体"/>
          <w:bCs/>
          <w:color w:val="auto"/>
          <w:highlight w:val="none"/>
        </w:rPr>
        <w:t>日期：</w:t>
      </w:r>
    </w:p>
    <w:p w14:paraId="298A9526">
      <w:pPr>
        <w:spacing w:line="32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p>
    <w:p w14:paraId="44888AC7">
      <w:pPr>
        <w:spacing w:line="32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1.从业人员、营业收入、资产总额填报上一年度数据，无上一年度数据的新成立企业可不填报。</w:t>
      </w:r>
    </w:p>
    <w:p w14:paraId="4540C212">
      <w:pPr>
        <w:spacing w:line="32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cs="宋体"/>
          <w:bCs/>
          <w:color w:val="auto"/>
          <w:sz w:val="21"/>
          <w:szCs w:val="21"/>
          <w:highlight w:val="none"/>
          <w:lang w:eastAsia="zh-CN"/>
        </w:rPr>
        <w:t>中小微企业</w:t>
      </w:r>
      <w:r>
        <w:rPr>
          <w:rFonts w:hint="eastAsia" w:ascii="宋体" w:hAnsi="宋体" w:eastAsia="宋体" w:cs="宋体"/>
          <w:bCs/>
          <w:color w:val="auto"/>
          <w:sz w:val="21"/>
          <w:szCs w:val="21"/>
          <w:highlight w:val="none"/>
        </w:rPr>
        <w:t>在政府采购活动过程中，请根据自己的真实情况出具本声明函。依法享受中小企业优惠政策的，采购人或采购代理机构在公告成交结果时，同时公告其《中小企业声明函》，接受社会监督。</w:t>
      </w:r>
    </w:p>
    <w:p w14:paraId="1F0093CC">
      <w:pPr>
        <w:pStyle w:val="23"/>
        <w:rPr>
          <w:rFonts w:hint="eastAsia" w:ascii="宋体" w:hAnsi="宋体" w:eastAsia="宋体" w:cs="宋体"/>
          <w:b/>
          <w:color w:val="auto"/>
          <w:sz w:val="21"/>
          <w:szCs w:val="21"/>
          <w:highlight w:val="none"/>
        </w:rPr>
      </w:pPr>
      <w:r>
        <w:rPr>
          <w:rFonts w:hint="eastAsia" w:ascii="宋体" w:hAnsi="宋体" w:eastAsia="宋体" w:cs="宋体"/>
          <w:color w:val="auto"/>
          <w:highlight w:val="none"/>
        </w:rPr>
        <w:br w:type="page"/>
      </w:r>
    </w:p>
    <w:p w14:paraId="3BEF62AB">
      <w:pPr>
        <w:spacing w:line="30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12</w:t>
      </w:r>
      <w:r>
        <w:rPr>
          <w:rFonts w:hint="eastAsia" w:ascii="宋体" w:hAnsi="宋体" w:eastAsia="宋体" w:cs="宋体"/>
          <w:b/>
          <w:color w:val="auto"/>
          <w:sz w:val="28"/>
          <w:szCs w:val="28"/>
          <w:highlight w:val="none"/>
        </w:rPr>
        <w:t>）供应商参加政府采购活动前3年内在经营活动中没有重大违法记录及有关信用信息的书面声明或专项信用报告（必须提供）</w:t>
      </w:r>
    </w:p>
    <w:p w14:paraId="69A91BFA">
      <w:pPr>
        <w:spacing w:line="400" w:lineRule="exact"/>
        <w:ind w:firstLine="199" w:firstLineChars="62"/>
        <w:rPr>
          <w:rFonts w:hint="eastAsia" w:ascii="宋体" w:hAnsi="宋体" w:eastAsia="宋体" w:cs="宋体"/>
          <w:b/>
          <w:color w:val="auto"/>
          <w:kern w:val="0"/>
          <w:sz w:val="32"/>
          <w:szCs w:val="32"/>
          <w:highlight w:val="none"/>
        </w:rPr>
      </w:pPr>
    </w:p>
    <w:p w14:paraId="17A32834">
      <w:pPr>
        <w:spacing w:line="400" w:lineRule="exact"/>
        <w:ind w:firstLine="199" w:firstLineChars="62"/>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附件：</w:t>
      </w:r>
    </w:p>
    <w:p w14:paraId="694A1952">
      <w:pPr>
        <w:spacing w:line="400" w:lineRule="exact"/>
        <w:ind w:firstLine="3685" w:firstLineChars="1147"/>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声   明（格式）</w:t>
      </w:r>
    </w:p>
    <w:p w14:paraId="5ABA5519">
      <w:pPr>
        <w:snapToGrid w:val="0"/>
        <w:spacing w:line="400" w:lineRule="exact"/>
        <w:ind w:firstLine="0" w:firstLineChars="0"/>
        <w:rPr>
          <w:rFonts w:hint="eastAsia" w:ascii="宋体" w:hAnsi="宋体" w:eastAsia="宋体" w:cs="宋体"/>
          <w:color w:val="auto"/>
          <w:kern w:val="0"/>
          <w:sz w:val="21"/>
          <w:szCs w:val="24"/>
          <w:highlight w:val="none"/>
          <w:lang w:eastAsia="zh-CN"/>
        </w:rPr>
      </w:pPr>
      <w:r>
        <w:rPr>
          <w:rFonts w:hint="eastAsia" w:ascii="宋体" w:hAnsi="宋体" w:eastAsia="宋体" w:cs="宋体"/>
          <w:b/>
          <w:color w:val="auto"/>
          <w:kern w:val="0"/>
          <w:sz w:val="21"/>
          <w:szCs w:val="21"/>
          <w:highlight w:val="none"/>
        </w:rPr>
        <w:t>致</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4"/>
          <w:highlight w:val="none"/>
          <w:u w:val="single"/>
          <w:lang w:eastAsia="zh-CN"/>
        </w:rPr>
        <w:t>广西德元工程项目管理有限责任公司</w:t>
      </w:r>
    </w:p>
    <w:p w14:paraId="395F9904">
      <w:pPr>
        <w:spacing w:line="240" w:lineRule="auto"/>
        <w:ind w:firstLine="0" w:firstLineChars="0"/>
        <w:rPr>
          <w:rFonts w:hint="eastAsia" w:ascii="宋体" w:hAnsi="宋体" w:eastAsia="宋体" w:cs="宋体"/>
          <w:color w:val="auto"/>
          <w:kern w:val="0"/>
          <w:sz w:val="21"/>
          <w:szCs w:val="24"/>
          <w:highlight w:val="none"/>
        </w:rPr>
      </w:pPr>
    </w:p>
    <w:p w14:paraId="237E0EBD">
      <w:pPr>
        <w:spacing w:line="400" w:lineRule="exact"/>
        <w:ind w:firstLine="42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6082BCC">
      <w:pPr>
        <w:spacing w:line="400" w:lineRule="exact"/>
        <w:ind w:firstLine="420"/>
        <w:rPr>
          <w:rFonts w:hint="eastAsia" w:ascii="宋体" w:hAnsi="宋体" w:eastAsia="宋体" w:cs="宋体"/>
          <w:color w:val="auto"/>
          <w:kern w:val="0"/>
          <w:sz w:val="21"/>
          <w:szCs w:val="20"/>
          <w:highlight w:val="none"/>
        </w:rPr>
      </w:pPr>
    </w:p>
    <w:p w14:paraId="7285015B">
      <w:pPr>
        <w:snapToGrid w:val="0"/>
        <w:spacing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w:t>
      </w:r>
      <w:r>
        <w:rPr>
          <w:rFonts w:hint="eastAsia" w:ascii="宋体" w:hAnsi="宋体" w:eastAsia="宋体" w:cs="宋体"/>
          <w:b/>
          <w:color w:val="auto"/>
          <w:sz w:val="21"/>
          <w:szCs w:val="21"/>
          <w:highlight w:val="none"/>
        </w:rPr>
        <w:t>（</w:t>
      </w:r>
      <w:r>
        <w:rPr>
          <w:rFonts w:hint="eastAsia" w:ascii="宋体" w:hAnsi="宋体" w:eastAsia="宋体" w:cs="宋体"/>
          <w:bCs/>
          <w:color w:val="auto"/>
          <w:sz w:val="21"/>
          <w:szCs w:val="21"/>
          <w:highlight w:val="none"/>
        </w:rPr>
        <w:t>电子签章</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w:t>
      </w:r>
    </w:p>
    <w:p w14:paraId="7391EE80">
      <w:pPr>
        <w:spacing w:line="340" w:lineRule="exact"/>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法定代表人或委托代理人签字</w:t>
      </w:r>
      <w:r>
        <w:rPr>
          <w:rFonts w:hint="eastAsia" w:ascii="宋体" w:hAnsi="宋体" w:eastAsia="宋体" w:cs="宋体"/>
          <w:color w:val="auto"/>
          <w:sz w:val="21"/>
          <w:szCs w:val="20"/>
          <w:highlight w:val="none"/>
        </w:rPr>
        <w:t>（或电子签名）</w:t>
      </w:r>
      <w:r>
        <w:rPr>
          <w:rFonts w:hint="eastAsia" w:ascii="宋体" w:hAnsi="宋体" w:eastAsia="宋体" w:cs="宋体"/>
          <w:color w:val="auto"/>
          <w:sz w:val="21"/>
          <w:szCs w:val="24"/>
          <w:highlight w:val="none"/>
        </w:rPr>
        <w:t>：</w:t>
      </w:r>
    </w:p>
    <w:p w14:paraId="40779AD0">
      <w:pPr>
        <w:pStyle w:val="23"/>
        <w:ind w:left="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日          期：</w:t>
      </w:r>
    </w:p>
    <w:p w14:paraId="477AF035">
      <w:pPr>
        <w:pStyle w:val="23"/>
        <w:ind w:left="0"/>
        <w:rPr>
          <w:rFonts w:hint="eastAsia" w:ascii="宋体" w:hAnsi="宋体" w:eastAsia="宋体" w:cs="宋体"/>
          <w:color w:val="auto"/>
          <w:kern w:val="2"/>
          <w:sz w:val="21"/>
          <w:highlight w:val="none"/>
        </w:rPr>
      </w:pPr>
    </w:p>
    <w:p w14:paraId="525E0881">
      <w:pPr>
        <w:pStyle w:val="23"/>
        <w:ind w:left="0"/>
        <w:rPr>
          <w:rFonts w:hint="eastAsia" w:ascii="宋体" w:hAnsi="宋体" w:eastAsia="宋体" w:cs="宋体"/>
          <w:color w:val="auto"/>
          <w:kern w:val="2"/>
          <w:sz w:val="21"/>
          <w:highlight w:val="none"/>
        </w:rPr>
      </w:pPr>
    </w:p>
    <w:p w14:paraId="7C79223D">
      <w:pPr>
        <w:pStyle w:val="23"/>
        <w:ind w:left="0"/>
        <w:rPr>
          <w:rFonts w:hint="eastAsia" w:ascii="宋体" w:hAnsi="宋体" w:eastAsia="宋体" w:cs="宋体"/>
          <w:color w:val="auto"/>
          <w:kern w:val="2"/>
          <w:sz w:val="21"/>
          <w:highlight w:val="none"/>
        </w:rPr>
      </w:pPr>
    </w:p>
    <w:p w14:paraId="4E237525">
      <w:pPr>
        <w:pStyle w:val="23"/>
        <w:ind w:left="0"/>
        <w:rPr>
          <w:rFonts w:hint="eastAsia" w:ascii="宋体" w:hAnsi="宋体" w:eastAsia="宋体" w:cs="宋体"/>
          <w:color w:val="auto"/>
          <w:kern w:val="2"/>
          <w:sz w:val="21"/>
          <w:highlight w:val="none"/>
        </w:rPr>
      </w:pPr>
    </w:p>
    <w:p w14:paraId="4151F75D">
      <w:pPr>
        <w:spacing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注：供应商为广西经营主体的，可通过信用中国</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广西</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网站 </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http://xygx.fgw.gxzf.gov.cn</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根据注册地信用中国网站的要求获取。</w:t>
      </w:r>
    </w:p>
    <w:p w14:paraId="008B8C59">
      <w:pPr>
        <w:pStyle w:val="23"/>
        <w:ind w:left="0"/>
        <w:rPr>
          <w:rFonts w:hint="eastAsia" w:ascii="宋体" w:hAnsi="宋体" w:eastAsia="宋体" w:cs="宋体"/>
          <w:color w:val="auto"/>
          <w:highlight w:val="none"/>
        </w:rPr>
      </w:pPr>
    </w:p>
    <w:p w14:paraId="0493D27B">
      <w:pPr>
        <w:widowControl/>
        <w:spacing w:line="240" w:lineRule="auto"/>
        <w:ind w:firstLine="0" w:firstLineChars="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br w:type="page"/>
      </w:r>
    </w:p>
    <w:p w14:paraId="4507AA82">
      <w:pPr>
        <w:pStyle w:val="26"/>
        <w:spacing w:line="32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2.商务证明文件</w:t>
      </w:r>
    </w:p>
    <w:p w14:paraId="5225260D">
      <w:pPr>
        <w:pStyle w:val="26"/>
        <w:spacing w:line="320" w:lineRule="exact"/>
        <w:rPr>
          <w:rFonts w:hint="eastAsia" w:ascii="宋体" w:hAnsi="宋体" w:eastAsia="宋体" w:cs="宋体"/>
          <w:b/>
          <w:color w:val="auto"/>
          <w:sz w:val="21"/>
          <w:highlight w:val="none"/>
        </w:rPr>
      </w:pPr>
    </w:p>
    <w:p w14:paraId="68ACF05A">
      <w:pPr>
        <w:pStyle w:val="26"/>
        <w:spacing w:line="500" w:lineRule="exac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（1）供应商必须按格式填写“工程报价汇总表”（必须提供）</w:t>
      </w:r>
    </w:p>
    <w:p w14:paraId="4D8D9F8F">
      <w:pPr>
        <w:pStyle w:val="26"/>
        <w:spacing w:line="500" w:lineRule="exac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w:t>
      </w:r>
      <w:r>
        <w:rPr>
          <w:rFonts w:hint="eastAsia" w:ascii="宋体" w:hAnsi="宋体" w:eastAsia="宋体" w:cs="宋体"/>
          <w:b/>
          <w:color w:val="auto"/>
          <w:sz w:val="21"/>
          <w:highlight w:val="none"/>
          <w:lang w:val="en-US" w:eastAsia="zh-CN"/>
        </w:rPr>
        <w:t>2</w:t>
      </w:r>
      <w:r>
        <w:rPr>
          <w:rFonts w:hint="eastAsia" w:ascii="宋体" w:hAnsi="宋体" w:eastAsia="宋体" w:cs="宋体"/>
          <w:b/>
          <w:color w:val="auto"/>
          <w:sz w:val="21"/>
          <w:highlight w:val="none"/>
        </w:rPr>
        <w:t>）供应商必须按要求提供“工程量清单报价表”（必须提供）</w:t>
      </w:r>
    </w:p>
    <w:p w14:paraId="4D2F1C3F">
      <w:pPr>
        <w:pStyle w:val="26"/>
        <w:spacing w:line="5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US" w:eastAsia="zh-CN"/>
        </w:rPr>
        <w:t>3</w:t>
      </w:r>
      <w:r>
        <w:rPr>
          <w:rFonts w:hint="eastAsia" w:ascii="宋体" w:hAnsi="宋体" w:eastAsia="宋体" w:cs="宋体"/>
          <w:color w:val="auto"/>
          <w:sz w:val="21"/>
          <w:highlight w:val="none"/>
        </w:rPr>
        <w:t>）</w:t>
      </w: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lang w:eastAsia="zh-CN"/>
        </w:rPr>
        <w:t>2023年1月1日</w:t>
      </w:r>
      <w:r>
        <w:rPr>
          <w:rFonts w:hint="eastAsia" w:ascii="宋体" w:hAnsi="宋体" w:eastAsia="宋体" w:cs="宋体"/>
          <w:bCs/>
          <w:color w:val="auto"/>
          <w:sz w:val="21"/>
          <w:szCs w:val="21"/>
          <w:highlight w:val="none"/>
        </w:rPr>
        <w:t>以来承建或经竣工验收的</w:t>
      </w:r>
      <w:r>
        <w:rPr>
          <w:rFonts w:hint="eastAsia" w:ascii="宋体" w:hAnsi="宋体" w:eastAsia="宋体" w:cs="宋体"/>
          <w:bCs/>
          <w:color w:val="auto"/>
          <w:sz w:val="21"/>
          <w:szCs w:val="21"/>
          <w:highlight w:val="none"/>
          <w:lang w:eastAsia="zh-CN"/>
        </w:rPr>
        <w:t>类似工程业绩的相关证</w:t>
      </w:r>
      <w:r>
        <w:rPr>
          <w:rFonts w:hint="eastAsia" w:ascii="宋体" w:hAnsi="宋体" w:eastAsia="宋体" w:cs="宋体"/>
          <w:bCs/>
          <w:color w:val="auto"/>
          <w:sz w:val="21"/>
          <w:szCs w:val="21"/>
          <w:highlight w:val="none"/>
        </w:rPr>
        <w:t>明材料</w:t>
      </w:r>
      <w:r>
        <w:rPr>
          <w:rFonts w:hint="eastAsia" w:ascii="宋体" w:hAnsi="宋体" w:eastAsia="宋体" w:cs="宋体"/>
          <w:color w:val="auto"/>
          <w:sz w:val="21"/>
          <w:highlight w:val="none"/>
        </w:rPr>
        <w:t>（如有，请提供）</w:t>
      </w:r>
    </w:p>
    <w:p w14:paraId="235B7AEC">
      <w:pPr>
        <w:pStyle w:val="26"/>
        <w:spacing w:line="5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US" w:eastAsia="zh-CN"/>
        </w:rPr>
        <w:t>4</w:t>
      </w:r>
      <w:r>
        <w:rPr>
          <w:rFonts w:hint="eastAsia" w:ascii="宋体" w:hAnsi="宋体" w:eastAsia="宋体" w:cs="宋体"/>
          <w:color w:val="auto"/>
          <w:sz w:val="21"/>
          <w:highlight w:val="none"/>
        </w:rPr>
        <w:t>）供应商相关获奖证书、认证证书等（如有，请提供）</w:t>
      </w:r>
    </w:p>
    <w:p w14:paraId="07878801">
      <w:pPr>
        <w:pStyle w:val="26"/>
        <w:spacing w:line="5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US" w:eastAsia="zh-CN"/>
        </w:rPr>
        <w:t>5</w:t>
      </w:r>
      <w:r>
        <w:rPr>
          <w:rFonts w:hint="eastAsia" w:ascii="宋体" w:hAnsi="宋体" w:eastAsia="宋体" w:cs="宋体"/>
          <w:color w:val="auto"/>
          <w:sz w:val="21"/>
          <w:highlight w:val="none"/>
        </w:rPr>
        <w:t>）供应商可结合本项目的评审办法视自身情况自行提交相关证明材料（如有，请提供）</w:t>
      </w:r>
    </w:p>
    <w:p w14:paraId="757940C9">
      <w:pPr>
        <w:pStyle w:val="23"/>
        <w:rPr>
          <w:rFonts w:hint="eastAsia" w:ascii="宋体" w:hAnsi="宋体" w:eastAsia="宋体" w:cs="宋体"/>
          <w:b/>
          <w:color w:val="auto"/>
          <w:sz w:val="21"/>
          <w:szCs w:val="21"/>
          <w:highlight w:val="none"/>
        </w:rPr>
      </w:pPr>
    </w:p>
    <w:p w14:paraId="47B76896">
      <w:pPr>
        <w:pStyle w:val="23"/>
        <w:rPr>
          <w:rFonts w:hint="eastAsia" w:ascii="宋体" w:hAnsi="宋体" w:eastAsia="宋体" w:cs="宋体"/>
          <w:b/>
          <w:color w:val="auto"/>
          <w:sz w:val="21"/>
          <w:szCs w:val="21"/>
          <w:highlight w:val="none"/>
        </w:rPr>
      </w:pPr>
    </w:p>
    <w:p w14:paraId="62342F36">
      <w:pPr>
        <w:pStyle w:val="23"/>
        <w:rPr>
          <w:rFonts w:hint="eastAsia" w:ascii="宋体" w:hAnsi="宋体" w:eastAsia="宋体" w:cs="宋体"/>
          <w:b/>
          <w:color w:val="auto"/>
          <w:sz w:val="21"/>
          <w:szCs w:val="21"/>
          <w:highlight w:val="none"/>
        </w:rPr>
      </w:pPr>
    </w:p>
    <w:p w14:paraId="070419F7">
      <w:pPr>
        <w:pStyle w:val="23"/>
        <w:rPr>
          <w:rFonts w:hint="eastAsia" w:ascii="宋体" w:hAnsi="宋体" w:eastAsia="宋体" w:cs="宋体"/>
          <w:b/>
          <w:color w:val="auto"/>
          <w:sz w:val="21"/>
          <w:szCs w:val="21"/>
          <w:highlight w:val="none"/>
        </w:rPr>
      </w:pPr>
    </w:p>
    <w:p w14:paraId="4364C90F">
      <w:pPr>
        <w:pStyle w:val="23"/>
        <w:rPr>
          <w:rFonts w:hint="eastAsia" w:ascii="宋体" w:hAnsi="宋体" w:eastAsia="宋体" w:cs="宋体"/>
          <w:b/>
          <w:color w:val="auto"/>
          <w:sz w:val="21"/>
          <w:szCs w:val="21"/>
          <w:highlight w:val="none"/>
        </w:rPr>
      </w:pPr>
    </w:p>
    <w:p w14:paraId="0C82245C">
      <w:pPr>
        <w:pStyle w:val="23"/>
        <w:rPr>
          <w:rFonts w:hint="eastAsia" w:ascii="宋体" w:hAnsi="宋体" w:eastAsia="宋体" w:cs="宋体"/>
          <w:b/>
          <w:color w:val="auto"/>
          <w:sz w:val="21"/>
          <w:szCs w:val="21"/>
          <w:highlight w:val="none"/>
        </w:rPr>
      </w:pPr>
    </w:p>
    <w:p w14:paraId="77B9A414">
      <w:pPr>
        <w:pStyle w:val="23"/>
        <w:rPr>
          <w:rFonts w:hint="eastAsia" w:ascii="宋体" w:hAnsi="宋体" w:eastAsia="宋体" w:cs="宋体"/>
          <w:b/>
          <w:color w:val="auto"/>
          <w:sz w:val="21"/>
          <w:szCs w:val="21"/>
          <w:highlight w:val="none"/>
        </w:rPr>
      </w:pPr>
    </w:p>
    <w:p w14:paraId="27D8781F">
      <w:pPr>
        <w:pStyle w:val="23"/>
        <w:rPr>
          <w:rFonts w:hint="eastAsia" w:ascii="宋体" w:hAnsi="宋体" w:eastAsia="宋体" w:cs="宋体"/>
          <w:b/>
          <w:color w:val="auto"/>
          <w:sz w:val="21"/>
          <w:szCs w:val="21"/>
          <w:highlight w:val="none"/>
        </w:rPr>
      </w:pPr>
    </w:p>
    <w:p w14:paraId="3685039F">
      <w:pPr>
        <w:pStyle w:val="23"/>
        <w:rPr>
          <w:rFonts w:hint="eastAsia" w:ascii="宋体" w:hAnsi="宋体" w:eastAsia="宋体" w:cs="宋体"/>
          <w:b/>
          <w:color w:val="auto"/>
          <w:sz w:val="21"/>
          <w:szCs w:val="21"/>
          <w:highlight w:val="none"/>
        </w:rPr>
      </w:pPr>
    </w:p>
    <w:p w14:paraId="27E8B3BE">
      <w:pPr>
        <w:pStyle w:val="23"/>
        <w:rPr>
          <w:rFonts w:hint="eastAsia" w:ascii="宋体" w:hAnsi="宋体" w:eastAsia="宋体" w:cs="宋体"/>
          <w:b/>
          <w:color w:val="auto"/>
          <w:sz w:val="21"/>
          <w:szCs w:val="21"/>
          <w:highlight w:val="none"/>
        </w:rPr>
      </w:pPr>
    </w:p>
    <w:p w14:paraId="254456B8">
      <w:pPr>
        <w:pStyle w:val="23"/>
        <w:rPr>
          <w:rFonts w:hint="eastAsia" w:ascii="宋体" w:hAnsi="宋体" w:eastAsia="宋体" w:cs="宋体"/>
          <w:b/>
          <w:color w:val="auto"/>
          <w:sz w:val="21"/>
          <w:szCs w:val="21"/>
          <w:highlight w:val="none"/>
        </w:rPr>
      </w:pPr>
    </w:p>
    <w:p w14:paraId="49BF8A63">
      <w:pPr>
        <w:pStyle w:val="23"/>
        <w:rPr>
          <w:rFonts w:hint="eastAsia" w:ascii="宋体" w:hAnsi="宋体" w:eastAsia="宋体" w:cs="宋体"/>
          <w:b/>
          <w:color w:val="auto"/>
          <w:sz w:val="21"/>
          <w:szCs w:val="21"/>
          <w:highlight w:val="none"/>
        </w:rPr>
      </w:pPr>
    </w:p>
    <w:p w14:paraId="542CE4FC">
      <w:pPr>
        <w:pStyle w:val="23"/>
        <w:rPr>
          <w:rFonts w:hint="eastAsia" w:ascii="宋体" w:hAnsi="宋体" w:eastAsia="宋体" w:cs="宋体"/>
          <w:b/>
          <w:color w:val="auto"/>
          <w:sz w:val="21"/>
          <w:szCs w:val="21"/>
          <w:highlight w:val="none"/>
        </w:rPr>
      </w:pPr>
    </w:p>
    <w:p w14:paraId="59597C66">
      <w:pPr>
        <w:pStyle w:val="23"/>
        <w:rPr>
          <w:rFonts w:hint="eastAsia" w:ascii="宋体" w:hAnsi="宋体" w:eastAsia="宋体" w:cs="宋体"/>
          <w:b/>
          <w:color w:val="auto"/>
          <w:sz w:val="21"/>
          <w:szCs w:val="21"/>
          <w:highlight w:val="none"/>
        </w:rPr>
      </w:pPr>
    </w:p>
    <w:p w14:paraId="590641A0">
      <w:pPr>
        <w:pStyle w:val="23"/>
        <w:rPr>
          <w:rFonts w:hint="eastAsia" w:ascii="宋体" w:hAnsi="宋体" w:eastAsia="宋体" w:cs="宋体"/>
          <w:b/>
          <w:color w:val="auto"/>
          <w:sz w:val="21"/>
          <w:szCs w:val="21"/>
          <w:highlight w:val="none"/>
        </w:rPr>
      </w:pPr>
    </w:p>
    <w:p w14:paraId="60107888">
      <w:pPr>
        <w:pStyle w:val="23"/>
        <w:rPr>
          <w:rFonts w:hint="eastAsia" w:ascii="宋体" w:hAnsi="宋体" w:eastAsia="宋体" w:cs="宋体"/>
          <w:b/>
          <w:color w:val="auto"/>
          <w:sz w:val="21"/>
          <w:szCs w:val="21"/>
          <w:highlight w:val="none"/>
        </w:rPr>
      </w:pPr>
    </w:p>
    <w:p w14:paraId="72ECD856">
      <w:pPr>
        <w:pStyle w:val="23"/>
        <w:rPr>
          <w:rFonts w:hint="eastAsia" w:ascii="宋体" w:hAnsi="宋体" w:eastAsia="宋体" w:cs="宋体"/>
          <w:b/>
          <w:color w:val="auto"/>
          <w:sz w:val="21"/>
          <w:szCs w:val="21"/>
          <w:highlight w:val="none"/>
        </w:rPr>
      </w:pPr>
    </w:p>
    <w:p w14:paraId="033460C5">
      <w:pPr>
        <w:pStyle w:val="23"/>
        <w:rPr>
          <w:rFonts w:hint="eastAsia" w:ascii="宋体" w:hAnsi="宋体" w:eastAsia="宋体" w:cs="宋体"/>
          <w:b/>
          <w:color w:val="auto"/>
          <w:sz w:val="21"/>
          <w:szCs w:val="21"/>
          <w:highlight w:val="none"/>
        </w:rPr>
      </w:pPr>
    </w:p>
    <w:p w14:paraId="0B710D0F">
      <w:pPr>
        <w:pStyle w:val="23"/>
        <w:rPr>
          <w:rFonts w:hint="eastAsia" w:ascii="宋体" w:hAnsi="宋体" w:eastAsia="宋体" w:cs="宋体"/>
          <w:b/>
          <w:color w:val="auto"/>
          <w:sz w:val="21"/>
          <w:szCs w:val="21"/>
          <w:highlight w:val="none"/>
        </w:rPr>
      </w:pPr>
    </w:p>
    <w:p w14:paraId="0B0EA15E">
      <w:pPr>
        <w:pStyle w:val="23"/>
        <w:rPr>
          <w:rFonts w:hint="eastAsia" w:ascii="宋体" w:hAnsi="宋体" w:eastAsia="宋体" w:cs="宋体"/>
          <w:b/>
          <w:color w:val="auto"/>
          <w:sz w:val="21"/>
          <w:szCs w:val="21"/>
          <w:highlight w:val="none"/>
        </w:rPr>
      </w:pPr>
    </w:p>
    <w:p w14:paraId="4B513DFF">
      <w:pPr>
        <w:pStyle w:val="23"/>
        <w:rPr>
          <w:rFonts w:hint="eastAsia" w:ascii="宋体" w:hAnsi="宋体" w:eastAsia="宋体" w:cs="宋体"/>
          <w:b/>
          <w:color w:val="auto"/>
          <w:sz w:val="21"/>
          <w:szCs w:val="21"/>
          <w:highlight w:val="none"/>
        </w:rPr>
      </w:pPr>
    </w:p>
    <w:p w14:paraId="06C44CB0">
      <w:pPr>
        <w:pStyle w:val="23"/>
        <w:rPr>
          <w:rFonts w:hint="eastAsia" w:ascii="宋体" w:hAnsi="宋体" w:eastAsia="宋体" w:cs="宋体"/>
          <w:b/>
          <w:color w:val="auto"/>
          <w:sz w:val="21"/>
          <w:szCs w:val="21"/>
          <w:highlight w:val="none"/>
        </w:rPr>
      </w:pPr>
    </w:p>
    <w:p w14:paraId="33BEC1D9">
      <w:pPr>
        <w:pStyle w:val="23"/>
        <w:rPr>
          <w:rFonts w:hint="eastAsia" w:ascii="宋体" w:hAnsi="宋体" w:eastAsia="宋体" w:cs="宋体"/>
          <w:b/>
          <w:color w:val="auto"/>
          <w:sz w:val="21"/>
          <w:szCs w:val="21"/>
          <w:highlight w:val="none"/>
        </w:rPr>
      </w:pPr>
    </w:p>
    <w:p w14:paraId="381F675E">
      <w:pPr>
        <w:pStyle w:val="23"/>
        <w:rPr>
          <w:rFonts w:hint="eastAsia" w:ascii="宋体" w:hAnsi="宋体" w:eastAsia="宋体" w:cs="宋体"/>
          <w:b/>
          <w:color w:val="auto"/>
          <w:sz w:val="21"/>
          <w:szCs w:val="21"/>
          <w:highlight w:val="none"/>
        </w:rPr>
      </w:pPr>
    </w:p>
    <w:p w14:paraId="27CD4A35">
      <w:pPr>
        <w:pStyle w:val="23"/>
        <w:rPr>
          <w:rFonts w:hint="eastAsia" w:ascii="宋体" w:hAnsi="宋体" w:eastAsia="宋体" w:cs="宋体"/>
          <w:b/>
          <w:color w:val="auto"/>
          <w:sz w:val="21"/>
          <w:szCs w:val="21"/>
          <w:highlight w:val="none"/>
        </w:rPr>
      </w:pPr>
    </w:p>
    <w:p w14:paraId="09A48A8E">
      <w:pPr>
        <w:pStyle w:val="23"/>
        <w:rPr>
          <w:rFonts w:hint="eastAsia" w:ascii="宋体" w:hAnsi="宋体" w:eastAsia="宋体" w:cs="宋体"/>
          <w:b/>
          <w:color w:val="auto"/>
          <w:sz w:val="21"/>
          <w:szCs w:val="21"/>
          <w:highlight w:val="none"/>
        </w:rPr>
      </w:pPr>
    </w:p>
    <w:p w14:paraId="08641F03">
      <w:pPr>
        <w:pStyle w:val="23"/>
        <w:rPr>
          <w:rFonts w:hint="eastAsia" w:ascii="宋体" w:hAnsi="宋体" w:eastAsia="宋体" w:cs="宋体"/>
          <w:b/>
          <w:color w:val="auto"/>
          <w:sz w:val="21"/>
          <w:szCs w:val="21"/>
          <w:highlight w:val="none"/>
        </w:rPr>
      </w:pPr>
    </w:p>
    <w:p w14:paraId="04067D20">
      <w:pPr>
        <w:pStyle w:val="23"/>
        <w:rPr>
          <w:rFonts w:hint="eastAsia" w:ascii="宋体" w:hAnsi="宋体" w:eastAsia="宋体" w:cs="宋体"/>
          <w:b/>
          <w:color w:val="auto"/>
          <w:sz w:val="21"/>
          <w:szCs w:val="21"/>
          <w:highlight w:val="none"/>
        </w:rPr>
      </w:pPr>
    </w:p>
    <w:p w14:paraId="07FAEF99">
      <w:pPr>
        <w:pStyle w:val="23"/>
        <w:rPr>
          <w:rFonts w:hint="eastAsia" w:ascii="宋体" w:hAnsi="宋体" w:eastAsia="宋体" w:cs="宋体"/>
          <w:b/>
          <w:color w:val="auto"/>
          <w:sz w:val="21"/>
          <w:szCs w:val="21"/>
          <w:highlight w:val="none"/>
        </w:rPr>
      </w:pPr>
    </w:p>
    <w:p w14:paraId="40C6722F">
      <w:pPr>
        <w:pStyle w:val="23"/>
        <w:rPr>
          <w:rFonts w:hint="eastAsia" w:ascii="宋体" w:hAnsi="宋体" w:eastAsia="宋体" w:cs="宋体"/>
          <w:b/>
          <w:color w:val="auto"/>
          <w:sz w:val="21"/>
          <w:szCs w:val="21"/>
          <w:highlight w:val="none"/>
        </w:rPr>
      </w:pPr>
    </w:p>
    <w:p w14:paraId="1817585B">
      <w:pPr>
        <w:pStyle w:val="23"/>
        <w:rPr>
          <w:rFonts w:hint="eastAsia" w:ascii="宋体" w:hAnsi="宋体" w:eastAsia="宋体" w:cs="宋体"/>
          <w:b/>
          <w:color w:val="auto"/>
          <w:sz w:val="21"/>
          <w:szCs w:val="21"/>
          <w:highlight w:val="none"/>
        </w:rPr>
      </w:pPr>
    </w:p>
    <w:p w14:paraId="52A56862">
      <w:pPr>
        <w:pStyle w:val="23"/>
        <w:rPr>
          <w:rFonts w:hint="eastAsia" w:ascii="宋体" w:hAnsi="宋体" w:eastAsia="宋体" w:cs="宋体"/>
          <w:b/>
          <w:color w:val="auto"/>
          <w:sz w:val="21"/>
          <w:szCs w:val="21"/>
          <w:highlight w:val="none"/>
        </w:rPr>
      </w:pPr>
    </w:p>
    <w:p w14:paraId="2EA262D3">
      <w:pPr>
        <w:pStyle w:val="23"/>
        <w:rPr>
          <w:rFonts w:hint="eastAsia" w:ascii="宋体" w:hAnsi="宋体" w:eastAsia="宋体" w:cs="宋体"/>
          <w:b/>
          <w:color w:val="auto"/>
          <w:sz w:val="21"/>
          <w:szCs w:val="21"/>
          <w:highlight w:val="none"/>
        </w:rPr>
      </w:pPr>
    </w:p>
    <w:p w14:paraId="0443D02C">
      <w:pPr>
        <w:pStyle w:val="23"/>
        <w:rPr>
          <w:rFonts w:hint="eastAsia" w:ascii="宋体" w:hAnsi="宋体" w:eastAsia="宋体" w:cs="宋体"/>
          <w:b/>
          <w:color w:val="auto"/>
          <w:sz w:val="21"/>
          <w:szCs w:val="21"/>
          <w:highlight w:val="none"/>
        </w:rPr>
      </w:pPr>
    </w:p>
    <w:p w14:paraId="3514AB45">
      <w:pPr>
        <w:pStyle w:val="23"/>
        <w:rPr>
          <w:rFonts w:hint="eastAsia" w:ascii="宋体" w:hAnsi="宋体" w:eastAsia="宋体" w:cs="宋体"/>
          <w:b/>
          <w:color w:val="auto"/>
          <w:sz w:val="21"/>
          <w:szCs w:val="21"/>
          <w:highlight w:val="none"/>
        </w:rPr>
      </w:pPr>
    </w:p>
    <w:p w14:paraId="7B776E89">
      <w:pPr>
        <w:pStyle w:val="23"/>
        <w:rPr>
          <w:rFonts w:hint="eastAsia" w:ascii="宋体" w:hAnsi="宋体" w:eastAsia="宋体" w:cs="宋体"/>
          <w:b/>
          <w:color w:val="auto"/>
          <w:sz w:val="21"/>
          <w:szCs w:val="21"/>
          <w:highlight w:val="none"/>
        </w:rPr>
      </w:pPr>
    </w:p>
    <w:p w14:paraId="1BA7AB4A">
      <w:pPr>
        <w:pStyle w:val="23"/>
        <w:rPr>
          <w:rFonts w:hint="eastAsia" w:ascii="宋体" w:hAnsi="宋体" w:eastAsia="宋体" w:cs="宋体"/>
          <w:b/>
          <w:color w:val="auto"/>
          <w:sz w:val="21"/>
          <w:szCs w:val="21"/>
          <w:highlight w:val="none"/>
        </w:rPr>
      </w:pPr>
    </w:p>
    <w:p w14:paraId="74390D97">
      <w:pPr>
        <w:pStyle w:val="23"/>
        <w:rPr>
          <w:rFonts w:hint="eastAsia" w:ascii="宋体" w:hAnsi="宋体" w:eastAsia="宋体" w:cs="宋体"/>
          <w:b/>
          <w:color w:val="auto"/>
          <w:sz w:val="21"/>
          <w:szCs w:val="21"/>
          <w:highlight w:val="none"/>
        </w:rPr>
      </w:pPr>
    </w:p>
    <w:p w14:paraId="26B60FB9">
      <w:pPr>
        <w:pStyle w:val="23"/>
        <w:rPr>
          <w:rFonts w:hint="eastAsia" w:ascii="宋体" w:hAnsi="宋体" w:eastAsia="宋体" w:cs="宋体"/>
          <w:b/>
          <w:color w:val="auto"/>
          <w:sz w:val="21"/>
          <w:szCs w:val="21"/>
          <w:highlight w:val="none"/>
        </w:rPr>
      </w:pPr>
    </w:p>
    <w:p w14:paraId="579DE4B2">
      <w:pPr>
        <w:pStyle w:val="26"/>
        <w:spacing w:line="32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（1）供应商必须按格式填写“工程报价汇总表”（必须提供）</w:t>
      </w:r>
    </w:p>
    <w:p w14:paraId="5F5B5350">
      <w:pPr>
        <w:pStyle w:val="26"/>
        <w:spacing w:line="320" w:lineRule="exact"/>
        <w:rPr>
          <w:rFonts w:hint="eastAsia" w:ascii="宋体" w:hAnsi="宋体" w:eastAsia="宋体" w:cs="宋体"/>
          <w:b/>
          <w:color w:val="auto"/>
          <w:sz w:val="28"/>
          <w:szCs w:val="28"/>
          <w:highlight w:val="none"/>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28"/>
          <w:szCs w:val="28"/>
          <w:highlight w:val="none"/>
        </w:rPr>
        <w:t xml:space="preserve">  </w:t>
      </w:r>
    </w:p>
    <w:p w14:paraId="4D97FBF4">
      <w:pPr>
        <w:widowControl/>
        <w:ind w:firstLine="56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工程报价汇总表（格式）</w:t>
      </w:r>
    </w:p>
    <w:p w14:paraId="5AA99BF3">
      <w:pPr>
        <w:widowControl/>
        <w:ind w:firstLine="480"/>
        <w:jc w:val="center"/>
        <w:rPr>
          <w:rFonts w:hint="eastAsia" w:ascii="宋体" w:hAnsi="宋体" w:eastAsia="宋体" w:cs="宋体"/>
          <w:color w:val="auto"/>
          <w:highlight w:val="none"/>
        </w:rPr>
      </w:pPr>
    </w:p>
    <w:p w14:paraId="37D0B117">
      <w:pPr>
        <w:widowControl/>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5C2683D7">
      <w:pPr>
        <w:widowControl/>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C9CA9B1">
      <w:pPr>
        <w:widowControl/>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币种：人民币</w:t>
      </w:r>
    </w:p>
    <w:tbl>
      <w:tblPr>
        <w:tblStyle w:val="48"/>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1"/>
        <w:gridCol w:w="949"/>
        <w:gridCol w:w="960"/>
        <w:gridCol w:w="4225"/>
      </w:tblGrid>
      <w:tr w14:paraId="392F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101" w:type="dxa"/>
            <w:noWrap/>
            <w:vAlign w:val="center"/>
          </w:tcPr>
          <w:p w14:paraId="1A9C9047">
            <w:pPr>
              <w:adjustRightInd w:val="0"/>
              <w:snapToGrid w:val="0"/>
              <w:spacing w:before="48" w:beforeLines="20" w:after="48" w:afterLines="20"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标的名称</w:t>
            </w:r>
          </w:p>
        </w:tc>
        <w:tc>
          <w:tcPr>
            <w:tcW w:w="949" w:type="dxa"/>
            <w:vAlign w:val="center"/>
          </w:tcPr>
          <w:p w14:paraId="02396D2D">
            <w:pPr>
              <w:adjustRightInd w:val="0"/>
              <w:snapToGrid w:val="0"/>
              <w:spacing w:before="48" w:beforeLines="20" w:after="48" w:afterLines="20"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960" w:type="dxa"/>
            <w:vAlign w:val="center"/>
          </w:tcPr>
          <w:p w14:paraId="6D5CB394">
            <w:pPr>
              <w:adjustRightInd w:val="0"/>
              <w:snapToGrid w:val="0"/>
              <w:spacing w:before="48" w:beforeLines="20" w:after="48" w:afterLines="20"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4225" w:type="dxa"/>
            <w:noWrap/>
            <w:vAlign w:val="center"/>
          </w:tcPr>
          <w:p w14:paraId="747EA290">
            <w:pPr>
              <w:adjustRightInd w:val="0"/>
              <w:snapToGrid w:val="0"/>
              <w:spacing w:before="48" w:beforeLines="20" w:after="48" w:afterLines="20"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磋商报价</w:t>
            </w:r>
          </w:p>
        </w:tc>
      </w:tr>
      <w:tr w14:paraId="746B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101" w:type="dxa"/>
            <w:noWrap/>
            <w:vAlign w:val="center"/>
          </w:tcPr>
          <w:p w14:paraId="102D3D7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4"/>
                <w:highlight w:val="none"/>
                <w:lang w:eastAsia="zh-CN"/>
              </w:rPr>
              <w:t>阳朔县中医药适宜技术推广中心</w:t>
            </w:r>
          </w:p>
        </w:tc>
        <w:tc>
          <w:tcPr>
            <w:tcW w:w="949" w:type="dxa"/>
            <w:vAlign w:val="center"/>
          </w:tcPr>
          <w:p w14:paraId="5732DB5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60" w:type="dxa"/>
            <w:vAlign w:val="center"/>
          </w:tcPr>
          <w:p w14:paraId="2099974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4225" w:type="dxa"/>
            <w:noWrap/>
            <w:vAlign w:val="center"/>
          </w:tcPr>
          <w:p w14:paraId="75E8860F">
            <w:pPr>
              <w:adjustRightInd w:val="0"/>
              <w:snapToGrid w:val="0"/>
              <w:spacing w:before="48" w:beforeLines="20" w:after="48" w:afterLines="20"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bl>
    <w:p w14:paraId="602E50DB">
      <w:pPr>
        <w:widowControl/>
        <w:ind w:firstLine="480"/>
        <w:jc w:val="left"/>
        <w:rPr>
          <w:rFonts w:hint="eastAsia" w:ascii="宋体" w:hAnsi="宋体" w:eastAsia="宋体" w:cs="宋体"/>
          <w:color w:val="auto"/>
          <w:szCs w:val="21"/>
          <w:highlight w:val="none"/>
        </w:rPr>
      </w:pPr>
    </w:p>
    <w:p w14:paraId="6ABE4C0A">
      <w:pPr>
        <w:snapToGrid w:val="0"/>
        <w:spacing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w:t>
      </w:r>
      <w:r>
        <w:rPr>
          <w:rFonts w:hint="eastAsia" w:ascii="宋体" w:hAnsi="宋体" w:eastAsia="宋体" w:cs="宋体"/>
          <w:b/>
          <w:color w:val="auto"/>
          <w:sz w:val="21"/>
          <w:szCs w:val="21"/>
          <w:highlight w:val="none"/>
        </w:rPr>
        <w:t>（电子签章）</w:t>
      </w:r>
      <w:r>
        <w:rPr>
          <w:rFonts w:hint="eastAsia" w:ascii="宋体" w:hAnsi="宋体" w:eastAsia="宋体" w:cs="宋体"/>
          <w:color w:val="auto"/>
          <w:sz w:val="21"/>
          <w:szCs w:val="21"/>
          <w:highlight w:val="none"/>
        </w:rPr>
        <w:t>：</w:t>
      </w:r>
    </w:p>
    <w:p w14:paraId="217807E8">
      <w:pPr>
        <w:spacing w:line="340" w:lineRule="exact"/>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法定代表人或委托代理人签字</w:t>
      </w:r>
      <w:r>
        <w:rPr>
          <w:rFonts w:hint="eastAsia" w:ascii="宋体" w:hAnsi="宋体" w:eastAsia="宋体" w:cs="宋体"/>
          <w:b/>
          <w:color w:val="auto"/>
          <w:sz w:val="21"/>
          <w:szCs w:val="21"/>
          <w:highlight w:val="none"/>
        </w:rPr>
        <w:t>（或电子签名）</w:t>
      </w:r>
      <w:r>
        <w:rPr>
          <w:rFonts w:hint="eastAsia" w:ascii="宋体" w:hAnsi="宋体" w:eastAsia="宋体" w:cs="宋体"/>
          <w:color w:val="auto"/>
          <w:sz w:val="21"/>
          <w:szCs w:val="24"/>
          <w:highlight w:val="none"/>
        </w:rPr>
        <w:t>：</w:t>
      </w:r>
    </w:p>
    <w:p w14:paraId="14D414D1">
      <w:pPr>
        <w:spacing w:line="400" w:lineRule="exact"/>
        <w:ind w:firstLine="0" w:firstLineChars="0"/>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日          期：</w:t>
      </w:r>
    </w:p>
    <w:p w14:paraId="272F5EFC">
      <w:pPr>
        <w:pStyle w:val="26"/>
        <w:spacing w:line="320" w:lineRule="exact"/>
        <w:rPr>
          <w:rFonts w:hint="eastAsia" w:ascii="宋体" w:hAnsi="宋体" w:eastAsia="宋体" w:cs="宋体"/>
          <w:b/>
          <w:color w:val="auto"/>
          <w:sz w:val="28"/>
          <w:szCs w:val="28"/>
          <w:highlight w:val="none"/>
        </w:rPr>
      </w:pPr>
    </w:p>
    <w:p w14:paraId="5F5BA0D8">
      <w:pPr>
        <w:ind w:firstLine="562"/>
        <w:rPr>
          <w:rFonts w:hint="eastAsia" w:ascii="宋体" w:hAnsi="宋体" w:eastAsia="宋体" w:cs="宋体"/>
          <w:b/>
          <w:color w:val="auto"/>
          <w:sz w:val="28"/>
          <w:szCs w:val="28"/>
          <w:highlight w:val="none"/>
        </w:rPr>
      </w:pPr>
    </w:p>
    <w:p w14:paraId="59365A41">
      <w:pPr>
        <w:pStyle w:val="23"/>
        <w:rPr>
          <w:rFonts w:hint="eastAsia" w:ascii="宋体" w:hAnsi="宋体" w:eastAsia="宋体" w:cs="宋体"/>
          <w:b/>
          <w:color w:val="auto"/>
          <w:sz w:val="28"/>
          <w:szCs w:val="28"/>
          <w:highlight w:val="none"/>
        </w:rPr>
      </w:pPr>
    </w:p>
    <w:p w14:paraId="15315D03">
      <w:pPr>
        <w:pStyle w:val="23"/>
        <w:rPr>
          <w:rFonts w:hint="eastAsia" w:ascii="宋体" w:hAnsi="宋体" w:eastAsia="宋体" w:cs="宋体"/>
          <w:b/>
          <w:color w:val="auto"/>
          <w:sz w:val="28"/>
          <w:szCs w:val="28"/>
          <w:highlight w:val="none"/>
        </w:rPr>
      </w:pPr>
    </w:p>
    <w:p w14:paraId="21C9F710">
      <w:pPr>
        <w:widowControl/>
        <w:spacing w:line="240" w:lineRule="auto"/>
        <w:ind w:firstLine="0" w:firstLineChars="0"/>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sz w:val="28"/>
          <w:szCs w:val="28"/>
          <w:highlight w:val="none"/>
        </w:rPr>
        <w:br w:type="page"/>
      </w:r>
    </w:p>
    <w:p w14:paraId="18F00FCA">
      <w:pPr>
        <w:pStyle w:val="26"/>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）供应商必须按要求提供“工程量清单报价表”</w:t>
      </w:r>
      <w:r>
        <w:rPr>
          <w:rFonts w:hint="eastAsia" w:ascii="宋体" w:hAnsi="宋体" w:eastAsia="宋体" w:cs="宋体"/>
          <w:b/>
          <w:color w:val="auto"/>
          <w:sz w:val="28"/>
          <w:szCs w:val="28"/>
          <w:highlight w:val="none"/>
        </w:rPr>
        <w:t xml:space="preserve"> （必须提供）</w:t>
      </w:r>
    </w:p>
    <w:p w14:paraId="4C9A85B5">
      <w:pPr>
        <w:pStyle w:val="26"/>
        <w:rPr>
          <w:rFonts w:hint="eastAsia" w:ascii="宋体" w:hAnsi="宋体" w:eastAsia="宋体" w:cs="宋体"/>
          <w:b/>
          <w:color w:val="auto"/>
          <w:sz w:val="28"/>
          <w:szCs w:val="28"/>
          <w:highlight w:val="none"/>
        </w:rPr>
      </w:pPr>
    </w:p>
    <w:p w14:paraId="5F085BFA">
      <w:pPr>
        <w:pStyle w:val="29"/>
        <w:ind w:left="0" w:leftChars="0"/>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工程量清单报价表</w:t>
      </w:r>
    </w:p>
    <w:p w14:paraId="5EBD5CE3">
      <w:pPr>
        <w:pStyle w:val="29"/>
        <w:ind w:left="0" w:left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注：表格可按（GB50500-2013</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《建设工程工程量清单计价规范》、（GB50854~50862-2013）《建设工程工程量计算规范广西壮族自治区实施细则》（修订本）工程量清单计价表格提供。</w:t>
      </w:r>
    </w:p>
    <w:p w14:paraId="21A14CDB">
      <w:pPr>
        <w:pStyle w:val="26"/>
        <w:rPr>
          <w:rFonts w:hint="eastAsia" w:ascii="宋体" w:hAnsi="宋体" w:eastAsia="宋体" w:cs="宋体"/>
          <w:color w:val="auto"/>
          <w:sz w:val="28"/>
          <w:szCs w:val="28"/>
          <w:highlight w:val="none"/>
        </w:rPr>
      </w:pPr>
    </w:p>
    <w:p w14:paraId="440E1F9C">
      <w:pPr>
        <w:pStyle w:val="26"/>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）供应商</w:t>
      </w:r>
      <w:r>
        <w:rPr>
          <w:rFonts w:hint="eastAsia" w:ascii="宋体" w:hAnsi="宋体" w:eastAsia="宋体" w:cs="宋体"/>
          <w:b/>
          <w:bCs/>
          <w:color w:val="auto"/>
          <w:sz w:val="28"/>
          <w:szCs w:val="28"/>
          <w:highlight w:val="none"/>
          <w:lang w:eastAsia="zh-CN"/>
        </w:rPr>
        <w:t>2023年1月1日</w:t>
      </w:r>
      <w:r>
        <w:rPr>
          <w:rFonts w:hint="eastAsia" w:ascii="宋体" w:hAnsi="宋体" w:eastAsia="宋体" w:cs="宋体"/>
          <w:b/>
          <w:bCs/>
          <w:color w:val="auto"/>
          <w:sz w:val="28"/>
          <w:szCs w:val="28"/>
          <w:highlight w:val="none"/>
        </w:rPr>
        <w:t>以来承建或经竣工验收的</w:t>
      </w:r>
      <w:r>
        <w:rPr>
          <w:rFonts w:hint="eastAsia" w:ascii="宋体" w:hAnsi="宋体" w:eastAsia="宋体" w:cs="宋体"/>
          <w:b/>
          <w:bCs/>
          <w:color w:val="auto"/>
          <w:sz w:val="28"/>
          <w:szCs w:val="28"/>
          <w:highlight w:val="none"/>
          <w:lang w:eastAsia="zh-CN"/>
        </w:rPr>
        <w:t>类似工程业绩的相关证</w:t>
      </w:r>
      <w:r>
        <w:rPr>
          <w:rFonts w:hint="eastAsia" w:ascii="宋体" w:hAnsi="宋体" w:eastAsia="宋体" w:cs="宋体"/>
          <w:b/>
          <w:bCs/>
          <w:color w:val="auto"/>
          <w:sz w:val="28"/>
          <w:szCs w:val="28"/>
          <w:highlight w:val="none"/>
        </w:rPr>
        <w:t>明材料（如有，请提供）</w:t>
      </w:r>
    </w:p>
    <w:p w14:paraId="6CDF8A65">
      <w:pPr>
        <w:ind w:firstLine="0" w:firstLineChars="0"/>
        <w:rPr>
          <w:rFonts w:hint="eastAsia" w:ascii="宋体" w:hAnsi="宋体" w:eastAsia="宋体" w:cs="宋体"/>
          <w:color w:val="auto"/>
          <w:highlight w:val="none"/>
        </w:rPr>
      </w:pPr>
    </w:p>
    <w:p w14:paraId="56CD4604">
      <w:pPr>
        <w:pStyle w:val="26"/>
        <w:rPr>
          <w:rFonts w:hint="eastAsia" w:ascii="宋体" w:hAnsi="宋体" w:eastAsia="宋体" w:cs="宋体"/>
          <w:b/>
          <w:bCs/>
          <w:color w:val="auto"/>
          <w:sz w:val="28"/>
          <w:szCs w:val="28"/>
          <w:highlight w:val="none"/>
        </w:rPr>
      </w:pPr>
    </w:p>
    <w:p w14:paraId="1C03F513">
      <w:pPr>
        <w:pStyle w:val="26"/>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）供应商相关获奖证书、认证证书等（如有，请提供）</w:t>
      </w:r>
    </w:p>
    <w:p w14:paraId="5EDDA9C6">
      <w:pPr>
        <w:pStyle w:val="26"/>
        <w:rPr>
          <w:rFonts w:hint="eastAsia" w:ascii="宋体" w:hAnsi="宋体" w:eastAsia="宋体" w:cs="宋体"/>
          <w:b/>
          <w:bCs/>
          <w:color w:val="auto"/>
          <w:sz w:val="28"/>
          <w:szCs w:val="28"/>
          <w:highlight w:val="none"/>
        </w:rPr>
      </w:pPr>
    </w:p>
    <w:p w14:paraId="78C702E4">
      <w:pPr>
        <w:pStyle w:val="26"/>
        <w:rPr>
          <w:rFonts w:hint="eastAsia" w:ascii="宋体" w:hAnsi="宋体" w:eastAsia="宋体" w:cs="宋体"/>
          <w:b/>
          <w:bCs/>
          <w:color w:val="auto"/>
          <w:sz w:val="28"/>
          <w:szCs w:val="28"/>
          <w:highlight w:val="none"/>
        </w:rPr>
      </w:pPr>
    </w:p>
    <w:p w14:paraId="05C6EF99">
      <w:pPr>
        <w:ind w:firstLine="480"/>
        <w:rPr>
          <w:rFonts w:hint="eastAsia" w:ascii="宋体" w:hAnsi="宋体" w:eastAsia="宋体" w:cs="宋体"/>
          <w:color w:val="auto"/>
          <w:highlight w:val="none"/>
        </w:rPr>
      </w:pPr>
    </w:p>
    <w:p w14:paraId="3BE28358">
      <w:pPr>
        <w:pStyle w:val="26"/>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）供应商可结合本项目的评审办法视自身情况自行提交相关证明材料（如有，请提供）</w:t>
      </w:r>
    </w:p>
    <w:p w14:paraId="7BD59ABC">
      <w:pPr>
        <w:pStyle w:val="29"/>
        <w:ind w:left="0" w:leftChars="0"/>
        <w:rPr>
          <w:rFonts w:hint="eastAsia" w:ascii="宋体" w:hAnsi="宋体" w:eastAsia="宋体" w:cs="宋体"/>
          <w:b/>
          <w:color w:val="auto"/>
          <w:sz w:val="24"/>
          <w:highlight w:val="none"/>
        </w:rPr>
      </w:pPr>
    </w:p>
    <w:p w14:paraId="4C9E2159">
      <w:pPr>
        <w:pStyle w:val="29"/>
        <w:ind w:left="0" w:leftChars="0"/>
        <w:rPr>
          <w:rFonts w:hint="eastAsia" w:ascii="宋体" w:hAnsi="宋体" w:eastAsia="宋体" w:cs="宋体"/>
          <w:b/>
          <w:color w:val="auto"/>
          <w:sz w:val="24"/>
          <w:highlight w:val="none"/>
        </w:rPr>
      </w:pPr>
    </w:p>
    <w:p w14:paraId="69722155">
      <w:pPr>
        <w:pStyle w:val="29"/>
        <w:ind w:left="0" w:leftChars="0"/>
        <w:rPr>
          <w:rFonts w:hint="eastAsia" w:ascii="宋体" w:hAnsi="宋体" w:eastAsia="宋体" w:cs="宋体"/>
          <w:b/>
          <w:color w:val="auto"/>
          <w:sz w:val="24"/>
          <w:highlight w:val="none"/>
        </w:rPr>
      </w:pPr>
    </w:p>
    <w:p w14:paraId="5A759717">
      <w:pPr>
        <w:pStyle w:val="29"/>
        <w:ind w:left="0" w:leftChars="0"/>
        <w:rPr>
          <w:rFonts w:hint="eastAsia" w:ascii="宋体" w:hAnsi="宋体" w:eastAsia="宋体" w:cs="宋体"/>
          <w:b/>
          <w:color w:val="auto"/>
          <w:sz w:val="24"/>
          <w:highlight w:val="none"/>
        </w:rPr>
      </w:pPr>
    </w:p>
    <w:p w14:paraId="6C3225B2">
      <w:pPr>
        <w:pStyle w:val="29"/>
        <w:ind w:left="0" w:leftChars="0"/>
        <w:rPr>
          <w:rFonts w:hint="eastAsia" w:ascii="宋体" w:hAnsi="宋体" w:eastAsia="宋体" w:cs="宋体"/>
          <w:b/>
          <w:color w:val="auto"/>
          <w:sz w:val="24"/>
          <w:highlight w:val="none"/>
        </w:rPr>
      </w:pPr>
    </w:p>
    <w:p w14:paraId="5ADCFD6C">
      <w:pPr>
        <w:pStyle w:val="29"/>
        <w:ind w:left="0" w:leftChars="0"/>
        <w:rPr>
          <w:rFonts w:hint="eastAsia" w:ascii="宋体" w:hAnsi="宋体" w:eastAsia="宋体" w:cs="宋体"/>
          <w:b/>
          <w:color w:val="auto"/>
          <w:sz w:val="24"/>
          <w:highlight w:val="none"/>
        </w:rPr>
      </w:pPr>
    </w:p>
    <w:p w14:paraId="6AF2F777">
      <w:pPr>
        <w:pStyle w:val="29"/>
        <w:ind w:left="0" w:leftChars="0"/>
        <w:rPr>
          <w:rFonts w:hint="eastAsia" w:ascii="宋体" w:hAnsi="宋体" w:eastAsia="宋体" w:cs="宋体"/>
          <w:b/>
          <w:color w:val="auto"/>
          <w:sz w:val="24"/>
          <w:highlight w:val="none"/>
        </w:rPr>
      </w:pPr>
    </w:p>
    <w:p w14:paraId="4E8C64D5">
      <w:pPr>
        <w:pStyle w:val="29"/>
        <w:ind w:left="0" w:leftChars="0"/>
        <w:rPr>
          <w:rFonts w:hint="eastAsia" w:ascii="宋体" w:hAnsi="宋体" w:eastAsia="宋体" w:cs="宋体"/>
          <w:b/>
          <w:color w:val="auto"/>
          <w:sz w:val="24"/>
          <w:highlight w:val="none"/>
        </w:rPr>
      </w:pPr>
    </w:p>
    <w:p w14:paraId="060C8B44">
      <w:pPr>
        <w:spacing w:line="36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 w:val="28"/>
          <w:szCs w:val="28"/>
          <w:highlight w:val="none"/>
        </w:rPr>
        <w:t>3.技术证明文件</w:t>
      </w:r>
      <w:r>
        <w:rPr>
          <w:rFonts w:hint="eastAsia" w:ascii="宋体" w:hAnsi="宋体" w:eastAsia="宋体" w:cs="宋体"/>
          <w:b/>
          <w:color w:val="auto"/>
          <w:sz w:val="28"/>
          <w:szCs w:val="28"/>
          <w:highlight w:val="none"/>
          <w:lang w:eastAsia="zh-CN"/>
        </w:rPr>
        <w:t>：</w:t>
      </w:r>
    </w:p>
    <w:p w14:paraId="2A476D12">
      <w:pPr>
        <w:spacing w:line="300" w:lineRule="auto"/>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（1）施工组织设计（如有，请提供）</w:t>
      </w:r>
    </w:p>
    <w:p w14:paraId="11301C51">
      <w:pPr>
        <w:spacing w:line="300" w:lineRule="auto"/>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 </w:t>
      </w:r>
    </w:p>
    <w:p w14:paraId="7DBAFB8E">
      <w:pPr>
        <w:spacing w:line="380" w:lineRule="exact"/>
        <w:ind w:left="600" w:leftChars="250" w:firstLine="2951" w:firstLineChars="1050"/>
        <w:rPr>
          <w:rFonts w:hint="eastAsia" w:ascii="宋体" w:hAnsi="宋体" w:eastAsia="宋体" w:cs="宋体"/>
          <w:color w:val="auto"/>
          <w:szCs w:val="21"/>
          <w:highlight w:val="none"/>
        </w:rPr>
      </w:pPr>
      <w:r>
        <w:rPr>
          <w:rFonts w:hint="eastAsia" w:ascii="宋体" w:hAnsi="宋体" w:eastAsia="宋体" w:cs="宋体"/>
          <w:b/>
          <w:color w:val="auto"/>
          <w:sz w:val="28"/>
          <w:szCs w:val="28"/>
          <w:highlight w:val="none"/>
        </w:rPr>
        <w:t>施工组织设计（格式）</w:t>
      </w:r>
    </w:p>
    <w:p w14:paraId="09517644">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一、主要施工方法</w:t>
      </w:r>
    </w:p>
    <w:p w14:paraId="1532D5F6">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5A470E3D">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二、关键施工技术、工艺及工程实施的重点、难点和解决方案</w:t>
      </w:r>
    </w:p>
    <w:p w14:paraId="72FA2C20">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027BAC08">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三、确保安全生产的技术组织措施</w:t>
      </w:r>
    </w:p>
    <w:p w14:paraId="5D8371AA">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16AC80E5">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四、确保工程质量的技术组织措施</w:t>
      </w:r>
    </w:p>
    <w:p w14:paraId="72D99E84">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21A3192D">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五、确保工期的技术组织措施</w:t>
      </w:r>
    </w:p>
    <w:p w14:paraId="0909AA7E">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52DE60C4">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六、确保文明施工的技术组织措施</w:t>
      </w:r>
    </w:p>
    <w:p w14:paraId="38331380">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1A7FD63E">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七、拟投入的主要物资计划</w:t>
      </w:r>
    </w:p>
    <w:p w14:paraId="354AB99A">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0EBF21D0">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八、施工平面布置和临时设施布置</w:t>
      </w:r>
    </w:p>
    <w:p w14:paraId="5580EC5F">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4DF8E11C">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九、劳动力安排计划</w:t>
      </w:r>
    </w:p>
    <w:p w14:paraId="5FE0DEE3">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50D3A3FF">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十、项目风险预测与防范，事故应急预案</w:t>
      </w:r>
    </w:p>
    <w:p w14:paraId="62475F4D">
      <w:pPr>
        <w:spacing w:line="400" w:lineRule="exact"/>
        <w:ind w:left="600" w:leftChars="25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71FFBDD">
      <w:pPr>
        <w:snapToGrid w:val="0"/>
        <w:spacing w:line="400" w:lineRule="exact"/>
        <w:ind w:firstLine="0" w:firstLineChars="0"/>
        <w:rPr>
          <w:rFonts w:hint="eastAsia" w:ascii="宋体" w:hAnsi="宋体" w:eastAsia="宋体" w:cs="宋体"/>
          <w:color w:val="auto"/>
          <w:sz w:val="21"/>
          <w:szCs w:val="21"/>
          <w:highlight w:val="none"/>
        </w:rPr>
      </w:pPr>
    </w:p>
    <w:p w14:paraId="510E46E5">
      <w:pPr>
        <w:snapToGrid w:val="0"/>
        <w:spacing w:line="380" w:lineRule="exact"/>
        <w:ind w:firstLine="0" w:firstLineChars="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供应商</w:t>
      </w:r>
      <w:r>
        <w:rPr>
          <w:rFonts w:hint="eastAsia" w:ascii="宋体" w:hAnsi="宋体" w:eastAsia="宋体" w:cs="宋体"/>
          <w:b/>
          <w:color w:val="auto"/>
          <w:szCs w:val="24"/>
          <w:highlight w:val="none"/>
        </w:rPr>
        <w:t>（电子签章）</w:t>
      </w:r>
      <w:r>
        <w:rPr>
          <w:rFonts w:hint="eastAsia" w:ascii="宋体" w:hAnsi="宋体" w:eastAsia="宋体" w:cs="宋体"/>
          <w:color w:val="auto"/>
          <w:szCs w:val="24"/>
          <w:highlight w:val="none"/>
        </w:rPr>
        <w:t>：</w:t>
      </w:r>
    </w:p>
    <w:p w14:paraId="2BC29177">
      <w:pPr>
        <w:spacing w:line="380" w:lineRule="exact"/>
        <w:ind w:firstLine="0"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法定代表人或委托代理人签字</w:t>
      </w:r>
      <w:r>
        <w:rPr>
          <w:rFonts w:hint="eastAsia" w:ascii="宋体" w:hAnsi="宋体" w:eastAsia="宋体" w:cs="宋体"/>
          <w:b/>
          <w:color w:val="auto"/>
          <w:szCs w:val="24"/>
          <w:highlight w:val="none"/>
        </w:rPr>
        <w:t>（或电子签名）</w:t>
      </w:r>
      <w:r>
        <w:rPr>
          <w:rFonts w:hint="eastAsia" w:ascii="宋体" w:hAnsi="宋体" w:eastAsia="宋体" w:cs="宋体"/>
          <w:color w:val="auto"/>
          <w:szCs w:val="24"/>
          <w:highlight w:val="none"/>
        </w:rPr>
        <w:t>：</w:t>
      </w:r>
    </w:p>
    <w:p w14:paraId="625346A3">
      <w:pPr>
        <w:spacing w:line="380" w:lineRule="exact"/>
        <w:ind w:firstLine="0"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2FC9D533">
      <w:pPr>
        <w:spacing w:line="300" w:lineRule="auto"/>
        <w:ind w:firstLine="0" w:firstLineChars="0"/>
        <w:rPr>
          <w:rFonts w:hint="eastAsia" w:ascii="宋体" w:hAnsi="宋体" w:eastAsia="宋体" w:cs="宋体"/>
          <w:b/>
          <w:color w:val="auto"/>
          <w:sz w:val="28"/>
          <w:szCs w:val="28"/>
          <w:highlight w:val="none"/>
        </w:rPr>
      </w:pPr>
    </w:p>
    <w:p w14:paraId="6D04D446">
      <w:pPr>
        <w:numPr>
          <w:ilvl w:val="0"/>
          <w:numId w:val="5"/>
        </w:numPr>
        <w:spacing w:line="30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供应商可结合本项目的评审办法视自身情况自行提交相关证明材料（如有，请提供）</w:t>
      </w:r>
    </w:p>
    <w:p w14:paraId="6D507DF5">
      <w:pPr>
        <w:widowControl/>
        <w:spacing w:line="240" w:lineRule="auto"/>
        <w:ind w:firstLine="0" w:firstLineChars="0"/>
        <w:jc w:val="left"/>
        <w:rPr>
          <w:rFonts w:hint="eastAsia" w:ascii="宋体" w:hAnsi="宋体" w:eastAsia="宋体" w:cs="宋体"/>
          <w:b/>
          <w:color w:val="auto"/>
          <w:kern w:val="0"/>
          <w:sz w:val="32"/>
          <w:szCs w:val="32"/>
          <w:highlight w:val="none"/>
        </w:rPr>
      </w:pPr>
      <w:bookmarkStart w:id="85" w:name="_Toc407135190"/>
      <w:bookmarkStart w:id="86" w:name="_Toc163918790"/>
      <w:bookmarkStart w:id="87" w:name="_Toc317457375"/>
      <w:bookmarkStart w:id="88" w:name="_Toc78449776"/>
      <w:bookmarkStart w:id="89" w:name="_Toc358476596"/>
      <w:r>
        <w:rPr>
          <w:rFonts w:hint="eastAsia" w:ascii="宋体" w:hAnsi="宋体" w:eastAsia="宋体" w:cs="宋体"/>
          <w:b/>
          <w:color w:val="auto"/>
          <w:kern w:val="0"/>
          <w:sz w:val="32"/>
          <w:szCs w:val="32"/>
          <w:highlight w:val="none"/>
        </w:rPr>
        <w:br w:type="page"/>
      </w:r>
    </w:p>
    <w:p w14:paraId="60286A3E">
      <w:pPr>
        <w:spacing w:line="440" w:lineRule="atLeast"/>
        <w:ind w:left="0" w:leftChars="0" w:firstLine="0" w:firstLineChars="0"/>
        <w:jc w:val="center"/>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w:t>
      </w:r>
      <w:r>
        <w:rPr>
          <w:rFonts w:hint="eastAsia" w:ascii="宋体" w:hAnsi="宋体" w:eastAsia="宋体" w:cs="宋体"/>
          <w:b/>
          <w:color w:val="auto"/>
          <w:kern w:val="0"/>
          <w:sz w:val="32"/>
          <w:szCs w:val="32"/>
          <w:highlight w:val="none"/>
          <w:lang w:eastAsia="zh-CN"/>
        </w:rPr>
        <w:t>六</w:t>
      </w:r>
      <w:r>
        <w:rPr>
          <w:rFonts w:hint="eastAsia" w:ascii="宋体" w:hAnsi="宋体" w:eastAsia="宋体" w:cs="宋体"/>
          <w:b/>
          <w:color w:val="auto"/>
          <w:kern w:val="0"/>
          <w:sz w:val="32"/>
          <w:szCs w:val="32"/>
          <w:highlight w:val="none"/>
        </w:rPr>
        <w:t xml:space="preserve">章  </w:t>
      </w:r>
      <w:bookmarkEnd w:id="85"/>
      <w:bookmarkEnd w:id="86"/>
      <w:bookmarkEnd w:id="87"/>
      <w:bookmarkEnd w:id="88"/>
      <w:r>
        <w:rPr>
          <w:rFonts w:hint="eastAsia" w:ascii="宋体" w:hAnsi="宋体" w:eastAsia="宋体" w:cs="宋体"/>
          <w:b/>
          <w:bCs/>
          <w:color w:val="auto"/>
          <w:sz w:val="32"/>
          <w:szCs w:val="32"/>
          <w:highlight w:val="none"/>
        </w:rPr>
        <w:t>合同主要条款及格式</w:t>
      </w:r>
    </w:p>
    <w:bookmarkEnd w:id="89"/>
    <w:p w14:paraId="0980AD7C">
      <w:pPr>
        <w:spacing w:line="380" w:lineRule="exact"/>
        <w:ind w:firstLine="0" w:firstLineChars="0"/>
        <w:jc w:val="left"/>
        <w:rPr>
          <w:rFonts w:hint="eastAsia" w:ascii="宋体" w:hAnsi="宋体" w:eastAsia="宋体" w:cs="宋体"/>
          <w:b/>
          <w:bCs/>
          <w:color w:val="auto"/>
          <w:sz w:val="32"/>
          <w:szCs w:val="24"/>
          <w:highlight w:val="none"/>
        </w:rPr>
      </w:pPr>
    </w:p>
    <w:p w14:paraId="288C232C">
      <w:pPr>
        <w:spacing w:line="440" w:lineRule="atLeast"/>
        <w:ind w:left="0" w:leftChars="0" w:firstLine="0" w:firstLineChars="0"/>
        <w:jc w:val="center"/>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合同条款及格式</w:t>
      </w:r>
    </w:p>
    <w:p w14:paraId="232E2082">
      <w:pPr>
        <w:snapToGrid w:val="0"/>
        <w:spacing w:line="400" w:lineRule="exact"/>
        <w:ind w:firstLine="2409" w:firstLineChars="750"/>
        <w:rPr>
          <w:rFonts w:hint="eastAsia" w:ascii="宋体" w:hAnsi="宋体" w:eastAsia="宋体" w:cs="宋体"/>
          <w:b/>
          <w:bCs/>
          <w:color w:val="auto"/>
          <w:sz w:val="32"/>
          <w:szCs w:val="32"/>
          <w:highlight w:val="none"/>
        </w:rPr>
      </w:pPr>
    </w:p>
    <w:p w14:paraId="3BA1E6AE">
      <w:pPr>
        <w:snapToGrid w:val="0"/>
        <w:spacing w:line="400" w:lineRule="exact"/>
        <w:ind w:left="0" w:leftChars="0"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第一部分  合同协议书</w:t>
      </w:r>
    </w:p>
    <w:p w14:paraId="5A74BFDD">
      <w:pPr>
        <w:spacing w:line="400" w:lineRule="exact"/>
        <w:ind w:firstLine="422"/>
        <w:rPr>
          <w:rFonts w:hint="default" w:ascii="宋体" w:hAnsi="宋体" w:eastAsia="宋体" w:cs="宋体"/>
          <w:b/>
          <w:color w:val="auto"/>
          <w:sz w:val="21"/>
          <w:szCs w:val="21"/>
          <w:highlight w:val="none"/>
          <w:u w:val="single"/>
          <w:lang w:val="en-US" w:eastAsia="zh-CN"/>
        </w:rPr>
      </w:pPr>
      <w:bookmarkStart w:id="90" w:name="_Toc395382492"/>
      <w:bookmarkStart w:id="91" w:name="_Toc478389010"/>
      <w:bookmarkStart w:id="92" w:name="_Toc389065256"/>
      <w:bookmarkStart w:id="93" w:name="_Toc373227691"/>
      <w:bookmarkStart w:id="94" w:name="_Toc351203632"/>
      <w:bookmarkStart w:id="95" w:name="_Toc373478338"/>
      <w:r>
        <w:rPr>
          <w:rFonts w:hint="eastAsia" w:ascii="宋体" w:hAnsi="宋体" w:eastAsia="宋体" w:cs="宋体"/>
          <w:b/>
          <w:color w:val="auto"/>
          <w:sz w:val="21"/>
          <w:szCs w:val="21"/>
          <w:highlight w:val="none"/>
        </w:rPr>
        <w:t>发包人（全称）：</w:t>
      </w:r>
      <w:r>
        <w:rPr>
          <w:rFonts w:hint="eastAsia" w:ascii="宋体" w:hAnsi="宋体" w:cs="宋体"/>
          <w:b w:val="0"/>
          <w:bCs/>
          <w:color w:val="auto"/>
          <w:sz w:val="21"/>
          <w:szCs w:val="21"/>
          <w:highlight w:val="none"/>
          <w:u w:val="single"/>
          <w:lang w:val="en-US" w:eastAsia="zh-CN"/>
        </w:rPr>
        <w:t xml:space="preserve">               </w:t>
      </w:r>
    </w:p>
    <w:p w14:paraId="02BD0B82">
      <w:pPr>
        <w:spacing w:line="400" w:lineRule="exact"/>
        <w:ind w:firstLine="422"/>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承包人（全称）：</w:t>
      </w:r>
      <w:r>
        <w:rPr>
          <w:rFonts w:hint="eastAsia" w:ascii="宋体" w:hAnsi="宋体" w:eastAsia="宋体" w:cs="宋体"/>
          <w:b/>
          <w:color w:val="auto"/>
          <w:sz w:val="21"/>
          <w:szCs w:val="21"/>
          <w:highlight w:val="none"/>
          <w:u w:val="single"/>
        </w:rPr>
        <w:t xml:space="preserve">               </w:t>
      </w:r>
    </w:p>
    <w:p w14:paraId="207973B1">
      <w:pPr>
        <w:snapToGrid w:val="0"/>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中华人民共和国建筑法》及相关法律法规及行业规定等相关</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规定，遵循平等、自愿、公平和诚实信用的原则，双方就工程施工及有关事项协商一致共同达成如下协议：</w:t>
      </w:r>
    </w:p>
    <w:p w14:paraId="5CCB7B1F">
      <w:pPr>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一、工程概况</w:t>
      </w:r>
    </w:p>
    <w:p w14:paraId="4A044774">
      <w:pPr>
        <w:snapToGrid w:val="0"/>
        <w:spacing w:line="340" w:lineRule="exact"/>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733EE29B">
      <w:pPr>
        <w:snapToGrid w:val="0"/>
        <w:spacing w:line="34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2.工程地点：</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C36CEC8">
      <w:pPr>
        <w:snapToGrid w:val="0"/>
        <w:spacing w:line="34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r>
        <w:rPr>
          <w:rFonts w:hint="eastAsia" w:ascii="宋体" w:hAnsi="宋体" w:eastAsia="宋体" w:cs="宋体"/>
          <w:color w:val="auto"/>
          <w:sz w:val="21"/>
          <w:szCs w:val="21"/>
          <w:highlight w:val="none"/>
          <w:u w:val="single"/>
        </w:rPr>
        <w:t>/</w:t>
      </w:r>
      <w:r>
        <w:rPr>
          <w:rFonts w:hint="eastAsia" w:ascii="宋体" w:hAnsi="宋体" w:eastAsia="宋体" w:cs="宋体"/>
          <w:bCs/>
          <w:color w:val="auto"/>
          <w:sz w:val="21"/>
          <w:szCs w:val="21"/>
          <w:highlight w:val="none"/>
        </w:rPr>
        <w:t>。</w:t>
      </w:r>
    </w:p>
    <w:p w14:paraId="7129A6D8">
      <w:pPr>
        <w:snapToGrid w:val="0"/>
        <w:spacing w:line="340" w:lineRule="exact"/>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4.工程承包范围：</w:t>
      </w:r>
      <w:r>
        <w:rPr>
          <w:rFonts w:ascii="宋体" w:hAnsi="宋体" w:eastAsia="宋体" w:cs="宋体"/>
          <w:spacing w:val="8"/>
          <w:sz w:val="20"/>
          <w:szCs w:val="20"/>
          <w:u w:val="single" w:color="auto"/>
        </w:rPr>
        <w:t>经评审备案的施工图范围内包含的施工</w:t>
      </w:r>
      <w:r>
        <w:rPr>
          <w:rFonts w:ascii="宋体" w:hAnsi="宋体" w:eastAsia="宋体" w:cs="宋体"/>
          <w:spacing w:val="7"/>
          <w:sz w:val="20"/>
          <w:szCs w:val="20"/>
          <w:u w:val="single" w:color="auto"/>
        </w:rPr>
        <w:t>内容，详见工程量清单</w:t>
      </w:r>
      <w:r>
        <w:rPr>
          <w:rFonts w:hint="eastAsia" w:ascii="宋体" w:hAnsi="宋体" w:eastAsia="宋体" w:cs="宋体"/>
          <w:bCs/>
          <w:color w:val="auto"/>
          <w:sz w:val="21"/>
          <w:szCs w:val="21"/>
          <w:highlight w:val="none"/>
        </w:rPr>
        <w:t>。</w:t>
      </w:r>
    </w:p>
    <w:p w14:paraId="354711E3">
      <w:pPr>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二、合同工期</w:t>
      </w:r>
    </w:p>
    <w:p w14:paraId="423D4E75">
      <w:pPr>
        <w:snapToGrid w:val="0"/>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具体以监理工程师实际下发的开工令为准</w:t>
      </w:r>
      <w:r>
        <w:rPr>
          <w:rFonts w:hint="eastAsia" w:ascii="宋体" w:hAnsi="宋体" w:eastAsia="宋体" w:cs="宋体"/>
          <w:bCs/>
          <w:color w:val="auto"/>
          <w:sz w:val="21"/>
          <w:szCs w:val="21"/>
          <w:highlight w:val="none"/>
          <w:lang w:eastAsia="zh-CN"/>
        </w:rPr>
        <w:t>）</w:t>
      </w:r>
    </w:p>
    <w:p w14:paraId="16696163">
      <w:pPr>
        <w:snapToGrid w:val="0"/>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794184ED">
      <w:pPr>
        <w:snapToGrid w:val="0"/>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w:t>
      </w:r>
      <w:r>
        <w:rPr>
          <w:rFonts w:hint="eastAsia" w:ascii="宋体" w:hAnsi="宋体" w:eastAsia="宋体" w:cs="宋体"/>
          <w:color w:val="auto"/>
          <w:sz w:val="21"/>
          <w:szCs w:val="21"/>
          <w:highlight w:val="none"/>
          <w:lang w:eastAsia="zh-CN"/>
        </w:rPr>
        <w:t>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0AB9B3F2">
      <w:pPr>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三、质量标准：工程质量符合</w:t>
      </w:r>
      <w:r>
        <w:rPr>
          <w:rFonts w:hint="eastAsia" w:ascii="宋体" w:hAnsi="宋体" w:eastAsia="宋体" w:cs="宋体"/>
          <w:color w:val="auto"/>
          <w:sz w:val="21"/>
          <w:szCs w:val="21"/>
          <w:highlight w:val="none"/>
          <w:u w:val="single"/>
        </w:rPr>
        <w:t>国家施工验收规范合格</w:t>
      </w:r>
      <w:r>
        <w:rPr>
          <w:rFonts w:hint="eastAsia" w:ascii="宋体" w:hAnsi="宋体" w:eastAsia="宋体" w:cs="宋体"/>
          <w:color w:val="auto"/>
          <w:sz w:val="21"/>
          <w:szCs w:val="21"/>
          <w:highlight w:val="none"/>
        </w:rPr>
        <w:t>标准。</w:t>
      </w:r>
    </w:p>
    <w:p w14:paraId="424F01BC">
      <w:pPr>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四、签约合同价与合同价格形式</w:t>
      </w:r>
      <w:r>
        <w:rPr>
          <w:rFonts w:hint="eastAsia" w:ascii="宋体" w:hAnsi="宋体" w:eastAsia="宋体" w:cs="宋体"/>
          <w:color w:val="auto"/>
          <w:sz w:val="21"/>
          <w:szCs w:val="21"/>
          <w:highlight w:val="none"/>
        </w:rPr>
        <w:tab/>
      </w:r>
    </w:p>
    <w:p w14:paraId="1F8EF612">
      <w:pPr>
        <w:snapToGrid w:val="0"/>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335FC4D8">
      <w:pPr>
        <w:snapToGrid w:val="0"/>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169D2A8D">
      <w:pPr>
        <w:snapToGrid w:val="0"/>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 ；</w:t>
      </w:r>
    </w:p>
    <w:p w14:paraId="76E5EACF">
      <w:pPr>
        <w:snapToGrid w:val="0"/>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（2）规费：人民币（大写）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05AE826B">
      <w:pPr>
        <w:snapToGrid w:val="0"/>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（3）增值税：人民币（大写）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0BEF6775">
      <w:pPr>
        <w:snapToGrid w:val="0"/>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（4）暂列金额：人民币（大写）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2292D0F">
      <w:pPr>
        <w:snapToGrid w:val="0"/>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（5）专业工程暂估价：人民币（大写）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19783637">
      <w:pPr>
        <w:snapToGrid w:val="0"/>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rPr>
        <w:t xml:space="preserve">固定综合单价，总价可调 </w:t>
      </w:r>
      <w:r>
        <w:rPr>
          <w:rFonts w:hint="eastAsia" w:ascii="宋体" w:hAnsi="宋体" w:eastAsia="宋体" w:cs="宋体"/>
          <w:color w:val="auto"/>
          <w:sz w:val="21"/>
          <w:szCs w:val="21"/>
          <w:highlight w:val="none"/>
        </w:rPr>
        <w:t>。</w:t>
      </w:r>
    </w:p>
    <w:p w14:paraId="3A1CF0A9">
      <w:pPr>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五、合同文件构成</w:t>
      </w:r>
    </w:p>
    <w:p w14:paraId="2C96921D">
      <w:pPr>
        <w:snapToGrid w:val="0"/>
        <w:spacing w:line="3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297F78DC">
      <w:pPr>
        <w:autoSpaceDE w:val="0"/>
        <w:autoSpaceDN w:val="0"/>
        <w:snapToGrid w:val="0"/>
        <w:spacing w:line="34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（1）成交通知书（如果有）；</w:t>
      </w:r>
    </w:p>
    <w:p w14:paraId="070CF404">
      <w:pPr>
        <w:autoSpaceDE w:val="0"/>
        <w:autoSpaceDN w:val="0"/>
        <w:snapToGrid w:val="0"/>
        <w:spacing w:line="34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（2）响应函及其附录（如果有）； </w:t>
      </w:r>
    </w:p>
    <w:p w14:paraId="7E3F7FA0">
      <w:pPr>
        <w:autoSpaceDE w:val="0"/>
        <w:autoSpaceDN w:val="0"/>
        <w:snapToGrid w:val="0"/>
        <w:spacing w:line="34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（3）专用合同条款及其附件；</w:t>
      </w:r>
    </w:p>
    <w:p w14:paraId="7ACD1ED1">
      <w:pPr>
        <w:autoSpaceDE w:val="0"/>
        <w:autoSpaceDN w:val="0"/>
        <w:snapToGrid w:val="0"/>
        <w:spacing w:line="34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（4）通用合同条款；</w:t>
      </w:r>
    </w:p>
    <w:p w14:paraId="08808753">
      <w:pPr>
        <w:autoSpaceDE w:val="0"/>
        <w:autoSpaceDN w:val="0"/>
        <w:snapToGrid w:val="0"/>
        <w:spacing w:line="34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（5）技术标准和要求；</w:t>
      </w:r>
    </w:p>
    <w:p w14:paraId="2C5FEA27">
      <w:pPr>
        <w:autoSpaceDE w:val="0"/>
        <w:autoSpaceDN w:val="0"/>
        <w:snapToGrid w:val="0"/>
        <w:spacing w:line="34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（6）已标价工程量清单或预算书；</w:t>
      </w:r>
    </w:p>
    <w:p w14:paraId="521222AE">
      <w:pPr>
        <w:autoSpaceDE w:val="0"/>
        <w:autoSpaceDN w:val="0"/>
        <w:snapToGrid w:val="0"/>
        <w:spacing w:line="34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（7）其他合同文件。</w:t>
      </w:r>
    </w:p>
    <w:p w14:paraId="7EDE7BC4">
      <w:pPr>
        <w:autoSpaceDE w:val="0"/>
        <w:autoSpaceDN w:val="0"/>
        <w:snapToGrid w:val="0"/>
        <w:spacing w:line="34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0CD96CB0">
      <w:pPr>
        <w:autoSpaceDE w:val="0"/>
        <w:autoSpaceDN w:val="0"/>
        <w:snapToGrid w:val="0"/>
        <w:spacing w:line="34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5302A547">
      <w:pPr>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六、承诺</w:t>
      </w:r>
    </w:p>
    <w:p w14:paraId="19413D11">
      <w:pPr>
        <w:snapToGrid w:val="0"/>
        <w:spacing w:line="3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1.发包人承诺按照法律规定履行项目审批手续、筹集工程建设资金并按照合同约定的期限和方式支付合同价款。</w:t>
      </w:r>
    </w:p>
    <w:p w14:paraId="419E196D">
      <w:pPr>
        <w:snapToGrid w:val="0"/>
        <w:spacing w:line="3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572ECCEE">
      <w:pPr>
        <w:snapToGrid w:val="0"/>
        <w:spacing w:line="3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3.发包人和承包人通过磋商形式签订合同的，双方理解并同意不再就同一工程另行签订与合同实质性内容相背离的协议。</w:t>
      </w:r>
    </w:p>
    <w:p w14:paraId="0B0BC377">
      <w:pPr>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七、词语含义</w:t>
      </w:r>
    </w:p>
    <w:p w14:paraId="22300AAD">
      <w:pPr>
        <w:snapToGrid w:val="0"/>
        <w:spacing w:line="3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3048CF2D">
      <w:pPr>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八、签订时间</w:t>
      </w:r>
    </w:p>
    <w:p w14:paraId="40CD4DC0">
      <w:pPr>
        <w:snapToGrid w:val="0"/>
        <w:spacing w:line="3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5E3C589D">
      <w:pPr>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九、签订地点</w:t>
      </w:r>
    </w:p>
    <w:p w14:paraId="128FC3D5">
      <w:pPr>
        <w:snapToGrid w:val="0"/>
        <w:spacing w:line="3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cs="宋体"/>
          <w:color w:val="auto"/>
          <w:sz w:val="21"/>
          <w:szCs w:val="24"/>
          <w:highlight w:val="none"/>
          <w:u w:val="single"/>
          <w:lang w:val="en-US" w:eastAsia="zh-CN"/>
        </w:rPr>
        <w:t xml:space="preserve">            </w:t>
      </w:r>
      <w:r>
        <w:rPr>
          <w:rFonts w:hint="eastAsia" w:ascii="宋体" w:hAnsi="宋体" w:eastAsia="宋体" w:cs="宋体"/>
          <w:bCs/>
          <w:color w:val="auto"/>
          <w:sz w:val="21"/>
          <w:szCs w:val="21"/>
          <w:highlight w:val="none"/>
        </w:rPr>
        <w:t>签订。</w:t>
      </w:r>
    </w:p>
    <w:p w14:paraId="77E3B798">
      <w:pPr>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十、补充协议</w:t>
      </w:r>
    </w:p>
    <w:p w14:paraId="39FC57C0">
      <w:pPr>
        <w:snapToGrid w:val="0"/>
        <w:spacing w:line="340" w:lineRule="exact"/>
        <w:ind w:firstLine="420"/>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271464F">
      <w:pPr>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十一、合同生效</w:t>
      </w:r>
    </w:p>
    <w:p w14:paraId="107B8294">
      <w:pPr>
        <w:snapToGrid w:val="0"/>
        <w:spacing w:line="3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发包人、承包人双方法定代表人或委托代理人签字并加盖单位公章后</w:t>
      </w:r>
      <w:r>
        <w:rPr>
          <w:rFonts w:hint="eastAsia" w:ascii="宋体" w:hAnsi="宋体" w:eastAsia="宋体" w:cs="宋体"/>
          <w:bCs/>
          <w:color w:val="auto"/>
          <w:sz w:val="21"/>
          <w:szCs w:val="21"/>
          <w:highlight w:val="none"/>
        </w:rPr>
        <w:t>生效。</w:t>
      </w:r>
    </w:p>
    <w:p w14:paraId="2579EB04">
      <w:pPr>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十二、合同份数</w:t>
      </w:r>
    </w:p>
    <w:p w14:paraId="69CE109A">
      <w:pPr>
        <w:snapToGrid w:val="0"/>
        <w:spacing w:line="3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本合同一式十二份，均具有同等法律效力，发包人执八份，承包人执四份。</w:t>
      </w:r>
    </w:p>
    <w:p w14:paraId="1F1103CA">
      <w:pPr>
        <w:spacing w:line="340" w:lineRule="exact"/>
        <w:ind w:firstLine="42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p w14:paraId="7FDBD8D9">
      <w:pPr>
        <w:snapToGrid w:val="0"/>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710613C">
      <w:pPr>
        <w:snapToGrid w:val="0"/>
        <w:spacing w:line="34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法定代表人（签字）：</w:t>
      </w:r>
      <w:r>
        <w:rPr>
          <w:rFonts w:hint="eastAsia" w:ascii="宋体" w:hAnsi="宋体" w:eastAsia="宋体" w:cs="宋体"/>
          <w:color w:val="auto"/>
          <w:sz w:val="21"/>
          <w:szCs w:val="21"/>
          <w:highlight w:val="none"/>
          <w:u w:val="single"/>
        </w:rPr>
        <w:t xml:space="preserve">                </w:t>
      </w:r>
    </w:p>
    <w:p w14:paraId="7B7B77A3">
      <w:pPr>
        <w:snapToGrid w:val="0"/>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委托代理人（签字）：</w:t>
      </w:r>
      <w:r>
        <w:rPr>
          <w:rFonts w:hint="eastAsia" w:ascii="宋体" w:hAnsi="宋体" w:eastAsia="宋体" w:cs="宋体"/>
          <w:color w:val="auto"/>
          <w:sz w:val="21"/>
          <w:szCs w:val="21"/>
          <w:highlight w:val="none"/>
          <w:u w:val="single"/>
        </w:rPr>
        <w:t xml:space="preserve">                 </w:t>
      </w:r>
    </w:p>
    <w:p w14:paraId="6A840BFD">
      <w:pPr>
        <w:snapToGrid w:val="0"/>
        <w:spacing w:line="34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CA4A26D">
      <w:pPr>
        <w:snapToGrid w:val="0"/>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25241967">
      <w:pPr>
        <w:snapToGrid w:val="0"/>
        <w:spacing w:line="34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电子信箱：</w:t>
      </w:r>
      <w:r>
        <w:rPr>
          <w:rFonts w:hint="eastAsia" w:ascii="宋体" w:hAnsi="宋体" w:eastAsia="宋体" w:cs="宋体"/>
          <w:color w:val="auto"/>
          <w:sz w:val="21"/>
          <w:szCs w:val="21"/>
          <w:highlight w:val="none"/>
          <w:u w:val="single"/>
        </w:rPr>
        <w:t xml:space="preserve">          </w:t>
      </w:r>
    </w:p>
    <w:p w14:paraId="2B3C963A">
      <w:pPr>
        <w:snapToGrid w:val="0"/>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14:paraId="296B859A">
      <w:pPr>
        <w:snapToGrid w:val="0"/>
        <w:spacing w:line="34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p>
    <w:p w14:paraId="09EA94CB">
      <w:pPr>
        <w:snapToGrid w:val="0"/>
        <w:spacing w:line="34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 xml:space="preserve">      </w:t>
      </w:r>
    </w:p>
    <w:p w14:paraId="7EB36795">
      <w:pPr>
        <w:widowControl/>
        <w:spacing w:line="240" w:lineRule="auto"/>
        <w:ind w:firstLine="0" w:firstLineChars="0"/>
        <w:jc w:val="left"/>
        <w:rPr>
          <w:rFonts w:hint="eastAsia" w:ascii="宋体" w:hAnsi="宋体" w:eastAsia="宋体" w:cs="宋体"/>
          <w:b/>
          <w:bCs/>
          <w:color w:val="auto"/>
          <w:kern w:val="44"/>
          <w:sz w:val="28"/>
          <w:szCs w:val="28"/>
          <w:highlight w:val="none"/>
          <w:lang w:val="zh-CN"/>
        </w:rPr>
      </w:pPr>
      <w:r>
        <w:rPr>
          <w:rFonts w:hint="eastAsia" w:ascii="宋体" w:hAnsi="宋体" w:eastAsia="宋体" w:cs="宋体"/>
          <w:color w:val="auto"/>
          <w:highlight w:val="none"/>
        </w:rPr>
        <w:br w:type="page"/>
      </w:r>
    </w:p>
    <w:p w14:paraId="4399C939">
      <w:pPr>
        <w:keepNext/>
        <w:keepLines/>
        <w:widowControl/>
        <w:ind w:left="432" w:firstLine="0" w:firstLineChars="0"/>
        <w:jc w:val="center"/>
        <w:outlineLvl w:val="0"/>
        <w:rPr>
          <w:rFonts w:hint="eastAsia" w:ascii="宋体" w:hAnsi="宋体" w:eastAsia="宋体" w:cs="宋体"/>
          <w:b/>
          <w:bCs/>
          <w:color w:val="auto"/>
          <w:kern w:val="0"/>
          <w:sz w:val="28"/>
          <w:szCs w:val="21"/>
          <w:highlight w:val="none"/>
          <w:lang w:val="zh-CN"/>
        </w:rPr>
      </w:pPr>
      <w:r>
        <w:rPr>
          <w:rFonts w:hint="eastAsia" w:ascii="宋体" w:hAnsi="宋体" w:eastAsia="宋体" w:cs="宋体"/>
          <w:b/>
          <w:bCs/>
          <w:color w:val="auto"/>
          <w:kern w:val="44"/>
          <w:sz w:val="28"/>
          <w:szCs w:val="28"/>
          <w:highlight w:val="none"/>
          <w:lang w:val="zh-CN"/>
        </w:rPr>
        <w:t>第二部分 通用合同条款</w:t>
      </w:r>
      <w:bookmarkEnd w:id="90"/>
      <w:bookmarkEnd w:id="91"/>
      <w:bookmarkEnd w:id="92"/>
    </w:p>
    <w:p w14:paraId="7DC9608D">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96" w:name="_Toc337558727"/>
      <w:bookmarkStart w:id="97" w:name="_Toc478389011"/>
      <w:bookmarkStart w:id="98" w:name="_Toc351203495"/>
      <w:r>
        <w:rPr>
          <w:rFonts w:hint="eastAsia" w:ascii="宋体" w:hAnsi="宋体" w:eastAsia="宋体" w:cs="宋体"/>
          <w:b/>
          <w:bCs/>
          <w:color w:val="auto"/>
          <w:kern w:val="44"/>
          <w:sz w:val="21"/>
          <w:szCs w:val="21"/>
          <w:highlight w:val="none"/>
        </w:rPr>
        <w:t>1.</w:t>
      </w:r>
      <w:bookmarkStart w:id="99" w:name="_Toc303538976"/>
      <w:bookmarkEnd w:id="99"/>
      <w:bookmarkStart w:id="100" w:name="_Toc303538972"/>
      <w:bookmarkEnd w:id="100"/>
      <w:bookmarkStart w:id="101" w:name="_Toc303538974"/>
      <w:bookmarkEnd w:id="101"/>
      <w:bookmarkStart w:id="102" w:name="_Toc303538973"/>
      <w:bookmarkEnd w:id="102"/>
      <w:bookmarkStart w:id="103" w:name="_Toc303538975"/>
      <w:bookmarkEnd w:id="103"/>
      <w:bookmarkStart w:id="104" w:name="_Toc296346528"/>
      <w:bookmarkStart w:id="105" w:name="_Toc296503027"/>
      <w:r>
        <w:rPr>
          <w:rFonts w:hint="eastAsia" w:ascii="宋体" w:hAnsi="宋体" w:eastAsia="宋体" w:cs="宋体"/>
          <w:b/>
          <w:bCs/>
          <w:color w:val="auto"/>
          <w:kern w:val="44"/>
          <w:sz w:val="21"/>
          <w:szCs w:val="21"/>
          <w:highlight w:val="none"/>
        </w:rPr>
        <w:t xml:space="preserve"> 一般约定</w:t>
      </w:r>
      <w:bookmarkEnd w:id="96"/>
      <w:bookmarkEnd w:id="97"/>
      <w:bookmarkEnd w:id="98"/>
      <w:bookmarkEnd w:id="104"/>
      <w:bookmarkEnd w:id="105"/>
      <w:bookmarkStart w:id="106" w:name="_Toc296503028"/>
      <w:bookmarkStart w:id="107" w:name="_Toc296346529"/>
      <w:bookmarkStart w:id="108" w:name="_Toc337558728"/>
      <w:bookmarkStart w:id="109" w:name="_Toc478389012"/>
      <w:bookmarkStart w:id="110" w:name="_Toc351203496"/>
    </w:p>
    <w:p w14:paraId="318A010D">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r>
        <w:rPr>
          <w:rFonts w:hint="eastAsia" w:ascii="宋体" w:hAnsi="宋体" w:eastAsia="宋体" w:cs="宋体"/>
          <w:b/>
          <w:bCs/>
          <w:color w:val="auto"/>
          <w:kern w:val="44"/>
          <w:sz w:val="21"/>
          <w:szCs w:val="21"/>
          <w:highlight w:val="none"/>
        </w:rPr>
        <w:t>1.1词语定义</w:t>
      </w:r>
      <w:bookmarkEnd w:id="106"/>
      <w:bookmarkEnd w:id="107"/>
      <w:bookmarkEnd w:id="108"/>
      <w:r>
        <w:rPr>
          <w:rFonts w:hint="eastAsia" w:ascii="宋体" w:hAnsi="宋体" w:eastAsia="宋体" w:cs="宋体"/>
          <w:b/>
          <w:bCs/>
          <w:color w:val="auto"/>
          <w:kern w:val="44"/>
          <w:sz w:val="21"/>
          <w:szCs w:val="21"/>
          <w:highlight w:val="none"/>
        </w:rPr>
        <w:t>与解释</w:t>
      </w:r>
      <w:bookmarkEnd w:id="109"/>
      <w:bookmarkEnd w:id="110"/>
    </w:p>
    <w:p w14:paraId="16572512">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合同协议书、通用合同条款、专用合同条款中的下列词语具有本款所赋予的含义：</w:t>
      </w:r>
    </w:p>
    <w:p w14:paraId="2835D2BF">
      <w:pPr>
        <w:spacing w:line="420" w:lineRule="exact"/>
        <w:ind w:firstLine="422"/>
        <w:outlineLvl w:val="0"/>
        <w:rPr>
          <w:rFonts w:hint="eastAsia" w:ascii="宋体" w:hAnsi="宋体" w:eastAsia="宋体" w:cs="宋体"/>
          <w:b/>
          <w:color w:val="auto"/>
          <w:kern w:val="0"/>
          <w:sz w:val="21"/>
          <w:szCs w:val="21"/>
          <w:highlight w:val="none"/>
        </w:rPr>
      </w:pPr>
      <w:bookmarkStart w:id="111" w:name="_Toc406522044"/>
      <w:bookmarkStart w:id="112" w:name="_Toc478389013"/>
      <w:bookmarkStart w:id="113" w:name="_Toc406419169"/>
      <w:r>
        <w:rPr>
          <w:rFonts w:hint="eastAsia" w:ascii="宋体" w:hAnsi="宋体" w:eastAsia="宋体" w:cs="宋体"/>
          <w:b/>
          <w:color w:val="auto"/>
          <w:sz w:val="21"/>
          <w:szCs w:val="21"/>
          <w:highlight w:val="none"/>
        </w:rPr>
        <w:t>1.1.1 合同</w:t>
      </w:r>
      <w:bookmarkEnd w:id="111"/>
      <w:bookmarkEnd w:id="112"/>
      <w:bookmarkEnd w:id="113"/>
    </w:p>
    <w:p w14:paraId="33E2AD7F">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 合同：是指根据法律规定和合同当事人约定具有约束力的文件，构成合同的文件包括合同协议书、成交通知书（如果有）、投标函及其附录（如果有）、专用合同条款</w:t>
      </w:r>
      <w:r>
        <w:rPr>
          <w:rFonts w:hint="eastAsia" w:ascii="宋体" w:hAnsi="宋体" w:eastAsia="宋体" w:cs="宋体"/>
          <w:color w:val="auto"/>
          <w:sz w:val="21"/>
          <w:szCs w:val="21"/>
          <w:highlight w:val="none"/>
        </w:rPr>
        <w:t>及其附件</w:t>
      </w:r>
      <w:r>
        <w:rPr>
          <w:rFonts w:hint="eastAsia" w:ascii="宋体" w:hAnsi="宋体" w:eastAsia="宋体" w:cs="宋体"/>
          <w:color w:val="auto"/>
          <w:kern w:val="0"/>
          <w:sz w:val="21"/>
          <w:szCs w:val="21"/>
          <w:highlight w:val="none"/>
        </w:rPr>
        <w:t>、通用合同条款、技术标准和要求、图纸（如有）、已标价工程量清单或预算书以及其他合同文件。</w:t>
      </w:r>
    </w:p>
    <w:p w14:paraId="1A26BF40">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 合同协议书：是指构成合同的由发包人和承包人共同签署的称为“合同协议书”的书面文件。</w:t>
      </w:r>
    </w:p>
    <w:p w14:paraId="5B83B31F">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1.1.1.3 成交通知书：是指构成合同的由发包人通知承包人成交的书面文件。</w:t>
      </w:r>
    </w:p>
    <w:p w14:paraId="667B80EE">
      <w:pPr>
        <w:autoSpaceDE w:val="0"/>
        <w:autoSpaceDN w:val="0"/>
        <w:adjustRightInd w:val="0"/>
        <w:spacing w:line="420" w:lineRule="exact"/>
        <w:ind w:firstLine="42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0"/>
          <w:sz w:val="21"/>
          <w:szCs w:val="21"/>
          <w:highlight w:val="none"/>
        </w:rPr>
        <w:t>1.1.1.4 投标函：是</w:t>
      </w:r>
      <w:r>
        <w:rPr>
          <w:rFonts w:hint="eastAsia" w:ascii="宋体" w:hAnsi="宋体" w:eastAsia="宋体" w:cs="宋体"/>
          <w:color w:val="auto"/>
          <w:spacing w:val="-4"/>
          <w:kern w:val="0"/>
          <w:sz w:val="21"/>
          <w:szCs w:val="21"/>
          <w:highlight w:val="none"/>
        </w:rPr>
        <w:t>指构成合同的由承包人填写并签署的用于投标的称为“投标函”的文件。</w:t>
      </w:r>
    </w:p>
    <w:p w14:paraId="2B0E0E0B">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1.1.1.5 投标函附录：是指构成合同的附在投标函后的称为“投标函附录”的文件。</w:t>
      </w:r>
    </w:p>
    <w:p w14:paraId="553D7ED5">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1.1.1.6 技术标准和要求：是指构成合同的施工应当遵守的或指导施工的国家、行业或地方的技术标准和要求，以及合同约定的技术标准和要求。</w:t>
      </w:r>
    </w:p>
    <w:p w14:paraId="33378C1E">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1.1.1.7 图纸（如有）：是指构成合同的图纸，包括由发包人按照合同约定提供或经发包人批准的设计文件、施工图、鸟瞰图及模型等，以及在合同履行过程中形成的图纸文件。图纸应当按照法律规定审查合格。</w:t>
      </w:r>
    </w:p>
    <w:p w14:paraId="75073376">
      <w:pPr>
        <w:autoSpaceDE w:val="0"/>
        <w:autoSpaceDN w:val="0"/>
        <w:adjustRightInd w:val="0"/>
        <w:spacing w:line="420" w:lineRule="exact"/>
        <w:ind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1.1.1.8 已标价工程量清单：是指构成合同的由承包人按照规定的格式和要求填写并标明价格的工程量清单，包括说明和表格。</w:t>
      </w:r>
    </w:p>
    <w:p w14:paraId="304E2A88">
      <w:pPr>
        <w:autoSpaceDE w:val="0"/>
        <w:autoSpaceDN w:val="0"/>
        <w:adjustRightInd w:val="0"/>
        <w:spacing w:line="420" w:lineRule="exact"/>
        <w:ind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1.1.1.9 预算书：是指构成合同的由承包人按照发包人规定的格式和要求编制的工程预算文件。</w:t>
      </w:r>
    </w:p>
    <w:p w14:paraId="41C27634">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1.1.1.10 其他合同文件：是指经合同当事人约定的与工程施工有关的具有合同约束力的文件或书面协议。合同当事人可以在专用合同条款中进行约定。</w:t>
      </w:r>
    </w:p>
    <w:p w14:paraId="5C3D77B7">
      <w:pPr>
        <w:spacing w:line="420" w:lineRule="exact"/>
        <w:ind w:firstLine="422"/>
        <w:outlineLvl w:val="0"/>
        <w:rPr>
          <w:rFonts w:hint="eastAsia" w:ascii="宋体" w:hAnsi="宋体" w:eastAsia="宋体" w:cs="宋体"/>
          <w:b/>
          <w:color w:val="auto"/>
          <w:kern w:val="0"/>
          <w:sz w:val="21"/>
          <w:szCs w:val="21"/>
          <w:highlight w:val="none"/>
        </w:rPr>
      </w:pPr>
      <w:bookmarkStart w:id="114" w:name="_Toc406419170"/>
      <w:bookmarkStart w:id="115" w:name="_Toc406522045"/>
      <w:bookmarkStart w:id="116" w:name="_Toc478389014"/>
      <w:r>
        <w:rPr>
          <w:rFonts w:hint="eastAsia" w:ascii="宋体" w:hAnsi="宋体" w:eastAsia="宋体" w:cs="宋体"/>
          <w:b/>
          <w:color w:val="auto"/>
          <w:sz w:val="21"/>
          <w:szCs w:val="21"/>
          <w:highlight w:val="none"/>
        </w:rPr>
        <w:t>1.1.2 合同当事人及其他相关方</w:t>
      </w:r>
      <w:bookmarkEnd w:id="114"/>
      <w:bookmarkEnd w:id="115"/>
      <w:bookmarkEnd w:id="116"/>
    </w:p>
    <w:p w14:paraId="3D26849E">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1.1.2.1 合同当事人：是指发包人和（或）承包人。</w:t>
      </w:r>
    </w:p>
    <w:p w14:paraId="09BA72C6">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1.1.2.2 发包人：</w:t>
      </w:r>
      <w:r>
        <w:rPr>
          <w:rFonts w:hint="eastAsia" w:ascii="宋体" w:hAnsi="宋体" w:eastAsia="宋体" w:cs="宋体"/>
          <w:color w:val="auto"/>
          <w:spacing w:val="-4"/>
          <w:kern w:val="0"/>
          <w:sz w:val="21"/>
          <w:szCs w:val="21"/>
          <w:highlight w:val="none"/>
        </w:rPr>
        <w:t>是指与承包人签订合同协议书的当事人及取得该当事人资格的合法继承人</w:t>
      </w:r>
      <w:r>
        <w:rPr>
          <w:rFonts w:hint="eastAsia" w:ascii="宋体" w:hAnsi="宋体" w:eastAsia="宋体" w:cs="宋体"/>
          <w:color w:val="auto"/>
          <w:kern w:val="0"/>
          <w:sz w:val="21"/>
          <w:szCs w:val="21"/>
          <w:highlight w:val="none"/>
        </w:rPr>
        <w:t>。</w:t>
      </w:r>
    </w:p>
    <w:p w14:paraId="50D1D372">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1.1.2.3 承包人：是指与发包人签订合同协议书的，具有相应工程施工承包资质的当事人及取得该当事人资格的合法继承人。</w:t>
      </w:r>
    </w:p>
    <w:p w14:paraId="1CA99B20">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1.1.2.4 监理人：是指在专用合同条款中指明的，受发包人委托按照法律规定进行工程监督管理的法人或其他组织。</w:t>
      </w:r>
    </w:p>
    <w:p w14:paraId="31B0E4E1">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1.1.2.5 设计人：是指在专用合同条款中指明的，受发包人委托负责工程设计并具备相应工程设计资质的法人或其他组织。</w:t>
      </w:r>
    </w:p>
    <w:p w14:paraId="6A4965CD">
      <w:pPr>
        <w:spacing w:line="420" w:lineRule="exact"/>
        <w:ind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1.1.2.6 分包人：</w:t>
      </w:r>
      <w:bookmarkStart w:id="117" w:name="#go5"/>
      <w:bookmarkEnd w:id="117"/>
      <w:r>
        <w:rPr>
          <w:rFonts w:hint="eastAsia" w:ascii="宋体" w:hAnsi="宋体" w:eastAsia="宋体" w:cs="宋体"/>
          <w:color w:val="auto"/>
          <w:kern w:val="0"/>
          <w:sz w:val="21"/>
          <w:szCs w:val="21"/>
          <w:highlight w:val="none"/>
        </w:rPr>
        <w:t>是指按照法律规定和合同约定，分包部分工程或工作，并与承包人签订分包合同的具有相应资质的法人。</w:t>
      </w:r>
    </w:p>
    <w:p w14:paraId="1CD3500D">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1.1.2.7 发包人代表：是指由发包人任命并派驻施工现场在发包人授权范围内行使发包人权利的人。</w:t>
      </w:r>
    </w:p>
    <w:p w14:paraId="71B2CFBF">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1.1.2.8 项目经理：是指由承包人任命并派驻施工现场，在承包人授权范围内负责合同履行，且按照法律规定具有相应资格的项目负责人。</w:t>
      </w:r>
    </w:p>
    <w:p w14:paraId="73D8C819">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1.1.2.9 总监理工程师：是指由监理人任命并派驻施工现场进行工程监理的总负责人。</w:t>
      </w:r>
    </w:p>
    <w:p w14:paraId="5E814EB5">
      <w:pPr>
        <w:spacing w:line="420" w:lineRule="exact"/>
        <w:ind w:firstLine="422"/>
        <w:outlineLvl w:val="0"/>
        <w:rPr>
          <w:rFonts w:hint="eastAsia" w:ascii="宋体" w:hAnsi="宋体" w:eastAsia="宋体" w:cs="宋体"/>
          <w:b/>
          <w:color w:val="auto"/>
          <w:kern w:val="0"/>
          <w:sz w:val="21"/>
          <w:szCs w:val="21"/>
          <w:highlight w:val="none"/>
        </w:rPr>
      </w:pPr>
      <w:bookmarkStart w:id="118" w:name="_Toc478389015"/>
      <w:bookmarkStart w:id="119" w:name="_Toc406419171"/>
      <w:bookmarkStart w:id="120" w:name="_Toc406522046"/>
      <w:r>
        <w:rPr>
          <w:rFonts w:hint="eastAsia" w:ascii="宋体" w:hAnsi="宋体" w:eastAsia="宋体" w:cs="宋体"/>
          <w:b/>
          <w:color w:val="auto"/>
          <w:sz w:val="21"/>
          <w:szCs w:val="21"/>
          <w:highlight w:val="none"/>
        </w:rPr>
        <w:t>1.1.3 工程和设备</w:t>
      </w:r>
      <w:bookmarkEnd w:id="118"/>
      <w:bookmarkEnd w:id="119"/>
      <w:bookmarkEnd w:id="120"/>
    </w:p>
    <w:p w14:paraId="21B557B0">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 工程：是指与合同协议书中工程承包范围对应的永久工程和（或）临时工程。</w:t>
      </w:r>
    </w:p>
    <w:p w14:paraId="44F1BDEC">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1.1.3.2 永久工程：是指按合同约定建造并移交给发包人的工程，包括工程设备。</w:t>
      </w:r>
    </w:p>
    <w:p w14:paraId="090FEF6A">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1.1.3.3 临时工程：是指为完成合同约定的永久工程所修建的各类临时性工程，不包括施工设备。</w:t>
      </w:r>
    </w:p>
    <w:p w14:paraId="43605F78">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1.1.3.4 单位工程：是指在合同协议书中指明的，具备独立施工条件并能形成独立使用功能的永久工程。</w:t>
      </w:r>
    </w:p>
    <w:p w14:paraId="633B4DA4">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1.1.3.5 工程设备：是指构成永久工程的机电设备、金属结构设备、仪器及其他类似的设备和装置。</w:t>
      </w:r>
    </w:p>
    <w:p w14:paraId="751E7E9E">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1.1.3.6 施工设备：是指为完成合同约定的各项工作所需的设备、器具和其他物品，但不包括工程设备、临时工程和材料。</w:t>
      </w:r>
    </w:p>
    <w:p w14:paraId="2DEC5EC6">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 施工现场：是指用于工程施工的场所，以及在专用合同条款中指明作为施工场所组成部分的其他场所，包括永久占地和临时占地。</w:t>
      </w:r>
    </w:p>
    <w:p w14:paraId="5FFC90A5">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1.1.3.8临时设施：是指为完成合同约定的各项工作所服务的临时性生产和生活设施。</w:t>
      </w:r>
    </w:p>
    <w:p w14:paraId="7745E50D">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永久占地：是指专用合同条款中指明为实施工程需永久占用的土地。</w:t>
      </w:r>
    </w:p>
    <w:p w14:paraId="4F711F21">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 临时占地：是指专用合同条款中指明为实施工程需要临时占用的土地。</w:t>
      </w:r>
    </w:p>
    <w:p w14:paraId="41C4151F">
      <w:pPr>
        <w:spacing w:line="420" w:lineRule="exact"/>
        <w:ind w:firstLine="422"/>
        <w:outlineLvl w:val="0"/>
        <w:rPr>
          <w:rFonts w:hint="eastAsia" w:ascii="宋体" w:hAnsi="宋体" w:eastAsia="宋体" w:cs="宋体"/>
          <w:b/>
          <w:color w:val="auto"/>
          <w:kern w:val="0"/>
          <w:sz w:val="21"/>
          <w:szCs w:val="21"/>
          <w:highlight w:val="none"/>
        </w:rPr>
      </w:pPr>
      <w:bookmarkStart w:id="121" w:name="_Toc478389016"/>
      <w:bookmarkStart w:id="122" w:name="_Toc406522047"/>
      <w:bookmarkStart w:id="123" w:name="_Toc406419172"/>
      <w:r>
        <w:rPr>
          <w:rFonts w:hint="eastAsia" w:ascii="宋体" w:hAnsi="宋体" w:eastAsia="宋体" w:cs="宋体"/>
          <w:b/>
          <w:color w:val="auto"/>
          <w:sz w:val="21"/>
          <w:szCs w:val="21"/>
          <w:highlight w:val="none"/>
        </w:rPr>
        <w:t>1.1.4 日期和期限</w:t>
      </w:r>
      <w:bookmarkEnd w:id="121"/>
      <w:bookmarkEnd w:id="122"/>
      <w:bookmarkEnd w:id="123"/>
    </w:p>
    <w:p w14:paraId="1A6B21D4">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1AFD7425">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1.1.4.2 竣工日期：包括计划竣工日期和实际竣工日期。计划竣工日期是指合同协议书约定的竣工日期；实际竣工日期按照第13.2.3项〔竣工日期〕的约定确定。 </w:t>
      </w:r>
    </w:p>
    <w:p w14:paraId="085D76C7">
      <w:pPr>
        <w:spacing w:line="420" w:lineRule="exact"/>
        <w:ind w:firstLine="426" w:firstLineChars="20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1.1.4.3 工期：是指在合同协议书约定的承包人完成工程所需的期限，包括按照合同约定所作的期限变更。</w:t>
      </w:r>
    </w:p>
    <w:p w14:paraId="04A260C7">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1.1.4.4 缺陷责任期：是指承包人按照合同约定承担缺陷修复义务，且发包人预留质量保证金的期限，自工程实际竣工日期起计算。</w:t>
      </w:r>
    </w:p>
    <w:p w14:paraId="64675369">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1.1.4.5 保修期：是指承包人按照合同约定对工程承担保修责任的期限，从工程竣工验收合格之日起计算。</w:t>
      </w:r>
    </w:p>
    <w:p w14:paraId="6AF7C7EC">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1.1.4.6 基准日期：招标发包的工程以</w:t>
      </w:r>
      <w:r>
        <w:rPr>
          <w:rFonts w:hint="eastAsia" w:ascii="宋体" w:hAnsi="宋体" w:eastAsia="宋体" w:cs="宋体"/>
          <w:color w:val="auto"/>
          <w:kern w:val="0"/>
          <w:sz w:val="21"/>
          <w:szCs w:val="21"/>
          <w:highlight w:val="none"/>
          <w:lang w:eastAsia="zh-CN"/>
        </w:rPr>
        <w:t>响应文件递交</w:t>
      </w:r>
      <w:r>
        <w:rPr>
          <w:rFonts w:hint="eastAsia" w:ascii="宋体" w:hAnsi="宋体" w:eastAsia="宋体" w:cs="宋体"/>
          <w:color w:val="auto"/>
          <w:kern w:val="0"/>
          <w:sz w:val="21"/>
          <w:szCs w:val="21"/>
          <w:highlight w:val="none"/>
        </w:rPr>
        <w:t>截止日前28天的日期为基准日期，直接发包的工程以合同签订日前28天的日期为基准日期。</w:t>
      </w:r>
    </w:p>
    <w:p w14:paraId="3EBD8E56">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1.1.4.7 天：除特别指明外，均指日历天。合同中按天计算时间的，开始当天不计入，从次日开始计算，期限最后一天的截止时间为当天24:00时。</w:t>
      </w:r>
    </w:p>
    <w:p w14:paraId="090A5EC6">
      <w:pPr>
        <w:spacing w:line="420" w:lineRule="exact"/>
        <w:ind w:firstLine="422"/>
        <w:outlineLvl w:val="0"/>
        <w:rPr>
          <w:rFonts w:hint="eastAsia" w:ascii="宋体" w:hAnsi="宋体" w:eastAsia="宋体" w:cs="宋体"/>
          <w:b/>
          <w:color w:val="auto"/>
          <w:kern w:val="0"/>
          <w:sz w:val="21"/>
          <w:szCs w:val="21"/>
          <w:highlight w:val="none"/>
        </w:rPr>
      </w:pPr>
      <w:bookmarkStart w:id="124" w:name="_Toc406522048"/>
      <w:bookmarkStart w:id="125" w:name="_Toc478389017"/>
      <w:bookmarkStart w:id="126" w:name="_Toc406419173"/>
      <w:r>
        <w:rPr>
          <w:rFonts w:hint="eastAsia" w:ascii="宋体" w:hAnsi="宋体" w:eastAsia="宋体" w:cs="宋体"/>
          <w:b/>
          <w:color w:val="auto"/>
          <w:sz w:val="21"/>
          <w:szCs w:val="21"/>
          <w:highlight w:val="none"/>
        </w:rPr>
        <w:t>1.1.5 合同价格和费用</w:t>
      </w:r>
      <w:bookmarkEnd w:id="124"/>
      <w:bookmarkEnd w:id="125"/>
      <w:bookmarkEnd w:id="126"/>
    </w:p>
    <w:p w14:paraId="6DE28A20">
      <w:pPr>
        <w:spacing w:line="42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1.1.5.1 签约合同价：是指</w:t>
      </w:r>
      <w:r>
        <w:rPr>
          <w:rFonts w:hint="eastAsia" w:ascii="宋体" w:hAnsi="宋体" w:eastAsia="宋体" w:cs="宋体"/>
          <w:color w:val="auto"/>
          <w:sz w:val="21"/>
          <w:szCs w:val="21"/>
          <w:highlight w:val="none"/>
        </w:rPr>
        <w:t>发包人和承包人在合同协议书中确定的总金额，包括安全文明施工费、暂估价及暂列金额等。</w:t>
      </w:r>
    </w:p>
    <w:p w14:paraId="26D9D04F">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1.1.5.2 合同价格：是指发包人用于支付承包人按照合同约定完成承包范围内全部工作的金额，包括合同履行过程中按合同约定发生的价格变化。</w:t>
      </w:r>
    </w:p>
    <w:p w14:paraId="0D1922B8">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1.1.5.3 费用：是指为履行合同所发生的或将要发生的所有必需的开支，包括管理费和应分摊的其他费用，但不包括利润。</w:t>
      </w:r>
    </w:p>
    <w:p w14:paraId="1855B347">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1.1.5.4 暂估价：是指发包人在工程量清单或预算书中提供的用于支付必然发生但暂时不能确定价格的材料、工程设备的单价、专业工程以及服务工作的金额。</w:t>
      </w:r>
    </w:p>
    <w:p w14:paraId="2ACB7ABE">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w:t>
      </w:r>
      <w:r>
        <w:rPr>
          <w:rFonts w:hint="eastAsia" w:ascii="宋体" w:hAnsi="宋体" w:eastAsia="宋体" w:cs="宋体"/>
          <w:color w:val="auto"/>
          <w:kern w:val="0"/>
          <w:sz w:val="21"/>
          <w:szCs w:val="21"/>
          <w:highlight w:val="none"/>
          <w:lang w:eastAsia="zh-CN"/>
        </w:rPr>
        <w:t>等</w:t>
      </w:r>
      <w:r>
        <w:rPr>
          <w:rFonts w:hint="eastAsia" w:ascii="宋体" w:hAnsi="宋体" w:eastAsia="宋体" w:cs="宋体"/>
          <w:color w:val="auto"/>
          <w:kern w:val="0"/>
          <w:sz w:val="21"/>
          <w:szCs w:val="21"/>
          <w:highlight w:val="none"/>
        </w:rPr>
        <w:t>费用。</w:t>
      </w:r>
    </w:p>
    <w:p w14:paraId="5B309D98">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1.1.5.6 计日工：是指合同履行过程中，承包人完成发包人提出的零星工作或需要采用计日工计价的变更工作时，按合同中约定的单价计价的一种方式。</w:t>
      </w:r>
    </w:p>
    <w:p w14:paraId="731AB080">
      <w:pPr>
        <w:spacing w:line="42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1.1.5.7 质量保证金</w:t>
      </w:r>
      <w:bookmarkStart w:id="127" w:name="#go2"/>
      <w:bookmarkEnd w:id="127"/>
      <w:r>
        <w:rPr>
          <w:rFonts w:hint="eastAsia" w:ascii="宋体" w:hAnsi="宋体" w:eastAsia="宋体" w:cs="宋体"/>
          <w:color w:val="auto"/>
          <w:kern w:val="0"/>
          <w:sz w:val="21"/>
          <w:szCs w:val="21"/>
          <w:highlight w:val="none"/>
        </w:rPr>
        <w:t>：是指按照第15.3款〔质量保证金〕约定承包人用于保证其在缺陷责任期内履行缺陷修补义务的担保</w:t>
      </w:r>
      <w:r>
        <w:rPr>
          <w:rFonts w:hint="eastAsia" w:ascii="宋体" w:hAnsi="宋体" w:eastAsia="宋体" w:cs="宋体"/>
          <w:color w:val="auto"/>
          <w:sz w:val="21"/>
          <w:szCs w:val="21"/>
          <w:highlight w:val="none"/>
        </w:rPr>
        <w:t>。</w:t>
      </w:r>
    </w:p>
    <w:p w14:paraId="61F207FF">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1.1.5.8 总价项目：是指在现行国家、行业以及地方的计量规则中无工程量计算规则，在已标价工程量清单或预算书中以总价或以费率形式计算的项目。</w:t>
      </w:r>
    </w:p>
    <w:p w14:paraId="1D29B840">
      <w:pPr>
        <w:spacing w:line="420" w:lineRule="exact"/>
        <w:ind w:firstLine="422"/>
        <w:outlineLvl w:val="0"/>
        <w:rPr>
          <w:rFonts w:hint="eastAsia" w:ascii="宋体" w:hAnsi="宋体" w:eastAsia="宋体" w:cs="宋体"/>
          <w:b/>
          <w:color w:val="auto"/>
          <w:kern w:val="0"/>
          <w:sz w:val="21"/>
          <w:szCs w:val="21"/>
          <w:highlight w:val="none"/>
        </w:rPr>
      </w:pPr>
      <w:bookmarkStart w:id="128" w:name="_Toc406522049"/>
      <w:bookmarkStart w:id="129" w:name="_Toc478389018"/>
      <w:bookmarkStart w:id="130" w:name="_Toc406419174"/>
      <w:r>
        <w:rPr>
          <w:rFonts w:hint="eastAsia" w:ascii="宋体" w:hAnsi="宋体" w:eastAsia="宋体" w:cs="宋体"/>
          <w:b/>
          <w:color w:val="auto"/>
          <w:sz w:val="21"/>
          <w:szCs w:val="21"/>
          <w:highlight w:val="none"/>
        </w:rPr>
        <w:t>1.1.6 其他</w:t>
      </w:r>
      <w:bookmarkEnd w:id="128"/>
      <w:bookmarkEnd w:id="129"/>
      <w:bookmarkEnd w:id="130"/>
    </w:p>
    <w:p w14:paraId="648E3754">
      <w:pPr>
        <w:spacing w:line="42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1.1.6.1 书面形式：是指合同文件、信函、电报、传真等可以有形地表现所载内容的形式。</w:t>
      </w:r>
    </w:p>
    <w:p w14:paraId="3EED87AE">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31" w:name="_Toc296503029"/>
      <w:bookmarkStart w:id="132" w:name="_Toc478389019"/>
      <w:bookmarkStart w:id="133" w:name="_Toc351203497"/>
      <w:bookmarkStart w:id="134" w:name="_Toc337558729"/>
      <w:bookmarkStart w:id="135" w:name="_Toc296346530"/>
      <w:r>
        <w:rPr>
          <w:rFonts w:hint="eastAsia" w:ascii="宋体" w:hAnsi="宋体" w:eastAsia="宋体" w:cs="宋体"/>
          <w:b/>
          <w:bCs/>
          <w:color w:val="auto"/>
          <w:kern w:val="44"/>
          <w:sz w:val="21"/>
          <w:szCs w:val="21"/>
          <w:highlight w:val="none"/>
        </w:rPr>
        <w:t>1.2语言文字</w:t>
      </w:r>
      <w:bookmarkEnd w:id="131"/>
      <w:bookmarkEnd w:id="132"/>
      <w:bookmarkEnd w:id="133"/>
      <w:bookmarkEnd w:id="134"/>
      <w:bookmarkEnd w:id="135"/>
    </w:p>
    <w:p w14:paraId="397AE2D9">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合同以中国的汉语简体文字编写、解释和说明。合同当事人在专用合同条款中约定使用两种以上语言时，汉语为优先解释和说明合同的语言。</w:t>
      </w:r>
    </w:p>
    <w:p w14:paraId="3A5D60FF">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36" w:name="_Toc337558730"/>
      <w:bookmarkStart w:id="137" w:name="_Toc351203498"/>
      <w:bookmarkStart w:id="138" w:name="_Toc296503030"/>
      <w:bookmarkStart w:id="139" w:name="_Toc478389020"/>
      <w:bookmarkStart w:id="140" w:name="_Toc296346531"/>
      <w:r>
        <w:rPr>
          <w:rFonts w:hint="eastAsia" w:ascii="宋体" w:hAnsi="宋体" w:eastAsia="宋体" w:cs="宋体"/>
          <w:b/>
          <w:bCs/>
          <w:color w:val="auto"/>
          <w:kern w:val="44"/>
          <w:sz w:val="21"/>
          <w:szCs w:val="21"/>
          <w:highlight w:val="none"/>
        </w:rPr>
        <w:t>1.3法律</w:t>
      </w:r>
      <w:bookmarkEnd w:id="136"/>
      <w:bookmarkEnd w:id="137"/>
      <w:bookmarkEnd w:id="138"/>
      <w:bookmarkEnd w:id="139"/>
      <w:bookmarkEnd w:id="140"/>
    </w:p>
    <w:p w14:paraId="2B5ED906">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合同所称法律是指中华人民共和国法律、行政法规、部门规章，以及工程所在地的地方性法规、自治条例、单行条例和地方规章等。</w:t>
      </w:r>
    </w:p>
    <w:p w14:paraId="70B89278">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合同当事人可以在专用合同条款中约定合同适用的其他规范性文件。</w:t>
      </w:r>
    </w:p>
    <w:p w14:paraId="73D7F6E2">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41" w:name="_Toc478389021"/>
      <w:bookmarkStart w:id="142" w:name="_Toc351203499"/>
      <w:r>
        <w:rPr>
          <w:rFonts w:hint="eastAsia" w:ascii="宋体" w:hAnsi="宋体" w:eastAsia="宋体" w:cs="宋体"/>
          <w:b/>
          <w:bCs/>
          <w:color w:val="auto"/>
          <w:kern w:val="44"/>
          <w:sz w:val="21"/>
          <w:szCs w:val="21"/>
          <w:highlight w:val="none"/>
        </w:rPr>
        <w:t>1.4 标准和规范</w:t>
      </w:r>
      <w:bookmarkEnd w:id="141"/>
      <w:bookmarkEnd w:id="142"/>
    </w:p>
    <w:p w14:paraId="3F272E84">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适用于工程的国家标准、行业标准、工程所在地的地方性标准，以及相应的规范、规程等，合同当事人有特别要求的，应在专用合同条款中约定。</w:t>
      </w:r>
    </w:p>
    <w:p w14:paraId="5D3065E1">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发包人要求使用国外标准、规范的，发包人负责提供原文版本和中文译本，并在专用合同条款中约定提供标准规范的名称、份数和时间。</w:t>
      </w:r>
    </w:p>
    <w:p w14:paraId="24C1401B">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4C51DB5">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43" w:name="_Toc351203500"/>
      <w:bookmarkStart w:id="144" w:name="_Toc478389022"/>
      <w:r>
        <w:rPr>
          <w:rFonts w:hint="eastAsia" w:ascii="宋体" w:hAnsi="宋体" w:eastAsia="宋体" w:cs="宋体"/>
          <w:b/>
          <w:bCs/>
          <w:color w:val="auto"/>
          <w:kern w:val="44"/>
          <w:sz w:val="21"/>
          <w:szCs w:val="21"/>
          <w:highlight w:val="none"/>
        </w:rPr>
        <w:t>1</w:t>
      </w:r>
      <w:bookmarkStart w:id="145" w:name="_Toc337558731"/>
      <w:bookmarkStart w:id="146" w:name="_Toc296346532"/>
      <w:bookmarkStart w:id="147" w:name="_Toc296503031"/>
      <w:r>
        <w:rPr>
          <w:rFonts w:hint="eastAsia" w:ascii="宋体" w:hAnsi="宋体" w:eastAsia="宋体" w:cs="宋体"/>
          <w:b/>
          <w:bCs/>
          <w:color w:val="auto"/>
          <w:kern w:val="44"/>
          <w:sz w:val="21"/>
          <w:szCs w:val="21"/>
          <w:highlight w:val="none"/>
        </w:rPr>
        <w:t>.5 合同文件的优先顺序</w:t>
      </w:r>
      <w:bookmarkEnd w:id="143"/>
      <w:bookmarkEnd w:id="144"/>
    </w:p>
    <w:bookmarkEnd w:id="145"/>
    <w:bookmarkEnd w:id="146"/>
    <w:bookmarkEnd w:id="147"/>
    <w:p w14:paraId="391170B0">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组成合同的各项文件应互相解释，互为说明。除专用合同条款另有约定外，解释合同文件的优先顺序如下：</w:t>
      </w:r>
    </w:p>
    <w:p w14:paraId="6D1CD1CC">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（1）合同协议书；</w:t>
      </w:r>
    </w:p>
    <w:p w14:paraId="05A9725A">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（2）成交通知书（如果有）；</w:t>
      </w:r>
    </w:p>
    <w:p w14:paraId="5094A842">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（3）投标函及其附录（如果有）；</w:t>
      </w:r>
    </w:p>
    <w:p w14:paraId="7207C357">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（4）专用合同条款</w:t>
      </w:r>
      <w:r>
        <w:rPr>
          <w:rFonts w:hint="eastAsia" w:ascii="宋体" w:hAnsi="宋体" w:eastAsia="宋体" w:cs="宋体"/>
          <w:color w:val="auto"/>
          <w:sz w:val="21"/>
          <w:szCs w:val="21"/>
          <w:highlight w:val="none"/>
        </w:rPr>
        <w:t>及其附件</w:t>
      </w:r>
      <w:r>
        <w:rPr>
          <w:rFonts w:hint="eastAsia" w:ascii="宋体" w:hAnsi="宋体" w:eastAsia="宋体" w:cs="宋体"/>
          <w:color w:val="auto"/>
          <w:kern w:val="0"/>
          <w:sz w:val="21"/>
          <w:szCs w:val="21"/>
          <w:highlight w:val="none"/>
        </w:rPr>
        <w:t>；</w:t>
      </w:r>
    </w:p>
    <w:p w14:paraId="2EDDD8DE">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（5）通用合同条款；</w:t>
      </w:r>
    </w:p>
    <w:p w14:paraId="0FD584A8">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（6）技术标准和要求；</w:t>
      </w:r>
    </w:p>
    <w:p w14:paraId="0D4EE9DD">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（7）已标价工程量清单或预算书；</w:t>
      </w:r>
    </w:p>
    <w:p w14:paraId="276E8C0B">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（8）其他合同文件。</w:t>
      </w:r>
    </w:p>
    <w:p w14:paraId="56FF43C8">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（9）（GB50500-2013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建设工程工程量清单计价规范》及其广西实施细则及《关于建筑业实施营业税改征增值税后广西壮族自治区建设工程计价依据调整的通知》（桂建标〔2019〕12号）、（GB50854~50862-2013）《建设工程工程量计算规范广西壮族自治区实施细则》（修订本）。</w:t>
      </w:r>
    </w:p>
    <w:p w14:paraId="19D83BEE">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上述各项合同文件包括合同当事人就该项合同文件所作出的补充和修改，属于同一类内容的文件，应以最新签署的为准。</w:t>
      </w:r>
    </w:p>
    <w:p w14:paraId="177FDEFF">
      <w:pPr>
        <w:spacing w:line="420" w:lineRule="exact"/>
        <w:ind w:firstLine="447" w:firstLineChars="2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在合同订立及履行过程中形成的与合同有关的文件均构成合同文件组成部分，并根据其性质确定优先解释顺序。</w:t>
      </w:r>
    </w:p>
    <w:p w14:paraId="1F9AA5B2">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48" w:name="_Toc478389023"/>
      <w:bookmarkStart w:id="149" w:name="_Toc351203501"/>
      <w:r>
        <w:rPr>
          <w:rFonts w:hint="eastAsia" w:ascii="宋体" w:hAnsi="宋体" w:eastAsia="宋体" w:cs="宋体"/>
          <w:b/>
          <w:bCs/>
          <w:color w:val="auto"/>
          <w:kern w:val="44"/>
          <w:sz w:val="21"/>
          <w:szCs w:val="21"/>
          <w:highlight w:val="none"/>
        </w:rPr>
        <w:t>1</w:t>
      </w:r>
      <w:bookmarkStart w:id="150" w:name="_Toc296346533"/>
      <w:bookmarkStart w:id="151" w:name="_Toc296503032"/>
      <w:bookmarkStart w:id="152" w:name="_Toc337558732"/>
      <w:r>
        <w:rPr>
          <w:rFonts w:hint="eastAsia" w:ascii="宋体" w:hAnsi="宋体" w:eastAsia="宋体" w:cs="宋体"/>
          <w:b/>
          <w:bCs/>
          <w:color w:val="auto"/>
          <w:kern w:val="44"/>
          <w:sz w:val="21"/>
          <w:szCs w:val="21"/>
          <w:highlight w:val="none"/>
        </w:rPr>
        <w:t>.6图纸和承包人文件</w:t>
      </w:r>
      <w:bookmarkEnd w:id="148"/>
      <w:bookmarkEnd w:id="149"/>
    </w:p>
    <w:bookmarkEnd w:id="150"/>
    <w:bookmarkEnd w:id="151"/>
    <w:bookmarkEnd w:id="152"/>
    <w:p w14:paraId="0AD354F7">
      <w:pPr>
        <w:spacing w:line="420" w:lineRule="exact"/>
        <w:ind w:firstLine="420"/>
        <w:jc w:val="left"/>
        <w:outlineLvl w:val="0"/>
        <w:rPr>
          <w:rFonts w:hint="eastAsia" w:ascii="宋体" w:hAnsi="宋体" w:eastAsia="宋体" w:cs="宋体"/>
          <w:color w:val="auto"/>
          <w:kern w:val="0"/>
          <w:sz w:val="21"/>
          <w:szCs w:val="21"/>
          <w:highlight w:val="none"/>
        </w:rPr>
      </w:pPr>
      <w:bookmarkStart w:id="153" w:name="_Toc478389024"/>
      <w:bookmarkStart w:id="154" w:name="_Toc406522055"/>
      <w:r>
        <w:rPr>
          <w:rFonts w:hint="eastAsia" w:ascii="宋体" w:hAnsi="宋体" w:eastAsia="宋体" w:cs="宋体"/>
          <w:color w:val="auto"/>
          <w:kern w:val="0"/>
          <w:sz w:val="21"/>
          <w:szCs w:val="21"/>
          <w:highlight w:val="none"/>
        </w:rPr>
        <w:t>1.6.1 图纸的提供和交底</w:t>
      </w:r>
      <w:bookmarkEnd w:id="153"/>
      <w:bookmarkEnd w:id="154"/>
    </w:p>
    <w:p w14:paraId="686F3D27">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E89EE91">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因发包人未按合同约定提供图纸导致承包人费用增加和（或）工期延误的，按照第7.5.1项〔因发包人原因导致工期延误〕约定办理。</w:t>
      </w:r>
    </w:p>
    <w:p w14:paraId="5C91EBA5">
      <w:pPr>
        <w:spacing w:line="420" w:lineRule="exact"/>
        <w:ind w:firstLine="420"/>
        <w:jc w:val="left"/>
        <w:outlineLvl w:val="0"/>
        <w:rPr>
          <w:rFonts w:hint="eastAsia" w:ascii="宋体" w:hAnsi="宋体" w:eastAsia="宋体" w:cs="宋体"/>
          <w:color w:val="auto"/>
          <w:kern w:val="0"/>
          <w:sz w:val="21"/>
          <w:szCs w:val="21"/>
          <w:highlight w:val="none"/>
        </w:rPr>
      </w:pPr>
      <w:bookmarkStart w:id="155" w:name="_Toc406522056"/>
      <w:bookmarkStart w:id="156" w:name="_Toc478389025"/>
      <w:r>
        <w:rPr>
          <w:rFonts w:hint="eastAsia" w:ascii="宋体" w:hAnsi="宋体" w:eastAsia="宋体" w:cs="宋体"/>
          <w:color w:val="auto"/>
          <w:kern w:val="0"/>
          <w:sz w:val="21"/>
          <w:szCs w:val="21"/>
          <w:highlight w:val="none"/>
        </w:rPr>
        <w:t>1.6.2 图纸的错误</w:t>
      </w:r>
      <w:bookmarkEnd w:id="155"/>
      <w:bookmarkEnd w:id="156"/>
    </w:p>
    <w:p w14:paraId="6509F0E8">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96BD790">
      <w:pPr>
        <w:spacing w:line="420" w:lineRule="exact"/>
        <w:ind w:firstLine="420"/>
        <w:jc w:val="left"/>
        <w:outlineLvl w:val="0"/>
        <w:rPr>
          <w:rFonts w:hint="eastAsia" w:ascii="宋体" w:hAnsi="宋体" w:eastAsia="宋体" w:cs="宋体"/>
          <w:color w:val="auto"/>
          <w:kern w:val="0"/>
          <w:sz w:val="21"/>
          <w:szCs w:val="21"/>
          <w:highlight w:val="none"/>
        </w:rPr>
      </w:pPr>
      <w:bookmarkStart w:id="157" w:name="_Toc406522057"/>
      <w:bookmarkStart w:id="158" w:name="_Toc478389026"/>
      <w:r>
        <w:rPr>
          <w:rFonts w:hint="eastAsia" w:ascii="宋体" w:hAnsi="宋体" w:eastAsia="宋体" w:cs="宋体"/>
          <w:color w:val="auto"/>
          <w:kern w:val="0"/>
          <w:sz w:val="21"/>
          <w:szCs w:val="21"/>
          <w:highlight w:val="none"/>
        </w:rPr>
        <w:t>1.6.3 图纸的修改和补充</w:t>
      </w:r>
      <w:bookmarkEnd w:id="157"/>
      <w:bookmarkEnd w:id="158"/>
    </w:p>
    <w:p w14:paraId="49397CA3">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D6F6470">
      <w:pPr>
        <w:spacing w:line="420" w:lineRule="exact"/>
        <w:ind w:firstLine="420"/>
        <w:jc w:val="left"/>
        <w:outlineLvl w:val="0"/>
        <w:rPr>
          <w:rFonts w:hint="eastAsia" w:ascii="宋体" w:hAnsi="宋体" w:eastAsia="宋体" w:cs="宋体"/>
          <w:color w:val="auto"/>
          <w:kern w:val="0"/>
          <w:sz w:val="21"/>
          <w:szCs w:val="21"/>
          <w:highlight w:val="none"/>
        </w:rPr>
      </w:pPr>
      <w:bookmarkStart w:id="159" w:name="_Toc406522058"/>
      <w:bookmarkStart w:id="160" w:name="_Toc478389027"/>
      <w:r>
        <w:rPr>
          <w:rFonts w:hint="eastAsia" w:ascii="宋体" w:hAnsi="宋体" w:eastAsia="宋体" w:cs="宋体"/>
          <w:color w:val="auto"/>
          <w:kern w:val="0"/>
          <w:sz w:val="21"/>
          <w:szCs w:val="21"/>
          <w:highlight w:val="none"/>
        </w:rPr>
        <w:t>1.6.4 承包人文件</w:t>
      </w:r>
      <w:bookmarkEnd w:id="159"/>
      <w:bookmarkEnd w:id="160"/>
    </w:p>
    <w:p w14:paraId="756CF3C0">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承包人应按照专用合同条款的约定提供应当由其编制的与工程施工有关的文件，并按照专用合同条款约定的期限、数量和形式提交监理人，并由监理人报送发包人。</w:t>
      </w:r>
    </w:p>
    <w:p w14:paraId="6FD00F7F">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BEF79FE">
      <w:pPr>
        <w:spacing w:line="420" w:lineRule="exact"/>
        <w:ind w:firstLine="420"/>
        <w:jc w:val="left"/>
        <w:outlineLvl w:val="0"/>
        <w:rPr>
          <w:rFonts w:hint="eastAsia" w:ascii="宋体" w:hAnsi="宋体" w:eastAsia="宋体" w:cs="宋体"/>
          <w:color w:val="auto"/>
          <w:kern w:val="0"/>
          <w:sz w:val="21"/>
          <w:szCs w:val="21"/>
          <w:highlight w:val="none"/>
        </w:rPr>
      </w:pPr>
      <w:bookmarkStart w:id="161" w:name="_Toc478389028"/>
      <w:bookmarkStart w:id="162" w:name="_Toc406522059"/>
      <w:r>
        <w:rPr>
          <w:rFonts w:hint="eastAsia" w:ascii="宋体" w:hAnsi="宋体" w:eastAsia="宋体" w:cs="宋体"/>
          <w:color w:val="auto"/>
          <w:kern w:val="0"/>
          <w:sz w:val="21"/>
          <w:szCs w:val="21"/>
          <w:highlight w:val="none"/>
        </w:rPr>
        <w:t>1.6.5 图纸和承包人文件的保管</w:t>
      </w:r>
      <w:bookmarkEnd w:id="161"/>
      <w:bookmarkEnd w:id="162"/>
    </w:p>
    <w:p w14:paraId="4D27CCAE">
      <w:pPr>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除专用合同条款另有约定外，承包人应在施工现场另外保存一套完整的图纸和承包人文件，供发包人、监理人及有关人员进行工程检查时使用。</w:t>
      </w:r>
    </w:p>
    <w:p w14:paraId="0AE40D06">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63" w:name="_Toc478389029"/>
      <w:bookmarkStart w:id="164" w:name="_Toc351203502"/>
      <w:r>
        <w:rPr>
          <w:rFonts w:hint="eastAsia" w:ascii="宋体" w:hAnsi="宋体" w:eastAsia="宋体" w:cs="宋体"/>
          <w:b/>
          <w:bCs/>
          <w:color w:val="auto"/>
          <w:kern w:val="44"/>
          <w:sz w:val="21"/>
          <w:szCs w:val="21"/>
          <w:highlight w:val="none"/>
        </w:rPr>
        <w:t>1</w:t>
      </w:r>
      <w:bookmarkStart w:id="165" w:name="_Toc337558733"/>
      <w:bookmarkStart w:id="166" w:name="_Toc296346534"/>
      <w:bookmarkStart w:id="167" w:name="_Toc296503033"/>
      <w:r>
        <w:rPr>
          <w:rFonts w:hint="eastAsia" w:ascii="宋体" w:hAnsi="宋体" w:eastAsia="宋体" w:cs="宋体"/>
          <w:b/>
          <w:bCs/>
          <w:color w:val="auto"/>
          <w:kern w:val="44"/>
          <w:sz w:val="21"/>
          <w:szCs w:val="21"/>
          <w:highlight w:val="none"/>
        </w:rPr>
        <w:t>.7联络</w:t>
      </w:r>
      <w:bookmarkEnd w:id="163"/>
      <w:bookmarkEnd w:id="164"/>
    </w:p>
    <w:bookmarkEnd w:id="165"/>
    <w:bookmarkEnd w:id="166"/>
    <w:bookmarkEnd w:id="167"/>
    <w:p w14:paraId="69D4628A">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 与合同有关的通知、批准、证明、证书、指示、指令、要求、请求、同意、意见、确定和决定等，均应采用书面形式，并应在合同约定的期限内送达接收人和送达地点。</w:t>
      </w:r>
    </w:p>
    <w:p w14:paraId="13D52D4A">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发包人和承包人应在专用合同条款中约定各自的送达接收人和送达地点。任何一方合同当事人指定的接收人或送达地点发生变动的，应提前3天以书面形式通知对方。</w:t>
      </w:r>
    </w:p>
    <w:p w14:paraId="74372B99">
      <w:pPr>
        <w:autoSpaceDE w:val="0"/>
        <w:autoSpaceDN w:val="0"/>
        <w:adjustRightInd w:val="0"/>
        <w:spacing w:line="42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 发包人和承包人应当及时签收另一方送达至送达地点和指定接收人的来往信函。拒不签收的，由此增加的费</w:t>
      </w:r>
      <w:r>
        <w:rPr>
          <w:rFonts w:hint="eastAsia" w:ascii="宋体" w:hAnsi="宋体" w:eastAsia="宋体" w:cs="宋体"/>
          <w:color w:val="auto"/>
          <w:sz w:val="21"/>
          <w:szCs w:val="21"/>
          <w:highlight w:val="none"/>
        </w:rPr>
        <w:t>用和（或）延误的工期由拒绝接收一方承担。</w:t>
      </w:r>
    </w:p>
    <w:p w14:paraId="039083DF">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68" w:name="_Toc478389030"/>
      <w:bookmarkStart w:id="169" w:name="_Toc351203503"/>
      <w:r>
        <w:rPr>
          <w:rFonts w:hint="eastAsia" w:ascii="宋体" w:hAnsi="宋体" w:eastAsia="宋体" w:cs="宋体"/>
          <w:b/>
          <w:bCs/>
          <w:color w:val="auto"/>
          <w:kern w:val="44"/>
          <w:sz w:val="21"/>
          <w:szCs w:val="21"/>
          <w:highlight w:val="none"/>
        </w:rPr>
        <w:t>1</w:t>
      </w:r>
      <w:bookmarkStart w:id="170" w:name="_Toc296503035"/>
      <w:bookmarkStart w:id="171" w:name="_Toc296346536"/>
      <w:bookmarkStart w:id="172" w:name="_Toc337558734"/>
      <w:r>
        <w:rPr>
          <w:rFonts w:hint="eastAsia" w:ascii="宋体" w:hAnsi="宋体" w:eastAsia="宋体" w:cs="宋体"/>
          <w:b/>
          <w:bCs/>
          <w:color w:val="auto"/>
          <w:kern w:val="44"/>
          <w:sz w:val="21"/>
          <w:szCs w:val="21"/>
          <w:highlight w:val="none"/>
        </w:rPr>
        <w:t>.8严禁贿赂</w:t>
      </w:r>
      <w:bookmarkEnd w:id="168"/>
      <w:bookmarkEnd w:id="169"/>
    </w:p>
    <w:bookmarkEnd w:id="170"/>
    <w:bookmarkEnd w:id="171"/>
    <w:bookmarkEnd w:id="172"/>
    <w:p w14:paraId="5A1FBC1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合同当事人不得以贿赂或变相贿赂的方式，谋取非法利益或损害对方权益。因一方合同当事人的贿赂造成对方损失的，应赔偿损失，并承担相应的法律责任。</w:t>
      </w:r>
    </w:p>
    <w:p w14:paraId="0E7F42B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432EBB66">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73" w:name="_Toc351203504"/>
      <w:bookmarkStart w:id="174" w:name="_Toc478389031"/>
      <w:r>
        <w:rPr>
          <w:rFonts w:hint="eastAsia" w:ascii="宋体" w:hAnsi="宋体" w:eastAsia="宋体" w:cs="宋体"/>
          <w:b/>
          <w:bCs/>
          <w:color w:val="auto"/>
          <w:kern w:val="44"/>
          <w:sz w:val="21"/>
          <w:szCs w:val="21"/>
          <w:highlight w:val="none"/>
        </w:rPr>
        <w:t>1</w:t>
      </w:r>
      <w:bookmarkStart w:id="175" w:name="_Toc296503036"/>
      <w:bookmarkStart w:id="176" w:name="_Toc296346537"/>
      <w:bookmarkStart w:id="177" w:name="_Toc337558735"/>
      <w:r>
        <w:rPr>
          <w:rFonts w:hint="eastAsia" w:ascii="宋体" w:hAnsi="宋体" w:eastAsia="宋体" w:cs="宋体"/>
          <w:b/>
          <w:bCs/>
          <w:color w:val="auto"/>
          <w:kern w:val="44"/>
          <w:sz w:val="21"/>
          <w:szCs w:val="21"/>
          <w:highlight w:val="none"/>
        </w:rPr>
        <w:t>.9化石、文物</w:t>
      </w:r>
      <w:bookmarkEnd w:id="173"/>
      <w:bookmarkEnd w:id="174"/>
    </w:p>
    <w:bookmarkEnd w:id="175"/>
    <w:bookmarkEnd w:id="176"/>
    <w:bookmarkEnd w:id="177"/>
    <w:p w14:paraId="72D800E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行政管理部门，同时通知监理人。</w:t>
      </w:r>
    </w:p>
    <w:p w14:paraId="63A6CD3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发包人、监理人和承包人应按有关行政管理部门要求采取妥善的保护措施，由此增加的费用和（或）延误的工期由发包人承担。</w:t>
      </w:r>
    </w:p>
    <w:p w14:paraId="111BC59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承包人发现文物后不及时报告或隐瞒不报，致使文物丢失或损坏的，应赔偿损失，并承担相应的法律责任。</w:t>
      </w:r>
    </w:p>
    <w:p w14:paraId="71773EEA">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78" w:name="_Toc478389032"/>
      <w:bookmarkStart w:id="179" w:name="_Toc351203505"/>
      <w:r>
        <w:rPr>
          <w:rFonts w:hint="eastAsia" w:ascii="宋体" w:hAnsi="宋体" w:eastAsia="宋体" w:cs="宋体"/>
          <w:b/>
          <w:bCs/>
          <w:color w:val="auto"/>
          <w:kern w:val="44"/>
          <w:sz w:val="21"/>
          <w:szCs w:val="21"/>
          <w:highlight w:val="none"/>
        </w:rPr>
        <w:t>1</w:t>
      </w:r>
      <w:bookmarkStart w:id="180" w:name="_Toc337558736"/>
      <w:r>
        <w:rPr>
          <w:rFonts w:hint="eastAsia" w:ascii="宋体" w:hAnsi="宋体" w:eastAsia="宋体" w:cs="宋体"/>
          <w:b/>
          <w:bCs/>
          <w:color w:val="auto"/>
          <w:kern w:val="44"/>
          <w:sz w:val="21"/>
          <w:szCs w:val="21"/>
          <w:highlight w:val="none"/>
        </w:rPr>
        <w:t>.10交通运输</w:t>
      </w:r>
      <w:bookmarkEnd w:id="178"/>
      <w:bookmarkEnd w:id="179"/>
    </w:p>
    <w:bookmarkEnd w:id="180"/>
    <w:p w14:paraId="06B57ECA">
      <w:pPr>
        <w:spacing w:line="420" w:lineRule="exact"/>
        <w:ind w:firstLine="420"/>
        <w:outlineLvl w:val="0"/>
        <w:rPr>
          <w:rFonts w:hint="eastAsia" w:ascii="宋体" w:hAnsi="宋体" w:eastAsia="宋体" w:cs="宋体"/>
          <w:color w:val="auto"/>
          <w:sz w:val="21"/>
          <w:szCs w:val="21"/>
          <w:highlight w:val="none"/>
        </w:rPr>
      </w:pPr>
      <w:bookmarkStart w:id="181" w:name="_Toc478389033"/>
      <w:bookmarkStart w:id="182" w:name="_Toc406522064"/>
      <w:r>
        <w:rPr>
          <w:rFonts w:hint="eastAsia" w:ascii="宋体" w:hAnsi="宋体" w:eastAsia="宋体" w:cs="宋体"/>
          <w:color w:val="auto"/>
          <w:sz w:val="21"/>
          <w:szCs w:val="21"/>
          <w:highlight w:val="none"/>
        </w:rPr>
        <w:t>1.10.1 出入现场的权利</w:t>
      </w:r>
      <w:bookmarkEnd w:id="181"/>
      <w:bookmarkEnd w:id="182"/>
    </w:p>
    <w:p w14:paraId="7BCDAE8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1CAD2BC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3A75A772">
      <w:pPr>
        <w:spacing w:line="420" w:lineRule="exact"/>
        <w:ind w:firstLine="420"/>
        <w:outlineLvl w:val="0"/>
        <w:rPr>
          <w:rFonts w:hint="eastAsia" w:ascii="宋体" w:hAnsi="宋体" w:eastAsia="宋体" w:cs="宋体"/>
          <w:color w:val="auto"/>
          <w:sz w:val="21"/>
          <w:szCs w:val="21"/>
          <w:highlight w:val="none"/>
        </w:rPr>
      </w:pPr>
      <w:bookmarkStart w:id="183" w:name="_Toc478389034"/>
      <w:bookmarkStart w:id="184" w:name="_Toc406522065"/>
      <w:r>
        <w:rPr>
          <w:rFonts w:hint="eastAsia" w:ascii="宋体" w:hAnsi="宋体" w:eastAsia="宋体" w:cs="宋体"/>
          <w:color w:val="auto"/>
          <w:sz w:val="21"/>
          <w:szCs w:val="21"/>
          <w:highlight w:val="none"/>
        </w:rPr>
        <w:t>1.10.2 场外交通</w:t>
      </w:r>
      <w:bookmarkEnd w:id="183"/>
      <w:bookmarkEnd w:id="184"/>
    </w:p>
    <w:p w14:paraId="4EA589B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发包人应提供场外交通设施的技术参数和具体条件，承包人应遵守有关交通法规，严格按照道路和桥梁的限制荷载行驶，执行有关道路限速、限行、禁止超载的规定，并配合交通管理</w:t>
      </w:r>
      <w:r>
        <w:rPr>
          <w:rFonts w:hint="eastAsia" w:ascii="宋体" w:hAnsi="宋体" w:eastAsia="宋体" w:cs="宋体"/>
          <w:color w:val="auto"/>
          <w:spacing w:val="-4"/>
          <w:sz w:val="21"/>
          <w:szCs w:val="21"/>
          <w:highlight w:val="none"/>
        </w:rPr>
        <w:t>部门的监督和检查。场外交通设施无法满足工程施工需要的，由发包人负责完善并承担相关费用。</w:t>
      </w:r>
    </w:p>
    <w:p w14:paraId="3FA03DD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1.10.3场内交通</w:t>
      </w:r>
    </w:p>
    <w:p w14:paraId="01723D1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169DCA1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E5D783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场外交通和场内交通的边界由合同当事人在专用合同条款中约定。</w:t>
      </w:r>
    </w:p>
    <w:p w14:paraId="22D9C85C">
      <w:pPr>
        <w:spacing w:line="420" w:lineRule="exact"/>
        <w:ind w:firstLine="420"/>
        <w:outlineLvl w:val="0"/>
        <w:rPr>
          <w:rFonts w:hint="eastAsia" w:ascii="宋体" w:hAnsi="宋体" w:eastAsia="宋体" w:cs="宋体"/>
          <w:color w:val="auto"/>
          <w:sz w:val="21"/>
          <w:szCs w:val="21"/>
          <w:highlight w:val="none"/>
        </w:rPr>
      </w:pPr>
      <w:bookmarkStart w:id="185" w:name="_Toc478389035"/>
      <w:bookmarkStart w:id="186" w:name="_Toc406522066"/>
      <w:r>
        <w:rPr>
          <w:rFonts w:hint="eastAsia" w:ascii="宋体" w:hAnsi="宋体" w:eastAsia="宋体" w:cs="宋体"/>
          <w:color w:val="auto"/>
          <w:sz w:val="21"/>
          <w:szCs w:val="21"/>
          <w:highlight w:val="none"/>
        </w:rPr>
        <w:t>1.10.4 超大件和超重件的运输</w:t>
      </w:r>
      <w:bookmarkEnd w:id="185"/>
      <w:bookmarkEnd w:id="186"/>
    </w:p>
    <w:p w14:paraId="17E842A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45189E2">
      <w:pPr>
        <w:spacing w:line="420" w:lineRule="exact"/>
        <w:ind w:firstLine="420"/>
        <w:outlineLvl w:val="0"/>
        <w:rPr>
          <w:rFonts w:hint="eastAsia" w:ascii="宋体" w:hAnsi="宋体" w:eastAsia="宋体" w:cs="宋体"/>
          <w:color w:val="auto"/>
          <w:sz w:val="21"/>
          <w:szCs w:val="21"/>
          <w:highlight w:val="none"/>
        </w:rPr>
      </w:pPr>
      <w:bookmarkStart w:id="187" w:name="_Toc478389036"/>
      <w:bookmarkStart w:id="188" w:name="_Toc406522067"/>
      <w:r>
        <w:rPr>
          <w:rFonts w:hint="eastAsia" w:ascii="宋体" w:hAnsi="宋体" w:eastAsia="宋体" w:cs="宋体"/>
          <w:color w:val="auto"/>
          <w:sz w:val="21"/>
          <w:szCs w:val="21"/>
          <w:highlight w:val="none"/>
        </w:rPr>
        <w:t>1.10.5 道路和桥梁的损坏责任</w:t>
      </w:r>
      <w:bookmarkEnd w:id="187"/>
      <w:bookmarkEnd w:id="188"/>
    </w:p>
    <w:p w14:paraId="07238A0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因承包人运输造成施工场地内外公共道路和桥梁损坏的，由承包人承担修复损坏的全部费用和可能引起的赔偿。</w:t>
      </w:r>
    </w:p>
    <w:p w14:paraId="79740496">
      <w:pPr>
        <w:spacing w:line="420" w:lineRule="exact"/>
        <w:ind w:firstLine="420"/>
        <w:outlineLvl w:val="0"/>
        <w:rPr>
          <w:rFonts w:hint="eastAsia" w:ascii="宋体" w:hAnsi="宋体" w:eastAsia="宋体" w:cs="宋体"/>
          <w:color w:val="auto"/>
          <w:sz w:val="21"/>
          <w:szCs w:val="21"/>
          <w:highlight w:val="none"/>
        </w:rPr>
      </w:pPr>
      <w:bookmarkStart w:id="189" w:name="_Toc478389037"/>
      <w:bookmarkStart w:id="190" w:name="_Toc406522068"/>
      <w:r>
        <w:rPr>
          <w:rFonts w:hint="eastAsia" w:ascii="宋体" w:hAnsi="宋体" w:eastAsia="宋体" w:cs="宋体"/>
          <w:color w:val="auto"/>
          <w:sz w:val="21"/>
          <w:szCs w:val="21"/>
          <w:highlight w:val="none"/>
        </w:rPr>
        <w:t>1.10.6 水路和航空运输</w:t>
      </w:r>
      <w:bookmarkEnd w:id="189"/>
      <w:bookmarkEnd w:id="190"/>
    </w:p>
    <w:p w14:paraId="72E0F5F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本款前述各项的内容适用于水路运输和航空运输，其中“道路”一词的</w:t>
      </w:r>
      <w:r>
        <w:rPr>
          <w:rFonts w:hint="eastAsia" w:ascii="宋体" w:hAnsi="宋体" w:eastAsia="宋体" w:cs="宋体"/>
          <w:color w:val="auto"/>
          <w:sz w:val="21"/>
          <w:szCs w:val="21"/>
          <w:highlight w:val="none"/>
          <w:lang w:eastAsia="zh-CN"/>
        </w:rPr>
        <w:t>含义</w:t>
      </w:r>
      <w:r>
        <w:rPr>
          <w:rFonts w:hint="eastAsia" w:ascii="宋体" w:hAnsi="宋体" w:eastAsia="宋体" w:cs="宋体"/>
          <w:color w:val="auto"/>
          <w:sz w:val="21"/>
          <w:szCs w:val="21"/>
          <w:highlight w:val="none"/>
        </w:rPr>
        <w:t>包括河道、航线、船闸、机场、码头、堤防以及水路或航空运输中其他相似结构物；“车辆”一词的</w:t>
      </w:r>
      <w:r>
        <w:rPr>
          <w:rFonts w:hint="eastAsia" w:ascii="宋体" w:hAnsi="宋体" w:eastAsia="宋体" w:cs="宋体"/>
          <w:color w:val="auto"/>
          <w:sz w:val="21"/>
          <w:szCs w:val="21"/>
          <w:highlight w:val="none"/>
          <w:lang w:eastAsia="zh-CN"/>
        </w:rPr>
        <w:t>含义</w:t>
      </w:r>
      <w:r>
        <w:rPr>
          <w:rFonts w:hint="eastAsia" w:ascii="宋体" w:hAnsi="宋体" w:eastAsia="宋体" w:cs="宋体"/>
          <w:color w:val="auto"/>
          <w:sz w:val="21"/>
          <w:szCs w:val="21"/>
          <w:highlight w:val="none"/>
        </w:rPr>
        <w:t>包括船舶和飞机等。</w:t>
      </w:r>
    </w:p>
    <w:p w14:paraId="3B48C7CB">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91" w:name="_Toc351203506"/>
      <w:bookmarkStart w:id="192" w:name="_Toc478389038"/>
      <w:r>
        <w:rPr>
          <w:rFonts w:hint="eastAsia" w:ascii="宋体" w:hAnsi="宋体" w:eastAsia="宋体" w:cs="宋体"/>
          <w:b/>
          <w:bCs/>
          <w:color w:val="auto"/>
          <w:kern w:val="44"/>
          <w:sz w:val="21"/>
          <w:szCs w:val="21"/>
          <w:highlight w:val="none"/>
        </w:rPr>
        <w:t>1</w:t>
      </w:r>
      <w:bookmarkStart w:id="193" w:name="_Toc337558737"/>
      <w:bookmarkStart w:id="194" w:name="_Toc296503037"/>
      <w:bookmarkStart w:id="195" w:name="_Toc296346538"/>
      <w:r>
        <w:rPr>
          <w:rFonts w:hint="eastAsia" w:ascii="宋体" w:hAnsi="宋体" w:eastAsia="宋体" w:cs="宋体"/>
          <w:b/>
          <w:bCs/>
          <w:color w:val="auto"/>
          <w:kern w:val="44"/>
          <w:sz w:val="21"/>
          <w:szCs w:val="21"/>
          <w:highlight w:val="none"/>
        </w:rPr>
        <w:t>.11知识产权</w:t>
      </w:r>
      <w:bookmarkEnd w:id="191"/>
      <w:bookmarkEnd w:id="192"/>
      <w:bookmarkEnd w:id="193"/>
    </w:p>
    <w:bookmarkEnd w:id="194"/>
    <w:bookmarkEnd w:id="195"/>
    <w:p w14:paraId="7225801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3B0389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A78D0D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7F111A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1.11.4除专用合同条款另有约定外，承包人在合同签订前和签订时已确定采用的专利、专有技术、技术秘密的使用费已包含在签约合同价中。</w:t>
      </w:r>
    </w:p>
    <w:p w14:paraId="063F71C4">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96" w:name="_Toc478389039"/>
      <w:bookmarkStart w:id="197" w:name="_Toc351203507"/>
      <w:r>
        <w:rPr>
          <w:rFonts w:hint="eastAsia" w:ascii="宋体" w:hAnsi="宋体" w:eastAsia="宋体" w:cs="宋体"/>
          <w:b/>
          <w:bCs/>
          <w:color w:val="auto"/>
          <w:kern w:val="44"/>
          <w:sz w:val="21"/>
          <w:szCs w:val="21"/>
          <w:highlight w:val="none"/>
        </w:rPr>
        <w:t>1</w:t>
      </w:r>
      <w:bookmarkStart w:id="198" w:name="_Toc337558738"/>
      <w:r>
        <w:rPr>
          <w:rFonts w:hint="eastAsia" w:ascii="宋体" w:hAnsi="宋体" w:eastAsia="宋体" w:cs="宋体"/>
          <w:b/>
          <w:bCs/>
          <w:color w:val="auto"/>
          <w:kern w:val="44"/>
          <w:sz w:val="21"/>
          <w:szCs w:val="21"/>
          <w:highlight w:val="none"/>
        </w:rPr>
        <w:t>.12保密</w:t>
      </w:r>
      <w:bookmarkEnd w:id="196"/>
      <w:bookmarkEnd w:id="197"/>
    </w:p>
    <w:bookmarkEnd w:id="198"/>
    <w:p w14:paraId="4AFC18D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除法律规定或合同另有约定外，未经发包人同意，承包人不得将发包人提供的图纸、文件以及声明需要保密的资料信息等商业秘密泄露给第三方。</w:t>
      </w:r>
    </w:p>
    <w:p w14:paraId="445293A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除法律规定或合同另有约定外，未经承包人同意，发包人不得将承包人提供的技术秘密及声明需要保密的资料信息等商业秘密泄露给第三方。</w:t>
      </w:r>
    </w:p>
    <w:p w14:paraId="2EF73E71">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99" w:name="_Toc351203508"/>
      <w:bookmarkStart w:id="200" w:name="_Toc478389040"/>
      <w:r>
        <w:rPr>
          <w:rFonts w:hint="eastAsia" w:ascii="宋体" w:hAnsi="宋体" w:eastAsia="宋体" w:cs="宋体"/>
          <w:b/>
          <w:bCs/>
          <w:color w:val="auto"/>
          <w:kern w:val="44"/>
          <w:sz w:val="21"/>
          <w:szCs w:val="21"/>
          <w:highlight w:val="none"/>
        </w:rPr>
        <w:t>1.13工程量清单错误的修正</w:t>
      </w:r>
      <w:bookmarkEnd w:id="199"/>
      <w:bookmarkEnd w:id="200"/>
    </w:p>
    <w:p w14:paraId="5E23478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除专用合同条款另有约定外，发包人提供的工程量清单，应被认为是准确的和完整的。出现下列情形之一时，发包人应予以修正，并相应调整合同价格：</w:t>
      </w:r>
    </w:p>
    <w:p w14:paraId="0A7C9F2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（1）工程量清单存在缺项、漏项的；</w:t>
      </w:r>
    </w:p>
    <w:p w14:paraId="69F3489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（2）工程量清单偏差超出专用合同条款约定的工程量偏差范围的；</w:t>
      </w:r>
    </w:p>
    <w:p w14:paraId="3535322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（3）未按照国家现行计量规范强制性规定计量的。</w:t>
      </w:r>
    </w:p>
    <w:p w14:paraId="54D300AD">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01" w:name="_Toc478389041"/>
      <w:bookmarkStart w:id="202" w:name="_Toc351203509"/>
      <w:r>
        <w:rPr>
          <w:rFonts w:hint="eastAsia" w:ascii="宋体" w:hAnsi="宋体" w:eastAsia="宋体" w:cs="宋体"/>
          <w:b/>
          <w:bCs/>
          <w:color w:val="auto"/>
          <w:kern w:val="44"/>
          <w:sz w:val="21"/>
          <w:szCs w:val="21"/>
          <w:highlight w:val="none"/>
        </w:rPr>
        <w:t>2</w:t>
      </w:r>
      <w:bookmarkStart w:id="203" w:name="_Toc296503038"/>
      <w:bookmarkStart w:id="204" w:name="_Toc337558739"/>
      <w:bookmarkStart w:id="205" w:name="_Toc296346539"/>
      <w:r>
        <w:rPr>
          <w:rFonts w:hint="eastAsia" w:ascii="宋体" w:hAnsi="宋体" w:eastAsia="宋体" w:cs="宋体"/>
          <w:b/>
          <w:bCs/>
          <w:color w:val="auto"/>
          <w:kern w:val="44"/>
          <w:sz w:val="21"/>
          <w:szCs w:val="21"/>
          <w:highlight w:val="none"/>
        </w:rPr>
        <w:t>. 发包人</w:t>
      </w:r>
      <w:bookmarkEnd w:id="201"/>
      <w:bookmarkEnd w:id="202"/>
    </w:p>
    <w:bookmarkEnd w:id="203"/>
    <w:bookmarkEnd w:id="204"/>
    <w:bookmarkEnd w:id="205"/>
    <w:p w14:paraId="3DCDD141">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06" w:name="_Toc478389042"/>
      <w:bookmarkStart w:id="207" w:name="_Toc351203510"/>
      <w:r>
        <w:rPr>
          <w:rFonts w:hint="eastAsia" w:ascii="宋体" w:hAnsi="宋体" w:eastAsia="宋体" w:cs="宋体"/>
          <w:b/>
          <w:bCs/>
          <w:color w:val="auto"/>
          <w:kern w:val="44"/>
          <w:sz w:val="21"/>
          <w:szCs w:val="21"/>
          <w:highlight w:val="none"/>
        </w:rPr>
        <w:t>2</w:t>
      </w:r>
      <w:bookmarkStart w:id="208" w:name="_Toc337558740"/>
      <w:bookmarkStart w:id="209" w:name="_Toc296346540"/>
      <w:bookmarkStart w:id="210" w:name="_Toc296503039"/>
      <w:r>
        <w:rPr>
          <w:rFonts w:hint="eastAsia" w:ascii="宋体" w:hAnsi="宋体" w:eastAsia="宋体" w:cs="宋体"/>
          <w:b/>
          <w:bCs/>
          <w:color w:val="auto"/>
          <w:kern w:val="44"/>
          <w:sz w:val="21"/>
          <w:szCs w:val="21"/>
          <w:highlight w:val="none"/>
        </w:rPr>
        <w:t>.1 许可或批准</w:t>
      </w:r>
      <w:bookmarkEnd w:id="206"/>
      <w:bookmarkEnd w:id="207"/>
    </w:p>
    <w:p w14:paraId="1BE16D6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22DCFA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因发包人原因未能及时办理完毕前述许可、批准或备案，由发包人承担由此增加的费用和（或）延误的工期，并支付承包人合理的利润。</w:t>
      </w:r>
    </w:p>
    <w:p w14:paraId="2283C9A1">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11" w:name="_Toc351203511"/>
      <w:bookmarkStart w:id="212" w:name="_Toc478389043"/>
      <w:r>
        <w:rPr>
          <w:rFonts w:hint="eastAsia" w:ascii="宋体" w:hAnsi="宋体" w:eastAsia="宋体" w:cs="宋体"/>
          <w:b/>
          <w:bCs/>
          <w:color w:val="auto"/>
          <w:kern w:val="44"/>
          <w:sz w:val="21"/>
          <w:szCs w:val="21"/>
          <w:highlight w:val="none"/>
        </w:rPr>
        <w:t>2.2 发包人代表</w:t>
      </w:r>
      <w:bookmarkEnd w:id="211"/>
      <w:bookmarkEnd w:id="212"/>
    </w:p>
    <w:p w14:paraId="34DAF36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EB8FFC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发包人代表不能按照合同约定履行其职责及义务，并导致合同无法继续正常履行的，承包人可以要求发包人撤换发包人代表。</w:t>
      </w:r>
    </w:p>
    <w:p w14:paraId="2A384537">
      <w:pPr>
        <w:spacing w:line="420" w:lineRule="exact"/>
        <w:ind w:firstLine="404"/>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不属于法定必须监理的工程，监理人的职权可以由发包人代表或发包人指定的其他人员行使。</w:t>
      </w:r>
    </w:p>
    <w:p w14:paraId="4BC40800">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13" w:name="_Toc478389044"/>
      <w:bookmarkStart w:id="214" w:name="_Toc351203512"/>
      <w:r>
        <w:rPr>
          <w:rFonts w:hint="eastAsia" w:ascii="宋体" w:hAnsi="宋体" w:eastAsia="宋体" w:cs="宋体"/>
          <w:b/>
          <w:bCs/>
          <w:color w:val="auto"/>
          <w:kern w:val="44"/>
          <w:sz w:val="21"/>
          <w:szCs w:val="21"/>
          <w:highlight w:val="none"/>
        </w:rPr>
        <w:t>2.3 发包人人员</w:t>
      </w:r>
      <w:bookmarkEnd w:id="213"/>
      <w:bookmarkEnd w:id="214"/>
    </w:p>
    <w:p w14:paraId="3A73CA9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073077A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发包人人员包括发包人代表及其他由发包人派驻施工现场的人员。</w:t>
      </w:r>
      <w:bookmarkEnd w:id="208"/>
      <w:bookmarkEnd w:id="209"/>
      <w:bookmarkEnd w:id="210"/>
    </w:p>
    <w:p w14:paraId="696ADEE3">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15" w:name="_Toc478389045"/>
      <w:bookmarkStart w:id="216" w:name="_Toc351203513"/>
      <w:r>
        <w:rPr>
          <w:rFonts w:hint="eastAsia" w:ascii="宋体" w:hAnsi="宋体" w:eastAsia="宋体" w:cs="宋体"/>
          <w:b/>
          <w:bCs/>
          <w:color w:val="auto"/>
          <w:kern w:val="44"/>
          <w:sz w:val="21"/>
          <w:szCs w:val="21"/>
          <w:highlight w:val="none"/>
        </w:rPr>
        <w:t>2</w:t>
      </w:r>
      <w:bookmarkStart w:id="217" w:name="_Toc296346541"/>
      <w:bookmarkStart w:id="218" w:name="_Toc296503040"/>
      <w:bookmarkStart w:id="219" w:name="_Toc337558741"/>
      <w:r>
        <w:rPr>
          <w:rFonts w:hint="eastAsia" w:ascii="宋体" w:hAnsi="宋体" w:eastAsia="宋体" w:cs="宋体"/>
          <w:b/>
          <w:bCs/>
          <w:color w:val="auto"/>
          <w:kern w:val="44"/>
          <w:sz w:val="21"/>
          <w:szCs w:val="21"/>
          <w:highlight w:val="none"/>
        </w:rPr>
        <w:t>.4 施工现场、施工条件和基础资料的提供</w:t>
      </w:r>
      <w:bookmarkEnd w:id="215"/>
      <w:bookmarkEnd w:id="216"/>
      <w:bookmarkEnd w:id="217"/>
      <w:bookmarkEnd w:id="218"/>
      <w:bookmarkEnd w:id="219"/>
    </w:p>
    <w:p w14:paraId="43F5A48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41B57E6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除专用合同条款另有约定外，发包人应最迟于开工日期7天前向承包人移交施工现场。</w:t>
      </w:r>
    </w:p>
    <w:p w14:paraId="6ABEE11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37CE785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除专用合同条款另有约定外，发包人应负责提供施工所需要的条件，包括：</w:t>
      </w:r>
    </w:p>
    <w:p w14:paraId="06EA750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（1）将施工用水、电力、通讯线路等施工所必需的条件接至施工现场内；</w:t>
      </w:r>
    </w:p>
    <w:p w14:paraId="6B991AF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（2）保证向承包人提供正常施工所需要的进入施工现场的交通条件；</w:t>
      </w:r>
    </w:p>
    <w:p w14:paraId="6BAD164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（3）协调处理施工现场周围地下管线和邻近建筑物、构筑物、古树名木的保护工作，并承担相关费用；</w:t>
      </w:r>
    </w:p>
    <w:p w14:paraId="6A3C8ED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（4）按照专用合同条款约定应提供的其他设施和条件。</w:t>
      </w:r>
    </w:p>
    <w:p w14:paraId="303FA67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 提供基础资料</w:t>
      </w:r>
    </w:p>
    <w:p w14:paraId="14E2FCF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30ED39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按照法律规定确需在开工后方能提供的基础资料，发包人应尽其努力及时地在相应工程施工前的合理期限内提供，合理期限应以不影响承包人的正常施工为限。</w:t>
      </w:r>
    </w:p>
    <w:p w14:paraId="4AD71A9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2.4.4 逾期提供的责任</w:t>
      </w:r>
    </w:p>
    <w:p w14:paraId="3925216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因发包人原因未能按合同约定及时向承包人提供施工现场、施工条件、基础资料的，由发包人承担由此增加的费用和（或）延误的工期。</w:t>
      </w:r>
    </w:p>
    <w:p w14:paraId="607F2583">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20" w:name="_Toc478389046"/>
      <w:bookmarkStart w:id="221" w:name="_Toc351203514"/>
      <w:r>
        <w:rPr>
          <w:rFonts w:hint="eastAsia" w:ascii="宋体" w:hAnsi="宋体" w:eastAsia="宋体" w:cs="宋体"/>
          <w:b/>
          <w:bCs/>
          <w:color w:val="auto"/>
          <w:kern w:val="44"/>
          <w:sz w:val="21"/>
          <w:szCs w:val="21"/>
          <w:highlight w:val="none"/>
        </w:rPr>
        <w:t>2</w:t>
      </w:r>
      <w:bookmarkStart w:id="222" w:name="_Toc296503042"/>
      <w:bookmarkStart w:id="223" w:name="_Toc296346543"/>
      <w:bookmarkStart w:id="224" w:name="_Toc337558745"/>
      <w:r>
        <w:rPr>
          <w:rFonts w:hint="eastAsia" w:ascii="宋体" w:hAnsi="宋体" w:eastAsia="宋体" w:cs="宋体"/>
          <w:b/>
          <w:bCs/>
          <w:color w:val="auto"/>
          <w:kern w:val="44"/>
          <w:sz w:val="21"/>
          <w:szCs w:val="21"/>
          <w:highlight w:val="none"/>
        </w:rPr>
        <w:t>.5 资</w:t>
      </w:r>
      <w:bookmarkEnd w:id="222"/>
      <w:bookmarkEnd w:id="223"/>
      <w:bookmarkEnd w:id="224"/>
      <w:r>
        <w:rPr>
          <w:rFonts w:hint="eastAsia" w:ascii="宋体" w:hAnsi="宋体" w:eastAsia="宋体" w:cs="宋体"/>
          <w:b/>
          <w:bCs/>
          <w:color w:val="auto"/>
          <w:kern w:val="44"/>
          <w:sz w:val="21"/>
          <w:szCs w:val="21"/>
          <w:highlight w:val="none"/>
        </w:rPr>
        <w:t>金来源证明及支付担保</w:t>
      </w:r>
      <w:bookmarkEnd w:id="220"/>
      <w:bookmarkEnd w:id="221"/>
    </w:p>
    <w:p w14:paraId="08CEFC2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除专用合同条款另有约定外，发包人应在收到承包人要求提供资金来源证明的书面通知后28天内，向承包人提供能够按照合同约定支付合同价款的相应资金来源证明。</w:t>
      </w:r>
    </w:p>
    <w:p w14:paraId="07ACAE7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除专用合同条款另有约定外，发包人要求承包人提供履约保证金的，发包人应当向承包人提供支付担保。支付担保可以采用银行保函或担保公司担保等形式，具体由合同当事人在专用合同条款中约定。</w:t>
      </w:r>
    </w:p>
    <w:p w14:paraId="06AE4249">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25" w:name="_Toc351203515"/>
      <w:bookmarkStart w:id="226" w:name="_Toc478389047"/>
      <w:r>
        <w:rPr>
          <w:rFonts w:hint="eastAsia" w:ascii="宋体" w:hAnsi="宋体" w:eastAsia="宋体" w:cs="宋体"/>
          <w:b/>
          <w:bCs/>
          <w:color w:val="auto"/>
          <w:kern w:val="44"/>
          <w:sz w:val="21"/>
          <w:szCs w:val="21"/>
          <w:highlight w:val="none"/>
        </w:rPr>
        <w:t>2.6 支付合同价款</w:t>
      </w:r>
      <w:bookmarkEnd w:id="225"/>
      <w:bookmarkEnd w:id="226"/>
    </w:p>
    <w:p w14:paraId="6631945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发包人应按合同约定向承包人及时支付合同价款。</w:t>
      </w:r>
    </w:p>
    <w:p w14:paraId="171441FF">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27" w:name="_Toc478389048"/>
      <w:bookmarkStart w:id="228" w:name="_Toc351203516"/>
      <w:r>
        <w:rPr>
          <w:rFonts w:hint="eastAsia" w:ascii="宋体" w:hAnsi="宋体" w:eastAsia="宋体" w:cs="宋体"/>
          <w:b/>
          <w:bCs/>
          <w:color w:val="auto"/>
          <w:kern w:val="44"/>
          <w:sz w:val="21"/>
          <w:szCs w:val="21"/>
          <w:highlight w:val="none"/>
        </w:rPr>
        <w:t>2.7 组织竣工验收</w:t>
      </w:r>
      <w:bookmarkEnd w:id="227"/>
      <w:bookmarkEnd w:id="228"/>
    </w:p>
    <w:p w14:paraId="7F34813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发包人应按合同约定及时组织竣工验收。</w:t>
      </w:r>
    </w:p>
    <w:p w14:paraId="1C4D1F6D">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29" w:name="_Toc478389049"/>
      <w:bookmarkStart w:id="230" w:name="_Toc351203517"/>
      <w:r>
        <w:rPr>
          <w:rFonts w:hint="eastAsia" w:ascii="宋体" w:hAnsi="宋体" w:eastAsia="宋体" w:cs="宋体"/>
          <w:b/>
          <w:bCs/>
          <w:color w:val="auto"/>
          <w:kern w:val="44"/>
          <w:sz w:val="21"/>
          <w:szCs w:val="21"/>
          <w:highlight w:val="none"/>
        </w:rPr>
        <w:t>2.8 现场统一管理协议</w:t>
      </w:r>
      <w:bookmarkEnd w:id="229"/>
      <w:bookmarkEnd w:id="230"/>
    </w:p>
    <w:p w14:paraId="55BB5E5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发包人应与承包人、由发包人直接发包的专业工程的承包人签订施工现场统一管理协议，明确各方的权利义务。施工现场统一管理协议作为专用合同条款的附件。</w:t>
      </w:r>
    </w:p>
    <w:p w14:paraId="101FA706">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31" w:name="_Toc351203518"/>
      <w:bookmarkStart w:id="232" w:name="_Toc478389050"/>
      <w:r>
        <w:rPr>
          <w:rFonts w:hint="eastAsia" w:ascii="宋体" w:hAnsi="宋体" w:eastAsia="宋体" w:cs="宋体"/>
          <w:b/>
          <w:bCs/>
          <w:color w:val="auto"/>
          <w:kern w:val="44"/>
          <w:sz w:val="21"/>
          <w:szCs w:val="21"/>
          <w:highlight w:val="none"/>
        </w:rPr>
        <w:t>3</w:t>
      </w:r>
      <w:bookmarkStart w:id="233" w:name="_Toc296503045"/>
      <w:bookmarkStart w:id="234" w:name="_Toc296346546"/>
      <w:bookmarkStart w:id="235" w:name="_Toc337558746"/>
      <w:r>
        <w:rPr>
          <w:rFonts w:hint="eastAsia" w:ascii="宋体" w:hAnsi="宋体" w:eastAsia="宋体" w:cs="宋体"/>
          <w:b/>
          <w:bCs/>
          <w:color w:val="auto"/>
          <w:kern w:val="44"/>
          <w:sz w:val="21"/>
          <w:szCs w:val="21"/>
          <w:highlight w:val="none"/>
        </w:rPr>
        <w:t>. 承包人</w:t>
      </w:r>
      <w:bookmarkEnd w:id="231"/>
      <w:bookmarkEnd w:id="232"/>
    </w:p>
    <w:bookmarkEnd w:id="233"/>
    <w:bookmarkEnd w:id="234"/>
    <w:bookmarkEnd w:id="235"/>
    <w:p w14:paraId="29573C1E">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36" w:name="_Toc351203519"/>
      <w:bookmarkStart w:id="237" w:name="_Toc478389051"/>
      <w:r>
        <w:rPr>
          <w:rFonts w:hint="eastAsia" w:ascii="宋体" w:hAnsi="宋体" w:eastAsia="宋体" w:cs="宋体"/>
          <w:b/>
          <w:bCs/>
          <w:color w:val="auto"/>
          <w:kern w:val="44"/>
          <w:sz w:val="21"/>
          <w:szCs w:val="21"/>
          <w:highlight w:val="none"/>
        </w:rPr>
        <w:t>3</w:t>
      </w:r>
      <w:bookmarkStart w:id="238" w:name="_Toc296503046"/>
      <w:bookmarkStart w:id="239" w:name="_Toc337558747"/>
      <w:bookmarkStart w:id="240" w:name="_Toc296346547"/>
      <w:r>
        <w:rPr>
          <w:rFonts w:hint="eastAsia" w:ascii="宋体" w:hAnsi="宋体" w:eastAsia="宋体" w:cs="宋体"/>
          <w:b/>
          <w:bCs/>
          <w:color w:val="auto"/>
          <w:kern w:val="44"/>
          <w:sz w:val="21"/>
          <w:szCs w:val="21"/>
          <w:highlight w:val="none"/>
        </w:rPr>
        <w:t>.1 承包人的一般义务</w:t>
      </w:r>
      <w:bookmarkEnd w:id="236"/>
      <w:bookmarkEnd w:id="237"/>
    </w:p>
    <w:bookmarkEnd w:id="238"/>
    <w:bookmarkEnd w:id="239"/>
    <w:bookmarkEnd w:id="240"/>
    <w:p w14:paraId="12AA017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承包人在履行合同过程中应遵守法律和工程建设标准规范，并履行以下义务：</w:t>
      </w:r>
    </w:p>
    <w:p w14:paraId="1F06553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办理法律规定应由承包人办理的许可和批准，并将办理结果书面报送发包人留存；</w:t>
      </w:r>
    </w:p>
    <w:p w14:paraId="51011BC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（2）按法律规定和合同约定完成工程，并在保修期内承担保修义务；</w:t>
      </w:r>
    </w:p>
    <w:p w14:paraId="32930BC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（3）按法律规定和合同约定采取施工安全和环境保护措施，办理工伤保险，确保工程及人员、材料、设备和设施的安全；</w:t>
      </w:r>
    </w:p>
    <w:p w14:paraId="4E38193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（4）按合同约定的工作内容和施工进度要求，编制施工组织设计和施工措施计划，并对所有施工作业和施工方法的完备性和安全可靠性负责；</w:t>
      </w:r>
    </w:p>
    <w:p w14:paraId="592BAB0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B4DA5F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（6）按照第6.3款〔环境保护〕约定负责施工场地及其周边环境与生态的保护工作；</w:t>
      </w:r>
    </w:p>
    <w:p w14:paraId="6CE45D2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（7）按第6.1款〔安全文明施工〕约定采取施工安全措施，确保工程及其人员、材料、设备和设施的安全，防止因工程施工造成的人身伤害和财产损失；</w:t>
      </w:r>
    </w:p>
    <w:p w14:paraId="0FD58C9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（8）将发包人按合同约定支付的各项价款专用于合同工程，且应及时支付其雇用人员工资，并及时向分包人支付合同价款；</w:t>
      </w:r>
    </w:p>
    <w:p w14:paraId="0E7F28F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（9）按照法律规定和合同约定编制竣工资料，完成竣工资料立卷及归档，并按专用合同条款约定的竣工资料的套数、内容、时间等要求移交发包人；</w:t>
      </w:r>
    </w:p>
    <w:p w14:paraId="3F544B3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（10）应履行的其他义务。</w:t>
      </w:r>
    </w:p>
    <w:p w14:paraId="1FD6B754">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41" w:name="_Toc351203520"/>
      <w:bookmarkStart w:id="242" w:name="_Toc478389052"/>
      <w:r>
        <w:rPr>
          <w:rFonts w:hint="eastAsia" w:ascii="宋体" w:hAnsi="宋体" w:eastAsia="宋体" w:cs="宋体"/>
          <w:b/>
          <w:bCs/>
          <w:color w:val="auto"/>
          <w:kern w:val="44"/>
          <w:sz w:val="21"/>
          <w:szCs w:val="21"/>
          <w:highlight w:val="none"/>
        </w:rPr>
        <w:t>3</w:t>
      </w:r>
      <w:bookmarkStart w:id="243" w:name="_Toc337558748"/>
      <w:bookmarkStart w:id="244" w:name="_Toc296346548"/>
      <w:bookmarkStart w:id="245" w:name="_Toc296503047"/>
      <w:r>
        <w:rPr>
          <w:rFonts w:hint="eastAsia" w:ascii="宋体" w:hAnsi="宋体" w:eastAsia="宋体" w:cs="宋体"/>
          <w:b/>
          <w:bCs/>
          <w:color w:val="auto"/>
          <w:kern w:val="44"/>
          <w:sz w:val="21"/>
          <w:szCs w:val="21"/>
          <w:highlight w:val="none"/>
        </w:rPr>
        <w:t xml:space="preserve">.2 </w:t>
      </w:r>
      <w:bookmarkEnd w:id="241"/>
      <w:r>
        <w:rPr>
          <w:rFonts w:hint="eastAsia" w:ascii="宋体" w:hAnsi="宋体" w:eastAsia="宋体" w:cs="宋体"/>
          <w:b/>
          <w:bCs/>
          <w:color w:val="auto"/>
          <w:kern w:val="44"/>
          <w:sz w:val="21"/>
          <w:szCs w:val="21"/>
          <w:highlight w:val="none"/>
        </w:rPr>
        <w:t>项目经理</w:t>
      </w:r>
      <w:bookmarkEnd w:id="242"/>
    </w:p>
    <w:bookmarkEnd w:id="243"/>
    <w:bookmarkEnd w:id="244"/>
    <w:bookmarkEnd w:id="245"/>
    <w:p w14:paraId="0B43E16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62A84E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83A82D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承包人违反上述约定的，应按照专用合同条款的约定，承担违约责任。</w:t>
      </w:r>
    </w:p>
    <w:p w14:paraId="27BB416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55C92CE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1CCE9B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D2E1F9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3.2.5项目经理因特殊情况授权其下属人员履行其某项工作职责的，该下属人员应具备履行相应职责的能力，并应提前7天将上述人员的姓名和授权范围书面通知监理人，并征得发包人书面同意。</w:t>
      </w:r>
    </w:p>
    <w:p w14:paraId="7D7EBA18">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46" w:name="_Toc351203521"/>
      <w:bookmarkStart w:id="247" w:name="_Toc478389053"/>
      <w:r>
        <w:rPr>
          <w:rFonts w:hint="eastAsia" w:ascii="宋体" w:hAnsi="宋体" w:eastAsia="宋体" w:cs="宋体"/>
          <w:b/>
          <w:bCs/>
          <w:color w:val="auto"/>
          <w:kern w:val="44"/>
          <w:sz w:val="21"/>
          <w:szCs w:val="21"/>
          <w:highlight w:val="none"/>
        </w:rPr>
        <w:t>3</w:t>
      </w:r>
      <w:bookmarkStart w:id="248" w:name="_Toc296346549"/>
      <w:bookmarkStart w:id="249" w:name="_Toc296503048"/>
      <w:bookmarkStart w:id="250" w:name="_Toc337558749"/>
      <w:r>
        <w:rPr>
          <w:rFonts w:hint="eastAsia" w:ascii="宋体" w:hAnsi="宋体" w:eastAsia="宋体" w:cs="宋体"/>
          <w:b/>
          <w:bCs/>
          <w:color w:val="auto"/>
          <w:kern w:val="44"/>
          <w:sz w:val="21"/>
          <w:szCs w:val="21"/>
          <w:highlight w:val="none"/>
        </w:rPr>
        <w:t xml:space="preserve">.3 </w:t>
      </w:r>
      <w:bookmarkEnd w:id="248"/>
      <w:bookmarkEnd w:id="249"/>
      <w:r>
        <w:rPr>
          <w:rFonts w:hint="eastAsia" w:ascii="宋体" w:hAnsi="宋体" w:eastAsia="宋体" w:cs="宋体"/>
          <w:b/>
          <w:bCs/>
          <w:color w:val="auto"/>
          <w:kern w:val="44"/>
          <w:sz w:val="21"/>
          <w:szCs w:val="21"/>
          <w:highlight w:val="none"/>
        </w:rPr>
        <w:t>承包人人员</w:t>
      </w:r>
      <w:bookmarkEnd w:id="246"/>
      <w:bookmarkEnd w:id="247"/>
    </w:p>
    <w:bookmarkEnd w:id="250"/>
    <w:p w14:paraId="01B62D8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4FE0D0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特殊工种作业人员均应持有相应的资格证明，监理人可以随时检查。</w:t>
      </w:r>
    </w:p>
    <w:p w14:paraId="6146B61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0C4541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6DAD7F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3.3.5承包人擅自更换主要施工管理人员，或前述人员未经监理人或发包人同意擅自离开施工现场的，应按照专用合同条款约定承担违约责任。</w:t>
      </w:r>
    </w:p>
    <w:p w14:paraId="049CD277">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51" w:name="_Toc478389054"/>
      <w:bookmarkStart w:id="252" w:name="_Toc351203522"/>
      <w:r>
        <w:rPr>
          <w:rFonts w:hint="eastAsia" w:ascii="宋体" w:hAnsi="宋体" w:eastAsia="宋体" w:cs="宋体"/>
          <w:b/>
          <w:bCs/>
          <w:color w:val="auto"/>
          <w:kern w:val="44"/>
          <w:sz w:val="21"/>
          <w:szCs w:val="21"/>
          <w:highlight w:val="none"/>
        </w:rPr>
        <w:t>3</w:t>
      </w:r>
      <w:bookmarkStart w:id="253" w:name="_Toc337558750"/>
      <w:bookmarkStart w:id="254" w:name="_Toc296346551"/>
      <w:bookmarkStart w:id="255" w:name="_Toc296503050"/>
      <w:r>
        <w:rPr>
          <w:rFonts w:hint="eastAsia" w:ascii="宋体" w:hAnsi="宋体" w:eastAsia="宋体" w:cs="宋体"/>
          <w:b/>
          <w:bCs/>
          <w:color w:val="auto"/>
          <w:kern w:val="44"/>
          <w:sz w:val="21"/>
          <w:szCs w:val="21"/>
          <w:highlight w:val="none"/>
        </w:rPr>
        <w:t>.4 承包人现场查勘</w:t>
      </w:r>
      <w:bookmarkEnd w:id="251"/>
      <w:bookmarkEnd w:id="252"/>
    </w:p>
    <w:bookmarkEnd w:id="253"/>
    <w:bookmarkEnd w:id="254"/>
    <w:bookmarkEnd w:id="255"/>
    <w:p w14:paraId="0F42D2A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承包人应对基于发包人按照第2.4.3项〔提供基础资料〕提交的基础资料所做出的解释和推断负责，但因基础资料存在错误、遗漏导致承包人解释或推断失实的，由发包人承担责任。</w:t>
      </w:r>
    </w:p>
    <w:p w14:paraId="11975B8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6A03418">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56" w:name="_Toc478389055"/>
      <w:bookmarkStart w:id="257" w:name="_Toc351203523"/>
      <w:r>
        <w:rPr>
          <w:rFonts w:hint="eastAsia" w:ascii="宋体" w:hAnsi="宋体" w:eastAsia="宋体" w:cs="宋体"/>
          <w:b/>
          <w:bCs/>
          <w:color w:val="auto"/>
          <w:kern w:val="44"/>
          <w:sz w:val="21"/>
          <w:szCs w:val="21"/>
          <w:highlight w:val="none"/>
        </w:rPr>
        <w:t>3</w:t>
      </w:r>
      <w:bookmarkStart w:id="258" w:name="_Toc296503051"/>
      <w:bookmarkStart w:id="259" w:name="_Toc296346552"/>
      <w:bookmarkStart w:id="260" w:name="_Toc337558751"/>
      <w:r>
        <w:rPr>
          <w:rFonts w:hint="eastAsia" w:ascii="宋体" w:hAnsi="宋体" w:eastAsia="宋体" w:cs="宋体"/>
          <w:b/>
          <w:bCs/>
          <w:color w:val="auto"/>
          <w:kern w:val="44"/>
          <w:sz w:val="21"/>
          <w:szCs w:val="21"/>
          <w:highlight w:val="none"/>
        </w:rPr>
        <w:t>.5 分包</w:t>
      </w:r>
      <w:bookmarkEnd w:id="256"/>
      <w:bookmarkEnd w:id="257"/>
    </w:p>
    <w:bookmarkEnd w:id="258"/>
    <w:bookmarkEnd w:id="259"/>
    <w:bookmarkEnd w:id="260"/>
    <w:p w14:paraId="7AFB70E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 分包的一般约定</w:t>
      </w:r>
    </w:p>
    <w:p w14:paraId="1B28502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4988F9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承包人不得以劳务分包的名义转包或违法分包工程。</w:t>
      </w:r>
    </w:p>
    <w:p w14:paraId="1BCA358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 分包的确定</w:t>
      </w:r>
    </w:p>
    <w:p w14:paraId="37745E9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65D01C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 分包管理</w:t>
      </w:r>
    </w:p>
    <w:p w14:paraId="3919D0A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承包人应向监理人提交分包人的主要施工管理人员表，并对分包人的施工人员进行实名制管理，包括但不限于进出场管理、登记造册以及各种证照的办理。</w:t>
      </w:r>
    </w:p>
    <w:p w14:paraId="2E65D08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p w14:paraId="12FDF10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（1）除本项第（2）目约定的情况或专用合同条款另有约定外，分包合同价款由承包人与分包人结算，未经承包人同意，发包人不得向分包人支付分包工程价款；</w:t>
      </w:r>
    </w:p>
    <w:p w14:paraId="3313C06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（2）生效法律文书要求发包人向分包人支付分包合同价款的，发包人有权从应付承包人工程款中扣除该部分款项。</w:t>
      </w:r>
    </w:p>
    <w:p w14:paraId="17C81D3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3.5.5 分包合同权益的转让</w:t>
      </w:r>
    </w:p>
    <w:p w14:paraId="7316520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61" w:name="_Toc351203524"/>
    </w:p>
    <w:p w14:paraId="3A55981B">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62" w:name="_Toc478389056"/>
      <w:r>
        <w:rPr>
          <w:rFonts w:hint="eastAsia" w:ascii="宋体" w:hAnsi="宋体" w:eastAsia="宋体" w:cs="宋体"/>
          <w:b/>
          <w:bCs/>
          <w:color w:val="auto"/>
          <w:kern w:val="44"/>
          <w:sz w:val="21"/>
          <w:szCs w:val="21"/>
          <w:highlight w:val="none"/>
        </w:rPr>
        <w:t>3.6 工程照管与成品、半成品保护</w:t>
      </w:r>
      <w:bookmarkEnd w:id="261"/>
      <w:bookmarkEnd w:id="262"/>
    </w:p>
    <w:p w14:paraId="00B91B4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（1）除专用合同条款另有约定外，自发包人向承包人移交施工现场之日起，承包人应负责照管工程及工程相关的材料、工程设备，直到颁发工程接收证书之日止。</w:t>
      </w:r>
    </w:p>
    <w:p w14:paraId="58573F1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（2）在承包人负责照管期间，因承包人原因造成工程、材料、工程设备损坏的，由承包人负责修复或更换，并承担由此增加的费用和（或）延误的工期。</w:t>
      </w:r>
    </w:p>
    <w:p w14:paraId="261D25B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473C84D1">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63" w:name="_Toc351203525"/>
      <w:bookmarkStart w:id="264" w:name="_Toc478389057"/>
      <w:r>
        <w:rPr>
          <w:rFonts w:hint="eastAsia" w:ascii="宋体" w:hAnsi="宋体" w:eastAsia="宋体" w:cs="宋体"/>
          <w:b/>
          <w:bCs/>
          <w:color w:val="auto"/>
          <w:kern w:val="44"/>
          <w:sz w:val="21"/>
          <w:szCs w:val="21"/>
          <w:highlight w:val="none"/>
        </w:rPr>
        <w:t>3</w:t>
      </w:r>
      <w:bookmarkStart w:id="265" w:name="_Toc337558752"/>
      <w:bookmarkStart w:id="266" w:name="_Toc296503052"/>
      <w:bookmarkStart w:id="267" w:name="_Toc296346553"/>
      <w:r>
        <w:rPr>
          <w:rFonts w:hint="eastAsia" w:ascii="宋体" w:hAnsi="宋体" w:eastAsia="宋体" w:cs="宋体"/>
          <w:b/>
          <w:bCs/>
          <w:color w:val="auto"/>
          <w:kern w:val="44"/>
          <w:sz w:val="21"/>
          <w:szCs w:val="21"/>
          <w:highlight w:val="none"/>
        </w:rPr>
        <w:t>.7 履约保证金</w:t>
      </w:r>
      <w:bookmarkEnd w:id="263"/>
      <w:bookmarkEnd w:id="264"/>
    </w:p>
    <w:bookmarkEnd w:id="265"/>
    <w:bookmarkEnd w:id="266"/>
    <w:bookmarkEnd w:id="267"/>
    <w:p w14:paraId="77C02DA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发包人需要承包人提供履约保证金的，由合同当事人在专用合同条款中约定履约保证金的方式、金额及期限等。履约保证金可以采用银行保函或担保公司担保等形式，具体由合同当事人在专用合同条款中约定。</w:t>
      </w:r>
    </w:p>
    <w:p w14:paraId="22A33BF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因承包人原因导致工期延长的，继续提供履约保证金所增加的费用由承包人承担；非因承包人原因导致工期延长的，继续提供履约保证金所增加的费用由发包人承担。</w:t>
      </w:r>
    </w:p>
    <w:p w14:paraId="6B3FB79C">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68" w:name="_Toc351203526"/>
      <w:bookmarkStart w:id="269" w:name="_Toc478389058"/>
      <w:r>
        <w:rPr>
          <w:rFonts w:hint="eastAsia" w:ascii="宋体" w:hAnsi="宋体" w:eastAsia="宋体" w:cs="宋体"/>
          <w:b/>
          <w:bCs/>
          <w:color w:val="auto"/>
          <w:kern w:val="44"/>
          <w:sz w:val="21"/>
          <w:szCs w:val="21"/>
          <w:highlight w:val="none"/>
        </w:rPr>
        <w:t>3.8 联合体</w:t>
      </w:r>
      <w:bookmarkEnd w:id="268"/>
      <w:bookmarkEnd w:id="269"/>
    </w:p>
    <w:p w14:paraId="0673CFD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3.8.1联合体各方应共同与发包人签订合同协议书。联合体各方应为履行合同向发包人承担连带责任。</w:t>
      </w:r>
    </w:p>
    <w:p w14:paraId="23F8270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3.8.2联合体协议经发包人确认后作为合同附件。在履行合同过程中，未经发包人同意，不得修改联合体协议。</w:t>
      </w:r>
    </w:p>
    <w:p w14:paraId="01FDB71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3.8.3联合体牵头人负责与发包人和监理人联系，并接受指示，负责组织联合体各成员全面履行合同。</w:t>
      </w:r>
    </w:p>
    <w:p w14:paraId="7D65EA1C">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70" w:name="_Toc478389059"/>
      <w:bookmarkStart w:id="271" w:name="_Toc351203527"/>
      <w:r>
        <w:rPr>
          <w:rFonts w:hint="eastAsia" w:ascii="宋体" w:hAnsi="宋体" w:eastAsia="宋体" w:cs="宋体"/>
          <w:b/>
          <w:bCs/>
          <w:color w:val="auto"/>
          <w:kern w:val="44"/>
          <w:sz w:val="21"/>
          <w:szCs w:val="21"/>
          <w:highlight w:val="none"/>
        </w:rPr>
        <w:t>4</w:t>
      </w:r>
      <w:bookmarkStart w:id="272" w:name="_Toc296503053"/>
      <w:bookmarkStart w:id="273" w:name="_Toc296346554"/>
      <w:bookmarkStart w:id="274" w:name="_Toc337558753"/>
      <w:r>
        <w:rPr>
          <w:rFonts w:hint="eastAsia" w:ascii="宋体" w:hAnsi="宋体" w:eastAsia="宋体" w:cs="宋体"/>
          <w:b/>
          <w:bCs/>
          <w:color w:val="auto"/>
          <w:kern w:val="44"/>
          <w:sz w:val="21"/>
          <w:szCs w:val="21"/>
          <w:highlight w:val="none"/>
        </w:rPr>
        <w:t>. 监</w:t>
      </w:r>
      <w:bookmarkEnd w:id="272"/>
      <w:bookmarkEnd w:id="273"/>
      <w:r>
        <w:rPr>
          <w:rFonts w:hint="eastAsia" w:ascii="宋体" w:hAnsi="宋体" w:eastAsia="宋体" w:cs="宋体"/>
          <w:b/>
          <w:bCs/>
          <w:color w:val="auto"/>
          <w:kern w:val="44"/>
          <w:sz w:val="21"/>
          <w:szCs w:val="21"/>
          <w:highlight w:val="none"/>
        </w:rPr>
        <w:t>理人</w:t>
      </w:r>
      <w:bookmarkEnd w:id="270"/>
      <w:bookmarkEnd w:id="271"/>
    </w:p>
    <w:bookmarkEnd w:id="274"/>
    <w:p w14:paraId="49D31E92">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75" w:name="_Toc351203528"/>
      <w:bookmarkStart w:id="276" w:name="_Toc478389060"/>
      <w:r>
        <w:rPr>
          <w:rFonts w:hint="eastAsia" w:ascii="宋体" w:hAnsi="宋体" w:eastAsia="宋体" w:cs="宋体"/>
          <w:b/>
          <w:bCs/>
          <w:color w:val="auto"/>
          <w:kern w:val="44"/>
          <w:sz w:val="21"/>
          <w:szCs w:val="21"/>
          <w:highlight w:val="none"/>
        </w:rPr>
        <w:t>4</w:t>
      </w:r>
      <w:bookmarkStart w:id="277" w:name="_Toc296503054"/>
      <w:bookmarkStart w:id="278" w:name="_Toc337558754"/>
      <w:bookmarkStart w:id="279" w:name="_Toc296346555"/>
      <w:r>
        <w:rPr>
          <w:rFonts w:hint="eastAsia" w:ascii="宋体" w:hAnsi="宋体" w:eastAsia="宋体" w:cs="宋体"/>
          <w:b/>
          <w:bCs/>
          <w:color w:val="auto"/>
          <w:kern w:val="44"/>
          <w:sz w:val="21"/>
          <w:szCs w:val="21"/>
          <w:highlight w:val="none"/>
        </w:rPr>
        <w:t>.1监理人的一般规定</w:t>
      </w:r>
      <w:bookmarkEnd w:id="275"/>
      <w:bookmarkEnd w:id="276"/>
    </w:p>
    <w:bookmarkEnd w:id="277"/>
    <w:bookmarkEnd w:id="278"/>
    <w:bookmarkEnd w:id="279"/>
    <w:p w14:paraId="4348B54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75E863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除专用合同条款另有约定外，监理人在施工现场的办公场所、生活场所由承包人提供，所发生的费用由发包人承担。</w:t>
      </w:r>
    </w:p>
    <w:p w14:paraId="60507CCB">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80" w:name="_Toc478389061"/>
      <w:bookmarkStart w:id="281" w:name="_Toc351203529"/>
      <w:r>
        <w:rPr>
          <w:rFonts w:hint="eastAsia" w:ascii="宋体" w:hAnsi="宋体" w:eastAsia="宋体" w:cs="宋体"/>
          <w:b/>
          <w:bCs/>
          <w:color w:val="auto"/>
          <w:kern w:val="44"/>
          <w:sz w:val="21"/>
          <w:szCs w:val="21"/>
          <w:highlight w:val="none"/>
        </w:rPr>
        <w:t>4</w:t>
      </w:r>
      <w:bookmarkStart w:id="282" w:name="_Toc337558755"/>
      <w:r>
        <w:rPr>
          <w:rFonts w:hint="eastAsia" w:ascii="宋体" w:hAnsi="宋体" w:eastAsia="宋体" w:cs="宋体"/>
          <w:b/>
          <w:bCs/>
          <w:color w:val="auto"/>
          <w:kern w:val="44"/>
          <w:sz w:val="21"/>
          <w:szCs w:val="21"/>
          <w:highlight w:val="none"/>
        </w:rPr>
        <w:t>.2监理人员</w:t>
      </w:r>
      <w:bookmarkEnd w:id="280"/>
      <w:bookmarkEnd w:id="281"/>
    </w:p>
    <w:bookmarkEnd w:id="282"/>
    <w:p w14:paraId="0AD05F2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6DF01C1">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83" w:name="_Toc478389062"/>
      <w:bookmarkStart w:id="284" w:name="_Toc351203530"/>
      <w:r>
        <w:rPr>
          <w:rFonts w:hint="eastAsia" w:ascii="宋体" w:hAnsi="宋体" w:eastAsia="宋体" w:cs="宋体"/>
          <w:b/>
          <w:bCs/>
          <w:color w:val="auto"/>
          <w:kern w:val="44"/>
          <w:sz w:val="21"/>
          <w:szCs w:val="21"/>
          <w:highlight w:val="none"/>
        </w:rPr>
        <w:t>4</w:t>
      </w:r>
      <w:bookmarkStart w:id="285" w:name="_Toc296503055"/>
      <w:bookmarkStart w:id="286" w:name="_Toc296346556"/>
      <w:bookmarkStart w:id="287" w:name="_Toc337558756"/>
      <w:r>
        <w:rPr>
          <w:rFonts w:hint="eastAsia" w:ascii="宋体" w:hAnsi="宋体" w:eastAsia="宋体" w:cs="宋体"/>
          <w:b/>
          <w:bCs/>
          <w:color w:val="auto"/>
          <w:kern w:val="44"/>
          <w:sz w:val="21"/>
          <w:szCs w:val="21"/>
          <w:highlight w:val="none"/>
        </w:rPr>
        <w:t>.3</w:t>
      </w:r>
      <w:bookmarkEnd w:id="285"/>
      <w:bookmarkEnd w:id="286"/>
      <w:r>
        <w:rPr>
          <w:rFonts w:hint="eastAsia" w:ascii="宋体" w:hAnsi="宋体" w:eastAsia="宋体" w:cs="宋体"/>
          <w:b/>
          <w:bCs/>
          <w:color w:val="auto"/>
          <w:kern w:val="44"/>
          <w:sz w:val="21"/>
          <w:szCs w:val="21"/>
          <w:highlight w:val="none"/>
        </w:rPr>
        <w:t>监理人的指</w:t>
      </w:r>
      <w:bookmarkEnd w:id="287"/>
      <w:r>
        <w:rPr>
          <w:rFonts w:hint="eastAsia" w:ascii="宋体" w:hAnsi="宋体" w:eastAsia="宋体" w:cs="宋体"/>
          <w:b/>
          <w:bCs/>
          <w:color w:val="auto"/>
          <w:kern w:val="44"/>
          <w:sz w:val="21"/>
          <w:szCs w:val="21"/>
          <w:highlight w:val="none"/>
        </w:rPr>
        <w:t>示</w:t>
      </w:r>
      <w:bookmarkEnd w:id="283"/>
      <w:bookmarkEnd w:id="284"/>
    </w:p>
    <w:p w14:paraId="645337D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792B86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w:t>
      </w:r>
      <w:r>
        <w:rPr>
          <w:rFonts w:hint="eastAsia" w:ascii="宋体" w:hAnsi="宋体" w:eastAsia="宋体" w:cs="宋体"/>
          <w:color w:val="auto"/>
          <w:sz w:val="21"/>
          <w:szCs w:val="21"/>
          <w:highlight w:val="none"/>
          <w:lang w:eastAsia="zh-CN"/>
        </w:rPr>
        <w:t>利</w:t>
      </w:r>
      <w:r>
        <w:rPr>
          <w:rFonts w:hint="eastAsia" w:ascii="宋体" w:hAnsi="宋体" w:eastAsia="宋体" w:cs="宋体"/>
          <w:color w:val="auto"/>
          <w:sz w:val="21"/>
          <w:szCs w:val="21"/>
          <w:highlight w:val="none"/>
        </w:rPr>
        <w:t>授权或委托给其他监理人员。</w:t>
      </w:r>
    </w:p>
    <w:p w14:paraId="02B849B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承包人对监理人发出的指示有疑问的，应向监理人提出书面异议，监理人应在48小时内对该指示予以确认、更改或撤销，监理人逾期未回复的，承包人有权拒绝执行上述指示。</w:t>
      </w:r>
    </w:p>
    <w:p w14:paraId="72EFC6B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73A75C41">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88" w:name="_Toc478389063"/>
      <w:bookmarkStart w:id="289" w:name="_Toc351203531"/>
      <w:r>
        <w:rPr>
          <w:rFonts w:hint="eastAsia" w:ascii="宋体" w:hAnsi="宋体" w:eastAsia="宋体" w:cs="宋体"/>
          <w:b/>
          <w:bCs/>
          <w:color w:val="auto"/>
          <w:kern w:val="44"/>
          <w:sz w:val="21"/>
          <w:szCs w:val="21"/>
          <w:highlight w:val="none"/>
        </w:rPr>
        <w:t>4</w:t>
      </w:r>
      <w:bookmarkStart w:id="290" w:name="_Toc337558757"/>
      <w:bookmarkStart w:id="291" w:name="_Toc296346558"/>
      <w:bookmarkStart w:id="292" w:name="_Toc296503057"/>
      <w:r>
        <w:rPr>
          <w:rFonts w:hint="eastAsia" w:ascii="宋体" w:hAnsi="宋体" w:eastAsia="宋体" w:cs="宋体"/>
          <w:b/>
          <w:bCs/>
          <w:color w:val="auto"/>
          <w:kern w:val="44"/>
          <w:sz w:val="21"/>
          <w:szCs w:val="21"/>
          <w:highlight w:val="none"/>
        </w:rPr>
        <w:t>.4 商定或确定</w:t>
      </w:r>
      <w:bookmarkEnd w:id="288"/>
      <w:bookmarkEnd w:id="289"/>
    </w:p>
    <w:bookmarkEnd w:id="290"/>
    <w:bookmarkEnd w:id="291"/>
    <w:bookmarkEnd w:id="292"/>
    <w:p w14:paraId="768B319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合同当事人进行商定或确定时，总监理工程师应当会同合同当事人尽量通过协商达成一致，不能达成一致的，由总监理工程师按照合同约定审慎</w:t>
      </w:r>
      <w:r>
        <w:rPr>
          <w:rFonts w:hint="eastAsia" w:ascii="宋体" w:hAnsi="宋体" w:eastAsia="宋体" w:cs="宋体"/>
          <w:color w:val="auto"/>
          <w:sz w:val="21"/>
          <w:szCs w:val="21"/>
          <w:highlight w:val="none"/>
          <w:lang w:eastAsia="zh-CN"/>
        </w:rPr>
        <w:t>作出</w:t>
      </w:r>
      <w:r>
        <w:rPr>
          <w:rFonts w:hint="eastAsia" w:ascii="宋体" w:hAnsi="宋体" w:eastAsia="宋体" w:cs="宋体"/>
          <w:color w:val="auto"/>
          <w:sz w:val="21"/>
          <w:szCs w:val="21"/>
          <w:highlight w:val="none"/>
        </w:rPr>
        <w:t>公正的确定。</w:t>
      </w:r>
    </w:p>
    <w:p w14:paraId="54FAFB3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B84938C">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93" w:name="_Toc351203532"/>
      <w:bookmarkStart w:id="294" w:name="_Toc478389064"/>
      <w:r>
        <w:rPr>
          <w:rFonts w:hint="eastAsia" w:ascii="宋体" w:hAnsi="宋体" w:eastAsia="宋体" w:cs="宋体"/>
          <w:b/>
          <w:bCs/>
          <w:color w:val="auto"/>
          <w:kern w:val="44"/>
          <w:sz w:val="21"/>
          <w:szCs w:val="21"/>
          <w:highlight w:val="none"/>
        </w:rPr>
        <w:t>5</w:t>
      </w:r>
      <w:bookmarkStart w:id="295" w:name="_Toc337558758"/>
      <w:r>
        <w:rPr>
          <w:rFonts w:hint="eastAsia" w:ascii="宋体" w:hAnsi="宋体" w:eastAsia="宋体" w:cs="宋体"/>
          <w:b/>
          <w:bCs/>
          <w:color w:val="auto"/>
          <w:kern w:val="44"/>
          <w:sz w:val="21"/>
          <w:szCs w:val="21"/>
          <w:highlight w:val="none"/>
        </w:rPr>
        <w:t>. 工程质量</w:t>
      </w:r>
      <w:bookmarkEnd w:id="293"/>
      <w:bookmarkEnd w:id="294"/>
    </w:p>
    <w:bookmarkEnd w:id="295"/>
    <w:p w14:paraId="681D3387">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96" w:name="_Toc478389065"/>
      <w:bookmarkStart w:id="297" w:name="_Toc351203533"/>
      <w:r>
        <w:rPr>
          <w:rFonts w:hint="eastAsia" w:ascii="宋体" w:hAnsi="宋体" w:eastAsia="宋体" w:cs="宋体"/>
          <w:b/>
          <w:bCs/>
          <w:color w:val="auto"/>
          <w:kern w:val="44"/>
          <w:sz w:val="21"/>
          <w:szCs w:val="21"/>
          <w:highlight w:val="none"/>
        </w:rPr>
        <w:t>5</w:t>
      </w:r>
      <w:bookmarkStart w:id="298" w:name="_Toc337558759"/>
      <w:r>
        <w:rPr>
          <w:rFonts w:hint="eastAsia" w:ascii="宋体" w:hAnsi="宋体" w:eastAsia="宋体" w:cs="宋体"/>
          <w:b/>
          <w:bCs/>
          <w:color w:val="auto"/>
          <w:kern w:val="44"/>
          <w:sz w:val="21"/>
          <w:szCs w:val="21"/>
          <w:highlight w:val="none"/>
        </w:rPr>
        <w:t>.1质量要求</w:t>
      </w:r>
      <w:bookmarkEnd w:id="296"/>
      <w:bookmarkEnd w:id="297"/>
    </w:p>
    <w:bookmarkEnd w:id="298"/>
    <w:p w14:paraId="434EC1C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5.1.1工程质量标准必须符合现行国家有关工程施工质量验收规范和标准的要求。有关工程质量的特殊标准或要求由合同当事人在专用合同条款中约定。</w:t>
      </w:r>
    </w:p>
    <w:p w14:paraId="3F6D7D5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5.1.2因发包人原因造成工程质量未达到合同约定标准的，由发包人承担由此增加的费用和（或）延误的工期，并支付承包人合理的利润。</w:t>
      </w:r>
    </w:p>
    <w:p w14:paraId="666E17F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5.1.3因承包人原因造成工程质量未达到合同约定标准的，发包人有权要求承包人返工直至工程质量达到合同约定的标准为止，并由承包人承担由此增加的费用和（或）延误的工期。</w:t>
      </w:r>
    </w:p>
    <w:p w14:paraId="289B5D9E">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299" w:name="_Toc478389066"/>
      <w:bookmarkStart w:id="300" w:name="_Toc351203534"/>
      <w:r>
        <w:rPr>
          <w:rFonts w:hint="eastAsia" w:ascii="宋体" w:hAnsi="宋体" w:eastAsia="宋体" w:cs="宋体"/>
          <w:b/>
          <w:bCs/>
          <w:color w:val="auto"/>
          <w:kern w:val="44"/>
          <w:sz w:val="21"/>
          <w:szCs w:val="21"/>
          <w:highlight w:val="none"/>
        </w:rPr>
        <w:t>5</w:t>
      </w:r>
      <w:bookmarkStart w:id="301" w:name="_Toc337558760"/>
      <w:r>
        <w:rPr>
          <w:rFonts w:hint="eastAsia" w:ascii="宋体" w:hAnsi="宋体" w:eastAsia="宋体" w:cs="宋体"/>
          <w:b/>
          <w:bCs/>
          <w:color w:val="auto"/>
          <w:kern w:val="44"/>
          <w:sz w:val="21"/>
          <w:szCs w:val="21"/>
          <w:highlight w:val="none"/>
        </w:rPr>
        <w:t>.2质量保证措施</w:t>
      </w:r>
      <w:bookmarkEnd w:id="299"/>
      <w:bookmarkEnd w:id="300"/>
    </w:p>
    <w:bookmarkEnd w:id="301"/>
    <w:p w14:paraId="6B6330E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 发包人的质量管理</w:t>
      </w:r>
    </w:p>
    <w:p w14:paraId="57587BE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发包人应按照法律规定及合同约定完成与工程质量有关的各项工作。</w:t>
      </w:r>
    </w:p>
    <w:p w14:paraId="7895AF7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 承包人的质量管理</w:t>
      </w:r>
    </w:p>
    <w:p w14:paraId="2179800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D31B36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承包人应对施工人员进行质量教育和技术培训，定期考核施工人员的劳动技能，严格执行施工规范和操作规程。</w:t>
      </w:r>
    </w:p>
    <w:p w14:paraId="06BC8A5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承包人应按照法律规定和发包人的要求，对材料、工程设备以及工程的所有部位及其施工工艺进行全过程的质量检查和检验，并</w:t>
      </w:r>
      <w:r>
        <w:rPr>
          <w:rFonts w:hint="eastAsia" w:ascii="宋体" w:hAnsi="宋体" w:eastAsia="宋体" w:cs="宋体"/>
          <w:color w:val="auto"/>
          <w:sz w:val="21"/>
          <w:szCs w:val="21"/>
          <w:highlight w:val="none"/>
          <w:lang w:eastAsia="zh-CN"/>
        </w:rPr>
        <w:t>做</w:t>
      </w:r>
      <w:r>
        <w:rPr>
          <w:rFonts w:hint="eastAsia" w:ascii="宋体" w:hAnsi="宋体" w:eastAsia="宋体" w:cs="宋体"/>
          <w:color w:val="auto"/>
          <w:sz w:val="21"/>
          <w:szCs w:val="21"/>
          <w:highlight w:val="none"/>
        </w:rPr>
        <w:t>详细记录，编制工程质量报表，报送监理人审查。此外，承包人还应按照法律规定和发包人的要求，进行施工现场取样试验、工程复核测量和设备性能检测，提供试验样品、提交试验报告和测量成果以及其他工作。</w:t>
      </w:r>
    </w:p>
    <w:p w14:paraId="0A13816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5.2.3 监理人的质量检查和检验</w:t>
      </w:r>
    </w:p>
    <w:p w14:paraId="2958DBF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w:t>
      </w:r>
      <w:r>
        <w:rPr>
          <w:rFonts w:hint="eastAsia" w:ascii="宋体" w:hAnsi="宋体" w:eastAsia="宋体" w:cs="宋体"/>
          <w:color w:val="auto"/>
          <w:sz w:val="21"/>
          <w:szCs w:val="21"/>
          <w:highlight w:val="none"/>
          <w:lang w:eastAsia="zh-CN"/>
        </w:rPr>
        <w:t>查看</w:t>
      </w:r>
      <w:r>
        <w:rPr>
          <w:rFonts w:hint="eastAsia" w:ascii="宋体" w:hAnsi="宋体" w:eastAsia="宋体" w:cs="宋体"/>
          <w:color w:val="auto"/>
          <w:sz w:val="21"/>
          <w:szCs w:val="21"/>
          <w:highlight w:val="none"/>
        </w:rPr>
        <w:t>和查阅施工原始记录。监理人为此进行的检查和检验，不免除或减轻承包人按照合同约定应当承担的责任。</w:t>
      </w:r>
    </w:p>
    <w:p w14:paraId="50FB2A0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E88618D">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02" w:name="_Toc478389067"/>
      <w:bookmarkStart w:id="303" w:name="_Toc351203535"/>
      <w:r>
        <w:rPr>
          <w:rFonts w:hint="eastAsia" w:ascii="宋体" w:hAnsi="宋体" w:eastAsia="宋体" w:cs="宋体"/>
          <w:b/>
          <w:bCs/>
          <w:color w:val="auto"/>
          <w:kern w:val="44"/>
          <w:sz w:val="21"/>
          <w:szCs w:val="21"/>
          <w:highlight w:val="none"/>
        </w:rPr>
        <w:t>5</w:t>
      </w:r>
      <w:bookmarkStart w:id="304" w:name="_Toc337558761"/>
      <w:r>
        <w:rPr>
          <w:rFonts w:hint="eastAsia" w:ascii="宋体" w:hAnsi="宋体" w:eastAsia="宋体" w:cs="宋体"/>
          <w:b/>
          <w:bCs/>
          <w:color w:val="auto"/>
          <w:kern w:val="44"/>
          <w:sz w:val="21"/>
          <w:szCs w:val="21"/>
          <w:highlight w:val="none"/>
        </w:rPr>
        <w:t>.3 隐蔽工程检查</w:t>
      </w:r>
      <w:bookmarkEnd w:id="302"/>
      <w:bookmarkEnd w:id="303"/>
    </w:p>
    <w:bookmarkEnd w:id="304"/>
    <w:p w14:paraId="6113469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5.3.1承包人自检</w:t>
      </w:r>
    </w:p>
    <w:p w14:paraId="3B88366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承包人应当对工程隐蔽部位进行自检，并经自检确认是否具备覆盖条件。</w:t>
      </w:r>
    </w:p>
    <w:p w14:paraId="739BA03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5.3.2检查程序</w:t>
      </w:r>
    </w:p>
    <w:p w14:paraId="345E9B4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C76B97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1B70F6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w:t>
      </w:r>
      <w:r>
        <w:rPr>
          <w:rFonts w:hint="eastAsia" w:ascii="宋体" w:hAnsi="宋体" w:eastAsia="宋体" w:cs="宋体"/>
          <w:color w:val="auto"/>
          <w:sz w:val="21"/>
          <w:szCs w:val="21"/>
          <w:highlight w:val="none"/>
          <w:lang w:eastAsia="zh-CN"/>
        </w:rPr>
        <w:t>做</w:t>
      </w:r>
      <w:r>
        <w:rPr>
          <w:rFonts w:hint="eastAsia" w:ascii="宋体" w:hAnsi="宋体" w:eastAsia="宋体" w:cs="宋体"/>
          <w:color w:val="auto"/>
          <w:sz w:val="21"/>
          <w:szCs w:val="21"/>
          <w:highlight w:val="none"/>
        </w:rPr>
        <w:t>相应记录报送监理人，监理人应签字确认。监理人事后对检查记录有疑问的，可按第5.3.3项〔重新检查〕的约定重新检查。</w:t>
      </w:r>
    </w:p>
    <w:p w14:paraId="46D6F38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5.3.3 重新检查</w:t>
      </w:r>
    </w:p>
    <w:p w14:paraId="3F4A623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3A65A0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5.3.4 承包人私自覆盖</w:t>
      </w:r>
    </w:p>
    <w:p w14:paraId="3FD7AE8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04F6CE6">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05" w:name="_Toc351203536"/>
      <w:bookmarkStart w:id="306" w:name="_Toc478389068"/>
      <w:r>
        <w:rPr>
          <w:rFonts w:hint="eastAsia" w:ascii="宋体" w:hAnsi="宋体" w:eastAsia="宋体" w:cs="宋体"/>
          <w:b/>
          <w:bCs/>
          <w:color w:val="auto"/>
          <w:kern w:val="44"/>
          <w:sz w:val="21"/>
          <w:szCs w:val="21"/>
          <w:highlight w:val="none"/>
        </w:rPr>
        <w:t>5</w:t>
      </w:r>
      <w:bookmarkStart w:id="307" w:name="_Toc337558762"/>
      <w:r>
        <w:rPr>
          <w:rFonts w:hint="eastAsia" w:ascii="宋体" w:hAnsi="宋体" w:eastAsia="宋体" w:cs="宋体"/>
          <w:b/>
          <w:bCs/>
          <w:color w:val="auto"/>
          <w:kern w:val="44"/>
          <w:sz w:val="21"/>
          <w:szCs w:val="21"/>
          <w:highlight w:val="none"/>
        </w:rPr>
        <w:t>.4不合格工程的处理</w:t>
      </w:r>
      <w:bookmarkEnd w:id="305"/>
      <w:bookmarkEnd w:id="306"/>
    </w:p>
    <w:bookmarkEnd w:id="307"/>
    <w:p w14:paraId="1211971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5.4.1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7DCFCA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5.4.2因发包人原因造成工程不合格的，由此增加的费用和（或）延误的工期由发包人承担，并支付承包人合理的利润。</w:t>
      </w:r>
    </w:p>
    <w:p w14:paraId="03D67E13">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08" w:name="_Toc478389069"/>
      <w:bookmarkStart w:id="309" w:name="_Toc351203537"/>
      <w:r>
        <w:rPr>
          <w:rFonts w:hint="eastAsia" w:ascii="宋体" w:hAnsi="宋体" w:eastAsia="宋体" w:cs="宋体"/>
          <w:b/>
          <w:bCs/>
          <w:color w:val="auto"/>
          <w:kern w:val="44"/>
          <w:sz w:val="21"/>
          <w:szCs w:val="21"/>
          <w:highlight w:val="none"/>
        </w:rPr>
        <w:t>5.5 质量争议检测</w:t>
      </w:r>
      <w:bookmarkEnd w:id="308"/>
      <w:bookmarkEnd w:id="309"/>
    </w:p>
    <w:p w14:paraId="56AF50B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合同当事人对工程质量有争议的，由双方协商确定的工程质量检测机构鉴定，由此产生的费用及因此造成的损失，由责任方承担。</w:t>
      </w:r>
    </w:p>
    <w:p w14:paraId="1EB8E7C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合同当事人均有责任的，由双方根据其责任分别承担。合同当事人无法达成一致的，按照第4.4款〔商定或确定〕执行。</w:t>
      </w:r>
    </w:p>
    <w:p w14:paraId="369FBE71">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10" w:name="_Toc478389070"/>
      <w:bookmarkStart w:id="311" w:name="_Toc351203538"/>
      <w:r>
        <w:rPr>
          <w:rFonts w:hint="eastAsia" w:ascii="宋体" w:hAnsi="宋体" w:eastAsia="宋体" w:cs="宋体"/>
          <w:b/>
          <w:bCs/>
          <w:color w:val="auto"/>
          <w:kern w:val="44"/>
          <w:sz w:val="21"/>
          <w:szCs w:val="21"/>
          <w:highlight w:val="none"/>
        </w:rPr>
        <w:t>6</w:t>
      </w:r>
      <w:bookmarkStart w:id="312" w:name="_Toc337558763"/>
      <w:r>
        <w:rPr>
          <w:rFonts w:hint="eastAsia" w:ascii="宋体" w:hAnsi="宋体" w:eastAsia="宋体" w:cs="宋体"/>
          <w:b/>
          <w:bCs/>
          <w:color w:val="auto"/>
          <w:kern w:val="44"/>
          <w:sz w:val="21"/>
          <w:szCs w:val="21"/>
          <w:highlight w:val="none"/>
        </w:rPr>
        <w:t>. 安全文明施工与环境保护</w:t>
      </w:r>
      <w:bookmarkEnd w:id="310"/>
      <w:bookmarkEnd w:id="311"/>
    </w:p>
    <w:bookmarkEnd w:id="312"/>
    <w:p w14:paraId="2959BB09">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13" w:name="_Toc478389071"/>
      <w:bookmarkStart w:id="314" w:name="_Toc351203539"/>
      <w:r>
        <w:rPr>
          <w:rFonts w:hint="eastAsia" w:ascii="宋体" w:hAnsi="宋体" w:eastAsia="宋体" w:cs="宋体"/>
          <w:b/>
          <w:bCs/>
          <w:color w:val="auto"/>
          <w:kern w:val="44"/>
          <w:sz w:val="21"/>
          <w:szCs w:val="21"/>
          <w:highlight w:val="none"/>
        </w:rPr>
        <w:t>6</w:t>
      </w:r>
      <w:bookmarkStart w:id="315" w:name="_Toc337558764"/>
      <w:r>
        <w:rPr>
          <w:rFonts w:hint="eastAsia" w:ascii="宋体" w:hAnsi="宋体" w:eastAsia="宋体" w:cs="宋体"/>
          <w:b/>
          <w:bCs/>
          <w:color w:val="auto"/>
          <w:kern w:val="44"/>
          <w:sz w:val="21"/>
          <w:szCs w:val="21"/>
          <w:highlight w:val="none"/>
        </w:rPr>
        <w:t>.1安全文明施工</w:t>
      </w:r>
      <w:bookmarkEnd w:id="313"/>
      <w:bookmarkEnd w:id="314"/>
    </w:p>
    <w:bookmarkEnd w:id="315"/>
    <w:p w14:paraId="726914C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6.1.1安全生产要求</w:t>
      </w:r>
    </w:p>
    <w:p w14:paraId="444EB4D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A7D605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在施工过程中，如遇到突发的地质变动、事先未知的地下施工障碍等影响施工安全的紧急情况，承包人应及时报告监理人和发包人，发包人应当及时下令停工并报有关行政管理部门采取应急措施。</w:t>
      </w:r>
    </w:p>
    <w:p w14:paraId="56E5020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因安全生产需要暂停施工的，按照第7.8款〔暂停施工〕的约定执行。</w:t>
      </w:r>
    </w:p>
    <w:p w14:paraId="2A8CABE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安全生产保证措施</w:t>
      </w:r>
    </w:p>
    <w:p w14:paraId="71AA939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安全监督部门的检查与监督。</w:t>
      </w:r>
    </w:p>
    <w:p w14:paraId="37EC817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6.1.3特别安全生产事项</w:t>
      </w:r>
    </w:p>
    <w:p w14:paraId="0730617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承包人应按照法律规定进行施工，开工前做好安全技术交底工作</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rPr>
        <w:t>施工过程中做好各项安全防护措施。承包人为实施合同而雇用的特殊工种的人员应受过专门的培训并已取得有关管理机构颁发的上岗证书。</w:t>
      </w:r>
    </w:p>
    <w:p w14:paraId="6617EFE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3F5AD99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1B5B496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需单独编制危险性较大分部分项专项工程施工方案的</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rPr>
        <w:t>及要求进行专家论证的超过一定规模的危险性较大的分部分项工程，承包人应及时编制和组织论证。</w:t>
      </w:r>
    </w:p>
    <w:p w14:paraId="181CE24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治安保卫</w:t>
      </w:r>
    </w:p>
    <w:p w14:paraId="27222F3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除专用合同条款另有约定外，发包人应与当地公安部门协商，在现场建立治安管理机构或联防组织，统一管理施工场地的治安保卫事项，履行合同工程的治安保卫职责。</w:t>
      </w:r>
    </w:p>
    <w:p w14:paraId="657A0DE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发包人和承包人除应协助现场治安管理机构或联防组织维护施工场地的社会治安外，还应做好包括生活区在内的各自管辖区的治安保卫工作。</w:t>
      </w:r>
    </w:p>
    <w:p w14:paraId="1673FDE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报告。发包人和承包人应积极协助当地有关部门采取措施平息事态，防止事态扩大，尽量避免人员伤亡和财产损失。</w:t>
      </w:r>
    </w:p>
    <w:p w14:paraId="7ADF8BF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6D09336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承包人在工程施工期间，应当采取措施保持施工现场平整，物料堆放整齐。工程所在地有关行政管理部门有特殊要求的，按照其要求执行。合同当事人对文明施工有其他要求的，可以在专用合同条款中明确。</w:t>
      </w:r>
    </w:p>
    <w:p w14:paraId="150705D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978AF5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安全文明施工费</w:t>
      </w:r>
    </w:p>
    <w:p w14:paraId="35EBCEC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安全文明施工费由发包人承担，发包人不得以任何形式扣减该部分费用。因基准日期后合同所适用的法律或有关规定发生变化，增加的安全文明施工费由发包人承担。</w:t>
      </w:r>
    </w:p>
    <w:p w14:paraId="3268CC9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97E637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00BAFAE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037BFE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6.1.7 紧急情况处理</w:t>
      </w:r>
    </w:p>
    <w:p w14:paraId="15C9571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81FA4E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6.1.8 事故处理</w:t>
      </w:r>
    </w:p>
    <w:p w14:paraId="2105037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8621B4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6.1.9 安全生产责任</w:t>
      </w:r>
    </w:p>
    <w:p w14:paraId="46BE78F2">
      <w:pPr>
        <w:spacing w:line="420" w:lineRule="exact"/>
        <w:ind w:firstLine="420"/>
        <w:outlineLvl w:val="0"/>
        <w:rPr>
          <w:rFonts w:hint="eastAsia" w:ascii="宋体" w:hAnsi="宋体" w:eastAsia="宋体" w:cs="宋体"/>
          <w:color w:val="auto"/>
          <w:sz w:val="21"/>
          <w:szCs w:val="21"/>
          <w:highlight w:val="none"/>
        </w:rPr>
      </w:pPr>
      <w:bookmarkStart w:id="316" w:name="_Toc406522103"/>
      <w:bookmarkStart w:id="317" w:name="_Toc478389072"/>
      <w:r>
        <w:rPr>
          <w:rFonts w:hint="eastAsia" w:ascii="宋体" w:hAnsi="宋体" w:eastAsia="宋体" w:cs="宋体"/>
          <w:color w:val="auto"/>
          <w:sz w:val="21"/>
          <w:szCs w:val="21"/>
          <w:highlight w:val="none"/>
        </w:rPr>
        <w:t>6.1.9.1 发包人的安全责任</w:t>
      </w:r>
      <w:bookmarkEnd w:id="316"/>
      <w:bookmarkEnd w:id="317"/>
    </w:p>
    <w:p w14:paraId="1432AE3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发包人应负责赔偿以下各种情况造成的损失：</w:t>
      </w:r>
    </w:p>
    <w:p w14:paraId="77512BD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（1）工程或工程的任何部分对土地的占用所造成的第三者财产损失；</w:t>
      </w:r>
    </w:p>
    <w:p w14:paraId="000BF77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（2）由于发包人原因在施工场地及其毗邻地带造成的第三者人身伤亡和财产损失；</w:t>
      </w:r>
    </w:p>
    <w:p w14:paraId="6620EBE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（3）由于发包人原因对承包人、监理人造成的人员人身伤亡和财产损失；</w:t>
      </w:r>
    </w:p>
    <w:p w14:paraId="1806600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（4）由于发包人原因造成的发包人自身人员的人身伤害以及财产损失。</w:t>
      </w:r>
    </w:p>
    <w:p w14:paraId="479D9CC4">
      <w:pPr>
        <w:spacing w:line="420" w:lineRule="exact"/>
        <w:ind w:firstLine="420"/>
        <w:outlineLvl w:val="0"/>
        <w:rPr>
          <w:rFonts w:hint="eastAsia" w:ascii="宋体" w:hAnsi="宋体" w:eastAsia="宋体" w:cs="宋体"/>
          <w:color w:val="auto"/>
          <w:sz w:val="21"/>
          <w:szCs w:val="21"/>
          <w:highlight w:val="none"/>
        </w:rPr>
      </w:pPr>
      <w:bookmarkStart w:id="318" w:name="_Toc478389073"/>
      <w:bookmarkStart w:id="319" w:name="_Toc406522104"/>
      <w:r>
        <w:rPr>
          <w:rFonts w:hint="eastAsia" w:ascii="宋体" w:hAnsi="宋体" w:eastAsia="宋体" w:cs="宋体"/>
          <w:color w:val="auto"/>
          <w:sz w:val="21"/>
          <w:szCs w:val="21"/>
          <w:highlight w:val="none"/>
        </w:rPr>
        <w:t>6.1.9.2 承包人的安全责任</w:t>
      </w:r>
      <w:bookmarkEnd w:id="318"/>
      <w:bookmarkEnd w:id="319"/>
    </w:p>
    <w:p w14:paraId="0493F0F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由于承包人原因在施工场地内及其毗邻地带造成的发包人、监理人以及第三者人员伤亡和财产损失，由承包人负责赔偿。</w:t>
      </w:r>
    </w:p>
    <w:p w14:paraId="3A8FB41B">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20" w:name="_Toc351203540"/>
      <w:bookmarkStart w:id="321" w:name="_Toc478389074"/>
      <w:r>
        <w:rPr>
          <w:rFonts w:hint="eastAsia" w:ascii="宋体" w:hAnsi="宋体" w:eastAsia="宋体" w:cs="宋体"/>
          <w:b/>
          <w:bCs/>
          <w:color w:val="auto"/>
          <w:kern w:val="44"/>
          <w:sz w:val="21"/>
          <w:szCs w:val="21"/>
          <w:highlight w:val="none"/>
        </w:rPr>
        <w:t>6</w:t>
      </w:r>
      <w:bookmarkStart w:id="322" w:name="_Toc337558765"/>
      <w:r>
        <w:rPr>
          <w:rFonts w:hint="eastAsia" w:ascii="宋体" w:hAnsi="宋体" w:eastAsia="宋体" w:cs="宋体"/>
          <w:b/>
          <w:bCs/>
          <w:color w:val="auto"/>
          <w:kern w:val="44"/>
          <w:sz w:val="21"/>
          <w:szCs w:val="21"/>
          <w:highlight w:val="none"/>
        </w:rPr>
        <w:t>.2 职业健康</w:t>
      </w:r>
      <w:bookmarkEnd w:id="320"/>
      <w:bookmarkEnd w:id="321"/>
    </w:p>
    <w:bookmarkEnd w:id="322"/>
    <w:p w14:paraId="35FD4620">
      <w:pPr>
        <w:spacing w:line="420" w:lineRule="exact"/>
        <w:ind w:firstLine="420"/>
        <w:outlineLvl w:val="0"/>
        <w:rPr>
          <w:rFonts w:hint="eastAsia" w:ascii="宋体" w:hAnsi="宋体" w:eastAsia="宋体" w:cs="宋体"/>
          <w:color w:val="auto"/>
          <w:sz w:val="21"/>
          <w:szCs w:val="21"/>
          <w:highlight w:val="none"/>
        </w:rPr>
      </w:pPr>
      <w:bookmarkStart w:id="323" w:name="_Toc478389075"/>
      <w:bookmarkStart w:id="324" w:name="_Toc406522106"/>
      <w:r>
        <w:rPr>
          <w:rFonts w:hint="eastAsia" w:ascii="宋体" w:hAnsi="宋体" w:eastAsia="宋体" w:cs="宋体"/>
          <w:color w:val="auto"/>
          <w:sz w:val="21"/>
          <w:szCs w:val="21"/>
          <w:highlight w:val="none"/>
        </w:rPr>
        <w:t>6.2.1 劳动保护</w:t>
      </w:r>
      <w:bookmarkEnd w:id="323"/>
      <w:bookmarkEnd w:id="324"/>
    </w:p>
    <w:p w14:paraId="50781D0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AFF7D5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承包人应按照法律规定保障现场施工人员的劳动安全，并提供劳动保护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678A25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7CF7AEE0">
      <w:pPr>
        <w:spacing w:line="420" w:lineRule="exact"/>
        <w:ind w:firstLine="420"/>
        <w:outlineLvl w:val="0"/>
        <w:rPr>
          <w:rFonts w:hint="eastAsia" w:ascii="宋体" w:hAnsi="宋体" w:eastAsia="宋体" w:cs="宋体"/>
          <w:color w:val="auto"/>
          <w:sz w:val="21"/>
          <w:szCs w:val="21"/>
          <w:highlight w:val="none"/>
        </w:rPr>
      </w:pPr>
      <w:bookmarkStart w:id="325" w:name="_Toc406522107"/>
      <w:bookmarkStart w:id="326" w:name="_Toc478389076"/>
      <w:r>
        <w:rPr>
          <w:rFonts w:hint="eastAsia" w:ascii="宋体" w:hAnsi="宋体" w:eastAsia="宋体" w:cs="宋体"/>
          <w:color w:val="auto"/>
          <w:sz w:val="21"/>
          <w:szCs w:val="21"/>
          <w:highlight w:val="none"/>
        </w:rPr>
        <w:t>6.2.2 生活条件</w:t>
      </w:r>
      <w:bookmarkEnd w:id="325"/>
      <w:bookmarkEnd w:id="326"/>
    </w:p>
    <w:p w14:paraId="44FCC31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在远离城镇的施工场地，还应配备必要的伤病防治和急救的医务人员与医疗设施。</w:t>
      </w:r>
    </w:p>
    <w:p w14:paraId="2FD4D246">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27" w:name="_Toc351203541"/>
      <w:bookmarkStart w:id="328" w:name="_Toc478389077"/>
      <w:r>
        <w:rPr>
          <w:rFonts w:hint="eastAsia" w:ascii="宋体" w:hAnsi="宋体" w:eastAsia="宋体" w:cs="宋体"/>
          <w:b/>
          <w:bCs/>
          <w:color w:val="auto"/>
          <w:kern w:val="44"/>
          <w:sz w:val="21"/>
          <w:szCs w:val="21"/>
          <w:highlight w:val="none"/>
        </w:rPr>
        <w:t>6</w:t>
      </w:r>
      <w:bookmarkStart w:id="329" w:name="_Toc337558766"/>
      <w:r>
        <w:rPr>
          <w:rFonts w:hint="eastAsia" w:ascii="宋体" w:hAnsi="宋体" w:eastAsia="宋体" w:cs="宋体"/>
          <w:b/>
          <w:bCs/>
          <w:color w:val="auto"/>
          <w:kern w:val="44"/>
          <w:sz w:val="21"/>
          <w:szCs w:val="21"/>
          <w:highlight w:val="none"/>
        </w:rPr>
        <w:t>.3 环境保护</w:t>
      </w:r>
      <w:bookmarkEnd w:id="327"/>
      <w:bookmarkEnd w:id="328"/>
    </w:p>
    <w:bookmarkEnd w:id="329"/>
    <w:p w14:paraId="1293928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2685F3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承包人应当承担因其原因引起的环境污染侵权损害赔偿责任，因上述环境污染引起纠纷而导致暂停施工的，由此增加的费用和（或）延误的工期由承包人承担。</w:t>
      </w:r>
    </w:p>
    <w:p w14:paraId="3919A097">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30" w:name="_Toc478389078"/>
      <w:bookmarkStart w:id="331" w:name="_Toc351203542"/>
      <w:r>
        <w:rPr>
          <w:rFonts w:hint="eastAsia" w:ascii="宋体" w:hAnsi="宋体" w:eastAsia="宋体" w:cs="宋体"/>
          <w:b/>
          <w:bCs/>
          <w:color w:val="auto"/>
          <w:kern w:val="44"/>
          <w:sz w:val="21"/>
          <w:szCs w:val="21"/>
          <w:highlight w:val="none"/>
        </w:rPr>
        <w:t>7</w:t>
      </w:r>
      <w:bookmarkStart w:id="332" w:name="_Toc337558767"/>
      <w:r>
        <w:rPr>
          <w:rFonts w:hint="eastAsia" w:ascii="宋体" w:hAnsi="宋体" w:eastAsia="宋体" w:cs="宋体"/>
          <w:b/>
          <w:bCs/>
          <w:color w:val="auto"/>
          <w:kern w:val="44"/>
          <w:sz w:val="21"/>
          <w:szCs w:val="21"/>
          <w:highlight w:val="none"/>
        </w:rPr>
        <w:t>. 工期和进度</w:t>
      </w:r>
      <w:bookmarkEnd w:id="330"/>
      <w:bookmarkEnd w:id="331"/>
    </w:p>
    <w:bookmarkEnd w:id="332"/>
    <w:p w14:paraId="27329201">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33" w:name="_Toc478389079"/>
      <w:bookmarkStart w:id="334" w:name="_Toc351203543"/>
      <w:r>
        <w:rPr>
          <w:rFonts w:hint="eastAsia" w:ascii="宋体" w:hAnsi="宋体" w:eastAsia="宋体" w:cs="宋体"/>
          <w:b/>
          <w:bCs/>
          <w:color w:val="auto"/>
          <w:kern w:val="44"/>
          <w:sz w:val="21"/>
          <w:szCs w:val="21"/>
          <w:highlight w:val="none"/>
        </w:rPr>
        <w:t>7</w:t>
      </w:r>
      <w:bookmarkStart w:id="335" w:name="_Toc337558768"/>
      <w:bookmarkStart w:id="336" w:name="_Toc296346567"/>
      <w:bookmarkStart w:id="337" w:name="_Toc296503066"/>
      <w:r>
        <w:rPr>
          <w:rFonts w:hint="eastAsia" w:ascii="宋体" w:hAnsi="宋体" w:eastAsia="宋体" w:cs="宋体"/>
          <w:b/>
          <w:bCs/>
          <w:color w:val="auto"/>
          <w:kern w:val="44"/>
          <w:sz w:val="21"/>
          <w:szCs w:val="21"/>
          <w:highlight w:val="none"/>
        </w:rPr>
        <w:t>.1施工组织设计</w:t>
      </w:r>
      <w:bookmarkEnd w:id="333"/>
      <w:bookmarkEnd w:id="334"/>
    </w:p>
    <w:bookmarkEnd w:id="335"/>
    <w:p w14:paraId="5A17FF56">
      <w:pPr>
        <w:spacing w:line="420" w:lineRule="exact"/>
        <w:ind w:firstLine="420"/>
        <w:outlineLvl w:val="0"/>
        <w:rPr>
          <w:rFonts w:hint="eastAsia" w:ascii="宋体" w:hAnsi="宋体" w:eastAsia="宋体" w:cs="宋体"/>
          <w:color w:val="auto"/>
          <w:sz w:val="21"/>
          <w:szCs w:val="21"/>
          <w:highlight w:val="none"/>
        </w:rPr>
      </w:pPr>
      <w:bookmarkStart w:id="338" w:name="_Toc478389080"/>
      <w:bookmarkStart w:id="339" w:name="_Toc406522111"/>
      <w:r>
        <w:rPr>
          <w:rFonts w:hint="eastAsia" w:ascii="宋体" w:hAnsi="宋体" w:eastAsia="宋体" w:cs="宋体"/>
          <w:color w:val="auto"/>
          <w:sz w:val="21"/>
          <w:szCs w:val="21"/>
          <w:highlight w:val="none"/>
        </w:rPr>
        <w:t>7.1.1 施工组织设计的内容</w:t>
      </w:r>
      <w:bookmarkEnd w:id="338"/>
      <w:bookmarkEnd w:id="339"/>
    </w:p>
    <w:p w14:paraId="65AB715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施工组织设计应包含以下内容：</w:t>
      </w:r>
    </w:p>
    <w:p w14:paraId="7D26F98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（1）施工方案； </w:t>
      </w:r>
    </w:p>
    <w:p w14:paraId="5B40A13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（2）施工现场平面布置图；</w:t>
      </w:r>
    </w:p>
    <w:p w14:paraId="597592B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（3）施工进度计划和保证措施； </w:t>
      </w:r>
    </w:p>
    <w:p w14:paraId="0E8A919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（4）劳动力及材料供应计划；</w:t>
      </w:r>
    </w:p>
    <w:p w14:paraId="74FFDAD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（5）施工机械设备的选用；</w:t>
      </w:r>
    </w:p>
    <w:p w14:paraId="167A6E0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（6）质量保证体系及措施；</w:t>
      </w:r>
    </w:p>
    <w:p w14:paraId="71DBBDC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（7）安全生产、文明施工措施；</w:t>
      </w:r>
    </w:p>
    <w:p w14:paraId="160DA20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（8）环境保护、成本控制措施；</w:t>
      </w:r>
    </w:p>
    <w:p w14:paraId="240E2C9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（9）合同当事人约定的其他内容。</w:t>
      </w:r>
    </w:p>
    <w:p w14:paraId="4ED10687">
      <w:pPr>
        <w:spacing w:line="420" w:lineRule="exact"/>
        <w:ind w:firstLine="420"/>
        <w:outlineLvl w:val="0"/>
        <w:rPr>
          <w:rFonts w:hint="eastAsia" w:ascii="宋体" w:hAnsi="宋体" w:eastAsia="宋体" w:cs="宋体"/>
          <w:color w:val="auto"/>
          <w:sz w:val="21"/>
          <w:szCs w:val="21"/>
          <w:highlight w:val="none"/>
        </w:rPr>
      </w:pPr>
      <w:bookmarkStart w:id="340" w:name="_Toc406522112"/>
      <w:bookmarkStart w:id="341" w:name="_Toc478389081"/>
      <w:r>
        <w:rPr>
          <w:rFonts w:hint="eastAsia" w:ascii="宋体" w:hAnsi="宋体" w:eastAsia="宋体" w:cs="宋体"/>
          <w:color w:val="auto"/>
          <w:sz w:val="21"/>
          <w:szCs w:val="21"/>
          <w:highlight w:val="none"/>
        </w:rPr>
        <w:t>7.1.2 施工组织设计的提交和修改</w:t>
      </w:r>
      <w:bookmarkEnd w:id="340"/>
      <w:bookmarkEnd w:id="341"/>
    </w:p>
    <w:p w14:paraId="43F43DF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w:t>
      </w:r>
      <w:r>
        <w:rPr>
          <w:rFonts w:hint="eastAsia" w:ascii="宋体" w:hAnsi="宋体" w:eastAsia="宋体" w:cs="宋体"/>
          <w:color w:val="auto"/>
          <w:spacing w:val="-4"/>
          <w:sz w:val="21"/>
          <w:szCs w:val="21"/>
          <w:highlight w:val="none"/>
        </w:rPr>
        <w:t>工程实际情况需要修改施工组织设计的，承包人应向发包人和监理人提交修改后的施工组织设计。</w:t>
      </w:r>
    </w:p>
    <w:p w14:paraId="0BF8F25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施工进度计划的编制和修改按照第7.2款〔施工进度计划〕执行。</w:t>
      </w:r>
    </w:p>
    <w:p w14:paraId="68749D89">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42" w:name="_Toc351203544"/>
      <w:bookmarkStart w:id="343" w:name="_Toc478389082"/>
      <w:r>
        <w:rPr>
          <w:rFonts w:hint="eastAsia" w:ascii="宋体" w:hAnsi="宋体" w:eastAsia="宋体" w:cs="宋体"/>
          <w:b/>
          <w:bCs/>
          <w:color w:val="auto"/>
          <w:kern w:val="44"/>
          <w:sz w:val="21"/>
          <w:szCs w:val="21"/>
          <w:highlight w:val="none"/>
        </w:rPr>
        <w:t>7</w:t>
      </w:r>
      <w:bookmarkStart w:id="344" w:name="_Toc337558769"/>
      <w:r>
        <w:rPr>
          <w:rFonts w:hint="eastAsia" w:ascii="宋体" w:hAnsi="宋体" w:eastAsia="宋体" w:cs="宋体"/>
          <w:b/>
          <w:bCs/>
          <w:color w:val="auto"/>
          <w:kern w:val="44"/>
          <w:sz w:val="21"/>
          <w:szCs w:val="21"/>
          <w:highlight w:val="none"/>
        </w:rPr>
        <w:t>.2 施工进度计划</w:t>
      </w:r>
      <w:bookmarkEnd w:id="342"/>
      <w:bookmarkEnd w:id="343"/>
    </w:p>
    <w:bookmarkEnd w:id="344"/>
    <w:p w14:paraId="5CCC6CA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7.2.1 施工进度计划的编制</w:t>
      </w:r>
    </w:p>
    <w:p w14:paraId="297050D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54DA986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6115A61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692D306">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45" w:name="_Toc478389083"/>
      <w:bookmarkStart w:id="346" w:name="_Toc351203545"/>
      <w:r>
        <w:rPr>
          <w:rFonts w:hint="eastAsia" w:ascii="宋体" w:hAnsi="宋体" w:eastAsia="宋体" w:cs="宋体"/>
          <w:b/>
          <w:bCs/>
          <w:color w:val="auto"/>
          <w:kern w:val="44"/>
          <w:sz w:val="21"/>
          <w:szCs w:val="21"/>
          <w:highlight w:val="none"/>
        </w:rPr>
        <w:t>7</w:t>
      </w:r>
      <w:bookmarkStart w:id="347" w:name="_Toc337558770"/>
      <w:r>
        <w:rPr>
          <w:rFonts w:hint="eastAsia" w:ascii="宋体" w:hAnsi="宋体" w:eastAsia="宋体" w:cs="宋体"/>
          <w:b/>
          <w:bCs/>
          <w:color w:val="auto"/>
          <w:kern w:val="44"/>
          <w:sz w:val="21"/>
          <w:szCs w:val="21"/>
          <w:highlight w:val="none"/>
        </w:rPr>
        <w:t>.3 开工</w:t>
      </w:r>
      <w:bookmarkEnd w:id="345"/>
      <w:bookmarkEnd w:id="346"/>
    </w:p>
    <w:p w14:paraId="19B645E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00A475A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0424D2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除专用合同条款另有约定外，合同当事人应按约定完成开工准备工作。</w:t>
      </w:r>
    </w:p>
    <w:p w14:paraId="4A95AD1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开工通知</w:t>
      </w:r>
    </w:p>
    <w:bookmarkEnd w:id="347"/>
    <w:p w14:paraId="6B1D9F2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A6F483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A31ACCF">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48" w:name="_Toc351203546"/>
      <w:bookmarkStart w:id="349" w:name="_Toc478389084"/>
      <w:r>
        <w:rPr>
          <w:rFonts w:hint="eastAsia" w:ascii="宋体" w:hAnsi="宋体" w:eastAsia="宋体" w:cs="宋体"/>
          <w:b/>
          <w:bCs/>
          <w:color w:val="auto"/>
          <w:kern w:val="44"/>
          <w:sz w:val="21"/>
          <w:szCs w:val="21"/>
          <w:highlight w:val="none"/>
        </w:rPr>
        <w:t>7.4测量放线</w:t>
      </w:r>
      <w:bookmarkEnd w:id="348"/>
      <w:bookmarkEnd w:id="349"/>
    </w:p>
    <w:p w14:paraId="6EBF6AB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06D254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63BDCF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31982D0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施工过程中对施工现场内水准点等测量标志物的保护工作由承包人负责。</w:t>
      </w:r>
      <w:bookmarkStart w:id="350" w:name="_Toc351203547"/>
    </w:p>
    <w:p w14:paraId="3604E5E0">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51" w:name="_Toc478389085"/>
      <w:r>
        <w:rPr>
          <w:rFonts w:hint="eastAsia" w:ascii="宋体" w:hAnsi="宋体" w:eastAsia="宋体" w:cs="宋体"/>
          <w:b/>
          <w:bCs/>
          <w:color w:val="auto"/>
          <w:kern w:val="44"/>
          <w:sz w:val="21"/>
          <w:szCs w:val="21"/>
          <w:highlight w:val="none"/>
        </w:rPr>
        <w:t>7</w:t>
      </w:r>
      <w:bookmarkEnd w:id="336"/>
      <w:bookmarkEnd w:id="337"/>
      <w:bookmarkStart w:id="352" w:name="_Toc296503073"/>
      <w:bookmarkStart w:id="353" w:name="_Toc296346574"/>
      <w:bookmarkStart w:id="354" w:name="_Toc337558772"/>
      <w:r>
        <w:rPr>
          <w:rFonts w:hint="eastAsia" w:ascii="宋体" w:hAnsi="宋体" w:eastAsia="宋体" w:cs="宋体"/>
          <w:b/>
          <w:bCs/>
          <w:color w:val="auto"/>
          <w:kern w:val="44"/>
          <w:sz w:val="21"/>
          <w:szCs w:val="21"/>
          <w:highlight w:val="none"/>
        </w:rPr>
        <w:t>.5 工期延误</w:t>
      </w:r>
      <w:bookmarkEnd w:id="350"/>
      <w:bookmarkEnd w:id="351"/>
    </w:p>
    <w:bookmarkEnd w:id="352"/>
    <w:bookmarkEnd w:id="353"/>
    <w:bookmarkEnd w:id="354"/>
    <w:p w14:paraId="74F384E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14:paraId="3D3EC3E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在合同履行过程中，因下列情况导致工期延误和（或）费用增加的，由发包人承担由此延误的工期和（或）增加的费用，且发包人应支付承包人合理的利润： </w:t>
      </w:r>
    </w:p>
    <w:p w14:paraId="2BED2B2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（1）发包人未能按合同约定提供图纸或所提供图纸不符合合同约定的；</w:t>
      </w:r>
    </w:p>
    <w:p w14:paraId="449CB17C">
      <w:pPr>
        <w:spacing w:line="420" w:lineRule="exact"/>
        <w:ind w:firstLine="420"/>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4"/>
          <w:sz w:val="21"/>
          <w:szCs w:val="21"/>
          <w:highlight w:val="none"/>
        </w:rPr>
        <w:t>发包人未能按合同约定提供施工现场、施工条件、基础资料、许可、批准等开工条件的；</w:t>
      </w:r>
    </w:p>
    <w:p w14:paraId="4A51BEB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（3）发包人提供的测量基准点、基准线和水准点及其书面资料存在错误或疏漏的；</w:t>
      </w:r>
    </w:p>
    <w:p w14:paraId="3D0F003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（4）发包人未能在计划开工日期之日起7天内同意下达开工通知的；</w:t>
      </w:r>
    </w:p>
    <w:p w14:paraId="038860F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（5）发包人未能按合同约定日期支付工程预付款、进度款或竣工结算款的；</w:t>
      </w:r>
    </w:p>
    <w:p w14:paraId="21FC26B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（6）监理人未按合同约定发出指示、批准等文件的；</w:t>
      </w:r>
    </w:p>
    <w:p w14:paraId="6167000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（7）专用合同条款中约定的其他情形。</w:t>
      </w:r>
    </w:p>
    <w:p w14:paraId="4779889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1C7A574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7.5.2 因承包人原因导致工期延误</w:t>
      </w:r>
    </w:p>
    <w:p w14:paraId="1C734F1B">
      <w:pPr>
        <w:spacing w:line="420" w:lineRule="exact"/>
        <w:ind w:firstLine="420"/>
        <w:rPr>
          <w:rFonts w:hint="eastAsia" w:ascii="宋体" w:hAnsi="宋体" w:eastAsia="宋体" w:cs="宋体"/>
          <w:color w:val="auto"/>
          <w:sz w:val="21"/>
          <w:szCs w:val="21"/>
          <w:highlight w:val="none"/>
        </w:rPr>
      </w:pPr>
      <w:bookmarkStart w:id="355" w:name="_Toc296346577"/>
      <w:bookmarkStart w:id="356" w:name="_Toc296503076"/>
      <w:r>
        <w:rPr>
          <w:rFonts w:hint="eastAsia" w:ascii="宋体" w:hAnsi="宋体" w:eastAsia="宋体" w:cs="宋体"/>
          <w:color w:val="auto"/>
          <w:sz w:val="21"/>
          <w:szCs w:val="21"/>
          <w:highlight w:val="none"/>
        </w:rPr>
        <w:t>因</w:t>
      </w:r>
      <w:bookmarkEnd w:id="355"/>
      <w:bookmarkEnd w:id="356"/>
      <w:r>
        <w:rPr>
          <w:rFonts w:hint="eastAsia" w:ascii="宋体" w:hAnsi="宋体" w:eastAsia="宋体" w:cs="宋体"/>
          <w:color w:val="auto"/>
          <w:sz w:val="21"/>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0EAE9282">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57" w:name="_Toc351203548"/>
      <w:bookmarkStart w:id="358" w:name="_Toc478389086"/>
      <w:r>
        <w:rPr>
          <w:rFonts w:hint="eastAsia" w:ascii="宋体" w:hAnsi="宋体" w:eastAsia="宋体" w:cs="宋体"/>
          <w:b/>
          <w:bCs/>
          <w:color w:val="auto"/>
          <w:kern w:val="44"/>
          <w:sz w:val="21"/>
          <w:szCs w:val="21"/>
          <w:highlight w:val="none"/>
        </w:rPr>
        <w:t>7</w:t>
      </w:r>
      <w:bookmarkStart w:id="359" w:name="_Toc337558773"/>
      <w:bookmarkStart w:id="360" w:name="_Toc296503074"/>
      <w:bookmarkStart w:id="361" w:name="_Toc296346575"/>
      <w:bookmarkStart w:id="362" w:name="_Toc296503077"/>
      <w:bookmarkStart w:id="363" w:name="_Toc296346578"/>
      <w:r>
        <w:rPr>
          <w:rFonts w:hint="eastAsia" w:ascii="宋体" w:hAnsi="宋体" w:eastAsia="宋体" w:cs="宋体"/>
          <w:b/>
          <w:bCs/>
          <w:color w:val="auto"/>
          <w:kern w:val="44"/>
          <w:sz w:val="21"/>
          <w:szCs w:val="21"/>
          <w:highlight w:val="none"/>
        </w:rPr>
        <w:t>.6 不利物质条件</w:t>
      </w:r>
      <w:bookmarkEnd w:id="357"/>
      <w:bookmarkEnd w:id="358"/>
    </w:p>
    <w:bookmarkEnd w:id="359"/>
    <w:bookmarkEnd w:id="360"/>
    <w:bookmarkEnd w:id="361"/>
    <w:p w14:paraId="5A37349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2E90A2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11383638">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64" w:name="_Toc351203549"/>
      <w:bookmarkStart w:id="365" w:name="_Toc478389087"/>
      <w:r>
        <w:rPr>
          <w:rFonts w:hint="eastAsia" w:ascii="宋体" w:hAnsi="宋体" w:eastAsia="宋体" w:cs="宋体"/>
          <w:b/>
          <w:bCs/>
          <w:color w:val="auto"/>
          <w:kern w:val="44"/>
          <w:sz w:val="21"/>
          <w:szCs w:val="21"/>
          <w:highlight w:val="none"/>
        </w:rPr>
        <w:t>7</w:t>
      </w:r>
      <w:bookmarkStart w:id="366" w:name="_Toc337558774"/>
      <w:bookmarkStart w:id="367" w:name="_Toc296503075"/>
      <w:bookmarkStart w:id="368" w:name="_Toc296346576"/>
      <w:r>
        <w:rPr>
          <w:rFonts w:hint="eastAsia" w:ascii="宋体" w:hAnsi="宋体" w:eastAsia="宋体" w:cs="宋体"/>
          <w:b/>
          <w:bCs/>
          <w:color w:val="auto"/>
          <w:kern w:val="44"/>
          <w:sz w:val="21"/>
          <w:szCs w:val="21"/>
          <w:highlight w:val="none"/>
        </w:rPr>
        <w:t>.7 异常恶劣的气候条件</w:t>
      </w:r>
      <w:bookmarkEnd w:id="364"/>
      <w:bookmarkEnd w:id="365"/>
    </w:p>
    <w:bookmarkEnd w:id="366"/>
    <w:bookmarkEnd w:id="367"/>
    <w:bookmarkEnd w:id="368"/>
    <w:p w14:paraId="3484BBF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32BC05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69" w:name="_Toc351203550"/>
    </w:p>
    <w:p w14:paraId="207F43CB">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70" w:name="_Toc478389088"/>
      <w:r>
        <w:rPr>
          <w:rFonts w:hint="eastAsia" w:ascii="宋体" w:hAnsi="宋体" w:eastAsia="宋体" w:cs="宋体"/>
          <w:b/>
          <w:bCs/>
          <w:color w:val="auto"/>
          <w:kern w:val="44"/>
          <w:sz w:val="21"/>
          <w:szCs w:val="21"/>
          <w:highlight w:val="none"/>
        </w:rPr>
        <w:t>7</w:t>
      </w:r>
      <w:bookmarkStart w:id="371" w:name="_Toc337558775"/>
      <w:r>
        <w:rPr>
          <w:rFonts w:hint="eastAsia" w:ascii="宋体" w:hAnsi="宋体" w:eastAsia="宋体" w:cs="宋体"/>
          <w:b/>
          <w:bCs/>
          <w:color w:val="auto"/>
          <w:kern w:val="44"/>
          <w:sz w:val="21"/>
          <w:szCs w:val="21"/>
          <w:highlight w:val="none"/>
        </w:rPr>
        <w:t>.8 暂停施工</w:t>
      </w:r>
      <w:bookmarkEnd w:id="369"/>
      <w:bookmarkEnd w:id="370"/>
    </w:p>
    <w:bookmarkEnd w:id="362"/>
    <w:bookmarkEnd w:id="363"/>
    <w:bookmarkEnd w:id="371"/>
    <w:p w14:paraId="4D58895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7.8.1发包人原因引起的暂停施工</w:t>
      </w:r>
    </w:p>
    <w:p w14:paraId="5899396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因发包人原因引起暂停施工的，监理人经发包人同意后，应及时下达暂停施工指示。情况紧急且监理人未及时下达暂停施工指示的，按照第7.8.4项〔紧急情况下的暂停施工〕执行。</w:t>
      </w:r>
    </w:p>
    <w:p w14:paraId="093BEEC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因发包人原因引起的暂停施工，发包人应承担由此增加的费用和（或）延误的工期，并支付承包人合理的利润。</w:t>
      </w:r>
    </w:p>
    <w:p w14:paraId="5B42F66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7.8.2 承包人原因引起的暂停施工</w:t>
      </w:r>
    </w:p>
    <w:p w14:paraId="32F4495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60ADE8E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7.8.3 指示暂停施工</w:t>
      </w:r>
    </w:p>
    <w:p w14:paraId="0ACD4B3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监理人认为有必要时，并经发包人批准后，可向承包人作出暂停施工的指示，承包人应按监理人指示暂停施工。</w:t>
      </w:r>
    </w:p>
    <w:p w14:paraId="00CAB67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7.8.4 紧急情况下的暂停施工</w:t>
      </w:r>
    </w:p>
    <w:p w14:paraId="7BC71CB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0A593B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7.8.5 暂停施工后的复工</w:t>
      </w:r>
    </w:p>
    <w:p w14:paraId="0B21976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2B9E07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承包人无故拖延和拒绝复工的，承包人承担由此增加的费用和（或）延误的工期；因发包人原因无法按时复工的，按照第7.5.1项〔因发包人原因导致工期延误〕约定办理。</w:t>
      </w:r>
    </w:p>
    <w:p w14:paraId="4FE45EB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7.8.6 暂停施工持续56天以上</w:t>
      </w:r>
    </w:p>
    <w:p w14:paraId="071167A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41C1F96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98919A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7.8.7 暂停施工期间的工程照管</w:t>
      </w:r>
    </w:p>
    <w:p w14:paraId="2BA977C7">
      <w:pPr>
        <w:spacing w:line="420" w:lineRule="exact"/>
        <w:ind w:firstLine="404"/>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暂停施工期间，承包人应负责妥善照管工程并提供安全保障，由此增加的费用由责任方承担。</w:t>
      </w:r>
    </w:p>
    <w:p w14:paraId="1F64E6E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7.8.8 暂停施工的措施</w:t>
      </w:r>
    </w:p>
    <w:p w14:paraId="7CFB356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暂停施工期间，发包人和承包人均应采取必要的措施确保工程质量及安全，防止因暂停施工扩大损失。</w:t>
      </w:r>
    </w:p>
    <w:p w14:paraId="4C3CE2E6">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72" w:name="_Toc478389089"/>
      <w:bookmarkStart w:id="373" w:name="_Toc351203551"/>
      <w:r>
        <w:rPr>
          <w:rFonts w:hint="eastAsia" w:ascii="宋体" w:hAnsi="宋体" w:eastAsia="宋体" w:cs="宋体"/>
          <w:b/>
          <w:bCs/>
          <w:color w:val="auto"/>
          <w:kern w:val="44"/>
          <w:sz w:val="21"/>
          <w:szCs w:val="21"/>
          <w:highlight w:val="none"/>
        </w:rPr>
        <w:t>7.9提前竣工</w:t>
      </w:r>
      <w:bookmarkEnd w:id="372"/>
      <w:bookmarkEnd w:id="373"/>
    </w:p>
    <w:p w14:paraId="56D95EC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C16E91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7.9.2发包人要求承包人提前竣工，或承包人提出提前竣工的建议能够给发包人带来效益的，合同当事人可以在专用合同条款中约定提前竣工的奖励。</w:t>
      </w:r>
    </w:p>
    <w:p w14:paraId="45F8F28B">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74" w:name="_Toc478389090"/>
      <w:bookmarkStart w:id="375" w:name="_Toc351203552"/>
      <w:r>
        <w:rPr>
          <w:rFonts w:hint="eastAsia" w:ascii="宋体" w:hAnsi="宋体" w:eastAsia="宋体" w:cs="宋体"/>
          <w:b/>
          <w:bCs/>
          <w:color w:val="auto"/>
          <w:kern w:val="44"/>
          <w:sz w:val="21"/>
          <w:szCs w:val="21"/>
          <w:highlight w:val="none"/>
        </w:rPr>
        <w:t>8</w:t>
      </w:r>
      <w:bookmarkStart w:id="376" w:name="_Toc296346559"/>
      <w:bookmarkStart w:id="377" w:name="_Toc296503058"/>
      <w:bookmarkStart w:id="378" w:name="_Toc337558776"/>
      <w:r>
        <w:rPr>
          <w:rFonts w:hint="eastAsia" w:ascii="宋体" w:hAnsi="宋体" w:eastAsia="宋体" w:cs="宋体"/>
          <w:b/>
          <w:bCs/>
          <w:color w:val="auto"/>
          <w:kern w:val="44"/>
          <w:sz w:val="21"/>
          <w:szCs w:val="21"/>
          <w:highlight w:val="none"/>
        </w:rPr>
        <w:t>. 材料与设备</w:t>
      </w:r>
      <w:bookmarkEnd w:id="374"/>
      <w:bookmarkEnd w:id="375"/>
    </w:p>
    <w:bookmarkEnd w:id="376"/>
    <w:bookmarkEnd w:id="377"/>
    <w:bookmarkEnd w:id="378"/>
    <w:p w14:paraId="7A7D9A94">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79" w:name="_Toc478389091"/>
      <w:bookmarkStart w:id="380" w:name="_Toc351203553"/>
      <w:r>
        <w:rPr>
          <w:rFonts w:hint="eastAsia" w:ascii="宋体" w:hAnsi="宋体" w:eastAsia="宋体" w:cs="宋体"/>
          <w:b/>
          <w:bCs/>
          <w:color w:val="auto"/>
          <w:kern w:val="44"/>
          <w:sz w:val="21"/>
          <w:szCs w:val="21"/>
          <w:highlight w:val="none"/>
        </w:rPr>
        <w:t>8</w:t>
      </w:r>
      <w:bookmarkStart w:id="381" w:name="_Toc296346560"/>
      <w:bookmarkStart w:id="382" w:name="_Toc337558777"/>
      <w:bookmarkStart w:id="383" w:name="_Toc296503059"/>
      <w:bookmarkStart w:id="384" w:name="_Toc468936960"/>
      <w:r>
        <w:rPr>
          <w:rFonts w:hint="eastAsia" w:ascii="宋体" w:hAnsi="宋体" w:eastAsia="宋体" w:cs="宋体"/>
          <w:b/>
          <w:bCs/>
          <w:color w:val="auto"/>
          <w:kern w:val="44"/>
          <w:sz w:val="21"/>
          <w:szCs w:val="21"/>
          <w:highlight w:val="none"/>
        </w:rPr>
        <w:t>.1发包人供应材料与工程设备</w:t>
      </w:r>
      <w:bookmarkEnd w:id="379"/>
      <w:bookmarkEnd w:id="380"/>
    </w:p>
    <w:bookmarkEnd w:id="381"/>
    <w:bookmarkEnd w:id="382"/>
    <w:bookmarkEnd w:id="383"/>
    <w:p w14:paraId="3FA0290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发包人自行供应材料、工程设备的，应在签订合同时在专用合同条款的附件《发包人供应材料设备一览表》中明确材料、工程设备的品种、规格、型号、数量、单价、质量等级和送达地点。</w:t>
      </w:r>
    </w:p>
    <w:p w14:paraId="7E530F1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377CB5D">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85" w:name="_Toc478389092"/>
      <w:bookmarkStart w:id="386" w:name="_Toc351203554"/>
      <w:r>
        <w:rPr>
          <w:rFonts w:hint="eastAsia" w:ascii="宋体" w:hAnsi="宋体" w:eastAsia="宋体" w:cs="宋体"/>
          <w:b/>
          <w:bCs/>
          <w:color w:val="auto"/>
          <w:kern w:val="44"/>
          <w:sz w:val="21"/>
          <w:szCs w:val="21"/>
          <w:highlight w:val="none"/>
        </w:rPr>
        <w:t>8</w:t>
      </w:r>
      <w:bookmarkStart w:id="387" w:name="_Toc296503060"/>
      <w:bookmarkStart w:id="388" w:name="_Toc296346561"/>
      <w:bookmarkStart w:id="389" w:name="_Toc337558778"/>
      <w:r>
        <w:rPr>
          <w:rFonts w:hint="eastAsia" w:ascii="宋体" w:hAnsi="宋体" w:eastAsia="宋体" w:cs="宋体"/>
          <w:b/>
          <w:bCs/>
          <w:color w:val="auto"/>
          <w:kern w:val="44"/>
          <w:sz w:val="21"/>
          <w:szCs w:val="21"/>
          <w:highlight w:val="none"/>
        </w:rPr>
        <w:t>.2承包人采购材料与工程设备</w:t>
      </w:r>
      <w:bookmarkEnd w:id="385"/>
      <w:bookmarkEnd w:id="386"/>
    </w:p>
    <w:bookmarkEnd w:id="387"/>
    <w:bookmarkEnd w:id="388"/>
    <w:bookmarkEnd w:id="389"/>
    <w:p w14:paraId="35C1842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BF6BB8E">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90" w:name="_Toc351203555"/>
      <w:bookmarkStart w:id="391" w:name="_Toc478389093"/>
      <w:r>
        <w:rPr>
          <w:rFonts w:hint="eastAsia" w:ascii="宋体" w:hAnsi="宋体" w:eastAsia="宋体" w:cs="宋体"/>
          <w:b/>
          <w:bCs/>
          <w:color w:val="auto"/>
          <w:kern w:val="44"/>
          <w:sz w:val="21"/>
          <w:szCs w:val="21"/>
          <w:highlight w:val="none"/>
        </w:rPr>
        <w:t>8</w:t>
      </w:r>
      <w:bookmarkStart w:id="392" w:name="_Toc337558779"/>
      <w:bookmarkStart w:id="393" w:name="_Toc296346562"/>
      <w:bookmarkStart w:id="394" w:name="_Toc296503061"/>
      <w:r>
        <w:rPr>
          <w:rFonts w:hint="eastAsia" w:ascii="宋体" w:hAnsi="宋体" w:eastAsia="宋体" w:cs="宋体"/>
          <w:b/>
          <w:bCs/>
          <w:color w:val="auto"/>
          <w:kern w:val="44"/>
          <w:sz w:val="21"/>
          <w:szCs w:val="21"/>
          <w:highlight w:val="none"/>
        </w:rPr>
        <w:t>.3材料与工程设备的接收与拒收</w:t>
      </w:r>
      <w:bookmarkEnd w:id="390"/>
      <w:bookmarkEnd w:id="391"/>
    </w:p>
    <w:bookmarkEnd w:id="392"/>
    <w:bookmarkEnd w:id="393"/>
    <w:bookmarkEnd w:id="394"/>
    <w:p w14:paraId="2386211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BAF1A8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发包人提供的材料和工程设备的规格、数量或质量不符合合同约定的，或因发包人原因导致交货日期延误或交货地点变更等情况的，按照第16.1款〔发包人违约〕约定办理。</w:t>
      </w:r>
    </w:p>
    <w:p w14:paraId="379ABF2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8.3.2承包人采购的材料和工程设备，应保证产品质量合格，承包人应在材料和工程设备到货前24小时通知监理人检验。承</w:t>
      </w:r>
      <w:bookmarkStart w:id="395" w:name="_Toc250655469"/>
      <w:r>
        <w:rPr>
          <w:rFonts w:hint="eastAsia" w:ascii="宋体" w:hAnsi="宋体" w:eastAsia="宋体" w:cs="宋体"/>
          <w:color w:val="auto"/>
          <w:sz w:val="21"/>
          <w:szCs w:val="21"/>
          <w:highlight w:val="none"/>
        </w:rPr>
        <w:t>包人进行永久设备、材料的制造和生产的，应符合相关质量标准，并向监理人提交材料的样本以及有关资料，并应在使用该材料或工程设备之前获得监理人同意。</w:t>
      </w:r>
      <w:bookmarkEnd w:id="395"/>
      <w:r>
        <w:rPr>
          <w:rFonts w:hint="eastAsia" w:ascii="宋体" w:hAnsi="宋体" w:eastAsia="宋体" w:cs="宋体"/>
          <w:color w:val="auto"/>
          <w:sz w:val="21"/>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6A542D1">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396" w:name="_Toc351203556"/>
      <w:bookmarkStart w:id="397" w:name="_Toc478389094"/>
      <w:r>
        <w:rPr>
          <w:rFonts w:hint="eastAsia" w:ascii="宋体" w:hAnsi="宋体" w:eastAsia="宋体" w:cs="宋体"/>
          <w:b/>
          <w:bCs/>
          <w:color w:val="auto"/>
          <w:kern w:val="44"/>
          <w:sz w:val="21"/>
          <w:szCs w:val="21"/>
          <w:highlight w:val="none"/>
        </w:rPr>
        <w:t>8</w:t>
      </w:r>
      <w:bookmarkStart w:id="398" w:name="_Toc296503062"/>
      <w:bookmarkStart w:id="399" w:name="_Toc296346563"/>
      <w:bookmarkStart w:id="400" w:name="_Toc337558780"/>
      <w:r>
        <w:rPr>
          <w:rFonts w:hint="eastAsia" w:ascii="宋体" w:hAnsi="宋体" w:eastAsia="宋体" w:cs="宋体"/>
          <w:b/>
          <w:bCs/>
          <w:color w:val="auto"/>
          <w:kern w:val="44"/>
          <w:sz w:val="21"/>
          <w:szCs w:val="21"/>
          <w:highlight w:val="none"/>
        </w:rPr>
        <w:t>.4材料与工程设备的保管与使用</w:t>
      </w:r>
      <w:bookmarkEnd w:id="396"/>
      <w:bookmarkEnd w:id="397"/>
    </w:p>
    <w:bookmarkEnd w:id="398"/>
    <w:bookmarkEnd w:id="399"/>
    <w:bookmarkEnd w:id="400"/>
    <w:p w14:paraId="4D01367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8.4.1 发包人供应材料与工程设备的保管与使用</w:t>
      </w:r>
    </w:p>
    <w:p w14:paraId="4293A50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52F256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发包人供应的材料和工程设备使用前，由承包人负责检验，检验费用由发包人承担，不合格的不得使用。</w:t>
      </w:r>
    </w:p>
    <w:p w14:paraId="6CB9F5A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8.4.2 承包人采购材料与工程设备的保管与使用</w:t>
      </w:r>
    </w:p>
    <w:p w14:paraId="35119B0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F7423B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258C1A93">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01" w:name="_Toc351203557"/>
      <w:bookmarkStart w:id="402" w:name="_Toc478389095"/>
      <w:r>
        <w:rPr>
          <w:rFonts w:hint="eastAsia" w:ascii="宋体" w:hAnsi="宋体" w:eastAsia="宋体" w:cs="宋体"/>
          <w:b/>
          <w:bCs/>
          <w:color w:val="auto"/>
          <w:kern w:val="44"/>
          <w:sz w:val="21"/>
          <w:szCs w:val="21"/>
          <w:highlight w:val="none"/>
        </w:rPr>
        <w:t>8.5禁止使用不合格的材料和工程设备</w:t>
      </w:r>
      <w:bookmarkEnd w:id="401"/>
      <w:bookmarkEnd w:id="402"/>
    </w:p>
    <w:p w14:paraId="0AE43845">
      <w:pPr>
        <w:snapToGrid w:val="0"/>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8.5.1监理人有权拒绝承包人提供的不合格材料或工程设备，并要求承包人立即进行更换。监理人应在更换后再次进行检查和检验，由此增加的费用和（或）延误的工期由承包人承担。</w:t>
      </w:r>
    </w:p>
    <w:p w14:paraId="704F71C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8.5.2监理人发现承包人使用了不合格的材料和工程设备，承包人应按照监理人的指示立即改正，并禁止在工程中继续使用不合格的材料和工程设备。</w:t>
      </w:r>
    </w:p>
    <w:p w14:paraId="32CBC5E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8.5.3发包人提供的材料或工程设备不符合合同要求的，承包人有权拒绝，并可要求发包人更换，由此增加的费用和（或）延误的工期由发包人承担，并支付承包人合理的利润。</w:t>
      </w:r>
    </w:p>
    <w:p w14:paraId="4E7482E4">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03" w:name="_Toc478389096"/>
      <w:bookmarkStart w:id="404" w:name="_Toc351203558"/>
      <w:r>
        <w:rPr>
          <w:rFonts w:hint="eastAsia" w:ascii="宋体" w:hAnsi="宋体" w:eastAsia="宋体" w:cs="宋体"/>
          <w:b/>
          <w:bCs/>
          <w:color w:val="auto"/>
          <w:kern w:val="44"/>
          <w:sz w:val="21"/>
          <w:szCs w:val="21"/>
          <w:highlight w:val="none"/>
        </w:rPr>
        <w:t>8.6 样品</w:t>
      </w:r>
      <w:bookmarkEnd w:id="403"/>
      <w:bookmarkEnd w:id="404"/>
    </w:p>
    <w:p w14:paraId="66CE395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8.6.1样品的报送与封存</w:t>
      </w:r>
    </w:p>
    <w:p w14:paraId="107AE0F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需要承包人报送样品的材料或工程设备，样品的种类、名称、规格、数量等要求均应在专用合同条款中约定。样品的报送程序如下：</w:t>
      </w:r>
    </w:p>
    <w:p w14:paraId="5515A1E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9F0CE8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（2）承包人每次报送样品时应随附申报单，申报单应载明报送样品的相关数据和资料，并标明每件样品对应的图纸号，预留监理人批复意见栏。监理人应在收到承包人报送的样品后7</w:t>
      </w:r>
      <w:r>
        <w:rPr>
          <w:rFonts w:hint="eastAsia" w:ascii="宋体" w:hAnsi="宋体" w:eastAsia="宋体" w:cs="宋体"/>
          <w:color w:val="auto"/>
          <w:sz w:val="21"/>
          <w:szCs w:val="21"/>
          <w:highlight w:val="none"/>
          <w:lang w:eastAsia="zh-CN"/>
        </w:rPr>
        <w:t>天内</w:t>
      </w:r>
      <w:r>
        <w:rPr>
          <w:rFonts w:hint="eastAsia" w:ascii="宋体" w:hAnsi="宋体" w:eastAsia="宋体" w:cs="宋体"/>
          <w:color w:val="auto"/>
          <w:sz w:val="21"/>
          <w:szCs w:val="21"/>
          <w:highlight w:val="none"/>
        </w:rPr>
        <w:t>向承包人回复经发包人签认的样品审批意见。</w:t>
      </w:r>
    </w:p>
    <w:p w14:paraId="66308A1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（3）经发包人和监理人审批确认的样品应按约定的方法封样，封存的样品作为检验工程相关部分的标准之一。承包人在施工过程中不得使用与样品不符的材料或工程设备。</w:t>
      </w:r>
    </w:p>
    <w:p w14:paraId="6F2EFEF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（4）发包人和监理人对样品的审批确认仅为确认相关材料或工程设备的特征或用途，不得被理解为对合同的修改或改变，也并不减轻或免除承包人</w:t>
      </w:r>
      <w:r>
        <w:rPr>
          <w:rFonts w:hint="eastAsia" w:ascii="宋体" w:hAnsi="宋体" w:eastAsia="宋体" w:cs="宋体"/>
          <w:color w:val="auto"/>
          <w:sz w:val="21"/>
          <w:szCs w:val="21"/>
          <w:highlight w:val="none"/>
          <w:lang w:eastAsia="zh-CN"/>
        </w:rPr>
        <w:t>任何</w:t>
      </w:r>
      <w:r>
        <w:rPr>
          <w:rFonts w:hint="eastAsia" w:ascii="宋体" w:hAnsi="宋体" w:eastAsia="宋体" w:cs="宋体"/>
          <w:color w:val="auto"/>
          <w:sz w:val="21"/>
          <w:szCs w:val="21"/>
          <w:highlight w:val="none"/>
        </w:rPr>
        <w:t>责任和义务。如果封存的样品修改或改变了合同约定，合同当事人应当以书面协议予以确认。</w:t>
      </w:r>
    </w:p>
    <w:p w14:paraId="78F7CBF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8.6.2 样品的保管</w:t>
      </w:r>
    </w:p>
    <w:p w14:paraId="5559210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经批准的样品应由监理人负责封存于现场，承包人应在现场为保存样品提供适当和固定的场所并保持适当和良好的存储环境条件。</w:t>
      </w:r>
    </w:p>
    <w:p w14:paraId="57557A23">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05" w:name="_Toc351203559"/>
      <w:bookmarkStart w:id="406" w:name="_Toc478389097"/>
      <w:r>
        <w:rPr>
          <w:rFonts w:hint="eastAsia" w:ascii="宋体" w:hAnsi="宋体" w:eastAsia="宋体" w:cs="宋体"/>
          <w:b/>
          <w:bCs/>
          <w:color w:val="auto"/>
          <w:kern w:val="44"/>
          <w:sz w:val="21"/>
          <w:szCs w:val="21"/>
          <w:highlight w:val="none"/>
        </w:rPr>
        <w:t>8.7材料与工程设备的替代</w:t>
      </w:r>
      <w:bookmarkEnd w:id="405"/>
      <w:bookmarkEnd w:id="406"/>
    </w:p>
    <w:p w14:paraId="053B7413">
      <w:pPr>
        <w:spacing w:line="420" w:lineRule="exact"/>
        <w:ind w:firstLine="420"/>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8.7.1</w:t>
      </w:r>
      <w:r>
        <w:rPr>
          <w:rFonts w:hint="eastAsia" w:ascii="宋体" w:hAnsi="宋体" w:eastAsia="宋体" w:cs="宋体"/>
          <w:color w:val="auto"/>
          <w:spacing w:val="-4"/>
          <w:sz w:val="21"/>
          <w:szCs w:val="21"/>
          <w:highlight w:val="none"/>
        </w:rPr>
        <w:t>出现下列情况需要使用替代材料和工程设备的，承包人应按照第8.7.2项约定的程序执行：</w:t>
      </w:r>
    </w:p>
    <w:p w14:paraId="54E0AAD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（1）基准日期后生效的法律规定禁止使用的；</w:t>
      </w:r>
    </w:p>
    <w:p w14:paraId="4A06947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（2）发包人要求使用替代品的；</w:t>
      </w:r>
    </w:p>
    <w:p w14:paraId="797B0A1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（3）因其他原因必须使用替代品的。</w:t>
      </w:r>
    </w:p>
    <w:p w14:paraId="0040467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8.7.2 承包人应在使用替代材料和工程设备28天前书面通知监理人，并附下列文件：</w:t>
      </w:r>
    </w:p>
    <w:p w14:paraId="3CDD13B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（1）被替代的材料和工程设备的名称、数量、规格、型号、品牌、性能、价格及其他相关资料；</w:t>
      </w:r>
    </w:p>
    <w:p w14:paraId="084AE37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（2）替代品的名称、数量、规格、型号、品牌、性能、价格及其他相关资料；</w:t>
      </w:r>
    </w:p>
    <w:p w14:paraId="3C05687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（3）替代品与被替代产品之间的差异以及使用替代品可能对工程产生的影响；</w:t>
      </w:r>
    </w:p>
    <w:p w14:paraId="36851FA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（4）替代品与被替代产品的价格差异；</w:t>
      </w:r>
    </w:p>
    <w:p w14:paraId="2C1B362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（5）使用替代品的理由和原因说明；</w:t>
      </w:r>
    </w:p>
    <w:p w14:paraId="2AF89D9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（6）监理人要求的其他文件。</w:t>
      </w:r>
    </w:p>
    <w:p w14:paraId="1EC3025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监理人应在收到通知后14天内向承包人发出经发包人签认的书面指示；监理人逾期发出书面指示的，视为发包人和监理人同意使用替代品。</w:t>
      </w:r>
    </w:p>
    <w:p w14:paraId="3A3CFAC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06D68DA">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07" w:name="_Toc478389098"/>
      <w:bookmarkStart w:id="408" w:name="_Toc351203560"/>
      <w:r>
        <w:rPr>
          <w:rFonts w:hint="eastAsia" w:ascii="宋体" w:hAnsi="宋体" w:eastAsia="宋体" w:cs="宋体"/>
          <w:b/>
          <w:bCs/>
          <w:color w:val="auto"/>
          <w:kern w:val="44"/>
          <w:sz w:val="21"/>
          <w:szCs w:val="21"/>
          <w:highlight w:val="none"/>
        </w:rPr>
        <w:t>8.8施工设备和临时设施</w:t>
      </w:r>
      <w:bookmarkEnd w:id="407"/>
      <w:bookmarkEnd w:id="408"/>
    </w:p>
    <w:p w14:paraId="105C54C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14:paraId="412C369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583848A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除专用合同条款另有约定外，承包人应自行承担修建临时设施的费用，需要临时占地的，应由发包人办理申请手续并承担相应费用。</w:t>
      </w:r>
    </w:p>
    <w:p w14:paraId="024909A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8.8.2发包人提供的施工设备和临时设施</w:t>
      </w:r>
    </w:p>
    <w:p w14:paraId="4704790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发包人提供的施工设备或临时设施在专用合同条款中约定。</w:t>
      </w:r>
    </w:p>
    <w:p w14:paraId="11A4CDB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8.8.3要求承包人增加或更换施工设备</w:t>
      </w:r>
    </w:p>
    <w:p w14:paraId="7A74450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59895185">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09" w:name="_Toc351203561"/>
      <w:bookmarkStart w:id="410" w:name="_Toc478389099"/>
      <w:r>
        <w:rPr>
          <w:rFonts w:hint="eastAsia" w:ascii="宋体" w:hAnsi="宋体" w:eastAsia="宋体" w:cs="宋体"/>
          <w:b/>
          <w:bCs/>
          <w:color w:val="auto"/>
          <w:kern w:val="44"/>
          <w:sz w:val="21"/>
          <w:szCs w:val="21"/>
          <w:highlight w:val="none"/>
        </w:rPr>
        <w:t>8</w:t>
      </w:r>
      <w:bookmarkStart w:id="411" w:name="_Toc296503063"/>
      <w:bookmarkStart w:id="412" w:name="_Toc296346564"/>
      <w:bookmarkStart w:id="413" w:name="_Toc337558781"/>
      <w:r>
        <w:rPr>
          <w:rFonts w:hint="eastAsia" w:ascii="宋体" w:hAnsi="宋体" w:eastAsia="宋体" w:cs="宋体"/>
          <w:b/>
          <w:bCs/>
          <w:color w:val="auto"/>
          <w:kern w:val="44"/>
          <w:sz w:val="21"/>
          <w:szCs w:val="21"/>
          <w:highlight w:val="none"/>
        </w:rPr>
        <w:t>.9材料与设备专用</w:t>
      </w:r>
      <w:bookmarkEnd w:id="409"/>
      <w:r>
        <w:rPr>
          <w:rFonts w:hint="eastAsia" w:ascii="宋体" w:hAnsi="宋体" w:eastAsia="宋体" w:cs="宋体"/>
          <w:b/>
          <w:bCs/>
          <w:color w:val="auto"/>
          <w:kern w:val="44"/>
          <w:sz w:val="21"/>
          <w:szCs w:val="21"/>
          <w:highlight w:val="none"/>
        </w:rPr>
        <w:t>要求</w:t>
      </w:r>
      <w:bookmarkEnd w:id="410"/>
    </w:p>
    <w:bookmarkEnd w:id="411"/>
    <w:bookmarkEnd w:id="412"/>
    <w:bookmarkEnd w:id="413"/>
    <w:p w14:paraId="040940D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384"/>
      <w:r>
        <w:rPr>
          <w:rFonts w:hint="eastAsia" w:ascii="宋体" w:hAnsi="宋体" w:eastAsia="宋体" w:cs="宋体"/>
          <w:color w:val="auto"/>
          <w:sz w:val="21"/>
          <w:szCs w:val="21"/>
          <w:highlight w:val="none"/>
        </w:rPr>
        <w:t>经发包人批准，承包人可以根据施工进度计划撤走闲置的施工设备和其他物品。</w:t>
      </w:r>
    </w:p>
    <w:p w14:paraId="72097D07">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14" w:name="_Toc478389100"/>
      <w:bookmarkStart w:id="415" w:name="_Toc351203562"/>
      <w:r>
        <w:rPr>
          <w:rFonts w:hint="eastAsia" w:ascii="宋体" w:hAnsi="宋体" w:eastAsia="宋体" w:cs="宋体"/>
          <w:b/>
          <w:bCs/>
          <w:color w:val="auto"/>
          <w:kern w:val="44"/>
          <w:sz w:val="21"/>
          <w:szCs w:val="21"/>
          <w:highlight w:val="none"/>
        </w:rPr>
        <w:t>9</w:t>
      </w:r>
      <w:bookmarkStart w:id="416" w:name="_Toc337558782"/>
      <w:bookmarkStart w:id="417" w:name="_Toc296503083"/>
      <w:bookmarkStart w:id="418" w:name="_Toc296346584"/>
      <w:r>
        <w:rPr>
          <w:rFonts w:hint="eastAsia" w:ascii="宋体" w:hAnsi="宋体" w:eastAsia="宋体" w:cs="宋体"/>
          <w:b/>
          <w:bCs/>
          <w:color w:val="auto"/>
          <w:kern w:val="44"/>
          <w:sz w:val="21"/>
          <w:szCs w:val="21"/>
          <w:highlight w:val="none"/>
        </w:rPr>
        <w:t>. 试验与检验</w:t>
      </w:r>
      <w:bookmarkEnd w:id="414"/>
      <w:bookmarkEnd w:id="415"/>
    </w:p>
    <w:bookmarkEnd w:id="416"/>
    <w:p w14:paraId="710E5839">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19" w:name="_Toc351203563"/>
      <w:bookmarkStart w:id="420" w:name="_Toc478389101"/>
      <w:r>
        <w:rPr>
          <w:rFonts w:hint="eastAsia" w:ascii="宋体" w:hAnsi="宋体" w:eastAsia="宋体" w:cs="宋体"/>
          <w:b/>
          <w:bCs/>
          <w:color w:val="auto"/>
          <w:kern w:val="44"/>
          <w:sz w:val="21"/>
          <w:szCs w:val="21"/>
          <w:highlight w:val="none"/>
        </w:rPr>
        <w:t>9</w:t>
      </w:r>
      <w:bookmarkStart w:id="421" w:name="_Toc337558783"/>
      <w:r>
        <w:rPr>
          <w:rFonts w:hint="eastAsia" w:ascii="宋体" w:hAnsi="宋体" w:eastAsia="宋体" w:cs="宋体"/>
          <w:b/>
          <w:bCs/>
          <w:color w:val="auto"/>
          <w:kern w:val="44"/>
          <w:sz w:val="21"/>
          <w:szCs w:val="21"/>
          <w:highlight w:val="none"/>
        </w:rPr>
        <w:t>.1试验设备与试验人员</w:t>
      </w:r>
      <w:bookmarkEnd w:id="419"/>
      <w:bookmarkEnd w:id="420"/>
    </w:p>
    <w:bookmarkEnd w:id="421"/>
    <w:p w14:paraId="4E5B651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341E9D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9.1.2承包人应按专用合同条款的约定提供试验设备、取样装置、试验场所和试验条件，并向监理人提交相应进场计划表。</w:t>
      </w:r>
    </w:p>
    <w:p w14:paraId="32B59A3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承包人配置的试验设备要符合相应试验规程的要求并经过具有资质的检测单位检测，且在正式使用该试验设备前，需要经过监理人与承包人共同校定。</w:t>
      </w:r>
    </w:p>
    <w:p w14:paraId="7BE98B5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9.1.3承包人应向监理人提交试验人员的名单及其岗位、资格等证明资料，试验人员必须能够熟练进行相应的检测试验，承包人对试验人员的试验程序和试验结果的正确性负责。</w:t>
      </w:r>
    </w:p>
    <w:p w14:paraId="49936943">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22" w:name="_Toc351203564"/>
      <w:bookmarkStart w:id="423" w:name="_Toc478389102"/>
      <w:r>
        <w:rPr>
          <w:rFonts w:hint="eastAsia" w:ascii="宋体" w:hAnsi="宋体" w:eastAsia="宋体" w:cs="宋体"/>
          <w:b/>
          <w:bCs/>
          <w:color w:val="auto"/>
          <w:kern w:val="44"/>
          <w:sz w:val="21"/>
          <w:szCs w:val="21"/>
          <w:highlight w:val="none"/>
        </w:rPr>
        <w:t>9</w:t>
      </w:r>
      <w:bookmarkStart w:id="424" w:name="_Toc337558784"/>
      <w:r>
        <w:rPr>
          <w:rFonts w:hint="eastAsia" w:ascii="宋体" w:hAnsi="宋体" w:eastAsia="宋体" w:cs="宋体"/>
          <w:b/>
          <w:bCs/>
          <w:color w:val="auto"/>
          <w:kern w:val="44"/>
          <w:sz w:val="21"/>
          <w:szCs w:val="21"/>
          <w:highlight w:val="none"/>
        </w:rPr>
        <w:t>.2取样</w:t>
      </w:r>
      <w:bookmarkEnd w:id="422"/>
      <w:bookmarkEnd w:id="423"/>
    </w:p>
    <w:bookmarkEnd w:id="424"/>
    <w:p w14:paraId="373A157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试验属于自检性质的，承包人可以单独取样。试验属于监理人抽检性质的，可由监理人取样，也可由承包人的试验人员在监理人的监督下取样。</w:t>
      </w:r>
    </w:p>
    <w:p w14:paraId="4A56662C">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25" w:name="_Toc351203565"/>
      <w:bookmarkStart w:id="426" w:name="_Toc478389103"/>
      <w:r>
        <w:rPr>
          <w:rFonts w:hint="eastAsia" w:ascii="宋体" w:hAnsi="宋体" w:eastAsia="宋体" w:cs="宋体"/>
          <w:b/>
          <w:bCs/>
          <w:color w:val="auto"/>
          <w:kern w:val="44"/>
          <w:sz w:val="21"/>
          <w:szCs w:val="21"/>
          <w:highlight w:val="none"/>
        </w:rPr>
        <w:t>9</w:t>
      </w:r>
      <w:bookmarkStart w:id="427" w:name="_Toc337558785"/>
      <w:r>
        <w:rPr>
          <w:rFonts w:hint="eastAsia" w:ascii="宋体" w:hAnsi="宋体" w:eastAsia="宋体" w:cs="宋体"/>
          <w:b/>
          <w:bCs/>
          <w:color w:val="auto"/>
          <w:kern w:val="44"/>
          <w:sz w:val="21"/>
          <w:szCs w:val="21"/>
          <w:highlight w:val="none"/>
        </w:rPr>
        <w:t>.3材料、工程设备和工程的试验和检验</w:t>
      </w:r>
      <w:bookmarkEnd w:id="425"/>
      <w:bookmarkEnd w:id="426"/>
    </w:p>
    <w:bookmarkEnd w:id="427"/>
    <w:p w14:paraId="6F9A8E0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748BAC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C3147C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99B193F">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28" w:name="_Toc478389104"/>
      <w:bookmarkStart w:id="429" w:name="_Toc351203566"/>
      <w:r>
        <w:rPr>
          <w:rFonts w:hint="eastAsia" w:ascii="宋体" w:hAnsi="宋体" w:eastAsia="宋体" w:cs="宋体"/>
          <w:b/>
          <w:bCs/>
          <w:color w:val="auto"/>
          <w:kern w:val="44"/>
          <w:sz w:val="21"/>
          <w:szCs w:val="21"/>
          <w:highlight w:val="none"/>
        </w:rPr>
        <w:t>9</w:t>
      </w:r>
      <w:bookmarkStart w:id="430" w:name="_Toc337558786"/>
      <w:r>
        <w:rPr>
          <w:rFonts w:hint="eastAsia" w:ascii="宋体" w:hAnsi="宋体" w:eastAsia="宋体" w:cs="宋体"/>
          <w:b/>
          <w:bCs/>
          <w:color w:val="auto"/>
          <w:kern w:val="44"/>
          <w:sz w:val="21"/>
          <w:szCs w:val="21"/>
          <w:highlight w:val="none"/>
        </w:rPr>
        <w:t>.4现场工艺试验</w:t>
      </w:r>
      <w:bookmarkEnd w:id="428"/>
      <w:bookmarkEnd w:id="429"/>
    </w:p>
    <w:bookmarkEnd w:id="430"/>
    <w:p w14:paraId="7E24671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5592E791">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31" w:name="_Toc351203567"/>
      <w:bookmarkStart w:id="432" w:name="_Toc478389105"/>
      <w:r>
        <w:rPr>
          <w:rFonts w:hint="eastAsia" w:ascii="宋体" w:hAnsi="宋体" w:eastAsia="宋体" w:cs="宋体"/>
          <w:b/>
          <w:bCs/>
          <w:color w:val="auto"/>
          <w:kern w:val="44"/>
          <w:sz w:val="21"/>
          <w:szCs w:val="21"/>
          <w:highlight w:val="none"/>
        </w:rPr>
        <w:t>1</w:t>
      </w:r>
      <w:bookmarkStart w:id="433" w:name="_Toc337558787"/>
      <w:r>
        <w:rPr>
          <w:rFonts w:hint="eastAsia" w:ascii="宋体" w:hAnsi="宋体" w:eastAsia="宋体" w:cs="宋体"/>
          <w:b/>
          <w:bCs/>
          <w:color w:val="auto"/>
          <w:kern w:val="44"/>
          <w:sz w:val="21"/>
          <w:szCs w:val="21"/>
          <w:highlight w:val="none"/>
        </w:rPr>
        <w:t>0. 变更</w:t>
      </w:r>
      <w:bookmarkEnd w:id="417"/>
      <w:bookmarkEnd w:id="418"/>
      <w:bookmarkEnd w:id="431"/>
      <w:bookmarkEnd w:id="432"/>
    </w:p>
    <w:bookmarkEnd w:id="433"/>
    <w:p w14:paraId="7FCA9132">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34" w:name="_Toc351203568"/>
      <w:bookmarkStart w:id="435" w:name="_Toc478389106"/>
      <w:r>
        <w:rPr>
          <w:rFonts w:hint="eastAsia" w:ascii="宋体" w:hAnsi="宋体" w:eastAsia="宋体" w:cs="宋体"/>
          <w:b/>
          <w:bCs/>
          <w:color w:val="auto"/>
          <w:kern w:val="44"/>
          <w:sz w:val="21"/>
          <w:szCs w:val="21"/>
          <w:highlight w:val="none"/>
        </w:rPr>
        <w:t>1</w:t>
      </w:r>
      <w:bookmarkStart w:id="436" w:name="_Toc337558788"/>
      <w:bookmarkStart w:id="437" w:name="_Toc296503084"/>
      <w:bookmarkStart w:id="438" w:name="_Toc296346585"/>
      <w:r>
        <w:rPr>
          <w:rFonts w:hint="eastAsia" w:ascii="宋体" w:hAnsi="宋体" w:eastAsia="宋体" w:cs="宋体"/>
          <w:b/>
          <w:bCs/>
          <w:color w:val="auto"/>
          <w:kern w:val="44"/>
          <w:sz w:val="21"/>
          <w:szCs w:val="21"/>
          <w:highlight w:val="none"/>
        </w:rPr>
        <w:t>0.1变更的范围</w:t>
      </w:r>
      <w:bookmarkEnd w:id="434"/>
      <w:bookmarkEnd w:id="435"/>
    </w:p>
    <w:bookmarkEnd w:id="436"/>
    <w:bookmarkEnd w:id="437"/>
    <w:bookmarkEnd w:id="438"/>
    <w:p w14:paraId="19311E1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除专用合同条款另有约定外，合同履行过程中发生以下情形的，应按照本条约定进行变更：</w:t>
      </w:r>
    </w:p>
    <w:p w14:paraId="0C5CBDD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（1）增加或减少合同中任何工作，或追加额外的工作；</w:t>
      </w:r>
    </w:p>
    <w:p w14:paraId="5CEC88C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（2）取消合同中任何工作，但转由他人实施的工作除外；</w:t>
      </w:r>
    </w:p>
    <w:p w14:paraId="7947E45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（3）改变合同中任何工作的质量标准或其他特性；</w:t>
      </w:r>
    </w:p>
    <w:p w14:paraId="560F408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（4）改变工程的基线、标高、位置和尺寸；</w:t>
      </w:r>
    </w:p>
    <w:p w14:paraId="222B8F5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（5）改变工程的时间安排或实施顺序。</w:t>
      </w:r>
    </w:p>
    <w:p w14:paraId="7C264EE5">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39" w:name="_Toc351203569"/>
      <w:bookmarkStart w:id="440" w:name="_Toc478389107"/>
      <w:r>
        <w:rPr>
          <w:rFonts w:hint="eastAsia" w:ascii="宋体" w:hAnsi="宋体" w:eastAsia="宋体" w:cs="宋体"/>
          <w:b/>
          <w:bCs/>
          <w:color w:val="auto"/>
          <w:kern w:val="44"/>
          <w:sz w:val="21"/>
          <w:szCs w:val="21"/>
          <w:highlight w:val="none"/>
        </w:rPr>
        <w:t>1</w:t>
      </w:r>
      <w:bookmarkStart w:id="441" w:name="_Toc296503085"/>
      <w:bookmarkStart w:id="442" w:name="_Toc296346586"/>
      <w:bookmarkStart w:id="443" w:name="_Toc337558789"/>
      <w:r>
        <w:rPr>
          <w:rFonts w:hint="eastAsia" w:ascii="宋体" w:hAnsi="宋体" w:eastAsia="宋体" w:cs="宋体"/>
          <w:b/>
          <w:bCs/>
          <w:color w:val="auto"/>
          <w:kern w:val="44"/>
          <w:sz w:val="21"/>
          <w:szCs w:val="21"/>
          <w:highlight w:val="none"/>
        </w:rPr>
        <w:t>0.2变更权</w:t>
      </w:r>
      <w:bookmarkEnd w:id="439"/>
      <w:bookmarkEnd w:id="440"/>
    </w:p>
    <w:bookmarkEnd w:id="441"/>
    <w:bookmarkEnd w:id="442"/>
    <w:bookmarkEnd w:id="443"/>
    <w:p w14:paraId="64ADAF0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620D23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涉及设计变更的，应由设计人提供变更后的图纸和说明。如变更超过原设计标准或批准的建设规模时，发包人应及时办理规划、设计变更等审批手续。</w:t>
      </w:r>
    </w:p>
    <w:p w14:paraId="642E9CE4">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44" w:name="_Toc351203570"/>
      <w:bookmarkStart w:id="445" w:name="_Toc478389108"/>
      <w:r>
        <w:rPr>
          <w:rFonts w:hint="eastAsia" w:ascii="宋体" w:hAnsi="宋体" w:eastAsia="宋体" w:cs="宋体"/>
          <w:b/>
          <w:bCs/>
          <w:color w:val="auto"/>
          <w:kern w:val="44"/>
          <w:sz w:val="21"/>
          <w:szCs w:val="21"/>
          <w:highlight w:val="none"/>
        </w:rPr>
        <w:t>1</w:t>
      </w:r>
      <w:bookmarkStart w:id="446" w:name="_Toc337558790"/>
      <w:bookmarkStart w:id="447" w:name="_Toc296346587"/>
      <w:bookmarkStart w:id="448" w:name="_Toc296503086"/>
      <w:r>
        <w:rPr>
          <w:rFonts w:hint="eastAsia" w:ascii="宋体" w:hAnsi="宋体" w:eastAsia="宋体" w:cs="宋体"/>
          <w:b/>
          <w:bCs/>
          <w:color w:val="auto"/>
          <w:kern w:val="44"/>
          <w:sz w:val="21"/>
          <w:szCs w:val="21"/>
          <w:highlight w:val="none"/>
        </w:rPr>
        <w:t>0.3变更程序</w:t>
      </w:r>
      <w:bookmarkEnd w:id="444"/>
      <w:bookmarkEnd w:id="445"/>
    </w:p>
    <w:bookmarkEnd w:id="446"/>
    <w:bookmarkEnd w:id="447"/>
    <w:bookmarkEnd w:id="448"/>
    <w:p w14:paraId="6B45C72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10.3.1 发包人提出变更</w:t>
      </w:r>
    </w:p>
    <w:p w14:paraId="6EF5BAF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发包人提出变更的，应通过监理人向承包人发出变更指示，变更指示应说明计划变更的工程范围和变更的内容。</w:t>
      </w:r>
    </w:p>
    <w:p w14:paraId="6413997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10.3.2 监理人提出变更建议</w:t>
      </w:r>
    </w:p>
    <w:p w14:paraId="5EF4039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23A6DA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10.3.3 变更执行</w:t>
      </w:r>
    </w:p>
    <w:p w14:paraId="268D898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EE2663A">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49" w:name="_Toc478389109"/>
      <w:bookmarkStart w:id="450" w:name="_Toc351203571"/>
      <w:r>
        <w:rPr>
          <w:rFonts w:hint="eastAsia" w:ascii="宋体" w:hAnsi="宋体" w:eastAsia="宋体" w:cs="宋体"/>
          <w:b/>
          <w:bCs/>
          <w:color w:val="auto"/>
          <w:kern w:val="44"/>
          <w:sz w:val="21"/>
          <w:szCs w:val="21"/>
          <w:highlight w:val="none"/>
        </w:rPr>
        <w:t>1</w:t>
      </w:r>
      <w:bookmarkStart w:id="451" w:name="_Toc296503087"/>
      <w:bookmarkStart w:id="452" w:name="_Toc337558791"/>
      <w:bookmarkStart w:id="453" w:name="_Toc296346588"/>
      <w:r>
        <w:rPr>
          <w:rFonts w:hint="eastAsia" w:ascii="宋体" w:hAnsi="宋体" w:eastAsia="宋体" w:cs="宋体"/>
          <w:b/>
          <w:bCs/>
          <w:color w:val="auto"/>
          <w:kern w:val="44"/>
          <w:sz w:val="21"/>
          <w:szCs w:val="21"/>
          <w:highlight w:val="none"/>
        </w:rPr>
        <w:t>0.4变更估价</w:t>
      </w:r>
      <w:bookmarkEnd w:id="449"/>
      <w:bookmarkEnd w:id="450"/>
    </w:p>
    <w:bookmarkEnd w:id="451"/>
    <w:bookmarkEnd w:id="452"/>
    <w:bookmarkEnd w:id="453"/>
    <w:p w14:paraId="6E78728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1DCF368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除专用合同条款另有约定外，变更估价按照本款约定处理：</w:t>
      </w:r>
    </w:p>
    <w:p w14:paraId="316BD8F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（1）已标价工程量清单或预算书有相同项目的，按照相同项目单价认定；</w:t>
      </w:r>
    </w:p>
    <w:p w14:paraId="116E981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（2）已标价工程量清单或预算书中无相同项目，但有类似项目的，参照类似项目的单价认定；</w:t>
      </w:r>
    </w:p>
    <w:p w14:paraId="5ACCFAC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4BD710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10.4.2 变更估价程序</w:t>
      </w:r>
    </w:p>
    <w:p w14:paraId="72A5A6A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7F74CB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因变更引起的价格调整应计入最近一期的进度款中支付。</w:t>
      </w:r>
    </w:p>
    <w:p w14:paraId="45466EEE">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54" w:name="_Toc351203572"/>
      <w:bookmarkStart w:id="455" w:name="_Toc478389110"/>
      <w:r>
        <w:rPr>
          <w:rFonts w:hint="eastAsia" w:ascii="宋体" w:hAnsi="宋体" w:eastAsia="宋体" w:cs="宋体"/>
          <w:b/>
          <w:bCs/>
          <w:color w:val="auto"/>
          <w:kern w:val="44"/>
          <w:sz w:val="21"/>
          <w:szCs w:val="21"/>
          <w:highlight w:val="none"/>
        </w:rPr>
        <w:t>1</w:t>
      </w:r>
      <w:bookmarkStart w:id="456" w:name="_Toc296346595"/>
      <w:bookmarkStart w:id="457" w:name="_Toc296503094"/>
      <w:bookmarkStart w:id="458" w:name="_Toc337558792"/>
      <w:r>
        <w:rPr>
          <w:rFonts w:hint="eastAsia" w:ascii="宋体" w:hAnsi="宋体" w:eastAsia="宋体" w:cs="宋体"/>
          <w:b/>
          <w:bCs/>
          <w:color w:val="auto"/>
          <w:kern w:val="44"/>
          <w:sz w:val="21"/>
          <w:szCs w:val="21"/>
          <w:highlight w:val="none"/>
        </w:rPr>
        <w:t>0.5承包人的合理化建议</w:t>
      </w:r>
      <w:bookmarkEnd w:id="454"/>
      <w:bookmarkEnd w:id="455"/>
    </w:p>
    <w:bookmarkEnd w:id="456"/>
    <w:bookmarkEnd w:id="457"/>
    <w:bookmarkEnd w:id="458"/>
    <w:p w14:paraId="3A1A7CA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承包人提出合理化建议的，应向监理人提交合理化建议说明，说明建议的内容和理由，以及实施该建议对合同价格和工期的影响。</w:t>
      </w:r>
    </w:p>
    <w:p w14:paraId="252BC9A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BE33EF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合理化建议降低了合同价格或者提高了工程经济效益的，发包人可对承包人给予奖励，奖励的方法和金额在专用合同条款中约定。</w:t>
      </w:r>
    </w:p>
    <w:p w14:paraId="77F27D63">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59" w:name="_Toc351203573"/>
      <w:bookmarkStart w:id="460" w:name="_Toc478389111"/>
      <w:r>
        <w:rPr>
          <w:rFonts w:hint="eastAsia" w:ascii="宋体" w:hAnsi="宋体" w:eastAsia="宋体" w:cs="宋体"/>
          <w:b/>
          <w:bCs/>
          <w:color w:val="auto"/>
          <w:kern w:val="44"/>
          <w:sz w:val="21"/>
          <w:szCs w:val="21"/>
          <w:highlight w:val="none"/>
        </w:rPr>
        <w:t>1</w:t>
      </w:r>
      <w:bookmarkStart w:id="461" w:name="_Toc337558793"/>
      <w:r>
        <w:rPr>
          <w:rFonts w:hint="eastAsia" w:ascii="宋体" w:hAnsi="宋体" w:eastAsia="宋体" w:cs="宋体"/>
          <w:b/>
          <w:bCs/>
          <w:color w:val="auto"/>
          <w:kern w:val="44"/>
          <w:sz w:val="21"/>
          <w:szCs w:val="21"/>
          <w:highlight w:val="none"/>
        </w:rPr>
        <w:t>0.6变更引起的工期调整</w:t>
      </w:r>
      <w:bookmarkEnd w:id="459"/>
      <w:bookmarkEnd w:id="460"/>
      <w:bookmarkEnd w:id="461"/>
    </w:p>
    <w:p w14:paraId="2CC1370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因变更引起工期变化的，合同当事人均可要求调整合同工期，由合同当事人按照第4.4款〔商定或确定〕并参考工程所在地的工期定额标准确定增减工期天数。</w:t>
      </w:r>
    </w:p>
    <w:p w14:paraId="0B67D48B">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62" w:name="_Toc351203574"/>
      <w:bookmarkStart w:id="463" w:name="_Toc478389112"/>
      <w:r>
        <w:rPr>
          <w:rFonts w:hint="eastAsia" w:ascii="宋体" w:hAnsi="宋体" w:eastAsia="宋体" w:cs="宋体"/>
          <w:b/>
          <w:bCs/>
          <w:color w:val="auto"/>
          <w:kern w:val="44"/>
          <w:sz w:val="21"/>
          <w:szCs w:val="21"/>
          <w:highlight w:val="none"/>
        </w:rPr>
        <w:t>10.7暂估价</w:t>
      </w:r>
      <w:bookmarkEnd w:id="462"/>
      <w:bookmarkEnd w:id="463"/>
    </w:p>
    <w:p w14:paraId="29518E4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暂估价专业分包工程、服务、材料和工程设备的明细由合同当事人在专用合同条款中约定。</w:t>
      </w:r>
    </w:p>
    <w:p w14:paraId="38CCBD1F">
      <w:pPr>
        <w:spacing w:line="420" w:lineRule="exact"/>
        <w:ind w:firstLine="420"/>
        <w:outlineLvl w:val="0"/>
        <w:rPr>
          <w:rFonts w:hint="eastAsia" w:ascii="宋体" w:hAnsi="宋体" w:eastAsia="宋体" w:cs="宋体"/>
          <w:color w:val="auto"/>
          <w:sz w:val="21"/>
          <w:szCs w:val="21"/>
          <w:highlight w:val="none"/>
        </w:rPr>
      </w:pPr>
      <w:bookmarkStart w:id="464" w:name="_Toc478389113"/>
      <w:r>
        <w:rPr>
          <w:rFonts w:hint="eastAsia" w:ascii="宋体" w:hAnsi="宋体" w:eastAsia="宋体" w:cs="宋体"/>
          <w:color w:val="auto"/>
          <w:sz w:val="21"/>
          <w:szCs w:val="21"/>
          <w:highlight w:val="none"/>
        </w:rPr>
        <w:t>10.7.1 依法必须招标的暂估价项目</w:t>
      </w:r>
      <w:bookmarkEnd w:id="464"/>
    </w:p>
    <w:p w14:paraId="21801AF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对于依法必须招标的暂估价项目，采取以下第1种方式确定。合同当事人也可以在专用合同条款中选择其他招标方式。</w:t>
      </w:r>
    </w:p>
    <w:p w14:paraId="4A9835C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第1种方式：对于依法必须招标的暂估价项目，由承包人招标，对该暂估价项目的确认和批准按照以下约定执行：</w:t>
      </w:r>
    </w:p>
    <w:p w14:paraId="4C52D86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14580A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应当根据施工进度计划，提前14天将采购文件通过监理人报送发包人审批，发包人应当在收到承包人报送的相关文件后7天内完成审批或提出修改意见；发包人有权确定最高投标限价并按照法律规定参加评标；</w:t>
      </w:r>
    </w:p>
    <w:p w14:paraId="0264485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（3）承包人与供应商、分包人在签订暂估价合同前，应当提前7天将确定的</w:t>
      </w:r>
      <w:r>
        <w:rPr>
          <w:rFonts w:hint="eastAsia" w:ascii="宋体" w:hAnsi="宋体" w:eastAsia="宋体" w:cs="宋体"/>
          <w:color w:val="auto"/>
          <w:sz w:val="21"/>
          <w:szCs w:val="21"/>
          <w:highlight w:val="none"/>
          <w:lang w:eastAsia="zh-CN"/>
        </w:rPr>
        <w:t>成交候选供应商</w:t>
      </w:r>
      <w:r>
        <w:rPr>
          <w:rFonts w:hint="eastAsia" w:ascii="宋体" w:hAnsi="宋体" w:eastAsia="宋体" w:cs="宋体"/>
          <w:color w:val="auto"/>
          <w:sz w:val="21"/>
          <w:szCs w:val="21"/>
          <w:highlight w:val="none"/>
        </w:rPr>
        <w:t>或成交候选分包人的资料报送发包人，发包人应在收到资料后3天内与承包人共同确定</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；承包人应当在签订合同后7天内，将暂估价合同副本报送发包人留存。</w:t>
      </w:r>
    </w:p>
    <w:p w14:paraId="5C38707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后，由发包人、承包人与</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共同签订暂估价合同。</w:t>
      </w:r>
    </w:p>
    <w:p w14:paraId="7C3EB7C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10.7.2不属于依法必须招标的暂估价项目</w:t>
      </w:r>
    </w:p>
    <w:p w14:paraId="0D1C5F0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除专用合同条款另有约定外，对于不属于依法必须招标的暂估价项目，采取以下第1种方式确定： </w:t>
      </w:r>
    </w:p>
    <w:p w14:paraId="14754E7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第1种方式：对于不属于依法必须招标的暂估价项目，按本项约定确认和批准：</w:t>
      </w:r>
    </w:p>
    <w:p w14:paraId="734F8E9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E1EC1A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（2）发包人认为承包人确定的供应商、分包人无法满足工程质量或合同要求的，发包人可以要求承包人重新确定暂估价项目的供应商、分包人</w:t>
      </w:r>
      <w:r>
        <w:rPr>
          <w:rFonts w:hint="eastAsia" w:ascii="宋体" w:hAnsi="宋体" w:eastAsia="宋体" w:cs="宋体"/>
          <w:color w:val="auto"/>
          <w:sz w:val="21"/>
          <w:szCs w:val="21"/>
          <w:highlight w:val="none"/>
          <w:lang w:eastAsia="zh-CN"/>
        </w:rPr>
        <w:t>；</w:t>
      </w:r>
    </w:p>
    <w:p w14:paraId="0CF8DCF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（3）承包人应当在签订暂估价合同后7天内，将暂估价合同副本报送发包人留存。</w:t>
      </w:r>
    </w:p>
    <w:p w14:paraId="4240F44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第2种方式：承包人按照第10.7.1项〔依法必须招标的暂估价项目〕约定的第1种方式确定暂估价项目。</w:t>
      </w:r>
    </w:p>
    <w:p w14:paraId="50E707E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第3种方式：承包人直接实施的暂估价项目</w:t>
      </w:r>
    </w:p>
    <w:p w14:paraId="4A26FBC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承包人具备实施暂估价项目的资格和条件的，经发包人和承包人协商一致后，可由承包人自行实施暂估价项目，合同当事人可以在专用合同条</w:t>
      </w:r>
      <w:r>
        <w:rPr>
          <w:rFonts w:hint="eastAsia" w:ascii="宋体" w:hAnsi="宋体" w:eastAsia="宋体" w:cs="宋体"/>
          <w:color w:val="auto"/>
          <w:sz w:val="21"/>
          <w:szCs w:val="21"/>
          <w:highlight w:val="none"/>
          <w:lang w:eastAsia="zh-CN"/>
        </w:rPr>
        <w:t>款中</w:t>
      </w:r>
      <w:r>
        <w:rPr>
          <w:rFonts w:hint="eastAsia" w:ascii="宋体" w:hAnsi="宋体" w:eastAsia="宋体" w:cs="宋体"/>
          <w:color w:val="auto"/>
          <w:sz w:val="21"/>
          <w:szCs w:val="21"/>
          <w:highlight w:val="none"/>
        </w:rPr>
        <w:t>约定具体事项。</w:t>
      </w:r>
    </w:p>
    <w:p w14:paraId="54964A2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4A8795D">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65" w:name="_Toc478389114"/>
      <w:bookmarkStart w:id="466" w:name="_Toc351203575"/>
      <w:r>
        <w:rPr>
          <w:rFonts w:hint="eastAsia" w:ascii="宋体" w:hAnsi="宋体" w:eastAsia="宋体" w:cs="宋体"/>
          <w:b/>
          <w:bCs/>
          <w:color w:val="auto"/>
          <w:kern w:val="44"/>
          <w:sz w:val="21"/>
          <w:szCs w:val="21"/>
          <w:highlight w:val="none"/>
        </w:rPr>
        <w:t>1</w:t>
      </w:r>
      <w:bookmarkStart w:id="467" w:name="_Toc337558794"/>
      <w:bookmarkStart w:id="468" w:name="_Toc296346591"/>
      <w:bookmarkStart w:id="469" w:name="_Toc296503090"/>
      <w:bookmarkStart w:id="470" w:name="_Toc322522561"/>
      <w:r>
        <w:rPr>
          <w:rFonts w:hint="eastAsia" w:ascii="宋体" w:hAnsi="宋体" w:eastAsia="宋体" w:cs="宋体"/>
          <w:b/>
          <w:bCs/>
          <w:color w:val="auto"/>
          <w:kern w:val="44"/>
          <w:sz w:val="21"/>
          <w:szCs w:val="21"/>
          <w:highlight w:val="none"/>
        </w:rPr>
        <w:t>0.8暂列金额</w:t>
      </w:r>
      <w:bookmarkEnd w:id="465"/>
      <w:bookmarkEnd w:id="466"/>
    </w:p>
    <w:bookmarkEnd w:id="467"/>
    <w:p w14:paraId="6E44B68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暂列金额应按照发包人的要求使用，发包人的要求应通过监理人发出。合同当事人可以在专用合同条款中协商确定有关事项。</w:t>
      </w:r>
    </w:p>
    <w:bookmarkEnd w:id="468"/>
    <w:bookmarkEnd w:id="469"/>
    <w:bookmarkEnd w:id="470"/>
    <w:p w14:paraId="5D1B5FC3">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71" w:name="_Toc478389115"/>
      <w:bookmarkStart w:id="472" w:name="_Toc351203576"/>
      <w:r>
        <w:rPr>
          <w:rFonts w:hint="eastAsia" w:ascii="宋体" w:hAnsi="宋体" w:eastAsia="宋体" w:cs="宋体"/>
          <w:b/>
          <w:bCs/>
          <w:color w:val="auto"/>
          <w:kern w:val="44"/>
          <w:sz w:val="21"/>
          <w:szCs w:val="21"/>
          <w:highlight w:val="none"/>
        </w:rPr>
        <w:t>1</w:t>
      </w:r>
      <w:bookmarkStart w:id="473" w:name="_Toc296503091"/>
      <w:bookmarkStart w:id="474" w:name="_Toc337558796"/>
      <w:bookmarkStart w:id="475" w:name="_Toc296346592"/>
      <w:r>
        <w:rPr>
          <w:rFonts w:hint="eastAsia" w:ascii="宋体" w:hAnsi="宋体" w:eastAsia="宋体" w:cs="宋体"/>
          <w:b/>
          <w:bCs/>
          <w:color w:val="auto"/>
          <w:kern w:val="44"/>
          <w:sz w:val="21"/>
          <w:szCs w:val="21"/>
          <w:highlight w:val="none"/>
        </w:rPr>
        <w:t>0.9计日工</w:t>
      </w:r>
      <w:bookmarkEnd w:id="471"/>
      <w:bookmarkEnd w:id="472"/>
      <w:bookmarkEnd w:id="473"/>
      <w:bookmarkEnd w:id="474"/>
      <w:bookmarkEnd w:id="475"/>
    </w:p>
    <w:p w14:paraId="7E35AC7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C25DE9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采用计日工计价的任何一项工作，承包人应在该项工作实施过程中，每天提交以下报表和有关凭证报送监理人审查：</w:t>
      </w:r>
    </w:p>
    <w:p w14:paraId="03D8476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（1）工作名称、内容和数量；</w:t>
      </w:r>
    </w:p>
    <w:p w14:paraId="1B38157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（2）投入该工作的所有人员的姓名、专业、工种、级别和耗用工时；</w:t>
      </w:r>
    </w:p>
    <w:p w14:paraId="519BF79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（3）投入该工作的材料类别和数量；</w:t>
      </w:r>
    </w:p>
    <w:p w14:paraId="6775CCF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（4）投入该工作的施工设备型号、台数和耗用台时；</w:t>
      </w:r>
    </w:p>
    <w:p w14:paraId="2D44342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（5）其他有关资料和凭证。</w:t>
      </w:r>
    </w:p>
    <w:p w14:paraId="2C90DC7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计日工由承包人汇总后，列入最近一期进度付款申请单，由监理人审查并经发包人批准后列入进度付款。</w:t>
      </w:r>
    </w:p>
    <w:p w14:paraId="4C675C9C">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76" w:name="_Toc478389116"/>
      <w:bookmarkStart w:id="477" w:name="_Toc351203577"/>
      <w:r>
        <w:rPr>
          <w:rFonts w:hint="eastAsia" w:ascii="宋体" w:hAnsi="宋体" w:eastAsia="宋体" w:cs="宋体"/>
          <w:b/>
          <w:bCs/>
          <w:color w:val="auto"/>
          <w:kern w:val="44"/>
          <w:sz w:val="21"/>
          <w:szCs w:val="21"/>
          <w:highlight w:val="none"/>
        </w:rPr>
        <w:t>11. 价格调整</w:t>
      </w:r>
      <w:bookmarkEnd w:id="476"/>
      <w:bookmarkEnd w:id="477"/>
    </w:p>
    <w:p w14:paraId="3458A52A">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78" w:name="_Toc478389117"/>
      <w:bookmarkStart w:id="479" w:name="_Toc351203578"/>
      <w:bookmarkStart w:id="480" w:name="_Toc296346593"/>
      <w:bookmarkStart w:id="481" w:name="_Toc337558797"/>
      <w:bookmarkStart w:id="482" w:name="_Toc296503092"/>
      <w:r>
        <w:rPr>
          <w:rFonts w:hint="eastAsia" w:ascii="宋体" w:hAnsi="宋体" w:eastAsia="宋体" w:cs="宋体"/>
          <w:b/>
          <w:bCs/>
          <w:color w:val="auto"/>
          <w:kern w:val="44"/>
          <w:sz w:val="21"/>
          <w:szCs w:val="21"/>
          <w:highlight w:val="none"/>
        </w:rPr>
        <w:t>11.1市场价格波动引起的调整</w:t>
      </w:r>
      <w:bookmarkEnd w:id="478"/>
      <w:bookmarkEnd w:id="479"/>
    </w:p>
    <w:bookmarkEnd w:id="480"/>
    <w:bookmarkEnd w:id="481"/>
    <w:bookmarkEnd w:id="482"/>
    <w:p w14:paraId="47C50397">
      <w:pPr>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除专用合同条款另有约定外，市场价格波动超过合同当事人约定的范围，合同价格应当调整。合同当事人可以在专用合同条款中约定选择以下一种方式对合同价格进行调整：</w:t>
      </w:r>
    </w:p>
    <w:p w14:paraId="6C278EB2">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14:paraId="449A3082">
      <w:pPr>
        <w:tabs>
          <w:tab w:val="left" w:pos="0"/>
          <w:tab w:val="left" w:pos="360"/>
          <w:tab w:val="left" w:pos="540"/>
        </w:tabs>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（1）价格调整公式</w:t>
      </w:r>
    </w:p>
    <w:p w14:paraId="6A43D027">
      <w:pPr>
        <w:tabs>
          <w:tab w:val="left" w:pos="0"/>
          <w:tab w:val="left" w:pos="360"/>
          <w:tab w:val="left" w:pos="540"/>
        </w:tabs>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因人工、材料和设备等价格波动影响合同价格时，根据专用合同条款中约定的数据，按以下公式计算差额并调整合同价格：</w:t>
      </w:r>
    </w:p>
    <w:p w14:paraId="46955BB5">
      <w:pPr>
        <w:tabs>
          <w:tab w:val="left" w:pos="0"/>
          <w:tab w:val="left" w:pos="360"/>
          <w:tab w:val="left" w:pos="540"/>
        </w:tabs>
        <w:ind w:firstLine="420"/>
        <w:rPr>
          <w:rFonts w:hint="eastAsia" w:ascii="宋体" w:hAnsi="宋体" w:eastAsia="宋体" w:cs="宋体"/>
          <w:color w:val="auto"/>
          <w:sz w:val="21"/>
          <w:szCs w:val="21"/>
          <w:highlight w:val="none"/>
        </w:rPr>
      </w:pPr>
      <w:r>
        <w:rPr>
          <w:rFonts w:hint="eastAsia" w:ascii="宋体" w:hAnsi="宋体" w:eastAsia="宋体" w:cs="宋体"/>
          <w:color w:val="auto"/>
          <w:position w:val="-30"/>
          <w:sz w:val="21"/>
          <w:szCs w:val="21"/>
          <w:highlight w:val="none"/>
        </w:rPr>
        <w:drawing>
          <wp:inline distT="0" distB="0" distL="0" distR="0">
            <wp:extent cx="4572000" cy="5524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572000" cy="552450"/>
                    </a:xfrm>
                    <a:prstGeom prst="rect">
                      <a:avLst/>
                    </a:prstGeom>
                    <a:noFill/>
                    <a:ln>
                      <a:noFill/>
                    </a:ln>
                  </pic:spPr>
                </pic:pic>
              </a:graphicData>
            </a:graphic>
          </wp:inline>
        </w:drawing>
      </w:r>
    </w:p>
    <w:p w14:paraId="6AEC0C0A">
      <w:pPr>
        <w:tabs>
          <w:tab w:val="left" w:pos="0"/>
          <w:tab w:val="left" w:pos="360"/>
          <w:tab w:val="left" w:pos="540"/>
        </w:tabs>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公式中：ΔP——需调整的价格差额；</w:t>
      </w:r>
    </w:p>
    <w:p w14:paraId="7C96BAF0">
      <w:pPr>
        <w:tabs>
          <w:tab w:val="left" w:pos="0"/>
          <w:tab w:val="left" w:pos="360"/>
          <w:tab w:val="left" w:pos="540"/>
        </w:tabs>
        <w:ind w:firstLine="1260" w:firstLineChars="600"/>
        <w:rPr>
          <w:rFonts w:hint="eastAsia" w:ascii="宋体" w:hAnsi="宋体" w:eastAsia="宋体" w:cs="宋体"/>
          <w:color w:val="auto"/>
          <w:sz w:val="21"/>
          <w:szCs w:val="21"/>
          <w:highlight w:val="none"/>
        </w:rPr>
      </w:pPr>
      <w:r>
        <w:rPr>
          <w:rFonts w:hint="eastAsia" w:ascii="宋体" w:hAnsi="宋体" w:eastAsia="宋体" w:cs="宋体"/>
          <w:color w:val="auto"/>
          <w:position w:val="-6"/>
          <w:sz w:val="21"/>
          <w:szCs w:val="21"/>
          <w:highlight w:val="none"/>
        </w:rPr>
        <w:drawing>
          <wp:inline distT="0" distB="0" distL="0" distR="0">
            <wp:extent cx="219075" cy="2190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19075" cy="219075"/>
                    </a:xfrm>
                    <a:prstGeom prst="rect">
                      <a:avLst/>
                    </a:prstGeom>
                    <a:noFill/>
                    <a:ln>
                      <a:noFill/>
                    </a:ln>
                  </pic:spPr>
                </pic:pic>
              </a:graphicData>
            </a:graphic>
          </wp:inline>
        </w:drawing>
      </w:r>
      <w:r>
        <w:rPr>
          <w:rFonts w:hint="eastAsia" w:ascii="宋体" w:hAnsi="宋体" w:eastAsia="宋体" w:cs="宋体"/>
          <w:color w:val="auto"/>
          <w:sz w:val="21"/>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3D8E8B30">
      <w:pPr>
        <w:tabs>
          <w:tab w:val="left" w:pos="0"/>
          <w:tab w:val="left" w:pos="360"/>
          <w:tab w:val="left" w:pos="540"/>
        </w:tabs>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A——定值权重（即不调部分的权重）；</w:t>
      </w:r>
    </w:p>
    <w:p w14:paraId="207E8FF9">
      <w:pPr>
        <w:tabs>
          <w:tab w:val="left" w:pos="0"/>
          <w:tab w:val="left" w:pos="360"/>
          <w:tab w:val="left" w:pos="540"/>
        </w:tabs>
        <w:ind w:firstLine="420"/>
        <w:rPr>
          <w:rFonts w:hint="eastAsia" w:ascii="宋体" w:hAnsi="宋体" w:eastAsia="宋体" w:cs="宋体"/>
          <w:color w:val="auto"/>
          <w:sz w:val="21"/>
          <w:szCs w:val="21"/>
          <w:highlight w:val="none"/>
        </w:rPr>
      </w:pPr>
      <w:r>
        <w:rPr>
          <w:rFonts w:hint="eastAsia" w:ascii="宋体" w:hAnsi="宋体" w:eastAsia="宋体" w:cs="宋体"/>
          <w:color w:val="auto"/>
          <w:position w:val="-10"/>
          <w:sz w:val="21"/>
          <w:szCs w:val="21"/>
          <w:highlight w:val="none"/>
        </w:rPr>
        <w:drawing>
          <wp:inline distT="0" distB="0" distL="0" distR="0">
            <wp:extent cx="1276350" cy="2667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76350" cy="266700"/>
                    </a:xfrm>
                    <a:prstGeom prst="rect">
                      <a:avLst/>
                    </a:prstGeom>
                    <a:noFill/>
                    <a:ln>
                      <a:noFill/>
                    </a:ln>
                  </pic:spPr>
                </pic:pic>
              </a:graphicData>
            </a:graphic>
          </wp:inline>
        </w:drawing>
      </w:r>
      <w:r>
        <w:rPr>
          <w:rFonts w:hint="eastAsia" w:ascii="宋体" w:hAnsi="宋体" w:eastAsia="宋体" w:cs="宋体"/>
          <w:color w:val="auto"/>
          <w:sz w:val="21"/>
          <w:szCs w:val="21"/>
          <w:highlight w:val="none"/>
        </w:rPr>
        <w:t>——各可调因子的变值权重（即可调部分的权重），为各可调因子在签约合同价中所占的比例；</w:t>
      </w:r>
    </w:p>
    <w:p w14:paraId="32660DA3">
      <w:pPr>
        <w:tabs>
          <w:tab w:val="left" w:pos="0"/>
          <w:tab w:val="left" w:pos="360"/>
          <w:tab w:val="left" w:pos="540"/>
        </w:tabs>
        <w:ind w:firstLine="420"/>
        <w:rPr>
          <w:rFonts w:hint="eastAsia" w:ascii="宋体" w:hAnsi="宋体" w:eastAsia="宋体" w:cs="宋体"/>
          <w:color w:val="auto"/>
          <w:sz w:val="21"/>
          <w:szCs w:val="21"/>
          <w:highlight w:val="none"/>
        </w:rPr>
      </w:pPr>
      <w:r>
        <w:rPr>
          <w:rFonts w:hint="eastAsia" w:ascii="宋体" w:hAnsi="宋体" w:eastAsia="宋体" w:cs="宋体"/>
          <w:color w:val="auto"/>
          <w:position w:val="-10"/>
          <w:sz w:val="21"/>
          <w:szCs w:val="21"/>
          <w:highlight w:val="none"/>
        </w:rPr>
        <w:drawing>
          <wp:inline distT="0" distB="0" distL="0" distR="0">
            <wp:extent cx="1295400" cy="2667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95400" cy="266700"/>
                    </a:xfrm>
                    <a:prstGeom prst="rect">
                      <a:avLst/>
                    </a:prstGeom>
                    <a:noFill/>
                    <a:ln>
                      <a:noFill/>
                    </a:ln>
                  </pic:spPr>
                </pic:pic>
              </a:graphicData>
            </a:graphic>
          </wp:inline>
        </w:drawing>
      </w:r>
      <w:r>
        <w:rPr>
          <w:rFonts w:hint="eastAsia" w:ascii="宋体" w:hAnsi="宋体" w:eastAsia="宋体" w:cs="宋体"/>
          <w:color w:val="auto"/>
          <w:sz w:val="21"/>
          <w:szCs w:val="21"/>
          <w:highlight w:val="none"/>
        </w:rPr>
        <w:t>——各可调因子的现行价格指数，指约定的付款证书相关周期最后一天的前42天的各可调因子的价格指数；</w:t>
      </w:r>
    </w:p>
    <w:p w14:paraId="1025F950">
      <w:pPr>
        <w:tabs>
          <w:tab w:val="left" w:pos="0"/>
          <w:tab w:val="left" w:pos="360"/>
          <w:tab w:val="left" w:pos="540"/>
        </w:tabs>
        <w:ind w:firstLine="420"/>
        <w:rPr>
          <w:rFonts w:hint="eastAsia" w:ascii="宋体" w:hAnsi="宋体" w:eastAsia="宋体" w:cs="宋体"/>
          <w:color w:val="auto"/>
          <w:sz w:val="21"/>
          <w:szCs w:val="21"/>
          <w:highlight w:val="none"/>
        </w:rPr>
      </w:pPr>
      <w:r>
        <w:rPr>
          <w:rFonts w:hint="eastAsia" w:ascii="宋体" w:hAnsi="宋体" w:eastAsia="宋体" w:cs="宋体"/>
          <w:color w:val="auto"/>
          <w:position w:val="-10"/>
          <w:sz w:val="21"/>
          <w:szCs w:val="21"/>
          <w:highlight w:val="none"/>
        </w:rPr>
        <w:drawing>
          <wp:inline distT="0" distB="0" distL="0" distR="0">
            <wp:extent cx="1371600" cy="2571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371600" cy="257175"/>
                    </a:xfrm>
                    <a:prstGeom prst="rect">
                      <a:avLst/>
                    </a:prstGeom>
                    <a:noFill/>
                    <a:ln>
                      <a:noFill/>
                    </a:ln>
                  </pic:spPr>
                </pic:pic>
              </a:graphicData>
            </a:graphic>
          </wp:inline>
        </w:drawing>
      </w:r>
      <w:r>
        <w:rPr>
          <w:rFonts w:hint="eastAsia" w:ascii="宋体" w:hAnsi="宋体" w:eastAsia="宋体" w:cs="宋体"/>
          <w:color w:val="auto"/>
          <w:sz w:val="21"/>
          <w:szCs w:val="21"/>
          <w:highlight w:val="none"/>
        </w:rPr>
        <w:t>——各可调因子的基本价格指数，指基准日期的各可调因子的价格指数。</w:t>
      </w:r>
    </w:p>
    <w:p w14:paraId="1BDA3666">
      <w:pPr>
        <w:tabs>
          <w:tab w:val="left" w:pos="0"/>
          <w:tab w:val="left" w:pos="360"/>
          <w:tab w:val="left" w:pos="540"/>
        </w:tabs>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1D65B3B5">
      <w:pPr>
        <w:tabs>
          <w:tab w:val="left" w:pos="0"/>
          <w:tab w:val="left" w:pos="360"/>
          <w:tab w:val="left" w:pos="540"/>
        </w:tabs>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（2）暂时确定调整差额</w:t>
      </w:r>
    </w:p>
    <w:p w14:paraId="61ABF99F">
      <w:pPr>
        <w:tabs>
          <w:tab w:val="left" w:pos="0"/>
          <w:tab w:val="left" w:pos="360"/>
          <w:tab w:val="left" w:pos="540"/>
        </w:tabs>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在计算调整差额时无现行价格指数的，合同当事人同意暂用前次价格指数计算。实际价格指数有调整的，合同当事人进行相应调整。</w:t>
      </w:r>
    </w:p>
    <w:p w14:paraId="1D9444EC">
      <w:pPr>
        <w:tabs>
          <w:tab w:val="left" w:pos="0"/>
          <w:tab w:val="left" w:pos="360"/>
          <w:tab w:val="left" w:pos="540"/>
        </w:tabs>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（3）权重的调整</w:t>
      </w:r>
    </w:p>
    <w:p w14:paraId="5C24C462">
      <w:pPr>
        <w:tabs>
          <w:tab w:val="left" w:pos="0"/>
          <w:tab w:val="left" w:pos="360"/>
          <w:tab w:val="left" w:pos="540"/>
        </w:tabs>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因变更导致合同约定的权重不合理时，按照第4.4款〔商定或确定〕执行。</w:t>
      </w:r>
    </w:p>
    <w:p w14:paraId="098EDBB7">
      <w:pPr>
        <w:tabs>
          <w:tab w:val="left" w:pos="0"/>
          <w:tab w:val="left" w:pos="360"/>
          <w:tab w:val="left" w:pos="540"/>
        </w:tabs>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（4）因承包人原因工期延误后的价格调整</w:t>
      </w:r>
    </w:p>
    <w:p w14:paraId="488FB57A">
      <w:pPr>
        <w:tabs>
          <w:tab w:val="left" w:pos="0"/>
          <w:tab w:val="left" w:pos="360"/>
          <w:tab w:val="left" w:pos="540"/>
        </w:tabs>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4C31D36D">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14:paraId="2E88C8BA">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0895006">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ECFE8D2">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（2）材料、工程设备价格变化的价款调整按照发包人提供的基准价格，按以下风险范围规定执行</w:t>
      </w:r>
      <w:r>
        <w:rPr>
          <w:rFonts w:hint="eastAsia" w:ascii="宋体" w:hAnsi="宋体" w:eastAsia="宋体" w:cs="宋体"/>
          <w:color w:val="auto"/>
          <w:sz w:val="21"/>
          <w:szCs w:val="21"/>
          <w:highlight w:val="none"/>
          <w:lang w:eastAsia="zh-CN"/>
        </w:rPr>
        <w:t>：</w:t>
      </w:r>
    </w:p>
    <w:p w14:paraId="492396AE">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5587B9B">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E8AE6D0">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11C59CFF">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5249789">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前述基准价格是指由发包人在采购文件或专用合同条款中给定的材料、工程设备的价格，该价格原则上应当按照省级或行业建设主管部门或其授权的工程造价管理机构发布的信息价编制。</w:t>
      </w:r>
    </w:p>
    <w:p w14:paraId="47D645C0">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（3）施工机械台班单价或施工机械使用费发生变化超过省级或行业建设主管部门或其授权的工程造价管理机构规定的范围时，按规定调整合同价格。</w:t>
      </w:r>
    </w:p>
    <w:p w14:paraId="023EAE92">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第3种方式：专用合同条款约定的其他方式。</w:t>
      </w:r>
    </w:p>
    <w:p w14:paraId="39BBC605">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83" w:name="_Toc351203579"/>
      <w:bookmarkStart w:id="484" w:name="_Toc478389118"/>
      <w:bookmarkStart w:id="485" w:name="_Toc296346594"/>
      <w:bookmarkStart w:id="486" w:name="_Toc337558798"/>
      <w:bookmarkStart w:id="487" w:name="_Toc296503093"/>
      <w:r>
        <w:rPr>
          <w:rFonts w:hint="eastAsia" w:ascii="宋体" w:hAnsi="宋体" w:eastAsia="宋体" w:cs="宋体"/>
          <w:b/>
          <w:bCs/>
          <w:color w:val="auto"/>
          <w:kern w:val="44"/>
          <w:sz w:val="21"/>
          <w:szCs w:val="21"/>
          <w:highlight w:val="none"/>
        </w:rPr>
        <w:t>11.2法律变化引起的调整</w:t>
      </w:r>
      <w:bookmarkEnd w:id="483"/>
      <w:bookmarkEnd w:id="484"/>
    </w:p>
    <w:bookmarkEnd w:id="485"/>
    <w:bookmarkEnd w:id="486"/>
    <w:bookmarkEnd w:id="487"/>
    <w:p w14:paraId="73A8836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2C5481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因法律变化引起的合同价格和工期调整，合同当事人无法达成一致的，由总监理工程师按第4.4款〔商定或确定〕的约定处理。</w:t>
      </w:r>
    </w:p>
    <w:p w14:paraId="056AFC5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因承包人原因造成工期延误，在工期延误期间出现法律变化的，由此增加的费用和（或）延误的工期由承包人承担。</w:t>
      </w:r>
    </w:p>
    <w:p w14:paraId="745E42C1">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88" w:name="_Toc351203580"/>
      <w:bookmarkStart w:id="489" w:name="_Toc478389119"/>
      <w:bookmarkStart w:id="490" w:name="_Toc337558799"/>
      <w:bookmarkStart w:id="491" w:name="_Toc296503096"/>
      <w:bookmarkStart w:id="492" w:name="_Toc296346597"/>
      <w:r>
        <w:rPr>
          <w:rFonts w:hint="eastAsia" w:ascii="宋体" w:hAnsi="宋体" w:eastAsia="宋体" w:cs="宋体"/>
          <w:b/>
          <w:bCs/>
          <w:color w:val="auto"/>
          <w:kern w:val="44"/>
          <w:sz w:val="21"/>
          <w:szCs w:val="21"/>
          <w:highlight w:val="none"/>
        </w:rPr>
        <w:t>12. 合同价格、计量与支付</w:t>
      </w:r>
      <w:bookmarkEnd w:id="488"/>
      <w:bookmarkEnd w:id="489"/>
    </w:p>
    <w:bookmarkEnd w:id="490"/>
    <w:p w14:paraId="5F33E112">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93" w:name="_Toc478389120"/>
      <w:bookmarkStart w:id="494" w:name="_Toc351203581"/>
      <w:bookmarkStart w:id="495" w:name="_Toc337558800"/>
      <w:r>
        <w:rPr>
          <w:rFonts w:hint="eastAsia" w:ascii="宋体" w:hAnsi="宋体" w:eastAsia="宋体" w:cs="宋体"/>
          <w:b/>
          <w:bCs/>
          <w:color w:val="auto"/>
          <w:kern w:val="44"/>
          <w:sz w:val="21"/>
          <w:szCs w:val="21"/>
          <w:highlight w:val="none"/>
        </w:rPr>
        <w:t>12.1 合同价</w:t>
      </w:r>
      <w:bookmarkEnd w:id="491"/>
      <w:bookmarkEnd w:id="492"/>
      <w:r>
        <w:rPr>
          <w:rFonts w:hint="eastAsia" w:ascii="宋体" w:hAnsi="宋体" w:eastAsia="宋体" w:cs="宋体"/>
          <w:b/>
          <w:bCs/>
          <w:color w:val="auto"/>
          <w:kern w:val="44"/>
          <w:sz w:val="21"/>
          <w:szCs w:val="21"/>
          <w:highlight w:val="none"/>
        </w:rPr>
        <w:t>格形式</w:t>
      </w:r>
      <w:bookmarkEnd w:id="493"/>
      <w:bookmarkEnd w:id="494"/>
    </w:p>
    <w:bookmarkEnd w:id="495"/>
    <w:p w14:paraId="644E4C3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发包人和承包人应在合同协议书中选择下列一种合同价格形式： </w:t>
      </w:r>
    </w:p>
    <w:p w14:paraId="2ACF1AF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664B7EE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794F5A3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w:t>
      </w:r>
    </w:p>
    <w:p w14:paraId="744435E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7D50E5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价格形式</w:t>
      </w:r>
    </w:p>
    <w:p w14:paraId="4393688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合同当事人可在专用合同条款中约定其他合同价格形式。</w:t>
      </w:r>
    </w:p>
    <w:p w14:paraId="091E1648">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496" w:name="_Toc296346598"/>
      <w:bookmarkStart w:id="497" w:name="_Toc296503097"/>
      <w:bookmarkStart w:id="498" w:name="_Toc351203582"/>
      <w:bookmarkStart w:id="499" w:name="_Toc478389121"/>
      <w:bookmarkStart w:id="500" w:name="_Toc337558801"/>
      <w:r>
        <w:rPr>
          <w:rFonts w:hint="eastAsia" w:ascii="宋体" w:hAnsi="宋体" w:eastAsia="宋体" w:cs="宋体"/>
          <w:b/>
          <w:bCs/>
          <w:color w:val="auto"/>
          <w:kern w:val="44"/>
          <w:sz w:val="21"/>
          <w:szCs w:val="21"/>
          <w:highlight w:val="none"/>
        </w:rPr>
        <w:t>12.2预</w:t>
      </w:r>
      <w:bookmarkEnd w:id="496"/>
      <w:bookmarkEnd w:id="497"/>
      <w:bookmarkStart w:id="501" w:name="_Toc296346601"/>
      <w:bookmarkStart w:id="502" w:name="_Toc296503100"/>
      <w:r>
        <w:rPr>
          <w:rFonts w:hint="eastAsia" w:ascii="宋体" w:hAnsi="宋体" w:eastAsia="宋体" w:cs="宋体"/>
          <w:b/>
          <w:bCs/>
          <w:color w:val="auto"/>
          <w:kern w:val="44"/>
          <w:sz w:val="21"/>
          <w:szCs w:val="21"/>
          <w:highlight w:val="none"/>
        </w:rPr>
        <w:t>付款</w:t>
      </w:r>
      <w:bookmarkEnd w:id="498"/>
      <w:bookmarkEnd w:id="499"/>
    </w:p>
    <w:bookmarkEnd w:id="500"/>
    <w:bookmarkEnd w:id="501"/>
    <w:bookmarkEnd w:id="502"/>
    <w:p w14:paraId="624978B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12.2.1预付款的支付</w:t>
      </w:r>
    </w:p>
    <w:p w14:paraId="37A8AC9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5CF1175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除专用合同条款另有约定外，预付款在进度付款中同比例扣回。在颁发工程接收证书前，提前解除合同的，尚未扣完的预付款应与合同价款一并结算。</w:t>
      </w:r>
    </w:p>
    <w:p w14:paraId="2818FDD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61CF9C9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14:paraId="74B630A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0C74750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发包人在工程款中逐期扣回预付款后，预付款担保额度应相应减少，但剩余的预付款担保金额不得低于未被扣回的预付款金额。</w:t>
      </w:r>
    </w:p>
    <w:p w14:paraId="6ABAF7D7">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03" w:name="_Toc351203583"/>
      <w:bookmarkStart w:id="504" w:name="_Toc478389122"/>
      <w:bookmarkStart w:id="505" w:name="_Toc337558802"/>
      <w:r>
        <w:rPr>
          <w:rFonts w:hint="eastAsia" w:ascii="宋体" w:hAnsi="宋体" w:eastAsia="宋体" w:cs="宋体"/>
          <w:b/>
          <w:bCs/>
          <w:color w:val="auto"/>
          <w:kern w:val="44"/>
          <w:sz w:val="21"/>
          <w:szCs w:val="21"/>
          <w:highlight w:val="none"/>
        </w:rPr>
        <w:t>12.3计量</w:t>
      </w:r>
      <w:bookmarkEnd w:id="503"/>
      <w:bookmarkEnd w:id="504"/>
    </w:p>
    <w:bookmarkEnd w:id="505"/>
    <w:p w14:paraId="21C2F2EF">
      <w:pPr>
        <w:spacing w:line="420" w:lineRule="exact"/>
        <w:ind w:firstLine="420"/>
        <w:outlineLvl w:val="0"/>
        <w:rPr>
          <w:rFonts w:hint="eastAsia" w:ascii="宋体" w:hAnsi="宋体" w:eastAsia="宋体" w:cs="宋体"/>
          <w:color w:val="auto"/>
          <w:sz w:val="21"/>
          <w:szCs w:val="21"/>
          <w:highlight w:val="none"/>
        </w:rPr>
      </w:pPr>
      <w:bookmarkStart w:id="506" w:name="_Toc478389123"/>
      <w:bookmarkStart w:id="507" w:name="_Toc406419279"/>
      <w:bookmarkStart w:id="508" w:name="_Toc406522154"/>
      <w:r>
        <w:rPr>
          <w:rFonts w:hint="eastAsia" w:ascii="宋体" w:hAnsi="宋体" w:eastAsia="宋体" w:cs="宋体"/>
          <w:color w:val="auto"/>
          <w:sz w:val="21"/>
          <w:szCs w:val="21"/>
          <w:highlight w:val="none"/>
        </w:rPr>
        <w:t>12.3.1 计量原则</w:t>
      </w:r>
      <w:bookmarkEnd w:id="506"/>
      <w:bookmarkEnd w:id="507"/>
      <w:bookmarkEnd w:id="508"/>
    </w:p>
    <w:p w14:paraId="4EEE900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工程量计量按照合同约定的工程量计算规则、图纸及变更指示等进行计量。工程量计算规则应以相关的国家标准、行业标准等为依据，由合同当事人在专用合同条款中约定。</w:t>
      </w:r>
    </w:p>
    <w:p w14:paraId="3117D77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14:paraId="7AB1232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除专用合同条款另有约定外，工程量的计量按月进行。</w:t>
      </w:r>
    </w:p>
    <w:p w14:paraId="789D865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14:paraId="4E37EAC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除专用合同条款另有约定外，单价合同的计量按照本项约定执行：</w:t>
      </w:r>
    </w:p>
    <w:p w14:paraId="5235FA0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（1）承包人应于每月25日向监理人报送上月20日至当月19日已完成的工程量报告，并附具进度付款申请单、已完成工程量报表和有关资料。</w:t>
      </w:r>
    </w:p>
    <w:p w14:paraId="7BC4D6E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975FE6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（3）监理人未在收到承包人提交的工程量报表后的7天内完成审核的，承包人报送的工程量报告中的工程量视为承包人实际完成的工程量，据此计算工程价款。</w:t>
      </w:r>
    </w:p>
    <w:p w14:paraId="4EAE0AE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14:paraId="05E4934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除专用合同条款另有约定外，按月计量支付的总价合同，按照本项约定执行：</w:t>
      </w:r>
    </w:p>
    <w:p w14:paraId="2CF2414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（1）承包人应于每月25日向监理人报送上月20日至当月19日已完成的工程量报告，并附具进度付款申请单、已完成工程量报表和有关资料。</w:t>
      </w:r>
    </w:p>
    <w:p w14:paraId="64BF867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295F06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（3）监理人未在收到承包人提交的工程量报表后的7天内完成复核的，承包人提交的工程量报告中的工程量视为承包人实际完成的工程量。</w:t>
      </w:r>
    </w:p>
    <w:p w14:paraId="6D3548BB">
      <w:pPr>
        <w:spacing w:line="420" w:lineRule="exact"/>
        <w:ind w:firstLine="420"/>
        <w:outlineLvl w:val="0"/>
        <w:rPr>
          <w:rFonts w:hint="eastAsia" w:ascii="宋体" w:hAnsi="宋体" w:eastAsia="宋体" w:cs="宋体"/>
          <w:color w:val="auto"/>
          <w:sz w:val="21"/>
          <w:szCs w:val="21"/>
          <w:highlight w:val="none"/>
        </w:rPr>
      </w:pPr>
      <w:bookmarkStart w:id="509" w:name="_Toc406522155"/>
      <w:bookmarkStart w:id="510" w:name="_Toc478389124"/>
      <w:bookmarkStart w:id="511" w:name="_Toc406419280"/>
      <w:r>
        <w:rPr>
          <w:rFonts w:hint="eastAsia" w:ascii="宋体" w:hAnsi="宋体" w:eastAsia="宋体" w:cs="宋体"/>
          <w:color w:val="auto"/>
          <w:sz w:val="21"/>
          <w:szCs w:val="21"/>
          <w:highlight w:val="none"/>
        </w:rPr>
        <w:t>12.3.5总价合同采用支付分解表计量支付的，可以按照第12.3.4项〔总价合同的计量〕约定进行计量，但合同价款按照支付分解表进行支付。</w:t>
      </w:r>
      <w:bookmarkEnd w:id="509"/>
      <w:bookmarkEnd w:id="510"/>
      <w:bookmarkEnd w:id="511"/>
    </w:p>
    <w:p w14:paraId="3034248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14:paraId="5B6AD70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合同当事人可在专用合同条款中约定其他价格形式合同的计量方式和程序。</w:t>
      </w:r>
    </w:p>
    <w:p w14:paraId="2CC78B39">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12" w:name="_Toc296503101"/>
      <w:bookmarkStart w:id="513" w:name="_Toc296346602"/>
      <w:bookmarkStart w:id="514" w:name="_Toc351203584"/>
      <w:bookmarkStart w:id="515" w:name="_Toc478389125"/>
      <w:bookmarkStart w:id="516" w:name="_Toc337558803"/>
      <w:r>
        <w:rPr>
          <w:rFonts w:hint="eastAsia" w:ascii="宋体" w:hAnsi="宋体" w:eastAsia="宋体" w:cs="宋体"/>
          <w:b/>
          <w:bCs/>
          <w:color w:val="auto"/>
          <w:kern w:val="44"/>
          <w:sz w:val="21"/>
          <w:szCs w:val="21"/>
          <w:highlight w:val="none"/>
        </w:rPr>
        <w:t>12.4工程进度款支</w:t>
      </w:r>
      <w:bookmarkEnd w:id="512"/>
      <w:bookmarkEnd w:id="513"/>
      <w:r>
        <w:rPr>
          <w:rFonts w:hint="eastAsia" w:ascii="宋体" w:hAnsi="宋体" w:eastAsia="宋体" w:cs="宋体"/>
          <w:b/>
          <w:bCs/>
          <w:color w:val="auto"/>
          <w:kern w:val="44"/>
          <w:sz w:val="21"/>
          <w:szCs w:val="21"/>
          <w:highlight w:val="none"/>
        </w:rPr>
        <w:t>付</w:t>
      </w:r>
      <w:bookmarkEnd w:id="514"/>
      <w:bookmarkEnd w:id="515"/>
    </w:p>
    <w:bookmarkEnd w:id="516"/>
    <w:p w14:paraId="7E34CA38">
      <w:pPr>
        <w:spacing w:line="420" w:lineRule="exact"/>
        <w:ind w:firstLine="420"/>
        <w:outlineLvl w:val="0"/>
        <w:rPr>
          <w:rFonts w:hint="eastAsia" w:ascii="宋体" w:hAnsi="宋体" w:eastAsia="宋体" w:cs="宋体"/>
          <w:color w:val="auto"/>
          <w:sz w:val="21"/>
          <w:szCs w:val="21"/>
          <w:highlight w:val="none"/>
        </w:rPr>
      </w:pPr>
      <w:bookmarkStart w:id="517" w:name="_Toc406522157"/>
      <w:bookmarkStart w:id="518" w:name="_Toc478389126"/>
      <w:bookmarkStart w:id="519" w:name="_Toc406419282"/>
      <w:r>
        <w:rPr>
          <w:rFonts w:hint="eastAsia" w:ascii="宋体" w:hAnsi="宋体" w:eastAsia="宋体" w:cs="宋体"/>
          <w:color w:val="auto"/>
          <w:sz w:val="21"/>
          <w:szCs w:val="21"/>
          <w:highlight w:val="none"/>
        </w:rPr>
        <w:t>12.4.1 付款周期</w:t>
      </w:r>
      <w:bookmarkEnd w:id="517"/>
      <w:bookmarkEnd w:id="518"/>
      <w:bookmarkEnd w:id="519"/>
    </w:p>
    <w:p w14:paraId="4A3EAF3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除专用合同条款另有约定外，付款周期应按照第12.3.2项〔计量周期〕的约定与计量周期保持一致。</w:t>
      </w:r>
    </w:p>
    <w:p w14:paraId="61D5C2C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609D28C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除专用合同条款另有约定外，进度付款申请单应包括下列内容：</w:t>
      </w:r>
    </w:p>
    <w:p w14:paraId="08330D4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（1）截至本次付款周期已完成工作对应的金额；</w:t>
      </w:r>
    </w:p>
    <w:p w14:paraId="2991173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（2）根据第10条〔变更〕应增加和扣减的变更金额；</w:t>
      </w:r>
    </w:p>
    <w:p w14:paraId="3E354CB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（3）根据第12.2款〔预付款〕约定应支付的预付款和扣减的返还预付款；</w:t>
      </w:r>
    </w:p>
    <w:p w14:paraId="1DCCBBE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（4）根据第15.3款〔质量保证金〕约定应扣减的质量保证金；</w:t>
      </w:r>
    </w:p>
    <w:p w14:paraId="525097C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（5）根据第19条〔索赔〕应增加和扣减的索赔金额；</w:t>
      </w:r>
    </w:p>
    <w:p w14:paraId="78DC9758">
      <w:pPr>
        <w:spacing w:line="420" w:lineRule="exact"/>
        <w:ind w:firstLine="420"/>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pacing w:val="-4"/>
          <w:sz w:val="21"/>
          <w:szCs w:val="21"/>
          <w:highlight w:val="none"/>
        </w:rPr>
        <w:t>对已签发的进度款支付证书中出现错误的修正，应在本次进度付款中支付或扣除的金额；</w:t>
      </w:r>
    </w:p>
    <w:p w14:paraId="41A6FF2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（7）根据合同约定应增加和扣减的其他金额。</w:t>
      </w:r>
    </w:p>
    <w:p w14:paraId="3E987D6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12.4.3 进度付款申请单的提交</w:t>
      </w:r>
    </w:p>
    <w:p w14:paraId="7B107FC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（1）单价合同进度付款申请单的提交</w:t>
      </w:r>
    </w:p>
    <w:p w14:paraId="43031CE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6978D6D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（2）总价合同进度付款申请单的提交</w:t>
      </w:r>
    </w:p>
    <w:p w14:paraId="5BD782F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总价合同按月计量支付的，承包人按照第12.3.4项〔总价合同的计量〕约定的时间按月向监理人提交进度付款申请单，并附上已完成工程量报表和有关资料。</w:t>
      </w:r>
    </w:p>
    <w:p w14:paraId="75C773A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总价合同按支付分解表支付的，承包人应按照第12.4.6项〔支付分解表〕及第12.4.2项〔进度付款申请单的编制〕的约定向监理人提交进度付款申请单。</w:t>
      </w:r>
    </w:p>
    <w:p w14:paraId="7FABA8A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（3）其他价格形式合同的进度付款申请单的提交</w:t>
      </w:r>
    </w:p>
    <w:p w14:paraId="7772CFE2">
      <w:pPr>
        <w:spacing w:line="420" w:lineRule="exact"/>
        <w:ind w:firstLine="404"/>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合同当事人可在专用合同条款中约定其他价格形式合同的进度付款申请单的编制和提交程序。</w:t>
      </w:r>
    </w:p>
    <w:p w14:paraId="0A9E059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6B4A434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B03120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FD80C8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7E65A3C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（3）发包人签发进度款支付证书或临时进度款支付证书，不表明发包人已同意、批准或接受了承包人完成的相应部分的工作。</w:t>
      </w:r>
    </w:p>
    <w:p w14:paraId="1C4827F7">
      <w:pPr>
        <w:spacing w:line="420" w:lineRule="exact"/>
        <w:ind w:firstLine="420"/>
        <w:outlineLvl w:val="0"/>
        <w:rPr>
          <w:rFonts w:hint="eastAsia" w:ascii="宋体" w:hAnsi="宋体" w:eastAsia="宋体" w:cs="宋体"/>
          <w:color w:val="auto"/>
          <w:sz w:val="21"/>
          <w:szCs w:val="21"/>
          <w:highlight w:val="none"/>
        </w:rPr>
      </w:pPr>
      <w:bookmarkStart w:id="520" w:name="_Toc478389127"/>
      <w:bookmarkStart w:id="521" w:name="_Toc406419283"/>
      <w:bookmarkStart w:id="522" w:name="_Toc406522158"/>
      <w:r>
        <w:rPr>
          <w:rFonts w:hint="eastAsia" w:ascii="宋体" w:hAnsi="宋体" w:eastAsia="宋体" w:cs="宋体"/>
          <w:color w:val="auto"/>
          <w:sz w:val="21"/>
          <w:szCs w:val="21"/>
          <w:highlight w:val="none"/>
        </w:rPr>
        <w:t>12.4.5 进度付款的修正</w:t>
      </w:r>
      <w:bookmarkEnd w:id="520"/>
      <w:bookmarkEnd w:id="521"/>
      <w:bookmarkEnd w:id="522"/>
    </w:p>
    <w:p w14:paraId="1731E42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700A999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w:t>
      </w:r>
    </w:p>
    <w:p w14:paraId="61B20AA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1.支付分解表的编制要求</w:t>
      </w:r>
    </w:p>
    <w:p w14:paraId="064F33F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（1）支付分解表中所列的每期付款金额，应为第12.4.2项〔进度付款申请单的编制〕第（1）目的估算金额；</w:t>
      </w:r>
    </w:p>
    <w:p w14:paraId="278A0E6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（2）实际进度与施工进度计划不一致的，合同当事人可按照第4.4款〔商定或确定〕修改支付分解表；</w:t>
      </w:r>
    </w:p>
    <w:p w14:paraId="7658818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（3）不采用支付分解表的，承包人应向发包人和监理人提交按季度编制的支付估算分解表，用于支付参考。</w:t>
      </w:r>
    </w:p>
    <w:p w14:paraId="3C6E03A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2.总价合同支付分解表的编制与审批</w:t>
      </w:r>
    </w:p>
    <w:p w14:paraId="638E7E1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C89596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6C37C51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（3）发包人逾期未完成支付分解表审批的，也未及时要求承包人进行修正和提供补充资料的，则承包人提交的支付分解表视为已经获得发包人批准。</w:t>
      </w:r>
    </w:p>
    <w:p w14:paraId="329018B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3.单价合同的总价项目支付分解表的编制与审批</w:t>
      </w:r>
    </w:p>
    <w:p w14:paraId="5D11AC0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A0075B0">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23" w:name="_Toc478389128"/>
      <w:bookmarkStart w:id="524" w:name="_Toc351203585"/>
      <w:r>
        <w:rPr>
          <w:rFonts w:hint="eastAsia" w:ascii="宋体" w:hAnsi="宋体" w:eastAsia="宋体" w:cs="宋体"/>
          <w:b/>
          <w:bCs/>
          <w:color w:val="auto"/>
          <w:kern w:val="44"/>
          <w:sz w:val="21"/>
          <w:szCs w:val="21"/>
          <w:highlight w:val="none"/>
        </w:rPr>
        <w:t>12.5支付账户</w:t>
      </w:r>
      <w:bookmarkEnd w:id="523"/>
      <w:bookmarkEnd w:id="524"/>
    </w:p>
    <w:p w14:paraId="4EAF93D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发包人应将合同价款支付至合同协议书中约定的承包人账户。</w:t>
      </w:r>
    </w:p>
    <w:p w14:paraId="40C67937">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25" w:name="_Toc478389129"/>
      <w:bookmarkStart w:id="526" w:name="_Toc351203586"/>
      <w:bookmarkStart w:id="527" w:name="_Toc296503106"/>
      <w:bookmarkStart w:id="528" w:name="_Toc337558804"/>
      <w:bookmarkStart w:id="529" w:name="_Toc322522574"/>
      <w:bookmarkStart w:id="530" w:name="_Toc296346607"/>
      <w:r>
        <w:rPr>
          <w:rFonts w:hint="eastAsia" w:ascii="宋体" w:hAnsi="宋体" w:eastAsia="宋体" w:cs="宋体"/>
          <w:b/>
          <w:bCs/>
          <w:color w:val="auto"/>
          <w:kern w:val="44"/>
          <w:sz w:val="21"/>
          <w:szCs w:val="21"/>
          <w:highlight w:val="none"/>
        </w:rPr>
        <w:t>13. 验收和工程试车</w:t>
      </w:r>
      <w:bookmarkEnd w:id="525"/>
      <w:bookmarkEnd w:id="526"/>
    </w:p>
    <w:bookmarkEnd w:id="527"/>
    <w:bookmarkEnd w:id="528"/>
    <w:bookmarkEnd w:id="529"/>
    <w:bookmarkEnd w:id="530"/>
    <w:p w14:paraId="192506FA">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31" w:name="_Toc478389130"/>
      <w:bookmarkStart w:id="532" w:name="_Toc351203587"/>
      <w:bookmarkStart w:id="533" w:name="_Toc337558805"/>
      <w:bookmarkStart w:id="534" w:name="_Toc296503110"/>
      <w:bookmarkStart w:id="535" w:name="_Toc296346611"/>
      <w:r>
        <w:rPr>
          <w:rFonts w:hint="eastAsia" w:ascii="宋体" w:hAnsi="宋体" w:eastAsia="宋体" w:cs="宋体"/>
          <w:b/>
          <w:bCs/>
          <w:color w:val="auto"/>
          <w:kern w:val="44"/>
          <w:sz w:val="21"/>
          <w:szCs w:val="21"/>
          <w:highlight w:val="none"/>
        </w:rPr>
        <w:t>13.1分部分项工程验收</w:t>
      </w:r>
      <w:bookmarkEnd w:id="531"/>
      <w:bookmarkEnd w:id="532"/>
    </w:p>
    <w:bookmarkEnd w:id="533"/>
    <w:p w14:paraId="3C89700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13.1.1分部分项工程质量应符合国家有关工程施工验收规范、标准及合同约定，承包人应按照施工组织设计的要求完成分部分项工程施工。</w:t>
      </w:r>
    </w:p>
    <w:p w14:paraId="7F9C644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2DC01BE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分部分项工程的验收资料应当作为竣工资料的组成部分。</w:t>
      </w:r>
    </w:p>
    <w:p w14:paraId="3DFAA583">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36" w:name="_Toc478389131"/>
      <w:bookmarkStart w:id="537" w:name="_Toc351203588"/>
      <w:bookmarkStart w:id="538" w:name="_Toc337558806"/>
      <w:r>
        <w:rPr>
          <w:rFonts w:hint="eastAsia" w:ascii="宋体" w:hAnsi="宋体" w:eastAsia="宋体" w:cs="宋体"/>
          <w:b/>
          <w:bCs/>
          <w:color w:val="auto"/>
          <w:kern w:val="44"/>
          <w:sz w:val="21"/>
          <w:szCs w:val="21"/>
          <w:highlight w:val="none"/>
        </w:rPr>
        <w:t>13.2竣工验收</w:t>
      </w:r>
      <w:bookmarkEnd w:id="536"/>
      <w:bookmarkEnd w:id="537"/>
    </w:p>
    <w:bookmarkEnd w:id="534"/>
    <w:bookmarkEnd w:id="535"/>
    <w:bookmarkEnd w:id="538"/>
    <w:p w14:paraId="53AC6875">
      <w:pPr>
        <w:spacing w:line="420" w:lineRule="exact"/>
        <w:ind w:firstLine="420"/>
        <w:outlineLvl w:val="0"/>
        <w:rPr>
          <w:rFonts w:hint="eastAsia" w:ascii="宋体" w:hAnsi="宋体" w:eastAsia="宋体" w:cs="宋体"/>
          <w:color w:val="auto"/>
          <w:sz w:val="21"/>
          <w:szCs w:val="21"/>
          <w:highlight w:val="none"/>
        </w:rPr>
      </w:pPr>
      <w:bookmarkStart w:id="539" w:name="_Toc406522163"/>
      <w:bookmarkStart w:id="540" w:name="_Toc478389132"/>
      <w:bookmarkStart w:id="541" w:name="_Toc406419288"/>
      <w:r>
        <w:rPr>
          <w:rFonts w:hint="eastAsia" w:ascii="宋体" w:hAnsi="宋体" w:eastAsia="宋体" w:cs="宋体"/>
          <w:color w:val="auto"/>
          <w:sz w:val="21"/>
          <w:szCs w:val="21"/>
          <w:highlight w:val="none"/>
        </w:rPr>
        <w:t>13.2.1竣工验收条件</w:t>
      </w:r>
      <w:bookmarkEnd w:id="539"/>
      <w:bookmarkEnd w:id="540"/>
      <w:bookmarkEnd w:id="541"/>
    </w:p>
    <w:p w14:paraId="1830307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工程具备以下条件的，承包人可以申请竣工验收：</w:t>
      </w:r>
    </w:p>
    <w:p w14:paraId="0BC0F90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（1）除发包人同意的甩项工作和缺陷修补工作外，合同范围内的全部工程以及有关工作，包括合同要求的试验、试运行以及检验均已完成，并符合合同要求；</w:t>
      </w:r>
    </w:p>
    <w:p w14:paraId="051EAF0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（2）已按合同约定编制了甩项工作和缺陷修补工作清单以及相应的施工计划；</w:t>
      </w:r>
    </w:p>
    <w:p w14:paraId="052C7FF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（3）已按合同约定的内容和份数备齐竣工资料。</w:t>
      </w:r>
    </w:p>
    <w:p w14:paraId="173544C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13.2.2竣工验收程序</w:t>
      </w:r>
    </w:p>
    <w:p w14:paraId="719D36C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除专用合同条款另有约定外，承包人申请竣工验收的，应当按照以下程序进行：</w:t>
      </w:r>
    </w:p>
    <w:p w14:paraId="374C378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1FA326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766C210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2D3D2A8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1E951AA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92BD5C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01B40E3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13.2.3竣工日期</w:t>
      </w:r>
    </w:p>
    <w:p w14:paraId="73929AF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542" w:name="#go14"/>
      <w:bookmarkEnd w:id="542"/>
      <w:r>
        <w:rPr>
          <w:rFonts w:hint="eastAsia" w:ascii="宋体" w:hAnsi="宋体" w:eastAsia="宋体" w:cs="宋体"/>
          <w:color w:val="auto"/>
          <w:sz w:val="21"/>
          <w:szCs w:val="21"/>
          <w:highlight w:val="none"/>
        </w:rPr>
        <w:t>收申请报告的日期为实际竣工日期；工程未经竣工验收，发包人擅自使用的，以转移占有工程之日为实际竣工日期。</w:t>
      </w:r>
    </w:p>
    <w:p w14:paraId="5A50C68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13.2.4 拒绝接收全部或部分工程</w:t>
      </w:r>
    </w:p>
    <w:p w14:paraId="67DD527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0B1206E">
      <w:pPr>
        <w:spacing w:line="420" w:lineRule="exact"/>
        <w:ind w:firstLine="420"/>
        <w:outlineLvl w:val="0"/>
        <w:rPr>
          <w:rFonts w:hint="eastAsia" w:ascii="宋体" w:hAnsi="宋体" w:eastAsia="宋体" w:cs="宋体"/>
          <w:color w:val="auto"/>
          <w:sz w:val="21"/>
          <w:szCs w:val="21"/>
          <w:highlight w:val="none"/>
        </w:rPr>
      </w:pPr>
      <w:bookmarkStart w:id="543" w:name="_Toc406419289"/>
      <w:bookmarkStart w:id="544" w:name="_Toc478389133"/>
      <w:bookmarkStart w:id="545" w:name="_Toc406522164"/>
      <w:r>
        <w:rPr>
          <w:rFonts w:hint="eastAsia" w:ascii="宋体" w:hAnsi="宋体" w:eastAsia="宋体" w:cs="宋体"/>
          <w:color w:val="auto"/>
          <w:sz w:val="21"/>
          <w:szCs w:val="21"/>
          <w:highlight w:val="none"/>
        </w:rPr>
        <w:t>13.2.5 移交、接收全部与部分工程</w:t>
      </w:r>
      <w:bookmarkEnd w:id="543"/>
      <w:bookmarkEnd w:id="544"/>
      <w:bookmarkEnd w:id="545"/>
    </w:p>
    <w:p w14:paraId="1635F235">
      <w:pPr>
        <w:spacing w:line="420" w:lineRule="exact"/>
        <w:ind w:firstLine="404"/>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除专用合同条款另有约定外，合同当事人应当在颁发工程接收证书后7天内完成工程的移交。</w:t>
      </w:r>
    </w:p>
    <w:p w14:paraId="2E99915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546A091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02EB26E0">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46" w:name="_Toc351203589"/>
      <w:bookmarkStart w:id="547" w:name="_Toc478389134"/>
      <w:bookmarkStart w:id="548" w:name="_Toc296346612"/>
      <w:bookmarkStart w:id="549" w:name="_Toc296503111"/>
      <w:bookmarkStart w:id="550" w:name="_Toc337558807"/>
      <w:r>
        <w:rPr>
          <w:rFonts w:hint="eastAsia" w:ascii="宋体" w:hAnsi="宋体" w:eastAsia="宋体" w:cs="宋体"/>
          <w:b/>
          <w:bCs/>
          <w:color w:val="auto"/>
          <w:kern w:val="44"/>
          <w:sz w:val="21"/>
          <w:szCs w:val="21"/>
          <w:highlight w:val="none"/>
        </w:rPr>
        <w:t>13.3工程试车</w:t>
      </w:r>
      <w:bookmarkEnd w:id="546"/>
      <w:bookmarkEnd w:id="547"/>
    </w:p>
    <w:bookmarkEnd w:id="548"/>
    <w:bookmarkEnd w:id="549"/>
    <w:bookmarkEnd w:id="550"/>
    <w:p w14:paraId="123F145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13.3.1试车程序</w:t>
      </w:r>
    </w:p>
    <w:p w14:paraId="18FC844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工程需要试车的，除专用合同条款另有约定外，试车内容应与承包人承包范围相一致，试车费用由承包人承担。工程试车应按如下程序进行：</w:t>
      </w:r>
    </w:p>
    <w:p w14:paraId="2A6BA8D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F39A63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1AA387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（2）具备无负荷联动试车条件，发包人组织试车，并在试车前48小时以书面形式通知承包人。通知中应载明试车内容、时间、地点和对承包人的要求，承包人按要求做好准备工作。</w:t>
      </w:r>
      <w:r>
        <w:rPr>
          <w:rFonts w:hint="eastAsia" w:ascii="宋体" w:hAnsi="宋体" w:eastAsia="宋体" w:cs="宋体"/>
          <w:color w:val="auto"/>
          <w:spacing w:val="-4"/>
          <w:sz w:val="21"/>
          <w:szCs w:val="21"/>
          <w:highlight w:val="none"/>
        </w:rPr>
        <w:t>试车合格，合同当事人在试车记录上签字。承包人无正当理由不参加试车的，视为认可试车记录。</w:t>
      </w:r>
    </w:p>
    <w:p w14:paraId="5A45E95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13.3.2 试车中的责任</w:t>
      </w:r>
    </w:p>
    <w:p w14:paraId="471608A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35691C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B24934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13.3.3 投料试车</w:t>
      </w:r>
    </w:p>
    <w:p w14:paraId="653400C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170E021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0F742B78">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51" w:name="_Toc351203590"/>
      <w:bookmarkStart w:id="552" w:name="_Toc478389135"/>
      <w:bookmarkStart w:id="553" w:name="_Toc337558808"/>
      <w:r>
        <w:rPr>
          <w:rFonts w:hint="eastAsia" w:ascii="宋体" w:hAnsi="宋体" w:eastAsia="宋体" w:cs="宋体"/>
          <w:b/>
          <w:bCs/>
          <w:color w:val="auto"/>
          <w:kern w:val="44"/>
          <w:sz w:val="21"/>
          <w:szCs w:val="21"/>
          <w:highlight w:val="none"/>
        </w:rPr>
        <w:t>13.4提前交付单位工程的验收</w:t>
      </w:r>
      <w:bookmarkEnd w:id="551"/>
      <w:bookmarkEnd w:id="552"/>
    </w:p>
    <w:bookmarkEnd w:id="553"/>
    <w:p w14:paraId="76B443A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7C944C2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603BA44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13.4.2 发包人要求在工程竣工前交付单位工程，由此导致承包人费用增加和（或）工期延误的，由发包人承担由此增加的费用和（或）延误的工期，并支付承包人合理的利润。</w:t>
      </w:r>
    </w:p>
    <w:p w14:paraId="6B1A25B6">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54" w:name="_Toc351203591"/>
      <w:bookmarkStart w:id="555" w:name="_Toc478389136"/>
      <w:r>
        <w:rPr>
          <w:rFonts w:hint="eastAsia" w:ascii="宋体" w:hAnsi="宋体" w:eastAsia="宋体" w:cs="宋体"/>
          <w:b/>
          <w:bCs/>
          <w:color w:val="auto"/>
          <w:kern w:val="44"/>
          <w:sz w:val="21"/>
          <w:szCs w:val="21"/>
          <w:highlight w:val="none"/>
        </w:rPr>
        <w:t>13.5 施工期运行</w:t>
      </w:r>
      <w:bookmarkEnd w:id="554"/>
      <w:bookmarkEnd w:id="555"/>
    </w:p>
    <w:p w14:paraId="6525A2D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FE5D9E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13.5.2在施工期运行中发现工程或工程设备损坏或存在缺陷的，由承包人按第15.2款〔缺陷责任期〕约定进行修复。</w:t>
      </w:r>
    </w:p>
    <w:p w14:paraId="5FE5D9D8">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56" w:name="_Toc296503112"/>
      <w:bookmarkStart w:id="557" w:name="_Toc296346613"/>
      <w:bookmarkStart w:id="558" w:name="_Toc351203592"/>
      <w:bookmarkStart w:id="559" w:name="_Toc478389137"/>
      <w:bookmarkStart w:id="560" w:name="_Toc337558809"/>
      <w:r>
        <w:rPr>
          <w:rFonts w:hint="eastAsia" w:ascii="宋体" w:hAnsi="宋体" w:eastAsia="宋体" w:cs="宋体"/>
          <w:b/>
          <w:bCs/>
          <w:color w:val="auto"/>
          <w:kern w:val="44"/>
          <w:sz w:val="21"/>
          <w:szCs w:val="21"/>
          <w:highlight w:val="none"/>
        </w:rPr>
        <w:t>13.6 竣工退</w:t>
      </w:r>
      <w:bookmarkEnd w:id="556"/>
      <w:bookmarkEnd w:id="557"/>
      <w:r>
        <w:rPr>
          <w:rFonts w:hint="eastAsia" w:ascii="宋体" w:hAnsi="宋体" w:eastAsia="宋体" w:cs="宋体"/>
          <w:b/>
          <w:bCs/>
          <w:color w:val="auto"/>
          <w:kern w:val="44"/>
          <w:sz w:val="21"/>
          <w:szCs w:val="21"/>
          <w:highlight w:val="none"/>
        </w:rPr>
        <w:t>场</w:t>
      </w:r>
      <w:bookmarkEnd w:id="558"/>
      <w:bookmarkEnd w:id="559"/>
    </w:p>
    <w:bookmarkEnd w:id="560"/>
    <w:p w14:paraId="0FE32CC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13.6.1 竣工退场</w:t>
      </w:r>
    </w:p>
    <w:p w14:paraId="1939AB0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颁发工程接收证书后，承包人应按以下要求对施工现场进行清理：</w:t>
      </w:r>
    </w:p>
    <w:p w14:paraId="54640CF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（1）施工现场内残留的垃圾已全部清除出场；</w:t>
      </w:r>
    </w:p>
    <w:p w14:paraId="1D52CB4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（2）临时工程已拆除，场地已进行清理、平整或复原；</w:t>
      </w:r>
    </w:p>
    <w:p w14:paraId="0C4E4C2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（3）按合同约定应撤离的人员、承包人施工设备和剩余的材料，包括废弃的施工设备和材料，已按计划撤离施工现场；</w:t>
      </w:r>
    </w:p>
    <w:p w14:paraId="32CD0FD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（4）施工现场周边及其附近道路、河道的施工堆积物，已全部清理；</w:t>
      </w:r>
    </w:p>
    <w:p w14:paraId="7FE5C5D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（5）施工现场其他场地清理工作已全部完成。</w:t>
      </w:r>
    </w:p>
    <w:p w14:paraId="2CE3599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8F0CE3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13.6.2 地表还原</w:t>
      </w:r>
    </w:p>
    <w:p w14:paraId="392333E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168BC3D2">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61" w:name="_Toc351203593"/>
      <w:bookmarkStart w:id="562" w:name="_Toc478389138"/>
      <w:bookmarkStart w:id="563" w:name="_Toc337558810"/>
      <w:bookmarkStart w:id="564" w:name="_Toc296503113"/>
      <w:bookmarkStart w:id="565" w:name="_Toc296346614"/>
      <w:r>
        <w:rPr>
          <w:rFonts w:hint="eastAsia" w:ascii="宋体" w:hAnsi="宋体" w:eastAsia="宋体" w:cs="宋体"/>
          <w:b/>
          <w:bCs/>
          <w:color w:val="auto"/>
          <w:kern w:val="44"/>
          <w:sz w:val="21"/>
          <w:szCs w:val="21"/>
          <w:highlight w:val="none"/>
        </w:rPr>
        <w:t>14. 竣工结算</w:t>
      </w:r>
      <w:bookmarkEnd w:id="561"/>
      <w:bookmarkEnd w:id="562"/>
    </w:p>
    <w:bookmarkEnd w:id="563"/>
    <w:p w14:paraId="0AE41606">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66" w:name="_Toc478389139"/>
      <w:bookmarkStart w:id="567" w:name="_Toc351203594"/>
      <w:bookmarkStart w:id="568" w:name="_Toc337558811"/>
      <w:r>
        <w:rPr>
          <w:rFonts w:hint="eastAsia" w:ascii="宋体" w:hAnsi="宋体" w:eastAsia="宋体" w:cs="宋体"/>
          <w:b/>
          <w:bCs/>
          <w:color w:val="auto"/>
          <w:kern w:val="44"/>
          <w:sz w:val="21"/>
          <w:szCs w:val="21"/>
          <w:highlight w:val="none"/>
        </w:rPr>
        <w:t>14.1 竣工结算申请</w:t>
      </w:r>
      <w:bookmarkEnd w:id="566"/>
      <w:bookmarkEnd w:id="567"/>
    </w:p>
    <w:bookmarkEnd w:id="568"/>
    <w:p w14:paraId="6B2DA9A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1D1BAA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除专用合同条款另有约定外，竣工结算申请单应包括以下内容：</w:t>
      </w:r>
    </w:p>
    <w:p w14:paraId="75F2EDB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（1）竣工结算合同价格；</w:t>
      </w:r>
    </w:p>
    <w:p w14:paraId="0395624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（2）发包人已支付承包人的款项；</w:t>
      </w:r>
    </w:p>
    <w:p w14:paraId="14E8735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（3）应扣留的质量保证金； </w:t>
      </w:r>
    </w:p>
    <w:p w14:paraId="349DD53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（4）发包人应支付承包人的合同价款。</w:t>
      </w:r>
    </w:p>
    <w:p w14:paraId="2609FF3E">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69" w:name="_Toc351203595"/>
      <w:bookmarkStart w:id="570" w:name="_Toc478389140"/>
      <w:bookmarkStart w:id="571" w:name="_Toc337558812"/>
      <w:r>
        <w:rPr>
          <w:rFonts w:hint="eastAsia" w:ascii="宋体" w:hAnsi="宋体" w:eastAsia="宋体" w:cs="宋体"/>
          <w:b/>
          <w:bCs/>
          <w:color w:val="auto"/>
          <w:kern w:val="44"/>
          <w:sz w:val="21"/>
          <w:szCs w:val="21"/>
          <w:highlight w:val="none"/>
        </w:rPr>
        <w:t>14.2 竣工结算审核</w:t>
      </w:r>
      <w:bookmarkEnd w:id="569"/>
      <w:bookmarkEnd w:id="570"/>
    </w:p>
    <w:bookmarkEnd w:id="571"/>
    <w:p w14:paraId="6891B9F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997839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4A0B37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411B42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637E593">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72" w:name="_Toc478389141"/>
      <w:bookmarkStart w:id="573" w:name="_Toc351203596"/>
      <w:bookmarkStart w:id="574" w:name="_Toc337558813"/>
      <w:r>
        <w:rPr>
          <w:rFonts w:hint="eastAsia" w:ascii="宋体" w:hAnsi="宋体" w:eastAsia="宋体" w:cs="宋体"/>
          <w:b/>
          <w:bCs/>
          <w:color w:val="auto"/>
          <w:kern w:val="44"/>
          <w:sz w:val="21"/>
          <w:szCs w:val="21"/>
          <w:highlight w:val="none"/>
        </w:rPr>
        <w:t>14.3 甩项竣工协议</w:t>
      </w:r>
      <w:bookmarkEnd w:id="572"/>
      <w:bookmarkEnd w:id="573"/>
    </w:p>
    <w:bookmarkEnd w:id="574"/>
    <w:p w14:paraId="396F09D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73D9B4AD">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75" w:name="_Toc478389142"/>
      <w:bookmarkStart w:id="576" w:name="_Toc351203597"/>
      <w:bookmarkStart w:id="577" w:name="_Toc337558814"/>
      <w:r>
        <w:rPr>
          <w:rFonts w:hint="eastAsia" w:ascii="宋体" w:hAnsi="宋体" w:eastAsia="宋体" w:cs="宋体"/>
          <w:b/>
          <w:bCs/>
          <w:color w:val="auto"/>
          <w:kern w:val="44"/>
          <w:sz w:val="21"/>
          <w:szCs w:val="21"/>
          <w:highlight w:val="none"/>
        </w:rPr>
        <w:t>14.4 最终结清</w:t>
      </w:r>
      <w:bookmarkEnd w:id="575"/>
      <w:bookmarkEnd w:id="576"/>
    </w:p>
    <w:bookmarkEnd w:id="577"/>
    <w:p w14:paraId="01F551C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14.4.1 最终结清申请单</w:t>
      </w:r>
    </w:p>
    <w:p w14:paraId="3B4FF02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（1）除专用合同条款另有约定外，承包人应在缺陷责任期终止证书颁发后7天内，按专用合同条款约定的份数向发包人提交最终结清申请单，并提供相关证明材料。</w:t>
      </w:r>
    </w:p>
    <w:p w14:paraId="04BDCBD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除专用合同条款另有约定外，最终结清申请单应列明质量保证金、应扣除的质量保证金、缺陷责任期内发生的增减费用。</w:t>
      </w:r>
    </w:p>
    <w:p w14:paraId="00429BC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（2）发包人对最终结清申请单内容有异议的，有权要求承包人进行修正和提供补充资料，承包人应向发包人提交修正后的最终结清申请单。</w:t>
      </w:r>
    </w:p>
    <w:p w14:paraId="165EE78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51E3FAE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21D839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14DCD5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（3）承包人对发包人颁发的最终结清证书有异议的，按第20条〔争议解决〕的约定办理。</w:t>
      </w:r>
    </w:p>
    <w:p w14:paraId="10CC2149">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78" w:name="_Toc478389143"/>
      <w:bookmarkStart w:id="579" w:name="_Toc351203598"/>
      <w:bookmarkStart w:id="580" w:name="_Toc337558815"/>
      <w:r>
        <w:rPr>
          <w:rFonts w:hint="eastAsia" w:ascii="宋体" w:hAnsi="宋体" w:eastAsia="宋体" w:cs="宋体"/>
          <w:b/>
          <w:bCs/>
          <w:color w:val="auto"/>
          <w:kern w:val="44"/>
          <w:sz w:val="21"/>
          <w:szCs w:val="21"/>
          <w:highlight w:val="none"/>
        </w:rPr>
        <w:t>15. 缺陷责任与保修</w:t>
      </w:r>
      <w:bookmarkEnd w:id="578"/>
      <w:bookmarkEnd w:id="579"/>
    </w:p>
    <w:bookmarkEnd w:id="564"/>
    <w:bookmarkEnd w:id="565"/>
    <w:bookmarkEnd w:id="580"/>
    <w:p w14:paraId="02259F5A">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81" w:name="_Toc478389144"/>
      <w:bookmarkStart w:id="582" w:name="_Toc351203599"/>
      <w:bookmarkStart w:id="583" w:name="_Toc337558816"/>
      <w:bookmarkStart w:id="584" w:name="_Toc296346615"/>
      <w:bookmarkStart w:id="585" w:name="_Toc296503114"/>
      <w:r>
        <w:rPr>
          <w:rFonts w:hint="eastAsia" w:ascii="宋体" w:hAnsi="宋体" w:eastAsia="宋体" w:cs="宋体"/>
          <w:b/>
          <w:bCs/>
          <w:color w:val="auto"/>
          <w:kern w:val="44"/>
          <w:sz w:val="21"/>
          <w:szCs w:val="21"/>
          <w:highlight w:val="none"/>
        </w:rPr>
        <w:t>15.1 工程保修的原则</w:t>
      </w:r>
      <w:bookmarkEnd w:id="581"/>
      <w:bookmarkEnd w:id="582"/>
    </w:p>
    <w:bookmarkEnd w:id="583"/>
    <w:p w14:paraId="785EEB2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在工程移交发包人后，因承包人原因产生的质量缺陷，承包人应承担质量缺陷责任和保修义务。缺陷责任期届满，承包人仍应按合同约定的工程各部位保修年限承担保修义务。</w:t>
      </w:r>
    </w:p>
    <w:p w14:paraId="6C701E7E">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86" w:name="_Toc351203600"/>
      <w:bookmarkStart w:id="587" w:name="_Toc478389145"/>
      <w:bookmarkStart w:id="588" w:name="_Toc337558817"/>
      <w:r>
        <w:rPr>
          <w:rFonts w:hint="eastAsia" w:ascii="宋体" w:hAnsi="宋体" w:eastAsia="宋体" w:cs="宋体"/>
          <w:b/>
          <w:bCs/>
          <w:color w:val="auto"/>
          <w:kern w:val="44"/>
          <w:sz w:val="21"/>
          <w:szCs w:val="21"/>
          <w:highlight w:val="none"/>
        </w:rPr>
        <w:t>15.2 缺陷责任期</w:t>
      </w:r>
      <w:bookmarkEnd w:id="584"/>
      <w:bookmarkEnd w:id="585"/>
      <w:bookmarkEnd w:id="586"/>
      <w:bookmarkEnd w:id="587"/>
    </w:p>
    <w:bookmarkEnd w:id="588"/>
    <w:p w14:paraId="244ECB2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15.2.1缺陷责任期自实际竣工日期起计算，合同当事人应在专用合同条</w:t>
      </w:r>
      <w:r>
        <w:rPr>
          <w:rFonts w:hint="eastAsia" w:ascii="宋体" w:hAnsi="宋体" w:eastAsia="宋体" w:cs="宋体"/>
          <w:color w:val="auto"/>
          <w:sz w:val="21"/>
          <w:szCs w:val="21"/>
          <w:highlight w:val="none"/>
          <w:lang w:eastAsia="zh-CN"/>
        </w:rPr>
        <w:t>款中</w:t>
      </w:r>
      <w:r>
        <w:rPr>
          <w:rFonts w:hint="eastAsia" w:ascii="宋体" w:hAnsi="宋体" w:eastAsia="宋体" w:cs="宋体"/>
          <w:color w:val="auto"/>
          <w:sz w:val="21"/>
          <w:szCs w:val="21"/>
          <w:highlight w:val="none"/>
        </w:rPr>
        <w:t>约定缺陷责任期的具体期限。</w:t>
      </w:r>
    </w:p>
    <w:p w14:paraId="7DD34E2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2E69617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15.2.2工程竣工验收合格后，因承包人原因导致的缺陷或损坏致使工程、单位工程或某项主要设备不能按原定目的使用的，则发包人有权要求承</w:t>
      </w:r>
      <w:r>
        <w:rPr>
          <w:rFonts w:hint="eastAsia" w:ascii="宋体" w:hAnsi="宋体" w:eastAsia="宋体" w:cs="宋体"/>
          <w:bCs/>
          <w:color w:val="auto"/>
          <w:sz w:val="21"/>
          <w:szCs w:val="21"/>
          <w:highlight w:val="none"/>
        </w:rPr>
        <w:t>包人延长缺陷责任期，</w:t>
      </w:r>
      <w:r>
        <w:rPr>
          <w:rFonts w:hint="eastAsia" w:ascii="宋体" w:hAnsi="宋体" w:eastAsia="宋体" w:cs="宋体"/>
          <w:color w:val="auto"/>
          <w:sz w:val="21"/>
          <w:szCs w:val="21"/>
          <w:highlight w:val="none"/>
        </w:rPr>
        <w:t>并应在原缺陷责任期届满前发出延长通知。</w:t>
      </w:r>
    </w:p>
    <w:p w14:paraId="1BCC05E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15.2.3任何一项缺陷或损坏修复后，经检查证明其影响了工程或工程设备的使用性能，承包人应重新进行合同约定的试验和试运行，试验和试运行的全部费用应由责任方承担。</w:t>
      </w:r>
    </w:p>
    <w:p w14:paraId="7D0ACD7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27A80E4">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589" w:name="_Toc351203601"/>
      <w:bookmarkStart w:id="590" w:name="_Toc478389146"/>
      <w:bookmarkStart w:id="591" w:name="_Toc337558818"/>
      <w:bookmarkStart w:id="592" w:name="_Toc296346616"/>
      <w:bookmarkStart w:id="593" w:name="_Toc296503115"/>
      <w:r>
        <w:rPr>
          <w:rFonts w:hint="eastAsia" w:ascii="宋体" w:hAnsi="宋体" w:eastAsia="宋体" w:cs="宋体"/>
          <w:b/>
          <w:bCs/>
          <w:color w:val="auto"/>
          <w:kern w:val="44"/>
          <w:sz w:val="21"/>
          <w:szCs w:val="21"/>
          <w:highlight w:val="none"/>
        </w:rPr>
        <w:t>15.3 质量保证金</w:t>
      </w:r>
      <w:bookmarkEnd w:id="589"/>
      <w:bookmarkEnd w:id="590"/>
    </w:p>
    <w:bookmarkEnd w:id="591"/>
    <w:p w14:paraId="50AF792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经合同当事人协商一致扣留质量保证金的，应在专用合同条款中予以明确。</w:t>
      </w:r>
    </w:p>
    <w:p w14:paraId="76C6B9B5">
      <w:pPr>
        <w:spacing w:line="420" w:lineRule="exact"/>
        <w:ind w:firstLine="420"/>
        <w:outlineLvl w:val="0"/>
        <w:rPr>
          <w:rFonts w:hint="eastAsia" w:ascii="宋体" w:hAnsi="宋体" w:eastAsia="宋体" w:cs="宋体"/>
          <w:color w:val="auto"/>
          <w:sz w:val="21"/>
          <w:szCs w:val="21"/>
          <w:highlight w:val="none"/>
        </w:rPr>
      </w:pPr>
      <w:bookmarkStart w:id="594" w:name="_Toc478389147"/>
      <w:bookmarkStart w:id="595" w:name="_Toc406419303"/>
      <w:bookmarkStart w:id="596" w:name="_Toc406522178"/>
      <w:r>
        <w:rPr>
          <w:rFonts w:hint="eastAsia" w:ascii="宋体" w:hAnsi="宋体" w:eastAsia="宋体" w:cs="宋体"/>
          <w:color w:val="auto"/>
          <w:sz w:val="21"/>
          <w:szCs w:val="21"/>
          <w:highlight w:val="none"/>
        </w:rPr>
        <w:t>15.3.1 承包人提供质量保证金的方式</w:t>
      </w:r>
      <w:bookmarkEnd w:id="594"/>
      <w:bookmarkEnd w:id="595"/>
      <w:bookmarkEnd w:id="596"/>
    </w:p>
    <w:p w14:paraId="40CF42F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承包人提供质量保证金有以下三种方式：</w:t>
      </w:r>
    </w:p>
    <w:p w14:paraId="6A492BC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（1）质量保证金保函； </w:t>
      </w:r>
    </w:p>
    <w:p w14:paraId="1421BC5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（2）相应比例的工程款；</w:t>
      </w:r>
    </w:p>
    <w:p w14:paraId="6D43859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（3）双方约定的其他方式。</w:t>
      </w:r>
    </w:p>
    <w:p w14:paraId="5269A55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除专用合同条款另有约定外，质量保证金原则上采用上述第（1）种方式。</w:t>
      </w:r>
    </w:p>
    <w:p w14:paraId="39F9A5A5">
      <w:pPr>
        <w:spacing w:line="420" w:lineRule="exact"/>
        <w:ind w:firstLine="420"/>
        <w:outlineLvl w:val="0"/>
        <w:rPr>
          <w:rFonts w:hint="eastAsia" w:ascii="宋体" w:hAnsi="宋体" w:eastAsia="宋体" w:cs="宋体"/>
          <w:color w:val="auto"/>
          <w:sz w:val="21"/>
          <w:szCs w:val="21"/>
          <w:highlight w:val="none"/>
        </w:rPr>
      </w:pPr>
      <w:bookmarkStart w:id="597" w:name="_Toc406522179"/>
      <w:bookmarkStart w:id="598" w:name="_Toc478389148"/>
      <w:bookmarkStart w:id="599" w:name="_Toc406419304"/>
      <w:r>
        <w:rPr>
          <w:rFonts w:hint="eastAsia" w:ascii="宋体" w:hAnsi="宋体" w:eastAsia="宋体" w:cs="宋体"/>
          <w:color w:val="auto"/>
          <w:sz w:val="21"/>
          <w:szCs w:val="21"/>
          <w:highlight w:val="none"/>
        </w:rPr>
        <w:t>15.3.2 质量保证金的扣留</w:t>
      </w:r>
      <w:bookmarkEnd w:id="597"/>
      <w:bookmarkEnd w:id="598"/>
      <w:bookmarkEnd w:id="599"/>
    </w:p>
    <w:p w14:paraId="3954820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质量保证金的扣留有以下三种方式：</w:t>
      </w:r>
    </w:p>
    <w:p w14:paraId="7A0C631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（1）在支付工程进度款时逐次扣留，在此情形下，质量保证金的计算基数不包括预付款的支付、扣回以及价格调整的金额；</w:t>
      </w:r>
    </w:p>
    <w:p w14:paraId="484327F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w:t>
      </w:r>
      <w:bookmarkStart w:id="600" w:name="#go6"/>
      <w:bookmarkEnd w:id="600"/>
      <w:r>
        <w:rPr>
          <w:rFonts w:hint="eastAsia" w:ascii="宋体" w:hAnsi="宋体" w:eastAsia="宋体" w:cs="宋体"/>
          <w:color w:val="auto"/>
          <w:sz w:val="21"/>
          <w:szCs w:val="21"/>
          <w:highlight w:val="none"/>
        </w:rPr>
        <w:t>程竣工结算时一次性扣留质量保证金；</w:t>
      </w:r>
    </w:p>
    <w:p w14:paraId="53607C0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（3）双方约定的其他扣留方式。</w:t>
      </w:r>
    </w:p>
    <w:p w14:paraId="37820D5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除专用合同条款另有约定外，质量保证金的扣留原则上采用上述第（1）种方式。</w:t>
      </w:r>
    </w:p>
    <w:p w14:paraId="134616A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w:t>
      </w:r>
      <w:bookmarkStart w:id="601" w:name="#go4"/>
      <w:bookmarkEnd w:id="601"/>
      <w:r>
        <w:rPr>
          <w:rFonts w:hint="eastAsia" w:ascii="宋体" w:hAnsi="宋体" w:eastAsia="宋体" w:cs="宋体"/>
          <w:color w:val="auto"/>
          <w:sz w:val="21"/>
          <w:szCs w:val="21"/>
          <w:highlight w:val="none"/>
        </w:rPr>
        <w:t>包人累计扣留的质量保证金不得超过结算合同价格的3%，如承包人在发包人签发竣工付款证书后28天内提交质量保证金保函，发包人应同时退还扣留的作为质量保证金的工程价款。</w:t>
      </w:r>
    </w:p>
    <w:p w14:paraId="02DEBA1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15.3.3 质量保证金的退还</w:t>
      </w:r>
    </w:p>
    <w:p w14:paraId="3594CBA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发包人应按14.4款〔最终结清〕的约定退还质量保证金。</w:t>
      </w:r>
    </w:p>
    <w:p w14:paraId="2855CFB1">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02" w:name="_Toc478389149"/>
      <w:bookmarkStart w:id="603" w:name="_Toc351203602"/>
      <w:bookmarkStart w:id="604" w:name="_Toc337558819"/>
      <w:r>
        <w:rPr>
          <w:rFonts w:hint="eastAsia" w:ascii="宋体" w:hAnsi="宋体" w:eastAsia="宋体" w:cs="宋体"/>
          <w:b/>
          <w:bCs/>
          <w:color w:val="auto"/>
          <w:kern w:val="44"/>
          <w:sz w:val="21"/>
          <w:szCs w:val="21"/>
          <w:highlight w:val="none"/>
        </w:rPr>
        <w:t>15.4 保修</w:t>
      </w:r>
      <w:bookmarkEnd w:id="602"/>
      <w:bookmarkEnd w:id="603"/>
    </w:p>
    <w:bookmarkEnd w:id="592"/>
    <w:bookmarkEnd w:id="593"/>
    <w:bookmarkEnd w:id="604"/>
    <w:p w14:paraId="7F0D73B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15.4.1保修责任</w:t>
      </w:r>
    </w:p>
    <w:p w14:paraId="421E33F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BBB580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发包人未经竣工验收擅自使用工程的，保修期自转移占有之日起算。</w:t>
      </w:r>
    </w:p>
    <w:p w14:paraId="7D2CD636">
      <w:pPr>
        <w:spacing w:line="420" w:lineRule="exact"/>
        <w:ind w:firstLine="420"/>
        <w:outlineLvl w:val="0"/>
        <w:rPr>
          <w:rFonts w:hint="eastAsia" w:ascii="宋体" w:hAnsi="宋体" w:eastAsia="宋体" w:cs="宋体"/>
          <w:color w:val="auto"/>
          <w:sz w:val="21"/>
          <w:szCs w:val="21"/>
          <w:highlight w:val="none"/>
        </w:rPr>
      </w:pPr>
      <w:bookmarkStart w:id="605" w:name="_Toc478389150"/>
      <w:r>
        <w:rPr>
          <w:rFonts w:hint="eastAsia" w:ascii="宋体" w:hAnsi="宋体" w:eastAsia="宋体" w:cs="宋体"/>
          <w:color w:val="auto"/>
          <w:sz w:val="21"/>
          <w:szCs w:val="21"/>
          <w:highlight w:val="none"/>
        </w:rPr>
        <w:t>15.4.2 修复费用</w:t>
      </w:r>
      <w:bookmarkEnd w:id="605"/>
    </w:p>
    <w:p w14:paraId="3C22D55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保修期内，修复的费用按照以下约定处理：</w:t>
      </w:r>
    </w:p>
    <w:p w14:paraId="1F606BD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（1）保修期内，因承包人原因造成工程的缺陷、损坏，承包人应负责修复，并承担修复的费用以及因工程的缺陷、损坏造成的人身伤害和财产损失；</w:t>
      </w:r>
    </w:p>
    <w:p w14:paraId="5114DD4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（2）保修期内，因发包人使用不当造成工程的缺陷、损坏，可以委托承包人修复，但发包人应承担修复的费用，并支付承包人合理利润；</w:t>
      </w:r>
    </w:p>
    <w:p w14:paraId="287A016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（3）因其他原因造成工程的缺陷、损坏，可以委托承包人修复，发包人应承担修复的费用，并支付承包人合理的利润，因工程的缺陷、损坏造成的人身伤害和财产损失由责任方承担。</w:t>
      </w:r>
    </w:p>
    <w:p w14:paraId="6B93A12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14:paraId="1999665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CF84BCF">
      <w:pPr>
        <w:spacing w:line="420" w:lineRule="exact"/>
        <w:ind w:firstLine="420"/>
        <w:outlineLvl w:val="0"/>
        <w:rPr>
          <w:rFonts w:hint="eastAsia" w:ascii="宋体" w:hAnsi="宋体" w:eastAsia="宋体" w:cs="宋体"/>
          <w:color w:val="auto"/>
          <w:sz w:val="21"/>
          <w:szCs w:val="21"/>
          <w:highlight w:val="none"/>
        </w:rPr>
      </w:pPr>
      <w:bookmarkStart w:id="606" w:name="_Toc478389151"/>
      <w:r>
        <w:rPr>
          <w:rFonts w:hint="eastAsia" w:ascii="宋体" w:hAnsi="宋体" w:eastAsia="宋体" w:cs="宋体"/>
          <w:color w:val="auto"/>
          <w:sz w:val="21"/>
          <w:szCs w:val="21"/>
          <w:highlight w:val="none"/>
        </w:rPr>
        <w:t>15.4.4 未能修复</w:t>
      </w:r>
      <w:bookmarkEnd w:id="606"/>
    </w:p>
    <w:p w14:paraId="4C81181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F87218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15.4.5 承包人出入权</w:t>
      </w:r>
    </w:p>
    <w:p w14:paraId="4E1DD75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9DBE1C6">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07" w:name="_Toc478389152"/>
      <w:bookmarkStart w:id="608" w:name="_Toc351203603"/>
      <w:bookmarkStart w:id="609" w:name="_Toc337558820"/>
      <w:r>
        <w:rPr>
          <w:rFonts w:hint="eastAsia" w:ascii="宋体" w:hAnsi="宋体" w:eastAsia="宋体" w:cs="宋体"/>
          <w:b/>
          <w:bCs/>
          <w:color w:val="auto"/>
          <w:kern w:val="44"/>
          <w:sz w:val="21"/>
          <w:szCs w:val="21"/>
          <w:highlight w:val="none"/>
        </w:rPr>
        <w:t>16. 违约</w:t>
      </w:r>
      <w:bookmarkEnd w:id="607"/>
      <w:bookmarkEnd w:id="608"/>
    </w:p>
    <w:bookmarkEnd w:id="609"/>
    <w:p w14:paraId="337164B6">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10" w:name="_Toc296503129"/>
      <w:bookmarkStart w:id="611" w:name="_Toc296346630"/>
      <w:bookmarkStart w:id="612" w:name="_Toc351203604"/>
      <w:bookmarkStart w:id="613" w:name="_Toc478389153"/>
      <w:bookmarkStart w:id="614" w:name="_Toc337558821"/>
      <w:r>
        <w:rPr>
          <w:rFonts w:hint="eastAsia" w:ascii="宋体" w:hAnsi="宋体" w:eastAsia="宋体" w:cs="宋体"/>
          <w:b/>
          <w:bCs/>
          <w:color w:val="auto"/>
          <w:kern w:val="44"/>
          <w:sz w:val="21"/>
          <w:szCs w:val="21"/>
          <w:highlight w:val="none"/>
        </w:rPr>
        <w:t>16.1 发</w:t>
      </w:r>
      <w:bookmarkEnd w:id="610"/>
      <w:bookmarkEnd w:id="611"/>
      <w:r>
        <w:rPr>
          <w:rFonts w:hint="eastAsia" w:ascii="宋体" w:hAnsi="宋体" w:eastAsia="宋体" w:cs="宋体"/>
          <w:b/>
          <w:bCs/>
          <w:color w:val="auto"/>
          <w:kern w:val="44"/>
          <w:sz w:val="21"/>
          <w:szCs w:val="21"/>
          <w:highlight w:val="none"/>
        </w:rPr>
        <w:t>包人违约</w:t>
      </w:r>
      <w:bookmarkEnd w:id="612"/>
      <w:bookmarkEnd w:id="613"/>
    </w:p>
    <w:bookmarkEnd w:id="614"/>
    <w:p w14:paraId="203176A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 发包人违约的情形</w:t>
      </w:r>
    </w:p>
    <w:p w14:paraId="24A1CB0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在合同履行过程中发生的下列情形，属于发包人违约：</w:t>
      </w:r>
    </w:p>
    <w:p w14:paraId="6DF65D4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（1）因发包人原因未能在计划开工日期前7天内下达开工通知的；</w:t>
      </w:r>
    </w:p>
    <w:p w14:paraId="1F662EB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（2）因发包人原因未能按合同约定支付合同价款的；</w:t>
      </w:r>
    </w:p>
    <w:p w14:paraId="2E19D60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（3）发包人违反第10.1款〔变更的范围〕第（2）项约定，自行实施被取消的工作或转由他人实施的；</w:t>
      </w:r>
    </w:p>
    <w:p w14:paraId="3033A37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（4）发包人提供的材料、工程设备的规格、数量或质量不符合合同约定，或因发包人原因导致交货日期延误或交货地点变更等情况的；</w:t>
      </w:r>
    </w:p>
    <w:p w14:paraId="481270B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（5）因发包人违反合同约定造成暂停施工的；</w:t>
      </w:r>
    </w:p>
    <w:p w14:paraId="067B9CB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（6）发包人无正当理由没有在约定期限内发出复工指示，导致承包人无法复工的；</w:t>
      </w:r>
    </w:p>
    <w:p w14:paraId="4F38BA3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（7）发包人明确表示或者以其行为表明不履行合同主要义务的；</w:t>
      </w:r>
    </w:p>
    <w:p w14:paraId="4E4D2C6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（8）发包人未能按照合同约定履行其他义务的。</w:t>
      </w:r>
    </w:p>
    <w:p w14:paraId="01ADED8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87EE43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16.1.2 发包人违约的责任</w:t>
      </w:r>
    </w:p>
    <w:p w14:paraId="0704AE2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5998E44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597B0AA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054BA2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16.1.4 因发包人违约解除合同后的付款</w:t>
      </w:r>
    </w:p>
    <w:p w14:paraId="2D7746D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承包人按照本款约定解除合同的，发包人应在解除合同后28天内支付下列款项，并解除履约保证金：</w:t>
      </w:r>
    </w:p>
    <w:p w14:paraId="53E453B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（1）合同解除前所完成工作的价款；</w:t>
      </w:r>
    </w:p>
    <w:p w14:paraId="796C1EC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（2）承包人为工程施工订购并已付款的材料、工程设备和其他物品的价款；</w:t>
      </w:r>
    </w:p>
    <w:p w14:paraId="43E63BF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（3）承包人撤离施工现场以及遣散承包人人员的款项；</w:t>
      </w:r>
    </w:p>
    <w:p w14:paraId="72986EF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（4）按照合同约定在合同解除前应支付的违约金；</w:t>
      </w:r>
    </w:p>
    <w:p w14:paraId="5CE6D97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（5）按照合同约定应当支付给承包人的其他款项；</w:t>
      </w:r>
    </w:p>
    <w:p w14:paraId="1F30B5D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（6）按照合同约定应退还的质量保证金；</w:t>
      </w:r>
    </w:p>
    <w:p w14:paraId="2ABDDC1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（7）因解除合同给承包人造成的损失。</w:t>
      </w:r>
    </w:p>
    <w:p w14:paraId="50B235E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合同当事人未能就解除合同后的结清达成一致的，按照第20条〔争议解决〕的约定处理。</w:t>
      </w:r>
    </w:p>
    <w:p w14:paraId="5FCAB1F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承包人应妥善做好已完工程和与工程有关的已购材料、工程设备的保护和移交工作，并将施工设备和人员撤出施工现场，发包人应为承包人撤出提供必要条件。</w:t>
      </w:r>
    </w:p>
    <w:p w14:paraId="7E1927EA">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15" w:name="_Toc478389154"/>
      <w:bookmarkStart w:id="616" w:name="_Toc351203605"/>
      <w:bookmarkStart w:id="617" w:name="_Toc296503131"/>
      <w:bookmarkStart w:id="618" w:name="_Toc296346632"/>
      <w:bookmarkStart w:id="619" w:name="_Toc337558822"/>
      <w:r>
        <w:rPr>
          <w:rFonts w:hint="eastAsia" w:ascii="宋体" w:hAnsi="宋体" w:eastAsia="宋体" w:cs="宋体"/>
          <w:b/>
          <w:bCs/>
          <w:color w:val="auto"/>
          <w:kern w:val="44"/>
          <w:sz w:val="21"/>
          <w:szCs w:val="21"/>
          <w:highlight w:val="none"/>
        </w:rPr>
        <w:t>16.2 承包人违约</w:t>
      </w:r>
      <w:bookmarkEnd w:id="615"/>
      <w:bookmarkEnd w:id="616"/>
    </w:p>
    <w:bookmarkEnd w:id="617"/>
    <w:bookmarkEnd w:id="618"/>
    <w:bookmarkEnd w:id="619"/>
    <w:p w14:paraId="261D332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16.2.1 承包人违约的情形</w:t>
      </w:r>
    </w:p>
    <w:p w14:paraId="493FE51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在合同履行过程中发生的下列情形，属于承包人违约：</w:t>
      </w:r>
    </w:p>
    <w:p w14:paraId="3344643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（1）承包人违反合同约定进行转包或违法分包的；</w:t>
      </w:r>
    </w:p>
    <w:p w14:paraId="61C683E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（2）承包人违反合同约定采购和使用不合格的材料和工程设备的；</w:t>
      </w:r>
    </w:p>
    <w:p w14:paraId="17BF058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（3）因承包人原因导致工程质量不符合合同要求的； </w:t>
      </w:r>
    </w:p>
    <w:p w14:paraId="16446A0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（4）承包人违反第8.9款〔材料与设备专用要求〕的约定，未经批准，私自将已按照合同约定进入施工现场的材料或设备撤离施工现场的；</w:t>
      </w:r>
    </w:p>
    <w:p w14:paraId="59A57CA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（5）承包人未能按施工进度计划及时完成合同约定的工作，造成工期延误的；</w:t>
      </w:r>
    </w:p>
    <w:p w14:paraId="3CAB8C7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（6）承包人在缺陷责任期及保修期内，未能在合理期</w:t>
      </w:r>
      <w:r>
        <w:rPr>
          <w:rFonts w:hint="eastAsia" w:ascii="宋体" w:hAnsi="宋体" w:eastAsia="宋体" w:cs="宋体"/>
          <w:color w:val="auto"/>
          <w:sz w:val="21"/>
          <w:szCs w:val="21"/>
          <w:highlight w:val="none"/>
          <w:lang w:eastAsia="zh-CN"/>
        </w:rPr>
        <w:t>限内</w:t>
      </w:r>
      <w:r>
        <w:rPr>
          <w:rFonts w:hint="eastAsia" w:ascii="宋体" w:hAnsi="宋体" w:eastAsia="宋体" w:cs="宋体"/>
          <w:color w:val="auto"/>
          <w:sz w:val="21"/>
          <w:szCs w:val="21"/>
          <w:highlight w:val="none"/>
        </w:rPr>
        <w:t>对工程缺陷进行修复，或拒绝按发包人要求进行修复的；</w:t>
      </w:r>
    </w:p>
    <w:p w14:paraId="1C37EEB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（7）承包人明确表示或者以其行为表明不履行合同主要义务的；</w:t>
      </w:r>
    </w:p>
    <w:p w14:paraId="28CCF11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（8）承包人未能按照合同约定履行其他义务的。</w:t>
      </w:r>
    </w:p>
    <w:p w14:paraId="594AC63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承包人发生除本项第（7）目约定以外的其他违约情况时，监理人可向承包人发出整改通知，要求其在指定的期限内改正。</w:t>
      </w:r>
    </w:p>
    <w:p w14:paraId="24A22BC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16.2.2 承包人违约的责任</w:t>
      </w:r>
    </w:p>
    <w:p w14:paraId="7C76534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承包人应承担因其违约行为而增加的费用和（或）延误的工期。此外，合同当事人可在专用合同条款中另行约定承包人违约责任的承担方式和计算方法。</w:t>
      </w:r>
    </w:p>
    <w:p w14:paraId="62667AE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14:paraId="1086BAB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w:t>
      </w:r>
      <w:r>
        <w:rPr>
          <w:rFonts w:hint="eastAsia" w:ascii="宋体" w:hAnsi="宋体" w:eastAsia="宋体" w:cs="宋体"/>
          <w:color w:val="auto"/>
          <w:sz w:val="21"/>
          <w:szCs w:val="21"/>
          <w:highlight w:val="none"/>
          <w:lang w:eastAsia="zh-CN"/>
        </w:rPr>
        <w:t>款中</w:t>
      </w:r>
      <w:r>
        <w:rPr>
          <w:rFonts w:hint="eastAsia" w:ascii="宋体" w:hAnsi="宋体" w:eastAsia="宋体" w:cs="宋体"/>
          <w:color w:val="auto"/>
          <w:sz w:val="21"/>
          <w:szCs w:val="21"/>
          <w:highlight w:val="none"/>
        </w:rPr>
        <w:t>约定相应费用的承担方式。发包人继续使用的行为不免除或减轻承包人应承担的违约责任。</w:t>
      </w:r>
    </w:p>
    <w:p w14:paraId="1BB6493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16.2.4因承包人违约解除合同后的处理</w:t>
      </w:r>
    </w:p>
    <w:p w14:paraId="3B24709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因承包人原因导致合同解除的，则合同当事人应在合同解除后28天内完成估价、付款和清算，并按以下约定执行：</w:t>
      </w:r>
    </w:p>
    <w:p w14:paraId="7FFF487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（1）合同解除后，按第4.4款〔商定或确定〕商定或确定承包人实际完成工作对应的合同价款，以及承包人已提供的材料、工程设备、施工设备和临时工程等的价值；</w:t>
      </w:r>
    </w:p>
    <w:p w14:paraId="7F8CA6C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（2）合同解除后，承包人应支付的违约金；</w:t>
      </w:r>
    </w:p>
    <w:p w14:paraId="51E6B8C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（3）合同解除后，因解除合同给发包人造成的损失；</w:t>
      </w:r>
    </w:p>
    <w:p w14:paraId="1B4C2CE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（4）合同解除后，承包人应按照发包人要求和监理人的指示完成现场的清理和撤离；</w:t>
      </w:r>
    </w:p>
    <w:p w14:paraId="54623AC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（5）发包人和承包人应在合同解除后进行清算，出具最终结清付款证书，结清全部款项。</w:t>
      </w:r>
    </w:p>
    <w:p w14:paraId="5775E75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6138E8E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16.2.5采购合同权益转让</w:t>
      </w:r>
    </w:p>
    <w:p w14:paraId="5F4B6F6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BFED1C9">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20" w:name="_Toc351203606"/>
      <w:bookmarkStart w:id="621" w:name="_Toc478389155"/>
      <w:r>
        <w:rPr>
          <w:rFonts w:hint="eastAsia" w:ascii="宋体" w:hAnsi="宋体" w:eastAsia="宋体" w:cs="宋体"/>
          <w:b/>
          <w:bCs/>
          <w:color w:val="auto"/>
          <w:kern w:val="44"/>
          <w:sz w:val="21"/>
          <w:szCs w:val="21"/>
          <w:highlight w:val="none"/>
        </w:rPr>
        <w:t>16.3 第三人造成的违约</w:t>
      </w:r>
      <w:bookmarkEnd w:id="620"/>
      <w:bookmarkEnd w:id="621"/>
    </w:p>
    <w:p w14:paraId="29C2EB6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在履行合同过程中，一方当事人因第三人的原因造成违约的，应当向对方当事人承担违约责任。一方当事人和第三人之间的纠纷，依照法律规定或者按照约定解决。</w:t>
      </w:r>
    </w:p>
    <w:p w14:paraId="35CDB119">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22" w:name="_Toc337558823"/>
      <w:bookmarkStart w:id="623" w:name="_Toc296503116"/>
      <w:bookmarkStart w:id="624" w:name="_Toc478389156"/>
      <w:bookmarkStart w:id="625" w:name="_Toc296346617"/>
      <w:bookmarkStart w:id="626" w:name="_Toc351203607"/>
      <w:r>
        <w:rPr>
          <w:rFonts w:hint="eastAsia" w:ascii="宋体" w:hAnsi="宋体" w:eastAsia="宋体" w:cs="宋体"/>
          <w:b/>
          <w:bCs/>
          <w:color w:val="auto"/>
          <w:kern w:val="44"/>
          <w:sz w:val="21"/>
          <w:szCs w:val="21"/>
          <w:highlight w:val="none"/>
        </w:rPr>
        <w:t>17. 不可抗力</w:t>
      </w:r>
      <w:bookmarkEnd w:id="622"/>
      <w:bookmarkEnd w:id="623"/>
      <w:bookmarkEnd w:id="624"/>
      <w:bookmarkEnd w:id="625"/>
      <w:bookmarkEnd w:id="626"/>
    </w:p>
    <w:p w14:paraId="2F0FEE64">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27" w:name="_Toc351203608"/>
      <w:bookmarkStart w:id="628" w:name="_Toc478389157"/>
      <w:bookmarkStart w:id="629" w:name="_Toc296346618"/>
      <w:bookmarkStart w:id="630" w:name="_Toc337558824"/>
      <w:bookmarkStart w:id="631" w:name="_Toc296503117"/>
      <w:r>
        <w:rPr>
          <w:rFonts w:hint="eastAsia" w:ascii="宋体" w:hAnsi="宋体" w:eastAsia="宋体" w:cs="宋体"/>
          <w:b/>
          <w:bCs/>
          <w:color w:val="auto"/>
          <w:kern w:val="44"/>
          <w:sz w:val="21"/>
          <w:szCs w:val="21"/>
          <w:highlight w:val="none"/>
        </w:rPr>
        <w:t>17.1 不可抗力的确认</w:t>
      </w:r>
      <w:bookmarkEnd w:id="627"/>
      <w:bookmarkEnd w:id="628"/>
    </w:p>
    <w:bookmarkEnd w:id="629"/>
    <w:bookmarkEnd w:id="630"/>
    <w:bookmarkEnd w:id="631"/>
    <w:p w14:paraId="113931C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5A380CD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33508020">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32" w:name="_Toc478389158"/>
      <w:bookmarkStart w:id="633" w:name="_Toc351203609"/>
      <w:bookmarkStart w:id="634" w:name="_Toc296346619"/>
      <w:bookmarkStart w:id="635" w:name="_Toc337558825"/>
      <w:bookmarkStart w:id="636" w:name="_Toc296503118"/>
      <w:r>
        <w:rPr>
          <w:rFonts w:hint="eastAsia" w:ascii="宋体" w:hAnsi="宋体" w:eastAsia="宋体" w:cs="宋体"/>
          <w:b/>
          <w:bCs/>
          <w:color w:val="auto"/>
          <w:kern w:val="44"/>
          <w:sz w:val="21"/>
          <w:szCs w:val="21"/>
          <w:highlight w:val="none"/>
        </w:rPr>
        <w:t>17.2 不可抗力的通知</w:t>
      </w:r>
      <w:bookmarkEnd w:id="632"/>
      <w:bookmarkEnd w:id="633"/>
    </w:p>
    <w:bookmarkEnd w:id="634"/>
    <w:bookmarkEnd w:id="635"/>
    <w:bookmarkEnd w:id="636"/>
    <w:p w14:paraId="3250091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合同一方当事人遇到不可抗力事件，使其履行合同义务受到阻碍时，应立即通知合同另一方当事人和监理人，书面说明不可抗力和受阻碍的详细情况，并提供必要的证明。</w:t>
      </w:r>
    </w:p>
    <w:p w14:paraId="4378A8EB">
      <w:pPr>
        <w:spacing w:line="42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06F50DC0">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37" w:name="_Toc351203610"/>
      <w:bookmarkStart w:id="638" w:name="_Toc478389159"/>
      <w:bookmarkStart w:id="639" w:name="_Toc337558826"/>
      <w:bookmarkStart w:id="640" w:name="_Toc296503119"/>
      <w:bookmarkStart w:id="641" w:name="_Toc296346620"/>
      <w:r>
        <w:rPr>
          <w:rFonts w:hint="eastAsia" w:ascii="宋体" w:hAnsi="宋体" w:eastAsia="宋体" w:cs="宋体"/>
          <w:b/>
          <w:bCs/>
          <w:color w:val="auto"/>
          <w:kern w:val="44"/>
          <w:sz w:val="21"/>
          <w:szCs w:val="21"/>
          <w:highlight w:val="none"/>
        </w:rPr>
        <w:t>17.3 不可抗力后果的承担</w:t>
      </w:r>
      <w:bookmarkEnd w:id="637"/>
      <w:bookmarkEnd w:id="638"/>
    </w:p>
    <w:bookmarkEnd w:id="639"/>
    <w:bookmarkEnd w:id="640"/>
    <w:bookmarkEnd w:id="641"/>
    <w:p w14:paraId="021D321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17.3.1不可抗力引起的后果及造成的损失由合同当事人按照法律规定及合同约定各自承担。不可抗力发生前已完成的工程应当按照合同约定进行计量支付。</w:t>
      </w:r>
    </w:p>
    <w:p w14:paraId="3516ED0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17.3.2不可抗力导致的人员伤亡、财产损失、费用增加和（或）工期延误等后果，由合同当事人按以下原则承担：</w:t>
      </w:r>
    </w:p>
    <w:p w14:paraId="4B8EFAA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（1）永久工程、已运至施工现场的材料和工程设备的损坏，以及因工程损坏造成的第三人人员伤亡和财产损失由发包人承担；</w:t>
      </w:r>
    </w:p>
    <w:p w14:paraId="4731FD5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（2）承包人施工设备的损坏由承包人承担；</w:t>
      </w:r>
    </w:p>
    <w:p w14:paraId="63D06F9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（3）发包人和承包人承担各自人员伤亡和财产的损失；</w:t>
      </w:r>
    </w:p>
    <w:p w14:paraId="4E56835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7F8BDD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（5）因不可抗力引起或将引起工期延误，发包人要求赶工的，由此增加的赶工费用由发包人承担；</w:t>
      </w:r>
    </w:p>
    <w:p w14:paraId="4C981E9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（6）承包人在停工期间按照发包人要求照管、清理和修复工程的费用由发包人承担。</w:t>
      </w:r>
    </w:p>
    <w:p w14:paraId="02DABB9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不可抗力发生后，合同当事人均应采取措施尽量避免和减少损失的扩大，任何一方当事人没有采取有效措施导致损失扩大的，应对扩大的损失承担责任。</w:t>
      </w:r>
    </w:p>
    <w:p w14:paraId="1C5B217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因合同一方迟延履行合同义务，在迟延履行期间遭遇不可抗力的，不免除其违约责任。</w:t>
      </w:r>
    </w:p>
    <w:p w14:paraId="6F1FA001">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42" w:name="_Toc351203611"/>
      <w:bookmarkStart w:id="643" w:name="_Toc478389160"/>
      <w:bookmarkStart w:id="644" w:name="_Toc337558827"/>
      <w:r>
        <w:rPr>
          <w:rFonts w:hint="eastAsia" w:ascii="宋体" w:hAnsi="宋体" w:eastAsia="宋体" w:cs="宋体"/>
          <w:b/>
          <w:bCs/>
          <w:color w:val="auto"/>
          <w:kern w:val="44"/>
          <w:sz w:val="21"/>
          <w:szCs w:val="21"/>
          <w:highlight w:val="none"/>
        </w:rPr>
        <w:t>17.4 因不可抗力解除合同</w:t>
      </w:r>
      <w:bookmarkEnd w:id="642"/>
      <w:bookmarkEnd w:id="643"/>
    </w:p>
    <w:bookmarkEnd w:id="644"/>
    <w:p w14:paraId="2B4A4C0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5C53D0E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（1）合同解除前承包人已完成工作的价款；</w:t>
      </w:r>
    </w:p>
    <w:p w14:paraId="168233B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（2）承包人为工程订购的并已交付给承包人，或承包人有责任接受交付的材料、工程设备和其他物品的价款；</w:t>
      </w:r>
    </w:p>
    <w:p w14:paraId="1C07C33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（3）发包人要求承包人退货或解除订货合同而产生的费用，或因不能退货或解除合同而产生的损失；</w:t>
      </w:r>
    </w:p>
    <w:p w14:paraId="70D9AC0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（4）承包人撤离施工现场以及遣散承包人人员的费用；</w:t>
      </w:r>
    </w:p>
    <w:p w14:paraId="69A8D96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（5）按照合同约定在合同解除前应支付给承包人的其他款项；</w:t>
      </w:r>
    </w:p>
    <w:p w14:paraId="0DA987C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（6）扣减承包人按照合同约定应向发包人支付的款项；</w:t>
      </w:r>
    </w:p>
    <w:p w14:paraId="3BC9E58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（7）双方商定或确定的其他款项。</w:t>
      </w:r>
    </w:p>
    <w:p w14:paraId="4B786EB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除专用合同条款另有约定外，合同解除后，发包人应在商定或确定上述款项后28天内完成上述款项的支付。</w:t>
      </w:r>
    </w:p>
    <w:p w14:paraId="663D8062">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45" w:name="_Toc478389161"/>
      <w:bookmarkStart w:id="646" w:name="_Toc351203612"/>
      <w:bookmarkStart w:id="647" w:name="_Toc296346621"/>
      <w:bookmarkStart w:id="648" w:name="_Toc337558828"/>
      <w:bookmarkStart w:id="649" w:name="_Toc296503120"/>
      <w:r>
        <w:rPr>
          <w:rFonts w:hint="eastAsia" w:ascii="宋体" w:hAnsi="宋体" w:eastAsia="宋体" w:cs="宋体"/>
          <w:b/>
          <w:bCs/>
          <w:color w:val="auto"/>
          <w:kern w:val="44"/>
          <w:sz w:val="21"/>
          <w:szCs w:val="21"/>
          <w:highlight w:val="none"/>
        </w:rPr>
        <w:t>18. 保险</w:t>
      </w:r>
      <w:bookmarkEnd w:id="645"/>
      <w:bookmarkEnd w:id="646"/>
    </w:p>
    <w:bookmarkEnd w:id="647"/>
    <w:bookmarkEnd w:id="648"/>
    <w:bookmarkEnd w:id="649"/>
    <w:p w14:paraId="60731820">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50" w:name="_Toc351203613"/>
      <w:bookmarkStart w:id="651" w:name="_Toc478389162"/>
      <w:bookmarkStart w:id="652" w:name="_Toc296503121"/>
      <w:bookmarkStart w:id="653" w:name="_Toc337558829"/>
      <w:bookmarkStart w:id="654" w:name="_Toc296346622"/>
      <w:r>
        <w:rPr>
          <w:rFonts w:hint="eastAsia" w:ascii="宋体" w:hAnsi="宋体" w:eastAsia="宋体" w:cs="宋体"/>
          <w:b/>
          <w:bCs/>
          <w:color w:val="auto"/>
          <w:kern w:val="44"/>
          <w:sz w:val="21"/>
          <w:szCs w:val="21"/>
          <w:highlight w:val="none"/>
        </w:rPr>
        <w:t>18.1 工程保险</w:t>
      </w:r>
      <w:bookmarkEnd w:id="650"/>
      <w:bookmarkEnd w:id="651"/>
    </w:p>
    <w:bookmarkEnd w:id="652"/>
    <w:bookmarkEnd w:id="653"/>
    <w:bookmarkEnd w:id="654"/>
    <w:p w14:paraId="3A716C6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除专用合同条款另有约定外，发包人应投保建筑工程一切险或安装工程一切险；发包人委托承包人投保的，因投保产生的保险费和其他相关费用由发包人承担。</w:t>
      </w:r>
    </w:p>
    <w:p w14:paraId="2C57762B">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55" w:name="_Toc351203614"/>
      <w:bookmarkStart w:id="656" w:name="_Toc478389163"/>
      <w:bookmarkStart w:id="657" w:name="_Toc296503122"/>
      <w:bookmarkStart w:id="658" w:name="_Toc337558830"/>
      <w:bookmarkStart w:id="659" w:name="_Toc296346623"/>
      <w:r>
        <w:rPr>
          <w:rFonts w:hint="eastAsia" w:ascii="宋体" w:hAnsi="宋体" w:eastAsia="宋体" w:cs="宋体"/>
          <w:b/>
          <w:bCs/>
          <w:color w:val="auto"/>
          <w:kern w:val="44"/>
          <w:sz w:val="21"/>
          <w:szCs w:val="21"/>
          <w:highlight w:val="none"/>
        </w:rPr>
        <w:t>18.2 工伤保险</w:t>
      </w:r>
      <w:bookmarkEnd w:id="655"/>
      <w:bookmarkEnd w:id="656"/>
    </w:p>
    <w:bookmarkEnd w:id="657"/>
    <w:bookmarkEnd w:id="658"/>
    <w:bookmarkEnd w:id="659"/>
    <w:p w14:paraId="325D1A8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18.2.1发包人应依照法律规定参加工伤保险，并为在施工现场的全部员工办理工伤保险，缴纳工伤保险费，并要求监理人及由发包人为履行合同聘请的第三方依法参加工伤保险。</w:t>
      </w:r>
    </w:p>
    <w:p w14:paraId="38D05F4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18.2.2承包人应依照法律规定参加工伤保险，并为其履行合同的全部员工办理工伤保险，缴纳工伤保险费，并要求分包人及由承包人为履行合同聘请的第三方依法参加工伤保险。</w:t>
      </w:r>
    </w:p>
    <w:p w14:paraId="2CE3E848">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60" w:name="_Toc478389164"/>
      <w:bookmarkStart w:id="661" w:name="_Toc351203615"/>
      <w:bookmarkStart w:id="662" w:name="_Toc296346626"/>
      <w:bookmarkStart w:id="663" w:name="_Toc337558831"/>
      <w:bookmarkStart w:id="664" w:name="_Toc296503125"/>
      <w:r>
        <w:rPr>
          <w:rFonts w:hint="eastAsia" w:ascii="宋体" w:hAnsi="宋体" w:eastAsia="宋体" w:cs="宋体"/>
          <w:b/>
          <w:bCs/>
          <w:color w:val="auto"/>
          <w:kern w:val="44"/>
          <w:sz w:val="21"/>
          <w:szCs w:val="21"/>
          <w:highlight w:val="none"/>
        </w:rPr>
        <w:t>18.3其他保险</w:t>
      </w:r>
      <w:bookmarkEnd w:id="660"/>
      <w:bookmarkEnd w:id="661"/>
    </w:p>
    <w:bookmarkEnd w:id="662"/>
    <w:bookmarkEnd w:id="663"/>
    <w:bookmarkEnd w:id="664"/>
    <w:p w14:paraId="3E52E28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0CCA379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除专用合同条款另有约定外，承包人应为其施工设备等办理财产保险。</w:t>
      </w:r>
    </w:p>
    <w:p w14:paraId="44C3FCDD">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65" w:name="_Toc478389165"/>
      <w:bookmarkStart w:id="666" w:name="_Toc351203616"/>
      <w:r>
        <w:rPr>
          <w:rFonts w:hint="eastAsia" w:ascii="宋体" w:hAnsi="宋体" w:eastAsia="宋体" w:cs="宋体"/>
          <w:b/>
          <w:bCs/>
          <w:color w:val="auto"/>
          <w:kern w:val="44"/>
          <w:sz w:val="21"/>
          <w:szCs w:val="21"/>
          <w:highlight w:val="none"/>
        </w:rPr>
        <w:t>18.4持续保险</w:t>
      </w:r>
      <w:bookmarkEnd w:id="665"/>
      <w:bookmarkEnd w:id="666"/>
    </w:p>
    <w:p w14:paraId="2DC8960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合同当事人应与保险人保持联系，使保险人能够随时了解工程实施中的变动，并确保按保险合同条款要求持续保险。</w:t>
      </w:r>
    </w:p>
    <w:p w14:paraId="03309264">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67" w:name="_Toc478389166"/>
      <w:bookmarkStart w:id="668" w:name="_Toc351203617"/>
      <w:bookmarkStart w:id="669" w:name="_Toc296346627"/>
      <w:bookmarkStart w:id="670" w:name="_Toc337558832"/>
      <w:bookmarkStart w:id="671" w:name="_Toc296503126"/>
      <w:r>
        <w:rPr>
          <w:rFonts w:hint="eastAsia" w:ascii="宋体" w:hAnsi="宋体" w:eastAsia="宋体" w:cs="宋体"/>
          <w:b/>
          <w:bCs/>
          <w:color w:val="auto"/>
          <w:kern w:val="44"/>
          <w:sz w:val="21"/>
          <w:szCs w:val="21"/>
          <w:highlight w:val="none"/>
        </w:rPr>
        <w:t>18.5 保险凭证</w:t>
      </w:r>
      <w:bookmarkEnd w:id="667"/>
      <w:bookmarkEnd w:id="668"/>
    </w:p>
    <w:bookmarkEnd w:id="669"/>
    <w:bookmarkEnd w:id="670"/>
    <w:bookmarkEnd w:id="671"/>
    <w:p w14:paraId="796CC5D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合同当事人应及时向另一方当事人提交其已投保的各项保险的凭证和保险单复印件。</w:t>
      </w:r>
    </w:p>
    <w:p w14:paraId="5CEFB0B0">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72" w:name="_Toc478389167"/>
      <w:bookmarkStart w:id="673" w:name="_Toc351203618"/>
      <w:bookmarkStart w:id="674" w:name="_Toc296503127"/>
      <w:bookmarkStart w:id="675" w:name="_Toc337558833"/>
      <w:bookmarkStart w:id="676" w:name="_Toc296346628"/>
      <w:r>
        <w:rPr>
          <w:rFonts w:hint="eastAsia" w:ascii="宋体" w:hAnsi="宋体" w:eastAsia="宋体" w:cs="宋体"/>
          <w:b/>
          <w:bCs/>
          <w:color w:val="auto"/>
          <w:kern w:val="44"/>
          <w:sz w:val="21"/>
          <w:szCs w:val="21"/>
          <w:highlight w:val="none"/>
        </w:rPr>
        <w:t>18.6 未按约定投保的补救</w:t>
      </w:r>
      <w:bookmarkEnd w:id="672"/>
      <w:bookmarkEnd w:id="673"/>
    </w:p>
    <w:bookmarkEnd w:id="674"/>
    <w:bookmarkEnd w:id="675"/>
    <w:bookmarkEnd w:id="676"/>
    <w:p w14:paraId="725A350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09B0B59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5B3250B8">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77" w:name="_Toc351203619"/>
      <w:bookmarkStart w:id="678" w:name="_Toc478389168"/>
      <w:bookmarkStart w:id="679" w:name="_Toc337558834"/>
      <w:r>
        <w:rPr>
          <w:rFonts w:hint="eastAsia" w:ascii="宋体" w:hAnsi="宋体" w:eastAsia="宋体" w:cs="宋体"/>
          <w:b/>
          <w:bCs/>
          <w:color w:val="auto"/>
          <w:kern w:val="44"/>
          <w:sz w:val="21"/>
          <w:szCs w:val="21"/>
          <w:highlight w:val="none"/>
        </w:rPr>
        <w:t>18.7 通知义务</w:t>
      </w:r>
      <w:bookmarkEnd w:id="677"/>
      <w:bookmarkEnd w:id="678"/>
    </w:p>
    <w:bookmarkEnd w:id="679"/>
    <w:p w14:paraId="344F82E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95DAC8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保险事故发生时，投保人应按照保险合同规定的条件和期限及时向保险人报告。发包人和承包人应当在知道保险事故发生后及时通知对方。</w:t>
      </w:r>
    </w:p>
    <w:p w14:paraId="49AFFA33">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80" w:name="_Toc478389169"/>
      <w:bookmarkStart w:id="681" w:name="_Toc351203620"/>
      <w:bookmarkStart w:id="682" w:name="_Toc296346641"/>
      <w:bookmarkStart w:id="683" w:name="_Toc337558835"/>
      <w:bookmarkStart w:id="684" w:name="_Toc296503140"/>
      <w:r>
        <w:rPr>
          <w:rFonts w:hint="eastAsia" w:ascii="宋体" w:hAnsi="宋体" w:eastAsia="宋体" w:cs="宋体"/>
          <w:b/>
          <w:bCs/>
          <w:color w:val="auto"/>
          <w:kern w:val="44"/>
          <w:sz w:val="21"/>
          <w:szCs w:val="21"/>
          <w:highlight w:val="none"/>
        </w:rPr>
        <w:t>19. 索赔</w:t>
      </w:r>
      <w:bookmarkEnd w:id="680"/>
      <w:bookmarkEnd w:id="681"/>
    </w:p>
    <w:bookmarkEnd w:id="682"/>
    <w:bookmarkEnd w:id="683"/>
    <w:bookmarkEnd w:id="684"/>
    <w:p w14:paraId="7F1E63D8">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85" w:name="_Toc351203621"/>
      <w:bookmarkStart w:id="686" w:name="_Toc478389170"/>
      <w:bookmarkStart w:id="687" w:name="_Toc337558836"/>
      <w:bookmarkStart w:id="688" w:name="_Toc296503141"/>
      <w:bookmarkStart w:id="689" w:name="_Toc296346642"/>
      <w:r>
        <w:rPr>
          <w:rFonts w:hint="eastAsia" w:ascii="宋体" w:hAnsi="宋体" w:eastAsia="宋体" w:cs="宋体"/>
          <w:b/>
          <w:bCs/>
          <w:color w:val="auto"/>
          <w:kern w:val="44"/>
          <w:sz w:val="21"/>
          <w:szCs w:val="21"/>
          <w:highlight w:val="none"/>
        </w:rPr>
        <w:t>19.1承包人的索赔</w:t>
      </w:r>
      <w:bookmarkEnd w:id="685"/>
      <w:bookmarkEnd w:id="686"/>
    </w:p>
    <w:bookmarkEnd w:id="687"/>
    <w:bookmarkEnd w:id="688"/>
    <w:bookmarkEnd w:id="689"/>
    <w:p w14:paraId="4BE9563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根据合同约定，承包人认为有权得到追加付款和（或）延长工期的，应按以下程序向发包人提出索赔：</w:t>
      </w:r>
    </w:p>
    <w:p w14:paraId="519C986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F8F71E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3D114D2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（3）索赔事件具有持续影响的，承包人应按合理时间间隔继续递交延续索赔通知，说明持续影响的实际情况和记录，列出累计的追加付款金额和（或）工期延长天数；</w:t>
      </w:r>
    </w:p>
    <w:p w14:paraId="5BC9F82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（4）在索赔事件影响结束后28天内，承包人应向监理人递交最终索赔报告，说明最终要求索赔的追加付款金额和（或）延长的工期，并附必要的记录和证明材料。</w:t>
      </w:r>
    </w:p>
    <w:p w14:paraId="6E42F831">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90" w:name="_Toc478389171"/>
      <w:bookmarkStart w:id="691" w:name="_Toc351203622"/>
      <w:bookmarkStart w:id="692" w:name="_Toc337558837"/>
      <w:bookmarkStart w:id="693" w:name="_Toc296503142"/>
      <w:bookmarkStart w:id="694" w:name="_Toc296346643"/>
      <w:r>
        <w:rPr>
          <w:rFonts w:hint="eastAsia" w:ascii="宋体" w:hAnsi="宋体" w:eastAsia="宋体" w:cs="宋体"/>
          <w:b/>
          <w:bCs/>
          <w:color w:val="auto"/>
          <w:kern w:val="44"/>
          <w:sz w:val="21"/>
          <w:szCs w:val="21"/>
          <w:highlight w:val="none"/>
        </w:rPr>
        <w:t>19.2 对承包人索赔的处理</w:t>
      </w:r>
      <w:bookmarkEnd w:id="690"/>
      <w:bookmarkEnd w:id="691"/>
    </w:p>
    <w:bookmarkEnd w:id="692"/>
    <w:bookmarkEnd w:id="693"/>
    <w:bookmarkEnd w:id="694"/>
    <w:p w14:paraId="1A3856D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对承包人索赔的处理如下：</w:t>
      </w:r>
    </w:p>
    <w:p w14:paraId="7E67D38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（1）监理人应在收到索赔报告后14天内完成审查并报送发包人。监理人对索赔报告存在异议的，有权要求承包人提交全部原始记录副本；</w:t>
      </w:r>
    </w:p>
    <w:p w14:paraId="702C1F4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67B8598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（3）承包人接受索赔处理结果的，索赔款项在当期进度款中进行支付；承包人不接受索赔处理结果的，按照第20条〔争议解决〕约定处理。</w:t>
      </w:r>
    </w:p>
    <w:p w14:paraId="264F8A8D">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695" w:name="_Toc351203623"/>
      <w:bookmarkStart w:id="696" w:name="_Toc478389172"/>
      <w:bookmarkStart w:id="697" w:name="_Toc337558838"/>
      <w:bookmarkStart w:id="698" w:name="_Toc296503143"/>
      <w:bookmarkStart w:id="699" w:name="_Toc296346644"/>
      <w:r>
        <w:rPr>
          <w:rFonts w:hint="eastAsia" w:ascii="宋体" w:hAnsi="宋体" w:eastAsia="宋体" w:cs="宋体"/>
          <w:b/>
          <w:bCs/>
          <w:color w:val="auto"/>
          <w:kern w:val="44"/>
          <w:sz w:val="21"/>
          <w:szCs w:val="21"/>
          <w:highlight w:val="none"/>
        </w:rPr>
        <w:t>19.3发包人的索赔</w:t>
      </w:r>
      <w:bookmarkEnd w:id="695"/>
      <w:bookmarkEnd w:id="696"/>
    </w:p>
    <w:bookmarkEnd w:id="697"/>
    <w:bookmarkEnd w:id="698"/>
    <w:bookmarkEnd w:id="699"/>
    <w:p w14:paraId="54831C6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根据合同约定，发包人认为有权得到赔付金额和（或）延长缺陷责任期的，监理人应向承包人发出通知并附有详细的证明。</w:t>
      </w:r>
    </w:p>
    <w:p w14:paraId="44E4E1A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BB1756C">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700" w:name="_Toc351203624"/>
      <w:bookmarkStart w:id="701" w:name="_Toc478389173"/>
      <w:bookmarkStart w:id="702" w:name="_Toc296346645"/>
      <w:bookmarkStart w:id="703" w:name="_Toc337558839"/>
      <w:bookmarkStart w:id="704" w:name="_Toc296503144"/>
      <w:r>
        <w:rPr>
          <w:rFonts w:hint="eastAsia" w:ascii="宋体" w:hAnsi="宋体" w:eastAsia="宋体" w:cs="宋体"/>
          <w:b/>
          <w:bCs/>
          <w:color w:val="auto"/>
          <w:kern w:val="44"/>
          <w:sz w:val="21"/>
          <w:szCs w:val="21"/>
          <w:highlight w:val="none"/>
        </w:rPr>
        <w:t>19.4 对发包人索赔的处理</w:t>
      </w:r>
      <w:bookmarkEnd w:id="700"/>
      <w:bookmarkEnd w:id="701"/>
    </w:p>
    <w:bookmarkEnd w:id="702"/>
    <w:bookmarkEnd w:id="703"/>
    <w:bookmarkEnd w:id="704"/>
    <w:p w14:paraId="01F27B1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对发包人索赔的处理如下：</w:t>
      </w:r>
    </w:p>
    <w:p w14:paraId="4E68E67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（1）承包人收到发包人提交的索赔报告后，应及时审查索赔报告的内容、查验发包人证明材料；</w:t>
      </w:r>
    </w:p>
    <w:p w14:paraId="295D42A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（2）承包人应在收到索赔报告或有关索赔的进一步证明材料后28天内，将索赔处理结果答复发包人。如果承包人未在上述期限内作出答复的，则视为对发包人索赔要求的认可；</w:t>
      </w:r>
    </w:p>
    <w:p w14:paraId="79D3346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368EE3B5">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705" w:name="_Toc351203625"/>
      <w:bookmarkStart w:id="706" w:name="_Toc478389174"/>
      <w:r>
        <w:rPr>
          <w:rFonts w:hint="eastAsia" w:ascii="宋体" w:hAnsi="宋体" w:eastAsia="宋体" w:cs="宋体"/>
          <w:b/>
          <w:bCs/>
          <w:color w:val="auto"/>
          <w:kern w:val="44"/>
          <w:sz w:val="21"/>
          <w:szCs w:val="21"/>
          <w:highlight w:val="none"/>
        </w:rPr>
        <w:t>19.5 提出索赔的期限</w:t>
      </w:r>
      <w:bookmarkEnd w:id="705"/>
      <w:bookmarkEnd w:id="706"/>
    </w:p>
    <w:p w14:paraId="22C273E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（1）承包人按第14.2款〔竣工结算审核〕约定接收竣工付款证书后，应被视为已无权再提出在工程接收证书颁发前所发生的任何索赔。</w:t>
      </w:r>
    </w:p>
    <w:p w14:paraId="18E4C33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（2）承包人按第14.4款〔最终结清〕提交的最终结清申请单中，只限于提出工程接收证书颁发后发生的索赔。提出索赔的期限自接受最终结清证书时终止。</w:t>
      </w:r>
    </w:p>
    <w:p w14:paraId="1B215F69">
      <w:pPr>
        <w:keepNext/>
        <w:keepLines/>
        <w:spacing w:line="380" w:lineRule="exact"/>
        <w:ind w:firstLine="0" w:firstLineChars="0"/>
        <w:outlineLvl w:val="0"/>
        <w:rPr>
          <w:rFonts w:hint="eastAsia" w:ascii="宋体" w:hAnsi="宋体" w:eastAsia="宋体" w:cs="宋体"/>
          <w:b/>
          <w:bCs/>
          <w:color w:val="auto"/>
          <w:kern w:val="44"/>
          <w:sz w:val="21"/>
          <w:szCs w:val="21"/>
          <w:highlight w:val="none"/>
        </w:rPr>
      </w:pPr>
      <w:bookmarkStart w:id="707" w:name="_Toc478389175"/>
      <w:bookmarkStart w:id="708" w:name="_Toc351203626"/>
      <w:r>
        <w:rPr>
          <w:rFonts w:hint="eastAsia" w:ascii="宋体" w:hAnsi="宋体" w:eastAsia="宋体" w:cs="宋体"/>
          <w:b/>
          <w:bCs/>
          <w:color w:val="auto"/>
          <w:kern w:val="44"/>
          <w:sz w:val="21"/>
          <w:szCs w:val="21"/>
          <w:highlight w:val="none"/>
        </w:rPr>
        <w:t>20</w:t>
      </w:r>
      <w:bookmarkStart w:id="709" w:name="_Toc296503146"/>
      <w:bookmarkStart w:id="710" w:name="_Toc296346647"/>
      <w:bookmarkStart w:id="711" w:name="_Toc337558840"/>
      <w:r>
        <w:rPr>
          <w:rFonts w:hint="eastAsia" w:ascii="宋体" w:hAnsi="宋体" w:eastAsia="宋体" w:cs="宋体"/>
          <w:b/>
          <w:bCs/>
          <w:color w:val="auto"/>
          <w:kern w:val="44"/>
          <w:sz w:val="21"/>
          <w:szCs w:val="21"/>
          <w:highlight w:val="none"/>
        </w:rPr>
        <w:t>. 争议解决</w:t>
      </w:r>
      <w:bookmarkEnd w:id="707"/>
      <w:bookmarkEnd w:id="708"/>
    </w:p>
    <w:bookmarkEnd w:id="709"/>
    <w:bookmarkEnd w:id="710"/>
    <w:bookmarkEnd w:id="711"/>
    <w:p w14:paraId="6A55F77D">
      <w:pPr>
        <w:keepNext/>
        <w:keepLines/>
        <w:spacing w:line="380" w:lineRule="exact"/>
        <w:ind w:firstLine="0" w:firstLineChars="0"/>
        <w:outlineLvl w:val="0"/>
        <w:rPr>
          <w:rFonts w:hint="eastAsia" w:ascii="宋体" w:hAnsi="宋体" w:eastAsia="宋体" w:cs="宋体"/>
          <w:b/>
          <w:bCs/>
          <w:color w:val="auto"/>
          <w:kern w:val="44"/>
          <w:sz w:val="21"/>
          <w:szCs w:val="21"/>
          <w:highlight w:val="none"/>
        </w:rPr>
      </w:pPr>
      <w:bookmarkStart w:id="712" w:name="_Toc478389176"/>
      <w:bookmarkStart w:id="713" w:name="_Toc351203627"/>
      <w:bookmarkStart w:id="714" w:name="_Toc296503147"/>
      <w:bookmarkStart w:id="715" w:name="_Toc296346648"/>
      <w:bookmarkStart w:id="716" w:name="_Toc337558841"/>
      <w:r>
        <w:rPr>
          <w:rFonts w:hint="eastAsia" w:ascii="宋体" w:hAnsi="宋体" w:eastAsia="宋体" w:cs="宋体"/>
          <w:b/>
          <w:bCs/>
          <w:color w:val="auto"/>
          <w:kern w:val="44"/>
          <w:sz w:val="21"/>
          <w:szCs w:val="21"/>
          <w:highlight w:val="none"/>
        </w:rPr>
        <w:t>20.1和解</w:t>
      </w:r>
      <w:bookmarkEnd w:id="712"/>
      <w:bookmarkEnd w:id="713"/>
    </w:p>
    <w:bookmarkEnd w:id="714"/>
    <w:bookmarkEnd w:id="715"/>
    <w:bookmarkEnd w:id="716"/>
    <w:p w14:paraId="7F046706">
      <w:pPr>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合同当事人可以就争议自行和解，自行和解达成协议的经双方签字并盖章后作为合同补充文件，双方均应遵照执行。</w:t>
      </w:r>
    </w:p>
    <w:p w14:paraId="66F1519B">
      <w:pPr>
        <w:keepNext/>
        <w:keepLines/>
        <w:spacing w:line="380" w:lineRule="exact"/>
        <w:ind w:firstLine="0" w:firstLineChars="0"/>
        <w:outlineLvl w:val="0"/>
        <w:rPr>
          <w:rFonts w:hint="eastAsia" w:ascii="宋体" w:hAnsi="宋体" w:eastAsia="宋体" w:cs="宋体"/>
          <w:b/>
          <w:bCs/>
          <w:color w:val="auto"/>
          <w:kern w:val="44"/>
          <w:sz w:val="21"/>
          <w:szCs w:val="21"/>
          <w:highlight w:val="none"/>
        </w:rPr>
      </w:pPr>
      <w:bookmarkStart w:id="717" w:name="_Toc351203628"/>
      <w:bookmarkStart w:id="718" w:name="_Toc478389177"/>
      <w:r>
        <w:rPr>
          <w:rFonts w:hint="eastAsia" w:ascii="宋体" w:hAnsi="宋体" w:eastAsia="宋体" w:cs="宋体"/>
          <w:b/>
          <w:bCs/>
          <w:color w:val="auto"/>
          <w:kern w:val="44"/>
          <w:sz w:val="21"/>
          <w:szCs w:val="21"/>
          <w:highlight w:val="none"/>
        </w:rPr>
        <w:t>20</w:t>
      </w:r>
      <w:bookmarkStart w:id="719" w:name="_Toc296503148"/>
      <w:bookmarkStart w:id="720" w:name="_Toc296346649"/>
      <w:bookmarkStart w:id="721" w:name="_Toc337558842"/>
      <w:r>
        <w:rPr>
          <w:rFonts w:hint="eastAsia" w:ascii="宋体" w:hAnsi="宋体" w:eastAsia="宋体" w:cs="宋体"/>
          <w:b/>
          <w:bCs/>
          <w:color w:val="auto"/>
          <w:kern w:val="44"/>
          <w:sz w:val="21"/>
          <w:szCs w:val="21"/>
          <w:highlight w:val="none"/>
        </w:rPr>
        <w:t>.2调解</w:t>
      </w:r>
      <w:bookmarkEnd w:id="717"/>
      <w:bookmarkEnd w:id="718"/>
    </w:p>
    <w:bookmarkEnd w:id="719"/>
    <w:bookmarkEnd w:id="720"/>
    <w:bookmarkEnd w:id="721"/>
    <w:p w14:paraId="52D48E09">
      <w:pPr>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合同当事人可以就争议请求建设行政主管部门、行业协会或其他第三方进行调解，调解达成协议的，经双方签字并盖章后作为合同补充文件，双方均应遵照执行。</w:t>
      </w:r>
    </w:p>
    <w:p w14:paraId="3F59CA3C">
      <w:pPr>
        <w:keepNext/>
        <w:keepLines/>
        <w:spacing w:line="380" w:lineRule="exact"/>
        <w:ind w:firstLine="0" w:firstLineChars="0"/>
        <w:outlineLvl w:val="0"/>
        <w:rPr>
          <w:rFonts w:hint="eastAsia" w:ascii="宋体" w:hAnsi="宋体" w:eastAsia="宋体" w:cs="宋体"/>
          <w:b/>
          <w:bCs/>
          <w:color w:val="auto"/>
          <w:kern w:val="44"/>
          <w:sz w:val="21"/>
          <w:szCs w:val="21"/>
          <w:highlight w:val="none"/>
        </w:rPr>
      </w:pPr>
      <w:bookmarkStart w:id="722" w:name="_Toc478389178"/>
      <w:bookmarkStart w:id="723" w:name="_Toc351203629"/>
      <w:bookmarkStart w:id="724" w:name="_Toc337558843"/>
      <w:bookmarkStart w:id="725" w:name="_Toc296346650"/>
      <w:bookmarkStart w:id="726" w:name="_Toc296503149"/>
      <w:r>
        <w:rPr>
          <w:rFonts w:hint="eastAsia" w:ascii="宋体" w:hAnsi="宋体" w:eastAsia="宋体" w:cs="宋体"/>
          <w:b/>
          <w:bCs/>
          <w:color w:val="auto"/>
          <w:kern w:val="44"/>
          <w:sz w:val="21"/>
          <w:szCs w:val="21"/>
          <w:highlight w:val="none"/>
        </w:rPr>
        <w:t>20.3争议评审</w:t>
      </w:r>
      <w:bookmarkEnd w:id="722"/>
      <w:bookmarkEnd w:id="723"/>
    </w:p>
    <w:bookmarkEnd w:id="724"/>
    <w:bookmarkEnd w:id="725"/>
    <w:bookmarkEnd w:id="726"/>
    <w:p w14:paraId="72B026E7">
      <w:pPr>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合同当事人在专用合同条款中约定采取争议评审方式解决争议以及评审规则，并按下列约定执行： </w:t>
      </w:r>
    </w:p>
    <w:p w14:paraId="6AD15437">
      <w:pPr>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7B98BC2F">
      <w:pPr>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2D78612B">
      <w:pPr>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7E347F77">
      <w:pPr>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除专用合同条款另有约定外，评审员报酬由发包人和承包人各承担一半。</w:t>
      </w:r>
    </w:p>
    <w:p w14:paraId="3F0AF80F">
      <w:pPr>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20.3.2 争议评审小组的决定</w:t>
      </w:r>
    </w:p>
    <w:p w14:paraId="22DB2CCB">
      <w:pPr>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D523D50">
      <w:pPr>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20.3.3 争议评审小组决定的效力</w:t>
      </w:r>
    </w:p>
    <w:p w14:paraId="67071089">
      <w:pPr>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争议评审小组作出的书面决定经合同当事人签字确认后，对双方具有约束力，双方应遵照执行。</w:t>
      </w:r>
    </w:p>
    <w:p w14:paraId="151235E2">
      <w:pPr>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任何一方当事人不接受争议评审小组决定或不履行争议评审小组决定的，双方可选择采用其他争议解决方式。</w:t>
      </w:r>
    </w:p>
    <w:p w14:paraId="76A9D7F8">
      <w:pPr>
        <w:keepNext/>
        <w:keepLines/>
        <w:spacing w:line="380" w:lineRule="exact"/>
        <w:ind w:firstLine="0" w:firstLineChars="0"/>
        <w:outlineLvl w:val="0"/>
        <w:rPr>
          <w:rFonts w:hint="eastAsia" w:ascii="宋体" w:hAnsi="宋体" w:eastAsia="宋体" w:cs="宋体"/>
          <w:b/>
          <w:bCs/>
          <w:color w:val="auto"/>
          <w:kern w:val="44"/>
          <w:sz w:val="21"/>
          <w:szCs w:val="21"/>
          <w:highlight w:val="none"/>
        </w:rPr>
      </w:pPr>
      <w:bookmarkStart w:id="727" w:name="_Toc351203630"/>
      <w:bookmarkStart w:id="728" w:name="_Toc478389179"/>
      <w:bookmarkStart w:id="729" w:name="_Toc337558844"/>
      <w:bookmarkStart w:id="730" w:name="_Toc296503150"/>
      <w:bookmarkStart w:id="731" w:name="_Toc296346651"/>
      <w:r>
        <w:rPr>
          <w:rFonts w:hint="eastAsia" w:ascii="宋体" w:hAnsi="宋体" w:eastAsia="宋体" w:cs="宋体"/>
          <w:b/>
          <w:bCs/>
          <w:color w:val="auto"/>
          <w:kern w:val="44"/>
          <w:sz w:val="21"/>
          <w:szCs w:val="21"/>
          <w:highlight w:val="none"/>
        </w:rPr>
        <w:t>20.4仲裁或诉讼</w:t>
      </w:r>
      <w:bookmarkEnd w:id="727"/>
      <w:bookmarkEnd w:id="728"/>
    </w:p>
    <w:bookmarkEnd w:id="729"/>
    <w:bookmarkEnd w:id="730"/>
    <w:bookmarkEnd w:id="731"/>
    <w:p w14:paraId="6CCF4020">
      <w:pPr>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因合同及合同有关事项产生的争议，合同当事人可以在专用合同条款中约定以下一种方式解决争议：</w:t>
      </w:r>
    </w:p>
    <w:p w14:paraId="65DBEF5A">
      <w:pPr>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（1）向约定的仲裁委员会申请仲裁；</w:t>
      </w:r>
    </w:p>
    <w:p w14:paraId="417A46E8">
      <w:pPr>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（2）向有管辖权的人民法院起诉。</w:t>
      </w:r>
    </w:p>
    <w:p w14:paraId="0AFF0BC0">
      <w:pPr>
        <w:keepNext/>
        <w:keepLines/>
        <w:spacing w:line="320" w:lineRule="exact"/>
        <w:ind w:firstLine="0" w:firstLineChars="0"/>
        <w:outlineLvl w:val="0"/>
        <w:rPr>
          <w:rFonts w:hint="eastAsia" w:ascii="宋体" w:hAnsi="宋体" w:eastAsia="宋体" w:cs="宋体"/>
          <w:b/>
          <w:bCs/>
          <w:color w:val="auto"/>
          <w:kern w:val="44"/>
          <w:sz w:val="21"/>
          <w:szCs w:val="21"/>
          <w:highlight w:val="none"/>
        </w:rPr>
      </w:pPr>
      <w:bookmarkStart w:id="732" w:name="_Toc478389180"/>
      <w:bookmarkStart w:id="733" w:name="_Toc351203631"/>
      <w:bookmarkStart w:id="734" w:name="_Toc296503152"/>
      <w:bookmarkStart w:id="735" w:name="_Toc296346653"/>
      <w:bookmarkStart w:id="736" w:name="_Toc337558845"/>
      <w:r>
        <w:rPr>
          <w:rFonts w:hint="eastAsia" w:ascii="宋体" w:hAnsi="宋体" w:eastAsia="宋体" w:cs="宋体"/>
          <w:b/>
          <w:bCs/>
          <w:color w:val="auto"/>
          <w:kern w:val="44"/>
          <w:sz w:val="21"/>
          <w:szCs w:val="21"/>
          <w:highlight w:val="none"/>
        </w:rPr>
        <w:t>20.5争议解决条款效力</w:t>
      </w:r>
      <w:bookmarkEnd w:id="732"/>
      <w:bookmarkEnd w:id="733"/>
    </w:p>
    <w:bookmarkEnd w:id="734"/>
    <w:bookmarkEnd w:id="735"/>
    <w:bookmarkEnd w:id="736"/>
    <w:p w14:paraId="75727394">
      <w:pPr>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合同有关争议解决的条款独立存在，合同的变更、解除、终止、无效或者被撤销均不影响其效力。 </w:t>
      </w:r>
      <w:bookmarkEnd w:id="93"/>
      <w:bookmarkEnd w:id="94"/>
      <w:bookmarkEnd w:id="95"/>
      <w:bookmarkStart w:id="737" w:name="_Toc478389181"/>
    </w:p>
    <w:p w14:paraId="42C8E2C3">
      <w:pPr>
        <w:spacing w:line="380" w:lineRule="exact"/>
        <w:ind w:firstLine="420"/>
        <w:rPr>
          <w:rFonts w:hint="eastAsia" w:ascii="宋体" w:hAnsi="宋体" w:eastAsia="宋体" w:cs="宋体"/>
          <w:color w:val="auto"/>
          <w:sz w:val="21"/>
          <w:highlight w:val="none"/>
        </w:rPr>
      </w:pPr>
    </w:p>
    <w:p w14:paraId="2FB01F31">
      <w:pPr>
        <w:spacing w:line="380" w:lineRule="exact"/>
        <w:ind w:firstLine="420"/>
        <w:rPr>
          <w:rFonts w:hint="eastAsia" w:ascii="宋体" w:hAnsi="宋体" w:eastAsia="宋体" w:cs="宋体"/>
          <w:color w:val="auto"/>
          <w:sz w:val="21"/>
          <w:highlight w:val="none"/>
        </w:rPr>
      </w:pPr>
    </w:p>
    <w:p w14:paraId="12A9782A">
      <w:pPr>
        <w:keepNext/>
        <w:keepLines/>
        <w:widowControl/>
        <w:ind w:firstLine="0" w:firstLineChars="0"/>
        <w:jc w:val="center"/>
        <w:outlineLvl w:val="0"/>
        <w:rPr>
          <w:rFonts w:hint="eastAsia" w:ascii="宋体" w:hAnsi="宋体" w:eastAsia="宋体" w:cs="宋体"/>
          <w:b/>
          <w:bCs/>
          <w:color w:val="auto"/>
          <w:kern w:val="44"/>
          <w:sz w:val="28"/>
          <w:szCs w:val="28"/>
          <w:highlight w:val="none"/>
          <w:lang w:val="zh-CN"/>
        </w:rPr>
      </w:pPr>
    </w:p>
    <w:p w14:paraId="0A73A32D">
      <w:pPr>
        <w:widowControl/>
        <w:spacing w:line="240" w:lineRule="auto"/>
        <w:ind w:firstLine="0" w:firstLineChars="0"/>
        <w:jc w:val="left"/>
        <w:rPr>
          <w:rFonts w:hint="eastAsia" w:ascii="宋体" w:hAnsi="宋体" w:eastAsia="宋体" w:cs="宋体"/>
          <w:b/>
          <w:bCs/>
          <w:color w:val="auto"/>
          <w:kern w:val="44"/>
          <w:sz w:val="28"/>
          <w:szCs w:val="28"/>
          <w:highlight w:val="none"/>
          <w:lang w:val="zh-CN"/>
        </w:rPr>
      </w:pPr>
      <w:r>
        <w:rPr>
          <w:rFonts w:hint="eastAsia" w:ascii="宋体" w:hAnsi="宋体" w:eastAsia="宋体" w:cs="宋体"/>
          <w:color w:val="auto"/>
          <w:highlight w:val="none"/>
        </w:rPr>
        <w:br w:type="page"/>
      </w:r>
    </w:p>
    <w:p w14:paraId="1147A681">
      <w:pPr>
        <w:keepNext/>
        <w:keepLines/>
        <w:widowControl/>
        <w:ind w:firstLine="0" w:firstLineChars="0"/>
        <w:jc w:val="center"/>
        <w:outlineLvl w:val="0"/>
        <w:rPr>
          <w:rFonts w:hint="eastAsia" w:ascii="宋体" w:hAnsi="宋体" w:eastAsia="宋体" w:cs="宋体"/>
          <w:b/>
          <w:bCs/>
          <w:color w:val="auto"/>
          <w:kern w:val="44"/>
          <w:sz w:val="28"/>
          <w:szCs w:val="28"/>
          <w:highlight w:val="none"/>
          <w:lang w:val="zh-CN"/>
        </w:rPr>
      </w:pPr>
      <w:r>
        <w:rPr>
          <w:rFonts w:hint="eastAsia" w:ascii="宋体" w:hAnsi="宋体" w:eastAsia="宋体" w:cs="宋体"/>
          <w:b/>
          <w:bCs/>
          <w:color w:val="auto"/>
          <w:kern w:val="44"/>
          <w:sz w:val="28"/>
          <w:szCs w:val="28"/>
          <w:highlight w:val="none"/>
          <w:lang w:val="zh-CN"/>
        </w:rPr>
        <w:t>第三部分 专用合同条款</w:t>
      </w:r>
    </w:p>
    <w:bookmarkEnd w:id="737"/>
    <w:p w14:paraId="04CB5C56">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738" w:name="_Toc417904268"/>
      <w:bookmarkStart w:id="739" w:name="_Toc478389182"/>
      <w:bookmarkStart w:id="740" w:name="_Toc351203633"/>
      <w:r>
        <w:rPr>
          <w:rFonts w:hint="eastAsia" w:ascii="宋体" w:hAnsi="宋体" w:eastAsia="宋体" w:cs="宋体"/>
          <w:b/>
          <w:bCs/>
          <w:color w:val="auto"/>
          <w:kern w:val="44"/>
          <w:sz w:val="21"/>
          <w:szCs w:val="21"/>
          <w:highlight w:val="none"/>
        </w:rPr>
        <w:t>1</w:t>
      </w:r>
      <w:bookmarkStart w:id="741" w:name="_Toc292559361"/>
      <w:bookmarkStart w:id="742" w:name="_Toc296346657"/>
      <w:bookmarkStart w:id="743" w:name="_Toc296944495"/>
      <w:bookmarkStart w:id="744" w:name="_Toc297048342"/>
      <w:bookmarkStart w:id="745" w:name="_Toc296890984"/>
      <w:bookmarkStart w:id="746" w:name="_Toc296503156"/>
      <w:bookmarkStart w:id="747" w:name="_Toc296891196"/>
      <w:bookmarkStart w:id="748" w:name="_Toc292559866"/>
      <w:bookmarkStart w:id="749" w:name="_Toc296347155"/>
      <w:bookmarkStart w:id="750" w:name="_Toc297120456"/>
      <w:r>
        <w:rPr>
          <w:rFonts w:hint="eastAsia" w:ascii="宋体" w:hAnsi="宋体" w:eastAsia="宋体" w:cs="宋体"/>
          <w:b/>
          <w:bCs/>
          <w:color w:val="auto"/>
          <w:kern w:val="44"/>
          <w:sz w:val="21"/>
          <w:szCs w:val="21"/>
          <w:highlight w:val="none"/>
        </w:rPr>
        <w:t>. 一般约定</w:t>
      </w:r>
      <w:bookmarkEnd w:id="738"/>
      <w:bookmarkEnd w:id="739"/>
      <w:bookmarkEnd w:id="740"/>
    </w:p>
    <w:bookmarkEnd w:id="741"/>
    <w:bookmarkEnd w:id="742"/>
    <w:bookmarkEnd w:id="743"/>
    <w:bookmarkEnd w:id="744"/>
    <w:bookmarkEnd w:id="745"/>
    <w:bookmarkEnd w:id="746"/>
    <w:bookmarkEnd w:id="747"/>
    <w:bookmarkEnd w:id="748"/>
    <w:bookmarkEnd w:id="749"/>
    <w:bookmarkEnd w:id="750"/>
    <w:p w14:paraId="08A20EEF">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751" w:name="_Toc478389183"/>
      <w:bookmarkStart w:id="752" w:name="_Toc417904269"/>
      <w:r>
        <w:rPr>
          <w:rFonts w:hint="eastAsia" w:ascii="宋体" w:hAnsi="宋体" w:eastAsia="宋体" w:cs="宋体"/>
          <w:b/>
          <w:bCs/>
          <w:color w:val="auto"/>
          <w:kern w:val="44"/>
          <w:sz w:val="21"/>
          <w:szCs w:val="21"/>
          <w:highlight w:val="none"/>
        </w:rPr>
        <w:t>1.1 词语定义</w:t>
      </w:r>
      <w:bookmarkEnd w:id="751"/>
      <w:bookmarkEnd w:id="752"/>
    </w:p>
    <w:p w14:paraId="4C23A96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1.1.1合同</w:t>
      </w:r>
    </w:p>
    <w:p w14:paraId="0F27F38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1.1.1.10其他合同文件包括：</w:t>
      </w:r>
      <w:r>
        <w:rPr>
          <w:rFonts w:hint="eastAsia" w:ascii="宋体" w:hAnsi="宋体" w:eastAsia="宋体" w:cs="宋体"/>
          <w:color w:val="auto"/>
          <w:sz w:val="21"/>
          <w:szCs w:val="21"/>
          <w:highlight w:val="none"/>
          <w:u w:val="single"/>
        </w:rPr>
        <w:t>（1）本合同协议书；（2）成交通知书；（3）磋商书及其附件；（4）本合同专用条款及补充条款；（5）本合同通用条款；（6）标准、规范及有关技术文件；（7）工程量清单；（8）本工程预算控制价造价成果文件及其他合同文件。</w:t>
      </w:r>
    </w:p>
    <w:p w14:paraId="0AB61A4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14:paraId="0719B01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1.1.2.4监理人：</w:t>
      </w:r>
    </w:p>
    <w:p w14:paraId="7F84331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0DA9256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2D0C48F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4B580B3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0BB21A0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4A9CBC4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p>
    <w:p w14:paraId="79F0E6A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29CDB19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5321EF4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57E63ED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37052D6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5CAB687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36D4535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rPr>
        <w:t xml:space="preserve">  临时设施和临时用地 </w:t>
      </w:r>
      <w:r>
        <w:rPr>
          <w:rFonts w:hint="eastAsia" w:ascii="宋体" w:hAnsi="宋体" w:eastAsia="宋体" w:cs="宋体"/>
          <w:color w:val="auto"/>
          <w:sz w:val="21"/>
          <w:szCs w:val="21"/>
          <w:highlight w:val="none"/>
        </w:rPr>
        <w:t>。</w:t>
      </w:r>
    </w:p>
    <w:p w14:paraId="0A8EC2F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1.1.3.9 永久占地包括：</w:t>
      </w:r>
      <w:r>
        <w:rPr>
          <w:rFonts w:hint="eastAsia" w:ascii="宋体" w:hAnsi="宋体" w:eastAsia="宋体" w:cs="宋体"/>
          <w:color w:val="auto"/>
          <w:sz w:val="21"/>
          <w:szCs w:val="21"/>
          <w:highlight w:val="none"/>
          <w:u w:val="single"/>
        </w:rPr>
        <w:t xml:space="preserve">      建、构筑物用地                </w:t>
      </w:r>
      <w:r>
        <w:rPr>
          <w:rFonts w:hint="eastAsia" w:ascii="宋体" w:hAnsi="宋体" w:eastAsia="宋体" w:cs="宋体"/>
          <w:color w:val="auto"/>
          <w:sz w:val="21"/>
          <w:szCs w:val="21"/>
          <w:highlight w:val="none"/>
        </w:rPr>
        <w:t>。</w:t>
      </w:r>
    </w:p>
    <w:p w14:paraId="21DB6A8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1.1.3.10 临时占地包括：</w:t>
      </w:r>
      <w:r>
        <w:rPr>
          <w:rFonts w:hint="eastAsia" w:ascii="宋体" w:hAnsi="宋体" w:eastAsia="宋体" w:cs="宋体"/>
          <w:color w:val="auto"/>
          <w:sz w:val="21"/>
          <w:szCs w:val="21"/>
          <w:highlight w:val="none"/>
          <w:u w:val="single"/>
        </w:rPr>
        <w:t xml:space="preserve">      临时设施和临时用地                  </w:t>
      </w:r>
      <w:r>
        <w:rPr>
          <w:rFonts w:hint="eastAsia" w:ascii="宋体" w:hAnsi="宋体" w:eastAsia="宋体" w:cs="宋体"/>
          <w:color w:val="auto"/>
          <w:sz w:val="21"/>
          <w:szCs w:val="21"/>
          <w:highlight w:val="none"/>
        </w:rPr>
        <w:t>。</w:t>
      </w:r>
    </w:p>
    <w:p w14:paraId="7993B315">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753" w:name="_Toc417904270"/>
      <w:bookmarkStart w:id="754" w:name="_Toc478389184"/>
      <w:r>
        <w:rPr>
          <w:rFonts w:hint="eastAsia" w:ascii="宋体" w:hAnsi="宋体" w:eastAsia="宋体" w:cs="宋体"/>
          <w:b/>
          <w:bCs/>
          <w:color w:val="auto"/>
          <w:kern w:val="44"/>
          <w:sz w:val="21"/>
          <w:szCs w:val="21"/>
          <w:highlight w:val="none"/>
        </w:rPr>
        <w:t>1.3法律</w:t>
      </w:r>
      <w:bookmarkEnd w:id="753"/>
      <w:bookmarkEnd w:id="754"/>
    </w:p>
    <w:p w14:paraId="324A233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现行的国家法律、行政法规及部门规章，工程所在地政府、行政主管部门的有关法规和规章及规范性文件 </w:t>
      </w:r>
      <w:r>
        <w:rPr>
          <w:rFonts w:hint="eastAsia" w:ascii="宋体" w:hAnsi="宋体" w:eastAsia="宋体" w:cs="宋体"/>
          <w:color w:val="auto"/>
          <w:sz w:val="21"/>
          <w:szCs w:val="21"/>
          <w:highlight w:val="none"/>
        </w:rPr>
        <w:t>。</w:t>
      </w:r>
    </w:p>
    <w:p w14:paraId="6136C9AD">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755" w:name="_Toc417904271"/>
      <w:bookmarkStart w:id="756" w:name="_Toc478389185"/>
      <w:r>
        <w:rPr>
          <w:rFonts w:hint="eastAsia" w:ascii="宋体" w:hAnsi="宋体" w:eastAsia="宋体" w:cs="宋体"/>
          <w:b/>
          <w:bCs/>
          <w:color w:val="auto"/>
          <w:kern w:val="44"/>
          <w:sz w:val="21"/>
          <w:szCs w:val="21"/>
          <w:highlight w:val="none"/>
        </w:rPr>
        <w:t>1.4 标准和规范</w:t>
      </w:r>
      <w:bookmarkEnd w:id="755"/>
      <w:bookmarkEnd w:id="756"/>
    </w:p>
    <w:p w14:paraId="0DE3EEF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1.4.1适用于工程的标准规范包括：</w:t>
      </w:r>
      <w:r>
        <w:rPr>
          <w:rFonts w:hint="eastAsia" w:ascii="宋体" w:hAnsi="宋体" w:eastAsia="宋体" w:cs="宋体"/>
          <w:color w:val="auto"/>
          <w:sz w:val="21"/>
          <w:szCs w:val="21"/>
          <w:highlight w:val="none"/>
          <w:u w:val="single"/>
        </w:rPr>
        <w:t xml:space="preserve">     国家和地方性规范    </w:t>
      </w:r>
      <w:r>
        <w:rPr>
          <w:rFonts w:hint="eastAsia" w:ascii="宋体" w:hAnsi="宋体" w:eastAsia="宋体" w:cs="宋体"/>
          <w:color w:val="auto"/>
          <w:sz w:val="21"/>
          <w:szCs w:val="21"/>
          <w:highlight w:val="none"/>
        </w:rPr>
        <w:t>。</w:t>
      </w:r>
    </w:p>
    <w:p w14:paraId="7C53D3B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6ED3C9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发包人提供国外标准、规范的份数：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639458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1E2DA82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1.4.3发包人对工程的技术标准和功能要求的特殊要求：</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sz w:val="21"/>
          <w:szCs w:val="21"/>
          <w:highlight w:val="none"/>
        </w:rPr>
        <w:t>。</w:t>
      </w:r>
    </w:p>
    <w:p w14:paraId="5899DFE0">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757" w:name="_Toc417904272"/>
      <w:bookmarkStart w:id="758" w:name="_Toc478389186"/>
      <w:r>
        <w:rPr>
          <w:rFonts w:hint="eastAsia" w:ascii="宋体" w:hAnsi="宋体" w:eastAsia="宋体" w:cs="宋体"/>
          <w:b/>
          <w:bCs/>
          <w:color w:val="auto"/>
          <w:kern w:val="44"/>
          <w:sz w:val="21"/>
          <w:szCs w:val="21"/>
          <w:highlight w:val="none"/>
        </w:rPr>
        <w:t>1.5 合同文件的优先顺序</w:t>
      </w:r>
      <w:bookmarkEnd w:id="757"/>
      <w:bookmarkEnd w:id="758"/>
    </w:p>
    <w:p w14:paraId="222E752F">
      <w:pPr>
        <w:spacing w:line="4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（1）本合同协议书；（2）成交通知书；（3）</w:t>
      </w:r>
      <w:r>
        <w:rPr>
          <w:rFonts w:hint="eastAsia" w:ascii="宋体" w:hAnsi="宋体" w:eastAsia="宋体" w:cs="宋体"/>
          <w:color w:val="auto"/>
          <w:sz w:val="21"/>
          <w:szCs w:val="21"/>
          <w:highlight w:val="none"/>
          <w:u w:val="single"/>
          <w:lang w:eastAsia="zh-CN"/>
        </w:rPr>
        <w:t>磋商</w:t>
      </w:r>
      <w:r>
        <w:rPr>
          <w:rFonts w:hint="eastAsia" w:ascii="宋体" w:hAnsi="宋体" w:eastAsia="宋体" w:cs="宋体"/>
          <w:color w:val="auto"/>
          <w:sz w:val="21"/>
          <w:szCs w:val="21"/>
          <w:highlight w:val="none"/>
          <w:u w:val="single"/>
        </w:rPr>
        <w:t>书及其附件；（4）本合同专用条款及补充条款；（5）本合同通用条款；（6）标准、规范及有关技术文件；（7）工程量清单；（8）本</w:t>
      </w:r>
      <w:r>
        <w:rPr>
          <w:rFonts w:hint="eastAsia" w:ascii="宋体" w:hAnsi="宋体" w:eastAsia="宋体" w:cs="宋体"/>
          <w:color w:val="auto"/>
          <w:sz w:val="21"/>
          <w:szCs w:val="21"/>
          <w:highlight w:val="none"/>
          <w:u w:val="single"/>
          <w:lang w:eastAsia="zh-CN"/>
        </w:rPr>
        <w:t>工程预算控制价</w:t>
      </w:r>
      <w:r>
        <w:rPr>
          <w:rFonts w:hint="eastAsia" w:ascii="宋体" w:hAnsi="宋体" w:eastAsia="宋体" w:cs="宋体"/>
          <w:color w:val="auto"/>
          <w:sz w:val="21"/>
          <w:szCs w:val="21"/>
          <w:highlight w:val="none"/>
          <w:u w:val="single"/>
        </w:rPr>
        <w:t>成果文件及其他合同文件。</w:t>
      </w:r>
    </w:p>
    <w:p w14:paraId="6B52599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图纸与技术标准和要求之间有矛盾或者不一致的，以其中要求较严格的标准为准。</w:t>
      </w:r>
    </w:p>
    <w:p w14:paraId="514528E3">
      <w:pPr>
        <w:spacing w:line="4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合同双方在合同履行过程中签订的补充协议亦构成合同文件的组成部分，其解释顺序视其内容与其他合同文件的相互关系而定。</w:t>
      </w:r>
    </w:p>
    <w:p w14:paraId="653E7DAE">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759" w:name="_Toc417904273"/>
      <w:bookmarkStart w:id="760" w:name="_Toc478389187"/>
      <w:r>
        <w:rPr>
          <w:rFonts w:hint="eastAsia" w:ascii="宋体" w:hAnsi="宋体" w:eastAsia="宋体" w:cs="宋体"/>
          <w:b/>
          <w:bCs/>
          <w:color w:val="auto"/>
          <w:kern w:val="44"/>
          <w:sz w:val="21"/>
          <w:szCs w:val="21"/>
          <w:highlight w:val="none"/>
        </w:rPr>
        <w:t>1.6 图纸和承包人文件</w:t>
      </w:r>
      <w:bookmarkEnd w:id="759"/>
      <w:bookmarkEnd w:id="760"/>
      <w:r>
        <w:rPr>
          <w:rFonts w:hint="eastAsia" w:ascii="宋体" w:hAnsi="宋体" w:eastAsia="宋体" w:cs="宋体"/>
          <w:b/>
          <w:bCs/>
          <w:color w:val="auto"/>
          <w:kern w:val="44"/>
          <w:sz w:val="21"/>
          <w:szCs w:val="21"/>
          <w:highlight w:val="none"/>
        </w:rPr>
        <w:tab/>
      </w:r>
    </w:p>
    <w:p w14:paraId="296867A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14:paraId="255D8401">
      <w:pPr>
        <w:spacing w:line="4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合同生效后7天内；</w:t>
      </w:r>
    </w:p>
    <w:p w14:paraId="0F9DEA6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rPr>
        <w:t>图纸和其他技术资料壹份（标准图集由承包人自备）</w:t>
      </w:r>
      <w:r>
        <w:rPr>
          <w:rFonts w:hint="eastAsia" w:ascii="宋体" w:hAnsi="宋体" w:eastAsia="宋体" w:cs="宋体"/>
          <w:color w:val="auto"/>
          <w:sz w:val="21"/>
          <w:szCs w:val="21"/>
          <w:highlight w:val="none"/>
        </w:rPr>
        <w:t>；</w:t>
      </w:r>
    </w:p>
    <w:p w14:paraId="3835B18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rPr>
        <w:t xml:space="preserve">   与本项目相关             </w:t>
      </w:r>
      <w:r>
        <w:rPr>
          <w:rFonts w:hint="eastAsia" w:ascii="宋体" w:hAnsi="宋体" w:eastAsia="宋体" w:cs="宋体"/>
          <w:color w:val="auto"/>
          <w:sz w:val="21"/>
          <w:szCs w:val="21"/>
          <w:highlight w:val="none"/>
        </w:rPr>
        <w:t>。</w:t>
      </w:r>
    </w:p>
    <w:p w14:paraId="7EE77E0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14:paraId="11DA960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除专用合同条款约定的由承包人提供的设计文件外，本项约定的其他应由承包人提供的文件，包括必要的加工图和大样图，均不是合同计量与支付的依据文件。由承包人提供的文件范围：施工图以外的大样图、加工图、标准图等</w:t>
      </w:r>
      <w:r>
        <w:rPr>
          <w:rFonts w:hint="eastAsia" w:ascii="宋体" w:hAnsi="宋体" w:eastAsia="宋体" w:cs="宋体"/>
          <w:color w:val="auto"/>
          <w:sz w:val="21"/>
          <w:szCs w:val="21"/>
          <w:highlight w:val="none"/>
        </w:rPr>
        <w:t>；</w:t>
      </w:r>
    </w:p>
    <w:p w14:paraId="09BB63E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 xml:space="preserve">  构件开始施工前7天内  </w:t>
      </w:r>
      <w:r>
        <w:rPr>
          <w:rFonts w:hint="eastAsia" w:ascii="宋体" w:hAnsi="宋体" w:eastAsia="宋体" w:cs="宋体"/>
          <w:color w:val="auto"/>
          <w:sz w:val="21"/>
          <w:szCs w:val="21"/>
          <w:highlight w:val="none"/>
        </w:rPr>
        <w:t>；</w:t>
      </w:r>
    </w:p>
    <w:p w14:paraId="74F3DC4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 xml:space="preserve">      5份                </w:t>
      </w:r>
      <w:r>
        <w:rPr>
          <w:rFonts w:hint="eastAsia" w:ascii="宋体" w:hAnsi="宋体" w:eastAsia="宋体" w:cs="宋体"/>
          <w:color w:val="auto"/>
          <w:sz w:val="21"/>
          <w:szCs w:val="21"/>
          <w:highlight w:val="none"/>
        </w:rPr>
        <w:t>；</w:t>
      </w:r>
    </w:p>
    <w:p w14:paraId="4A5636F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 xml:space="preserve">      书面                 </w:t>
      </w:r>
      <w:r>
        <w:rPr>
          <w:rFonts w:hint="eastAsia" w:ascii="宋体" w:hAnsi="宋体" w:eastAsia="宋体" w:cs="宋体"/>
          <w:color w:val="auto"/>
          <w:sz w:val="21"/>
          <w:szCs w:val="21"/>
          <w:highlight w:val="none"/>
        </w:rPr>
        <w:t>；</w:t>
      </w:r>
    </w:p>
    <w:p w14:paraId="6888150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rPr>
        <w:t xml:space="preserve">     15天内                </w:t>
      </w:r>
      <w:r>
        <w:rPr>
          <w:rFonts w:hint="eastAsia" w:ascii="宋体" w:hAnsi="宋体" w:eastAsia="宋体" w:cs="宋体"/>
          <w:color w:val="auto"/>
          <w:sz w:val="21"/>
          <w:szCs w:val="21"/>
          <w:highlight w:val="none"/>
        </w:rPr>
        <w:t>。</w:t>
      </w:r>
    </w:p>
    <w:p w14:paraId="479B58D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现场图纸准备</w:t>
      </w:r>
    </w:p>
    <w:p w14:paraId="2DAC7C9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rPr>
        <w:t xml:space="preserve">    按规定            </w:t>
      </w:r>
      <w:r>
        <w:rPr>
          <w:rFonts w:hint="eastAsia" w:ascii="宋体" w:hAnsi="宋体" w:eastAsia="宋体" w:cs="宋体"/>
          <w:color w:val="auto"/>
          <w:sz w:val="21"/>
          <w:szCs w:val="21"/>
          <w:highlight w:val="none"/>
        </w:rPr>
        <w:t>。</w:t>
      </w:r>
    </w:p>
    <w:p w14:paraId="4D3454B8">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761" w:name="_Toc417904274"/>
      <w:bookmarkStart w:id="762" w:name="_Toc478389188"/>
      <w:r>
        <w:rPr>
          <w:rFonts w:hint="eastAsia" w:ascii="宋体" w:hAnsi="宋体" w:eastAsia="宋体" w:cs="宋体"/>
          <w:b/>
          <w:bCs/>
          <w:color w:val="auto"/>
          <w:kern w:val="44"/>
          <w:sz w:val="21"/>
          <w:szCs w:val="21"/>
          <w:highlight w:val="none"/>
        </w:rPr>
        <w:t>1.7 联络</w:t>
      </w:r>
      <w:bookmarkEnd w:id="761"/>
      <w:bookmarkEnd w:id="762"/>
    </w:p>
    <w:p w14:paraId="6BA2E29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1.7.1发包人和承包人应当在</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天内将与合同有关的通知、批准、证明、证书、指示、指令、要求、请求、同意、意见、确定和决定等书面函件送达对方当事人。</w:t>
      </w:r>
    </w:p>
    <w:p w14:paraId="62DBD38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发包人接收文件的地点：</w:t>
      </w:r>
      <w:r>
        <w:rPr>
          <w:rFonts w:hint="eastAsia" w:ascii="宋体" w:hAnsi="宋体" w:eastAsia="宋体" w:cs="宋体"/>
          <w:color w:val="auto"/>
          <w:sz w:val="21"/>
          <w:szCs w:val="21"/>
          <w:highlight w:val="none"/>
          <w:u w:val="single"/>
        </w:rPr>
        <w:t xml:space="preserve">  桂林市内  </w:t>
      </w:r>
      <w:r>
        <w:rPr>
          <w:rFonts w:hint="eastAsia" w:ascii="宋体" w:hAnsi="宋体" w:eastAsia="宋体" w:cs="宋体"/>
          <w:color w:val="auto"/>
          <w:sz w:val="21"/>
          <w:szCs w:val="21"/>
          <w:highlight w:val="none"/>
        </w:rPr>
        <w:t>；</w:t>
      </w:r>
    </w:p>
    <w:p w14:paraId="264FF5F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发包人指定的接收人为：</w:t>
      </w:r>
      <w:r>
        <w:rPr>
          <w:rFonts w:hint="eastAsia" w:ascii="宋体" w:hAnsi="宋体" w:eastAsia="宋体" w:cs="宋体"/>
          <w:color w:val="auto"/>
          <w:sz w:val="21"/>
          <w:szCs w:val="21"/>
          <w:highlight w:val="none"/>
          <w:u w:val="single"/>
        </w:rPr>
        <w:t xml:space="preserve">   双方按实际情况现场约定        </w:t>
      </w:r>
      <w:r>
        <w:rPr>
          <w:rFonts w:hint="eastAsia" w:ascii="宋体" w:hAnsi="宋体" w:eastAsia="宋体" w:cs="宋体"/>
          <w:color w:val="auto"/>
          <w:sz w:val="21"/>
          <w:szCs w:val="21"/>
          <w:highlight w:val="none"/>
        </w:rPr>
        <w:t>。</w:t>
      </w:r>
    </w:p>
    <w:p w14:paraId="649C80A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承包人接收文件的地点：</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62FFE0F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承包人指定的接收人为：</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0D66C90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监理人接收文件的地点：</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3B3A4B0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监理人指定的接收人为：</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465D7508">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763" w:name="_Toc417904275"/>
      <w:bookmarkStart w:id="764" w:name="_Toc478389189"/>
      <w:r>
        <w:rPr>
          <w:rFonts w:hint="eastAsia" w:ascii="宋体" w:hAnsi="宋体" w:eastAsia="宋体" w:cs="宋体"/>
          <w:b/>
          <w:bCs/>
          <w:color w:val="auto"/>
          <w:kern w:val="44"/>
          <w:sz w:val="21"/>
          <w:szCs w:val="21"/>
          <w:highlight w:val="none"/>
        </w:rPr>
        <w:t>1.10 交通运输</w:t>
      </w:r>
      <w:bookmarkEnd w:id="763"/>
      <w:bookmarkEnd w:id="764"/>
    </w:p>
    <w:p w14:paraId="0A5F88C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765" w:name="_Toc300934943"/>
      <w:bookmarkStart w:id="766" w:name="_Toc312677986"/>
      <w:bookmarkStart w:id="767" w:name="_Toc318581155"/>
      <w:bookmarkStart w:id="768" w:name="_Toc304295521"/>
      <w:bookmarkStart w:id="769" w:name="_Toc303539100"/>
      <w:r>
        <w:rPr>
          <w:rFonts w:hint="eastAsia" w:ascii="宋体" w:hAnsi="宋体" w:eastAsia="宋体" w:cs="宋体"/>
          <w:color w:val="auto"/>
          <w:sz w:val="21"/>
          <w:szCs w:val="21"/>
          <w:highlight w:val="none"/>
        </w:rPr>
        <w:t>.10.1 出入现场的权利</w:t>
      </w:r>
    </w:p>
    <w:p w14:paraId="0E0FF299">
      <w:pPr>
        <w:spacing w:line="4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bookmarkEnd w:id="765"/>
    <w:bookmarkEnd w:id="766"/>
    <w:bookmarkEnd w:id="767"/>
    <w:bookmarkEnd w:id="768"/>
    <w:bookmarkEnd w:id="769"/>
    <w:p w14:paraId="14DA8E0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770" w:name="_Toc312677987"/>
      <w:bookmarkStart w:id="771" w:name="_Toc318581156"/>
      <w:bookmarkStart w:id="772" w:name="_Toc300934944"/>
      <w:bookmarkStart w:id="773" w:name="_Toc304295522"/>
      <w:bookmarkStart w:id="774" w:name="_Toc303539101"/>
      <w:r>
        <w:rPr>
          <w:rFonts w:hint="eastAsia" w:ascii="宋体" w:hAnsi="宋体" w:eastAsia="宋体" w:cs="宋体"/>
          <w:color w:val="auto"/>
          <w:sz w:val="21"/>
          <w:szCs w:val="21"/>
          <w:highlight w:val="none"/>
        </w:rPr>
        <w:t>.10.3 场内交通</w:t>
      </w:r>
    </w:p>
    <w:p w14:paraId="1F888AF3">
      <w:pPr>
        <w:spacing w:line="4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规划用边线     </w:t>
      </w:r>
      <w:r>
        <w:rPr>
          <w:rFonts w:hint="eastAsia" w:ascii="宋体" w:hAnsi="宋体" w:eastAsia="宋体" w:cs="宋体"/>
          <w:color w:val="auto"/>
          <w:sz w:val="21"/>
          <w:szCs w:val="21"/>
          <w:highlight w:val="none"/>
        </w:rPr>
        <w:t>。</w:t>
      </w:r>
    </w:p>
    <w:p w14:paraId="54475A47">
      <w:pPr>
        <w:spacing w:line="4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货运通道及相关设施  。</w:t>
      </w:r>
      <w:bookmarkEnd w:id="770"/>
      <w:bookmarkEnd w:id="771"/>
      <w:bookmarkEnd w:id="772"/>
      <w:bookmarkEnd w:id="773"/>
      <w:bookmarkEnd w:id="774"/>
      <w:bookmarkStart w:id="775" w:name="_Toc318581157"/>
    </w:p>
    <w:p w14:paraId="505F330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1.10.4超大件和超重件的运输</w:t>
      </w:r>
    </w:p>
    <w:p w14:paraId="6F3485B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承包人</w:t>
      </w:r>
      <w:r>
        <w:rPr>
          <w:rFonts w:hint="eastAsia" w:ascii="宋体" w:hAnsi="宋体" w:eastAsia="宋体" w:cs="宋体"/>
          <w:color w:val="auto"/>
          <w:sz w:val="21"/>
          <w:szCs w:val="21"/>
          <w:highlight w:val="none"/>
        </w:rPr>
        <w:t>承担。</w:t>
      </w:r>
    </w:p>
    <w:bookmarkEnd w:id="775"/>
    <w:p w14:paraId="4CFA2A26">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776" w:name="_Toc478389190"/>
      <w:bookmarkStart w:id="777" w:name="_Toc417904276"/>
      <w:r>
        <w:rPr>
          <w:rFonts w:hint="eastAsia" w:ascii="宋体" w:hAnsi="宋体" w:eastAsia="宋体" w:cs="宋体"/>
          <w:b/>
          <w:bCs/>
          <w:color w:val="auto"/>
          <w:kern w:val="44"/>
          <w:sz w:val="21"/>
          <w:szCs w:val="21"/>
          <w:highlight w:val="none"/>
        </w:rPr>
        <w:t>1.11 知识产权</w:t>
      </w:r>
      <w:bookmarkEnd w:id="776"/>
      <w:bookmarkEnd w:id="777"/>
    </w:p>
    <w:p w14:paraId="342FD30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发包人   </w:t>
      </w:r>
      <w:r>
        <w:rPr>
          <w:rFonts w:hint="eastAsia" w:ascii="宋体" w:hAnsi="宋体" w:eastAsia="宋体" w:cs="宋体"/>
          <w:color w:val="auto"/>
          <w:sz w:val="21"/>
          <w:szCs w:val="21"/>
          <w:highlight w:val="none"/>
        </w:rPr>
        <w:t>。</w:t>
      </w:r>
    </w:p>
    <w:p w14:paraId="29BFFB4E">
      <w:pPr>
        <w:spacing w:line="4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 xml:space="preserve">    本项目   </w:t>
      </w:r>
      <w:r>
        <w:rPr>
          <w:rFonts w:hint="eastAsia" w:ascii="宋体" w:hAnsi="宋体" w:eastAsia="宋体" w:cs="宋体"/>
          <w:color w:val="auto"/>
          <w:sz w:val="21"/>
          <w:szCs w:val="21"/>
          <w:highlight w:val="none"/>
        </w:rPr>
        <w:t>。</w:t>
      </w:r>
    </w:p>
    <w:p w14:paraId="45189C8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 xml:space="preserve">      发包人     </w:t>
      </w:r>
      <w:r>
        <w:rPr>
          <w:rFonts w:hint="eastAsia" w:ascii="宋体" w:hAnsi="宋体" w:eastAsia="宋体" w:cs="宋体"/>
          <w:color w:val="auto"/>
          <w:sz w:val="21"/>
          <w:szCs w:val="21"/>
          <w:highlight w:val="none"/>
        </w:rPr>
        <w:t>。</w:t>
      </w:r>
    </w:p>
    <w:p w14:paraId="5C3AB66C">
      <w:pPr>
        <w:spacing w:line="4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 xml:space="preserve">       本项目            </w:t>
      </w:r>
      <w:r>
        <w:rPr>
          <w:rFonts w:hint="eastAsia" w:ascii="宋体" w:hAnsi="宋体" w:eastAsia="宋体" w:cs="宋体"/>
          <w:color w:val="auto"/>
          <w:sz w:val="21"/>
          <w:szCs w:val="21"/>
          <w:highlight w:val="none"/>
        </w:rPr>
        <w:t>。</w:t>
      </w:r>
    </w:p>
    <w:p w14:paraId="537527F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1.11.4承包人在施工过程中所采用的专利、专有技术、技术秘密的使用费的承担方式：</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08B540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1.13工程量清单错误的修正</w:t>
      </w:r>
    </w:p>
    <w:p w14:paraId="0C23387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出现工程量清单错误时，是否调整合同价格：</w:t>
      </w:r>
      <w:r>
        <w:rPr>
          <w:rFonts w:hint="eastAsia" w:ascii="宋体" w:hAnsi="宋体" w:eastAsia="宋体" w:cs="宋体"/>
          <w:color w:val="auto"/>
          <w:sz w:val="21"/>
          <w:szCs w:val="21"/>
          <w:highlight w:val="none"/>
          <w:u w:val="single"/>
        </w:rPr>
        <w:t xml:space="preserve"> 调整</w:t>
      </w:r>
      <w:r>
        <w:rPr>
          <w:rFonts w:hint="eastAsia" w:ascii="宋体" w:hAnsi="宋体" w:eastAsia="宋体" w:cs="宋体"/>
          <w:color w:val="auto"/>
          <w:sz w:val="21"/>
          <w:szCs w:val="21"/>
          <w:highlight w:val="none"/>
        </w:rPr>
        <w:t>。</w:t>
      </w:r>
    </w:p>
    <w:p w14:paraId="3E3A996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允许调整合同价格的工程量偏差范围：</w:t>
      </w:r>
      <w:r>
        <w:rPr>
          <w:rFonts w:hint="eastAsia" w:ascii="宋体" w:hAnsi="宋体" w:eastAsia="宋体" w:cs="宋体"/>
          <w:color w:val="auto"/>
          <w:sz w:val="21"/>
          <w:szCs w:val="21"/>
          <w:highlight w:val="none"/>
          <w:u w:val="single"/>
        </w:rPr>
        <w:t xml:space="preserve">  15%   </w:t>
      </w:r>
      <w:r>
        <w:rPr>
          <w:rFonts w:hint="eastAsia" w:ascii="宋体" w:hAnsi="宋体" w:eastAsia="宋体" w:cs="宋体"/>
          <w:color w:val="auto"/>
          <w:sz w:val="21"/>
          <w:szCs w:val="21"/>
          <w:highlight w:val="none"/>
        </w:rPr>
        <w:t>。</w:t>
      </w:r>
    </w:p>
    <w:p w14:paraId="691BF2A3">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778" w:name="_Toc478389191"/>
      <w:bookmarkStart w:id="779" w:name="_Toc417904277"/>
      <w:bookmarkStart w:id="780" w:name="_Toc351203634"/>
      <w:r>
        <w:rPr>
          <w:rFonts w:hint="eastAsia" w:ascii="宋体" w:hAnsi="宋体" w:eastAsia="宋体" w:cs="宋体"/>
          <w:b/>
          <w:bCs/>
          <w:color w:val="auto"/>
          <w:kern w:val="44"/>
          <w:sz w:val="21"/>
          <w:szCs w:val="21"/>
          <w:highlight w:val="none"/>
        </w:rPr>
        <w:t>2</w:t>
      </w:r>
      <w:bookmarkStart w:id="781" w:name="_Toc297120457"/>
      <w:bookmarkStart w:id="782" w:name="_Toc297048343"/>
      <w:bookmarkStart w:id="783" w:name="_Toc296890985"/>
      <w:bookmarkStart w:id="784" w:name="_Toc296346658"/>
      <w:bookmarkStart w:id="785" w:name="_Toc296891197"/>
      <w:bookmarkStart w:id="786" w:name="_Toc296503157"/>
      <w:bookmarkStart w:id="787" w:name="_Toc292559362"/>
      <w:bookmarkStart w:id="788" w:name="_Toc296944496"/>
      <w:bookmarkStart w:id="789" w:name="_Toc292559867"/>
      <w:bookmarkStart w:id="790" w:name="_Toc296347156"/>
      <w:r>
        <w:rPr>
          <w:rFonts w:hint="eastAsia" w:ascii="宋体" w:hAnsi="宋体" w:eastAsia="宋体" w:cs="宋体"/>
          <w:b/>
          <w:bCs/>
          <w:color w:val="auto"/>
          <w:kern w:val="44"/>
          <w:sz w:val="21"/>
          <w:szCs w:val="21"/>
          <w:highlight w:val="none"/>
        </w:rPr>
        <w:t>. 发包人</w:t>
      </w:r>
      <w:bookmarkEnd w:id="778"/>
      <w:bookmarkEnd w:id="779"/>
      <w:bookmarkEnd w:id="780"/>
    </w:p>
    <w:bookmarkEnd w:id="781"/>
    <w:bookmarkEnd w:id="782"/>
    <w:bookmarkEnd w:id="783"/>
    <w:bookmarkEnd w:id="784"/>
    <w:bookmarkEnd w:id="785"/>
    <w:bookmarkEnd w:id="786"/>
    <w:bookmarkEnd w:id="787"/>
    <w:bookmarkEnd w:id="788"/>
    <w:bookmarkEnd w:id="789"/>
    <w:bookmarkEnd w:id="790"/>
    <w:p w14:paraId="70383878">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791" w:name="_Toc417904278"/>
      <w:bookmarkStart w:id="792" w:name="_Toc478389192"/>
      <w:r>
        <w:rPr>
          <w:rFonts w:hint="eastAsia" w:ascii="宋体" w:hAnsi="宋体" w:eastAsia="宋体" w:cs="宋体"/>
          <w:b/>
          <w:bCs/>
          <w:color w:val="auto"/>
          <w:kern w:val="44"/>
          <w:sz w:val="21"/>
          <w:szCs w:val="21"/>
          <w:highlight w:val="none"/>
        </w:rPr>
        <w:t>2.2 发包人代表</w:t>
      </w:r>
      <w:bookmarkEnd w:id="791"/>
      <w:bookmarkEnd w:id="792"/>
    </w:p>
    <w:p w14:paraId="37DB4AF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72D75A1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4AA904D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512AB08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6DC3D6E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0D18594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7A25A7E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11A7EC3E">
      <w:pPr>
        <w:spacing w:line="420" w:lineRule="exact"/>
        <w:ind w:firstLine="42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721EC263">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793" w:name="_Toc478389193"/>
      <w:bookmarkStart w:id="794" w:name="_Toc417904279"/>
      <w:r>
        <w:rPr>
          <w:rFonts w:hint="eastAsia" w:ascii="宋体" w:hAnsi="宋体" w:eastAsia="宋体" w:cs="宋体"/>
          <w:b/>
          <w:bCs/>
          <w:color w:val="auto"/>
          <w:kern w:val="44"/>
          <w:sz w:val="21"/>
          <w:szCs w:val="21"/>
          <w:highlight w:val="none"/>
        </w:rPr>
        <w:t>2.4 施工现场、施工条件和基础资料的提供</w:t>
      </w:r>
      <w:bookmarkEnd w:id="793"/>
      <w:bookmarkEnd w:id="794"/>
    </w:p>
    <w:p w14:paraId="2114553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2414EAC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以发包人发出的开工令为准　</w:t>
      </w:r>
      <w:r>
        <w:rPr>
          <w:rFonts w:hint="eastAsia" w:ascii="宋体" w:hAnsi="宋体" w:eastAsia="宋体" w:cs="宋体"/>
          <w:color w:val="auto"/>
          <w:sz w:val="21"/>
          <w:szCs w:val="21"/>
          <w:highlight w:val="none"/>
        </w:rPr>
        <w:t>。</w:t>
      </w:r>
    </w:p>
    <w:p w14:paraId="517FB40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2B2B35CF">
      <w:pPr>
        <w:spacing w:line="4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 w:val="21"/>
          <w:szCs w:val="21"/>
          <w:highlight w:val="none"/>
          <w:u w:val="single"/>
          <w:lang w:val="zh-CN"/>
        </w:rPr>
        <w:t>发包人按承包人的施工现场总平面布置图的要</w:t>
      </w:r>
      <w:r>
        <w:rPr>
          <w:rFonts w:hint="eastAsia" w:ascii="宋体" w:hAnsi="宋体" w:eastAsia="宋体" w:cs="宋体"/>
          <w:color w:val="auto"/>
          <w:sz w:val="21"/>
          <w:szCs w:val="21"/>
          <w:highlight w:val="none"/>
        </w:rPr>
        <w:t>求于开工7日前达到三通一平的施工要求，</w:t>
      </w:r>
      <w:r>
        <w:rPr>
          <w:rFonts w:hint="eastAsia" w:ascii="宋体" w:hAnsi="宋体" w:eastAsia="宋体" w:cs="宋体"/>
          <w:color w:val="auto"/>
          <w:sz w:val="21"/>
          <w:szCs w:val="21"/>
          <w:highlight w:val="none"/>
          <w:u w:val="single"/>
          <w:lang w:val="zh-CN"/>
        </w:rPr>
        <w:t>将水、电接至距拟建建筑物外墙（或构筑物外边线）200米范围内。电讯线路的接通由承包人自费解决；</w:t>
      </w:r>
      <w:r>
        <w:rPr>
          <w:rFonts w:hint="eastAsia" w:ascii="宋体" w:hAnsi="宋体" w:eastAsia="宋体" w:cs="宋体"/>
          <w:color w:val="auto"/>
          <w:sz w:val="21"/>
          <w:szCs w:val="21"/>
          <w:highlight w:val="none"/>
          <w:u w:val="single"/>
        </w:rPr>
        <w:t>电气管线</w:t>
      </w:r>
      <w:r>
        <w:rPr>
          <w:rFonts w:hint="eastAsia" w:ascii="宋体" w:hAnsi="宋体" w:eastAsia="宋体" w:cs="宋体"/>
          <w:color w:val="auto"/>
          <w:sz w:val="21"/>
          <w:szCs w:val="21"/>
          <w:highlight w:val="none"/>
          <w:u w:val="single"/>
          <w:lang w:val="zh-CN"/>
        </w:rPr>
        <w:t>的接通由承包人自费解决；承包人施工期间的生活用水、电、电讯、</w:t>
      </w:r>
      <w:r>
        <w:rPr>
          <w:rFonts w:hint="eastAsia" w:ascii="宋体" w:hAnsi="宋体" w:eastAsia="宋体" w:cs="宋体"/>
          <w:color w:val="auto"/>
          <w:sz w:val="21"/>
          <w:szCs w:val="21"/>
          <w:highlight w:val="none"/>
          <w:u w:val="single"/>
        </w:rPr>
        <w:t>电气</w:t>
      </w:r>
      <w:r>
        <w:rPr>
          <w:rFonts w:hint="eastAsia" w:ascii="宋体" w:hAnsi="宋体" w:eastAsia="宋体" w:cs="宋体"/>
          <w:color w:val="auto"/>
          <w:sz w:val="21"/>
          <w:szCs w:val="21"/>
          <w:highlight w:val="none"/>
          <w:u w:val="single"/>
          <w:lang w:val="zh-CN"/>
        </w:rPr>
        <w:t>费用由承包人支付；承包人负责在发包人指定的部位安装计量表，水电费按表计量度数</w:t>
      </w:r>
      <w:r>
        <w:rPr>
          <w:rFonts w:hint="eastAsia" w:ascii="宋体" w:hAnsi="宋体" w:eastAsia="宋体" w:cs="宋体"/>
          <w:color w:val="auto"/>
          <w:sz w:val="21"/>
          <w:szCs w:val="21"/>
          <w:highlight w:val="none"/>
        </w:rPr>
        <w:t>。</w:t>
      </w:r>
    </w:p>
    <w:p w14:paraId="33BC0CEF">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795" w:name="_Toc478389194"/>
      <w:bookmarkStart w:id="796" w:name="_Toc417904280"/>
      <w:r>
        <w:rPr>
          <w:rFonts w:hint="eastAsia" w:ascii="宋体" w:hAnsi="宋体" w:eastAsia="宋体" w:cs="宋体"/>
          <w:b/>
          <w:bCs/>
          <w:color w:val="auto"/>
          <w:kern w:val="44"/>
          <w:sz w:val="21"/>
          <w:szCs w:val="21"/>
          <w:highlight w:val="none"/>
        </w:rPr>
        <w:t>2.5 资金来源证明及支付担保</w:t>
      </w:r>
      <w:bookmarkEnd w:id="795"/>
      <w:bookmarkEnd w:id="796"/>
    </w:p>
    <w:p w14:paraId="5048F248">
      <w:pPr>
        <w:spacing w:line="4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本合同生效之日起至发包人实际支付竣工付款之日止。</w:t>
      </w:r>
    </w:p>
    <w:p w14:paraId="19839C9C">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不提供。</w:t>
      </w:r>
    </w:p>
    <w:p w14:paraId="691BC816">
      <w:pPr>
        <w:spacing w:line="4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发包人提供支付担保的形式：</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69D7F5C4">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797" w:name="_Toc417904281"/>
      <w:bookmarkStart w:id="798" w:name="_Toc478389195"/>
      <w:bookmarkStart w:id="799" w:name="_Toc351203635"/>
      <w:r>
        <w:rPr>
          <w:rFonts w:hint="eastAsia" w:ascii="宋体" w:hAnsi="宋体" w:eastAsia="宋体" w:cs="宋体"/>
          <w:b/>
          <w:bCs/>
          <w:color w:val="auto"/>
          <w:kern w:val="44"/>
          <w:sz w:val="21"/>
          <w:szCs w:val="21"/>
          <w:highlight w:val="none"/>
        </w:rPr>
        <w:t>3</w:t>
      </w:r>
      <w:bookmarkStart w:id="800" w:name="_Toc292559363"/>
      <w:bookmarkStart w:id="801" w:name="_Toc292559868"/>
      <w:bookmarkStart w:id="802" w:name="_Toc297120458"/>
      <w:bookmarkStart w:id="803" w:name="_Toc296891198"/>
      <w:bookmarkStart w:id="804" w:name="_Toc296346659"/>
      <w:bookmarkStart w:id="805" w:name="_Toc297048344"/>
      <w:bookmarkStart w:id="806" w:name="_Toc296890986"/>
      <w:bookmarkStart w:id="807" w:name="_Toc296944497"/>
      <w:bookmarkStart w:id="808" w:name="_Toc296347157"/>
      <w:bookmarkStart w:id="809" w:name="_Toc296503158"/>
      <w:r>
        <w:rPr>
          <w:rFonts w:hint="eastAsia" w:ascii="宋体" w:hAnsi="宋体" w:eastAsia="宋体" w:cs="宋体"/>
          <w:b/>
          <w:bCs/>
          <w:color w:val="auto"/>
          <w:kern w:val="44"/>
          <w:sz w:val="21"/>
          <w:szCs w:val="21"/>
          <w:highlight w:val="none"/>
        </w:rPr>
        <w:t>. 承包人</w:t>
      </w:r>
      <w:bookmarkEnd w:id="797"/>
      <w:bookmarkEnd w:id="798"/>
      <w:bookmarkEnd w:id="799"/>
    </w:p>
    <w:bookmarkEnd w:id="800"/>
    <w:bookmarkEnd w:id="801"/>
    <w:bookmarkEnd w:id="802"/>
    <w:bookmarkEnd w:id="803"/>
    <w:bookmarkEnd w:id="804"/>
    <w:bookmarkEnd w:id="805"/>
    <w:bookmarkEnd w:id="806"/>
    <w:bookmarkEnd w:id="807"/>
    <w:bookmarkEnd w:id="808"/>
    <w:bookmarkEnd w:id="809"/>
    <w:p w14:paraId="1CFC511F">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810" w:name="_Toc417904282"/>
      <w:bookmarkStart w:id="811" w:name="_Toc478389196"/>
      <w:r>
        <w:rPr>
          <w:rFonts w:hint="eastAsia" w:ascii="宋体" w:hAnsi="宋体" w:eastAsia="宋体" w:cs="宋体"/>
          <w:b/>
          <w:bCs/>
          <w:color w:val="auto"/>
          <w:kern w:val="44"/>
          <w:sz w:val="21"/>
          <w:szCs w:val="21"/>
          <w:highlight w:val="none"/>
        </w:rPr>
        <w:t>3.1 承包人的一般义务</w:t>
      </w:r>
      <w:bookmarkEnd w:id="810"/>
      <w:bookmarkEnd w:id="811"/>
    </w:p>
    <w:p w14:paraId="16C0E1D7">
      <w:pPr>
        <w:spacing w:line="4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（9）承包人提交的竣工资料的内容：</w:t>
      </w:r>
      <w:r>
        <w:rPr>
          <w:rFonts w:hint="eastAsia" w:ascii="宋体" w:hAnsi="宋体" w:eastAsia="宋体" w:cs="宋体"/>
          <w:color w:val="auto"/>
          <w:sz w:val="21"/>
          <w:szCs w:val="21"/>
          <w:highlight w:val="none"/>
          <w:u w:val="single"/>
        </w:rPr>
        <w:t>按相关规定</w:t>
      </w:r>
      <w:r>
        <w:rPr>
          <w:rFonts w:hint="eastAsia" w:ascii="宋体" w:hAnsi="宋体" w:eastAsia="宋体" w:cs="宋体"/>
          <w:color w:val="auto"/>
          <w:sz w:val="21"/>
          <w:szCs w:val="21"/>
          <w:highlight w:val="none"/>
        </w:rPr>
        <w:t>。</w:t>
      </w:r>
    </w:p>
    <w:p w14:paraId="00A4A4D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8份           </w:t>
      </w:r>
      <w:r>
        <w:rPr>
          <w:rFonts w:hint="eastAsia" w:ascii="宋体" w:hAnsi="宋体" w:eastAsia="宋体" w:cs="宋体"/>
          <w:color w:val="auto"/>
          <w:sz w:val="21"/>
          <w:szCs w:val="21"/>
          <w:highlight w:val="none"/>
        </w:rPr>
        <w:t>。</w:t>
      </w:r>
      <w:bookmarkStart w:id="1516" w:name="_GoBack"/>
      <w:bookmarkEnd w:id="1516"/>
    </w:p>
    <w:p w14:paraId="4754744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由承包人自行承担         </w:t>
      </w:r>
      <w:r>
        <w:rPr>
          <w:rFonts w:hint="eastAsia" w:ascii="宋体" w:hAnsi="宋体" w:eastAsia="宋体" w:cs="宋体"/>
          <w:color w:val="auto"/>
          <w:sz w:val="21"/>
          <w:szCs w:val="21"/>
          <w:highlight w:val="none"/>
        </w:rPr>
        <w:t>。</w:t>
      </w:r>
    </w:p>
    <w:p w14:paraId="0DFD3C5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竣工验收15天内       </w:t>
      </w:r>
      <w:r>
        <w:rPr>
          <w:rFonts w:hint="eastAsia" w:ascii="宋体" w:hAnsi="宋体" w:eastAsia="宋体" w:cs="宋体"/>
          <w:color w:val="auto"/>
          <w:sz w:val="21"/>
          <w:szCs w:val="21"/>
          <w:highlight w:val="none"/>
        </w:rPr>
        <w:t>。</w:t>
      </w:r>
    </w:p>
    <w:p w14:paraId="47004FD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     纸质和电子文档       </w:t>
      </w:r>
      <w:r>
        <w:rPr>
          <w:rFonts w:hint="eastAsia" w:ascii="宋体" w:hAnsi="宋体" w:eastAsia="宋体" w:cs="宋体"/>
          <w:color w:val="auto"/>
          <w:sz w:val="21"/>
          <w:szCs w:val="21"/>
          <w:highlight w:val="none"/>
        </w:rPr>
        <w:t>。</w:t>
      </w:r>
    </w:p>
    <w:p w14:paraId="72039F1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（10）承包人应履行的其他义务：</w:t>
      </w:r>
      <w:r>
        <w:rPr>
          <w:rFonts w:hint="eastAsia" w:ascii="宋体" w:hAnsi="宋体" w:eastAsia="宋体" w:cs="宋体"/>
          <w:color w:val="auto"/>
          <w:sz w:val="21"/>
          <w:szCs w:val="21"/>
          <w:highlight w:val="none"/>
          <w:u w:val="single"/>
        </w:rPr>
        <w:t>①承包人应当主动配合发包人协调与施工现场周边农村及村民的关系，确保项目施工顺利进行；②</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应按时支付农民工工资，发包人支付到合同价款的80％时，承包人应全部支付完农民工工资，之后如有农民工到发包方单位及上级部门反映索要工资现象视为违约，每发生一次</w:t>
      </w:r>
      <w:r>
        <w:rPr>
          <w:rFonts w:hint="eastAsia" w:ascii="宋体" w:hAnsi="宋体" w:eastAsia="宋体" w:cs="宋体"/>
          <w:color w:val="auto"/>
          <w:sz w:val="21"/>
          <w:szCs w:val="21"/>
          <w:highlight w:val="none"/>
          <w:u w:val="single"/>
          <w:lang w:eastAsia="zh-CN"/>
        </w:rPr>
        <w:t>扣除</w:t>
      </w:r>
      <w:r>
        <w:rPr>
          <w:rFonts w:hint="eastAsia" w:ascii="宋体" w:hAnsi="宋体" w:eastAsia="宋体" w:cs="宋体"/>
          <w:color w:val="auto"/>
          <w:sz w:val="21"/>
          <w:szCs w:val="21"/>
          <w:highlight w:val="none"/>
          <w:u w:val="single"/>
        </w:rPr>
        <w:t>最终结算价的1％，发包方可从应向承包方支付的款项中扣除；③本工程必须是</w:t>
      </w:r>
      <w:r>
        <w:rPr>
          <w:rFonts w:hint="eastAsia" w:ascii="宋体" w:hAnsi="宋体" w:eastAsia="宋体" w:cs="宋体"/>
          <w:color w:val="auto"/>
          <w:sz w:val="21"/>
          <w:szCs w:val="21"/>
          <w:highlight w:val="none"/>
          <w:u w:val="single"/>
          <w:lang w:eastAsia="zh-CN"/>
        </w:rPr>
        <w:t>承包</w:t>
      </w:r>
      <w:r>
        <w:rPr>
          <w:rFonts w:hint="eastAsia" w:ascii="宋体" w:hAnsi="宋体" w:eastAsia="宋体" w:cs="宋体"/>
          <w:color w:val="auto"/>
          <w:sz w:val="21"/>
          <w:szCs w:val="21"/>
          <w:highlight w:val="none"/>
          <w:u w:val="single"/>
        </w:rPr>
        <w:t>人独立完成，不得转包。如一经发现转包，发包人有权终止合同，依法另行选择承包人，原承包人无条件退出现场；④发包人另行发包的</w:t>
      </w:r>
      <w:r>
        <w:rPr>
          <w:rFonts w:hint="eastAsia" w:ascii="宋体" w:hAnsi="宋体" w:eastAsia="宋体" w:cs="宋体"/>
          <w:color w:val="auto"/>
          <w:sz w:val="21"/>
          <w:szCs w:val="21"/>
          <w:highlight w:val="none"/>
          <w:u w:val="single"/>
          <w:lang w:eastAsia="zh-CN"/>
        </w:rPr>
        <w:t>采购</w:t>
      </w:r>
      <w:r>
        <w:rPr>
          <w:rFonts w:hint="eastAsia" w:ascii="宋体" w:hAnsi="宋体" w:eastAsia="宋体" w:cs="宋体"/>
          <w:color w:val="auto"/>
          <w:sz w:val="21"/>
          <w:szCs w:val="21"/>
          <w:highlight w:val="none"/>
          <w:u w:val="single"/>
        </w:rPr>
        <w:t>范围以外的工程，承包人必须无条件配合；⑤承包人在承包工程施工期间所发生的一切责任事故，全部由承包人承担经济责任和法律责任。⑥承包人应负责协调解决来自当地居民对工程施工的人为干扰，并承担相关费用。⑦承包人应始终采取各种合理的预防措施，防止承包人员或其内部发生任何非法的、骚动的或无序的行为，以保持安定，保护现场及第三人的财产和人身安全。⑧为发包人依法发包的专业工程承包商提供总承包管理与协调服务，并为专业工程承包商提供一切施工方便。为发包人和监理人在施工现场提供必要的办公室和办公桌椅等设备。⑨按相关部门有关规定配合发包人其他工程的施工等。</w:t>
      </w:r>
    </w:p>
    <w:p w14:paraId="0FFBAAE6">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812" w:name="_Toc417904283"/>
      <w:bookmarkStart w:id="813" w:name="_Toc478389197"/>
      <w:r>
        <w:rPr>
          <w:rFonts w:hint="eastAsia" w:ascii="宋体" w:hAnsi="宋体" w:eastAsia="宋体" w:cs="宋体"/>
          <w:b/>
          <w:bCs/>
          <w:color w:val="auto"/>
          <w:kern w:val="44"/>
          <w:sz w:val="21"/>
          <w:szCs w:val="21"/>
          <w:highlight w:val="none"/>
        </w:rPr>
        <w:t>3.2 项目经理</w:t>
      </w:r>
      <w:bookmarkEnd w:id="812"/>
      <w:bookmarkEnd w:id="813"/>
    </w:p>
    <w:p w14:paraId="44D7F62C">
      <w:pPr>
        <w:spacing w:line="420" w:lineRule="exact"/>
        <w:ind w:left="48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项目经理：（注：若发包人发现承包人投入本项目的项目经理已在其他在建项目中担任项目经理，发包人有权要求承包人更换，且更换的项目经理必须满足本项目的要求并同时经过发包人同意，否则按违约处理。）</w:t>
      </w:r>
    </w:p>
    <w:p w14:paraId="2C0BCDC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5BE306D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2F89557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42A1AD3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4F8027F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028B40E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33447FA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65E319C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54615A9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35DCFE2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承包人对项目经理的授权范围如下：</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7A0F6AA5">
      <w:pPr>
        <w:spacing w:line="4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天　　</w:t>
      </w:r>
    </w:p>
    <w:p w14:paraId="3C7B3088">
      <w:pPr>
        <w:spacing w:line="420" w:lineRule="exact"/>
        <w:ind w:firstLine="42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1000元/日（人民币），累计超过3次（含3次），业主有权解除承包合同，所完成工程量不予以支付工程款，依法另行选择承包人，原承包人三日内无条件退出现场，但原承包人仍应当对已做工程的质量承担责任。</w:t>
      </w:r>
    </w:p>
    <w:p w14:paraId="5D019D2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承包人未提交劳动合同，以及没有为项目经理缴纳社会保险证明的违约责任：</w:t>
      </w:r>
      <w:r>
        <w:rPr>
          <w:rFonts w:hint="eastAsia" w:ascii="宋体" w:hAnsi="宋体" w:eastAsia="宋体" w:cs="宋体"/>
          <w:color w:val="auto"/>
          <w:sz w:val="21"/>
          <w:szCs w:val="21"/>
          <w:highlight w:val="none"/>
          <w:u w:val="single"/>
        </w:rPr>
        <w:t xml:space="preserve">若经发包人检查发现承包人违约则扣款2万元，若承包人不按要求及时整改，发包人有权解除合同   </w:t>
      </w:r>
      <w:r>
        <w:rPr>
          <w:rFonts w:hint="eastAsia" w:ascii="宋体" w:hAnsi="宋体" w:eastAsia="宋体" w:cs="宋体"/>
          <w:color w:val="auto"/>
          <w:sz w:val="21"/>
          <w:szCs w:val="21"/>
          <w:highlight w:val="none"/>
        </w:rPr>
        <w:t>。</w:t>
      </w:r>
    </w:p>
    <w:p w14:paraId="21F6F9E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约定开工日期前到任。在监理人向承包人颁发竣工证明材料名称前，项目经理不得同时兼任其他任何项目的项目经理（符合桂建管﹝2013﹞17号和桂建管﹝2016﹞70号文除外）。未经发包人书面同意，承包人擅自更换项目经理的视为违约，违约金处20000.00元/人•次（人民币）</w:t>
      </w:r>
      <w:r>
        <w:rPr>
          <w:rFonts w:hint="eastAsia" w:ascii="宋体" w:hAnsi="宋体" w:eastAsia="宋体" w:cs="宋体"/>
          <w:color w:val="auto"/>
          <w:sz w:val="21"/>
          <w:szCs w:val="21"/>
          <w:highlight w:val="none"/>
        </w:rPr>
        <w:t>。</w:t>
      </w:r>
    </w:p>
    <w:p w14:paraId="1ADCC0E6">
      <w:pPr>
        <w:spacing w:line="420" w:lineRule="exact"/>
        <w:ind w:firstLine="42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3.2.4承包人无正当理由拒绝更换项目经理的违约责任：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交纳处罚5000.00元/人•次（人民币），累计超过3次（含3次）发包人有权解除承包合同，所完成工程量不予以支付工程款，依法另行选择承包人，原承包人三日内无条件退出现场，但原承包人仍应当对已做工程的质量承担责任。</w:t>
      </w:r>
    </w:p>
    <w:p w14:paraId="21E0E5B6">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814" w:name="_Toc373227709"/>
      <w:bookmarkStart w:id="815" w:name="_Toc395382511"/>
      <w:bookmarkStart w:id="816" w:name="_Toc417904284"/>
      <w:bookmarkStart w:id="817" w:name="_Toc478389198"/>
      <w:bookmarkStart w:id="818" w:name="_Toc373478356"/>
      <w:bookmarkStart w:id="819" w:name="_Toc389065275"/>
      <w:r>
        <w:rPr>
          <w:rFonts w:hint="eastAsia" w:ascii="宋体" w:hAnsi="宋体" w:eastAsia="宋体" w:cs="宋体"/>
          <w:b/>
          <w:bCs/>
          <w:color w:val="auto"/>
          <w:kern w:val="44"/>
          <w:sz w:val="21"/>
          <w:szCs w:val="21"/>
          <w:highlight w:val="none"/>
        </w:rPr>
        <w:t>3.3 承包人人员</w:t>
      </w:r>
      <w:bookmarkEnd w:id="814"/>
      <w:bookmarkEnd w:id="815"/>
      <w:bookmarkEnd w:id="816"/>
      <w:bookmarkEnd w:id="817"/>
      <w:bookmarkEnd w:id="818"/>
      <w:bookmarkEnd w:id="819"/>
    </w:p>
    <w:p w14:paraId="4BD94CC3">
      <w:pPr>
        <w:spacing w:line="4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3.3.1</w:t>
      </w:r>
      <w:r>
        <w:rPr>
          <w:rFonts w:hint="eastAsia" w:ascii="宋体" w:hAnsi="宋体" w:eastAsia="宋体" w:cs="宋体"/>
          <w:color w:val="auto"/>
          <w:sz w:val="21"/>
          <w:szCs w:val="21"/>
          <w:highlight w:val="none"/>
          <w:u w:val="single"/>
        </w:rPr>
        <w:t>承包人提交项目管理机构及施工现场管理人员安排报告（格式见合同附件</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的期限：合同签订后3天内。</w:t>
      </w:r>
    </w:p>
    <w:p w14:paraId="6A629FEA">
      <w:pPr>
        <w:spacing w:line="4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3.3.3承包人无正当理由拒绝撤换主要施工管理人员的违约责任：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因承包人主要施工管理人员不称职，发包人要求调换而无正当理由拒绝撤换或未及时调换的，视为承包人违约，必须向发包人交纳</w:t>
      </w:r>
      <w:r>
        <w:rPr>
          <w:rFonts w:hint="eastAsia" w:ascii="宋体" w:hAnsi="宋体" w:eastAsia="宋体" w:cs="宋体"/>
          <w:color w:val="auto"/>
          <w:sz w:val="21"/>
          <w:szCs w:val="21"/>
          <w:highlight w:val="none"/>
          <w:u w:val="single"/>
          <w:lang w:eastAsia="zh-CN"/>
        </w:rPr>
        <w:t>违约金</w:t>
      </w:r>
      <w:r>
        <w:rPr>
          <w:rFonts w:hint="eastAsia" w:ascii="宋体" w:hAnsi="宋体" w:eastAsia="宋体" w:cs="宋体"/>
          <w:color w:val="auto"/>
          <w:sz w:val="21"/>
          <w:szCs w:val="21"/>
          <w:highlight w:val="none"/>
          <w:u w:val="single"/>
        </w:rPr>
        <w:t>，处罚标准：技术负责人5000元/人•次（人民币）；专业工程师2000元/人•次（人民币），累计超过3次（含3次）发包人有权解除承包合同，所完成工程量不予以支付工程款，依法另行选择承包人，原承包人三日内无条件退出现场，但原承包人仍应当对已做工程的质量承担责任。</w:t>
      </w:r>
    </w:p>
    <w:p w14:paraId="649DD45C">
      <w:pPr>
        <w:spacing w:line="4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向发包人书面申请  </w:t>
      </w:r>
      <w:r>
        <w:rPr>
          <w:rFonts w:hint="eastAsia" w:ascii="宋体" w:hAnsi="宋体" w:eastAsia="宋体" w:cs="宋体"/>
          <w:color w:val="auto"/>
          <w:sz w:val="21"/>
          <w:szCs w:val="21"/>
          <w:highlight w:val="none"/>
        </w:rPr>
        <w:t>。</w:t>
      </w:r>
    </w:p>
    <w:p w14:paraId="15E8AD09">
      <w:pPr>
        <w:spacing w:line="4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3.3.5承包人擅自更换主要施工管理人员的违约责任：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w:t>
      </w:r>
      <w:r>
        <w:rPr>
          <w:rFonts w:hint="eastAsia" w:ascii="宋体" w:hAnsi="宋体" w:eastAsia="宋体" w:cs="宋体"/>
          <w:color w:val="auto"/>
          <w:sz w:val="21"/>
          <w:szCs w:val="21"/>
          <w:highlight w:val="none"/>
          <w:u w:val="single"/>
          <w:lang w:eastAsia="zh-CN"/>
        </w:rPr>
        <w:t>其他</w:t>
      </w:r>
      <w:r>
        <w:rPr>
          <w:rFonts w:hint="eastAsia" w:ascii="宋体" w:hAnsi="宋体" w:eastAsia="宋体" w:cs="宋体"/>
          <w:color w:val="auto"/>
          <w:sz w:val="21"/>
          <w:szCs w:val="21"/>
          <w:highlight w:val="none"/>
          <w:u w:val="single"/>
        </w:rPr>
        <w:t>在场管理人员未经发包人书面同意不准擅自更换，擅自更换项目技术负责人处5000元/人•次（人民币）违约金；擅自更换专职安全员处2000元/人•次（人民币）违约金；擅自更换</w:t>
      </w:r>
      <w:r>
        <w:rPr>
          <w:rFonts w:hint="eastAsia" w:ascii="宋体" w:hAnsi="宋体" w:eastAsia="宋体" w:cs="宋体"/>
          <w:color w:val="auto"/>
          <w:sz w:val="21"/>
          <w:szCs w:val="21"/>
          <w:highlight w:val="none"/>
          <w:u w:val="single"/>
          <w:lang w:eastAsia="zh-CN"/>
        </w:rPr>
        <w:t>其他</w:t>
      </w:r>
      <w:r>
        <w:rPr>
          <w:rFonts w:hint="eastAsia" w:ascii="宋体" w:hAnsi="宋体" w:eastAsia="宋体" w:cs="宋体"/>
          <w:color w:val="auto"/>
          <w:sz w:val="21"/>
          <w:szCs w:val="21"/>
          <w:highlight w:val="none"/>
          <w:u w:val="single"/>
        </w:rPr>
        <w:t>在场管理人员处1000元/人•次（人民币）违约金，累计超过3次（含3次）发包人有权解除承包合同，所完成工程量不予以支付工程款，依法另行选择承包人，原承包人三日内无条件退出现场，但原承包人仍应当对已做工程的质量承担责任。</w:t>
      </w:r>
    </w:p>
    <w:p w14:paraId="1A42DD0E">
      <w:pPr>
        <w:spacing w:line="440" w:lineRule="exact"/>
        <w:ind w:firstLine="424" w:firstLineChars="202"/>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视为承包人违约，发包人有权处违约金2000元/人•次（人民币）；未经发包人同意，专职安全员擅自离岗的，视为承包人违约，发包人有权处违约金1000元/人•次（人民币）；</w:t>
      </w:r>
      <w:r>
        <w:rPr>
          <w:rFonts w:hint="eastAsia" w:ascii="宋体" w:hAnsi="宋体" w:eastAsia="宋体" w:cs="宋体"/>
          <w:color w:val="auto"/>
          <w:sz w:val="21"/>
          <w:szCs w:val="21"/>
          <w:highlight w:val="none"/>
          <w:u w:val="single"/>
          <w:lang w:eastAsia="zh-CN"/>
        </w:rPr>
        <w:t>其他</w:t>
      </w:r>
      <w:r>
        <w:rPr>
          <w:rFonts w:hint="eastAsia" w:ascii="宋体" w:hAnsi="宋体" w:eastAsia="宋体" w:cs="宋体"/>
          <w:color w:val="auto"/>
          <w:sz w:val="21"/>
          <w:szCs w:val="21"/>
          <w:highlight w:val="none"/>
          <w:u w:val="single"/>
        </w:rPr>
        <w:t xml:space="preserve">在场管理人员擅自离岗的，视为承包人违约，发包人有权处违约金5000元/人•次（人民币），累计超过3次（含3次）发包人有权解除承包合同，所完成工程量不予以支付工程款，依法另行选择承包人，原承包人三日内无条件退出现场，但原承包人仍应当对已做工程的质量承担责任。 </w:t>
      </w:r>
    </w:p>
    <w:p w14:paraId="12273110">
      <w:pPr>
        <w:keepNext/>
        <w:keepLines/>
        <w:spacing w:line="440" w:lineRule="exact"/>
        <w:ind w:firstLine="0" w:firstLineChars="0"/>
        <w:outlineLvl w:val="0"/>
        <w:rPr>
          <w:rFonts w:hint="eastAsia" w:ascii="宋体" w:hAnsi="宋体" w:eastAsia="宋体" w:cs="宋体"/>
          <w:b/>
          <w:bCs/>
          <w:color w:val="auto"/>
          <w:kern w:val="44"/>
          <w:sz w:val="21"/>
          <w:szCs w:val="21"/>
          <w:highlight w:val="none"/>
        </w:rPr>
      </w:pPr>
      <w:bookmarkStart w:id="820" w:name="_Toc478389199"/>
      <w:bookmarkStart w:id="821" w:name="_Toc417904285"/>
      <w:r>
        <w:rPr>
          <w:rFonts w:hint="eastAsia" w:ascii="宋体" w:hAnsi="宋体" w:eastAsia="宋体" w:cs="宋体"/>
          <w:b/>
          <w:bCs/>
          <w:color w:val="auto"/>
          <w:kern w:val="44"/>
          <w:sz w:val="21"/>
          <w:szCs w:val="21"/>
          <w:highlight w:val="none"/>
        </w:rPr>
        <w:t>3</w:t>
      </w:r>
      <w:bookmarkStart w:id="822" w:name="_Toc304295523"/>
      <w:bookmarkStart w:id="823" w:name="_Toc297120459"/>
      <w:bookmarkStart w:id="824" w:name="_Toc303539102"/>
      <w:bookmarkStart w:id="825" w:name="_Toc292559364"/>
      <w:bookmarkStart w:id="826" w:name="_Toc300934945"/>
      <w:bookmarkStart w:id="827" w:name="_Toc296346660"/>
      <w:bookmarkStart w:id="828" w:name="_Toc297048345"/>
      <w:bookmarkStart w:id="829" w:name="_Toc297216151"/>
      <w:bookmarkStart w:id="830" w:name="_Toc296891199"/>
      <w:bookmarkStart w:id="831" w:name="_Toc297123492"/>
      <w:bookmarkStart w:id="832" w:name="_Toc296347158"/>
      <w:bookmarkStart w:id="833" w:name="_Toc296944498"/>
      <w:bookmarkStart w:id="834" w:name="_Toc312677988"/>
      <w:bookmarkStart w:id="835" w:name="_Toc292559869"/>
      <w:bookmarkStart w:id="836" w:name="_Toc296503159"/>
      <w:bookmarkStart w:id="837" w:name="_Toc296890987"/>
      <w:r>
        <w:rPr>
          <w:rFonts w:hint="eastAsia" w:ascii="宋体" w:hAnsi="宋体" w:eastAsia="宋体" w:cs="宋体"/>
          <w:b/>
          <w:bCs/>
          <w:color w:val="auto"/>
          <w:kern w:val="44"/>
          <w:sz w:val="21"/>
          <w:szCs w:val="21"/>
          <w:highlight w:val="none"/>
        </w:rPr>
        <w:t>.5 分包</w:t>
      </w:r>
      <w:bookmarkEnd w:id="820"/>
      <w:bookmarkEnd w:id="821"/>
    </w:p>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14:paraId="0491F787">
      <w:pPr>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838" w:name="_Toc300934946"/>
      <w:bookmarkStart w:id="839" w:name="_Toc296347159"/>
      <w:bookmarkStart w:id="840" w:name="_Toc297120460"/>
      <w:bookmarkStart w:id="841" w:name="_Toc296890988"/>
      <w:bookmarkStart w:id="842" w:name="_Toc297123493"/>
      <w:bookmarkStart w:id="843" w:name="_Toc297048346"/>
      <w:bookmarkStart w:id="844" w:name="_Toc304295524"/>
      <w:bookmarkStart w:id="845" w:name="_Toc296503160"/>
      <w:bookmarkStart w:id="846" w:name="_Toc292559870"/>
      <w:bookmarkStart w:id="847" w:name="_Toc303539103"/>
      <w:bookmarkStart w:id="848" w:name="_Toc296891200"/>
      <w:bookmarkStart w:id="849" w:name="_Toc296346661"/>
      <w:bookmarkStart w:id="850" w:name="_Toc296944499"/>
      <w:bookmarkStart w:id="851" w:name="_Toc297216152"/>
      <w:bookmarkStart w:id="852" w:name="_Toc292559365"/>
      <w:bookmarkStart w:id="853" w:name="_Toc318581158"/>
      <w:bookmarkStart w:id="854" w:name="_Toc312677989"/>
      <w:r>
        <w:rPr>
          <w:rFonts w:hint="eastAsia" w:ascii="宋体" w:hAnsi="宋体" w:eastAsia="宋体" w:cs="宋体"/>
          <w:color w:val="auto"/>
          <w:sz w:val="21"/>
          <w:szCs w:val="21"/>
          <w:highlight w:val="none"/>
        </w:rPr>
        <w:t>.5.1 分包的一般约定</w:t>
      </w:r>
    </w:p>
    <w:p w14:paraId="6ED198CF">
      <w:pPr>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  按国家规定及招标要求   </w:t>
      </w:r>
      <w:r>
        <w:rPr>
          <w:rFonts w:hint="eastAsia" w:ascii="宋体" w:hAnsi="宋体" w:eastAsia="宋体" w:cs="宋体"/>
          <w:color w:val="auto"/>
          <w:sz w:val="21"/>
          <w:szCs w:val="21"/>
          <w:highlight w:val="none"/>
        </w:rPr>
        <w:t>。</w:t>
      </w:r>
    </w:p>
    <w:p w14:paraId="79E021D3">
      <w:pPr>
        <w:spacing w:line="44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不允许分包　</w:t>
      </w:r>
      <w:r>
        <w:rPr>
          <w:rFonts w:hint="eastAsia" w:ascii="宋体" w:hAnsi="宋体" w:eastAsia="宋体" w:cs="宋体"/>
          <w:color w:val="auto"/>
          <w:sz w:val="21"/>
          <w:szCs w:val="21"/>
          <w:highlight w:val="none"/>
        </w:rPr>
        <w:t>。</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Start w:id="855" w:name="_Toc296503161"/>
      <w:bookmarkStart w:id="856" w:name="_Toc303539104"/>
      <w:bookmarkStart w:id="857" w:name="_Toc297048347"/>
      <w:bookmarkStart w:id="858" w:name="_Toc296347160"/>
      <w:bookmarkStart w:id="859" w:name="_Toc304295525"/>
      <w:bookmarkStart w:id="860" w:name="_Toc296891201"/>
      <w:bookmarkStart w:id="861" w:name="_Toc297123494"/>
      <w:bookmarkStart w:id="862" w:name="_Toc297216153"/>
      <w:bookmarkStart w:id="863" w:name="_Toc297120461"/>
      <w:bookmarkStart w:id="864" w:name="_Toc296346662"/>
      <w:bookmarkStart w:id="865" w:name="_Toc296890989"/>
      <w:bookmarkStart w:id="866" w:name="_Toc300934947"/>
      <w:bookmarkStart w:id="867" w:name="_Toc296944500"/>
    </w:p>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14:paraId="267E99C2">
      <w:pPr>
        <w:keepNext/>
        <w:keepLines/>
        <w:spacing w:line="440" w:lineRule="exact"/>
        <w:ind w:firstLine="0" w:firstLineChars="0"/>
        <w:outlineLvl w:val="0"/>
        <w:rPr>
          <w:rFonts w:hint="eastAsia" w:ascii="宋体" w:hAnsi="宋体" w:eastAsia="宋体" w:cs="宋体"/>
          <w:b/>
          <w:bCs/>
          <w:color w:val="auto"/>
          <w:kern w:val="44"/>
          <w:sz w:val="21"/>
          <w:szCs w:val="21"/>
          <w:highlight w:val="none"/>
        </w:rPr>
      </w:pPr>
      <w:bookmarkStart w:id="868" w:name="_Toc478389200"/>
      <w:bookmarkStart w:id="869" w:name="_Toc417904286"/>
      <w:r>
        <w:rPr>
          <w:rFonts w:hint="eastAsia" w:ascii="宋体" w:hAnsi="宋体" w:eastAsia="宋体" w:cs="宋体"/>
          <w:b/>
          <w:bCs/>
          <w:color w:val="auto"/>
          <w:kern w:val="44"/>
          <w:sz w:val="21"/>
          <w:szCs w:val="21"/>
          <w:highlight w:val="none"/>
        </w:rPr>
        <w:t>3.6 工程照管与成品、半成品保护</w:t>
      </w:r>
      <w:bookmarkEnd w:id="868"/>
      <w:bookmarkEnd w:id="869"/>
    </w:p>
    <w:p w14:paraId="61DD75ED">
      <w:pPr>
        <w:spacing w:line="44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承包人负责照管工程及工程相关的材料、工程设备的时间：</w:t>
      </w:r>
      <w:r>
        <w:rPr>
          <w:rFonts w:hint="eastAsia" w:ascii="宋体" w:hAnsi="宋体" w:eastAsia="宋体" w:cs="宋体"/>
          <w:color w:val="auto"/>
          <w:sz w:val="21"/>
          <w:szCs w:val="21"/>
          <w:highlight w:val="none"/>
          <w:u w:val="single"/>
        </w:rPr>
        <w:t>发包人移交施工现场至验收交付发包人使用前　 。</w:t>
      </w:r>
    </w:p>
    <w:p w14:paraId="0801E5C2">
      <w:pPr>
        <w:keepNext/>
        <w:keepLines/>
        <w:spacing w:line="440" w:lineRule="exact"/>
        <w:ind w:firstLine="0" w:firstLineChars="0"/>
        <w:outlineLvl w:val="0"/>
        <w:rPr>
          <w:rFonts w:hint="eastAsia" w:ascii="宋体" w:hAnsi="宋体" w:eastAsia="宋体" w:cs="宋体"/>
          <w:b/>
          <w:bCs/>
          <w:color w:val="auto"/>
          <w:kern w:val="44"/>
          <w:sz w:val="21"/>
          <w:szCs w:val="21"/>
          <w:highlight w:val="none"/>
        </w:rPr>
      </w:pPr>
      <w:bookmarkStart w:id="870" w:name="_Toc417904287"/>
      <w:bookmarkStart w:id="871" w:name="_Toc478389201"/>
      <w:r>
        <w:rPr>
          <w:rFonts w:hint="eastAsia" w:ascii="宋体" w:hAnsi="宋体" w:eastAsia="宋体" w:cs="宋体"/>
          <w:b/>
          <w:bCs/>
          <w:color w:val="auto"/>
          <w:kern w:val="44"/>
          <w:sz w:val="21"/>
          <w:szCs w:val="21"/>
          <w:highlight w:val="none"/>
        </w:rPr>
        <w:t>3.7 履约保证金</w:t>
      </w:r>
      <w:bookmarkEnd w:id="870"/>
      <w:bookmarkEnd w:id="871"/>
    </w:p>
    <w:p w14:paraId="4BD80317">
      <w:pPr>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承包人是否提供履约保证金：否</w:t>
      </w:r>
    </w:p>
    <w:p w14:paraId="38FB6B5D">
      <w:pPr>
        <w:spacing w:line="44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承包人提供履约保证金的形式、金额及期限的：无</w:t>
      </w:r>
    </w:p>
    <w:p w14:paraId="205298BE">
      <w:pPr>
        <w:keepNext/>
        <w:keepLines/>
        <w:spacing w:line="440" w:lineRule="exact"/>
        <w:ind w:firstLine="0" w:firstLineChars="0"/>
        <w:outlineLvl w:val="0"/>
        <w:rPr>
          <w:rFonts w:hint="eastAsia" w:ascii="宋体" w:hAnsi="宋体" w:eastAsia="宋体" w:cs="宋体"/>
          <w:b/>
          <w:bCs/>
          <w:color w:val="auto"/>
          <w:kern w:val="44"/>
          <w:sz w:val="21"/>
          <w:szCs w:val="21"/>
          <w:highlight w:val="none"/>
        </w:rPr>
      </w:pPr>
      <w:bookmarkStart w:id="872" w:name="_Toc351203636"/>
      <w:bookmarkStart w:id="873" w:name="_Toc478389202"/>
      <w:bookmarkStart w:id="874" w:name="_Toc417904288"/>
      <w:r>
        <w:rPr>
          <w:rFonts w:hint="eastAsia" w:ascii="宋体" w:hAnsi="宋体" w:eastAsia="宋体" w:cs="宋体"/>
          <w:b/>
          <w:bCs/>
          <w:color w:val="auto"/>
          <w:kern w:val="44"/>
          <w:sz w:val="21"/>
          <w:szCs w:val="21"/>
          <w:highlight w:val="none"/>
        </w:rPr>
        <w:t>4</w:t>
      </w:r>
      <w:bookmarkStart w:id="875" w:name="_Toc267251413"/>
      <w:bookmarkStart w:id="876" w:name="_Toc297048348"/>
      <w:bookmarkStart w:id="877" w:name="_Toc296890990"/>
      <w:bookmarkStart w:id="878" w:name="_Toc292559366"/>
      <w:bookmarkStart w:id="879" w:name="_Toc296346663"/>
      <w:bookmarkStart w:id="880" w:name="_Toc296944501"/>
      <w:bookmarkStart w:id="881" w:name="_Toc296891202"/>
      <w:bookmarkStart w:id="882" w:name="_Toc292559871"/>
      <w:bookmarkStart w:id="883" w:name="_Toc296503162"/>
      <w:bookmarkStart w:id="884" w:name="_Toc297120462"/>
      <w:bookmarkStart w:id="885" w:name="_Toc296347161"/>
      <w:r>
        <w:rPr>
          <w:rFonts w:hint="eastAsia" w:ascii="宋体" w:hAnsi="宋体" w:eastAsia="宋体" w:cs="宋体"/>
          <w:b/>
          <w:bCs/>
          <w:color w:val="auto"/>
          <w:kern w:val="44"/>
          <w:sz w:val="21"/>
          <w:szCs w:val="21"/>
          <w:highlight w:val="none"/>
        </w:rPr>
        <w:t>. 监</w:t>
      </w:r>
      <w:bookmarkEnd w:id="875"/>
      <w:bookmarkEnd w:id="876"/>
      <w:bookmarkEnd w:id="877"/>
      <w:bookmarkEnd w:id="878"/>
      <w:bookmarkEnd w:id="879"/>
      <w:bookmarkEnd w:id="880"/>
      <w:bookmarkEnd w:id="881"/>
      <w:bookmarkEnd w:id="882"/>
      <w:bookmarkEnd w:id="883"/>
      <w:bookmarkEnd w:id="884"/>
      <w:bookmarkEnd w:id="885"/>
      <w:r>
        <w:rPr>
          <w:rFonts w:hint="eastAsia" w:ascii="宋体" w:hAnsi="宋体" w:eastAsia="宋体" w:cs="宋体"/>
          <w:b/>
          <w:bCs/>
          <w:color w:val="auto"/>
          <w:kern w:val="44"/>
          <w:sz w:val="21"/>
          <w:szCs w:val="21"/>
          <w:highlight w:val="none"/>
        </w:rPr>
        <w:t>理人</w:t>
      </w:r>
      <w:bookmarkEnd w:id="872"/>
      <w:bookmarkEnd w:id="873"/>
      <w:bookmarkEnd w:id="874"/>
    </w:p>
    <w:p w14:paraId="1BBA6F37">
      <w:pPr>
        <w:keepNext/>
        <w:keepLines/>
        <w:spacing w:line="440" w:lineRule="exact"/>
        <w:ind w:firstLine="0" w:firstLineChars="0"/>
        <w:outlineLvl w:val="0"/>
        <w:rPr>
          <w:rFonts w:hint="eastAsia" w:ascii="宋体" w:hAnsi="宋体" w:eastAsia="宋体" w:cs="宋体"/>
          <w:b/>
          <w:bCs/>
          <w:color w:val="auto"/>
          <w:kern w:val="44"/>
          <w:sz w:val="21"/>
          <w:szCs w:val="21"/>
          <w:highlight w:val="none"/>
        </w:rPr>
      </w:pPr>
      <w:bookmarkStart w:id="886" w:name="_Toc478389203"/>
      <w:bookmarkStart w:id="887" w:name="_Toc417904289"/>
      <w:r>
        <w:rPr>
          <w:rFonts w:hint="eastAsia" w:ascii="宋体" w:hAnsi="宋体" w:eastAsia="宋体" w:cs="宋体"/>
          <w:b/>
          <w:bCs/>
          <w:color w:val="auto"/>
          <w:kern w:val="44"/>
          <w:sz w:val="21"/>
          <w:szCs w:val="21"/>
          <w:highlight w:val="none"/>
        </w:rPr>
        <w:t>4.1监理人的一般规定</w:t>
      </w:r>
      <w:bookmarkEnd w:id="886"/>
      <w:bookmarkEnd w:id="887"/>
    </w:p>
    <w:p w14:paraId="5A4961AD">
      <w:pPr>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 xml:space="preserve">  成交后填写</w:t>
      </w:r>
      <w:r>
        <w:rPr>
          <w:rFonts w:hint="eastAsia" w:ascii="宋体" w:hAnsi="宋体" w:eastAsia="宋体" w:cs="宋体"/>
          <w:color w:val="auto"/>
          <w:sz w:val="21"/>
          <w:szCs w:val="21"/>
          <w:highlight w:val="none"/>
        </w:rPr>
        <w:t>。</w:t>
      </w:r>
    </w:p>
    <w:p w14:paraId="4C351BBD">
      <w:pPr>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 xml:space="preserve">。 </w:t>
      </w:r>
    </w:p>
    <w:p w14:paraId="2C75FF19">
      <w:pPr>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发包人与</w:t>
      </w:r>
      <w:r>
        <w:rPr>
          <w:rFonts w:hint="eastAsia" w:ascii="宋体" w:hAnsi="宋体" w:eastAsia="宋体" w:cs="宋体"/>
          <w:color w:val="auto"/>
          <w:sz w:val="21"/>
          <w:szCs w:val="21"/>
          <w:highlight w:val="none"/>
        </w:rPr>
        <w:t>监理人约定。</w:t>
      </w:r>
    </w:p>
    <w:p w14:paraId="45C828F7">
      <w:pPr>
        <w:keepNext/>
        <w:keepLines/>
        <w:spacing w:line="440" w:lineRule="exact"/>
        <w:ind w:firstLine="0" w:firstLineChars="0"/>
        <w:outlineLvl w:val="0"/>
        <w:rPr>
          <w:rFonts w:hint="eastAsia" w:ascii="宋体" w:hAnsi="宋体" w:eastAsia="宋体" w:cs="宋体"/>
          <w:b/>
          <w:bCs/>
          <w:color w:val="auto"/>
          <w:kern w:val="44"/>
          <w:sz w:val="21"/>
          <w:szCs w:val="21"/>
          <w:highlight w:val="none"/>
        </w:rPr>
      </w:pPr>
      <w:bookmarkStart w:id="888" w:name="_Toc417904290"/>
      <w:bookmarkStart w:id="889" w:name="_Toc478389204"/>
      <w:r>
        <w:rPr>
          <w:rFonts w:hint="eastAsia" w:ascii="宋体" w:hAnsi="宋体" w:eastAsia="宋体" w:cs="宋体"/>
          <w:b/>
          <w:bCs/>
          <w:color w:val="auto"/>
          <w:kern w:val="44"/>
          <w:sz w:val="21"/>
          <w:szCs w:val="21"/>
          <w:highlight w:val="none"/>
        </w:rPr>
        <w:t>4.2 监理人员</w:t>
      </w:r>
      <w:bookmarkEnd w:id="888"/>
      <w:bookmarkEnd w:id="889"/>
    </w:p>
    <w:p w14:paraId="2AD85F21">
      <w:pPr>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49C62ED5">
      <w:pPr>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52FF83E9">
      <w:pPr>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2F745604">
      <w:pPr>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1D149F29">
      <w:pPr>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3B2ABB37">
      <w:pPr>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715D0638">
      <w:pPr>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18C47900">
      <w:pPr>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4462A2C8">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890" w:name="_Toc478389205"/>
      <w:bookmarkStart w:id="891" w:name="_Toc417904291"/>
      <w:r>
        <w:rPr>
          <w:rFonts w:hint="eastAsia" w:ascii="宋体" w:hAnsi="宋体" w:eastAsia="宋体" w:cs="宋体"/>
          <w:b/>
          <w:bCs/>
          <w:color w:val="auto"/>
          <w:kern w:val="44"/>
          <w:sz w:val="21"/>
          <w:szCs w:val="21"/>
          <w:highlight w:val="none"/>
        </w:rPr>
        <w:t>4.4 商定或确定</w:t>
      </w:r>
      <w:bookmarkEnd w:id="890"/>
      <w:bookmarkEnd w:id="891"/>
    </w:p>
    <w:p w14:paraId="170BABD3">
      <w:pPr>
        <w:spacing w:line="400" w:lineRule="exact"/>
        <w:ind w:firstLine="420"/>
        <w:rPr>
          <w:rFonts w:hint="eastAsia" w:ascii="宋体" w:hAnsi="宋体" w:eastAsia="宋体" w:cs="宋体"/>
          <w:color w:val="auto"/>
          <w:sz w:val="21"/>
          <w:szCs w:val="21"/>
          <w:highlight w:val="none"/>
        </w:rPr>
      </w:pPr>
      <w:bookmarkStart w:id="89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35CB76F9">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59A00692">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6B290041">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成交后填写     </w:t>
      </w:r>
      <w:r>
        <w:rPr>
          <w:rFonts w:hint="eastAsia" w:ascii="宋体" w:hAnsi="宋体" w:eastAsia="宋体" w:cs="宋体"/>
          <w:color w:val="auto"/>
          <w:sz w:val="21"/>
          <w:szCs w:val="21"/>
          <w:highlight w:val="none"/>
        </w:rPr>
        <w:t>。</w:t>
      </w:r>
    </w:p>
    <w:p w14:paraId="1EFBA910">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893" w:name="_Toc351203637"/>
      <w:bookmarkStart w:id="894" w:name="_Toc417904292"/>
      <w:bookmarkStart w:id="895" w:name="_Toc478389206"/>
      <w:r>
        <w:rPr>
          <w:rFonts w:hint="eastAsia" w:ascii="宋体" w:hAnsi="宋体" w:eastAsia="宋体" w:cs="宋体"/>
          <w:b/>
          <w:bCs/>
          <w:color w:val="auto"/>
          <w:kern w:val="44"/>
          <w:sz w:val="21"/>
          <w:szCs w:val="21"/>
          <w:highlight w:val="none"/>
        </w:rPr>
        <w:t>5</w:t>
      </w:r>
      <w:bookmarkEnd w:id="892"/>
      <w:bookmarkStart w:id="896" w:name="_Toc297120463"/>
      <w:bookmarkStart w:id="897" w:name="_Toc296944502"/>
      <w:bookmarkStart w:id="898" w:name="_Toc296891203"/>
      <w:bookmarkStart w:id="899" w:name="_Toc292559367"/>
      <w:bookmarkStart w:id="900" w:name="_Toc296346664"/>
      <w:bookmarkStart w:id="901" w:name="_Toc296503163"/>
      <w:bookmarkStart w:id="902" w:name="_Toc292559872"/>
      <w:bookmarkStart w:id="903" w:name="_Toc297048349"/>
      <w:bookmarkStart w:id="904" w:name="_Toc296890991"/>
      <w:bookmarkStart w:id="905" w:name="_Toc296347162"/>
      <w:r>
        <w:rPr>
          <w:rFonts w:hint="eastAsia" w:ascii="宋体" w:hAnsi="宋体" w:eastAsia="宋体" w:cs="宋体"/>
          <w:b/>
          <w:bCs/>
          <w:color w:val="auto"/>
          <w:kern w:val="44"/>
          <w:sz w:val="21"/>
          <w:szCs w:val="21"/>
          <w:highlight w:val="none"/>
        </w:rPr>
        <w:t>. 工程质量</w:t>
      </w:r>
      <w:bookmarkEnd w:id="893"/>
      <w:bookmarkEnd w:id="894"/>
      <w:bookmarkEnd w:id="895"/>
    </w:p>
    <w:p w14:paraId="37919092">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906" w:name="_Toc417904293"/>
      <w:bookmarkStart w:id="907" w:name="_Toc478389207"/>
      <w:r>
        <w:rPr>
          <w:rFonts w:hint="eastAsia" w:ascii="宋体" w:hAnsi="宋体" w:eastAsia="宋体" w:cs="宋体"/>
          <w:b/>
          <w:bCs/>
          <w:color w:val="auto"/>
          <w:kern w:val="44"/>
          <w:sz w:val="21"/>
          <w:szCs w:val="21"/>
          <w:highlight w:val="none"/>
        </w:rPr>
        <w:t>5.1 质量要求</w:t>
      </w:r>
      <w:bookmarkEnd w:id="906"/>
      <w:bookmarkEnd w:id="907"/>
    </w:p>
    <w:p w14:paraId="66640EF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bookmarkStart w:id="908" w:name="_Toc303539106"/>
      <w:bookmarkStart w:id="909" w:name="_Toc300934949"/>
      <w:bookmarkStart w:id="910" w:name="_Toc304295527"/>
      <w:bookmarkStart w:id="911" w:name="_Toc297216155"/>
      <w:bookmarkStart w:id="912" w:name="_Toc297123496"/>
      <w:bookmarkStart w:id="913" w:name="_Toc318581164"/>
      <w:bookmarkStart w:id="914" w:name="_Toc312677997"/>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按国家规定   </w:t>
      </w:r>
      <w:r>
        <w:rPr>
          <w:rFonts w:hint="eastAsia" w:ascii="宋体" w:hAnsi="宋体" w:eastAsia="宋体" w:cs="宋体"/>
          <w:color w:val="auto"/>
          <w:sz w:val="21"/>
          <w:szCs w:val="21"/>
          <w:highlight w:val="none"/>
        </w:rPr>
        <w:t>。</w:t>
      </w:r>
    </w:p>
    <w:p w14:paraId="27A0444D">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A68F485">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915" w:name="_Toc478389208"/>
      <w:bookmarkStart w:id="916" w:name="_Toc417904294"/>
      <w:r>
        <w:rPr>
          <w:rFonts w:hint="eastAsia" w:ascii="宋体" w:hAnsi="宋体" w:eastAsia="宋体" w:cs="宋体"/>
          <w:b/>
          <w:bCs/>
          <w:color w:val="auto"/>
          <w:kern w:val="44"/>
          <w:sz w:val="21"/>
          <w:szCs w:val="21"/>
          <w:highlight w:val="none"/>
        </w:rPr>
        <w:t>5.3 隐蔽工程检查</w:t>
      </w:r>
      <w:bookmarkEnd w:id="915"/>
      <w:bookmarkEnd w:id="916"/>
    </w:p>
    <w:p w14:paraId="3779752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5.3.2承包人提前通知发包人隐蔽工程检查的期限的约定：</w:t>
      </w:r>
      <w:r>
        <w:rPr>
          <w:rFonts w:hint="eastAsia" w:ascii="宋体" w:hAnsi="宋体" w:eastAsia="宋体" w:cs="宋体"/>
          <w:color w:val="auto"/>
          <w:sz w:val="21"/>
          <w:szCs w:val="21"/>
          <w:highlight w:val="none"/>
          <w:u w:val="single"/>
        </w:rPr>
        <w:t xml:space="preserve">　提前7天   </w:t>
      </w:r>
      <w:r>
        <w:rPr>
          <w:rFonts w:hint="eastAsia" w:ascii="宋体" w:hAnsi="宋体" w:eastAsia="宋体" w:cs="宋体"/>
          <w:color w:val="auto"/>
          <w:sz w:val="21"/>
          <w:szCs w:val="21"/>
          <w:highlight w:val="none"/>
        </w:rPr>
        <w:t>。</w:t>
      </w:r>
    </w:p>
    <w:p w14:paraId="498FFCA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33DDA329">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rPr>
        <w:t>小时。</w:t>
      </w:r>
    </w:p>
    <w:p w14:paraId="58C930B6">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917" w:name="_Toc478389209"/>
      <w:bookmarkStart w:id="918" w:name="_Toc417904295"/>
      <w:bookmarkStart w:id="919" w:name="_Toc351203638"/>
      <w:r>
        <w:rPr>
          <w:rFonts w:hint="eastAsia" w:ascii="宋体" w:hAnsi="宋体" w:eastAsia="宋体" w:cs="宋体"/>
          <w:b/>
          <w:bCs/>
          <w:color w:val="auto"/>
          <w:kern w:val="44"/>
          <w:sz w:val="21"/>
          <w:szCs w:val="21"/>
          <w:highlight w:val="none"/>
        </w:rPr>
        <w:t>6. 安全文明施工与环境保护</w:t>
      </w:r>
      <w:bookmarkEnd w:id="917"/>
      <w:bookmarkEnd w:id="918"/>
      <w:bookmarkEnd w:id="919"/>
    </w:p>
    <w:p w14:paraId="395EA7A2">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920" w:name="_Toc478389210"/>
      <w:bookmarkStart w:id="921" w:name="_Toc417904296"/>
      <w:r>
        <w:rPr>
          <w:rFonts w:hint="eastAsia" w:ascii="宋体" w:hAnsi="宋体" w:eastAsia="宋体" w:cs="宋体"/>
          <w:b/>
          <w:bCs/>
          <w:color w:val="auto"/>
          <w:kern w:val="44"/>
          <w:sz w:val="21"/>
          <w:szCs w:val="21"/>
          <w:highlight w:val="none"/>
        </w:rPr>
        <w:t>6.1安全文明施工</w:t>
      </w:r>
      <w:bookmarkEnd w:id="920"/>
      <w:bookmarkEnd w:id="921"/>
    </w:p>
    <w:p w14:paraId="7F51D2CE">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 xml:space="preserve">   按国家规定  </w:t>
      </w:r>
      <w:r>
        <w:rPr>
          <w:rFonts w:hint="eastAsia" w:ascii="宋体" w:hAnsi="宋体" w:eastAsia="宋体" w:cs="宋体"/>
          <w:color w:val="auto"/>
          <w:sz w:val="21"/>
          <w:szCs w:val="21"/>
          <w:highlight w:val="none"/>
        </w:rPr>
        <w:t>。</w:t>
      </w:r>
    </w:p>
    <w:p w14:paraId="01112AB1">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6.1.4关于治安保卫的特别约定：</w:t>
      </w:r>
      <w:r>
        <w:rPr>
          <w:rFonts w:hint="eastAsia" w:ascii="宋体" w:hAnsi="宋体" w:eastAsia="宋体" w:cs="宋体"/>
          <w:color w:val="auto"/>
          <w:sz w:val="21"/>
          <w:szCs w:val="21"/>
          <w:highlight w:val="none"/>
          <w:u w:val="single"/>
        </w:rPr>
        <w:t>承包人应承担施工安全保卫工作及非夜间施工照明的责任，承包人应采取一切合理的预防措施，防止人员伤亡、财产损失事故，费用由承包人承担。承包人生活设施及施工</w:t>
      </w:r>
      <w:r>
        <w:rPr>
          <w:rFonts w:hint="eastAsia" w:ascii="宋体" w:hAnsi="宋体" w:eastAsia="宋体" w:cs="宋体"/>
          <w:color w:val="auto"/>
          <w:sz w:val="21"/>
          <w:szCs w:val="21"/>
          <w:highlight w:val="none"/>
          <w:u w:val="single"/>
          <w:lang w:eastAsia="zh-CN"/>
        </w:rPr>
        <w:t>现</w:t>
      </w:r>
      <w:r>
        <w:rPr>
          <w:rFonts w:hint="eastAsia" w:ascii="宋体" w:hAnsi="宋体" w:eastAsia="宋体" w:cs="宋体"/>
          <w:color w:val="auto"/>
          <w:sz w:val="21"/>
          <w:szCs w:val="21"/>
          <w:highlight w:val="none"/>
          <w:u w:val="single"/>
        </w:rPr>
        <w:t>场应自费配备消防设备，防止火灾发生。</w:t>
      </w:r>
    </w:p>
    <w:p w14:paraId="0A9F738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 xml:space="preserve">   合同签订后7天内      </w:t>
      </w:r>
      <w:r>
        <w:rPr>
          <w:rFonts w:hint="eastAsia" w:ascii="宋体" w:hAnsi="宋体" w:eastAsia="宋体" w:cs="宋体"/>
          <w:color w:val="auto"/>
          <w:sz w:val="21"/>
          <w:szCs w:val="21"/>
          <w:highlight w:val="none"/>
        </w:rPr>
        <w:t>。</w:t>
      </w:r>
    </w:p>
    <w:p w14:paraId="22202132">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45A632A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 xml:space="preserve">    按规范要求      </w:t>
      </w:r>
      <w:r>
        <w:rPr>
          <w:rFonts w:hint="eastAsia" w:ascii="宋体" w:hAnsi="宋体" w:eastAsia="宋体" w:cs="宋体"/>
          <w:color w:val="auto"/>
          <w:sz w:val="21"/>
          <w:szCs w:val="21"/>
          <w:highlight w:val="none"/>
        </w:rPr>
        <w:t>。</w:t>
      </w:r>
    </w:p>
    <w:p w14:paraId="13F1E456">
      <w:pPr>
        <w:spacing w:line="360" w:lineRule="exact"/>
        <w:ind w:firstLine="42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6.1.6关于安全文明施工费支付比例和支付期限的约定：</w:t>
      </w:r>
      <w:r>
        <w:rPr>
          <w:rFonts w:hint="eastAsia" w:ascii="宋体" w:hAnsi="宋体" w:eastAsia="宋体" w:cs="宋体"/>
          <w:color w:val="auto"/>
          <w:sz w:val="21"/>
          <w:szCs w:val="21"/>
          <w:highlight w:val="none"/>
          <w:u w:val="single"/>
        </w:rPr>
        <w:t>具体按《广西壮族自治区建筑工程安全防护、文明施工措施费及管理细则》（桂建质〔2015〕16 号）和当地建设行政主管部门要求执行。</w:t>
      </w:r>
    </w:p>
    <w:p w14:paraId="41D160C1">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922" w:name="_Toc373227721"/>
      <w:bookmarkStart w:id="923" w:name="_Toc478389211"/>
      <w:bookmarkStart w:id="924" w:name="_Toc389065287"/>
      <w:bookmarkStart w:id="925" w:name="_Toc373478368"/>
      <w:bookmarkStart w:id="926" w:name="_Toc395382523"/>
      <w:r>
        <w:rPr>
          <w:rFonts w:hint="eastAsia" w:ascii="宋体" w:hAnsi="宋体" w:eastAsia="宋体" w:cs="宋体"/>
          <w:b/>
          <w:bCs/>
          <w:color w:val="auto"/>
          <w:kern w:val="44"/>
          <w:sz w:val="21"/>
          <w:szCs w:val="21"/>
          <w:highlight w:val="none"/>
        </w:rPr>
        <w:t>6.3环境保护</w:t>
      </w:r>
      <w:bookmarkEnd w:id="922"/>
      <w:bookmarkEnd w:id="923"/>
      <w:bookmarkEnd w:id="924"/>
      <w:bookmarkEnd w:id="925"/>
      <w:bookmarkEnd w:id="926"/>
    </w:p>
    <w:p w14:paraId="187997B8">
      <w:pPr>
        <w:ind w:firstLine="42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因施工需要，经发包人批准，由承包人办理有关施工场地交通、环卫和施工噪音管理等手续，费用由承包人负责。</w:t>
      </w:r>
    </w:p>
    <w:p w14:paraId="0BBE2BE3">
      <w:pPr>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经过城市道路的施工车辆，必须按交警、城管、运输等部门相关规定执行。由于施工车辆造成的道路、环境等污染，其责任和费用均由承包人承担。</w:t>
      </w:r>
    </w:p>
    <w:bookmarkEnd w:id="908"/>
    <w:bookmarkEnd w:id="909"/>
    <w:bookmarkEnd w:id="910"/>
    <w:bookmarkEnd w:id="911"/>
    <w:bookmarkEnd w:id="912"/>
    <w:bookmarkEnd w:id="913"/>
    <w:bookmarkEnd w:id="914"/>
    <w:p w14:paraId="19A6663B">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927" w:name="_Toc351203639"/>
      <w:bookmarkStart w:id="928" w:name="_Toc417904297"/>
      <w:bookmarkStart w:id="929" w:name="_Toc478389212"/>
      <w:r>
        <w:rPr>
          <w:rFonts w:hint="eastAsia" w:ascii="宋体" w:hAnsi="宋体" w:eastAsia="宋体" w:cs="宋体"/>
          <w:b/>
          <w:bCs/>
          <w:color w:val="auto"/>
          <w:kern w:val="44"/>
          <w:sz w:val="21"/>
          <w:szCs w:val="21"/>
          <w:highlight w:val="none"/>
        </w:rPr>
        <w:t>7. 工期和进度</w:t>
      </w:r>
      <w:bookmarkEnd w:id="927"/>
      <w:bookmarkEnd w:id="928"/>
      <w:bookmarkEnd w:id="929"/>
    </w:p>
    <w:p w14:paraId="1FAC92D8">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930" w:name="_Toc417904298"/>
      <w:bookmarkStart w:id="931" w:name="_Toc478389213"/>
      <w:r>
        <w:rPr>
          <w:rFonts w:hint="eastAsia" w:ascii="宋体" w:hAnsi="宋体" w:eastAsia="宋体" w:cs="宋体"/>
          <w:b/>
          <w:bCs/>
          <w:color w:val="auto"/>
          <w:kern w:val="44"/>
          <w:sz w:val="21"/>
          <w:szCs w:val="21"/>
          <w:highlight w:val="none"/>
        </w:rPr>
        <w:t>7.1 施工组织设计</w:t>
      </w:r>
      <w:bookmarkEnd w:id="930"/>
      <w:bookmarkEnd w:id="931"/>
    </w:p>
    <w:p w14:paraId="3A8A1ECB">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合同当事人约定的施工组织设计应包括的其他内容：</w:t>
      </w:r>
      <w:r>
        <w:rPr>
          <w:rFonts w:hint="eastAsia" w:ascii="宋体" w:hAnsi="宋体" w:eastAsia="宋体" w:cs="宋体"/>
          <w:color w:val="auto"/>
          <w:sz w:val="21"/>
          <w:szCs w:val="21"/>
          <w:highlight w:val="none"/>
          <w:u w:val="single"/>
        </w:rPr>
        <w:t xml:space="preserve">  　按规范要求   </w:t>
      </w:r>
      <w:r>
        <w:rPr>
          <w:rFonts w:hint="eastAsia" w:ascii="宋体" w:hAnsi="宋体" w:eastAsia="宋体" w:cs="宋体"/>
          <w:color w:val="auto"/>
          <w:sz w:val="21"/>
          <w:szCs w:val="21"/>
          <w:highlight w:val="none"/>
        </w:rPr>
        <w:t>。</w:t>
      </w:r>
    </w:p>
    <w:p w14:paraId="5FCC1FAB">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7.1.2 施工组织设计的提交和修改</w:t>
      </w:r>
    </w:p>
    <w:p w14:paraId="34E7DFB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承包人提交详细施工组织设计的期限的约定：</w:t>
      </w:r>
      <w:r>
        <w:rPr>
          <w:rFonts w:hint="eastAsia" w:ascii="宋体" w:hAnsi="宋体" w:eastAsia="宋体" w:cs="宋体"/>
          <w:color w:val="auto"/>
          <w:sz w:val="21"/>
          <w:szCs w:val="21"/>
          <w:highlight w:val="none"/>
          <w:u w:val="single"/>
        </w:rPr>
        <w:t xml:space="preserve">    合同签订后7天内     </w:t>
      </w:r>
      <w:r>
        <w:rPr>
          <w:rFonts w:hint="eastAsia" w:ascii="宋体" w:hAnsi="宋体" w:eastAsia="宋体" w:cs="宋体"/>
          <w:color w:val="auto"/>
          <w:sz w:val="21"/>
          <w:szCs w:val="21"/>
          <w:highlight w:val="none"/>
        </w:rPr>
        <w:t>。</w:t>
      </w:r>
    </w:p>
    <w:p w14:paraId="3E7EBF0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 xml:space="preserve">  7天内 </w:t>
      </w:r>
      <w:r>
        <w:rPr>
          <w:rFonts w:hint="eastAsia" w:ascii="宋体" w:hAnsi="宋体" w:eastAsia="宋体" w:cs="宋体"/>
          <w:color w:val="auto"/>
          <w:sz w:val="21"/>
          <w:szCs w:val="21"/>
          <w:highlight w:val="none"/>
        </w:rPr>
        <w:t>。</w:t>
      </w:r>
    </w:p>
    <w:p w14:paraId="1F73754B">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932" w:name="_Toc417904299"/>
      <w:bookmarkStart w:id="933" w:name="_Toc478389214"/>
      <w:r>
        <w:rPr>
          <w:rFonts w:hint="eastAsia" w:ascii="宋体" w:hAnsi="宋体" w:eastAsia="宋体" w:cs="宋体"/>
          <w:b/>
          <w:bCs/>
          <w:color w:val="auto"/>
          <w:kern w:val="44"/>
          <w:sz w:val="21"/>
          <w:szCs w:val="21"/>
          <w:highlight w:val="none"/>
        </w:rPr>
        <w:t>7</w:t>
      </w:r>
      <w:bookmarkStart w:id="934" w:name="_Toc312677479"/>
      <w:bookmarkStart w:id="935" w:name="_Toc297123514"/>
      <w:bookmarkStart w:id="936" w:name="_Toc297216173"/>
      <w:bookmarkStart w:id="937" w:name="_Toc303539123"/>
      <w:bookmarkStart w:id="938" w:name="_Toc312678005"/>
      <w:bookmarkStart w:id="939" w:name="_Toc300934966"/>
      <w:bookmarkStart w:id="940" w:name="_Toc304295541"/>
      <w:r>
        <w:rPr>
          <w:rFonts w:hint="eastAsia" w:ascii="宋体" w:hAnsi="宋体" w:eastAsia="宋体" w:cs="宋体"/>
          <w:b/>
          <w:bCs/>
          <w:color w:val="auto"/>
          <w:kern w:val="44"/>
          <w:sz w:val="21"/>
          <w:szCs w:val="21"/>
          <w:highlight w:val="none"/>
        </w:rPr>
        <w:t>.2 施工进度计划</w:t>
      </w:r>
      <w:bookmarkEnd w:id="932"/>
      <w:bookmarkEnd w:id="933"/>
    </w:p>
    <w:p w14:paraId="2B677A7D">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3BD2E8C0">
      <w:pPr>
        <w:spacing w:line="41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rPr>
        <w:t>收到修订合同进度计划后7天</w:t>
      </w:r>
      <w:r>
        <w:rPr>
          <w:rFonts w:hint="eastAsia" w:ascii="宋体" w:hAnsi="宋体" w:eastAsia="宋体" w:cs="宋体"/>
          <w:color w:val="auto"/>
          <w:sz w:val="21"/>
          <w:szCs w:val="21"/>
          <w:highlight w:val="none"/>
        </w:rPr>
        <w:t>。</w:t>
      </w:r>
    </w:p>
    <w:p w14:paraId="2537D156">
      <w:pPr>
        <w:keepNext/>
        <w:keepLines/>
        <w:spacing w:line="410" w:lineRule="exact"/>
        <w:ind w:firstLine="0" w:firstLineChars="0"/>
        <w:outlineLvl w:val="0"/>
        <w:rPr>
          <w:rFonts w:hint="eastAsia" w:ascii="宋体" w:hAnsi="宋体" w:eastAsia="宋体" w:cs="宋体"/>
          <w:b/>
          <w:bCs/>
          <w:color w:val="auto"/>
          <w:kern w:val="44"/>
          <w:sz w:val="21"/>
          <w:szCs w:val="21"/>
          <w:highlight w:val="none"/>
        </w:rPr>
      </w:pPr>
      <w:bookmarkStart w:id="941" w:name="_Toc417904300"/>
      <w:bookmarkStart w:id="942" w:name="_Toc478389215"/>
      <w:r>
        <w:rPr>
          <w:rFonts w:hint="eastAsia" w:ascii="宋体" w:hAnsi="宋体" w:eastAsia="宋体" w:cs="宋体"/>
          <w:b/>
          <w:bCs/>
          <w:color w:val="auto"/>
          <w:kern w:val="44"/>
          <w:sz w:val="21"/>
          <w:szCs w:val="21"/>
          <w:highlight w:val="none"/>
        </w:rPr>
        <w:t>7.3 开工</w:t>
      </w:r>
      <w:bookmarkEnd w:id="941"/>
      <w:bookmarkEnd w:id="942"/>
    </w:p>
    <w:p w14:paraId="6966A3EF">
      <w:pPr>
        <w:spacing w:line="41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21AC03E8">
      <w:pPr>
        <w:spacing w:line="41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rPr>
        <w:t xml:space="preserve">  合同签订后7天  </w:t>
      </w:r>
      <w:r>
        <w:rPr>
          <w:rFonts w:hint="eastAsia" w:ascii="宋体" w:hAnsi="宋体" w:eastAsia="宋体" w:cs="宋体"/>
          <w:color w:val="auto"/>
          <w:sz w:val="21"/>
          <w:szCs w:val="21"/>
          <w:highlight w:val="none"/>
        </w:rPr>
        <w:t>。</w:t>
      </w:r>
    </w:p>
    <w:p w14:paraId="5F1EAD53">
      <w:pPr>
        <w:spacing w:line="41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 xml:space="preserve">  合同签订后7天   </w:t>
      </w:r>
      <w:r>
        <w:rPr>
          <w:rFonts w:hint="eastAsia" w:ascii="宋体" w:hAnsi="宋体" w:eastAsia="宋体" w:cs="宋体"/>
          <w:color w:val="auto"/>
          <w:sz w:val="21"/>
          <w:szCs w:val="21"/>
          <w:highlight w:val="none"/>
        </w:rPr>
        <w:t>。</w:t>
      </w:r>
    </w:p>
    <w:p w14:paraId="36EC4562">
      <w:pPr>
        <w:spacing w:line="41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 xml:space="preserve">   合同签订后7天   </w:t>
      </w:r>
      <w:r>
        <w:rPr>
          <w:rFonts w:hint="eastAsia" w:ascii="宋体" w:hAnsi="宋体" w:eastAsia="宋体" w:cs="宋体"/>
          <w:color w:val="auto"/>
          <w:sz w:val="21"/>
          <w:szCs w:val="21"/>
          <w:highlight w:val="none"/>
        </w:rPr>
        <w:t>。</w:t>
      </w:r>
    </w:p>
    <w:p w14:paraId="212EA096">
      <w:pPr>
        <w:spacing w:line="41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7.3.2开工通知</w:t>
      </w:r>
    </w:p>
    <w:p w14:paraId="14D3681F">
      <w:pPr>
        <w:spacing w:line="41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180</w:t>
      </w:r>
      <w:r>
        <w:rPr>
          <w:rFonts w:hint="eastAsia" w:ascii="宋体" w:hAnsi="宋体" w:eastAsia="宋体" w:cs="宋体"/>
          <w:color w:val="auto"/>
          <w:sz w:val="21"/>
          <w:szCs w:val="21"/>
          <w:highlight w:val="none"/>
        </w:rPr>
        <w:t>天内发出开工通知的，承包人有权提出价格调整要求，或者解除合同。</w:t>
      </w:r>
    </w:p>
    <w:bookmarkEnd w:id="934"/>
    <w:bookmarkEnd w:id="935"/>
    <w:bookmarkEnd w:id="936"/>
    <w:bookmarkEnd w:id="937"/>
    <w:bookmarkEnd w:id="938"/>
    <w:bookmarkEnd w:id="939"/>
    <w:bookmarkEnd w:id="940"/>
    <w:p w14:paraId="0D4E27A2">
      <w:pPr>
        <w:keepNext/>
        <w:keepLines/>
        <w:spacing w:line="410" w:lineRule="exact"/>
        <w:ind w:firstLine="0" w:firstLineChars="0"/>
        <w:outlineLvl w:val="0"/>
        <w:rPr>
          <w:rFonts w:hint="eastAsia" w:ascii="宋体" w:hAnsi="宋体" w:eastAsia="宋体" w:cs="宋体"/>
          <w:b/>
          <w:bCs/>
          <w:color w:val="auto"/>
          <w:kern w:val="44"/>
          <w:sz w:val="21"/>
          <w:szCs w:val="21"/>
          <w:highlight w:val="none"/>
        </w:rPr>
      </w:pPr>
      <w:bookmarkStart w:id="943" w:name="_Toc417904301"/>
      <w:bookmarkStart w:id="944" w:name="_Toc478389216"/>
      <w:r>
        <w:rPr>
          <w:rFonts w:hint="eastAsia" w:ascii="宋体" w:hAnsi="宋体" w:eastAsia="宋体" w:cs="宋体"/>
          <w:b/>
          <w:bCs/>
          <w:color w:val="auto"/>
          <w:kern w:val="44"/>
          <w:sz w:val="21"/>
          <w:szCs w:val="21"/>
          <w:highlight w:val="none"/>
        </w:rPr>
        <w:t>7.4 测量放线</w:t>
      </w:r>
      <w:bookmarkEnd w:id="943"/>
      <w:bookmarkEnd w:id="944"/>
    </w:p>
    <w:p w14:paraId="0A533870">
      <w:pPr>
        <w:spacing w:line="41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7.4.1发包人通过监理人向承包人提供测量基准点、基准线和水准点及其书面资料的期限：</w:t>
      </w:r>
      <w:r>
        <w:rPr>
          <w:rFonts w:hint="eastAsia" w:ascii="宋体" w:hAnsi="宋体" w:eastAsia="宋体" w:cs="宋体"/>
          <w:color w:val="auto"/>
          <w:sz w:val="21"/>
          <w:szCs w:val="21"/>
          <w:highlight w:val="none"/>
          <w:u w:val="single"/>
        </w:rPr>
        <w:t xml:space="preserve">合同签订后14天　  </w:t>
      </w:r>
      <w:r>
        <w:rPr>
          <w:rFonts w:hint="eastAsia" w:ascii="宋体" w:hAnsi="宋体" w:eastAsia="宋体" w:cs="宋体"/>
          <w:color w:val="auto"/>
          <w:sz w:val="21"/>
          <w:szCs w:val="21"/>
          <w:highlight w:val="none"/>
        </w:rPr>
        <w:t>。</w:t>
      </w:r>
    </w:p>
    <w:p w14:paraId="35A8D836">
      <w:pPr>
        <w:keepNext/>
        <w:keepLines/>
        <w:spacing w:line="410" w:lineRule="exact"/>
        <w:ind w:firstLine="0" w:firstLineChars="0"/>
        <w:outlineLvl w:val="0"/>
        <w:rPr>
          <w:rFonts w:hint="eastAsia" w:ascii="宋体" w:hAnsi="宋体" w:eastAsia="宋体" w:cs="宋体"/>
          <w:b/>
          <w:bCs/>
          <w:color w:val="auto"/>
          <w:kern w:val="44"/>
          <w:sz w:val="21"/>
          <w:szCs w:val="21"/>
          <w:highlight w:val="none"/>
        </w:rPr>
      </w:pPr>
      <w:bookmarkStart w:id="945" w:name="_Toc417904302"/>
      <w:bookmarkStart w:id="946" w:name="_Toc478389217"/>
      <w:r>
        <w:rPr>
          <w:rFonts w:hint="eastAsia" w:ascii="宋体" w:hAnsi="宋体" w:eastAsia="宋体" w:cs="宋体"/>
          <w:b/>
          <w:bCs/>
          <w:color w:val="auto"/>
          <w:kern w:val="44"/>
          <w:sz w:val="21"/>
          <w:szCs w:val="21"/>
          <w:highlight w:val="none"/>
        </w:rPr>
        <w:t>7</w:t>
      </w:r>
      <w:bookmarkStart w:id="947" w:name="_Toc304295546"/>
      <w:bookmarkStart w:id="948" w:name="_Toc303539125"/>
      <w:bookmarkStart w:id="949" w:name="_Toc300934968"/>
      <w:bookmarkStart w:id="950" w:name="_Toc312678010"/>
      <w:bookmarkStart w:id="951" w:name="_Toc297123516"/>
      <w:bookmarkStart w:id="952" w:name="_Toc312677484"/>
      <w:bookmarkStart w:id="953" w:name="_Toc297216175"/>
      <w:r>
        <w:rPr>
          <w:rFonts w:hint="eastAsia" w:ascii="宋体" w:hAnsi="宋体" w:eastAsia="宋体" w:cs="宋体"/>
          <w:b/>
          <w:bCs/>
          <w:color w:val="auto"/>
          <w:kern w:val="44"/>
          <w:sz w:val="21"/>
          <w:szCs w:val="21"/>
          <w:highlight w:val="none"/>
        </w:rPr>
        <w:t>.5 工期延误</w:t>
      </w:r>
      <w:bookmarkEnd w:id="945"/>
      <w:bookmarkEnd w:id="946"/>
    </w:p>
    <w:bookmarkEnd w:id="947"/>
    <w:bookmarkEnd w:id="948"/>
    <w:bookmarkEnd w:id="949"/>
    <w:bookmarkEnd w:id="950"/>
    <w:bookmarkEnd w:id="951"/>
    <w:bookmarkEnd w:id="952"/>
    <w:bookmarkEnd w:id="953"/>
    <w:p w14:paraId="297B59F3">
      <w:pPr>
        <w:spacing w:line="410" w:lineRule="exact"/>
        <w:ind w:firstLine="420"/>
        <w:outlineLvl w:val="0"/>
        <w:rPr>
          <w:rFonts w:hint="eastAsia" w:ascii="宋体" w:hAnsi="宋体" w:eastAsia="宋体" w:cs="宋体"/>
          <w:color w:val="auto"/>
          <w:sz w:val="21"/>
          <w:szCs w:val="21"/>
          <w:highlight w:val="none"/>
        </w:rPr>
      </w:pPr>
      <w:bookmarkStart w:id="954" w:name="_Toc478389218"/>
      <w:bookmarkStart w:id="955" w:name="_Toc417904303"/>
      <w:r>
        <w:rPr>
          <w:rFonts w:hint="eastAsia" w:ascii="宋体" w:hAnsi="宋体" w:eastAsia="宋体" w:cs="宋体"/>
          <w:color w:val="auto"/>
          <w:sz w:val="21"/>
          <w:szCs w:val="21"/>
          <w:highlight w:val="none"/>
        </w:rPr>
        <w:t>7.5.1 因发包人原因导致工期延误</w:t>
      </w:r>
      <w:bookmarkEnd w:id="954"/>
      <w:bookmarkEnd w:id="955"/>
    </w:p>
    <w:p w14:paraId="7C3679F1">
      <w:pPr>
        <w:spacing w:line="41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0F11B5F">
      <w:pPr>
        <w:spacing w:line="41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956" w:name="_Toc312678012"/>
      <w:bookmarkStart w:id="957" w:name="_Toc312677486"/>
      <w:bookmarkStart w:id="958" w:name="_Toc318581169"/>
      <w:bookmarkStart w:id="959" w:name="_Toc303539127"/>
      <w:bookmarkStart w:id="960" w:name="_Toc297123518"/>
      <w:bookmarkStart w:id="961" w:name="_Toc300934970"/>
      <w:bookmarkStart w:id="962" w:name="_Toc297216177"/>
      <w:bookmarkStart w:id="963" w:name="_Toc304295548"/>
      <w:r>
        <w:rPr>
          <w:rFonts w:hint="eastAsia" w:ascii="宋体" w:hAnsi="宋体" w:eastAsia="宋体" w:cs="宋体"/>
          <w:color w:val="auto"/>
          <w:sz w:val="21"/>
          <w:szCs w:val="21"/>
          <w:highlight w:val="none"/>
        </w:rPr>
        <w:t>.5.2 因承包人原因导致工期延误</w:t>
      </w:r>
    </w:p>
    <w:bookmarkEnd w:id="956"/>
    <w:bookmarkEnd w:id="957"/>
    <w:bookmarkEnd w:id="958"/>
    <w:p w14:paraId="4CB3D910">
      <w:pPr>
        <w:spacing w:line="41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因</w:t>
      </w:r>
      <w:bookmarkStart w:id="964" w:name="_Toc312677487"/>
      <w:bookmarkStart w:id="965" w:name="_Toc312678013"/>
      <w:bookmarkStart w:id="966" w:name="_Toc318581170"/>
      <w:r>
        <w:rPr>
          <w:rFonts w:hint="eastAsia" w:ascii="宋体" w:hAnsi="宋体" w:eastAsia="宋体" w:cs="宋体"/>
          <w:color w:val="auto"/>
          <w:sz w:val="21"/>
          <w:szCs w:val="21"/>
          <w:highlight w:val="none"/>
        </w:rPr>
        <w:t>承包人原因造成工期延误，逾期竣工违约金的计算方法为：</w:t>
      </w:r>
      <w:r>
        <w:rPr>
          <w:rFonts w:hint="eastAsia" w:ascii="宋体" w:hAnsi="宋体" w:eastAsia="宋体" w:cs="宋体"/>
          <w:color w:val="auto"/>
          <w:sz w:val="21"/>
          <w:szCs w:val="21"/>
          <w:highlight w:val="none"/>
          <w:u w:val="single"/>
        </w:rPr>
        <w:t xml:space="preserve">非上述原因，承包人不能按合同约定的时间竣工，承包人应承担违约责任。应向发包人支付误期赔偿费（每天赔偿金额为合同价款扣除建安劳保费、发包人材料价款、暂估专业工程款、暂列金额后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p w14:paraId="2A9B1494">
      <w:pPr>
        <w:spacing w:line="41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因承包人原因造成工期延误，逾期竣工违约金的上限：</w:t>
      </w:r>
      <w:r>
        <w:rPr>
          <w:rFonts w:hint="eastAsia" w:ascii="宋体" w:hAnsi="宋体" w:eastAsia="宋体" w:cs="宋体"/>
          <w:color w:val="auto"/>
          <w:sz w:val="21"/>
          <w:szCs w:val="21"/>
          <w:highlight w:val="none"/>
          <w:u w:val="single"/>
        </w:rPr>
        <w:t>合同价扣除建安劳保费、发包人材料价款、暂估专业工程、暂列金额后的2%</w:t>
      </w:r>
      <w:r>
        <w:rPr>
          <w:rFonts w:hint="eastAsia" w:ascii="宋体" w:hAnsi="宋体" w:eastAsia="宋体" w:cs="宋体"/>
          <w:color w:val="auto"/>
          <w:sz w:val="21"/>
          <w:szCs w:val="21"/>
          <w:highlight w:val="none"/>
        </w:rPr>
        <w:t>。</w:t>
      </w:r>
      <w:bookmarkEnd w:id="959"/>
      <w:bookmarkEnd w:id="960"/>
      <w:bookmarkEnd w:id="961"/>
      <w:bookmarkEnd w:id="962"/>
      <w:bookmarkEnd w:id="963"/>
      <w:bookmarkEnd w:id="964"/>
      <w:bookmarkEnd w:id="965"/>
    </w:p>
    <w:bookmarkEnd w:id="966"/>
    <w:p w14:paraId="1A713C79">
      <w:pPr>
        <w:keepNext/>
        <w:keepLines/>
        <w:spacing w:line="410" w:lineRule="exact"/>
        <w:ind w:firstLine="0" w:firstLineChars="0"/>
        <w:outlineLvl w:val="0"/>
        <w:rPr>
          <w:rFonts w:hint="eastAsia" w:ascii="宋体" w:hAnsi="宋体" w:eastAsia="宋体" w:cs="宋体"/>
          <w:b/>
          <w:bCs/>
          <w:color w:val="auto"/>
          <w:kern w:val="44"/>
          <w:sz w:val="21"/>
          <w:szCs w:val="21"/>
          <w:highlight w:val="none"/>
        </w:rPr>
      </w:pPr>
      <w:bookmarkStart w:id="967" w:name="_Toc417904304"/>
      <w:bookmarkStart w:id="968" w:name="_Toc478389219"/>
      <w:r>
        <w:rPr>
          <w:rFonts w:hint="eastAsia" w:ascii="宋体" w:hAnsi="宋体" w:eastAsia="宋体" w:cs="宋体"/>
          <w:b/>
          <w:bCs/>
          <w:color w:val="auto"/>
          <w:kern w:val="44"/>
          <w:sz w:val="21"/>
          <w:szCs w:val="21"/>
          <w:highlight w:val="none"/>
        </w:rPr>
        <w:t>7</w:t>
      </w:r>
      <w:bookmarkStart w:id="969" w:name="_Toc297123519"/>
      <w:bookmarkStart w:id="970" w:name="_Toc312678015"/>
      <w:bookmarkStart w:id="971" w:name="_Toc297216178"/>
      <w:bookmarkStart w:id="972" w:name="_Toc304295549"/>
      <w:bookmarkStart w:id="973" w:name="_Toc303539128"/>
      <w:bookmarkStart w:id="974" w:name="_Toc300934971"/>
      <w:r>
        <w:rPr>
          <w:rFonts w:hint="eastAsia" w:ascii="宋体" w:hAnsi="宋体" w:eastAsia="宋体" w:cs="宋体"/>
          <w:b/>
          <w:bCs/>
          <w:color w:val="auto"/>
          <w:kern w:val="44"/>
          <w:sz w:val="21"/>
          <w:szCs w:val="21"/>
          <w:highlight w:val="none"/>
        </w:rPr>
        <w:t>.6 不</w:t>
      </w:r>
      <w:bookmarkEnd w:id="969"/>
      <w:bookmarkEnd w:id="970"/>
      <w:bookmarkEnd w:id="971"/>
      <w:bookmarkEnd w:id="972"/>
      <w:bookmarkEnd w:id="973"/>
      <w:bookmarkEnd w:id="974"/>
      <w:r>
        <w:rPr>
          <w:rFonts w:hint="eastAsia" w:ascii="宋体" w:hAnsi="宋体" w:eastAsia="宋体" w:cs="宋体"/>
          <w:b/>
          <w:bCs/>
          <w:color w:val="auto"/>
          <w:kern w:val="44"/>
          <w:sz w:val="21"/>
          <w:szCs w:val="21"/>
          <w:highlight w:val="none"/>
        </w:rPr>
        <w:t>利物质条件</w:t>
      </w:r>
      <w:bookmarkEnd w:id="967"/>
      <w:bookmarkEnd w:id="968"/>
    </w:p>
    <w:p w14:paraId="0529A51C">
      <w:pPr>
        <w:spacing w:line="410" w:lineRule="exact"/>
        <w:ind w:firstLine="420"/>
        <w:rPr>
          <w:rFonts w:hint="eastAsia" w:ascii="宋体" w:hAnsi="宋体" w:eastAsia="宋体" w:cs="宋体"/>
          <w:color w:val="auto"/>
          <w:sz w:val="21"/>
          <w:szCs w:val="21"/>
          <w:highlight w:val="none"/>
        </w:rPr>
      </w:pPr>
      <w:bookmarkStart w:id="975" w:name="_Toc318581172"/>
      <w:bookmarkStart w:id="976" w:name="_Toc303539129"/>
      <w:bookmarkStart w:id="977" w:name="_Toc304295550"/>
      <w:bookmarkStart w:id="978" w:name="_Toc312678016"/>
      <w:bookmarkStart w:id="979" w:name="_Toc297123520"/>
      <w:bookmarkStart w:id="980" w:name="_Toc300934972"/>
      <w:bookmarkStart w:id="981" w:name="_Toc297216179"/>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及发包人有关的停工通知，以上不利物质条件延误工期的相应延长工期，因发包人原因给承包人造成损失的由发包人相应赔偿承包人，属环境等原因的，双方协商处理。</w:t>
      </w:r>
    </w:p>
    <w:bookmarkEnd w:id="975"/>
    <w:bookmarkEnd w:id="976"/>
    <w:bookmarkEnd w:id="977"/>
    <w:bookmarkEnd w:id="978"/>
    <w:bookmarkEnd w:id="979"/>
    <w:bookmarkEnd w:id="980"/>
    <w:bookmarkEnd w:id="981"/>
    <w:p w14:paraId="29AFCAA9">
      <w:pPr>
        <w:keepNext/>
        <w:keepLines/>
        <w:spacing w:line="410" w:lineRule="exact"/>
        <w:ind w:firstLine="0" w:firstLineChars="0"/>
        <w:outlineLvl w:val="0"/>
        <w:rPr>
          <w:rFonts w:hint="eastAsia" w:ascii="宋体" w:hAnsi="宋体" w:eastAsia="宋体" w:cs="宋体"/>
          <w:b/>
          <w:bCs/>
          <w:color w:val="auto"/>
          <w:kern w:val="44"/>
          <w:sz w:val="21"/>
          <w:szCs w:val="21"/>
          <w:highlight w:val="none"/>
        </w:rPr>
      </w:pPr>
      <w:bookmarkStart w:id="982" w:name="_Toc417904305"/>
      <w:bookmarkStart w:id="983" w:name="_Toc478389220"/>
      <w:r>
        <w:rPr>
          <w:rFonts w:hint="eastAsia" w:ascii="宋体" w:hAnsi="宋体" w:eastAsia="宋体" w:cs="宋体"/>
          <w:b/>
          <w:bCs/>
          <w:color w:val="auto"/>
          <w:kern w:val="44"/>
          <w:sz w:val="21"/>
          <w:szCs w:val="21"/>
          <w:highlight w:val="none"/>
        </w:rPr>
        <w:t>7</w:t>
      </w:r>
      <w:bookmarkStart w:id="984" w:name="_Toc300934973"/>
      <w:bookmarkStart w:id="985" w:name="_Toc297216180"/>
      <w:bookmarkStart w:id="986" w:name="_Toc297123521"/>
      <w:bookmarkStart w:id="987" w:name="_Toc304295551"/>
      <w:bookmarkStart w:id="988" w:name="_Toc303539130"/>
      <w:bookmarkStart w:id="989" w:name="_Toc312678017"/>
      <w:r>
        <w:rPr>
          <w:rFonts w:hint="eastAsia" w:ascii="宋体" w:hAnsi="宋体" w:eastAsia="宋体" w:cs="宋体"/>
          <w:b/>
          <w:bCs/>
          <w:color w:val="auto"/>
          <w:kern w:val="44"/>
          <w:sz w:val="21"/>
          <w:szCs w:val="21"/>
          <w:highlight w:val="none"/>
        </w:rPr>
        <w:t>.7异常恶劣的气候条件</w:t>
      </w:r>
      <w:bookmarkEnd w:id="982"/>
      <w:bookmarkEnd w:id="983"/>
    </w:p>
    <w:bookmarkEnd w:id="984"/>
    <w:bookmarkEnd w:id="985"/>
    <w:bookmarkEnd w:id="986"/>
    <w:bookmarkEnd w:id="987"/>
    <w:bookmarkEnd w:id="988"/>
    <w:bookmarkEnd w:id="989"/>
    <w:p w14:paraId="57FE84AB">
      <w:pPr>
        <w:spacing w:line="430" w:lineRule="exact"/>
        <w:ind w:firstLine="420"/>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rPr>
        <w:t>发包人和承包人同意以下情形视为异常恶劣的气候条件：</w:t>
      </w:r>
      <w:r>
        <w:rPr>
          <w:rFonts w:hint="eastAsia" w:ascii="宋体" w:hAnsi="宋体" w:eastAsia="宋体" w:cs="宋体"/>
          <w:color w:val="auto"/>
          <w:sz w:val="21"/>
          <w:szCs w:val="21"/>
          <w:highlight w:val="none"/>
          <w:u w:val="single"/>
          <w:lang w:val="zh-CN"/>
        </w:rPr>
        <w:t>（1）10级及以上持续1天的大风；（2）暴雨及以上持续1天的大雨天；（3）50年及以上未发生过，持续2天的高温天气；（4）50年及以上未发生过，持续2天的低温天气  。</w:t>
      </w:r>
    </w:p>
    <w:p w14:paraId="5A3474B4">
      <w:pPr>
        <w:keepNext/>
        <w:keepLines/>
        <w:spacing w:line="430" w:lineRule="exact"/>
        <w:ind w:firstLine="0" w:firstLineChars="0"/>
        <w:outlineLvl w:val="0"/>
        <w:rPr>
          <w:rFonts w:hint="eastAsia" w:ascii="宋体" w:hAnsi="宋体" w:eastAsia="宋体" w:cs="宋体"/>
          <w:b/>
          <w:bCs/>
          <w:color w:val="auto"/>
          <w:kern w:val="44"/>
          <w:sz w:val="21"/>
          <w:szCs w:val="21"/>
          <w:highlight w:val="none"/>
        </w:rPr>
      </w:pPr>
      <w:bookmarkStart w:id="990" w:name="_Toc478389221"/>
      <w:bookmarkStart w:id="991" w:name="_Toc417904306"/>
      <w:r>
        <w:rPr>
          <w:rFonts w:hint="eastAsia" w:ascii="宋体" w:hAnsi="宋体" w:eastAsia="宋体" w:cs="宋体"/>
          <w:b/>
          <w:bCs/>
          <w:color w:val="auto"/>
          <w:kern w:val="44"/>
          <w:sz w:val="21"/>
          <w:szCs w:val="21"/>
          <w:highlight w:val="none"/>
        </w:rPr>
        <w:t>7.9 提前竣工的奖励</w:t>
      </w:r>
      <w:bookmarkEnd w:id="990"/>
      <w:bookmarkEnd w:id="991"/>
    </w:p>
    <w:p w14:paraId="296DFC67">
      <w:pPr>
        <w:spacing w:line="43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7.9.2提前竣工的奖励：</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7B78BB2E">
      <w:pPr>
        <w:keepNext/>
        <w:keepLines/>
        <w:spacing w:line="430" w:lineRule="exact"/>
        <w:ind w:firstLine="0" w:firstLineChars="0"/>
        <w:outlineLvl w:val="0"/>
        <w:rPr>
          <w:rFonts w:hint="eastAsia" w:ascii="宋体" w:hAnsi="宋体" w:eastAsia="宋体" w:cs="宋体"/>
          <w:b/>
          <w:bCs/>
          <w:color w:val="auto"/>
          <w:kern w:val="44"/>
          <w:sz w:val="21"/>
          <w:szCs w:val="21"/>
          <w:highlight w:val="none"/>
        </w:rPr>
      </w:pPr>
      <w:bookmarkStart w:id="992" w:name="_Toc478389222"/>
      <w:bookmarkStart w:id="993" w:name="_Toc417904307"/>
      <w:bookmarkStart w:id="994" w:name="_Toc351203640"/>
      <w:r>
        <w:rPr>
          <w:rFonts w:hint="eastAsia" w:ascii="宋体" w:hAnsi="宋体" w:eastAsia="宋体" w:cs="宋体"/>
          <w:b/>
          <w:bCs/>
          <w:color w:val="auto"/>
          <w:kern w:val="44"/>
          <w:sz w:val="21"/>
          <w:szCs w:val="21"/>
          <w:highlight w:val="none"/>
        </w:rPr>
        <w:t>8. 材料与设备</w:t>
      </w:r>
      <w:bookmarkEnd w:id="992"/>
      <w:bookmarkEnd w:id="993"/>
      <w:bookmarkEnd w:id="994"/>
    </w:p>
    <w:bookmarkEnd w:id="896"/>
    <w:bookmarkEnd w:id="897"/>
    <w:bookmarkEnd w:id="898"/>
    <w:bookmarkEnd w:id="899"/>
    <w:bookmarkEnd w:id="900"/>
    <w:bookmarkEnd w:id="901"/>
    <w:bookmarkEnd w:id="902"/>
    <w:bookmarkEnd w:id="903"/>
    <w:bookmarkEnd w:id="904"/>
    <w:bookmarkEnd w:id="905"/>
    <w:p w14:paraId="61B1C3A7">
      <w:pPr>
        <w:keepNext/>
        <w:keepLines/>
        <w:spacing w:line="430" w:lineRule="exact"/>
        <w:ind w:firstLine="0" w:firstLineChars="0"/>
        <w:outlineLvl w:val="0"/>
        <w:rPr>
          <w:rFonts w:hint="eastAsia" w:ascii="宋体" w:hAnsi="宋体" w:eastAsia="宋体" w:cs="宋体"/>
          <w:b/>
          <w:bCs/>
          <w:color w:val="auto"/>
          <w:kern w:val="44"/>
          <w:sz w:val="21"/>
          <w:szCs w:val="21"/>
          <w:highlight w:val="none"/>
        </w:rPr>
      </w:pPr>
      <w:bookmarkStart w:id="995" w:name="_Toc417904308"/>
      <w:bookmarkStart w:id="996" w:name="_Toc478389223"/>
      <w:r>
        <w:rPr>
          <w:rFonts w:hint="eastAsia" w:ascii="宋体" w:hAnsi="宋体" w:eastAsia="宋体" w:cs="宋体"/>
          <w:b/>
          <w:bCs/>
          <w:color w:val="auto"/>
          <w:kern w:val="44"/>
          <w:sz w:val="21"/>
          <w:szCs w:val="21"/>
          <w:highlight w:val="none"/>
        </w:rPr>
        <w:t>8</w:t>
      </w:r>
      <w:bookmarkStart w:id="997" w:name="_Toc312677493"/>
      <w:bookmarkStart w:id="998" w:name="_Toc297216186"/>
      <w:bookmarkStart w:id="999" w:name="_Toc297120467"/>
      <w:bookmarkStart w:id="1000" w:name="_Toc303539136"/>
      <w:bookmarkStart w:id="1001" w:name="_Toc300934979"/>
      <w:bookmarkStart w:id="1002" w:name="_Toc280868654"/>
      <w:bookmarkStart w:id="1003" w:name="_Toc312678019"/>
      <w:bookmarkStart w:id="1004" w:name="_Toc296503167"/>
      <w:bookmarkStart w:id="1005" w:name="_Toc304295556"/>
      <w:bookmarkStart w:id="1006" w:name="_Toc292559877"/>
      <w:bookmarkStart w:id="1007" w:name="_Toc296891207"/>
      <w:bookmarkStart w:id="1008" w:name="_Toc292559372"/>
      <w:bookmarkStart w:id="1009" w:name="_Toc297123527"/>
      <w:bookmarkStart w:id="1010" w:name="_Toc296944506"/>
      <w:bookmarkStart w:id="1011" w:name="_Toc297048353"/>
      <w:bookmarkStart w:id="1012" w:name="_Toc296890995"/>
      <w:bookmarkStart w:id="1013" w:name="_Toc296346668"/>
      <w:bookmarkStart w:id="1014" w:name="_Toc296347166"/>
      <w:bookmarkStart w:id="1015" w:name="_Toc280868656"/>
      <w:bookmarkStart w:id="1016" w:name="_Toc280868655"/>
      <w:bookmarkStart w:id="1017" w:name="_Toc267251424"/>
      <w:r>
        <w:rPr>
          <w:rFonts w:hint="eastAsia" w:ascii="宋体" w:hAnsi="宋体" w:eastAsia="宋体" w:cs="宋体"/>
          <w:b/>
          <w:bCs/>
          <w:color w:val="auto"/>
          <w:kern w:val="44"/>
          <w:sz w:val="21"/>
          <w:szCs w:val="21"/>
          <w:highlight w:val="none"/>
        </w:rPr>
        <w:t>.4材料与工程设备的保管与使用</w:t>
      </w:r>
      <w:bookmarkEnd w:id="995"/>
      <w:bookmarkEnd w:id="996"/>
    </w:p>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14:paraId="7BABC5E4">
      <w:pPr>
        <w:spacing w:line="43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1018" w:name="_Toc292559878"/>
      <w:bookmarkStart w:id="1019" w:name="_Toc292559373"/>
      <w:bookmarkStart w:id="1020" w:name="_Toc304295557"/>
      <w:bookmarkStart w:id="1021" w:name="_Toc312677494"/>
      <w:bookmarkStart w:id="1022" w:name="_Toc300934980"/>
      <w:bookmarkStart w:id="1023" w:name="_Toc296891208"/>
      <w:bookmarkStart w:id="1024" w:name="_Toc297120468"/>
      <w:bookmarkStart w:id="1025" w:name="_Toc303539137"/>
      <w:bookmarkStart w:id="1026" w:name="_Toc318581173"/>
      <w:bookmarkStart w:id="1027" w:name="_Toc296347167"/>
      <w:bookmarkStart w:id="1028" w:name="_Toc297123528"/>
      <w:bookmarkStart w:id="1029" w:name="_Toc312678020"/>
      <w:bookmarkStart w:id="1030" w:name="_Toc296346669"/>
      <w:bookmarkStart w:id="1031" w:name="_Toc296890996"/>
      <w:bookmarkStart w:id="1032" w:name="_Toc297216187"/>
      <w:bookmarkStart w:id="1033" w:name="_Toc296503168"/>
      <w:bookmarkStart w:id="1034" w:name="_Toc296944507"/>
      <w:bookmarkStart w:id="1035" w:name="_Toc297048354"/>
      <w:r>
        <w:rPr>
          <w:rFonts w:hint="eastAsia" w:ascii="宋体" w:hAnsi="宋体" w:eastAsia="宋体" w:cs="宋体"/>
          <w:color w:val="auto"/>
          <w:sz w:val="21"/>
          <w:szCs w:val="21"/>
          <w:highlight w:val="none"/>
        </w:rPr>
        <w:t>.4.1发包人供应的材料设备的保管费用的承担：</w:t>
      </w:r>
      <w:r>
        <w:rPr>
          <w:rFonts w:hint="eastAsia" w:ascii="宋体" w:hAnsi="宋体" w:eastAsia="宋体" w:cs="宋体"/>
          <w:color w:val="auto"/>
          <w:sz w:val="21"/>
          <w:szCs w:val="21"/>
          <w:highlight w:val="none"/>
          <w:u w:val="single"/>
        </w:rPr>
        <w:t xml:space="preserve">承包人承担 </w:t>
      </w:r>
      <w:r>
        <w:rPr>
          <w:rFonts w:hint="eastAsia" w:ascii="宋体" w:hAnsi="宋体" w:eastAsia="宋体" w:cs="宋体"/>
          <w:color w:val="auto"/>
          <w:sz w:val="21"/>
          <w:szCs w:val="21"/>
          <w:highlight w:val="none"/>
        </w:rPr>
        <w:t>。</w:t>
      </w:r>
      <w:bookmarkEnd w:id="1018"/>
      <w:bookmarkEnd w:id="1019"/>
    </w:p>
    <w:p w14:paraId="07D3AF12">
      <w:pPr>
        <w:autoSpaceDE w:val="0"/>
        <w:autoSpaceDN w:val="0"/>
        <w:adjustRightInd w:val="0"/>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 样品的报送与封存</w:t>
      </w:r>
    </w:p>
    <w:p w14:paraId="5EF0071A">
      <w:pPr>
        <w:autoSpaceDE w:val="0"/>
        <w:autoSpaceDN w:val="0"/>
        <w:adjustRightInd w:val="0"/>
        <w:ind w:firstLine="42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主要材料涉及品种、款式、颜色等方面内容的，承包人应提交准备合格的材料样品送发包人选定。</w:t>
      </w:r>
    </w:p>
    <w:p w14:paraId="394D47D0">
      <w:pPr>
        <w:keepNext/>
        <w:keepLines/>
        <w:spacing w:line="430" w:lineRule="exact"/>
        <w:ind w:firstLine="0" w:firstLineChars="0"/>
        <w:outlineLvl w:val="0"/>
        <w:rPr>
          <w:rFonts w:hint="eastAsia" w:ascii="宋体" w:hAnsi="宋体" w:eastAsia="宋体" w:cs="宋体"/>
          <w:b/>
          <w:bCs/>
          <w:color w:val="auto"/>
          <w:kern w:val="44"/>
          <w:sz w:val="21"/>
          <w:szCs w:val="21"/>
          <w:highlight w:val="none"/>
        </w:rPr>
      </w:pPr>
      <w:bookmarkStart w:id="1036" w:name="_Toc373478381"/>
      <w:bookmarkStart w:id="1037" w:name="_Toc395382536"/>
      <w:bookmarkStart w:id="1038" w:name="_Toc389065300"/>
      <w:bookmarkStart w:id="1039" w:name="_Toc478389224"/>
      <w:bookmarkStart w:id="1040" w:name="_Toc373227734"/>
      <w:r>
        <w:rPr>
          <w:rFonts w:hint="eastAsia" w:ascii="宋体" w:hAnsi="宋体" w:eastAsia="宋体" w:cs="宋体"/>
          <w:b/>
          <w:bCs/>
          <w:color w:val="auto"/>
          <w:kern w:val="44"/>
          <w:sz w:val="21"/>
          <w:szCs w:val="21"/>
          <w:highlight w:val="none"/>
        </w:rPr>
        <w:t>8.6 样品</w:t>
      </w:r>
      <w:bookmarkEnd w:id="1036"/>
      <w:bookmarkEnd w:id="1037"/>
      <w:bookmarkEnd w:id="1038"/>
      <w:bookmarkEnd w:id="1039"/>
      <w:bookmarkEnd w:id="1040"/>
    </w:p>
    <w:p w14:paraId="64C8C875">
      <w:pPr>
        <w:autoSpaceDE w:val="0"/>
        <w:autoSpaceDN w:val="0"/>
        <w:adjustRightInd w:val="0"/>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 样品的报送与封存</w:t>
      </w:r>
    </w:p>
    <w:p w14:paraId="05BF1ECD">
      <w:pPr>
        <w:spacing w:line="43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主要材料涉及品种、款式、颜色等方面内容的，承包人应提交准备合格的材料样品送发包人选定。</w:t>
      </w:r>
    </w:p>
    <w:p w14:paraId="100D6056">
      <w:pPr>
        <w:keepNext/>
        <w:keepLines/>
        <w:spacing w:line="430" w:lineRule="exact"/>
        <w:ind w:firstLine="0" w:firstLineChars="0"/>
        <w:outlineLvl w:val="0"/>
        <w:rPr>
          <w:rFonts w:hint="eastAsia" w:ascii="宋体" w:hAnsi="宋体" w:eastAsia="宋体" w:cs="宋体"/>
          <w:b/>
          <w:bCs/>
          <w:color w:val="auto"/>
          <w:kern w:val="44"/>
          <w:sz w:val="21"/>
          <w:szCs w:val="21"/>
          <w:highlight w:val="none"/>
        </w:rPr>
      </w:pPr>
      <w:bookmarkStart w:id="1041" w:name="_Toc478389225"/>
      <w:bookmarkStart w:id="1042" w:name="_Toc417904310"/>
      <w:r>
        <w:rPr>
          <w:rFonts w:hint="eastAsia" w:ascii="宋体" w:hAnsi="宋体" w:eastAsia="宋体" w:cs="宋体"/>
          <w:b/>
          <w:bCs/>
          <w:color w:val="auto"/>
          <w:kern w:val="44"/>
          <w:sz w:val="21"/>
          <w:szCs w:val="21"/>
          <w:highlight w:val="none"/>
        </w:rPr>
        <w:t>8.8 施工设备和临时设施</w:t>
      </w:r>
      <w:bookmarkEnd w:id="1041"/>
      <w:bookmarkEnd w:id="1042"/>
    </w:p>
    <w:p w14:paraId="6C35901E">
      <w:pPr>
        <w:spacing w:line="43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5DE6B6AC">
      <w:pPr>
        <w:spacing w:line="43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关于修建临时设施费用承担的约定： </w:t>
      </w:r>
    </w:p>
    <w:p w14:paraId="76FAD459">
      <w:pPr>
        <w:spacing w:line="43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①承包人的临时用地（含项目部驻地等）租用费（含拆迁补偿）、临时用地的环保、恢复、临时用地的青苗补偿及地面附着物拆除等费用均由承包人负责，以上费用在磋商报价中综合考虑。</w:t>
      </w:r>
    </w:p>
    <w:p w14:paraId="0FB161CE">
      <w:pPr>
        <w:spacing w:line="43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②承包人负责合同实施期间其合同段内临时交通道路（含场内外连接公共交通道路）和交通设施的修建、维修、养护和交通管理工作，并承担一切费用。</w:t>
      </w:r>
    </w:p>
    <w:p w14:paraId="2301DEE6">
      <w:pPr>
        <w:spacing w:line="43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9D0E6D6">
      <w:pPr>
        <w:autoSpaceDE w:val="0"/>
        <w:autoSpaceDN w:val="0"/>
        <w:adjustRightInd w:val="0"/>
        <w:spacing w:line="43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8.8.2 发包人提供的施工设备和临时设施</w:t>
      </w:r>
    </w:p>
    <w:p w14:paraId="7E346BF1">
      <w:pPr>
        <w:autoSpaceDE w:val="0"/>
        <w:autoSpaceDN w:val="0"/>
        <w:adjustRightInd w:val="0"/>
        <w:spacing w:line="43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发包人提供的施工设备和临时设施：</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3C1DF257">
      <w:pPr>
        <w:autoSpaceDE w:val="0"/>
        <w:autoSpaceDN w:val="0"/>
        <w:adjustRightInd w:val="0"/>
        <w:spacing w:line="43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发包人提供的施工设备和临时设施的运行、维护、拆除、清运费用的承担人：</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14:paraId="63E6BBC2">
      <w:pPr>
        <w:keepNext/>
        <w:keepLines/>
        <w:spacing w:line="430" w:lineRule="exact"/>
        <w:ind w:firstLine="0" w:firstLineChars="0"/>
        <w:outlineLvl w:val="0"/>
        <w:rPr>
          <w:rFonts w:hint="eastAsia" w:ascii="宋体" w:hAnsi="宋体" w:eastAsia="宋体" w:cs="宋体"/>
          <w:b/>
          <w:bCs/>
          <w:color w:val="auto"/>
          <w:kern w:val="44"/>
          <w:sz w:val="21"/>
          <w:szCs w:val="21"/>
          <w:highlight w:val="none"/>
        </w:rPr>
      </w:pPr>
      <w:bookmarkStart w:id="1043" w:name="_Toc351203641"/>
      <w:bookmarkStart w:id="1044" w:name="_Toc478389226"/>
      <w:bookmarkStart w:id="1045" w:name="_Toc417904311"/>
      <w:r>
        <w:rPr>
          <w:rFonts w:hint="eastAsia" w:ascii="宋体" w:hAnsi="宋体" w:eastAsia="宋体" w:cs="宋体"/>
          <w:b/>
          <w:bCs/>
          <w:color w:val="auto"/>
          <w:kern w:val="44"/>
          <w:sz w:val="21"/>
          <w:szCs w:val="21"/>
          <w:highlight w:val="none"/>
        </w:rPr>
        <w:t>9</w:t>
      </w:r>
      <w:bookmarkEnd w:id="1015"/>
      <w:bookmarkEnd w:id="1016"/>
      <w:bookmarkEnd w:id="1017"/>
      <w:bookmarkStart w:id="1046" w:name="_Toc312677495"/>
      <w:bookmarkStart w:id="1047" w:name="_Toc297216192"/>
      <w:bookmarkStart w:id="1048" w:name="_Toc300934982"/>
      <w:bookmarkStart w:id="1049" w:name="_Toc304295559"/>
      <w:bookmarkStart w:id="1050" w:name="_Toc312678021"/>
      <w:bookmarkStart w:id="1051" w:name="_Toc303539139"/>
      <w:bookmarkStart w:id="1052" w:name="_Toc297123533"/>
      <w:bookmarkStart w:id="1053" w:name="_Toc297120473"/>
      <w:bookmarkStart w:id="1054" w:name="_Toc292559378"/>
      <w:bookmarkStart w:id="1055" w:name="_Toc297048359"/>
      <w:bookmarkStart w:id="1056" w:name="_Toc267251428"/>
      <w:bookmarkStart w:id="1057" w:name="_Toc296891213"/>
      <w:bookmarkStart w:id="1058" w:name="_Toc296346674"/>
      <w:bookmarkStart w:id="1059" w:name="_Toc296347172"/>
      <w:bookmarkStart w:id="1060" w:name="_Toc296891001"/>
      <w:bookmarkStart w:id="1061" w:name="_Toc296503173"/>
      <w:bookmarkStart w:id="1062" w:name="_Toc296944512"/>
      <w:bookmarkStart w:id="1063" w:name="_Toc267251427"/>
      <w:bookmarkStart w:id="1064" w:name="_Toc292559883"/>
      <w:r>
        <w:rPr>
          <w:rFonts w:hint="eastAsia" w:ascii="宋体" w:hAnsi="宋体" w:eastAsia="宋体" w:cs="宋体"/>
          <w:b/>
          <w:bCs/>
          <w:color w:val="auto"/>
          <w:kern w:val="44"/>
          <w:sz w:val="21"/>
          <w:szCs w:val="21"/>
          <w:highlight w:val="none"/>
        </w:rPr>
        <w:t>. 试验与检验</w:t>
      </w:r>
      <w:bookmarkEnd w:id="1043"/>
      <w:bookmarkEnd w:id="1044"/>
      <w:bookmarkEnd w:id="1045"/>
    </w:p>
    <w:bookmarkEnd w:id="1046"/>
    <w:bookmarkEnd w:id="1047"/>
    <w:bookmarkEnd w:id="1048"/>
    <w:bookmarkEnd w:id="1049"/>
    <w:bookmarkEnd w:id="1050"/>
    <w:bookmarkEnd w:id="1051"/>
    <w:bookmarkEnd w:id="1052"/>
    <w:p w14:paraId="25BDFE9C">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065" w:name="_Toc417904312"/>
      <w:bookmarkStart w:id="1066" w:name="_Toc478389227"/>
      <w:r>
        <w:rPr>
          <w:rFonts w:hint="eastAsia" w:ascii="宋体" w:hAnsi="宋体" w:eastAsia="宋体" w:cs="宋体"/>
          <w:b/>
          <w:bCs/>
          <w:color w:val="auto"/>
          <w:kern w:val="44"/>
          <w:sz w:val="21"/>
          <w:szCs w:val="21"/>
          <w:highlight w:val="none"/>
        </w:rPr>
        <w:t>9</w:t>
      </w:r>
      <w:bookmarkStart w:id="1067" w:name="_Toc297123534"/>
      <w:bookmarkStart w:id="1068" w:name="_Toc312677496"/>
      <w:bookmarkStart w:id="1069" w:name="_Toc297216193"/>
      <w:bookmarkStart w:id="1070" w:name="_Toc304295560"/>
      <w:bookmarkStart w:id="1071" w:name="_Toc312678022"/>
      <w:bookmarkStart w:id="1072" w:name="_Toc300934983"/>
      <w:bookmarkStart w:id="1073" w:name="_Toc303539140"/>
      <w:r>
        <w:rPr>
          <w:rFonts w:hint="eastAsia" w:ascii="宋体" w:hAnsi="宋体" w:eastAsia="宋体" w:cs="宋体"/>
          <w:b/>
          <w:bCs/>
          <w:color w:val="auto"/>
          <w:kern w:val="44"/>
          <w:sz w:val="21"/>
          <w:szCs w:val="21"/>
          <w:highlight w:val="none"/>
        </w:rPr>
        <w:t>.1试验设备与试验人员</w:t>
      </w:r>
      <w:bookmarkEnd w:id="1065"/>
      <w:bookmarkEnd w:id="1066"/>
    </w:p>
    <w:bookmarkEnd w:id="1067"/>
    <w:bookmarkEnd w:id="1068"/>
    <w:bookmarkEnd w:id="1069"/>
    <w:bookmarkEnd w:id="1070"/>
    <w:bookmarkEnd w:id="1071"/>
    <w:bookmarkEnd w:id="1072"/>
    <w:bookmarkEnd w:id="1073"/>
    <w:p w14:paraId="04DD673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1074" w:name="_Toc312678023"/>
      <w:bookmarkStart w:id="1075" w:name="_Toc297123535"/>
      <w:bookmarkStart w:id="1076" w:name="_Toc312677497"/>
      <w:bookmarkStart w:id="1077" w:name="_Toc297216194"/>
      <w:bookmarkStart w:id="1078" w:name="_Toc304295561"/>
      <w:bookmarkStart w:id="1079" w:name="_Toc300934984"/>
      <w:bookmarkStart w:id="1080" w:name="_Toc303539141"/>
      <w:bookmarkStart w:id="1081" w:name="_Toc318581174"/>
      <w:r>
        <w:rPr>
          <w:rFonts w:hint="eastAsia" w:ascii="宋体" w:hAnsi="宋体" w:eastAsia="宋体" w:cs="宋体"/>
          <w:color w:val="auto"/>
          <w:sz w:val="21"/>
          <w:szCs w:val="21"/>
          <w:highlight w:val="none"/>
        </w:rPr>
        <w:t>.1.2 试验设备</w:t>
      </w:r>
    </w:p>
    <w:p w14:paraId="3CCC5EF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bookmarkEnd w:id="1074"/>
      <w:bookmarkEnd w:id="1075"/>
      <w:bookmarkEnd w:id="1076"/>
      <w:bookmarkEnd w:id="1077"/>
      <w:bookmarkEnd w:id="1078"/>
      <w:bookmarkEnd w:id="1079"/>
      <w:bookmarkEnd w:id="1080"/>
      <w:bookmarkStart w:id="1082" w:name="_Toc300934985"/>
      <w:bookmarkStart w:id="1083" w:name="_Toc304295562"/>
      <w:bookmarkStart w:id="1084" w:name="_Toc297216195"/>
      <w:bookmarkStart w:id="1085" w:name="_Toc303539142"/>
      <w:bookmarkStart w:id="1086" w:name="_Toc312678024"/>
      <w:bookmarkStart w:id="1087" w:name="_Toc312677498"/>
      <w:bookmarkStart w:id="1088" w:name="_Toc297123536"/>
      <w:r>
        <w:rPr>
          <w:rFonts w:hint="eastAsia" w:ascii="宋体" w:hAnsi="宋体" w:eastAsia="宋体" w:cs="宋体"/>
          <w:color w:val="auto"/>
          <w:sz w:val="21"/>
          <w:szCs w:val="21"/>
          <w:highlight w:val="none"/>
          <w:u w:val="single"/>
        </w:rPr>
        <w:t xml:space="preserve">   按实际需要和国家规定 </w:t>
      </w:r>
      <w:r>
        <w:rPr>
          <w:rFonts w:hint="eastAsia" w:ascii="宋体" w:hAnsi="宋体" w:eastAsia="宋体" w:cs="宋体"/>
          <w:color w:val="auto"/>
          <w:sz w:val="21"/>
          <w:szCs w:val="21"/>
          <w:highlight w:val="none"/>
        </w:rPr>
        <w:t xml:space="preserve">。 </w:t>
      </w:r>
    </w:p>
    <w:p w14:paraId="07645BB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rPr>
        <w:t xml:space="preserve">    按实际需要和国家规定   </w:t>
      </w:r>
      <w:r>
        <w:rPr>
          <w:rFonts w:hint="eastAsia" w:ascii="宋体" w:hAnsi="宋体" w:eastAsia="宋体" w:cs="宋体"/>
          <w:color w:val="auto"/>
          <w:sz w:val="21"/>
          <w:szCs w:val="21"/>
          <w:highlight w:val="none"/>
        </w:rPr>
        <w:t>。</w:t>
      </w:r>
    </w:p>
    <w:p w14:paraId="301E31A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 xml:space="preserve">   按实际需要和国家规定  </w:t>
      </w:r>
      <w:r>
        <w:rPr>
          <w:rFonts w:hint="eastAsia" w:ascii="宋体" w:hAnsi="宋体" w:eastAsia="宋体" w:cs="宋体"/>
          <w:color w:val="auto"/>
          <w:sz w:val="21"/>
          <w:szCs w:val="21"/>
          <w:highlight w:val="none"/>
        </w:rPr>
        <w:t>。</w:t>
      </w:r>
    </w:p>
    <w:p w14:paraId="116293EE">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089" w:name="_Toc478389228"/>
      <w:bookmarkStart w:id="1090" w:name="_Toc417904313"/>
      <w:r>
        <w:rPr>
          <w:rFonts w:hint="eastAsia" w:ascii="宋体" w:hAnsi="宋体" w:eastAsia="宋体" w:cs="宋体"/>
          <w:b/>
          <w:bCs/>
          <w:color w:val="auto"/>
          <w:kern w:val="44"/>
          <w:sz w:val="21"/>
          <w:szCs w:val="21"/>
          <w:highlight w:val="none"/>
        </w:rPr>
        <w:t>9.4 现场工艺试验</w:t>
      </w:r>
      <w:bookmarkEnd w:id="1089"/>
      <w:bookmarkEnd w:id="1090"/>
    </w:p>
    <w:p w14:paraId="0DD1CBE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 xml:space="preserve">    按实际需要和国家规定  </w:t>
      </w:r>
      <w:r>
        <w:rPr>
          <w:rFonts w:hint="eastAsia" w:ascii="宋体" w:hAnsi="宋体" w:eastAsia="宋体" w:cs="宋体"/>
          <w:color w:val="auto"/>
          <w:sz w:val="21"/>
          <w:szCs w:val="21"/>
          <w:highlight w:val="none"/>
        </w:rPr>
        <w:t>。</w:t>
      </w:r>
    </w:p>
    <w:bookmarkEnd w:id="1081"/>
    <w:bookmarkEnd w:id="1082"/>
    <w:bookmarkEnd w:id="1083"/>
    <w:bookmarkEnd w:id="1084"/>
    <w:bookmarkEnd w:id="1085"/>
    <w:bookmarkEnd w:id="1086"/>
    <w:bookmarkEnd w:id="1087"/>
    <w:bookmarkEnd w:id="1088"/>
    <w:p w14:paraId="448850D5">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091" w:name="_Toc351203642"/>
      <w:bookmarkStart w:id="1092" w:name="_Toc478389230"/>
      <w:bookmarkStart w:id="1093" w:name="_Toc417904315"/>
      <w:r>
        <w:rPr>
          <w:rFonts w:hint="eastAsia" w:ascii="宋体" w:hAnsi="宋体" w:eastAsia="宋体" w:cs="宋体"/>
          <w:b/>
          <w:bCs/>
          <w:color w:val="auto"/>
          <w:kern w:val="44"/>
          <w:sz w:val="21"/>
          <w:szCs w:val="21"/>
          <w:highlight w:val="none"/>
        </w:rPr>
        <w:t>1</w:t>
      </w:r>
      <w:bookmarkEnd w:id="1053"/>
      <w:bookmarkEnd w:id="1054"/>
      <w:bookmarkEnd w:id="1055"/>
      <w:bookmarkEnd w:id="1056"/>
      <w:bookmarkEnd w:id="1057"/>
      <w:bookmarkEnd w:id="1058"/>
      <w:bookmarkEnd w:id="1059"/>
      <w:bookmarkEnd w:id="1060"/>
      <w:bookmarkEnd w:id="1061"/>
      <w:bookmarkEnd w:id="1062"/>
      <w:bookmarkEnd w:id="1063"/>
      <w:bookmarkEnd w:id="1064"/>
      <w:bookmarkStart w:id="1094" w:name="_Toc303539146"/>
      <w:bookmarkStart w:id="1095" w:name="_Toc300934989"/>
      <w:bookmarkStart w:id="1096" w:name="_Toc297216199"/>
      <w:bookmarkStart w:id="1097" w:name="_Toc297123540"/>
      <w:bookmarkStart w:id="1098" w:name="_Toc296347192"/>
      <w:bookmarkStart w:id="1099" w:name="_Toc297048379"/>
      <w:bookmarkStart w:id="1100" w:name="_Toc296891021"/>
      <w:bookmarkStart w:id="1101" w:name="_Toc297120493"/>
      <w:bookmarkStart w:id="1102" w:name="_Toc292559903"/>
      <w:bookmarkStart w:id="1103" w:name="_Toc296503193"/>
      <w:bookmarkStart w:id="1104" w:name="_Toc304295566"/>
      <w:bookmarkStart w:id="1105" w:name="_Toc296944532"/>
      <w:bookmarkStart w:id="1106" w:name="_Toc296346694"/>
      <w:bookmarkStart w:id="1107" w:name="_Toc292559398"/>
      <w:bookmarkStart w:id="1108" w:name="_Toc296891233"/>
      <w:bookmarkStart w:id="1109" w:name="_Toc312677499"/>
      <w:bookmarkStart w:id="1110" w:name="_Toc312678025"/>
      <w:bookmarkStart w:id="1111" w:name="_Toc267251441"/>
      <w:bookmarkStart w:id="1112" w:name="_Toc267251437"/>
      <w:bookmarkStart w:id="1113" w:name="_Toc267251440"/>
      <w:bookmarkStart w:id="1114" w:name="_Toc267251435"/>
      <w:bookmarkStart w:id="1115" w:name="_Toc267251433"/>
      <w:bookmarkStart w:id="1116" w:name="_Toc267251439"/>
      <w:bookmarkStart w:id="1117" w:name="_Toc267251442"/>
      <w:r>
        <w:rPr>
          <w:rFonts w:hint="eastAsia" w:ascii="宋体" w:hAnsi="宋体" w:eastAsia="宋体" w:cs="宋体"/>
          <w:b/>
          <w:bCs/>
          <w:color w:val="auto"/>
          <w:kern w:val="44"/>
          <w:sz w:val="21"/>
          <w:szCs w:val="21"/>
          <w:highlight w:val="none"/>
        </w:rPr>
        <w:t>0. 变更</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p>
    <w:bookmarkEnd w:id="1109"/>
    <w:bookmarkEnd w:id="1110"/>
    <w:p w14:paraId="3C91D525">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118" w:name="_Toc478389231"/>
      <w:bookmarkStart w:id="1119" w:name="_Toc417904316"/>
      <w:r>
        <w:rPr>
          <w:rFonts w:hint="eastAsia" w:ascii="宋体" w:hAnsi="宋体" w:eastAsia="宋体" w:cs="宋体"/>
          <w:b/>
          <w:bCs/>
          <w:color w:val="auto"/>
          <w:kern w:val="44"/>
          <w:sz w:val="21"/>
          <w:szCs w:val="21"/>
          <w:highlight w:val="none"/>
        </w:rPr>
        <w:t>1</w:t>
      </w:r>
      <w:bookmarkStart w:id="1120" w:name="_Toc304295567"/>
      <w:bookmarkStart w:id="1121" w:name="_Toc296891022"/>
      <w:bookmarkStart w:id="1122" w:name="_Toc296503194"/>
      <w:bookmarkStart w:id="1123" w:name="_Toc292559399"/>
      <w:bookmarkStart w:id="1124" w:name="_Toc303539147"/>
      <w:bookmarkStart w:id="1125" w:name="_Toc296346695"/>
      <w:bookmarkStart w:id="1126" w:name="_Toc296891234"/>
      <w:bookmarkStart w:id="1127" w:name="_Toc312678026"/>
      <w:bookmarkStart w:id="1128" w:name="_Toc297048380"/>
      <w:bookmarkStart w:id="1129" w:name="_Toc297123541"/>
      <w:bookmarkStart w:id="1130" w:name="_Toc292559904"/>
      <w:bookmarkStart w:id="1131" w:name="_Toc297216200"/>
      <w:bookmarkStart w:id="1132" w:name="_Toc296347193"/>
      <w:bookmarkStart w:id="1133" w:name="_Toc300934990"/>
      <w:bookmarkStart w:id="1134" w:name="_Toc296944533"/>
      <w:bookmarkStart w:id="1135" w:name="_Toc312677500"/>
      <w:bookmarkStart w:id="1136" w:name="_Toc297120494"/>
      <w:r>
        <w:rPr>
          <w:rFonts w:hint="eastAsia" w:ascii="宋体" w:hAnsi="宋体" w:eastAsia="宋体" w:cs="宋体"/>
          <w:b/>
          <w:bCs/>
          <w:color w:val="auto"/>
          <w:kern w:val="44"/>
          <w:sz w:val="21"/>
          <w:szCs w:val="21"/>
          <w:highlight w:val="none"/>
        </w:rPr>
        <w:t>0.1变更的范围</w:t>
      </w:r>
      <w:bookmarkEnd w:id="1118"/>
      <w:bookmarkEnd w:id="1119"/>
    </w:p>
    <w:p w14:paraId="41AAB725">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因设计变更或者现场签证导致变更后的预算超过分项预算或者总预算的5%以上的，须经发包人审核后实施</w:t>
      </w:r>
      <w:r>
        <w:rPr>
          <w:rFonts w:hint="eastAsia" w:ascii="宋体" w:hAnsi="宋体" w:eastAsia="宋体" w:cs="宋体"/>
          <w:color w:val="auto"/>
          <w:sz w:val="21"/>
          <w:szCs w:val="21"/>
          <w:highlight w:val="none"/>
        </w:rPr>
        <w:t>。发包人可以取消部分工作内容或楼栋的施工。</w:t>
      </w:r>
    </w:p>
    <w:p w14:paraId="4D40E3F4">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137" w:name="_Toc478389232"/>
      <w:bookmarkStart w:id="1138" w:name="_Toc417904317"/>
      <w:bookmarkStart w:id="1139" w:name="_Toc389065307"/>
      <w:bookmarkStart w:id="1140" w:name="_Toc395382544"/>
      <w:bookmarkStart w:id="1141" w:name="_Toc373227741"/>
      <w:bookmarkStart w:id="1142" w:name="_Toc373478388"/>
      <w:r>
        <w:rPr>
          <w:rFonts w:hint="eastAsia" w:ascii="宋体" w:hAnsi="宋体" w:eastAsia="宋体" w:cs="宋体"/>
          <w:b/>
          <w:bCs/>
          <w:color w:val="auto"/>
          <w:kern w:val="44"/>
          <w:sz w:val="21"/>
          <w:szCs w:val="21"/>
          <w:highlight w:val="none"/>
        </w:rPr>
        <w:t>10.3 变更程序</w:t>
      </w:r>
      <w:bookmarkEnd w:id="1137"/>
      <w:bookmarkEnd w:id="1138"/>
      <w:bookmarkEnd w:id="1139"/>
      <w:bookmarkEnd w:id="1140"/>
      <w:bookmarkEnd w:id="1141"/>
      <w:bookmarkEnd w:id="1142"/>
    </w:p>
    <w:p w14:paraId="4D75D57E">
      <w:pPr>
        <w:spacing w:line="42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10.3.2 非国有投资项目：</w:t>
      </w:r>
      <w:r>
        <w:rPr>
          <w:rFonts w:hint="eastAsia" w:ascii="宋体" w:hAnsi="宋体" w:eastAsia="宋体" w:cs="宋体"/>
          <w:color w:val="auto"/>
          <w:sz w:val="21"/>
          <w:szCs w:val="21"/>
          <w:highlight w:val="none"/>
          <w:u w:val="single"/>
        </w:rPr>
        <w:t>无</w:t>
      </w:r>
      <w:r>
        <w:rPr>
          <w:rFonts w:hint="eastAsia" w:ascii="宋体" w:hAnsi="宋体" w:eastAsia="宋体" w:cs="宋体"/>
          <w:bCs/>
          <w:color w:val="auto"/>
          <w:sz w:val="21"/>
          <w:szCs w:val="21"/>
          <w:highlight w:val="none"/>
        </w:rPr>
        <w:t>。</w:t>
      </w:r>
    </w:p>
    <w:p w14:paraId="3C8C120C">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143" w:name="_Toc417904318"/>
      <w:bookmarkStart w:id="1144" w:name="_Toc478389233"/>
      <w:r>
        <w:rPr>
          <w:rFonts w:hint="eastAsia" w:ascii="宋体" w:hAnsi="宋体" w:eastAsia="宋体" w:cs="宋体"/>
          <w:b/>
          <w:bCs/>
          <w:color w:val="auto"/>
          <w:kern w:val="44"/>
          <w:sz w:val="21"/>
          <w:szCs w:val="21"/>
          <w:highlight w:val="none"/>
        </w:rPr>
        <w:t>10.4 变更估价</w:t>
      </w:r>
      <w:bookmarkEnd w:id="1143"/>
      <w:bookmarkEnd w:id="1144"/>
    </w:p>
    <w:p w14:paraId="649D36F1">
      <w:pPr>
        <w:spacing w:line="4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10.4.1变更估价原则</w:t>
      </w:r>
      <w:r>
        <w:rPr>
          <w:rFonts w:hint="eastAsia" w:ascii="宋体" w:hAnsi="宋体" w:eastAsia="宋体" w:cs="宋体"/>
          <w:color w:val="auto"/>
          <w:sz w:val="21"/>
          <w:szCs w:val="21"/>
          <w:highlight w:val="none"/>
          <w:lang w:eastAsia="zh-CN"/>
        </w:rPr>
        <w:t>：</w:t>
      </w:r>
      <w:bookmarkStart w:id="1145" w:name="_Toc251051742"/>
      <w:r>
        <w:rPr>
          <w:rFonts w:hint="eastAsia" w:ascii="宋体" w:hAnsi="宋体" w:eastAsia="宋体" w:cs="宋体"/>
          <w:color w:val="auto"/>
          <w:sz w:val="21"/>
          <w:szCs w:val="21"/>
          <w:highlight w:val="none"/>
          <w:u w:val="single"/>
          <w:lang w:val="en-US" w:eastAsia="zh-CN"/>
        </w:rPr>
        <w:t>本工程由承包方按图纸进行施工，原则上本工程无工程量增加。如有</w:t>
      </w:r>
      <w:r>
        <w:rPr>
          <w:rFonts w:hint="eastAsia" w:ascii="宋体" w:hAnsi="宋体" w:eastAsia="宋体" w:cs="宋体"/>
          <w:bCs/>
          <w:color w:val="auto"/>
          <w:sz w:val="21"/>
          <w:szCs w:val="21"/>
          <w:highlight w:val="none"/>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最后报价</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最高限价</w:t>
      </w:r>
      <w:r>
        <w:rPr>
          <w:rFonts w:hint="eastAsia" w:ascii="宋体" w:hAnsi="宋体" w:eastAsia="宋体" w:cs="宋体"/>
          <w:color w:val="auto"/>
          <w:sz w:val="21"/>
          <w:szCs w:val="21"/>
          <w:highlight w:val="none"/>
          <w:u w:val="single"/>
        </w:rPr>
        <w:t>）</w:t>
      </w:r>
      <w:r>
        <w:rPr>
          <w:rFonts w:hint="eastAsia" w:ascii="宋体" w:hAnsi="宋体" w:eastAsia="宋体" w:cs="宋体"/>
          <w:bCs/>
          <w:color w:val="auto"/>
          <w:sz w:val="21"/>
          <w:szCs w:val="21"/>
          <w:highlight w:val="none"/>
          <w:u w:val="single"/>
        </w:rPr>
        <w:t>计算，其中材料价格按施工期间的《桂林市建设工程造价信息》相应价格信息进行计算；桂林信息价没有的参考桂林同期信息价或市场询价；无定额可套的，根据市场价格协商确定综合价格；对于国有资产投资的项目，新增项目的单价必须经发包人委托的第三方审核机构审定</w:t>
      </w:r>
      <w:bookmarkEnd w:id="1145"/>
      <w:r>
        <w:rPr>
          <w:rFonts w:hint="eastAsia" w:ascii="宋体" w:hAnsi="宋体" w:eastAsia="宋体" w:cs="宋体"/>
          <w:color w:val="auto"/>
          <w:sz w:val="21"/>
          <w:szCs w:val="21"/>
          <w:highlight w:val="none"/>
        </w:rPr>
        <w:t>。</w:t>
      </w:r>
    </w:p>
    <w:p w14:paraId="7E519A8E">
      <w:pPr>
        <w:spacing w:line="400" w:lineRule="exact"/>
        <w:ind w:firstLine="420"/>
        <w:jc w:val="left"/>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关于变更估价的约定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eastAsia="zh-CN"/>
        </w:rPr>
        <w:t>工程量清单报价表（最后</w:t>
      </w:r>
      <w:r>
        <w:rPr>
          <w:rFonts w:hint="eastAsia" w:ascii="宋体" w:hAnsi="宋体" w:eastAsia="宋体" w:cs="宋体"/>
          <w:color w:val="auto"/>
          <w:sz w:val="21"/>
          <w:szCs w:val="21"/>
          <w:highlight w:val="none"/>
          <w:u w:val="single"/>
        </w:rPr>
        <w:t>报价</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中已有适用于变更工程的综合单价，按已有的综合单价，综合单价不随工程量的增减而变化</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u w:val="single"/>
          <w:lang w:eastAsia="zh-CN"/>
        </w:rPr>
        <w:t>工程量清单报价表（最后</w:t>
      </w:r>
      <w:r>
        <w:rPr>
          <w:rFonts w:hint="eastAsia" w:ascii="宋体" w:hAnsi="宋体" w:eastAsia="宋体" w:cs="宋体"/>
          <w:color w:val="auto"/>
          <w:sz w:val="21"/>
          <w:szCs w:val="21"/>
          <w:highlight w:val="none"/>
          <w:u w:val="single"/>
        </w:rPr>
        <w:t>报价</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中有类似变更工程的综合单价，可参照</w:t>
      </w:r>
      <w:r>
        <w:rPr>
          <w:rFonts w:hint="eastAsia" w:ascii="宋体" w:hAnsi="宋体" w:eastAsia="宋体" w:cs="宋体"/>
          <w:color w:val="auto"/>
          <w:sz w:val="21"/>
          <w:szCs w:val="21"/>
          <w:highlight w:val="none"/>
          <w:u w:val="single"/>
          <w:lang w:eastAsia="zh-CN"/>
        </w:rPr>
        <w:t>工程量清单报价表（最后</w:t>
      </w:r>
      <w:r>
        <w:rPr>
          <w:rFonts w:hint="eastAsia" w:ascii="宋体" w:hAnsi="宋体" w:eastAsia="宋体" w:cs="宋体"/>
          <w:color w:val="auto"/>
          <w:sz w:val="21"/>
          <w:szCs w:val="21"/>
          <w:highlight w:val="none"/>
          <w:u w:val="single"/>
        </w:rPr>
        <w:t>报价</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中类似的综合单价确定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u w:val="single"/>
          <w:lang w:eastAsia="zh-CN"/>
        </w:rPr>
        <w:t>工程量清单报价表（最后</w:t>
      </w:r>
      <w:r>
        <w:rPr>
          <w:rFonts w:hint="eastAsia" w:ascii="宋体" w:hAnsi="宋体" w:eastAsia="宋体" w:cs="宋体"/>
          <w:color w:val="auto"/>
          <w:sz w:val="21"/>
          <w:szCs w:val="21"/>
          <w:highlight w:val="none"/>
          <w:u w:val="single"/>
        </w:rPr>
        <w:t>报价</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中没有适用或类似于变更工程的综合单价，则有定额的套定额计算，执行本工程编制预算控制价的参考依据，其中材料价格有信息价的按合同该新增子项实施期间参考《桂林市建设工程造价信息》，信息价没有的，参考桂林市信息价，信息价上缺项的，按照市场询价进行计算，不在下浮范围之内；新增结算综合单价=定额计算的综合单价×（</w:t>
      </w:r>
      <w:r>
        <w:rPr>
          <w:rFonts w:hint="eastAsia" w:ascii="宋体" w:hAnsi="宋体" w:eastAsia="宋体" w:cs="宋体"/>
          <w:color w:val="auto"/>
          <w:sz w:val="21"/>
          <w:szCs w:val="21"/>
          <w:highlight w:val="none"/>
          <w:u w:val="single"/>
          <w:lang w:eastAsia="zh-CN"/>
        </w:rPr>
        <w:t>最后报价</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最高限价</w:t>
      </w:r>
      <w:r>
        <w:rPr>
          <w:rFonts w:hint="eastAsia" w:ascii="宋体" w:hAnsi="宋体" w:eastAsia="宋体" w:cs="宋体"/>
          <w:color w:val="auto"/>
          <w:sz w:val="21"/>
          <w:szCs w:val="21"/>
          <w:highlight w:val="none"/>
          <w:u w:val="single"/>
        </w:rPr>
        <w:t>），新增项目无定额可套时，由发包人、承包人及监理等</w:t>
      </w:r>
      <w:r>
        <w:rPr>
          <w:rFonts w:hint="eastAsia" w:ascii="宋体" w:hAnsi="宋体" w:eastAsia="宋体" w:cs="宋体"/>
          <w:color w:val="auto"/>
          <w:sz w:val="21"/>
          <w:szCs w:val="21"/>
          <w:highlight w:val="none"/>
          <w:u w:val="single"/>
          <w:lang w:eastAsia="zh-CN"/>
        </w:rPr>
        <w:t>协商</w:t>
      </w:r>
      <w:r>
        <w:rPr>
          <w:rFonts w:hint="eastAsia" w:ascii="宋体" w:hAnsi="宋体" w:eastAsia="宋体" w:cs="宋体"/>
          <w:color w:val="auto"/>
          <w:sz w:val="21"/>
          <w:szCs w:val="21"/>
          <w:highlight w:val="none"/>
          <w:u w:val="single"/>
        </w:rPr>
        <w:t>确定包干价，不在下浮范围之内。暂定价调整方法为：暂定材料价格部分仅调整合同实施期间材料市场价与暂定价之间的价差并计相应的规费和增值税，</w:t>
      </w:r>
      <w:r>
        <w:rPr>
          <w:rFonts w:hint="eastAsia" w:ascii="宋体" w:hAnsi="宋体" w:eastAsia="宋体" w:cs="宋体"/>
          <w:color w:val="auto"/>
          <w:sz w:val="21"/>
          <w:szCs w:val="21"/>
          <w:highlight w:val="none"/>
          <w:u w:val="single"/>
          <w:lang w:eastAsia="zh-CN"/>
        </w:rPr>
        <w:t>响应文件</w:t>
      </w:r>
      <w:r>
        <w:rPr>
          <w:rFonts w:hint="eastAsia" w:ascii="宋体" w:hAnsi="宋体" w:eastAsia="宋体" w:cs="宋体"/>
          <w:color w:val="auto"/>
          <w:sz w:val="21"/>
          <w:szCs w:val="21"/>
          <w:highlight w:val="none"/>
          <w:u w:val="single"/>
        </w:rPr>
        <w:t>中相应的综合单价不再调整。本工程最终结算价以审计审定为准。</w:t>
      </w:r>
    </w:p>
    <w:p w14:paraId="1BA34614">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关于清单项目增减的约定：在实际施工过程中，根据发包人的需求可增加或减少合同内清单项目，其余的清单项目单价不作调整。</w:t>
      </w:r>
    </w:p>
    <w:p w14:paraId="61C436EB">
      <w:pPr>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无约定的参照我区现行《建设工程工程量清单计价规范》相关规定执行。</w:t>
      </w:r>
    </w:p>
    <w:p w14:paraId="3F7BC46A">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1146" w:name="_Toc417904319"/>
      <w:bookmarkStart w:id="1147" w:name="_Toc478389234"/>
      <w:r>
        <w:rPr>
          <w:rFonts w:hint="eastAsia" w:ascii="宋体" w:hAnsi="宋体" w:eastAsia="宋体" w:cs="宋体"/>
          <w:b/>
          <w:bCs/>
          <w:color w:val="auto"/>
          <w:kern w:val="44"/>
          <w:sz w:val="21"/>
          <w:szCs w:val="21"/>
          <w:highlight w:val="none"/>
        </w:rPr>
        <w:t>1</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Start w:id="1148" w:name="_Toc296503197"/>
      <w:bookmarkStart w:id="1149" w:name="_Toc297123544"/>
      <w:bookmarkStart w:id="1150" w:name="_Toc297216203"/>
      <w:bookmarkStart w:id="1151" w:name="_Toc303539150"/>
      <w:bookmarkStart w:id="1152" w:name="_Toc296346698"/>
      <w:bookmarkStart w:id="1153" w:name="_Toc296347196"/>
      <w:bookmarkStart w:id="1154" w:name="_Toc296891025"/>
      <w:bookmarkStart w:id="1155" w:name="_Toc292559907"/>
      <w:bookmarkStart w:id="1156" w:name="_Toc292559402"/>
      <w:bookmarkStart w:id="1157" w:name="_Toc296891237"/>
      <w:bookmarkStart w:id="1158" w:name="_Toc300934993"/>
      <w:bookmarkStart w:id="1159" w:name="_Toc296944536"/>
      <w:bookmarkStart w:id="1160" w:name="_Toc297048383"/>
      <w:bookmarkStart w:id="1161" w:name="_Toc297120497"/>
      <w:bookmarkStart w:id="1162" w:name="_Toc312677503"/>
      <w:bookmarkStart w:id="1163" w:name="_Toc312678029"/>
      <w:bookmarkStart w:id="1164" w:name="_Toc304295570"/>
      <w:r>
        <w:rPr>
          <w:rFonts w:hint="eastAsia" w:ascii="宋体" w:hAnsi="宋体" w:eastAsia="宋体" w:cs="宋体"/>
          <w:b/>
          <w:bCs/>
          <w:color w:val="auto"/>
          <w:kern w:val="44"/>
          <w:sz w:val="21"/>
          <w:szCs w:val="21"/>
          <w:highlight w:val="none"/>
        </w:rPr>
        <w:t>0.5承</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Start w:id="1165" w:name="_Toc303539151"/>
      <w:bookmarkStart w:id="1166" w:name="_Toc296346704"/>
      <w:bookmarkStart w:id="1167" w:name="_Toc296503203"/>
      <w:bookmarkStart w:id="1168" w:name="_Toc292559913"/>
      <w:bookmarkStart w:id="1169" w:name="_Toc296891031"/>
      <w:bookmarkStart w:id="1170" w:name="_Toc296891243"/>
      <w:bookmarkStart w:id="1171" w:name="_Toc300934994"/>
      <w:bookmarkStart w:id="1172" w:name="_Toc292559408"/>
      <w:bookmarkStart w:id="1173" w:name="_Toc297123545"/>
      <w:bookmarkStart w:id="1174" w:name="_Toc296347202"/>
      <w:bookmarkStart w:id="1175" w:name="_Toc297120503"/>
      <w:bookmarkStart w:id="1176" w:name="_Toc296944542"/>
      <w:bookmarkStart w:id="1177" w:name="_Toc297216204"/>
      <w:bookmarkStart w:id="1178" w:name="_Toc297048389"/>
      <w:r>
        <w:rPr>
          <w:rFonts w:hint="eastAsia" w:ascii="宋体" w:hAnsi="宋体" w:eastAsia="宋体" w:cs="宋体"/>
          <w:b/>
          <w:bCs/>
          <w:color w:val="auto"/>
          <w:kern w:val="44"/>
          <w:sz w:val="21"/>
          <w:szCs w:val="21"/>
          <w:highlight w:val="none"/>
        </w:rPr>
        <w:t>包人的合理化建议</w:t>
      </w:r>
      <w:bookmarkEnd w:id="1146"/>
      <w:bookmarkEnd w:id="1147"/>
    </w:p>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p w14:paraId="0A2AF7B2">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7天内      </w:t>
      </w:r>
      <w:r>
        <w:rPr>
          <w:rFonts w:hint="eastAsia" w:ascii="宋体" w:hAnsi="宋体" w:eastAsia="宋体" w:cs="宋体"/>
          <w:color w:val="auto"/>
          <w:sz w:val="21"/>
          <w:szCs w:val="21"/>
          <w:highlight w:val="none"/>
        </w:rPr>
        <w:t>。</w:t>
      </w:r>
    </w:p>
    <w:p w14:paraId="2D6D0B5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7天内      </w:t>
      </w:r>
      <w:r>
        <w:rPr>
          <w:rFonts w:hint="eastAsia" w:ascii="宋体" w:hAnsi="宋体" w:eastAsia="宋体" w:cs="宋体"/>
          <w:color w:val="auto"/>
          <w:sz w:val="21"/>
          <w:szCs w:val="21"/>
          <w:highlight w:val="none"/>
        </w:rPr>
        <w:t>。</w:t>
      </w:r>
    </w:p>
    <w:p w14:paraId="4B58810A">
      <w:pPr>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w:t>
      </w:r>
      <w:bookmarkStart w:id="1179" w:name="_Toc297048390"/>
      <w:bookmarkStart w:id="1180" w:name="_Toc312678030"/>
      <w:bookmarkStart w:id="1181" w:name="_Toc296891244"/>
      <w:bookmarkStart w:id="1182" w:name="_Toc300934995"/>
      <w:bookmarkStart w:id="1183" w:name="_Toc296347203"/>
      <w:bookmarkStart w:id="1184" w:name="_Toc318581175"/>
      <w:bookmarkStart w:id="1185" w:name="_Toc303539152"/>
      <w:bookmarkStart w:id="1186" w:name="_Toc312677504"/>
      <w:bookmarkStart w:id="1187" w:name="_Toc297120504"/>
      <w:bookmarkStart w:id="1188" w:name="_Toc297216205"/>
      <w:bookmarkStart w:id="1189" w:name="_Toc304295571"/>
      <w:bookmarkStart w:id="1190" w:name="_Toc292559409"/>
      <w:bookmarkStart w:id="1191" w:name="_Toc297123546"/>
      <w:bookmarkStart w:id="1192" w:name="_Toc296503204"/>
      <w:bookmarkStart w:id="1193" w:name="_Toc296891032"/>
      <w:bookmarkStart w:id="1194" w:name="_Toc292559914"/>
      <w:bookmarkStart w:id="1195" w:name="_Toc296944543"/>
      <w:bookmarkStart w:id="1196" w:name="_Toc296346705"/>
      <w:r>
        <w:rPr>
          <w:rFonts w:hint="eastAsia" w:ascii="宋体" w:hAnsi="宋体" w:eastAsia="宋体" w:cs="宋体"/>
          <w:color w:val="auto"/>
          <w:sz w:val="21"/>
          <w:szCs w:val="21"/>
          <w:highlight w:val="none"/>
        </w:rPr>
        <w:t>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14:paraId="1D5B2936">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1197" w:name="_Toc478389235"/>
      <w:bookmarkStart w:id="1198" w:name="_Toc417904320"/>
      <w:r>
        <w:rPr>
          <w:rFonts w:hint="eastAsia" w:ascii="宋体" w:hAnsi="宋体" w:eastAsia="宋体" w:cs="宋体"/>
          <w:b/>
          <w:bCs/>
          <w:color w:val="auto"/>
          <w:kern w:val="44"/>
          <w:sz w:val="21"/>
          <w:szCs w:val="21"/>
          <w:highlight w:val="none"/>
        </w:rPr>
        <w:t>1</w:t>
      </w:r>
      <w:bookmarkStart w:id="1199" w:name="_Toc297216207"/>
      <w:bookmarkStart w:id="1200" w:name="_Toc303539154"/>
      <w:bookmarkStart w:id="1201" w:name="_Toc312677507"/>
      <w:bookmarkStart w:id="1202" w:name="_Toc292559404"/>
      <w:bookmarkStart w:id="1203" w:name="_Toc296891239"/>
      <w:bookmarkStart w:id="1204" w:name="_Toc300934997"/>
      <w:bookmarkStart w:id="1205" w:name="_Toc304295574"/>
      <w:bookmarkStart w:id="1206" w:name="_Toc296944538"/>
      <w:bookmarkStart w:id="1207" w:name="_Toc297048385"/>
      <w:bookmarkStart w:id="1208" w:name="_Toc296346700"/>
      <w:bookmarkStart w:id="1209" w:name="_Toc296891027"/>
      <w:bookmarkStart w:id="1210" w:name="_Toc297120499"/>
      <w:bookmarkStart w:id="1211" w:name="_Toc297123548"/>
      <w:bookmarkStart w:id="1212" w:name="_Toc296503199"/>
      <w:bookmarkStart w:id="1213" w:name="_Toc296347198"/>
      <w:bookmarkStart w:id="1214" w:name="_Toc292559909"/>
      <w:bookmarkStart w:id="1215" w:name="_Toc312678033"/>
      <w:r>
        <w:rPr>
          <w:rFonts w:hint="eastAsia" w:ascii="宋体" w:hAnsi="宋体" w:eastAsia="宋体" w:cs="宋体"/>
          <w:b/>
          <w:bCs/>
          <w:color w:val="auto"/>
          <w:kern w:val="44"/>
          <w:sz w:val="21"/>
          <w:szCs w:val="21"/>
          <w:highlight w:val="none"/>
        </w:rPr>
        <w:t>0.7 暂估价</w:t>
      </w:r>
      <w:bookmarkEnd w:id="1197"/>
      <w:bookmarkEnd w:id="1198"/>
    </w:p>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14:paraId="4D48C88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暂估价材料和工程设备的明细详见附件11：《暂估价一览表》。</w:t>
      </w:r>
    </w:p>
    <w:p w14:paraId="7C41703A">
      <w:pPr>
        <w:spacing w:line="400" w:lineRule="exact"/>
        <w:ind w:firstLine="420"/>
        <w:outlineLvl w:val="0"/>
        <w:rPr>
          <w:rFonts w:hint="eastAsia" w:ascii="宋体" w:hAnsi="宋体" w:eastAsia="宋体" w:cs="宋体"/>
          <w:color w:val="auto"/>
          <w:sz w:val="21"/>
          <w:szCs w:val="21"/>
          <w:highlight w:val="none"/>
        </w:rPr>
      </w:pPr>
      <w:bookmarkStart w:id="1216" w:name="_Toc406419390"/>
      <w:bookmarkStart w:id="1217" w:name="_Toc478389236"/>
      <w:bookmarkStart w:id="1218" w:name="_Toc406522266"/>
      <w:bookmarkStart w:id="1219" w:name="_Toc417904321"/>
      <w:r>
        <w:rPr>
          <w:rFonts w:hint="eastAsia" w:ascii="宋体" w:hAnsi="宋体" w:eastAsia="宋体" w:cs="宋体"/>
          <w:color w:val="auto"/>
          <w:sz w:val="21"/>
          <w:szCs w:val="21"/>
          <w:highlight w:val="none"/>
        </w:rPr>
        <w:t>1</w:t>
      </w:r>
      <w:bookmarkStart w:id="1220" w:name="_Toc318581177"/>
      <w:bookmarkStart w:id="1221" w:name="_Toc312677509"/>
      <w:bookmarkStart w:id="1222" w:name="_Toc312678035"/>
      <w:r>
        <w:rPr>
          <w:rFonts w:hint="eastAsia" w:ascii="宋体" w:hAnsi="宋体" w:eastAsia="宋体" w:cs="宋体"/>
          <w:color w:val="auto"/>
          <w:sz w:val="21"/>
          <w:szCs w:val="21"/>
          <w:highlight w:val="none"/>
        </w:rPr>
        <w:t>0.7.1 依法必须招标的暂估价项目</w:t>
      </w:r>
      <w:bookmarkEnd w:id="1216"/>
      <w:bookmarkEnd w:id="1217"/>
      <w:bookmarkEnd w:id="1218"/>
      <w:bookmarkEnd w:id="1219"/>
    </w:p>
    <w:bookmarkEnd w:id="1220"/>
    <w:bookmarkEnd w:id="1221"/>
    <w:bookmarkEnd w:id="1222"/>
    <w:p w14:paraId="757B6012">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对于依法必须招标的暂估价项目的确认和批准采取第</w:t>
      </w:r>
      <w:r>
        <w:rPr>
          <w:rFonts w:hint="eastAsia" w:ascii="宋体" w:hAnsi="宋体" w:eastAsia="宋体" w:cs="宋体"/>
          <w:color w:val="auto"/>
          <w:sz w:val="21"/>
          <w:szCs w:val="21"/>
          <w:highlight w:val="none"/>
          <w:u w:val="single"/>
        </w:rPr>
        <w:t xml:space="preserve">  双方协定  </w:t>
      </w:r>
      <w:r>
        <w:rPr>
          <w:rFonts w:hint="eastAsia" w:ascii="宋体" w:hAnsi="宋体" w:eastAsia="宋体" w:cs="宋体"/>
          <w:color w:val="auto"/>
          <w:sz w:val="21"/>
          <w:szCs w:val="21"/>
          <w:highlight w:val="none"/>
        </w:rPr>
        <w:t>种方式确定。</w:t>
      </w:r>
    </w:p>
    <w:p w14:paraId="19218E40">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14:paraId="375ADC8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对于不属于依法必须招标的暂估价项目的确认和批准采取第</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 xml:space="preserve"> 种方式确定。</w:t>
      </w:r>
    </w:p>
    <w:p w14:paraId="33CB187C">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第3种方式：承包人直接实施的暂估价项目</w:t>
      </w:r>
    </w:p>
    <w:p w14:paraId="1177270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按市场价格由发包人、承包人、发包人建</w:t>
      </w:r>
      <w:r>
        <w:rPr>
          <w:rFonts w:hint="eastAsia" w:ascii="宋体" w:hAnsi="宋体" w:eastAsia="宋体" w:cs="宋体"/>
          <w:color w:val="auto"/>
          <w:sz w:val="21"/>
          <w:szCs w:val="21"/>
          <w:highlight w:val="none"/>
          <w:u w:val="single"/>
          <w:lang w:eastAsia="zh-CN"/>
        </w:rPr>
        <w:t>设</w:t>
      </w:r>
      <w:r>
        <w:rPr>
          <w:rFonts w:hint="eastAsia" w:ascii="宋体" w:hAnsi="宋体" w:eastAsia="宋体" w:cs="宋体"/>
          <w:color w:val="auto"/>
          <w:sz w:val="21"/>
          <w:szCs w:val="21"/>
          <w:highlight w:val="none"/>
          <w:u w:val="single"/>
        </w:rPr>
        <w:t xml:space="preserve">代表、发包人委托的造价咨询机构、现场监管代表及监理协商确定材料价  </w:t>
      </w:r>
      <w:r>
        <w:rPr>
          <w:rFonts w:hint="eastAsia" w:ascii="宋体" w:hAnsi="宋体" w:eastAsia="宋体" w:cs="宋体"/>
          <w:color w:val="auto"/>
          <w:sz w:val="21"/>
          <w:szCs w:val="21"/>
          <w:highlight w:val="none"/>
        </w:rPr>
        <w:t>。</w:t>
      </w:r>
    </w:p>
    <w:p w14:paraId="232163E1">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1223" w:name="_Toc478389237"/>
      <w:bookmarkStart w:id="1224" w:name="_Toc417904322"/>
      <w:r>
        <w:rPr>
          <w:rFonts w:hint="eastAsia" w:ascii="宋体" w:hAnsi="宋体" w:eastAsia="宋体" w:cs="宋体"/>
          <w:b/>
          <w:bCs/>
          <w:color w:val="auto"/>
          <w:kern w:val="44"/>
          <w:sz w:val="21"/>
          <w:szCs w:val="21"/>
          <w:highlight w:val="none"/>
        </w:rPr>
        <w:t>10.8 暂列金额</w:t>
      </w:r>
      <w:bookmarkEnd w:id="1223"/>
      <w:bookmarkEnd w:id="1224"/>
    </w:p>
    <w:p w14:paraId="53017FE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合同当事人关于暂列金额使用的约定：</w:t>
      </w:r>
      <w:r>
        <w:rPr>
          <w:rFonts w:hint="eastAsia" w:ascii="宋体" w:hAnsi="宋体" w:eastAsia="宋体" w:cs="宋体"/>
          <w:color w:val="auto"/>
          <w:sz w:val="21"/>
          <w:szCs w:val="21"/>
          <w:highlight w:val="none"/>
          <w:u w:val="single"/>
        </w:rPr>
        <w:t xml:space="preserve">按市场价格由发包人、承包人、发包人委托的造价咨询机构、现场监管代表及监理协商确定材料价       </w:t>
      </w:r>
      <w:r>
        <w:rPr>
          <w:rFonts w:hint="eastAsia" w:ascii="宋体" w:hAnsi="宋体" w:eastAsia="宋体" w:cs="宋体"/>
          <w:color w:val="auto"/>
          <w:sz w:val="21"/>
          <w:szCs w:val="21"/>
          <w:highlight w:val="none"/>
        </w:rPr>
        <w:t>。</w:t>
      </w:r>
    </w:p>
    <w:p w14:paraId="7B93F670">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1225" w:name="_Toc478389238"/>
      <w:bookmarkStart w:id="1226" w:name="_Toc351203643"/>
      <w:bookmarkStart w:id="1227" w:name="_Toc417904323"/>
      <w:r>
        <w:rPr>
          <w:rFonts w:hint="eastAsia" w:ascii="宋体" w:hAnsi="宋体" w:eastAsia="宋体" w:cs="宋体"/>
          <w:b/>
          <w:bCs/>
          <w:color w:val="auto"/>
          <w:kern w:val="44"/>
          <w:sz w:val="21"/>
          <w:szCs w:val="21"/>
          <w:highlight w:val="none"/>
        </w:rPr>
        <w:t>11. 价格调整</w:t>
      </w:r>
      <w:bookmarkEnd w:id="1225"/>
      <w:bookmarkEnd w:id="1226"/>
      <w:bookmarkEnd w:id="1227"/>
    </w:p>
    <w:p w14:paraId="766211C2">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市场价格波动是否调整合同价格的约定：</w:t>
      </w:r>
      <w:r>
        <w:rPr>
          <w:rFonts w:hint="eastAsia" w:ascii="宋体" w:hAnsi="宋体" w:eastAsia="宋体" w:cs="宋体"/>
          <w:color w:val="auto"/>
          <w:sz w:val="21"/>
          <w:szCs w:val="21"/>
          <w:highlight w:val="none"/>
          <w:u w:val="single"/>
        </w:rPr>
        <w:t xml:space="preserve">     调整    </w:t>
      </w:r>
      <w:r>
        <w:rPr>
          <w:rFonts w:hint="eastAsia" w:ascii="宋体" w:hAnsi="宋体" w:eastAsia="宋体" w:cs="宋体"/>
          <w:color w:val="auto"/>
          <w:sz w:val="21"/>
          <w:szCs w:val="21"/>
          <w:highlight w:val="none"/>
        </w:rPr>
        <w:t>。</w:t>
      </w:r>
    </w:p>
    <w:p w14:paraId="33CC1144">
      <w:pPr>
        <w:pStyle w:val="19"/>
        <w:spacing w:before="133" w:line="227" w:lineRule="auto"/>
        <w:ind w:left="444"/>
        <w:rPr>
          <w:sz w:val="20"/>
          <w:szCs w:val="20"/>
        </w:rPr>
      </w:pPr>
      <w:r>
        <w:rPr>
          <w:spacing w:val="8"/>
          <w:sz w:val="20"/>
          <w:szCs w:val="20"/>
        </w:rPr>
        <w:t>因市场价格波动调整合同价格，采用以下第</w:t>
      </w:r>
      <w:r>
        <w:rPr>
          <w:spacing w:val="-34"/>
          <w:sz w:val="20"/>
          <w:szCs w:val="20"/>
        </w:rPr>
        <w:t xml:space="preserve"> </w:t>
      </w:r>
      <w:r>
        <w:rPr>
          <w:spacing w:val="8"/>
          <w:sz w:val="20"/>
          <w:szCs w:val="20"/>
          <w:u w:val="single" w:color="auto"/>
        </w:rPr>
        <w:t>2</w:t>
      </w:r>
      <w:r>
        <w:rPr>
          <w:spacing w:val="-38"/>
          <w:sz w:val="20"/>
          <w:szCs w:val="20"/>
          <w:u w:val="single" w:color="auto"/>
        </w:rPr>
        <w:t xml:space="preserve"> </w:t>
      </w:r>
      <w:r>
        <w:rPr>
          <w:spacing w:val="8"/>
          <w:sz w:val="20"/>
          <w:szCs w:val="20"/>
        </w:rPr>
        <w:t>种方式对合同价格进行调整：</w:t>
      </w:r>
    </w:p>
    <w:p w14:paraId="0D06C16D">
      <w:pPr>
        <w:pStyle w:val="19"/>
        <w:spacing w:before="133" w:line="227" w:lineRule="auto"/>
        <w:ind w:left="428"/>
        <w:rPr>
          <w:sz w:val="20"/>
          <w:szCs w:val="20"/>
        </w:rPr>
      </w:pPr>
      <w:r>
        <w:rPr>
          <w:spacing w:val="6"/>
          <w:sz w:val="20"/>
          <w:szCs w:val="20"/>
        </w:rPr>
        <w:t>第</w:t>
      </w:r>
      <w:r>
        <w:rPr>
          <w:spacing w:val="-8"/>
          <w:sz w:val="20"/>
          <w:szCs w:val="20"/>
        </w:rPr>
        <w:t xml:space="preserve"> </w:t>
      </w:r>
      <w:r>
        <w:rPr>
          <w:spacing w:val="6"/>
          <w:sz w:val="20"/>
          <w:szCs w:val="20"/>
        </w:rPr>
        <w:t>1</w:t>
      </w:r>
      <w:r>
        <w:rPr>
          <w:spacing w:val="-38"/>
          <w:sz w:val="20"/>
          <w:szCs w:val="20"/>
        </w:rPr>
        <w:t xml:space="preserve"> </w:t>
      </w:r>
      <w:r>
        <w:rPr>
          <w:spacing w:val="6"/>
          <w:sz w:val="20"/>
          <w:szCs w:val="20"/>
        </w:rPr>
        <w:t>种方式：采用价格指数进行价格调整。</w:t>
      </w:r>
    </w:p>
    <w:p w14:paraId="1089C149">
      <w:pPr>
        <w:pStyle w:val="19"/>
        <w:spacing w:before="136" w:line="227" w:lineRule="auto"/>
        <w:ind w:left="431"/>
        <w:rPr>
          <w:sz w:val="20"/>
          <w:szCs w:val="20"/>
        </w:rPr>
      </w:pPr>
      <w:r>
        <w:rPr>
          <w:spacing w:val="9"/>
          <w:sz w:val="20"/>
          <w:szCs w:val="20"/>
        </w:rPr>
        <w:t>关于各可调因子、定值和变值权重，以及基本价</w:t>
      </w:r>
      <w:r>
        <w:rPr>
          <w:spacing w:val="8"/>
          <w:sz w:val="20"/>
          <w:szCs w:val="20"/>
        </w:rPr>
        <w:t>格指数及其来源的约定：</w:t>
      </w:r>
      <w:r>
        <w:rPr>
          <w:spacing w:val="8"/>
          <w:sz w:val="20"/>
          <w:szCs w:val="20"/>
          <w:u w:val="single" w:color="auto"/>
        </w:rPr>
        <w:t xml:space="preserve">   /   </w:t>
      </w:r>
      <w:r>
        <w:rPr>
          <w:spacing w:val="8"/>
          <w:sz w:val="20"/>
          <w:szCs w:val="20"/>
        </w:rPr>
        <w:t>；</w:t>
      </w:r>
    </w:p>
    <w:p w14:paraId="5D6AEC6A">
      <w:pPr>
        <w:pStyle w:val="19"/>
        <w:spacing w:before="133" w:line="227" w:lineRule="auto"/>
        <w:ind w:left="428"/>
        <w:rPr>
          <w:sz w:val="20"/>
          <w:szCs w:val="20"/>
        </w:rPr>
      </w:pPr>
      <w:r>
        <w:rPr>
          <w:spacing w:val="7"/>
          <w:sz w:val="20"/>
          <w:szCs w:val="20"/>
        </w:rPr>
        <w:t>第</w:t>
      </w:r>
      <w:r>
        <w:rPr>
          <w:spacing w:val="-27"/>
          <w:sz w:val="20"/>
          <w:szCs w:val="20"/>
        </w:rPr>
        <w:t xml:space="preserve"> </w:t>
      </w:r>
      <w:r>
        <w:rPr>
          <w:spacing w:val="7"/>
          <w:sz w:val="20"/>
          <w:szCs w:val="20"/>
        </w:rPr>
        <w:t>2</w:t>
      </w:r>
      <w:r>
        <w:rPr>
          <w:spacing w:val="-38"/>
          <w:sz w:val="20"/>
          <w:szCs w:val="20"/>
        </w:rPr>
        <w:t xml:space="preserve"> </w:t>
      </w:r>
      <w:r>
        <w:rPr>
          <w:spacing w:val="7"/>
          <w:sz w:val="20"/>
          <w:szCs w:val="20"/>
        </w:rPr>
        <w:t>种方式：采用造价信息进行价格调整。</w:t>
      </w:r>
    </w:p>
    <w:p w14:paraId="50A40FE3">
      <w:pPr>
        <w:pStyle w:val="19"/>
        <w:spacing w:before="134" w:line="351" w:lineRule="auto"/>
        <w:ind w:left="10" w:right="11" w:firstLine="322"/>
        <w:rPr>
          <w:sz w:val="20"/>
          <w:szCs w:val="20"/>
        </w:rPr>
      </w:pPr>
      <w:r>
        <w:rPr>
          <w:spacing w:val="5"/>
          <w:sz w:val="20"/>
          <w:szCs w:val="20"/>
        </w:rPr>
        <w:t>（1）关于基准价格的约定：</w:t>
      </w:r>
      <w:r>
        <w:rPr>
          <w:spacing w:val="-24"/>
          <w:sz w:val="20"/>
          <w:szCs w:val="20"/>
        </w:rPr>
        <w:t xml:space="preserve"> </w:t>
      </w:r>
      <w:r>
        <w:rPr>
          <w:spacing w:val="5"/>
          <w:sz w:val="20"/>
          <w:szCs w:val="20"/>
        </w:rPr>
        <w:t>以招标工程量清单编制时采用当期的《桂林市建设</w:t>
      </w:r>
      <w:r>
        <w:rPr>
          <w:spacing w:val="4"/>
          <w:sz w:val="20"/>
          <w:szCs w:val="20"/>
        </w:rPr>
        <w:t>工程造价信息》</w:t>
      </w:r>
      <w:r>
        <w:rPr>
          <w:spacing w:val="6"/>
          <w:sz w:val="20"/>
          <w:szCs w:val="20"/>
        </w:rPr>
        <w:t>为基准价格。</w:t>
      </w:r>
    </w:p>
    <w:p w14:paraId="64EE0992">
      <w:pPr>
        <w:pStyle w:val="19"/>
        <w:spacing w:before="65" w:line="351" w:lineRule="auto"/>
        <w:ind w:left="1" w:leftChars="0" w:right="73" w:firstLine="420" w:firstLineChars="0"/>
        <w:rPr>
          <w:sz w:val="20"/>
          <w:szCs w:val="20"/>
        </w:rPr>
      </w:pPr>
      <w:r>
        <w:rPr>
          <w:spacing w:val="10"/>
          <w:sz w:val="20"/>
          <w:szCs w:val="20"/>
        </w:rPr>
        <w:t>投标人应根据施工期间材料可能由于市场价格上涨（或下</w:t>
      </w:r>
      <w:r>
        <w:rPr>
          <w:spacing w:val="9"/>
          <w:sz w:val="20"/>
          <w:szCs w:val="20"/>
        </w:rPr>
        <w:t>跌）因素自行考虑由此引起的风险</w:t>
      </w:r>
      <w:r>
        <w:rPr>
          <w:spacing w:val="6"/>
          <w:sz w:val="20"/>
          <w:szCs w:val="20"/>
        </w:rPr>
        <w:t>并计入投标报价中，投标人应对自己的报价承担风险，除本合同约定的钢筋、水泥、商品混凝土、</w:t>
      </w:r>
      <w:r>
        <w:rPr>
          <w:spacing w:val="10"/>
          <w:sz w:val="20"/>
          <w:szCs w:val="20"/>
        </w:rPr>
        <w:t>沥青混凝土、碎石、砂、片石、沥青、管材、石材、土方（含购土与</w:t>
      </w:r>
      <w:r>
        <w:rPr>
          <w:spacing w:val="9"/>
          <w:sz w:val="20"/>
          <w:szCs w:val="20"/>
        </w:rPr>
        <w:t>弃土）等项材料价格可做调</w:t>
      </w:r>
      <w:r>
        <w:rPr>
          <w:spacing w:val="8"/>
          <w:sz w:val="20"/>
          <w:szCs w:val="20"/>
        </w:rPr>
        <w:t>整外，其余材料价格不作调整。</w:t>
      </w:r>
    </w:p>
    <w:p w14:paraId="36B58954">
      <w:pPr>
        <w:pStyle w:val="19"/>
        <w:spacing w:before="2" w:line="350" w:lineRule="auto"/>
        <w:ind w:left="1" w:right="73" w:firstLine="419"/>
        <w:rPr>
          <w:sz w:val="20"/>
          <w:szCs w:val="20"/>
        </w:rPr>
      </w:pPr>
      <w:r>
        <w:rPr>
          <w:spacing w:val="10"/>
          <w:sz w:val="20"/>
          <w:szCs w:val="20"/>
        </w:rPr>
        <w:t>①承包人在已标价工程量清单或预算书中载明的材料单价低于基准</w:t>
      </w:r>
      <w:r>
        <w:rPr>
          <w:spacing w:val="9"/>
          <w:sz w:val="20"/>
          <w:szCs w:val="20"/>
        </w:rPr>
        <w:t>价格的，合同履行期间材</w:t>
      </w:r>
      <w:r>
        <w:rPr>
          <w:spacing w:val="8"/>
          <w:sz w:val="20"/>
          <w:szCs w:val="20"/>
        </w:rPr>
        <w:t>料单价涨幅以基准价格为基础超过</w:t>
      </w:r>
      <w:r>
        <w:rPr>
          <w:spacing w:val="-35"/>
          <w:sz w:val="20"/>
          <w:szCs w:val="20"/>
        </w:rPr>
        <w:t xml:space="preserve"> </w:t>
      </w:r>
      <w:r>
        <w:rPr>
          <w:spacing w:val="8"/>
          <w:sz w:val="20"/>
          <w:szCs w:val="20"/>
        </w:rPr>
        <w:t>5%时，或材料单价跌幅以已标价工程量清单或预算书中载明材料单价为基础超过</w:t>
      </w:r>
      <w:r>
        <w:rPr>
          <w:spacing w:val="-32"/>
          <w:sz w:val="20"/>
          <w:szCs w:val="20"/>
        </w:rPr>
        <w:t xml:space="preserve"> </w:t>
      </w:r>
      <w:r>
        <w:rPr>
          <w:spacing w:val="8"/>
          <w:sz w:val="20"/>
          <w:szCs w:val="20"/>
        </w:rPr>
        <w:t>5%时，其超过部分据实</w:t>
      </w:r>
      <w:r>
        <w:rPr>
          <w:spacing w:val="7"/>
          <w:sz w:val="20"/>
          <w:szCs w:val="20"/>
        </w:rPr>
        <w:t>调整。</w:t>
      </w:r>
    </w:p>
    <w:p w14:paraId="5F95DF4E">
      <w:pPr>
        <w:pStyle w:val="19"/>
        <w:spacing w:before="2" w:line="350" w:lineRule="auto"/>
        <w:ind w:left="5" w:right="73" w:firstLine="414"/>
        <w:rPr>
          <w:sz w:val="20"/>
          <w:szCs w:val="20"/>
        </w:rPr>
      </w:pPr>
      <w:r>
        <w:rPr>
          <w:spacing w:val="10"/>
          <w:sz w:val="20"/>
          <w:szCs w:val="20"/>
        </w:rPr>
        <w:t>②承包人在已标价工程量清单或预算书中载明的材料单价高于基准价</w:t>
      </w:r>
      <w:r>
        <w:rPr>
          <w:spacing w:val="9"/>
          <w:sz w:val="20"/>
          <w:szCs w:val="20"/>
        </w:rPr>
        <w:t>格的：专用合同条款合</w:t>
      </w:r>
      <w:r>
        <w:rPr>
          <w:spacing w:val="8"/>
          <w:sz w:val="20"/>
          <w:szCs w:val="20"/>
        </w:rPr>
        <w:t>同履行期间材料单价跌幅以基准价格为基础超过</w:t>
      </w:r>
      <w:r>
        <w:rPr>
          <w:spacing w:val="-35"/>
          <w:sz w:val="20"/>
          <w:szCs w:val="20"/>
        </w:rPr>
        <w:t xml:space="preserve"> </w:t>
      </w:r>
      <w:r>
        <w:rPr>
          <w:spacing w:val="8"/>
          <w:sz w:val="20"/>
          <w:szCs w:val="20"/>
        </w:rPr>
        <w:t>5%时，材料单价涨幅以已标价工程量</w:t>
      </w:r>
      <w:r>
        <w:rPr>
          <w:spacing w:val="7"/>
          <w:sz w:val="20"/>
          <w:szCs w:val="20"/>
        </w:rPr>
        <w:t>清单或预算</w:t>
      </w:r>
      <w:r>
        <w:rPr>
          <w:spacing w:val="8"/>
          <w:sz w:val="20"/>
          <w:szCs w:val="20"/>
        </w:rPr>
        <w:t>书中载明材料单价为基础超过</w:t>
      </w:r>
      <w:r>
        <w:rPr>
          <w:spacing w:val="-28"/>
          <w:sz w:val="20"/>
          <w:szCs w:val="20"/>
        </w:rPr>
        <w:t xml:space="preserve"> </w:t>
      </w:r>
      <w:r>
        <w:rPr>
          <w:spacing w:val="8"/>
          <w:sz w:val="20"/>
          <w:szCs w:val="20"/>
        </w:rPr>
        <w:t>5%时，其超过部分据实调整。</w:t>
      </w:r>
    </w:p>
    <w:p w14:paraId="59BF2B8B">
      <w:pPr>
        <w:pStyle w:val="19"/>
        <w:spacing w:before="1" w:line="350" w:lineRule="auto"/>
        <w:ind w:left="22" w:right="73" w:firstLine="397"/>
        <w:rPr>
          <w:sz w:val="20"/>
          <w:szCs w:val="20"/>
        </w:rPr>
      </w:pPr>
      <w:r>
        <w:rPr>
          <w:spacing w:val="10"/>
          <w:sz w:val="20"/>
          <w:szCs w:val="20"/>
        </w:rPr>
        <w:t>③承包人在已标价工程量清单或预算书中载明的材料单价等于基准单</w:t>
      </w:r>
      <w:r>
        <w:rPr>
          <w:spacing w:val="9"/>
          <w:sz w:val="20"/>
          <w:szCs w:val="20"/>
        </w:rPr>
        <w:t>价的：专用合同条款合同履行期间材料单价涨跌幅以基准单价为基础超过±</w:t>
      </w:r>
      <w:r>
        <w:rPr>
          <w:spacing w:val="8"/>
          <w:sz w:val="20"/>
          <w:szCs w:val="20"/>
        </w:rPr>
        <w:t>5%时，其超过部分据实调整。</w:t>
      </w:r>
    </w:p>
    <w:p w14:paraId="129BFC7F">
      <w:pPr>
        <w:pStyle w:val="19"/>
        <w:spacing w:before="2" w:line="350" w:lineRule="auto"/>
        <w:ind w:left="1" w:right="73" w:firstLine="419"/>
        <w:rPr>
          <w:spacing w:val="10"/>
          <w:sz w:val="20"/>
          <w:szCs w:val="20"/>
        </w:rPr>
      </w:pPr>
      <w:r>
        <w:rPr>
          <w:spacing w:val="6"/>
          <w:sz w:val="20"/>
          <w:szCs w:val="20"/>
        </w:rPr>
        <w:t>④除专用合同约定的钢筋、水泥、商品混凝土、沥青混凝土、碎石、砂、片石、沥青、管材、</w:t>
      </w:r>
      <w:r>
        <w:rPr>
          <w:spacing w:val="10"/>
          <w:sz w:val="20"/>
          <w:szCs w:val="20"/>
        </w:rPr>
        <w:t>石材、土方（含购土与弃土）等项材料外，其余材料价格不做调整</w:t>
      </w:r>
      <w:r>
        <w:rPr>
          <w:spacing w:val="9"/>
          <w:sz w:val="20"/>
          <w:szCs w:val="20"/>
        </w:rPr>
        <w:t>。调整方法：钢筋、水泥、商</w:t>
      </w:r>
      <w:r>
        <w:rPr>
          <w:spacing w:val="10"/>
          <w:sz w:val="20"/>
          <w:szCs w:val="20"/>
        </w:rPr>
        <w:t>品混凝土、沥青混凝土、碎石、砂、片石、沥青、管材、石材、土</w:t>
      </w:r>
      <w:r>
        <w:rPr>
          <w:spacing w:val="9"/>
          <w:sz w:val="20"/>
          <w:szCs w:val="20"/>
        </w:rPr>
        <w:t>方（含购土与弃土）价格超过部分×中标下浮系</w:t>
      </w:r>
      <w:r>
        <w:rPr>
          <w:spacing w:val="10"/>
          <w:sz w:val="20"/>
          <w:szCs w:val="20"/>
        </w:rPr>
        <w:t>数（中标人的投标报价÷预算价），该部分费用列入税前独立费。</w:t>
      </w:r>
    </w:p>
    <w:p w14:paraId="5CF114F2">
      <w:pPr>
        <w:pStyle w:val="19"/>
        <w:spacing w:before="2" w:line="350" w:lineRule="auto"/>
        <w:ind w:left="1" w:right="73" w:firstLine="419"/>
        <w:rPr>
          <w:rFonts w:hint="eastAsia"/>
          <w:spacing w:val="10"/>
          <w:sz w:val="20"/>
          <w:szCs w:val="20"/>
        </w:rPr>
      </w:pPr>
      <w:r>
        <w:rPr>
          <w:spacing w:val="10"/>
          <w:sz w:val="20"/>
          <w:szCs w:val="20"/>
        </w:rPr>
        <w:t>在工程施工期间，国家及地区如有新的人工费调整政策文件出台，可按国家及地区相关文件进行人工费调差。</w:t>
      </w:r>
    </w:p>
    <w:p w14:paraId="170146E1">
      <w:pPr>
        <w:keepNext/>
        <w:keepLines/>
        <w:spacing w:line="420" w:lineRule="exact"/>
        <w:ind w:firstLine="0" w:firstLineChars="0"/>
        <w:outlineLvl w:val="0"/>
        <w:rPr>
          <w:rFonts w:hint="eastAsia" w:ascii="宋体" w:hAnsi="宋体" w:eastAsia="宋体" w:cs="宋体"/>
          <w:color w:val="auto"/>
          <w:kern w:val="44"/>
          <w:sz w:val="21"/>
          <w:szCs w:val="21"/>
          <w:highlight w:val="none"/>
        </w:rPr>
      </w:pPr>
      <w:bookmarkStart w:id="1228" w:name="_Toc296347204"/>
      <w:bookmarkStart w:id="1229" w:name="_Toc296503205"/>
      <w:bookmarkStart w:id="1230" w:name="_Toc292559410"/>
      <w:bookmarkStart w:id="1231" w:name="_Toc297048391"/>
      <w:bookmarkStart w:id="1232" w:name="_Toc297120505"/>
      <w:bookmarkStart w:id="1233" w:name="_Toc296944544"/>
      <w:bookmarkStart w:id="1234" w:name="_Toc296346706"/>
      <w:bookmarkStart w:id="1235" w:name="_Toc296891245"/>
      <w:bookmarkStart w:id="1236" w:name="_Toc292559915"/>
      <w:bookmarkStart w:id="1237" w:name="_Toc296891033"/>
      <w:bookmarkStart w:id="1238" w:name="_Toc417904325"/>
      <w:bookmarkStart w:id="1239" w:name="_Toc478389239"/>
      <w:bookmarkStart w:id="1240" w:name="_Toc351203644"/>
      <w:r>
        <w:rPr>
          <w:rFonts w:hint="eastAsia" w:ascii="宋体" w:hAnsi="宋体" w:eastAsia="宋体" w:cs="宋体"/>
          <w:b/>
          <w:bCs/>
          <w:color w:val="auto"/>
          <w:kern w:val="44"/>
          <w:sz w:val="21"/>
          <w:szCs w:val="21"/>
          <w:highlight w:val="none"/>
        </w:rPr>
        <w:t xml:space="preserve">12. </w:t>
      </w:r>
      <w:bookmarkEnd w:id="1228"/>
      <w:bookmarkEnd w:id="1229"/>
      <w:bookmarkEnd w:id="1230"/>
      <w:bookmarkEnd w:id="1231"/>
      <w:bookmarkEnd w:id="1232"/>
      <w:bookmarkEnd w:id="1233"/>
      <w:bookmarkEnd w:id="1234"/>
      <w:bookmarkEnd w:id="1235"/>
      <w:bookmarkEnd w:id="1236"/>
      <w:bookmarkEnd w:id="1237"/>
      <w:r>
        <w:rPr>
          <w:rFonts w:hint="eastAsia" w:ascii="宋体" w:hAnsi="宋体" w:eastAsia="宋体" w:cs="宋体"/>
          <w:b/>
          <w:bCs/>
          <w:color w:val="auto"/>
          <w:kern w:val="44"/>
          <w:sz w:val="21"/>
          <w:szCs w:val="21"/>
          <w:highlight w:val="none"/>
        </w:rPr>
        <w:t>合同价格、计量与支付</w:t>
      </w:r>
      <w:bookmarkEnd w:id="1238"/>
      <w:bookmarkEnd w:id="1239"/>
      <w:bookmarkEnd w:id="1240"/>
    </w:p>
    <w:bookmarkEnd w:id="1111"/>
    <w:bookmarkEnd w:id="1112"/>
    <w:bookmarkEnd w:id="1113"/>
    <w:bookmarkEnd w:id="1114"/>
    <w:bookmarkEnd w:id="1115"/>
    <w:bookmarkEnd w:id="1116"/>
    <w:p w14:paraId="2708DA0A">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241" w:name="_Toc292559916"/>
      <w:bookmarkStart w:id="1242" w:name="_Toc267251461"/>
      <w:bookmarkStart w:id="1243" w:name="_Toc292559411"/>
      <w:bookmarkStart w:id="1244" w:name="_Toc296346707"/>
      <w:bookmarkStart w:id="1245" w:name="_Toc297048392"/>
      <w:bookmarkStart w:id="1246" w:name="_Toc296347205"/>
      <w:bookmarkStart w:id="1247" w:name="_Toc296891034"/>
      <w:bookmarkStart w:id="1248" w:name="_Toc296503206"/>
      <w:bookmarkStart w:id="1249" w:name="_Toc297120506"/>
      <w:bookmarkStart w:id="1250" w:name="_Toc296944545"/>
      <w:bookmarkStart w:id="1251" w:name="_Toc296891246"/>
      <w:bookmarkStart w:id="1252" w:name="_Toc478389240"/>
      <w:bookmarkStart w:id="1253" w:name="_Toc395382552"/>
      <w:bookmarkStart w:id="1254" w:name="_Toc373478396"/>
      <w:bookmarkStart w:id="1255" w:name="_Toc389065314"/>
      <w:bookmarkStart w:id="1256" w:name="_Toc417904326"/>
      <w:bookmarkStart w:id="1257" w:name="_Toc373227749"/>
      <w:bookmarkStart w:id="1258" w:name="_Toc406421001"/>
      <w:bookmarkStart w:id="1259" w:name="_Toc297216212"/>
      <w:bookmarkStart w:id="1260" w:name="_Toc312678041"/>
      <w:bookmarkStart w:id="1261" w:name="_Toc300935003"/>
      <w:bookmarkStart w:id="1262" w:name="_Toc304295580"/>
      <w:bookmarkStart w:id="1263" w:name="_Toc303539160"/>
      <w:bookmarkStart w:id="1264" w:name="_Toc297123553"/>
      <w:bookmarkStart w:id="1265" w:name="_Toc304295581"/>
      <w:bookmarkStart w:id="1266" w:name="_Toc312678042"/>
      <w:bookmarkStart w:id="1267" w:name="_Toc303539161"/>
      <w:bookmarkStart w:id="1268" w:name="_Toc297123554"/>
      <w:bookmarkStart w:id="1269" w:name="_Toc300935004"/>
      <w:bookmarkStart w:id="1270" w:name="_Toc297216213"/>
      <w:bookmarkStart w:id="1271" w:name="_Toc297048393"/>
      <w:bookmarkStart w:id="1272" w:name="_Toc296891247"/>
      <w:bookmarkStart w:id="1273" w:name="_Toc296944546"/>
      <w:bookmarkStart w:id="1274" w:name="_Toc292559917"/>
      <w:bookmarkStart w:id="1275" w:name="_Toc292559412"/>
      <w:bookmarkStart w:id="1276" w:name="_Toc296346708"/>
      <w:bookmarkStart w:id="1277" w:name="_Toc296503207"/>
      <w:bookmarkStart w:id="1278" w:name="_Toc297120507"/>
      <w:bookmarkStart w:id="1279" w:name="_Toc296891035"/>
      <w:bookmarkStart w:id="1280" w:name="_Toc296347206"/>
      <w:r>
        <w:rPr>
          <w:rFonts w:hint="eastAsia" w:ascii="宋体" w:hAnsi="宋体" w:eastAsia="宋体" w:cs="宋体"/>
          <w:b/>
          <w:bCs/>
          <w:color w:val="auto"/>
          <w:kern w:val="44"/>
          <w:sz w:val="21"/>
          <w:szCs w:val="21"/>
          <w:highlight w:val="none"/>
        </w:rPr>
        <w:t>12.1 合</w:t>
      </w:r>
      <w:bookmarkEnd w:id="1241"/>
      <w:bookmarkEnd w:id="1242"/>
      <w:bookmarkEnd w:id="1243"/>
      <w:r>
        <w:rPr>
          <w:rFonts w:hint="eastAsia" w:ascii="宋体" w:hAnsi="宋体" w:eastAsia="宋体" w:cs="宋体"/>
          <w:b/>
          <w:bCs/>
          <w:color w:val="auto"/>
          <w:kern w:val="44"/>
          <w:sz w:val="21"/>
          <w:szCs w:val="21"/>
          <w:highlight w:val="none"/>
        </w:rPr>
        <w:t>同价</w:t>
      </w:r>
      <w:bookmarkEnd w:id="1244"/>
      <w:bookmarkEnd w:id="1245"/>
      <w:bookmarkEnd w:id="1246"/>
      <w:bookmarkEnd w:id="1247"/>
      <w:bookmarkEnd w:id="1248"/>
      <w:bookmarkEnd w:id="1249"/>
      <w:bookmarkEnd w:id="1250"/>
      <w:bookmarkEnd w:id="1251"/>
      <w:r>
        <w:rPr>
          <w:rFonts w:hint="eastAsia" w:ascii="宋体" w:hAnsi="宋体" w:eastAsia="宋体" w:cs="宋体"/>
          <w:b/>
          <w:bCs/>
          <w:color w:val="auto"/>
          <w:kern w:val="44"/>
          <w:sz w:val="21"/>
          <w:szCs w:val="21"/>
          <w:highlight w:val="none"/>
        </w:rPr>
        <w:t>格形式</w:t>
      </w:r>
      <w:bookmarkEnd w:id="1252"/>
      <w:bookmarkEnd w:id="1253"/>
      <w:bookmarkEnd w:id="1254"/>
      <w:bookmarkEnd w:id="1255"/>
      <w:bookmarkEnd w:id="1256"/>
      <w:bookmarkEnd w:id="1257"/>
      <w:bookmarkEnd w:id="1258"/>
    </w:p>
    <w:bookmarkEnd w:id="1259"/>
    <w:bookmarkEnd w:id="1260"/>
    <w:bookmarkEnd w:id="1261"/>
    <w:bookmarkEnd w:id="1262"/>
    <w:bookmarkEnd w:id="1263"/>
    <w:bookmarkEnd w:id="1264"/>
    <w:p w14:paraId="19A1833B">
      <w:pPr>
        <w:adjustRightInd w:val="0"/>
        <w:snapToGrid w:val="0"/>
        <w:spacing w:line="42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643440DA">
      <w:pPr>
        <w:adjustRightInd w:val="0"/>
        <w:snapToGrid w:val="0"/>
        <w:spacing w:line="42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本合同价款采用固定综合单价方式确定。</w:t>
      </w:r>
    </w:p>
    <w:p w14:paraId="43A8E3E8">
      <w:pPr>
        <w:adjustRightInd w:val="0"/>
        <w:snapToGrid w:val="0"/>
        <w:spacing w:line="42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除工程变更、政策性调整变动风险以外因素。</w:t>
      </w:r>
    </w:p>
    <w:p w14:paraId="413C06A9">
      <w:pPr>
        <w:adjustRightInd w:val="0"/>
        <w:snapToGrid w:val="0"/>
        <w:spacing w:line="420" w:lineRule="exact"/>
        <w:ind w:firstLine="441" w:firstLineChars="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　</w:t>
      </w:r>
    </w:p>
    <w:p w14:paraId="36D850E5">
      <w:pPr>
        <w:adjustRightInd w:val="0"/>
        <w:snapToGrid w:val="0"/>
        <w:spacing w:line="420" w:lineRule="exact"/>
        <w:ind w:firstLine="441" w:firstLineChars="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①工程变更：按10.4.1变更估价原则的约定调整。</w:t>
      </w:r>
    </w:p>
    <w:p w14:paraId="23A43051">
      <w:pPr>
        <w:adjustRightInd w:val="0"/>
        <w:snapToGrid w:val="0"/>
        <w:spacing w:line="420" w:lineRule="exact"/>
        <w:ind w:firstLine="441" w:firstLineChars="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②政策性调整：按自治区建设行政主管部门颁布的文件执行。</w:t>
      </w:r>
    </w:p>
    <w:p w14:paraId="6CDE6612">
      <w:pPr>
        <w:adjustRightInd w:val="0"/>
        <w:snapToGrid w:val="0"/>
        <w:spacing w:line="420" w:lineRule="exact"/>
        <w:ind w:firstLine="441" w:firstLineChars="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③材料价格风险：按11</w:t>
      </w:r>
      <w:r>
        <w:rPr>
          <w:rFonts w:hint="eastAsia" w:ascii="宋体" w:hAnsi="宋体" w:eastAsia="宋体" w:cs="宋体"/>
          <w:color w:val="auto"/>
          <w:sz w:val="21"/>
          <w:szCs w:val="21"/>
          <w:highlight w:val="none"/>
          <w:lang w:eastAsia="zh-CN"/>
        </w:rPr>
        <w:t>条</w:t>
      </w:r>
      <w:r>
        <w:rPr>
          <w:rFonts w:hint="eastAsia" w:ascii="宋体" w:hAnsi="宋体" w:eastAsia="宋体" w:cs="宋体"/>
          <w:color w:val="auto"/>
          <w:sz w:val="21"/>
          <w:szCs w:val="21"/>
          <w:highlight w:val="none"/>
        </w:rPr>
        <w:t>的约定调整。</w:t>
      </w:r>
    </w:p>
    <w:p w14:paraId="2AFEA7CB">
      <w:pPr>
        <w:adjustRightInd w:val="0"/>
        <w:snapToGrid w:val="0"/>
        <w:spacing w:line="42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④其它：</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0677D5EA">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281" w:name="_Toc478389241"/>
      <w:bookmarkStart w:id="1282" w:name="_Toc417904327"/>
      <w:r>
        <w:rPr>
          <w:rFonts w:hint="eastAsia" w:ascii="宋体" w:hAnsi="宋体" w:eastAsia="宋体" w:cs="宋体"/>
          <w:b/>
          <w:bCs/>
          <w:color w:val="auto"/>
          <w:kern w:val="44"/>
          <w:sz w:val="21"/>
          <w:szCs w:val="21"/>
          <w:highlight w:val="none"/>
        </w:rPr>
        <w:t>12.2 预付款</w:t>
      </w:r>
      <w:bookmarkEnd w:id="1281"/>
      <w:bookmarkEnd w:id="1282"/>
    </w:p>
    <w:bookmarkEnd w:id="1265"/>
    <w:bookmarkEnd w:id="1266"/>
    <w:bookmarkEnd w:id="1267"/>
    <w:bookmarkEnd w:id="1268"/>
    <w:bookmarkEnd w:id="1269"/>
    <w:bookmarkEnd w:id="1270"/>
    <w:p w14:paraId="3E562A34">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p>
    <w:p w14:paraId="0A9DEF9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7FC965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w:t>
      </w:r>
    </w:p>
    <w:p w14:paraId="602093C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rPr>
        <w:t>/。</w:t>
      </w:r>
    </w:p>
    <w:p w14:paraId="5CD2CD2D">
      <w:pPr>
        <w:spacing w:line="420" w:lineRule="exact"/>
        <w:ind w:firstLine="420"/>
        <w:outlineLvl w:val="0"/>
        <w:rPr>
          <w:rFonts w:hint="eastAsia" w:ascii="宋体" w:hAnsi="宋体" w:eastAsia="宋体" w:cs="宋体"/>
          <w:color w:val="auto"/>
          <w:sz w:val="21"/>
          <w:szCs w:val="21"/>
          <w:highlight w:val="none"/>
        </w:rPr>
      </w:pPr>
      <w:bookmarkStart w:id="1283" w:name="_Toc417904328"/>
      <w:bookmarkStart w:id="1284" w:name="_Toc406522273"/>
      <w:bookmarkStart w:id="1285" w:name="_Toc478389242"/>
      <w:bookmarkStart w:id="1286" w:name="_Toc406419397"/>
      <w:r>
        <w:rPr>
          <w:rFonts w:hint="eastAsia" w:ascii="宋体" w:hAnsi="宋体" w:eastAsia="宋体" w:cs="宋体"/>
          <w:color w:val="auto"/>
          <w:sz w:val="21"/>
          <w:szCs w:val="21"/>
          <w:highlight w:val="none"/>
        </w:rPr>
        <w:t>12.2.2 预付款担保</w:t>
      </w:r>
      <w:bookmarkEnd w:id="1283"/>
      <w:bookmarkEnd w:id="1284"/>
      <w:bookmarkEnd w:id="1285"/>
      <w:bookmarkEnd w:id="1286"/>
    </w:p>
    <w:p w14:paraId="1E162FE9">
      <w:pPr>
        <w:spacing w:line="4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rPr>
        <w:t xml:space="preserve">  无。</w:t>
      </w:r>
    </w:p>
    <w:p w14:paraId="5438BB1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bookmarkEnd w:id="1271"/>
    <w:bookmarkEnd w:id="1272"/>
    <w:bookmarkEnd w:id="1273"/>
    <w:bookmarkEnd w:id="1274"/>
    <w:bookmarkEnd w:id="1275"/>
    <w:bookmarkEnd w:id="1276"/>
    <w:bookmarkEnd w:id="1277"/>
    <w:bookmarkEnd w:id="1278"/>
    <w:bookmarkEnd w:id="1279"/>
    <w:bookmarkEnd w:id="1280"/>
    <w:p w14:paraId="1F6E12BC">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287" w:name="_Toc478389243"/>
      <w:bookmarkStart w:id="1288" w:name="_Toc417904329"/>
      <w:r>
        <w:rPr>
          <w:rFonts w:hint="eastAsia" w:ascii="宋体" w:hAnsi="宋体" w:eastAsia="宋体" w:cs="宋体"/>
          <w:b/>
          <w:bCs/>
          <w:color w:val="auto"/>
          <w:kern w:val="44"/>
          <w:sz w:val="21"/>
          <w:szCs w:val="21"/>
          <w:highlight w:val="none"/>
        </w:rPr>
        <w:t>12.3 计量</w:t>
      </w:r>
      <w:bookmarkEnd w:id="1287"/>
      <w:bookmarkEnd w:id="1288"/>
    </w:p>
    <w:p w14:paraId="5CD184AC">
      <w:pPr>
        <w:spacing w:line="390" w:lineRule="exact"/>
        <w:ind w:firstLine="422"/>
        <w:rPr>
          <w:rFonts w:hint="eastAsia" w:ascii="宋体" w:hAnsi="宋体" w:eastAsia="宋体" w:cs="宋体"/>
          <w:b/>
          <w:bCs/>
          <w:color w:val="auto"/>
          <w:sz w:val="21"/>
          <w:szCs w:val="21"/>
          <w:highlight w:val="none"/>
          <w:u w:val="single"/>
        </w:rPr>
      </w:pPr>
      <w:bookmarkStart w:id="1289" w:name="_Toc406419399"/>
      <w:r>
        <w:rPr>
          <w:rFonts w:hint="eastAsia" w:ascii="宋体" w:hAnsi="宋体" w:eastAsia="宋体" w:cs="宋体"/>
          <w:b/>
          <w:bCs/>
          <w:color w:val="auto"/>
          <w:sz w:val="21"/>
          <w:szCs w:val="21"/>
          <w:highlight w:val="none"/>
          <w:u w:val="single"/>
        </w:rPr>
        <w:t>12.3.1 计量原则</w:t>
      </w:r>
    </w:p>
    <w:p w14:paraId="6CDB942C">
      <w:pPr>
        <w:spacing w:line="390" w:lineRule="exact"/>
        <w:ind w:firstLine="420"/>
        <w:rPr>
          <w:rFonts w:hint="eastAsia" w:ascii="宋体" w:hAnsi="宋体" w:eastAsia="宋体" w:cs="宋体"/>
          <w:b/>
          <w:color w:val="auto"/>
          <w:sz w:val="21"/>
          <w:szCs w:val="21"/>
          <w:highlight w:val="none"/>
          <w:u w:val="single"/>
        </w:rPr>
      </w:pPr>
      <w:r>
        <w:rPr>
          <w:rFonts w:hint="eastAsia" w:ascii="宋体" w:hAnsi="宋体" w:eastAsia="宋体" w:cs="宋体"/>
          <w:bCs/>
          <w:color w:val="auto"/>
          <w:sz w:val="21"/>
          <w:szCs w:val="21"/>
          <w:highlight w:val="none"/>
          <w:u w:val="single"/>
        </w:rPr>
        <w:t>工程量计算规则：工程的计量均以《建设工程工程量清单计价规范》（GB50500－2013）及广西壮族自治区实施细则、《建设工程工程量清单计算规范》（GB50854~50862－2013）及广西实施细则、本工程补充项目清单为准。</w:t>
      </w:r>
    </w:p>
    <w:p w14:paraId="3ED04615">
      <w:pPr>
        <w:spacing w:line="420" w:lineRule="exact"/>
        <w:ind w:firstLine="420"/>
        <w:outlineLvl w:val="0"/>
        <w:rPr>
          <w:rFonts w:hint="eastAsia" w:ascii="宋体" w:hAnsi="宋体" w:eastAsia="宋体" w:cs="宋体"/>
          <w:color w:val="auto"/>
          <w:sz w:val="21"/>
          <w:szCs w:val="21"/>
          <w:highlight w:val="none"/>
        </w:rPr>
      </w:pPr>
      <w:bookmarkStart w:id="1290" w:name="_Toc406522275"/>
      <w:bookmarkStart w:id="1291" w:name="_Toc478389244"/>
      <w:bookmarkStart w:id="1292" w:name="_Toc417904330"/>
      <w:r>
        <w:rPr>
          <w:rFonts w:hint="eastAsia" w:ascii="宋体" w:hAnsi="宋体" w:eastAsia="宋体" w:cs="宋体"/>
          <w:color w:val="auto"/>
          <w:sz w:val="21"/>
          <w:szCs w:val="21"/>
          <w:highlight w:val="none"/>
        </w:rPr>
        <w:t>12.3.2 计量周期</w:t>
      </w:r>
      <w:bookmarkEnd w:id="1289"/>
      <w:bookmarkEnd w:id="1290"/>
      <w:bookmarkEnd w:id="1291"/>
      <w:bookmarkEnd w:id="1292"/>
    </w:p>
    <w:p w14:paraId="571D754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rPr>
        <w:t>本合同的计量周期为月，每月25日为当月计量截止日期（不含当日）和下月计量起始日期（含当日）。</w:t>
      </w:r>
    </w:p>
    <w:p w14:paraId="202858D1">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14:paraId="46E41CB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 xml:space="preserve">      按实际完成量           </w:t>
      </w:r>
      <w:r>
        <w:rPr>
          <w:rFonts w:hint="eastAsia" w:ascii="宋体" w:hAnsi="宋体" w:eastAsia="宋体" w:cs="宋体"/>
          <w:color w:val="auto"/>
          <w:sz w:val="21"/>
          <w:szCs w:val="21"/>
          <w:highlight w:val="none"/>
        </w:rPr>
        <w:t>。</w:t>
      </w:r>
    </w:p>
    <w:p w14:paraId="382EB408">
      <w:pPr>
        <w:spacing w:line="420" w:lineRule="exact"/>
        <w:ind w:firstLine="420"/>
        <w:outlineLvl w:val="0"/>
        <w:rPr>
          <w:rFonts w:hint="eastAsia" w:ascii="宋体" w:hAnsi="宋体" w:eastAsia="宋体" w:cs="宋体"/>
          <w:color w:val="auto"/>
          <w:sz w:val="21"/>
          <w:szCs w:val="21"/>
          <w:highlight w:val="none"/>
        </w:rPr>
      </w:pPr>
      <w:bookmarkStart w:id="1293" w:name="_Toc417904331"/>
      <w:bookmarkStart w:id="1294" w:name="_Toc406419400"/>
      <w:bookmarkStart w:id="1295" w:name="_Toc406522276"/>
      <w:bookmarkStart w:id="1296" w:name="_Toc478389245"/>
      <w:r>
        <w:rPr>
          <w:rFonts w:hint="eastAsia" w:ascii="宋体" w:hAnsi="宋体" w:eastAsia="宋体" w:cs="宋体"/>
          <w:color w:val="auto"/>
          <w:sz w:val="21"/>
          <w:szCs w:val="21"/>
          <w:highlight w:val="none"/>
        </w:rPr>
        <w:t>12.3.4 总价合同的计量</w:t>
      </w:r>
      <w:bookmarkEnd w:id="1293"/>
      <w:bookmarkEnd w:id="1294"/>
      <w:bookmarkEnd w:id="1295"/>
      <w:bookmarkEnd w:id="1296"/>
    </w:p>
    <w:p w14:paraId="72BD740A">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69199B5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12.3.5总价合同采用支付分解表计量支付的，是否适用第12.3.4项〔总价合同的计量〕约定进行计量：</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166A492E">
      <w:pPr>
        <w:spacing w:line="420" w:lineRule="exact"/>
        <w:ind w:firstLine="420"/>
        <w:outlineLvl w:val="0"/>
        <w:rPr>
          <w:rFonts w:hint="eastAsia" w:ascii="宋体" w:hAnsi="宋体" w:eastAsia="宋体" w:cs="宋体"/>
          <w:color w:val="auto"/>
          <w:sz w:val="21"/>
          <w:szCs w:val="21"/>
          <w:highlight w:val="none"/>
        </w:rPr>
      </w:pPr>
      <w:bookmarkStart w:id="1297" w:name="_Toc406419401"/>
      <w:bookmarkStart w:id="1298" w:name="_Toc417904332"/>
      <w:bookmarkStart w:id="1299" w:name="_Toc406522277"/>
      <w:bookmarkStart w:id="1300" w:name="_Toc478389246"/>
      <w:r>
        <w:rPr>
          <w:rFonts w:hint="eastAsia" w:ascii="宋体" w:hAnsi="宋体" w:eastAsia="宋体" w:cs="宋体"/>
          <w:color w:val="auto"/>
          <w:sz w:val="21"/>
          <w:szCs w:val="21"/>
          <w:highlight w:val="none"/>
        </w:rPr>
        <w:t>12.3.6 其他价格形式合同的计量</w:t>
      </w:r>
      <w:bookmarkEnd w:id="1297"/>
      <w:bookmarkEnd w:id="1298"/>
      <w:bookmarkEnd w:id="1299"/>
      <w:bookmarkEnd w:id="1300"/>
    </w:p>
    <w:p w14:paraId="06862FFF">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64EC0BA6">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301" w:name="_Toc417904333"/>
      <w:bookmarkStart w:id="1302" w:name="_Toc478389247"/>
      <w:r>
        <w:rPr>
          <w:rFonts w:hint="eastAsia" w:ascii="宋体" w:hAnsi="宋体" w:eastAsia="宋体" w:cs="宋体"/>
          <w:b/>
          <w:bCs/>
          <w:color w:val="auto"/>
          <w:kern w:val="44"/>
          <w:sz w:val="21"/>
          <w:szCs w:val="21"/>
          <w:highlight w:val="none"/>
        </w:rPr>
        <w:t>12.4 工程进度款支付</w:t>
      </w:r>
      <w:bookmarkEnd w:id="1301"/>
      <w:bookmarkEnd w:id="1302"/>
    </w:p>
    <w:p w14:paraId="4E87BA1E">
      <w:pPr>
        <w:spacing w:line="420" w:lineRule="exact"/>
        <w:ind w:firstLine="420"/>
        <w:rPr>
          <w:rFonts w:hint="eastAsia" w:ascii="宋体" w:hAnsi="宋体" w:eastAsia="宋体" w:cs="宋体"/>
          <w:color w:val="auto"/>
          <w:sz w:val="21"/>
          <w:szCs w:val="21"/>
          <w:highlight w:val="none"/>
        </w:rPr>
      </w:pPr>
      <w:bookmarkStart w:id="1303" w:name="_Toc296347210"/>
      <w:bookmarkStart w:id="1304" w:name="_Toc296891039"/>
      <w:bookmarkStart w:id="1305" w:name="_Toc296503211"/>
      <w:bookmarkStart w:id="1306" w:name="_Toc300935006"/>
      <w:bookmarkStart w:id="1307" w:name="_Toc292559921"/>
      <w:bookmarkStart w:id="1308" w:name="_Toc296944550"/>
      <w:bookmarkStart w:id="1309" w:name="_Toc297123556"/>
      <w:bookmarkStart w:id="1310" w:name="_Toc296346712"/>
      <w:bookmarkStart w:id="1311" w:name="_Toc297216215"/>
      <w:bookmarkStart w:id="1312" w:name="_Toc292559416"/>
      <w:bookmarkStart w:id="1313" w:name="_Toc296891251"/>
      <w:bookmarkStart w:id="1314" w:name="_Toc303539163"/>
      <w:bookmarkStart w:id="1315" w:name="_Toc297048397"/>
      <w:bookmarkStart w:id="1316" w:name="_Toc297120511"/>
      <w:r>
        <w:rPr>
          <w:rFonts w:hint="eastAsia" w:ascii="宋体" w:hAnsi="宋体" w:eastAsia="宋体" w:cs="宋体"/>
          <w:color w:val="auto"/>
          <w:sz w:val="21"/>
          <w:szCs w:val="21"/>
          <w:highlight w:val="none"/>
        </w:rPr>
        <w:t>12.4.1 付款周期</w:t>
      </w:r>
    </w:p>
    <w:p w14:paraId="3744EC2B">
      <w:pPr>
        <w:spacing w:line="420" w:lineRule="exact"/>
        <w:ind w:firstLine="422"/>
        <w:outlineLvl w:val="0"/>
        <w:rPr>
          <w:rFonts w:hint="eastAsia" w:ascii="宋体" w:hAnsi="宋体" w:eastAsia="宋体" w:cs="宋体"/>
          <w:b w:val="0"/>
          <w:bCs/>
          <w:color w:val="auto"/>
          <w:sz w:val="21"/>
          <w:szCs w:val="21"/>
          <w:highlight w:val="none"/>
        </w:rPr>
      </w:pPr>
      <w:bookmarkStart w:id="1317" w:name="_Toc417904334"/>
      <w:bookmarkStart w:id="1318" w:name="_Toc406522279"/>
      <w:bookmarkStart w:id="1319" w:name="_Toc406419403"/>
      <w:bookmarkStart w:id="1320" w:name="_Toc478389248"/>
      <w:r>
        <w:rPr>
          <w:rFonts w:hint="eastAsia" w:ascii="宋体" w:hAnsi="宋体" w:eastAsia="宋体" w:cs="宋体"/>
          <w:b w:val="0"/>
          <w:bCs/>
          <w:color w:val="auto"/>
          <w:sz w:val="21"/>
          <w:szCs w:val="21"/>
          <w:highlight w:val="none"/>
          <w:u w:val="single"/>
        </w:rPr>
        <w:t>工程款按进度支付，工程完工前最高支付至合同价的 70%；工程竣工验收后支付至合同价的85%；结算经业主及合同约定的财政或审计部门审定后，工程款支付至结算总价的 97%。发包人按工程价款结算总额的 3%预留工程质量保证金</w:t>
      </w:r>
      <w:r>
        <w:rPr>
          <w:rFonts w:hint="eastAsia" w:ascii="宋体" w:hAnsi="宋体" w:eastAsia="宋体" w:cs="宋体"/>
          <w:b w:val="0"/>
          <w:bCs/>
          <w:color w:val="auto"/>
          <w:sz w:val="21"/>
          <w:szCs w:val="21"/>
          <w:highlight w:val="none"/>
        </w:rPr>
        <w:t>。</w:t>
      </w:r>
    </w:p>
    <w:p w14:paraId="680842C1">
      <w:pPr>
        <w:spacing w:line="420" w:lineRule="exact"/>
        <w:ind w:firstLine="422"/>
        <w:outlineLvl w:val="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u w:val="single"/>
        </w:rPr>
        <w:t>每次付款前，承包人应按发包人的要求提供符合相关法律法规的增值税发票，如发票不符合要求，发包人有权拒收，承包人应承担因不合格发票产生的所有责任</w:t>
      </w:r>
      <w:r>
        <w:rPr>
          <w:rFonts w:hint="eastAsia" w:ascii="宋体" w:hAnsi="宋体" w:eastAsia="宋体" w:cs="宋体"/>
          <w:b w:val="0"/>
          <w:bCs/>
          <w:color w:val="auto"/>
          <w:sz w:val="21"/>
          <w:szCs w:val="21"/>
          <w:highlight w:val="none"/>
        </w:rPr>
        <w:t>。</w:t>
      </w:r>
    </w:p>
    <w:p w14:paraId="1299F274">
      <w:pPr>
        <w:spacing w:line="420" w:lineRule="exact"/>
        <w:ind w:firstLine="422"/>
        <w:outlineLvl w:val="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注：因</w:t>
      </w:r>
      <w:r>
        <w:rPr>
          <w:rFonts w:hint="eastAsia" w:ascii="宋体" w:hAnsi="宋体" w:eastAsia="宋体" w:cs="宋体"/>
          <w:b w:val="0"/>
          <w:bCs/>
          <w:color w:val="auto"/>
          <w:sz w:val="21"/>
          <w:szCs w:val="21"/>
          <w:highlight w:val="none"/>
          <w:lang w:eastAsia="zh-CN"/>
        </w:rPr>
        <w:t>发包人</w:t>
      </w:r>
      <w:r>
        <w:rPr>
          <w:rFonts w:hint="eastAsia" w:ascii="宋体" w:hAnsi="宋体" w:eastAsia="宋体" w:cs="宋体"/>
          <w:b w:val="0"/>
          <w:bCs/>
          <w:color w:val="auto"/>
          <w:sz w:val="21"/>
          <w:szCs w:val="21"/>
          <w:highlight w:val="none"/>
        </w:rPr>
        <w:t>支付的工程款为上级财政拨付，如上级财政未能按合同约定及时拨款至</w:t>
      </w:r>
      <w:r>
        <w:rPr>
          <w:rFonts w:hint="eastAsia" w:ascii="宋体" w:hAnsi="宋体" w:eastAsia="宋体" w:cs="宋体"/>
          <w:b w:val="0"/>
          <w:bCs/>
          <w:color w:val="auto"/>
          <w:sz w:val="21"/>
          <w:szCs w:val="21"/>
          <w:highlight w:val="none"/>
          <w:lang w:eastAsia="zh-CN"/>
        </w:rPr>
        <w:t>发包人</w:t>
      </w:r>
      <w:r>
        <w:rPr>
          <w:rFonts w:hint="eastAsia" w:ascii="宋体" w:hAnsi="宋体" w:eastAsia="宋体" w:cs="宋体"/>
          <w:b w:val="0"/>
          <w:bCs/>
          <w:color w:val="auto"/>
          <w:sz w:val="21"/>
          <w:szCs w:val="21"/>
          <w:highlight w:val="none"/>
        </w:rPr>
        <w:t>账户，</w:t>
      </w:r>
      <w:r>
        <w:rPr>
          <w:rFonts w:hint="eastAsia" w:ascii="宋体" w:hAnsi="宋体" w:eastAsia="宋体" w:cs="宋体"/>
          <w:b w:val="0"/>
          <w:bCs/>
          <w:color w:val="auto"/>
          <w:sz w:val="21"/>
          <w:szCs w:val="21"/>
          <w:highlight w:val="none"/>
          <w:lang w:eastAsia="zh-CN"/>
        </w:rPr>
        <w:t>发包人</w:t>
      </w:r>
      <w:r>
        <w:rPr>
          <w:rFonts w:hint="eastAsia" w:ascii="宋体" w:hAnsi="宋体" w:eastAsia="宋体" w:cs="宋体"/>
          <w:b w:val="0"/>
          <w:bCs/>
          <w:color w:val="auto"/>
          <w:sz w:val="21"/>
          <w:szCs w:val="21"/>
          <w:highlight w:val="none"/>
        </w:rPr>
        <w:t>付款期限则自动延期，且</w:t>
      </w:r>
      <w:r>
        <w:rPr>
          <w:rFonts w:hint="eastAsia" w:ascii="宋体" w:hAnsi="宋体" w:eastAsia="宋体" w:cs="宋体"/>
          <w:b w:val="0"/>
          <w:bCs/>
          <w:color w:val="auto"/>
          <w:sz w:val="21"/>
          <w:szCs w:val="21"/>
          <w:highlight w:val="none"/>
          <w:lang w:eastAsia="zh-CN"/>
        </w:rPr>
        <w:t>发包人</w:t>
      </w:r>
      <w:r>
        <w:rPr>
          <w:rFonts w:hint="eastAsia" w:ascii="宋体" w:hAnsi="宋体" w:eastAsia="宋体" w:cs="宋体"/>
          <w:b w:val="0"/>
          <w:bCs/>
          <w:color w:val="auto"/>
          <w:sz w:val="21"/>
          <w:szCs w:val="21"/>
          <w:highlight w:val="none"/>
        </w:rPr>
        <w:t>无需承担任何违约责任，付款时间更改为上级财政拨款至</w:t>
      </w:r>
      <w:r>
        <w:rPr>
          <w:rFonts w:hint="eastAsia" w:ascii="宋体" w:hAnsi="宋体" w:eastAsia="宋体" w:cs="宋体"/>
          <w:b w:val="0"/>
          <w:bCs/>
          <w:color w:val="auto"/>
          <w:sz w:val="21"/>
          <w:szCs w:val="21"/>
          <w:highlight w:val="none"/>
          <w:lang w:eastAsia="zh-CN"/>
        </w:rPr>
        <w:t>发包人</w:t>
      </w:r>
      <w:r>
        <w:rPr>
          <w:rFonts w:hint="eastAsia" w:ascii="宋体" w:hAnsi="宋体" w:eastAsia="宋体" w:cs="宋体"/>
          <w:b w:val="0"/>
          <w:bCs/>
          <w:color w:val="auto"/>
          <w:sz w:val="21"/>
          <w:szCs w:val="21"/>
          <w:highlight w:val="none"/>
        </w:rPr>
        <w:t>账户三日内。</w:t>
      </w:r>
    </w:p>
    <w:p w14:paraId="27439C81">
      <w:pPr>
        <w:spacing w:line="420" w:lineRule="exact"/>
        <w:ind w:firstLine="42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12.4.2 进度付款申请单的编制</w:t>
      </w:r>
      <w:bookmarkEnd w:id="1317"/>
      <w:bookmarkEnd w:id="1318"/>
      <w:bookmarkEnd w:id="1319"/>
      <w:bookmarkEnd w:id="1320"/>
    </w:p>
    <w:p w14:paraId="67D7D3F5">
      <w:pPr>
        <w:spacing w:line="48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rPr>
        <w:t>承包人应在每个计量周期到期后的7天内向发包人提交已完工程进度款支付申请一式四份，详细说明此周期自己认为有权得到的款额，包括分包人已完工程的价款。</w:t>
      </w:r>
    </w:p>
    <w:p w14:paraId="5DEB48B3">
      <w:pPr>
        <w:spacing w:line="48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工程完工，具备验收条件后，</w:t>
      </w:r>
      <w:r>
        <w:rPr>
          <w:rFonts w:hint="eastAsia" w:ascii="宋体" w:hAnsi="宋体" w:eastAsia="宋体" w:cs="宋体"/>
          <w:color w:val="auto"/>
          <w:kern w:val="0"/>
          <w:sz w:val="21"/>
          <w:szCs w:val="21"/>
          <w:highlight w:val="none"/>
        </w:rPr>
        <w:t>经发包人或发包人委托的中介机构审定后方可办理工程结算或竣工决算。</w:t>
      </w:r>
    </w:p>
    <w:p w14:paraId="2650EE0B">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r>
        <w:rPr>
          <w:rFonts w:hint="eastAsia" w:ascii="宋体" w:hAnsi="宋体" w:eastAsia="宋体" w:cs="宋体"/>
          <w:color w:val="auto"/>
          <w:sz w:val="21"/>
          <w:szCs w:val="21"/>
          <w:highlight w:val="none"/>
        </w:rPr>
        <w:t>2.4.3 进度付款申请单的提交</w:t>
      </w:r>
    </w:p>
    <w:p w14:paraId="09C8EEDF">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sz w:val="21"/>
          <w:szCs w:val="21"/>
          <w:highlight w:val="none"/>
          <w:u w:val="single"/>
        </w:rPr>
        <w:t xml:space="preserve">    按支付方式的进度　　 </w:t>
      </w:r>
      <w:r>
        <w:rPr>
          <w:rFonts w:hint="eastAsia" w:ascii="宋体" w:hAnsi="宋体" w:eastAsia="宋体" w:cs="宋体"/>
          <w:color w:val="auto"/>
          <w:sz w:val="21"/>
          <w:szCs w:val="21"/>
          <w:highlight w:val="none"/>
        </w:rPr>
        <w:t>。</w:t>
      </w:r>
    </w:p>
    <w:p w14:paraId="7C809070">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6B321810">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7BD215EB">
      <w:pPr>
        <w:spacing w:line="480" w:lineRule="exact"/>
        <w:ind w:firstLine="420"/>
        <w:outlineLvl w:val="0"/>
        <w:rPr>
          <w:rFonts w:hint="eastAsia" w:ascii="宋体" w:hAnsi="宋体" w:eastAsia="宋体" w:cs="宋体"/>
          <w:color w:val="auto"/>
          <w:sz w:val="21"/>
          <w:szCs w:val="21"/>
          <w:highlight w:val="none"/>
        </w:rPr>
      </w:pPr>
      <w:bookmarkStart w:id="1321" w:name="_Toc406419404"/>
      <w:bookmarkStart w:id="1322" w:name="_Toc478389249"/>
      <w:bookmarkStart w:id="1323" w:name="_Toc417904335"/>
      <w:bookmarkStart w:id="1324" w:name="_Toc406522280"/>
      <w:r>
        <w:rPr>
          <w:rFonts w:hint="eastAsia" w:ascii="宋体" w:hAnsi="宋体" w:eastAsia="宋体" w:cs="宋体"/>
          <w:color w:val="auto"/>
          <w:sz w:val="21"/>
          <w:szCs w:val="21"/>
          <w:highlight w:val="none"/>
        </w:rPr>
        <w:t>12.4.4 进度款审核和支付</w:t>
      </w:r>
      <w:bookmarkEnd w:id="1321"/>
      <w:bookmarkEnd w:id="1322"/>
      <w:bookmarkEnd w:id="1323"/>
      <w:bookmarkEnd w:id="1324"/>
    </w:p>
    <w:p w14:paraId="459FDF2B">
      <w:pPr>
        <w:spacing w:line="48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 xml:space="preserve">  3天内　</w:t>
      </w:r>
      <w:r>
        <w:rPr>
          <w:rFonts w:hint="eastAsia" w:ascii="宋体" w:hAnsi="宋体" w:eastAsia="宋体" w:cs="宋体"/>
          <w:color w:val="auto"/>
          <w:sz w:val="21"/>
          <w:szCs w:val="21"/>
          <w:highlight w:val="none"/>
        </w:rPr>
        <w:t>。</w:t>
      </w:r>
    </w:p>
    <w:p w14:paraId="214145C5">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 xml:space="preserve">     7天内        </w:t>
      </w:r>
      <w:r>
        <w:rPr>
          <w:rFonts w:hint="eastAsia" w:ascii="宋体" w:hAnsi="宋体" w:eastAsia="宋体" w:cs="宋体"/>
          <w:color w:val="auto"/>
          <w:sz w:val="21"/>
          <w:szCs w:val="21"/>
          <w:highlight w:val="none"/>
        </w:rPr>
        <w:t>。</w:t>
      </w:r>
    </w:p>
    <w:p w14:paraId="601E658A">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rPr>
        <w:t xml:space="preserve">   承包人提出书面申请后30个工作日内    　　　</w:t>
      </w:r>
      <w:r>
        <w:rPr>
          <w:rFonts w:hint="eastAsia" w:ascii="宋体" w:hAnsi="宋体" w:eastAsia="宋体" w:cs="宋体"/>
          <w:color w:val="auto"/>
          <w:sz w:val="21"/>
          <w:szCs w:val="21"/>
          <w:highlight w:val="none"/>
        </w:rPr>
        <w:t>。</w:t>
      </w:r>
    </w:p>
    <w:p w14:paraId="092A4A36">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66D9C63">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2615403B">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总价合同支付分解表的编制与审批：</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184DEF1A">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单价合同的总价项目支付分解表的编制与审批：</w:t>
      </w:r>
      <w:r>
        <w:rPr>
          <w:rFonts w:hint="eastAsia" w:ascii="宋体" w:hAnsi="宋体" w:eastAsia="宋体" w:cs="宋体"/>
          <w:color w:val="auto"/>
          <w:sz w:val="21"/>
          <w:szCs w:val="21"/>
          <w:highlight w:val="none"/>
          <w:u w:val="single"/>
        </w:rPr>
        <w:t xml:space="preserve">    按支付方式      </w:t>
      </w:r>
      <w:r>
        <w:rPr>
          <w:rFonts w:hint="eastAsia" w:ascii="宋体" w:hAnsi="宋体" w:eastAsia="宋体" w:cs="宋体"/>
          <w:color w:val="auto"/>
          <w:sz w:val="21"/>
          <w:szCs w:val="21"/>
          <w:highlight w:val="none"/>
        </w:rPr>
        <w:t>。</w:t>
      </w:r>
    </w:p>
    <w:bookmarkEnd w:id="1117"/>
    <w:p w14:paraId="00DA7FDB">
      <w:pPr>
        <w:keepNext/>
        <w:keepLines/>
        <w:spacing w:line="480" w:lineRule="exact"/>
        <w:ind w:firstLine="0" w:firstLineChars="0"/>
        <w:outlineLvl w:val="0"/>
        <w:rPr>
          <w:rFonts w:hint="eastAsia" w:ascii="宋体" w:hAnsi="宋体" w:eastAsia="宋体" w:cs="宋体"/>
          <w:b/>
          <w:bCs/>
          <w:color w:val="auto"/>
          <w:kern w:val="44"/>
          <w:sz w:val="21"/>
          <w:szCs w:val="21"/>
          <w:highlight w:val="none"/>
        </w:rPr>
      </w:pPr>
      <w:bookmarkStart w:id="1325" w:name="_Toc351203645"/>
      <w:bookmarkStart w:id="1326" w:name="_Toc478389250"/>
      <w:bookmarkStart w:id="1327" w:name="_Toc417904336"/>
      <w:bookmarkStart w:id="1328" w:name="_Toc304295593"/>
      <w:bookmarkStart w:id="1329" w:name="_Toc297120519"/>
      <w:bookmarkStart w:id="1330" w:name="_Toc300935015"/>
      <w:bookmarkStart w:id="1331" w:name="_Toc296944558"/>
      <w:bookmarkStart w:id="1332" w:name="_Toc296346720"/>
      <w:bookmarkStart w:id="1333" w:name="_Toc292559424"/>
      <w:bookmarkStart w:id="1334" w:name="_Toc297216223"/>
      <w:bookmarkStart w:id="1335" w:name="_Toc292559929"/>
      <w:bookmarkStart w:id="1336" w:name="_Toc312678053"/>
      <w:bookmarkStart w:id="1337" w:name="_Toc297048405"/>
      <w:bookmarkStart w:id="1338" w:name="_Toc296891259"/>
      <w:bookmarkStart w:id="1339" w:name="_Toc296347218"/>
      <w:bookmarkStart w:id="1340" w:name="_Toc296891047"/>
      <w:bookmarkStart w:id="1341" w:name="_Toc303539172"/>
      <w:bookmarkStart w:id="1342" w:name="_Toc297123564"/>
      <w:bookmarkStart w:id="1343" w:name="_Toc296503219"/>
      <w:r>
        <w:rPr>
          <w:rFonts w:hint="eastAsia" w:ascii="宋体" w:hAnsi="宋体" w:eastAsia="宋体" w:cs="宋体"/>
          <w:b/>
          <w:bCs/>
          <w:color w:val="auto"/>
          <w:kern w:val="44"/>
          <w:sz w:val="21"/>
          <w:szCs w:val="21"/>
          <w:highlight w:val="none"/>
        </w:rPr>
        <w:t>13. 验收</w:t>
      </w:r>
      <w:bookmarkEnd w:id="1325"/>
      <w:bookmarkEnd w:id="1326"/>
      <w:bookmarkEnd w:id="1327"/>
    </w:p>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14:paraId="5967AC01">
      <w:pPr>
        <w:keepNext/>
        <w:keepLines/>
        <w:spacing w:line="480" w:lineRule="exact"/>
        <w:ind w:firstLine="0" w:firstLineChars="0"/>
        <w:outlineLvl w:val="0"/>
        <w:rPr>
          <w:rFonts w:hint="eastAsia" w:ascii="宋体" w:hAnsi="宋体" w:eastAsia="宋体" w:cs="宋体"/>
          <w:b/>
          <w:bCs/>
          <w:color w:val="auto"/>
          <w:kern w:val="44"/>
          <w:sz w:val="21"/>
          <w:szCs w:val="21"/>
          <w:highlight w:val="none"/>
        </w:rPr>
      </w:pPr>
      <w:bookmarkStart w:id="1344" w:name="_Toc478389251"/>
      <w:bookmarkStart w:id="1345" w:name="_Toc417904337"/>
      <w:r>
        <w:rPr>
          <w:rFonts w:hint="eastAsia" w:ascii="宋体" w:hAnsi="宋体" w:eastAsia="宋体" w:cs="宋体"/>
          <w:b/>
          <w:bCs/>
          <w:color w:val="auto"/>
          <w:kern w:val="44"/>
          <w:sz w:val="21"/>
          <w:szCs w:val="21"/>
          <w:highlight w:val="none"/>
        </w:rPr>
        <w:t>13.1 分部分项工程验收</w:t>
      </w:r>
      <w:bookmarkEnd w:id="1344"/>
      <w:bookmarkEnd w:id="1345"/>
    </w:p>
    <w:p w14:paraId="793E8C16">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6F91189B">
      <w:pPr>
        <w:spacing w:line="480" w:lineRule="exact"/>
        <w:ind w:firstLine="42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rPr>
        <w:t>小时。</w:t>
      </w:r>
    </w:p>
    <w:p w14:paraId="2C69F2D0">
      <w:pPr>
        <w:keepNext/>
        <w:keepLines/>
        <w:spacing w:line="480" w:lineRule="exact"/>
        <w:ind w:firstLine="0" w:firstLineChars="0"/>
        <w:outlineLvl w:val="0"/>
        <w:rPr>
          <w:rFonts w:hint="eastAsia" w:ascii="宋体" w:hAnsi="宋体" w:eastAsia="宋体" w:cs="宋体"/>
          <w:b/>
          <w:bCs/>
          <w:color w:val="auto"/>
          <w:kern w:val="44"/>
          <w:sz w:val="21"/>
          <w:szCs w:val="21"/>
          <w:highlight w:val="none"/>
        </w:rPr>
      </w:pPr>
      <w:bookmarkStart w:id="1346" w:name="_Toc478389252"/>
      <w:bookmarkStart w:id="1347" w:name="_Toc417904338"/>
      <w:bookmarkStart w:id="1348" w:name="_Toc296503223"/>
      <w:bookmarkStart w:id="1349" w:name="_Toc296944562"/>
      <w:bookmarkStart w:id="1350" w:name="_Toc300935016"/>
      <w:bookmarkStart w:id="1351" w:name="_Toc296347222"/>
      <w:bookmarkStart w:id="1352" w:name="_Toc297216224"/>
      <w:bookmarkStart w:id="1353" w:name="_Toc297120523"/>
      <w:bookmarkStart w:id="1354" w:name="_Toc296891051"/>
      <w:bookmarkStart w:id="1355" w:name="_Toc297048409"/>
      <w:bookmarkStart w:id="1356" w:name="_Toc304295596"/>
      <w:bookmarkStart w:id="1357" w:name="_Toc312678056"/>
      <w:bookmarkStart w:id="1358" w:name="_Toc296891263"/>
      <w:bookmarkStart w:id="1359" w:name="_Toc292559428"/>
      <w:bookmarkStart w:id="1360" w:name="_Toc297123565"/>
      <w:bookmarkStart w:id="1361" w:name="_Toc296346724"/>
      <w:bookmarkStart w:id="1362" w:name="_Toc292559933"/>
      <w:bookmarkStart w:id="1363" w:name="_Toc303539173"/>
      <w:bookmarkStart w:id="1364" w:name="_Toc267251476"/>
      <w:bookmarkStart w:id="1365" w:name="_Toc267251470"/>
      <w:bookmarkStart w:id="1366" w:name="_Toc267251471"/>
      <w:bookmarkStart w:id="1367" w:name="_Toc267251474"/>
      <w:bookmarkStart w:id="1368" w:name="_Toc267251475"/>
      <w:bookmarkStart w:id="1369" w:name="_Toc267251472"/>
      <w:bookmarkStart w:id="1370" w:name="_Toc267251473"/>
      <w:r>
        <w:rPr>
          <w:rFonts w:hint="eastAsia" w:ascii="宋体" w:hAnsi="宋体" w:eastAsia="宋体" w:cs="宋体"/>
          <w:b/>
          <w:bCs/>
          <w:color w:val="auto"/>
          <w:kern w:val="44"/>
          <w:sz w:val="21"/>
          <w:szCs w:val="21"/>
          <w:highlight w:val="none"/>
        </w:rPr>
        <w:t>13.2 竣工验收</w:t>
      </w:r>
      <w:bookmarkEnd w:id="1346"/>
      <w:bookmarkEnd w:id="1347"/>
    </w:p>
    <w:p w14:paraId="7794DCD1">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13.2.1竣工验收条件</w:t>
      </w:r>
    </w:p>
    <w:p w14:paraId="24E8342A">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（3）承包人负责整理和提交的竣工验收资料应当符合工程所在地建设行政主管部门和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城市建设档案管理机构有关施工资料的要求，具体内容包括：</w:t>
      </w:r>
      <w:r>
        <w:rPr>
          <w:rFonts w:hint="eastAsia" w:ascii="宋体" w:hAnsi="宋体" w:eastAsia="宋体" w:cs="宋体"/>
          <w:color w:val="auto"/>
          <w:sz w:val="21"/>
          <w:szCs w:val="21"/>
          <w:highlight w:val="none"/>
          <w:u w:val="single"/>
        </w:rPr>
        <w:t>①工程具备竣工验收条件，承包人按工程竣工验收有关规定，向发包人提交符合城建档案馆归档要求内容装订成册的完整竣工资料及竣工验收报告、工程竣工图；②承包人所提交的竣工资料必须符合《建设工程文件归档整理规范》要求</w:t>
      </w:r>
      <w:r>
        <w:rPr>
          <w:rFonts w:hint="eastAsia" w:ascii="宋体" w:hAnsi="宋体" w:eastAsia="宋体" w:cs="宋体"/>
          <w:color w:val="auto"/>
          <w:sz w:val="21"/>
          <w:szCs w:val="21"/>
          <w:highlight w:val="none"/>
        </w:rPr>
        <w:t>。</w:t>
      </w:r>
    </w:p>
    <w:p w14:paraId="7B25FB02">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竣工验收资料的份数：</w:t>
      </w:r>
      <w:r>
        <w:rPr>
          <w:rFonts w:hint="eastAsia" w:ascii="宋体" w:hAnsi="宋体" w:eastAsia="宋体" w:cs="宋体"/>
          <w:color w:val="auto"/>
          <w:sz w:val="21"/>
          <w:szCs w:val="21"/>
          <w:highlight w:val="none"/>
          <w:u w:val="single"/>
        </w:rPr>
        <w:t xml:space="preserve">   4份     </w:t>
      </w:r>
      <w:r>
        <w:rPr>
          <w:rFonts w:hint="eastAsia" w:ascii="宋体" w:hAnsi="宋体" w:eastAsia="宋体" w:cs="宋体"/>
          <w:color w:val="auto"/>
          <w:sz w:val="21"/>
          <w:szCs w:val="21"/>
          <w:highlight w:val="none"/>
        </w:rPr>
        <w:t>。</w:t>
      </w:r>
    </w:p>
    <w:p w14:paraId="7B1B6E10">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承包人提供竣工图的约定：</w:t>
      </w:r>
      <w:r>
        <w:rPr>
          <w:rFonts w:hint="eastAsia" w:ascii="宋体" w:hAnsi="宋体" w:eastAsia="宋体" w:cs="宋体"/>
          <w:bCs/>
          <w:color w:val="auto"/>
          <w:sz w:val="21"/>
          <w:szCs w:val="21"/>
          <w:highlight w:val="none"/>
          <w:u w:val="single"/>
        </w:rPr>
        <w:t>竣工验收正式通过后5天（工程造价在500万元以下含500万元）、10天（工程造价在500万元至1000万元之间含1000万元）、15天（工程造价在1000万元以上），提供竣工图的数量6套。</w:t>
      </w:r>
    </w:p>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p w14:paraId="665A6335">
      <w:pPr>
        <w:spacing w:line="480" w:lineRule="exact"/>
        <w:ind w:firstLine="420"/>
        <w:rPr>
          <w:rFonts w:hint="eastAsia" w:ascii="宋体" w:hAnsi="宋体" w:eastAsia="宋体" w:cs="宋体"/>
          <w:color w:val="auto"/>
          <w:sz w:val="21"/>
          <w:szCs w:val="21"/>
          <w:highlight w:val="none"/>
        </w:rPr>
      </w:pPr>
      <w:bookmarkStart w:id="1371" w:name="_Toc280868704"/>
      <w:bookmarkStart w:id="1372" w:name="_Toc280868705"/>
      <w:bookmarkStart w:id="1373" w:name="_Toc280868706"/>
      <w:bookmarkStart w:id="1374" w:name="_Toc280868707"/>
      <w:bookmarkStart w:id="1375" w:name="_Toc280868708"/>
      <w:bookmarkStart w:id="1376" w:name="_Toc280868709"/>
      <w:r>
        <w:rPr>
          <w:rFonts w:hint="eastAsia" w:ascii="宋体" w:hAnsi="宋体" w:eastAsia="宋体" w:cs="宋体"/>
          <w:color w:val="auto"/>
          <w:sz w:val="21"/>
          <w:szCs w:val="21"/>
          <w:highlight w:val="none"/>
        </w:rPr>
        <w:t>13.2.2竣工验收程序</w:t>
      </w:r>
    </w:p>
    <w:bookmarkEnd w:id="1371"/>
    <w:p w14:paraId="349CCAC9">
      <w:pPr>
        <w:spacing w:line="480" w:lineRule="exact"/>
        <w:ind w:firstLine="42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按国家及地方规定和规范要求。</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承包人须</w:t>
      </w:r>
      <w:r>
        <w:rPr>
          <w:rFonts w:hint="eastAsia" w:ascii="宋体" w:hAnsi="宋体" w:eastAsia="宋体" w:cs="宋体"/>
          <w:color w:val="auto"/>
          <w:sz w:val="21"/>
          <w:szCs w:val="21"/>
          <w:highlight w:val="none"/>
          <w:u w:val="single"/>
        </w:rPr>
        <w:t>根据设计图纸要求</w:t>
      </w:r>
      <w:r>
        <w:rPr>
          <w:rFonts w:hint="eastAsia" w:ascii="宋体" w:hAnsi="宋体" w:eastAsia="宋体" w:cs="宋体"/>
          <w:color w:val="auto"/>
          <w:sz w:val="21"/>
          <w:szCs w:val="21"/>
          <w:highlight w:val="none"/>
          <w:u w:val="single"/>
          <w:lang w:eastAsia="zh-CN"/>
        </w:rPr>
        <w:t>进行施工</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发包人</w:t>
      </w:r>
      <w:r>
        <w:rPr>
          <w:rFonts w:hint="eastAsia" w:ascii="宋体" w:hAnsi="宋体" w:eastAsia="宋体" w:cs="宋体"/>
          <w:color w:val="auto"/>
          <w:sz w:val="21"/>
          <w:szCs w:val="21"/>
          <w:highlight w:val="none"/>
          <w:u w:val="single"/>
        </w:rPr>
        <w:t>可根据需要，由</w:t>
      </w:r>
      <w:r>
        <w:rPr>
          <w:rFonts w:hint="eastAsia" w:ascii="宋体" w:hAnsi="宋体" w:eastAsia="宋体" w:cs="宋体"/>
          <w:color w:val="auto"/>
          <w:sz w:val="21"/>
          <w:szCs w:val="21"/>
          <w:highlight w:val="none"/>
          <w:u w:val="single"/>
          <w:lang w:eastAsia="zh-CN"/>
        </w:rPr>
        <w:t>发包人</w:t>
      </w:r>
      <w:r>
        <w:rPr>
          <w:rFonts w:hint="eastAsia" w:ascii="宋体" w:hAnsi="宋体" w:eastAsia="宋体" w:cs="宋体"/>
          <w:color w:val="auto"/>
          <w:sz w:val="21"/>
          <w:szCs w:val="21"/>
          <w:highlight w:val="none"/>
          <w:u w:val="single"/>
        </w:rPr>
        <w:t>安排人员随机取样送第三方检测</w:t>
      </w:r>
      <w:r>
        <w:rPr>
          <w:rFonts w:hint="eastAsia" w:ascii="宋体" w:hAnsi="宋体" w:eastAsia="宋体" w:cs="宋体"/>
          <w:color w:val="auto"/>
          <w:sz w:val="21"/>
          <w:szCs w:val="21"/>
          <w:highlight w:val="none"/>
          <w:u w:val="single"/>
          <w:lang w:eastAsia="zh-CN"/>
        </w:rPr>
        <w:t>机构进行</w:t>
      </w:r>
      <w:r>
        <w:rPr>
          <w:rFonts w:hint="eastAsia" w:ascii="宋体" w:hAnsi="宋体" w:eastAsia="宋体" w:cs="宋体"/>
          <w:color w:val="auto"/>
          <w:sz w:val="21"/>
          <w:szCs w:val="21"/>
          <w:highlight w:val="none"/>
          <w:u w:val="single"/>
        </w:rPr>
        <w:t>检测</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检测合格</w:t>
      </w:r>
      <w:r>
        <w:rPr>
          <w:rFonts w:hint="eastAsia" w:ascii="宋体" w:hAnsi="宋体" w:eastAsia="宋体" w:cs="宋体"/>
          <w:color w:val="auto"/>
          <w:sz w:val="21"/>
          <w:szCs w:val="21"/>
          <w:highlight w:val="none"/>
          <w:u w:val="single"/>
          <w:lang w:eastAsia="zh-CN"/>
        </w:rPr>
        <w:t>的</w:t>
      </w:r>
      <w:r>
        <w:rPr>
          <w:rFonts w:hint="eastAsia" w:ascii="宋体" w:hAnsi="宋体" w:eastAsia="宋体" w:cs="宋体"/>
          <w:color w:val="auto"/>
          <w:sz w:val="21"/>
          <w:szCs w:val="21"/>
          <w:highlight w:val="none"/>
          <w:u w:val="single"/>
        </w:rPr>
        <w:t>，检测费用由</w:t>
      </w:r>
      <w:r>
        <w:rPr>
          <w:rFonts w:hint="eastAsia" w:ascii="宋体" w:hAnsi="宋体" w:eastAsia="宋体" w:cs="宋体"/>
          <w:color w:val="auto"/>
          <w:sz w:val="21"/>
          <w:szCs w:val="21"/>
          <w:highlight w:val="none"/>
          <w:u w:val="single"/>
          <w:lang w:eastAsia="zh-CN"/>
        </w:rPr>
        <w:t>发包人</w:t>
      </w:r>
      <w:r>
        <w:rPr>
          <w:rFonts w:hint="eastAsia" w:ascii="宋体" w:hAnsi="宋体" w:eastAsia="宋体" w:cs="宋体"/>
          <w:color w:val="auto"/>
          <w:sz w:val="21"/>
          <w:szCs w:val="21"/>
          <w:highlight w:val="none"/>
          <w:u w:val="single"/>
        </w:rPr>
        <w:t>支付；如检测结果不合格，检测费用由</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支付且</w:t>
      </w:r>
      <w:r>
        <w:rPr>
          <w:rFonts w:hint="eastAsia" w:ascii="宋体" w:hAnsi="宋体" w:eastAsia="宋体" w:cs="宋体"/>
          <w:color w:val="auto"/>
          <w:sz w:val="21"/>
          <w:szCs w:val="21"/>
          <w:highlight w:val="none"/>
          <w:u w:val="single"/>
          <w:lang w:eastAsia="zh-CN"/>
        </w:rPr>
        <w:t>承包人负责</w:t>
      </w:r>
      <w:r>
        <w:rPr>
          <w:rFonts w:hint="eastAsia" w:ascii="宋体" w:hAnsi="宋体" w:eastAsia="宋体" w:cs="宋体"/>
          <w:color w:val="auto"/>
          <w:sz w:val="21"/>
          <w:szCs w:val="21"/>
          <w:highlight w:val="none"/>
          <w:u w:val="single"/>
        </w:rPr>
        <w:t>整改至合格为止</w:t>
      </w:r>
      <w:r>
        <w:rPr>
          <w:rFonts w:hint="eastAsia" w:ascii="宋体" w:hAnsi="宋体" w:eastAsia="宋体" w:cs="宋体"/>
          <w:color w:val="auto"/>
          <w:sz w:val="21"/>
          <w:szCs w:val="21"/>
          <w:highlight w:val="none"/>
          <w:u w:val="single"/>
          <w:lang w:eastAsia="zh-CN"/>
        </w:rPr>
        <w:t>，所产生的费用由承包人自行承担</w:t>
      </w:r>
      <w:r>
        <w:rPr>
          <w:rFonts w:hint="eastAsia" w:ascii="宋体" w:hAnsi="宋体" w:eastAsia="宋体" w:cs="宋体"/>
          <w:color w:val="auto"/>
          <w:sz w:val="21"/>
          <w:szCs w:val="21"/>
          <w:highlight w:val="none"/>
          <w:u w:val="single"/>
        </w:rPr>
        <w:t>。</w:t>
      </w:r>
    </w:p>
    <w:p w14:paraId="7E1C5563">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无</w:t>
      </w:r>
      <w:r>
        <w:rPr>
          <w:rFonts w:hint="eastAsia" w:ascii="宋体" w:hAnsi="宋体" w:eastAsia="宋体" w:cs="宋体"/>
          <w:color w:val="auto"/>
          <w:sz w:val="21"/>
          <w:szCs w:val="21"/>
          <w:highlight w:val="none"/>
        </w:rPr>
        <w:t>。</w:t>
      </w:r>
    </w:p>
    <w:bookmarkEnd w:id="1372"/>
    <w:p w14:paraId="2004A509">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bookmarkEnd w:id="1373"/>
    <w:p w14:paraId="6D3C1DAA">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rPr>
        <w:t xml:space="preserve">  竣工验收后7天内   </w:t>
      </w:r>
      <w:r>
        <w:rPr>
          <w:rFonts w:hint="eastAsia" w:ascii="宋体" w:hAnsi="宋体" w:eastAsia="宋体" w:cs="宋体"/>
          <w:color w:val="auto"/>
          <w:sz w:val="21"/>
          <w:szCs w:val="21"/>
          <w:highlight w:val="none"/>
        </w:rPr>
        <w:t>。</w:t>
      </w:r>
    </w:p>
    <w:p w14:paraId="364AE2F7">
      <w:pPr>
        <w:spacing w:line="48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 xml:space="preserve"> 按延期工程造价万分之二，最高限额为延期工程造价2%　 </w:t>
      </w:r>
      <w:r>
        <w:rPr>
          <w:rFonts w:hint="eastAsia" w:ascii="宋体" w:hAnsi="宋体" w:eastAsia="宋体" w:cs="宋体"/>
          <w:color w:val="auto"/>
          <w:sz w:val="21"/>
          <w:szCs w:val="21"/>
          <w:highlight w:val="none"/>
        </w:rPr>
        <w:t>。</w:t>
      </w:r>
    </w:p>
    <w:bookmarkEnd w:id="1374"/>
    <w:p w14:paraId="71F20042">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 xml:space="preserve">按延期工程造价万分之四，最高限额为延期工程造价2%   </w:t>
      </w:r>
      <w:r>
        <w:rPr>
          <w:rFonts w:hint="eastAsia" w:ascii="宋体" w:hAnsi="宋体" w:eastAsia="宋体" w:cs="宋体"/>
          <w:color w:val="auto"/>
          <w:sz w:val="21"/>
          <w:szCs w:val="21"/>
          <w:highlight w:val="none"/>
        </w:rPr>
        <w:t>。</w:t>
      </w:r>
    </w:p>
    <w:bookmarkEnd w:id="1375"/>
    <w:p w14:paraId="6C00DEB5">
      <w:pPr>
        <w:keepNext/>
        <w:keepLines/>
        <w:spacing w:line="480" w:lineRule="exact"/>
        <w:ind w:firstLine="0" w:firstLineChars="0"/>
        <w:outlineLvl w:val="0"/>
        <w:rPr>
          <w:rFonts w:hint="eastAsia" w:ascii="宋体" w:hAnsi="宋体" w:eastAsia="宋体" w:cs="宋体"/>
          <w:b/>
          <w:bCs/>
          <w:color w:val="auto"/>
          <w:kern w:val="44"/>
          <w:sz w:val="21"/>
          <w:szCs w:val="21"/>
          <w:highlight w:val="none"/>
        </w:rPr>
      </w:pPr>
      <w:bookmarkStart w:id="1377" w:name="_Toc417904342"/>
      <w:bookmarkStart w:id="1378" w:name="_Toc478389253"/>
      <w:r>
        <w:rPr>
          <w:rFonts w:hint="eastAsia" w:ascii="宋体" w:hAnsi="宋体" w:eastAsia="宋体" w:cs="宋体"/>
          <w:b/>
          <w:bCs/>
          <w:color w:val="auto"/>
          <w:kern w:val="44"/>
          <w:sz w:val="21"/>
          <w:szCs w:val="21"/>
          <w:highlight w:val="none"/>
        </w:rPr>
        <w:t>13.6 竣工退场</w:t>
      </w:r>
      <w:bookmarkEnd w:id="1377"/>
      <w:bookmarkEnd w:id="1378"/>
    </w:p>
    <w:p w14:paraId="786CB3F8">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13.6.1 竣工退场</w:t>
      </w:r>
    </w:p>
    <w:p w14:paraId="7D4138C9">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sz w:val="21"/>
          <w:szCs w:val="21"/>
          <w:highlight w:val="none"/>
        </w:rPr>
        <w:t>承包人按照通用合同条款规定撤离施工场地（现场）时，监理人和承包人应当办理永久工程和施工场地移交手续，移交手续以书面方式出具，并分别经过发包人、监理人和承包人的签认。</w:t>
      </w:r>
    </w:p>
    <w:p w14:paraId="4A2C756C">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缺陷责任期满时，承包人可以继续在施工场地保留的人员和施工设备以及最终撤离的期限：</w:t>
      </w:r>
      <w:r>
        <w:rPr>
          <w:rFonts w:hint="eastAsia" w:ascii="宋体" w:hAnsi="宋体" w:eastAsia="宋体" w:cs="宋体"/>
          <w:color w:val="auto"/>
          <w:sz w:val="21"/>
          <w:szCs w:val="21"/>
          <w:highlight w:val="none"/>
          <w:u w:val="single"/>
        </w:rPr>
        <w:t xml:space="preserve">同通用条款 </w:t>
      </w:r>
      <w:r>
        <w:rPr>
          <w:rFonts w:hint="eastAsia" w:ascii="宋体" w:hAnsi="宋体" w:eastAsia="宋体" w:cs="宋体"/>
          <w:color w:val="auto"/>
          <w:sz w:val="21"/>
          <w:szCs w:val="21"/>
          <w:highlight w:val="none"/>
        </w:rPr>
        <w:t>。</w:t>
      </w:r>
    </w:p>
    <w:p w14:paraId="26A19A8F">
      <w:pPr>
        <w:keepNext/>
        <w:keepLines/>
        <w:spacing w:line="480" w:lineRule="exact"/>
        <w:ind w:firstLine="0" w:firstLineChars="0"/>
        <w:outlineLvl w:val="0"/>
        <w:rPr>
          <w:rFonts w:hint="eastAsia" w:ascii="宋体" w:hAnsi="宋体" w:eastAsia="宋体" w:cs="宋体"/>
          <w:b/>
          <w:bCs/>
          <w:color w:val="auto"/>
          <w:kern w:val="44"/>
          <w:sz w:val="21"/>
          <w:szCs w:val="21"/>
          <w:highlight w:val="none"/>
        </w:rPr>
      </w:pPr>
      <w:bookmarkStart w:id="1379" w:name="_Toc351203646"/>
      <w:bookmarkStart w:id="1380" w:name="_Toc478389254"/>
      <w:bookmarkStart w:id="1381" w:name="_Toc417904343"/>
      <w:r>
        <w:rPr>
          <w:rFonts w:hint="eastAsia" w:ascii="宋体" w:hAnsi="宋体" w:eastAsia="宋体" w:cs="宋体"/>
          <w:b/>
          <w:bCs/>
          <w:color w:val="auto"/>
          <w:kern w:val="44"/>
          <w:sz w:val="21"/>
          <w:szCs w:val="21"/>
          <w:highlight w:val="none"/>
        </w:rPr>
        <w:t>14. 竣工结算</w:t>
      </w:r>
      <w:bookmarkEnd w:id="1379"/>
      <w:bookmarkEnd w:id="1380"/>
      <w:bookmarkEnd w:id="1381"/>
    </w:p>
    <w:p w14:paraId="20B33020">
      <w:pPr>
        <w:keepNext/>
        <w:keepLines/>
        <w:spacing w:line="480" w:lineRule="exact"/>
        <w:ind w:firstLine="0" w:firstLineChars="0"/>
        <w:outlineLvl w:val="0"/>
        <w:rPr>
          <w:rFonts w:hint="eastAsia" w:ascii="宋体" w:hAnsi="宋体" w:eastAsia="宋体" w:cs="宋体"/>
          <w:b/>
          <w:bCs/>
          <w:color w:val="auto"/>
          <w:kern w:val="44"/>
          <w:sz w:val="21"/>
          <w:szCs w:val="21"/>
          <w:highlight w:val="none"/>
        </w:rPr>
      </w:pPr>
      <w:bookmarkStart w:id="1382" w:name="_Toc478389255"/>
      <w:bookmarkStart w:id="1383" w:name="_Toc417904344"/>
      <w:r>
        <w:rPr>
          <w:rFonts w:hint="eastAsia" w:ascii="宋体" w:hAnsi="宋体" w:eastAsia="宋体" w:cs="宋体"/>
          <w:b/>
          <w:bCs/>
          <w:color w:val="auto"/>
          <w:kern w:val="44"/>
          <w:sz w:val="21"/>
          <w:szCs w:val="21"/>
          <w:highlight w:val="none"/>
        </w:rPr>
        <w:t>14.1 竣工结算申请</w:t>
      </w:r>
      <w:bookmarkEnd w:id="1382"/>
      <w:bookmarkEnd w:id="1383"/>
    </w:p>
    <w:p w14:paraId="1549FCBE">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sz w:val="21"/>
          <w:szCs w:val="21"/>
          <w:highlight w:val="none"/>
          <w:u w:val="single"/>
        </w:rPr>
        <w:t xml:space="preserve">  28天内 </w:t>
      </w:r>
      <w:r>
        <w:rPr>
          <w:rFonts w:hint="eastAsia" w:ascii="宋体" w:hAnsi="宋体" w:eastAsia="宋体" w:cs="宋体"/>
          <w:color w:val="auto"/>
          <w:sz w:val="21"/>
          <w:szCs w:val="21"/>
          <w:highlight w:val="none"/>
        </w:rPr>
        <w:t>。</w:t>
      </w:r>
    </w:p>
    <w:p w14:paraId="5271B294">
      <w:pPr>
        <w:spacing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sz w:val="21"/>
          <w:szCs w:val="21"/>
          <w:highlight w:val="none"/>
          <w:u w:val="single"/>
        </w:rPr>
        <w:t xml:space="preserve">    已竣工完成的工程量  </w:t>
      </w:r>
      <w:r>
        <w:rPr>
          <w:rFonts w:hint="eastAsia" w:ascii="宋体" w:hAnsi="宋体" w:eastAsia="宋体" w:cs="宋体"/>
          <w:color w:val="auto"/>
          <w:sz w:val="21"/>
          <w:szCs w:val="21"/>
          <w:highlight w:val="none"/>
        </w:rPr>
        <w:t>。</w:t>
      </w:r>
    </w:p>
    <w:p w14:paraId="6EDCC263">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384" w:name="_Toc478389256"/>
      <w:bookmarkStart w:id="1385" w:name="_Toc417904345"/>
      <w:r>
        <w:rPr>
          <w:rFonts w:hint="eastAsia" w:ascii="宋体" w:hAnsi="宋体" w:eastAsia="宋体" w:cs="宋体"/>
          <w:b/>
          <w:bCs/>
          <w:color w:val="auto"/>
          <w:kern w:val="44"/>
          <w:sz w:val="21"/>
          <w:szCs w:val="21"/>
          <w:highlight w:val="none"/>
        </w:rPr>
        <w:t>14.2 竣工结算审核</w:t>
      </w:r>
      <w:bookmarkEnd w:id="1384"/>
      <w:bookmarkEnd w:id="1385"/>
    </w:p>
    <w:p w14:paraId="261A3C03">
      <w:pPr>
        <w:spacing w:line="39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（1）本工程最终竣工结算需报审计部门审定，承包人所编制的工程竣工资料经发包人审核后，送到审计部门之日起，承包人所遗漏的与工程造价有关的资料不再作为结算审核依据，按自动放弃处理。</w:t>
      </w:r>
    </w:p>
    <w:p w14:paraId="577D163B">
      <w:pPr>
        <w:spacing w:line="39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（2）如承包人报送的工程结算总价过高，造成该结算审减率超过6%以上的，则超出6%以上部分的审核费由承包人承担，费用由发包人从承包人工程结算款中扣除。审减率=（送审造价-审定造价）/送审造价*100%。</w:t>
      </w:r>
    </w:p>
    <w:p w14:paraId="74CAB8C9">
      <w:pPr>
        <w:spacing w:line="39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（3）发包人竣工结算报告审查时间</w:t>
      </w:r>
    </w:p>
    <w:tbl>
      <w:tblPr>
        <w:tblStyle w:val="48"/>
        <w:tblW w:w="0" w:type="auto"/>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2835"/>
        <w:gridCol w:w="5245"/>
      </w:tblGrid>
      <w:tr w14:paraId="5A23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201FF1AE">
            <w:pPr>
              <w:spacing w:line="390" w:lineRule="exact"/>
              <w:ind w:right="-120" w:rightChars="-50" w:firstLine="0" w:firstLineChars="0"/>
              <w:rPr>
                <w:rFonts w:hint="eastAsia" w:ascii="宋体" w:hAnsi="宋体" w:eastAsia="宋体" w:cs="宋体"/>
                <w:bCs/>
                <w:color w:val="auto"/>
                <w:sz w:val="21"/>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4876107">
            <w:pPr>
              <w:spacing w:line="390" w:lineRule="exact"/>
              <w:ind w:right="-120" w:rightChars="-50"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工程竣工结算报告金额</w:t>
            </w:r>
          </w:p>
        </w:tc>
        <w:tc>
          <w:tcPr>
            <w:tcW w:w="5245" w:type="dxa"/>
            <w:tcBorders>
              <w:top w:val="single" w:color="auto" w:sz="4" w:space="0"/>
              <w:left w:val="single" w:color="auto" w:sz="4" w:space="0"/>
              <w:bottom w:val="single" w:color="auto" w:sz="4" w:space="0"/>
              <w:right w:val="single" w:color="auto" w:sz="4" w:space="0"/>
            </w:tcBorders>
          </w:tcPr>
          <w:p w14:paraId="58A20197">
            <w:pPr>
              <w:spacing w:line="390" w:lineRule="exact"/>
              <w:ind w:right="-120" w:rightChars="-50"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发包人审查时间</w:t>
            </w:r>
          </w:p>
        </w:tc>
      </w:tr>
      <w:tr w14:paraId="5FE6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2B532222">
            <w:pPr>
              <w:spacing w:line="390" w:lineRule="exact"/>
              <w:ind w:right="-120" w:rightChars="-5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2835" w:type="dxa"/>
            <w:tcBorders>
              <w:top w:val="single" w:color="auto" w:sz="4" w:space="0"/>
              <w:left w:val="single" w:color="auto" w:sz="4" w:space="0"/>
              <w:bottom w:val="single" w:color="auto" w:sz="4" w:space="0"/>
              <w:right w:val="single" w:color="auto" w:sz="4" w:space="0"/>
            </w:tcBorders>
          </w:tcPr>
          <w:p w14:paraId="2F513111">
            <w:pPr>
              <w:spacing w:line="390" w:lineRule="exact"/>
              <w:ind w:right="-120" w:rightChars="-50"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500万元以下</w:t>
            </w:r>
          </w:p>
        </w:tc>
        <w:tc>
          <w:tcPr>
            <w:tcW w:w="5245" w:type="dxa"/>
            <w:tcBorders>
              <w:top w:val="single" w:color="auto" w:sz="4" w:space="0"/>
              <w:left w:val="single" w:color="auto" w:sz="4" w:space="0"/>
              <w:bottom w:val="single" w:color="auto" w:sz="4" w:space="0"/>
              <w:right w:val="single" w:color="auto" w:sz="4" w:space="0"/>
            </w:tcBorders>
          </w:tcPr>
          <w:p w14:paraId="58D4344A">
            <w:pPr>
              <w:spacing w:line="390" w:lineRule="exact"/>
              <w:ind w:right="-120" w:rightChars="-50"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从接到竣工结算报告和完整的竣工结算资料之日起20天</w:t>
            </w:r>
          </w:p>
        </w:tc>
      </w:tr>
      <w:tr w14:paraId="6EC8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34C39728">
            <w:pPr>
              <w:spacing w:line="390" w:lineRule="exact"/>
              <w:ind w:right="-120" w:rightChars="-5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2835" w:type="dxa"/>
            <w:tcBorders>
              <w:top w:val="single" w:color="auto" w:sz="4" w:space="0"/>
              <w:left w:val="single" w:color="auto" w:sz="4" w:space="0"/>
              <w:bottom w:val="single" w:color="auto" w:sz="4" w:space="0"/>
              <w:right w:val="single" w:color="auto" w:sz="4" w:space="0"/>
            </w:tcBorders>
          </w:tcPr>
          <w:p w14:paraId="4E8AAE20">
            <w:pPr>
              <w:spacing w:line="390" w:lineRule="exact"/>
              <w:ind w:right="-120" w:rightChars="-50"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500万元-2000万元</w:t>
            </w:r>
          </w:p>
        </w:tc>
        <w:tc>
          <w:tcPr>
            <w:tcW w:w="5245" w:type="dxa"/>
            <w:tcBorders>
              <w:top w:val="single" w:color="auto" w:sz="4" w:space="0"/>
              <w:left w:val="single" w:color="auto" w:sz="4" w:space="0"/>
              <w:bottom w:val="single" w:color="auto" w:sz="4" w:space="0"/>
              <w:right w:val="single" w:color="auto" w:sz="4" w:space="0"/>
            </w:tcBorders>
          </w:tcPr>
          <w:p w14:paraId="3946DE3D">
            <w:pPr>
              <w:spacing w:line="390" w:lineRule="exact"/>
              <w:ind w:right="-120" w:rightChars="-50"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从接到竣工结算报告和完整的竣工结算资料之日起30天</w:t>
            </w:r>
          </w:p>
        </w:tc>
      </w:tr>
      <w:tr w14:paraId="2257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1F740644">
            <w:pPr>
              <w:spacing w:line="390" w:lineRule="exact"/>
              <w:ind w:right="-120" w:rightChars="-5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2835" w:type="dxa"/>
            <w:tcBorders>
              <w:top w:val="single" w:color="auto" w:sz="4" w:space="0"/>
              <w:left w:val="single" w:color="auto" w:sz="4" w:space="0"/>
              <w:bottom w:val="single" w:color="auto" w:sz="4" w:space="0"/>
              <w:right w:val="single" w:color="auto" w:sz="4" w:space="0"/>
            </w:tcBorders>
          </w:tcPr>
          <w:p w14:paraId="41211494">
            <w:pPr>
              <w:spacing w:line="390" w:lineRule="exact"/>
              <w:ind w:right="-120" w:rightChars="-50"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2000万元-5000万元</w:t>
            </w:r>
          </w:p>
        </w:tc>
        <w:tc>
          <w:tcPr>
            <w:tcW w:w="5245" w:type="dxa"/>
            <w:tcBorders>
              <w:top w:val="single" w:color="auto" w:sz="4" w:space="0"/>
              <w:left w:val="single" w:color="auto" w:sz="4" w:space="0"/>
              <w:bottom w:val="single" w:color="auto" w:sz="4" w:space="0"/>
              <w:right w:val="single" w:color="auto" w:sz="4" w:space="0"/>
            </w:tcBorders>
          </w:tcPr>
          <w:p w14:paraId="2D1F3C3F">
            <w:pPr>
              <w:spacing w:line="390" w:lineRule="exact"/>
              <w:ind w:right="-120" w:rightChars="-50"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从接到竣工结算报告和完整的竣工结算资料之日起45天</w:t>
            </w:r>
          </w:p>
        </w:tc>
      </w:tr>
      <w:tr w14:paraId="6354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7F7A8CFC">
            <w:pPr>
              <w:spacing w:line="390" w:lineRule="exact"/>
              <w:ind w:right="-120" w:rightChars="-5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2835" w:type="dxa"/>
            <w:tcBorders>
              <w:top w:val="single" w:color="auto" w:sz="4" w:space="0"/>
              <w:left w:val="single" w:color="auto" w:sz="4" w:space="0"/>
              <w:bottom w:val="single" w:color="auto" w:sz="4" w:space="0"/>
              <w:right w:val="single" w:color="auto" w:sz="4" w:space="0"/>
            </w:tcBorders>
          </w:tcPr>
          <w:p w14:paraId="1B7F9410">
            <w:pPr>
              <w:spacing w:line="390" w:lineRule="exact"/>
              <w:ind w:right="-120" w:rightChars="-50"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5000万元以上</w:t>
            </w:r>
          </w:p>
        </w:tc>
        <w:tc>
          <w:tcPr>
            <w:tcW w:w="5245" w:type="dxa"/>
            <w:tcBorders>
              <w:top w:val="single" w:color="auto" w:sz="4" w:space="0"/>
              <w:left w:val="single" w:color="auto" w:sz="4" w:space="0"/>
              <w:bottom w:val="single" w:color="auto" w:sz="4" w:space="0"/>
              <w:right w:val="single" w:color="auto" w:sz="4" w:space="0"/>
            </w:tcBorders>
          </w:tcPr>
          <w:p w14:paraId="085FEEAD">
            <w:pPr>
              <w:spacing w:line="390" w:lineRule="exact"/>
              <w:ind w:right="-120" w:rightChars="-50"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从接到竣工结算报告和完整的竣工结算资料之日起60天</w:t>
            </w:r>
          </w:p>
        </w:tc>
      </w:tr>
    </w:tbl>
    <w:p w14:paraId="2B7EE49C">
      <w:pPr>
        <w:spacing w:line="420" w:lineRule="exact"/>
        <w:ind w:firstLine="420"/>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rPr>
        <w:t>因承包人提供的结算资料不完整而需要补充或承包人不按时对账耽误时间时，审查时间应相应顺延；</w:t>
      </w:r>
    </w:p>
    <w:p w14:paraId="3E150D1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sz w:val="21"/>
          <w:szCs w:val="21"/>
          <w:highlight w:val="none"/>
          <w:u w:val="single"/>
        </w:rPr>
        <w:t xml:space="preserve">      承包人提出书面申请14天内   </w:t>
      </w:r>
      <w:r>
        <w:rPr>
          <w:rFonts w:hint="eastAsia" w:ascii="宋体" w:hAnsi="宋体" w:eastAsia="宋体" w:cs="宋体"/>
          <w:color w:val="auto"/>
          <w:sz w:val="21"/>
          <w:szCs w:val="21"/>
          <w:highlight w:val="none"/>
        </w:rPr>
        <w:t>。</w:t>
      </w:r>
    </w:p>
    <w:p w14:paraId="48A3EBB8">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 xml:space="preserve">          承包人提出书面申请14天内　    </w:t>
      </w:r>
      <w:r>
        <w:rPr>
          <w:rFonts w:hint="eastAsia" w:ascii="宋体" w:hAnsi="宋体" w:eastAsia="宋体" w:cs="宋体"/>
          <w:color w:val="auto"/>
          <w:sz w:val="21"/>
          <w:szCs w:val="21"/>
          <w:highlight w:val="none"/>
        </w:rPr>
        <w:t>。</w:t>
      </w:r>
    </w:p>
    <w:p w14:paraId="5396CCC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关于竣工付款证书异议部分复核的方式和程序：</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14:paraId="5B3BE84E">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386" w:name="_Toc478389257"/>
      <w:bookmarkStart w:id="1387" w:name="_Toc417904346"/>
      <w:r>
        <w:rPr>
          <w:rFonts w:hint="eastAsia" w:ascii="宋体" w:hAnsi="宋体" w:eastAsia="宋体" w:cs="宋体"/>
          <w:b/>
          <w:bCs/>
          <w:color w:val="auto"/>
          <w:kern w:val="44"/>
          <w:sz w:val="21"/>
          <w:szCs w:val="21"/>
          <w:highlight w:val="none"/>
        </w:rPr>
        <w:t>14.4 最终结清</w:t>
      </w:r>
      <w:bookmarkEnd w:id="1386"/>
      <w:bookmarkEnd w:id="1387"/>
    </w:p>
    <w:p w14:paraId="244BE0A3">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14.4.1 最终结清申请单</w:t>
      </w:r>
    </w:p>
    <w:p w14:paraId="0DF5A110">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四份   </w:t>
      </w:r>
      <w:r>
        <w:rPr>
          <w:rFonts w:hint="eastAsia" w:ascii="宋体" w:hAnsi="宋体" w:eastAsia="宋体" w:cs="宋体"/>
          <w:color w:val="auto"/>
          <w:sz w:val="21"/>
          <w:szCs w:val="21"/>
          <w:highlight w:val="none"/>
        </w:rPr>
        <w:t>。</w:t>
      </w:r>
    </w:p>
    <w:p w14:paraId="2330A01B">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承包人提交最终结算申请单的期限：</w:t>
      </w:r>
      <w:r>
        <w:rPr>
          <w:rFonts w:hint="eastAsia" w:ascii="宋体" w:hAnsi="宋体" w:eastAsia="宋体" w:cs="宋体"/>
          <w:color w:val="auto"/>
          <w:sz w:val="21"/>
          <w:szCs w:val="21"/>
          <w:highlight w:val="none"/>
          <w:u w:val="single"/>
        </w:rPr>
        <w:t xml:space="preserve">   从接到竣工结算报告14天内    。 </w:t>
      </w:r>
    </w:p>
    <w:p w14:paraId="1B7AF59E">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572D5EA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 xml:space="preserve">承包人提出书面申请14天内  </w:t>
      </w:r>
      <w:r>
        <w:rPr>
          <w:rFonts w:hint="eastAsia" w:ascii="宋体" w:hAnsi="宋体" w:eastAsia="宋体" w:cs="宋体"/>
          <w:color w:val="auto"/>
          <w:sz w:val="21"/>
          <w:szCs w:val="21"/>
          <w:highlight w:val="none"/>
        </w:rPr>
        <w:t>。</w:t>
      </w:r>
    </w:p>
    <w:p w14:paraId="0295059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r>
        <w:rPr>
          <w:rFonts w:hint="eastAsia" w:ascii="宋体" w:hAnsi="宋体" w:eastAsia="宋体" w:cs="宋体"/>
          <w:color w:val="auto"/>
          <w:sz w:val="21"/>
          <w:szCs w:val="21"/>
          <w:highlight w:val="none"/>
          <w:u w:val="single"/>
        </w:rPr>
        <w:t xml:space="preserve">  承包人提出书面申请14天内    </w:t>
      </w:r>
      <w:r>
        <w:rPr>
          <w:rFonts w:hint="eastAsia" w:ascii="宋体" w:hAnsi="宋体" w:eastAsia="宋体" w:cs="宋体"/>
          <w:color w:val="auto"/>
          <w:sz w:val="21"/>
          <w:szCs w:val="21"/>
          <w:highlight w:val="none"/>
        </w:rPr>
        <w:t>。</w:t>
      </w:r>
    </w:p>
    <w:bookmarkEnd w:id="1364"/>
    <w:bookmarkEnd w:id="1365"/>
    <w:bookmarkEnd w:id="1366"/>
    <w:bookmarkEnd w:id="1367"/>
    <w:bookmarkEnd w:id="1368"/>
    <w:bookmarkEnd w:id="1369"/>
    <w:bookmarkEnd w:id="1370"/>
    <w:bookmarkEnd w:id="1376"/>
    <w:p w14:paraId="2A04FC74">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388" w:name="_Toc351203647"/>
      <w:bookmarkStart w:id="1389" w:name="_Toc478389258"/>
      <w:bookmarkStart w:id="1390" w:name="_Toc417904347"/>
      <w:bookmarkStart w:id="1391" w:name="_Toc267251483"/>
      <w:bookmarkStart w:id="1392" w:name="_Toc267251484"/>
      <w:bookmarkStart w:id="1393" w:name="_Toc267251482"/>
      <w:bookmarkStart w:id="1394" w:name="_Toc267251485"/>
      <w:bookmarkStart w:id="1395" w:name="_Toc267251488"/>
      <w:bookmarkStart w:id="1396" w:name="_Toc267251490"/>
      <w:bookmarkStart w:id="1397" w:name="_Toc267251489"/>
      <w:bookmarkStart w:id="1398" w:name="_Toc267251486"/>
      <w:bookmarkStart w:id="1399" w:name="_Toc267251494"/>
      <w:bookmarkStart w:id="1400" w:name="_Toc267251499"/>
      <w:bookmarkStart w:id="1401" w:name="_Toc267251491"/>
      <w:bookmarkStart w:id="1402" w:name="_Toc267251496"/>
      <w:bookmarkStart w:id="1403" w:name="_Toc267251501"/>
      <w:bookmarkStart w:id="1404" w:name="_Toc267251493"/>
      <w:bookmarkStart w:id="1405" w:name="_Toc267251492"/>
      <w:bookmarkStart w:id="1406" w:name="_Toc267251502"/>
      <w:bookmarkStart w:id="1407" w:name="_Toc267251503"/>
      <w:bookmarkStart w:id="1408" w:name="_Toc267251498"/>
      <w:bookmarkStart w:id="1409" w:name="_Toc267251497"/>
      <w:bookmarkStart w:id="1410" w:name="_Toc267251495"/>
      <w:bookmarkStart w:id="1411" w:name="_Toc267251504"/>
      <w:bookmarkStart w:id="1412" w:name="_Toc267251506"/>
      <w:bookmarkStart w:id="1413" w:name="_Toc267251507"/>
      <w:bookmarkStart w:id="1414" w:name="_Toc267251508"/>
      <w:bookmarkStart w:id="1415" w:name="_Toc267251515"/>
      <w:bookmarkStart w:id="1416" w:name="_Toc267251509"/>
      <w:bookmarkStart w:id="1417" w:name="_Toc267251511"/>
      <w:bookmarkStart w:id="1418" w:name="_Toc267251513"/>
      <w:bookmarkStart w:id="1419" w:name="_Toc267251514"/>
      <w:bookmarkStart w:id="1420" w:name="_Toc267251510"/>
      <w:r>
        <w:rPr>
          <w:rFonts w:hint="eastAsia" w:ascii="宋体" w:hAnsi="宋体" w:eastAsia="宋体" w:cs="宋体"/>
          <w:b/>
          <w:bCs/>
          <w:color w:val="auto"/>
          <w:kern w:val="44"/>
          <w:sz w:val="21"/>
          <w:szCs w:val="21"/>
          <w:highlight w:val="none"/>
        </w:rPr>
        <w:t>15. 缺陷责任期与保修</w:t>
      </w:r>
      <w:bookmarkEnd w:id="1388"/>
      <w:bookmarkEnd w:id="1389"/>
      <w:bookmarkEnd w:id="1390"/>
    </w:p>
    <w:p w14:paraId="1C55AC43">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421" w:name="_Toc478389259"/>
      <w:bookmarkStart w:id="1422" w:name="_Toc417904348"/>
      <w:r>
        <w:rPr>
          <w:rFonts w:hint="eastAsia" w:ascii="宋体" w:hAnsi="宋体" w:eastAsia="宋体" w:cs="宋体"/>
          <w:b/>
          <w:bCs/>
          <w:color w:val="auto"/>
          <w:kern w:val="44"/>
          <w:sz w:val="21"/>
          <w:szCs w:val="21"/>
          <w:highlight w:val="none"/>
        </w:rPr>
        <w:t>15.2缺陷责任期</w:t>
      </w:r>
      <w:bookmarkEnd w:id="1391"/>
      <w:bookmarkEnd w:id="1421"/>
      <w:bookmarkEnd w:id="1422"/>
    </w:p>
    <w:p w14:paraId="1DBE40B6">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2年</w:t>
      </w:r>
    </w:p>
    <w:p w14:paraId="26C54CB4">
      <w:pPr>
        <w:keepNext/>
        <w:keepLines/>
        <w:spacing w:line="420" w:lineRule="exact"/>
        <w:ind w:firstLine="0" w:firstLineChars="0"/>
        <w:outlineLvl w:val="0"/>
        <w:rPr>
          <w:rFonts w:hint="eastAsia" w:ascii="宋体" w:hAnsi="宋体" w:eastAsia="宋体" w:cs="宋体"/>
          <w:b/>
          <w:bCs/>
          <w:color w:val="auto"/>
          <w:kern w:val="44"/>
          <w:sz w:val="21"/>
          <w:szCs w:val="21"/>
          <w:highlight w:val="none"/>
        </w:rPr>
      </w:pPr>
      <w:bookmarkStart w:id="1423" w:name="_Toc478389260"/>
      <w:bookmarkStart w:id="1424" w:name="_Toc417904349"/>
      <w:r>
        <w:rPr>
          <w:rFonts w:hint="eastAsia" w:ascii="宋体" w:hAnsi="宋体" w:eastAsia="宋体" w:cs="宋体"/>
          <w:b/>
          <w:bCs/>
          <w:color w:val="auto"/>
          <w:kern w:val="44"/>
          <w:sz w:val="21"/>
          <w:szCs w:val="21"/>
          <w:highlight w:val="none"/>
        </w:rPr>
        <w:t>15.3 质量保证金</w:t>
      </w:r>
      <w:bookmarkEnd w:id="1423"/>
      <w:bookmarkEnd w:id="1424"/>
    </w:p>
    <w:p w14:paraId="7A1C4CE9">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ABF775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14:paraId="0E51FF47">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种方式：</w:t>
      </w:r>
    </w:p>
    <w:p w14:paraId="7ABB02E2">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（1）质量保证金保函，保证金额为：</w:t>
      </w:r>
      <w:r>
        <w:rPr>
          <w:rFonts w:hint="eastAsia" w:ascii="宋体" w:hAnsi="宋体" w:eastAsia="宋体" w:cs="宋体"/>
          <w:bCs/>
          <w:color w:val="auto"/>
          <w:sz w:val="21"/>
          <w:szCs w:val="21"/>
          <w:highlight w:val="none"/>
          <w:u w:val="single"/>
        </w:rPr>
        <w:t>/</w:t>
      </w:r>
      <w:r>
        <w:rPr>
          <w:rFonts w:hint="eastAsia" w:ascii="宋体" w:hAnsi="宋体" w:eastAsia="宋体" w:cs="宋体"/>
          <w:color w:val="auto"/>
          <w:sz w:val="21"/>
          <w:szCs w:val="21"/>
          <w:highlight w:val="none"/>
        </w:rPr>
        <w:t xml:space="preserve">； </w:t>
      </w:r>
    </w:p>
    <w:p w14:paraId="736A8BDD">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（2）预留</w:t>
      </w:r>
      <w:r>
        <w:rPr>
          <w:rFonts w:hint="eastAsia" w:ascii="宋体" w:hAnsi="宋体" w:eastAsia="宋体" w:cs="宋体"/>
          <w:b w:val="0"/>
          <w:bCs/>
          <w:color w:val="auto"/>
          <w:sz w:val="21"/>
          <w:szCs w:val="21"/>
          <w:highlight w:val="none"/>
          <w:lang w:eastAsia="zh-CN"/>
        </w:rPr>
        <w:t>结算价</w:t>
      </w:r>
      <w:r>
        <w:rPr>
          <w:rFonts w:hint="eastAsia" w:ascii="宋体" w:hAnsi="宋体" w:eastAsia="宋体" w:cs="宋体"/>
          <w:b w:val="0"/>
          <w:bCs/>
          <w:color w:val="auto"/>
          <w:sz w:val="21"/>
          <w:szCs w:val="21"/>
          <w:highlight w:val="none"/>
        </w:rPr>
        <w:t>的3%作为</w:t>
      </w:r>
      <w:r>
        <w:rPr>
          <w:rFonts w:hint="eastAsia" w:ascii="宋体" w:hAnsi="宋体" w:eastAsia="宋体" w:cs="宋体"/>
          <w:b w:val="0"/>
          <w:bCs/>
          <w:color w:val="auto"/>
          <w:sz w:val="21"/>
          <w:szCs w:val="21"/>
          <w:highlight w:val="none"/>
          <w:lang w:eastAsia="zh-CN"/>
        </w:rPr>
        <w:t>质量保证金</w:t>
      </w:r>
      <w:r>
        <w:rPr>
          <w:rFonts w:hint="eastAsia" w:ascii="宋体" w:hAnsi="宋体" w:eastAsia="宋体" w:cs="宋体"/>
          <w:b w:val="0"/>
          <w:bCs/>
          <w:color w:val="auto"/>
          <w:sz w:val="21"/>
          <w:szCs w:val="21"/>
          <w:highlight w:val="none"/>
        </w:rPr>
        <w:t>待</w:t>
      </w:r>
      <w:r>
        <w:rPr>
          <w:rFonts w:hint="eastAsia" w:ascii="宋体" w:hAnsi="宋体" w:eastAsia="宋体" w:cs="宋体"/>
          <w:b w:val="0"/>
          <w:bCs/>
          <w:color w:val="auto"/>
          <w:sz w:val="21"/>
          <w:szCs w:val="21"/>
          <w:highlight w:val="none"/>
          <w:lang w:eastAsia="zh-CN"/>
        </w:rPr>
        <w:t>缺陷责任期</w:t>
      </w:r>
      <w:r>
        <w:rPr>
          <w:rFonts w:hint="eastAsia" w:ascii="宋体" w:hAnsi="宋体" w:eastAsia="宋体" w:cs="宋体"/>
          <w:b w:val="0"/>
          <w:bCs/>
          <w:color w:val="auto"/>
          <w:sz w:val="21"/>
          <w:szCs w:val="21"/>
          <w:highlight w:val="none"/>
        </w:rPr>
        <w:t>满后一次性支付</w:t>
      </w:r>
      <w:r>
        <w:rPr>
          <w:rFonts w:hint="eastAsia" w:ascii="宋体" w:hAnsi="宋体" w:eastAsia="宋体" w:cs="宋体"/>
          <w:b w:val="0"/>
          <w:bCs/>
          <w:color w:val="auto"/>
          <w:sz w:val="21"/>
          <w:szCs w:val="21"/>
          <w:highlight w:val="none"/>
          <w:lang w:eastAsia="zh-CN"/>
        </w:rPr>
        <w:t>（无息）</w:t>
      </w:r>
      <w:r>
        <w:rPr>
          <w:rFonts w:hint="eastAsia" w:ascii="宋体" w:hAnsi="宋体" w:eastAsia="宋体" w:cs="宋体"/>
          <w:color w:val="auto"/>
          <w:sz w:val="21"/>
          <w:szCs w:val="21"/>
          <w:highlight w:val="none"/>
        </w:rPr>
        <w:t>；</w:t>
      </w:r>
    </w:p>
    <w:p w14:paraId="59848F8D">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（3）其他方式:</w:t>
      </w:r>
      <w:r>
        <w:rPr>
          <w:rFonts w:hint="eastAsia" w:ascii="宋体" w:hAnsi="宋体" w:eastAsia="宋体" w:cs="宋体"/>
          <w:bCs/>
          <w:color w:val="auto"/>
          <w:sz w:val="21"/>
          <w:szCs w:val="21"/>
          <w:highlight w:val="none"/>
          <w:u w:val="single"/>
        </w:rPr>
        <w:t>/</w:t>
      </w:r>
      <w:r>
        <w:rPr>
          <w:rFonts w:hint="eastAsia" w:ascii="宋体" w:hAnsi="宋体" w:eastAsia="宋体" w:cs="宋体"/>
          <w:color w:val="auto"/>
          <w:sz w:val="21"/>
          <w:szCs w:val="21"/>
          <w:highlight w:val="none"/>
        </w:rPr>
        <w:t>。</w:t>
      </w:r>
    </w:p>
    <w:p w14:paraId="4D83EE3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15.3.2 质量保证金的扣留 </w:t>
      </w:r>
    </w:p>
    <w:p w14:paraId="59566D39">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（2） </w:t>
      </w:r>
      <w:r>
        <w:rPr>
          <w:rFonts w:hint="eastAsia" w:ascii="宋体" w:hAnsi="宋体" w:eastAsia="宋体" w:cs="宋体"/>
          <w:color w:val="auto"/>
          <w:sz w:val="21"/>
          <w:szCs w:val="21"/>
          <w:highlight w:val="none"/>
        </w:rPr>
        <w:t>种方式：</w:t>
      </w:r>
    </w:p>
    <w:p w14:paraId="63A91B3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（1）在支付工程进度款时逐次扣留，在此情形下，质量保证金的计算基数不包括预付款的支付、扣回以及价格调整的金额；</w:t>
      </w:r>
    </w:p>
    <w:p w14:paraId="69860251">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（2）工程竣工结算时一次性扣留质量保证金；</w:t>
      </w:r>
    </w:p>
    <w:p w14:paraId="5513C87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72FF9FA1">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关于质量保证金的补充约定：</w:t>
      </w:r>
    </w:p>
    <w:p w14:paraId="539BC81E">
      <w:pPr>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w:t>
      </w:r>
    </w:p>
    <w:bookmarkEnd w:id="1392"/>
    <w:bookmarkEnd w:id="1393"/>
    <w:p w14:paraId="1A58FEA4">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1425" w:name="_Toc478389261"/>
      <w:bookmarkStart w:id="1426" w:name="_Toc417904350"/>
      <w:r>
        <w:rPr>
          <w:rFonts w:hint="eastAsia" w:ascii="宋体" w:hAnsi="宋体" w:eastAsia="宋体" w:cs="宋体"/>
          <w:b/>
          <w:bCs/>
          <w:color w:val="auto"/>
          <w:kern w:val="44"/>
          <w:sz w:val="21"/>
          <w:szCs w:val="21"/>
          <w:highlight w:val="none"/>
        </w:rPr>
        <w:t>15.4保修</w:t>
      </w:r>
      <w:bookmarkEnd w:id="1425"/>
      <w:bookmarkEnd w:id="1426"/>
    </w:p>
    <w:bookmarkEnd w:id="1394"/>
    <w:p w14:paraId="632DA7F4">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14:paraId="69911554">
      <w:pPr>
        <w:spacing w:line="400" w:lineRule="exact"/>
        <w:ind w:firstLine="42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sz w:val="21"/>
          <w:szCs w:val="21"/>
          <w:highlight w:val="none"/>
          <w:u w:val="single"/>
        </w:rPr>
        <w:t>工程质量保修期不得少于</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年。</w:t>
      </w:r>
    </w:p>
    <w:p w14:paraId="7DEC219C">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14:paraId="66D265A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承包人收到保修通知并到达工程现场的合理时间：</w:t>
      </w:r>
      <w:r>
        <w:rPr>
          <w:rFonts w:hint="eastAsia" w:ascii="宋体" w:hAnsi="宋体" w:eastAsia="宋体" w:cs="宋体"/>
          <w:color w:val="auto"/>
          <w:sz w:val="21"/>
          <w:szCs w:val="21"/>
          <w:highlight w:val="none"/>
          <w:u w:val="single"/>
        </w:rPr>
        <w:t>1、属于保修范围、内容的项目，承包人应当在接到保修通知之日起7天内派人保修。承包人不在约定期限内派人保修的，发包人可以委托他人修理。2、发生紧急抢修事故的，承包人在接到事故通知后，应当立即到达事故现场抢修。3、对于涉及结构安全的质量问题，应当按照《建设工程质量管理条例》的规定，立即向当地建设行政主管部门报告，采取安全防范措施；由原设计单位或者具有相应资质等级的设计单位提出保修方案</w:t>
      </w:r>
      <w:r>
        <w:rPr>
          <w:rFonts w:hint="eastAsia" w:ascii="宋体" w:hAnsi="宋体" w:eastAsia="宋体" w:cs="宋体"/>
          <w:color w:val="auto"/>
          <w:sz w:val="21"/>
          <w:szCs w:val="21"/>
          <w:highlight w:val="none"/>
          <w:u w:val="single"/>
          <w:lang w:eastAsia="zh-CN"/>
        </w:rPr>
        <w:t>，由</w:t>
      </w:r>
      <w:r>
        <w:rPr>
          <w:rFonts w:hint="eastAsia" w:ascii="宋体" w:hAnsi="宋体" w:eastAsia="宋体" w:cs="宋体"/>
          <w:color w:val="auto"/>
          <w:sz w:val="21"/>
          <w:szCs w:val="21"/>
          <w:highlight w:val="none"/>
          <w:u w:val="single"/>
        </w:rPr>
        <w:t>承包人实施保修。4、质量保修完成后，由发包人组织验收。5、保修费用由造成质量缺陷的责任方承担。</w:t>
      </w:r>
    </w:p>
    <w:bookmarkEnd w:id="1395"/>
    <w:bookmarkEnd w:id="1396"/>
    <w:bookmarkEnd w:id="1397"/>
    <w:bookmarkEnd w:id="1398"/>
    <w:p w14:paraId="30931EAC">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1427" w:name="_Toc478389262"/>
      <w:bookmarkStart w:id="1428" w:name="_Toc417904351"/>
      <w:bookmarkStart w:id="1429" w:name="_Toc351203648"/>
      <w:bookmarkStart w:id="1430" w:name="_Toc280868717"/>
      <w:bookmarkStart w:id="1431" w:name="_Toc280868718"/>
      <w:r>
        <w:rPr>
          <w:rFonts w:hint="eastAsia" w:ascii="宋体" w:hAnsi="宋体" w:eastAsia="宋体" w:cs="宋体"/>
          <w:b/>
          <w:bCs/>
          <w:color w:val="auto"/>
          <w:kern w:val="44"/>
          <w:sz w:val="21"/>
          <w:szCs w:val="21"/>
          <w:highlight w:val="none"/>
        </w:rPr>
        <w:t>16. 违约</w:t>
      </w:r>
      <w:bookmarkEnd w:id="1427"/>
      <w:bookmarkEnd w:id="1428"/>
      <w:bookmarkEnd w:id="1429"/>
    </w:p>
    <w:p w14:paraId="170C8640">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1432" w:name="_Toc478389263"/>
      <w:bookmarkStart w:id="1433" w:name="_Toc417904352"/>
      <w:r>
        <w:rPr>
          <w:rFonts w:hint="eastAsia" w:ascii="宋体" w:hAnsi="宋体" w:eastAsia="宋体" w:cs="宋体"/>
          <w:b/>
          <w:bCs/>
          <w:color w:val="auto"/>
          <w:kern w:val="44"/>
          <w:sz w:val="21"/>
          <w:szCs w:val="21"/>
          <w:highlight w:val="none"/>
        </w:rPr>
        <w:t>16.1 发包人违约</w:t>
      </w:r>
      <w:bookmarkEnd w:id="1432"/>
      <w:bookmarkEnd w:id="1433"/>
    </w:p>
    <w:p w14:paraId="56870FF4">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14:paraId="167BE12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发包人违约的其他情形：</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29796305">
      <w:pPr>
        <w:spacing w:line="400" w:lineRule="exact"/>
        <w:ind w:firstLine="420"/>
        <w:outlineLvl w:val="0"/>
        <w:rPr>
          <w:rFonts w:hint="eastAsia" w:ascii="宋体" w:hAnsi="宋体" w:eastAsia="宋体" w:cs="宋体"/>
          <w:color w:val="auto"/>
          <w:sz w:val="21"/>
          <w:szCs w:val="21"/>
          <w:highlight w:val="none"/>
        </w:rPr>
      </w:pPr>
      <w:bookmarkStart w:id="1434" w:name="_Toc417904353"/>
      <w:bookmarkStart w:id="1435" w:name="_Toc406522298"/>
      <w:bookmarkStart w:id="1436" w:name="_Toc478389264"/>
      <w:bookmarkStart w:id="1437" w:name="_Toc406419422"/>
      <w:r>
        <w:rPr>
          <w:rFonts w:hint="eastAsia" w:ascii="宋体" w:hAnsi="宋体" w:eastAsia="宋体" w:cs="宋体"/>
          <w:color w:val="auto"/>
          <w:sz w:val="21"/>
          <w:szCs w:val="21"/>
          <w:highlight w:val="none"/>
        </w:rPr>
        <w:t>16.1.2 发包人违约的责任</w:t>
      </w:r>
      <w:bookmarkEnd w:id="1434"/>
      <w:bookmarkEnd w:id="1435"/>
      <w:bookmarkEnd w:id="1436"/>
      <w:bookmarkEnd w:id="1437"/>
    </w:p>
    <w:p w14:paraId="30D8861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发包人违约责任的承担方式和计算方法：</w:t>
      </w:r>
    </w:p>
    <w:p w14:paraId="7D9D00EF">
      <w:pPr>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（1）因发包人原因未能在计划开工日期前7天内下达开工通知的违约责任：</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0B39D63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（2）因发包人原因未能按合同约定支付合同价款的违约责任：</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44DB224B">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（3）发包人违反第10.1款〔变更的范围〕第（2）项约定，自行实施被取消的工作或转由他人实施的违约责任：</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25BF60D4">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39F266B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（5）因发包人违反合同约定造成暂停施工的违约责任：</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235BD2E0">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（6）发包人无正当理由没有在约定期限内发出复工指示，导致承包人无法复工的违约责任：</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14B5A50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1788EC9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7AE917AC">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承包人按16.1.1项〔发包人违约的情形〕约定暂停施工满180天后发包人仍不纠正其违约行为并致使合同目的不能实现的，承包人有权解除合同。</w:t>
      </w:r>
    </w:p>
    <w:p w14:paraId="5B3E11E0">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1438" w:name="_Toc478389265"/>
      <w:bookmarkStart w:id="1439" w:name="_Toc417904354"/>
      <w:r>
        <w:rPr>
          <w:rFonts w:hint="eastAsia" w:ascii="宋体" w:hAnsi="宋体" w:eastAsia="宋体" w:cs="宋体"/>
          <w:b/>
          <w:bCs/>
          <w:color w:val="auto"/>
          <w:kern w:val="44"/>
          <w:sz w:val="21"/>
          <w:szCs w:val="21"/>
          <w:highlight w:val="none"/>
        </w:rPr>
        <w:t>16.2 承包人违约</w:t>
      </w:r>
      <w:bookmarkEnd w:id="1438"/>
      <w:bookmarkEnd w:id="1439"/>
    </w:p>
    <w:p w14:paraId="7740A9E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16.2.1 承包人违约的情形</w:t>
      </w:r>
    </w:p>
    <w:p w14:paraId="06C2A92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rPr>
        <w:t>工期</w:t>
      </w:r>
      <w:r>
        <w:rPr>
          <w:rFonts w:hint="eastAsia" w:ascii="宋体" w:hAnsi="宋体" w:eastAsia="宋体" w:cs="宋体"/>
          <w:color w:val="auto"/>
          <w:sz w:val="21"/>
          <w:szCs w:val="21"/>
          <w:highlight w:val="none"/>
        </w:rPr>
        <w:t>。</w:t>
      </w:r>
    </w:p>
    <w:p w14:paraId="74DF496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16.2.2承包人违约的责任</w:t>
      </w:r>
    </w:p>
    <w:p w14:paraId="350FDC45">
      <w:pPr>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承包人违约责任的承担方式和计算方法：</w:t>
      </w:r>
      <w:r>
        <w:rPr>
          <w:rFonts w:hint="eastAsia" w:ascii="宋体" w:hAnsi="宋体" w:eastAsia="宋体" w:cs="宋体"/>
          <w:color w:val="auto"/>
          <w:sz w:val="21"/>
          <w:szCs w:val="21"/>
          <w:highlight w:val="none"/>
          <w:u w:val="single"/>
        </w:rPr>
        <w:t>承包人原因造成工期延误按每天万分之四罚款，限额为合同价的2%</w:t>
      </w:r>
      <w:r>
        <w:rPr>
          <w:rFonts w:hint="eastAsia" w:ascii="宋体" w:hAnsi="宋体" w:eastAsia="宋体" w:cs="宋体"/>
          <w:color w:val="auto"/>
          <w:sz w:val="21"/>
          <w:szCs w:val="21"/>
          <w:highlight w:val="none"/>
        </w:rPr>
        <w:t>。</w:t>
      </w:r>
    </w:p>
    <w:p w14:paraId="3C82139D">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14:paraId="653751FD">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rPr>
        <w:t>承包人原因造成停工或延期累计30天以上</w:t>
      </w:r>
      <w:r>
        <w:rPr>
          <w:rFonts w:hint="eastAsia" w:ascii="宋体" w:hAnsi="宋体" w:eastAsia="宋体" w:cs="宋体"/>
          <w:color w:val="auto"/>
          <w:sz w:val="21"/>
          <w:szCs w:val="21"/>
          <w:highlight w:val="none"/>
        </w:rPr>
        <w:t>。</w:t>
      </w:r>
    </w:p>
    <w:p w14:paraId="16513C9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1"/>
          <w:szCs w:val="21"/>
          <w:highlight w:val="none"/>
          <w:u w:val="single"/>
        </w:rPr>
        <w:t>承包人承担</w:t>
      </w:r>
      <w:r>
        <w:rPr>
          <w:rFonts w:hint="eastAsia" w:ascii="宋体" w:hAnsi="宋体" w:eastAsia="宋体" w:cs="宋体"/>
          <w:color w:val="auto"/>
          <w:sz w:val="21"/>
          <w:szCs w:val="21"/>
          <w:highlight w:val="none"/>
        </w:rPr>
        <w:t>。　</w:t>
      </w:r>
    </w:p>
    <w:p w14:paraId="458E32FD">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1440" w:name="_Toc417904355"/>
      <w:bookmarkStart w:id="1441" w:name="_Toc478389266"/>
      <w:bookmarkStart w:id="1442" w:name="_Toc351203649"/>
      <w:r>
        <w:rPr>
          <w:rFonts w:hint="eastAsia" w:ascii="宋体" w:hAnsi="宋体" w:eastAsia="宋体" w:cs="宋体"/>
          <w:b/>
          <w:bCs/>
          <w:color w:val="auto"/>
          <w:kern w:val="44"/>
          <w:sz w:val="21"/>
          <w:szCs w:val="21"/>
          <w:highlight w:val="none"/>
        </w:rPr>
        <w:t>17. 不可抗力</w:t>
      </w:r>
      <w:bookmarkEnd w:id="1430"/>
      <w:bookmarkEnd w:id="1440"/>
      <w:bookmarkEnd w:id="1441"/>
      <w:bookmarkEnd w:id="1442"/>
    </w:p>
    <w:p w14:paraId="7B46EE58">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1443" w:name="_Toc478389267"/>
      <w:bookmarkStart w:id="1444" w:name="_Toc417904356"/>
      <w:r>
        <w:rPr>
          <w:rFonts w:hint="eastAsia" w:ascii="宋体" w:hAnsi="宋体" w:eastAsia="宋体" w:cs="宋体"/>
          <w:b/>
          <w:bCs/>
          <w:color w:val="auto"/>
          <w:kern w:val="44"/>
          <w:sz w:val="21"/>
          <w:szCs w:val="21"/>
          <w:highlight w:val="none"/>
        </w:rPr>
        <w:t>17.1 不可抗力的确认</w:t>
      </w:r>
      <w:bookmarkEnd w:id="1443"/>
      <w:bookmarkEnd w:id="1444"/>
    </w:p>
    <w:p w14:paraId="6B32AF63">
      <w:pPr>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除通用合同条款约定的不可抗力事件之外，视为不可抗力的其他情形： </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127F47E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 因不可抗力解除合同</w:t>
      </w:r>
    </w:p>
    <w:p w14:paraId="37F621C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 xml:space="preserve">承包人提出书面申请14  </w:t>
      </w:r>
      <w:r>
        <w:rPr>
          <w:rFonts w:hint="eastAsia" w:ascii="宋体" w:hAnsi="宋体" w:eastAsia="宋体" w:cs="宋体"/>
          <w:color w:val="auto"/>
          <w:sz w:val="21"/>
          <w:szCs w:val="21"/>
          <w:highlight w:val="none"/>
        </w:rPr>
        <w:t>天内完成款项的支付。</w:t>
      </w:r>
    </w:p>
    <w:p w14:paraId="787B170C">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1445" w:name="_Toc417904357"/>
      <w:bookmarkStart w:id="1446" w:name="_Toc478389268"/>
      <w:bookmarkStart w:id="1447" w:name="_Toc351203650"/>
      <w:r>
        <w:rPr>
          <w:rFonts w:hint="eastAsia" w:ascii="宋体" w:hAnsi="宋体" w:eastAsia="宋体" w:cs="宋体"/>
          <w:b/>
          <w:bCs/>
          <w:color w:val="auto"/>
          <w:kern w:val="44"/>
          <w:sz w:val="21"/>
          <w:szCs w:val="21"/>
          <w:highlight w:val="none"/>
        </w:rPr>
        <w:t>18. 保险</w:t>
      </w:r>
      <w:bookmarkEnd w:id="1445"/>
      <w:bookmarkEnd w:id="1446"/>
      <w:bookmarkEnd w:id="1447"/>
    </w:p>
    <w:bookmarkEnd w:id="1431"/>
    <w:p w14:paraId="2530314E">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1448" w:name="_Toc478389269"/>
      <w:bookmarkStart w:id="1449" w:name="_Toc417904358"/>
      <w:r>
        <w:rPr>
          <w:rFonts w:hint="eastAsia" w:ascii="宋体" w:hAnsi="宋体" w:eastAsia="宋体" w:cs="宋体"/>
          <w:b/>
          <w:bCs/>
          <w:color w:val="auto"/>
          <w:kern w:val="44"/>
          <w:sz w:val="21"/>
          <w:szCs w:val="21"/>
          <w:highlight w:val="none"/>
        </w:rPr>
        <w:t>18.1 工程保险</w:t>
      </w:r>
      <w:bookmarkEnd w:id="1448"/>
      <w:bookmarkEnd w:id="1449"/>
    </w:p>
    <w:p w14:paraId="44E0403F">
      <w:pPr>
        <w:spacing w:line="400" w:lineRule="exact"/>
        <w:ind w:firstLine="420"/>
        <w:rPr>
          <w:rFonts w:hint="eastAsia" w:ascii="宋体" w:hAnsi="宋体" w:eastAsia="宋体" w:cs="宋体"/>
          <w:color w:val="auto"/>
          <w:sz w:val="21"/>
          <w:szCs w:val="21"/>
          <w:highlight w:val="none"/>
        </w:rPr>
      </w:pPr>
      <w:bookmarkStart w:id="1450" w:name="_Toc417904359"/>
      <w:bookmarkStart w:id="1451" w:name="_Toc478389270"/>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6A0D9297">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r>
        <w:rPr>
          <w:rFonts w:hint="eastAsia" w:ascii="宋体" w:hAnsi="宋体" w:eastAsia="宋体" w:cs="宋体"/>
          <w:b/>
          <w:bCs/>
          <w:color w:val="auto"/>
          <w:kern w:val="44"/>
          <w:sz w:val="21"/>
          <w:szCs w:val="21"/>
          <w:highlight w:val="none"/>
        </w:rPr>
        <w:t>18.3 其他保险</w:t>
      </w:r>
    </w:p>
    <w:p w14:paraId="25BDA5A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sz w:val="21"/>
          <w:szCs w:val="21"/>
          <w:highlight w:val="none"/>
          <w:u w:val="single"/>
        </w:rPr>
        <w:t xml:space="preserve">       按国家有关规定                </w:t>
      </w:r>
      <w:r>
        <w:rPr>
          <w:rFonts w:hint="eastAsia" w:ascii="宋体" w:hAnsi="宋体" w:eastAsia="宋体" w:cs="宋体"/>
          <w:color w:val="auto"/>
          <w:sz w:val="21"/>
          <w:szCs w:val="21"/>
          <w:highlight w:val="none"/>
        </w:rPr>
        <w:t>。</w:t>
      </w:r>
    </w:p>
    <w:p w14:paraId="7789396E">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bookmarkEnd w:id="1450"/>
    <w:bookmarkEnd w:id="1451"/>
    <w:p w14:paraId="666D2685">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1452" w:name="_Toc417904360"/>
      <w:bookmarkStart w:id="1453" w:name="_Toc478389271"/>
      <w:r>
        <w:rPr>
          <w:rFonts w:hint="eastAsia" w:ascii="宋体" w:hAnsi="宋体" w:eastAsia="宋体" w:cs="宋体"/>
          <w:b/>
          <w:bCs/>
          <w:color w:val="auto"/>
          <w:kern w:val="44"/>
          <w:sz w:val="21"/>
          <w:szCs w:val="21"/>
          <w:highlight w:val="none"/>
        </w:rPr>
        <w:t>18.7 通知义务</w:t>
      </w:r>
      <w:bookmarkEnd w:id="1452"/>
      <w:bookmarkEnd w:id="1453"/>
    </w:p>
    <w:p w14:paraId="046BBC5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关于变更保险合同时的通知义务的约定：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bookmarkEnd w:id="1399"/>
    <w:bookmarkEnd w:id="1400"/>
    <w:bookmarkEnd w:id="1401"/>
    <w:bookmarkEnd w:id="1402"/>
    <w:bookmarkEnd w:id="1403"/>
    <w:bookmarkEnd w:id="1404"/>
    <w:bookmarkEnd w:id="1405"/>
    <w:bookmarkEnd w:id="1406"/>
    <w:bookmarkEnd w:id="1407"/>
    <w:bookmarkEnd w:id="1408"/>
    <w:bookmarkEnd w:id="1409"/>
    <w:bookmarkEnd w:id="1410"/>
    <w:p w14:paraId="34264C3F">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1454" w:name="_Toc478389272"/>
      <w:bookmarkStart w:id="1455" w:name="_Toc351203651"/>
      <w:bookmarkStart w:id="1456" w:name="_Toc417904361"/>
      <w:r>
        <w:rPr>
          <w:rFonts w:hint="eastAsia" w:ascii="宋体" w:hAnsi="宋体" w:eastAsia="宋体" w:cs="宋体"/>
          <w:b/>
          <w:bCs/>
          <w:color w:val="auto"/>
          <w:kern w:val="44"/>
          <w:sz w:val="21"/>
          <w:szCs w:val="21"/>
          <w:highlight w:val="none"/>
        </w:rPr>
        <w:t>20. 争议解决</w:t>
      </w:r>
      <w:bookmarkEnd w:id="1454"/>
      <w:bookmarkEnd w:id="1455"/>
      <w:bookmarkEnd w:id="1456"/>
    </w:p>
    <w:bookmarkEnd w:id="1411"/>
    <w:bookmarkEnd w:id="1412"/>
    <w:p w14:paraId="3C47EE85">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1457" w:name="_Toc478389273"/>
      <w:bookmarkStart w:id="1458" w:name="_Toc417904362"/>
      <w:r>
        <w:rPr>
          <w:rFonts w:hint="eastAsia" w:ascii="宋体" w:hAnsi="宋体" w:eastAsia="宋体" w:cs="宋体"/>
          <w:b/>
          <w:bCs/>
          <w:color w:val="auto"/>
          <w:kern w:val="44"/>
          <w:sz w:val="21"/>
          <w:szCs w:val="21"/>
          <w:highlight w:val="none"/>
        </w:rPr>
        <w:t>20.3 争</w:t>
      </w:r>
      <w:bookmarkEnd w:id="1413"/>
      <w:r>
        <w:rPr>
          <w:rFonts w:hint="eastAsia" w:ascii="宋体" w:hAnsi="宋体" w:eastAsia="宋体" w:cs="宋体"/>
          <w:b/>
          <w:bCs/>
          <w:color w:val="auto"/>
          <w:kern w:val="44"/>
          <w:sz w:val="21"/>
          <w:szCs w:val="21"/>
          <w:highlight w:val="none"/>
        </w:rPr>
        <w:t>议评审</w:t>
      </w:r>
      <w:bookmarkEnd w:id="1457"/>
      <w:bookmarkEnd w:id="1458"/>
    </w:p>
    <w:p w14:paraId="2E9631CB">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 xml:space="preserve">  　否   </w:t>
      </w:r>
      <w:r>
        <w:rPr>
          <w:rFonts w:hint="eastAsia" w:ascii="宋体" w:hAnsi="宋体" w:eastAsia="宋体" w:cs="宋体"/>
          <w:color w:val="auto"/>
          <w:sz w:val="21"/>
          <w:szCs w:val="21"/>
          <w:highlight w:val="none"/>
        </w:rPr>
        <w:t xml:space="preserve">。  </w:t>
      </w:r>
    </w:p>
    <w:p w14:paraId="53010B8B">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6A24A252">
      <w:pPr>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1A7400ED">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6F54557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115FC07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2167C0BE">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20.3.2 争议评审小组的决定</w:t>
      </w:r>
    </w:p>
    <w:p w14:paraId="245A0A3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2D47E8D5">
      <w:pPr>
        <w:keepNext/>
        <w:keepLines/>
        <w:spacing w:line="400" w:lineRule="exact"/>
        <w:ind w:firstLine="0" w:firstLineChars="0"/>
        <w:outlineLvl w:val="0"/>
        <w:rPr>
          <w:rFonts w:hint="eastAsia" w:ascii="宋体" w:hAnsi="宋体" w:eastAsia="宋体" w:cs="宋体"/>
          <w:b/>
          <w:bCs/>
          <w:color w:val="auto"/>
          <w:kern w:val="44"/>
          <w:sz w:val="21"/>
          <w:szCs w:val="21"/>
          <w:highlight w:val="none"/>
        </w:rPr>
      </w:pPr>
      <w:bookmarkStart w:id="1459" w:name="_Toc417904363"/>
      <w:bookmarkStart w:id="1460" w:name="_Toc478389274"/>
      <w:r>
        <w:rPr>
          <w:rFonts w:hint="eastAsia" w:ascii="宋体" w:hAnsi="宋体" w:eastAsia="宋体" w:cs="宋体"/>
          <w:b/>
          <w:bCs/>
          <w:color w:val="auto"/>
          <w:kern w:val="44"/>
          <w:sz w:val="21"/>
          <w:szCs w:val="21"/>
          <w:highlight w:val="none"/>
        </w:rPr>
        <w:t>20.4仲裁或诉讼</w:t>
      </w:r>
      <w:bookmarkEnd w:id="1414"/>
      <w:bookmarkEnd w:id="1459"/>
      <w:bookmarkEnd w:id="1460"/>
    </w:p>
    <w:p w14:paraId="3ABBF3F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种方式解决：</w:t>
      </w:r>
    </w:p>
    <w:bookmarkEnd w:id="1415"/>
    <w:bookmarkEnd w:id="1416"/>
    <w:bookmarkEnd w:id="1417"/>
    <w:bookmarkEnd w:id="1418"/>
    <w:bookmarkEnd w:id="1419"/>
    <w:bookmarkEnd w:id="1420"/>
    <w:p w14:paraId="578B3A99">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（1）提请</w:t>
      </w:r>
      <w:r>
        <w:rPr>
          <w:rFonts w:hint="eastAsia" w:ascii="宋体" w:hAnsi="宋体" w:eastAsia="宋体" w:cs="宋体"/>
          <w:color w:val="auto"/>
          <w:sz w:val="21"/>
          <w:szCs w:val="21"/>
          <w:highlight w:val="none"/>
          <w:u w:val="single"/>
        </w:rPr>
        <w:t xml:space="preserve"> 桂林  </w:t>
      </w:r>
      <w:r>
        <w:rPr>
          <w:rFonts w:hint="eastAsia" w:ascii="宋体" w:hAnsi="宋体" w:eastAsia="宋体" w:cs="宋体"/>
          <w:color w:val="auto"/>
          <w:sz w:val="21"/>
          <w:szCs w:val="21"/>
          <w:highlight w:val="none"/>
        </w:rPr>
        <w:t>仲裁委员会按照该会仲裁规则进行仲裁，仲裁裁决是终局的，对合同双方均有约束力。</w:t>
      </w:r>
    </w:p>
    <w:p w14:paraId="1353E0B1">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所在地的人民法院提起诉讼。</w:t>
      </w:r>
    </w:p>
    <w:p w14:paraId="13DFA95D">
      <w:pPr>
        <w:snapToGrid w:val="0"/>
        <w:spacing w:line="320" w:lineRule="exact"/>
        <w:ind w:firstLine="420"/>
        <w:rPr>
          <w:rFonts w:hint="eastAsia" w:ascii="宋体" w:hAnsi="宋体" w:eastAsia="宋体" w:cs="宋体"/>
          <w:color w:val="auto"/>
          <w:sz w:val="21"/>
          <w:highlight w:val="none"/>
        </w:rPr>
      </w:pPr>
    </w:p>
    <w:p w14:paraId="06711E12">
      <w:pPr>
        <w:widowControl/>
        <w:ind w:firstLine="480"/>
        <w:jc w:val="left"/>
        <w:rPr>
          <w:rFonts w:hint="eastAsia" w:ascii="宋体" w:hAnsi="宋体" w:eastAsia="宋体" w:cs="宋体"/>
          <w:color w:val="auto"/>
          <w:szCs w:val="21"/>
          <w:highlight w:val="none"/>
        </w:rPr>
        <w:sectPr>
          <w:footerReference r:id="rId20" w:type="default"/>
          <w:footerReference r:id="rId21" w:type="even"/>
          <w:pgSz w:w="11907" w:h="16840"/>
          <w:pgMar w:top="1440" w:right="1080" w:bottom="1440" w:left="1080" w:header="851" w:footer="851" w:gutter="0"/>
          <w:pgNumType w:fmt="decimal"/>
          <w:cols w:space="720" w:num="1"/>
        </w:sectPr>
      </w:pPr>
    </w:p>
    <w:p w14:paraId="3C9B3E61">
      <w:pPr>
        <w:spacing w:line="300" w:lineRule="exact"/>
        <w:ind w:firstLine="482"/>
        <w:jc w:val="left"/>
        <w:rPr>
          <w:rFonts w:hint="eastAsia" w:ascii="宋体" w:hAnsi="宋体" w:eastAsia="宋体" w:cs="宋体"/>
          <w:b/>
          <w:color w:val="auto"/>
          <w:sz w:val="21"/>
          <w:szCs w:val="21"/>
          <w:highlight w:val="none"/>
        </w:rPr>
      </w:pPr>
      <w:r>
        <w:rPr>
          <w:rFonts w:hint="eastAsia" w:ascii="宋体" w:hAnsi="宋体" w:eastAsia="宋体" w:cs="宋体"/>
          <w:b/>
          <w:color w:val="auto"/>
          <w:szCs w:val="21"/>
          <w:highlight w:val="none"/>
        </w:rPr>
        <w:t>附件</w:t>
      </w:r>
    </w:p>
    <w:p w14:paraId="2AB4DEAA">
      <w:pPr>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77CEE7E9">
      <w:pPr>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57A3D2C6">
      <w:pPr>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42D9DCF5">
      <w:pPr>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3AFE737A">
      <w:pPr>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4EA0EC4E">
      <w:pPr>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0E965623">
      <w:pPr>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38734279">
      <w:pPr>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38C9F9EB">
      <w:pPr>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37857DAB">
      <w:pPr>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附件8：履约担保格式</w:t>
      </w:r>
    </w:p>
    <w:p w14:paraId="1732E609">
      <w:pPr>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附件9：预付款担保格式</w:t>
      </w:r>
    </w:p>
    <w:p w14:paraId="16AFA3BD">
      <w:pPr>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附件10：支付担保格式</w:t>
      </w:r>
    </w:p>
    <w:p w14:paraId="6B29538A">
      <w:pPr>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附件11：暂估价一览表 </w:t>
      </w:r>
    </w:p>
    <w:p w14:paraId="2B76B2B8">
      <w:pPr>
        <w:widowControl/>
        <w:ind w:firstLine="480"/>
        <w:jc w:val="left"/>
        <w:rPr>
          <w:rFonts w:hint="eastAsia" w:ascii="宋体" w:hAnsi="宋体" w:eastAsia="宋体" w:cs="宋体"/>
          <w:color w:val="auto"/>
          <w:szCs w:val="21"/>
          <w:highlight w:val="none"/>
        </w:rPr>
        <w:sectPr>
          <w:footerReference r:id="rId22" w:type="default"/>
          <w:footerReference r:id="rId23" w:type="even"/>
          <w:pgSz w:w="11906" w:h="16838"/>
          <w:pgMar w:top="1134" w:right="1416" w:bottom="1418" w:left="1276" w:header="851" w:footer="992" w:gutter="0"/>
          <w:pgNumType w:fmt="decimal"/>
          <w:cols w:space="720" w:num="1"/>
          <w:docGrid w:type="lines" w:linePitch="312" w:charSpace="0"/>
        </w:sectPr>
      </w:pPr>
    </w:p>
    <w:p w14:paraId="03B311BE">
      <w:pPr>
        <w:spacing w:line="4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w:t>
      </w:r>
    </w:p>
    <w:p w14:paraId="07BC51C9">
      <w:pPr>
        <w:spacing w:line="440" w:lineRule="exact"/>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承包人承揽工程项目一览表</w:t>
      </w:r>
    </w:p>
    <w:tbl>
      <w:tblPr>
        <w:tblStyle w:val="48"/>
        <w:tblW w:w="14595"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9"/>
        <w:gridCol w:w="1700"/>
        <w:gridCol w:w="1416"/>
        <w:gridCol w:w="2409"/>
        <w:gridCol w:w="850"/>
        <w:gridCol w:w="1559"/>
        <w:gridCol w:w="2125"/>
        <w:gridCol w:w="1416"/>
        <w:gridCol w:w="851"/>
        <w:gridCol w:w="850"/>
      </w:tblGrid>
      <w:tr w14:paraId="7F9F6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4" w:space="0"/>
              <w:left w:val="single" w:color="auto" w:sz="4" w:space="0"/>
              <w:bottom w:val="single" w:color="auto" w:sz="4" w:space="0"/>
              <w:right w:val="single" w:color="auto" w:sz="4" w:space="0"/>
            </w:tcBorders>
            <w:vAlign w:val="center"/>
          </w:tcPr>
          <w:p w14:paraId="5E9A427E">
            <w:pPr>
              <w:spacing w:line="44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单位工程名称</w:t>
            </w:r>
          </w:p>
        </w:tc>
        <w:tc>
          <w:tcPr>
            <w:tcW w:w="1701" w:type="dxa"/>
            <w:tcBorders>
              <w:top w:val="single" w:color="auto" w:sz="4" w:space="0"/>
              <w:left w:val="single" w:color="auto" w:sz="4" w:space="0"/>
              <w:bottom w:val="single" w:color="auto" w:sz="4" w:space="0"/>
              <w:right w:val="single" w:color="auto" w:sz="4" w:space="0"/>
            </w:tcBorders>
            <w:vAlign w:val="center"/>
          </w:tcPr>
          <w:p w14:paraId="5EF5B7A2">
            <w:pPr>
              <w:spacing w:line="44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建设规模</w:t>
            </w:r>
          </w:p>
        </w:tc>
        <w:tc>
          <w:tcPr>
            <w:tcW w:w="1417" w:type="dxa"/>
            <w:tcBorders>
              <w:top w:val="single" w:color="auto" w:sz="4" w:space="0"/>
              <w:left w:val="single" w:color="auto" w:sz="4" w:space="0"/>
              <w:bottom w:val="single" w:color="auto" w:sz="4" w:space="0"/>
              <w:right w:val="single" w:color="auto" w:sz="4" w:space="0"/>
            </w:tcBorders>
            <w:vAlign w:val="center"/>
          </w:tcPr>
          <w:p w14:paraId="1392B638">
            <w:pPr>
              <w:spacing w:line="44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建筑面积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平方米</w:t>
            </w:r>
            <w:r>
              <w:rPr>
                <w:rFonts w:hint="eastAsia" w:ascii="宋体" w:hAnsi="宋体" w:eastAsia="宋体" w:cs="宋体"/>
                <w:color w:val="auto"/>
                <w:szCs w:val="21"/>
                <w:highlight w:val="none"/>
                <w:lang w:eastAsia="zh-CN"/>
              </w:rPr>
              <w:t>）</w:t>
            </w:r>
          </w:p>
        </w:tc>
        <w:tc>
          <w:tcPr>
            <w:tcW w:w="2410" w:type="dxa"/>
            <w:tcBorders>
              <w:top w:val="single" w:color="auto" w:sz="4" w:space="0"/>
              <w:left w:val="single" w:color="auto" w:sz="4" w:space="0"/>
              <w:bottom w:val="single" w:color="auto" w:sz="4" w:space="0"/>
              <w:right w:val="single" w:color="auto" w:sz="4" w:space="0"/>
            </w:tcBorders>
            <w:vAlign w:val="center"/>
          </w:tcPr>
          <w:p w14:paraId="7E653930">
            <w:pPr>
              <w:spacing w:line="44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结构形式</w:t>
            </w:r>
          </w:p>
        </w:tc>
        <w:tc>
          <w:tcPr>
            <w:tcW w:w="850" w:type="dxa"/>
            <w:tcBorders>
              <w:top w:val="single" w:color="auto" w:sz="4" w:space="0"/>
              <w:left w:val="single" w:color="auto" w:sz="4" w:space="0"/>
              <w:bottom w:val="single" w:color="auto" w:sz="4" w:space="0"/>
              <w:right w:val="single" w:color="auto" w:sz="4" w:space="0"/>
            </w:tcBorders>
            <w:vAlign w:val="center"/>
          </w:tcPr>
          <w:p w14:paraId="0C4FE525">
            <w:pPr>
              <w:spacing w:line="44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层数</w:t>
            </w:r>
          </w:p>
        </w:tc>
        <w:tc>
          <w:tcPr>
            <w:tcW w:w="1560" w:type="dxa"/>
            <w:tcBorders>
              <w:top w:val="single" w:color="auto" w:sz="4" w:space="0"/>
              <w:left w:val="single" w:color="auto" w:sz="4" w:space="0"/>
              <w:bottom w:val="single" w:color="auto" w:sz="4" w:space="0"/>
              <w:right w:val="single" w:color="auto" w:sz="4" w:space="0"/>
            </w:tcBorders>
            <w:vAlign w:val="center"/>
          </w:tcPr>
          <w:p w14:paraId="701675E9">
            <w:pPr>
              <w:spacing w:line="44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生产能力</w:t>
            </w:r>
          </w:p>
        </w:tc>
        <w:tc>
          <w:tcPr>
            <w:tcW w:w="2126" w:type="dxa"/>
            <w:tcBorders>
              <w:top w:val="single" w:color="auto" w:sz="4" w:space="0"/>
              <w:left w:val="single" w:color="auto" w:sz="4" w:space="0"/>
              <w:bottom w:val="single" w:color="auto" w:sz="4" w:space="0"/>
              <w:right w:val="single" w:color="auto" w:sz="4" w:space="0"/>
            </w:tcBorders>
            <w:vAlign w:val="center"/>
          </w:tcPr>
          <w:p w14:paraId="28B651B3">
            <w:pPr>
              <w:spacing w:line="44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设备安装内容</w:t>
            </w:r>
          </w:p>
        </w:tc>
        <w:tc>
          <w:tcPr>
            <w:tcW w:w="1417" w:type="dxa"/>
            <w:tcBorders>
              <w:top w:val="single" w:color="auto" w:sz="4" w:space="0"/>
              <w:left w:val="single" w:color="auto" w:sz="4" w:space="0"/>
              <w:bottom w:val="single" w:color="auto" w:sz="4" w:space="0"/>
              <w:right w:val="single" w:color="auto" w:sz="4" w:space="0"/>
            </w:tcBorders>
            <w:vAlign w:val="center"/>
          </w:tcPr>
          <w:p w14:paraId="756902C9">
            <w:pPr>
              <w:spacing w:line="44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合同价格（元）</w:t>
            </w:r>
          </w:p>
        </w:tc>
        <w:tc>
          <w:tcPr>
            <w:tcW w:w="851" w:type="dxa"/>
            <w:tcBorders>
              <w:top w:val="single" w:color="auto" w:sz="4" w:space="0"/>
              <w:left w:val="single" w:color="auto" w:sz="4" w:space="0"/>
              <w:bottom w:val="single" w:color="auto" w:sz="4" w:space="0"/>
              <w:right w:val="single" w:color="auto" w:sz="4" w:space="0"/>
            </w:tcBorders>
            <w:vAlign w:val="center"/>
          </w:tcPr>
          <w:p w14:paraId="589CD327">
            <w:pPr>
              <w:spacing w:line="44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开工日期</w:t>
            </w:r>
          </w:p>
        </w:tc>
        <w:tc>
          <w:tcPr>
            <w:tcW w:w="850" w:type="dxa"/>
            <w:tcBorders>
              <w:top w:val="single" w:color="auto" w:sz="4" w:space="0"/>
              <w:left w:val="single" w:color="auto" w:sz="4" w:space="0"/>
              <w:bottom w:val="single" w:color="auto" w:sz="4" w:space="0"/>
              <w:right w:val="single" w:color="auto" w:sz="4" w:space="0"/>
            </w:tcBorders>
            <w:vAlign w:val="center"/>
          </w:tcPr>
          <w:p w14:paraId="135D5C02">
            <w:pPr>
              <w:spacing w:line="44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竣工日期</w:t>
            </w:r>
          </w:p>
        </w:tc>
      </w:tr>
      <w:tr w14:paraId="39CD0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4" w:space="0"/>
              <w:left w:val="single" w:color="auto" w:sz="12" w:space="0"/>
              <w:bottom w:val="single" w:color="auto" w:sz="6" w:space="0"/>
              <w:right w:val="single" w:color="auto" w:sz="6" w:space="0"/>
            </w:tcBorders>
            <w:vAlign w:val="center"/>
          </w:tcPr>
          <w:p w14:paraId="22547513">
            <w:pPr>
              <w:spacing w:line="440" w:lineRule="exact"/>
              <w:ind w:firstLine="420"/>
              <w:rPr>
                <w:rFonts w:hint="eastAsia" w:ascii="宋体" w:hAnsi="宋体" w:eastAsia="宋体" w:cs="宋体"/>
                <w:color w:val="auto"/>
                <w:sz w:val="21"/>
                <w:szCs w:val="21"/>
                <w:highlight w:val="none"/>
              </w:rPr>
            </w:pPr>
          </w:p>
        </w:tc>
        <w:tc>
          <w:tcPr>
            <w:tcW w:w="1701" w:type="dxa"/>
            <w:tcBorders>
              <w:top w:val="single" w:color="auto" w:sz="4" w:space="0"/>
              <w:left w:val="single" w:color="auto" w:sz="6" w:space="0"/>
              <w:bottom w:val="single" w:color="auto" w:sz="6" w:space="0"/>
              <w:right w:val="single" w:color="auto" w:sz="6" w:space="0"/>
            </w:tcBorders>
            <w:vAlign w:val="center"/>
          </w:tcPr>
          <w:p w14:paraId="1D1C10D4">
            <w:pPr>
              <w:spacing w:line="440" w:lineRule="exact"/>
              <w:ind w:firstLine="420"/>
              <w:rPr>
                <w:rFonts w:hint="eastAsia" w:ascii="宋体" w:hAnsi="宋体" w:eastAsia="宋体" w:cs="宋体"/>
                <w:color w:val="auto"/>
                <w:sz w:val="21"/>
                <w:szCs w:val="21"/>
                <w:highlight w:val="none"/>
              </w:rPr>
            </w:pPr>
          </w:p>
        </w:tc>
        <w:tc>
          <w:tcPr>
            <w:tcW w:w="1417" w:type="dxa"/>
            <w:tcBorders>
              <w:top w:val="single" w:color="auto" w:sz="4" w:space="0"/>
              <w:left w:val="single" w:color="auto" w:sz="6" w:space="0"/>
              <w:bottom w:val="single" w:color="auto" w:sz="6" w:space="0"/>
              <w:right w:val="single" w:color="auto" w:sz="6" w:space="0"/>
            </w:tcBorders>
            <w:vAlign w:val="center"/>
          </w:tcPr>
          <w:p w14:paraId="58BE4DF6">
            <w:pPr>
              <w:spacing w:line="440" w:lineRule="exact"/>
              <w:ind w:firstLine="420"/>
              <w:rPr>
                <w:rFonts w:hint="eastAsia" w:ascii="宋体" w:hAnsi="宋体" w:eastAsia="宋体" w:cs="宋体"/>
                <w:color w:val="auto"/>
                <w:sz w:val="21"/>
                <w:szCs w:val="21"/>
                <w:highlight w:val="none"/>
              </w:rPr>
            </w:pPr>
          </w:p>
        </w:tc>
        <w:tc>
          <w:tcPr>
            <w:tcW w:w="2410" w:type="dxa"/>
            <w:tcBorders>
              <w:top w:val="single" w:color="auto" w:sz="4" w:space="0"/>
              <w:left w:val="single" w:color="auto" w:sz="6" w:space="0"/>
              <w:bottom w:val="single" w:color="auto" w:sz="6" w:space="0"/>
              <w:right w:val="single" w:color="auto" w:sz="6" w:space="0"/>
            </w:tcBorders>
            <w:vAlign w:val="center"/>
          </w:tcPr>
          <w:p w14:paraId="17C1B202">
            <w:pPr>
              <w:spacing w:line="440" w:lineRule="exact"/>
              <w:ind w:firstLine="420"/>
              <w:rPr>
                <w:rFonts w:hint="eastAsia" w:ascii="宋体" w:hAnsi="宋体" w:eastAsia="宋体" w:cs="宋体"/>
                <w:color w:val="auto"/>
                <w:sz w:val="21"/>
                <w:szCs w:val="21"/>
                <w:highlight w:val="none"/>
              </w:rPr>
            </w:pPr>
          </w:p>
        </w:tc>
        <w:tc>
          <w:tcPr>
            <w:tcW w:w="850" w:type="dxa"/>
            <w:tcBorders>
              <w:top w:val="single" w:color="auto" w:sz="4" w:space="0"/>
              <w:left w:val="single" w:color="auto" w:sz="6" w:space="0"/>
              <w:bottom w:val="single" w:color="auto" w:sz="6" w:space="0"/>
              <w:right w:val="single" w:color="auto" w:sz="6" w:space="0"/>
            </w:tcBorders>
            <w:vAlign w:val="center"/>
          </w:tcPr>
          <w:p w14:paraId="7CD6AFD2">
            <w:pPr>
              <w:spacing w:line="440" w:lineRule="exact"/>
              <w:ind w:firstLine="420"/>
              <w:rPr>
                <w:rFonts w:hint="eastAsia" w:ascii="宋体" w:hAnsi="宋体" w:eastAsia="宋体" w:cs="宋体"/>
                <w:color w:val="auto"/>
                <w:sz w:val="21"/>
                <w:szCs w:val="21"/>
                <w:highlight w:val="none"/>
              </w:rPr>
            </w:pPr>
          </w:p>
        </w:tc>
        <w:tc>
          <w:tcPr>
            <w:tcW w:w="1560" w:type="dxa"/>
            <w:tcBorders>
              <w:top w:val="single" w:color="auto" w:sz="4" w:space="0"/>
              <w:left w:val="single" w:color="auto" w:sz="6" w:space="0"/>
              <w:bottom w:val="single" w:color="auto" w:sz="6" w:space="0"/>
              <w:right w:val="single" w:color="auto" w:sz="6" w:space="0"/>
            </w:tcBorders>
            <w:vAlign w:val="center"/>
          </w:tcPr>
          <w:p w14:paraId="5323F4DD">
            <w:pPr>
              <w:spacing w:line="440" w:lineRule="exact"/>
              <w:ind w:firstLine="420"/>
              <w:rPr>
                <w:rFonts w:hint="eastAsia" w:ascii="宋体" w:hAnsi="宋体" w:eastAsia="宋体" w:cs="宋体"/>
                <w:color w:val="auto"/>
                <w:sz w:val="21"/>
                <w:szCs w:val="21"/>
                <w:highlight w:val="none"/>
              </w:rPr>
            </w:pPr>
          </w:p>
        </w:tc>
        <w:tc>
          <w:tcPr>
            <w:tcW w:w="2126" w:type="dxa"/>
            <w:tcBorders>
              <w:top w:val="single" w:color="auto" w:sz="4" w:space="0"/>
              <w:left w:val="single" w:color="auto" w:sz="6" w:space="0"/>
              <w:bottom w:val="single" w:color="auto" w:sz="6" w:space="0"/>
              <w:right w:val="single" w:color="auto" w:sz="6" w:space="0"/>
            </w:tcBorders>
            <w:vAlign w:val="center"/>
          </w:tcPr>
          <w:p w14:paraId="25759994">
            <w:pPr>
              <w:spacing w:line="440" w:lineRule="exact"/>
              <w:ind w:firstLine="420"/>
              <w:rPr>
                <w:rFonts w:hint="eastAsia" w:ascii="宋体" w:hAnsi="宋体" w:eastAsia="宋体" w:cs="宋体"/>
                <w:color w:val="auto"/>
                <w:sz w:val="21"/>
                <w:szCs w:val="21"/>
                <w:highlight w:val="none"/>
              </w:rPr>
            </w:pPr>
          </w:p>
        </w:tc>
        <w:tc>
          <w:tcPr>
            <w:tcW w:w="1417" w:type="dxa"/>
            <w:tcBorders>
              <w:top w:val="single" w:color="auto" w:sz="4" w:space="0"/>
              <w:left w:val="single" w:color="auto" w:sz="6" w:space="0"/>
              <w:bottom w:val="single" w:color="auto" w:sz="6" w:space="0"/>
              <w:right w:val="single" w:color="auto" w:sz="6" w:space="0"/>
            </w:tcBorders>
            <w:vAlign w:val="center"/>
          </w:tcPr>
          <w:p w14:paraId="2B918DB2">
            <w:pPr>
              <w:spacing w:line="440" w:lineRule="exact"/>
              <w:ind w:firstLine="420"/>
              <w:rPr>
                <w:rFonts w:hint="eastAsia" w:ascii="宋体" w:hAnsi="宋体" w:eastAsia="宋体" w:cs="宋体"/>
                <w:color w:val="auto"/>
                <w:sz w:val="21"/>
                <w:szCs w:val="21"/>
                <w:highlight w:val="none"/>
              </w:rPr>
            </w:pPr>
          </w:p>
        </w:tc>
        <w:tc>
          <w:tcPr>
            <w:tcW w:w="851" w:type="dxa"/>
            <w:tcBorders>
              <w:top w:val="single" w:color="auto" w:sz="4" w:space="0"/>
              <w:left w:val="single" w:color="auto" w:sz="6" w:space="0"/>
              <w:bottom w:val="single" w:color="auto" w:sz="6" w:space="0"/>
              <w:right w:val="single" w:color="auto" w:sz="6" w:space="0"/>
            </w:tcBorders>
            <w:vAlign w:val="center"/>
          </w:tcPr>
          <w:p w14:paraId="09F5B1B8">
            <w:pPr>
              <w:spacing w:line="440" w:lineRule="exact"/>
              <w:ind w:firstLine="420"/>
              <w:rPr>
                <w:rFonts w:hint="eastAsia" w:ascii="宋体" w:hAnsi="宋体" w:eastAsia="宋体" w:cs="宋体"/>
                <w:color w:val="auto"/>
                <w:sz w:val="21"/>
                <w:szCs w:val="21"/>
                <w:highlight w:val="none"/>
              </w:rPr>
            </w:pPr>
          </w:p>
        </w:tc>
        <w:tc>
          <w:tcPr>
            <w:tcW w:w="850" w:type="dxa"/>
            <w:tcBorders>
              <w:top w:val="single" w:color="auto" w:sz="4" w:space="0"/>
              <w:left w:val="single" w:color="auto" w:sz="6" w:space="0"/>
              <w:bottom w:val="single" w:color="auto" w:sz="6" w:space="0"/>
              <w:right w:val="single" w:color="auto" w:sz="12" w:space="0"/>
            </w:tcBorders>
            <w:vAlign w:val="center"/>
          </w:tcPr>
          <w:p w14:paraId="31AFA155">
            <w:pPr>
              <w:spacing w:line="440" w:lineRule="exact"/>
              <w:ind w:firstLine="420"/>
              <w:rPr>
                <w:rFonts w:hint="eastAsia" w:ascii="宋体" w:hAnsi="宋体" w:eastAsia="宋体" w:cs="宋体"/>
                <w:color w:val="auto"/>
                <w:sz w:val="21"/>
                <w:szCs w:val="21"/>
                <w:highlight w:val="none"/>
              </w:rPr>
            </w:pPr>
          </w:p>
        </w:tc>
      </w:tr>
      <w:tr w14:paraId="0D53E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0A101BD0">
            <w:pPr>
              <w:spacing w:line="440" w:lineRule="exact"/>
              <w:ind w:firstLine="420"/>
              <w:rPr>
                <w:rFonts w:hint="eastAsia" w:ascii="宋体" w:hAnsi="宋体" w:eastAsia="宋体" w:cs="宋体"/>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2707C21F">
            <w:pPr>
              <w:spacing w:line="440" w:lineRule="exact"/>
              <w:ind w:firstLine="420"/>
              <w:rPr>
                <w:rFonts w:hint="eastAsia" w:ascii="宋体" w:hAnsi="宋体" w:eastAsia="宋体" w:cs="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FAEE4A5">
            <w:pPr>
              <w:spacing w:line="440" w:lineRule="exact"/>
              <w:ind w:firstLine="420"/>
              <w:rPr>
                <w:rFonts w:hint="eastAsia" w:ascii="宋体" w:hAnsi="宋体" w:eastAsia="宋体" w:cs="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23866F6D">
            <w:pPr>
              <w:spacing w:line="440" w:lineRule="exact"/>
              <w:ind w:firstLine="420"/>
              <w:rPr>
                <w:rFonts w:hint="eastAsia" w:ascii="宋体" w:hAnsi="宋体" w:eastAsia="宋体" w:cs="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76D6835">
            <w:pPr>
              <w:spacing w:line="440" w:lineRule="exact"/>
              <w:ind w:firstLine="420"/>
              <w:rPr>
                <w:rFonts w:hint="eastAsia" w:ascii="宋体" w:hAnsi="宋体" w:eastAsia="宋体" w:cs="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3B43C1A0">
            <w:pPr>
              <w:spacing w:line="440" w:lineRule="exact"/>
              <w:ind w:firstLine="420"/>
              <w:rPr>
                <w:rFonts w:hint="eastAsia" w:ascii="宋体" w:hAnsi="宋体" w:eastAsia="宋体" w:cs="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3167E115">
            <w:pPr>
              <w:spacing w:line="440" w:lineRule="exact"/>
              <w:ind w:firstLine="420"/>
              <w:rPr>
                <w:rFonts w:hint="eastAsia" w:ascii="宋体" w:hAnsi="宋体" w:eastAsia="宋体" w:cs="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7932A0D1">
            <w:pPr>
              <w:spacing w:line="440" w:lineRule="exact"/>
              <w:ind w:firstLine="420"/>
              <w:rPr>
                <w:rFonts w:hint="eastAsia" w:ascii="宋体" w:hAnsi="宋体" w:eastAsia="宋体" w:cs="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265068FD">
            <w:pPr>
              <w:spacing w:line="440" w:lineRule="exact"/>
              <w:ind w:firstLine="420"/>
              <w:rPr>
                <w:rFonts w:hint="eastAsia" w:ascii="宋体" w:hAnsi="宋体" w:eastAsia="宋体" w:cs="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75D87D83">
            <w:pPr>
              <w:spacing w:line="440" w:lineRule="exact"/>
              <w:ind w:firstLine="420"/>
              <w:rPr>
                <w:rFonts w:hint="eastAsia" w:ascii="宋体" w:hAnsi="宋体" w:eastAsia="宋体" w:cs="宋体"/>
                <w:color w:val="auto"/>
                <w:sz w:val="21"/>
                <w:szCs w:val="21"/>
                <w:highlight w:val="none"/>
              </w:rPr>
            </w:pPr>
          </w:p>
        </w:tc>
      </w:tr>
      <w:tr w14:paraId="02A5E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6" w:space="0"/>
              <w:right w:val="single" w:color="auto" w:sz="6" w:space="0"/>
            </w:tcBorders>
            <w:vAlign w:val="center"/>
          </w:tcPr>
          <w:p w14:paraId="68046F65">
            <w:pPr>
              <w:spacing w:line="440" w:lineRule="exact"/>
              <w:ind w:firstLine="420"/>
              <w:rPr>
                <w:rFonts w:hint="eastAsia" w:ascii="宋体" w:hAnsi="宋体" w:eastAsia="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0D326FD4">
            <w:pPr>
              <w:spacing w:line="440" w:lineRule="exact"/>
              <w:ind w:firstLine="420"/>
              <w:rPr>
                <w:rFonts w:hint="eastAsia" w:ascii="宋体" w:hAnsi="宋体" w:eastAsia="宋体" w:cs="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62F8CE56">
            <w:pPr>
              <w:spacing w:line="440" w:lineRule="exact"/>
              <w:ind w:firstLine="420"/>
              <w:rPr>
                <w:rFonts w:hint="eastAsia" w:ascii="宋体" w:hAnsi="宋体" w:eastAsia="宋体" w:cs="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7E10AD87">
            <w:pPr>
              <w:spacing w:line="440" w:lineRule="exact"/>
              <w:ind w:firstLine="420"/>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0DE10A6">
            <w:pPr>
              <w:spacing w:line="440" w:lineRule="exact"/>
              <w:ind w:firstLine="420"/>
              <w:rPr>
                <w:rFonts w:hint="eastAsia" w:ascii="宋体" w:hAnsi="宋体" w:eastAsia="宋体" w:cs="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2318CD7">
            <w:pPr>
              <w:spacing w:line="440" w:lineRule="exact"/>
              <w:ind w:firstLine="420"/>
              <w:rPr>
                <w:rFonts w:hint="eastAsia" w:ascii="宋体" w:hAnsi="宋体" w:eastAsia="宋体" w:cs="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01F4FA76">
            <w:pPr>
              <w:spacing w:line="440" w:lineRule="exact"/>
              <w:ind w:firstLine="420"/>
              <w:rPr>
                <w:rFonts w:hint="eastAsia" w:ascii="宋体" w:hAnsi="宋体" w:eastAsia="宋体" w:cs="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2E3938FD">
            <w:pPr>
              <w:spacing w:line="440" w:lineRule="exact"/>
              <w:ind w:firstLine="420"/>
              <w:rPr>
                <w:rFonts w:hint="eastAsia" w:ascii="宋体" w:hAnsi="宋体" w:eastAsia="宋体" w:cs="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44C1D9F">
            <w:pPr>
              <w:spacing w:line="440" w:lineRule="exact"/>
              <w:ind w:firstLine="420"/>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57195A31">
            <w:pPr>
              <w:spacing w:line="440" w:lineRule="exact"/>
              <w:ind w:firstLine="420"/>
              <w:rPr>
                <w:rFonts w:hint="eastAsia" w:ascii="宋体" w:hAnsi="宋体" w:eastAsia="宋体" w:cs="宋体"/>
                <w:color w:val="auto"/>
                <w:sz w:val="21"/>
                <w:szCs w:val="21"/>
                <w:highlight w:val="none"/>
              </w:rPr>
            </w:pPr>
          </w:p>
        </w:tc>
      </w:tr>
      <w:tr w14:paraId="0348D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317C97DB">
            <w:pPr>
              <w:spacing w:line="440" w:lineRule="exact"/>
              <w:ind w:firstLine="420"/>
              <w:rPr>
                <w:rFonts w:hint="eastAsia" w:ascii="宋体" w:hAnsi="宋体" w:eastAsia="宋体" w:cs="宋体"/>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13DA6CED">
            <w:pPr>
              <w:spacing w:line="440" w:lineRule="exact"/>
              <w:ind w:firstLine="420"/>
              <w:rPr>
                <w:rFonts w:hint="eastAsia" w:ascii="宋体" w:hAnsi="宋体" w:eastAsia="宋体" w:cs="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3D918BB3">
            <w:pPr>
              <w:spacing w:line="440" w:lineRule="exact"/>
              <w:ind w:firstLine="420"/>
              <w:rPr>
                <w:rFonts w:hint="eastAsia" w:ascii="宋体" w:hAnsi="宋体" w:eastAsia="宋体" w:cs="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13A9366F">
            <w:pPr>
              <w:spacing w:line="440" w:lineRule="exact"/>
              <w:ind w:firstLine="420"/>
              <w:rPr>
                <w:rFonts w:hint="eastAsia" w:ascii="宋体" w:hAnsi="宋体" w:eastAsia="宋体" w:cs="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5D9A0315">
            <w:pPr>
              <w:spacing w:line="440" w:lineRule="exact"/>
              <w:ind w:firstLine="420"/>
              <w:rPr>
                <w:rFonts w:hint="eastAsia" w:ascii="宋体" w:hAnsi="宋体" w:eastAsia="宋体" w:cs="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787536C2">
            <w:pPr>
              <w:spacing w:line="440" w:lineRule="exact"/>
              <w:ind w:firstLine="420"/>
              <w:rPr>
                <w:rFonts w:hint="eastAsia" w:ascii="宋体" w:hAnsi="宋体" w:eastAsia="宋体" w:cs="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43C2B387">
            <w:pPr>
              <w:spacing w:line="440" w:lineRule="exact"/>
              <w:ind w:firstLine="420"/>
              <w:rPr>
                <w:rFonts w:hint="eastAsia" w:ascii="宋体" w:hAnsi="宋体" w:eastAsia="宋体" w:cs="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F6E100C">
            <w:pPr>
              <w:spacing w:line="440" w:lineRule="exact"/>
              <w:ind w:firstLine="420"/>
              <w:rPr>
                <w:rFonts w:hint="eastAsia" w:ascii="宋体" w:hAnsi="宋体" w:eastAsia="宋体" w:cs="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5C6A5335">
            <w:pPr>
              <w:spacing w:line="440" w:lineRule="exact"/>
              <w:ind w:firstLine="420"/>
              <w:rPr>
                <w:rFonts w:hint="eastAsia" w:ascii="宋体" w:hAnsi="宋体" w:eastAsia="宋体" w:cs="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7606F097">
            <w:pPr>
              <w:spacing w:line="440" w:lineRule="exact"/>
              <w:ind w:firstLine="420"/>
              <w:rPr>
                <w:rFonts w:hint="eastAsia" w:ascii="宋体" w:hAnsi="宋体" w:eastAsia="宋体" w:cs="宋体"/>
                <w:color w:val="auto"/>
                <w:sz w:val="21"/>
                <w:szCs w:val="21"/>
                <w:highlight w:val="none"/>
              </w:rPr>
            </w:pPr>
          </w:p>
        </w:tc>
      </w:tr>
      <w:tr w14:paraId="5EB12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6" w:space="0"/>
              <w:right w:val="single" w:color="auto" w:sz="6" w:space="0"/>
            </w:tcBorders>
            <w:vAlign w:val="center"/>
          </w:tcPr>
          <w:p w14:paraId="1C6C140F">
            <w:pPr>
              <w:spacing w:line="440" w:lineRule="exact"/>
              <w:ind w:firstLine="420"/>
              <w:rPr>
                <w:rFonts w:hint="eastAsia" w:ascii="宋体" w:hAnsi="宋体" w:eastAsia="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794A31C1">
            <w:pPr>
              <w:spacing w:line="440" w:lineRule="exact"/>
              <w:ind w:firstLine="420"/>
              <w:rPr>
                <w:rFonts w:hint="eastAsia" w:ascii="宋体" w:hAnsi="宋体" w:eastAsia="宋体" w:cs="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2E63B3B3">
            <w:pPr>
              <w:spacing w:line="440" w:lineRule="exact"/>
              <w:ind w:firstLine="420"/>
              <w:rPr>
                <w:rFonts w:hint="eastAsia" w:ascii="宋体" w:hAnsi="宋体" w:eastAsia="宋体" w:cs="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41F193CC">
            <w:pPr>
              <w:spacing w:line="440" w:lineRule="exact"/>
              <w:ind w:firstLine="420"/>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BBFD4AB">
            <w:pPr>
              <w:spacing w:line="440" w:lineRule="exact"/>
              <w:ind w:firstLine="420"/>
              <w:rPr>
                <w:rFonts w:hint="eastAsia" w:ascii="宋体" w:hAnsi="宋体" w:eastAsia="宋体" w:cs="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394EA2FA">
            <w:pPr>
              <w:spacing w:line="440" w:lineRule="exact"/>
              <w:ind w:firstLine="420"/>
              <w:rPr>
                <w:rFonts w:hint="eastAsia" w:ascii="宋体" w:hAnsi="宋体" w:eastAsia="宋体" w:cs="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18CF183B">
            <w:pPr>
              <w:spacing w:line="440" w:lineRule="exact"/>
              <w:ind w:firstLine="420"/>
              <w:rPr>
                <w:rFonts w:hint="eastAsia" w:ascii="宋体" w:hAnsi="宋体" w:eastAsia="宋体" w:cs="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5BE146E1">
            <w:pPr>
              <w:spacing w:line="440" w:lineRule="exact"/>
              <w:ind w:firstLine="420"/>
              <w:rPr>
                <w:rFonts w:hint="eastAsia" w:ascii="宋体" w:hAnsi="宋体" w:eastAsia="宋体" w:cs="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C690F76">
            <w:pPr>
              <w:spacing w:line="440" w:lineRule="exact"/>
              <w:ind w:firstLine="420"/>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15830706">
            <w:pPr>
              <w:spacing w:line="440" w:lineRule="exact"/>
              <w:ind w:firstLine="420"/>
              <w:rPr>
                <w:rFonts w:hint="eastAsia" w:ascii="宋体" w:hAnsi="宋体" w:eastAsia="宋体" w:cs="宋体"/>
                <w:color w:val="auto"/>
                <w:sz w:val="21"/>
                <w:szCs w:val="21"/>
                <w:highlight w:val="none"/>
              </w:rPr>
            </w:pPr>
          </w:p>
        </w:tc>
      </w:tr>
      <w:tr w14:paraId="5042A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4E1A0438">
            <w:pPr>
              <w:spacing w:line="440" w:lineRule="exact"/>
              <w:ind w:firstLine="420"/>
              <w:rPr>
                <w:rFonts w:hint="eastAsia" w:ascii="宋体" w:hAnsi="宋体" w:eastAsia="宋体" w:cs="宋体"/>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5720B089">
            <w:pPr>
              <w:spacing w:line="440" w:lineRule="exact"/>
              <w:ind w:firstLine="420"/>
              <w:rPr>
                <w:rFonts w:hint="eastAsia" w:ascii="宋体" w:hAnsi="宋体" w:eastAsia="宋体" w:cs="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C214998">
            <w:pPr>
              <w:spacing w:line="440" w:lineRule="exact"/>
              <w:ind w:firstLine="420"/>
              <w:rPr>
                <w:rFonts w:hint="eastAsia" w:ascii="宋体" w:hAnsi="宋体" w:eastAsia="宋体" w:cs="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44110D2F">
            <w:pPr>
              <w:spacing w:line="440" w:lineRule="exact"/>
              <w:ind w:firstLine="420"/>
              <w:rPr>
                <w:rFonts w:hint="eastAsia" w:ascii="宋体" w:hAnsi="宋体" w:eastAsia="宋体" w:cs="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5D338A0E">
            <w:pPr>
              <w:spacing w:line="440" w:lineRule="exact"/>
              <w:ind w:firstLine="420"/>
              <w:rPr>
                <w:rFonts w:hint="eastAsia" w:ascii="宋体" w:hAnsi="宋体" w:eastAsia="宋体" w:cs="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1D442DF4">
            <w:pPr>
              <w:spacing w:line="440" w:lineRule="exact"/>
              <w:ind w:firstLine="420"/>
              <w:rPr>
                <w:rFonts w:hint="eastAsia" w:ascii="宋体" w:hAnsi="宋体" w:eastAsia="宋体" w:cs="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5BA3AE93">
            <w:pPr>
              <w:spacing w:line="440" w:lineRule="exact"/>
              <w:ind w:firstLine="420"/>
              <w:rPr>
                <w:rFonts w:hint="eastAsia" w:ascii="宋体" w:hAnsi="宋体" w:eastAsia="宋体" w:cs="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316D1B70">
            <w:pPr>
              <w:spacing w:line="440" w:lineRule="exact"/>
              <w:ind w:firstLine="420"/>
              <w:rPr>
                <w:rFonts w:hint="eastAsia" w:ascii="宋体" w:hAnsi="宋体" w:eastAsia="宋体" w:cs="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41C26FF4">
            <w:pPr>
              <w:spacing w:line="440" w:lineRule="exact"/>
              <w:ind w:firstLine="420"/>
              <w:rPr>
                <w:rFonts w:hint="eastAsia" w:ascii="宋体" w:hAnsi="宋体" w:eastAsia="宋体" w:cs="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5B4DBC6E">
            <w:pPr>
              <w:spacing w:line="440" w:lineRule="exact"/>
              <w:ind w:firstLine="420"/>
              <w:rPr>
                <w:rFonts w:hint="eastAsia" w:ascii="宋体" w:hAnsi="宋体" w:eastAsia="宋体" w:cs="宋体"/>
                <w:color w:val="auto"/>
                <w:sz w:val="21"/>
                <w:szCs w:val="21"/>
                <w:highlight w:val="none"/>
              </w:rPr>
            </w:pPr>
          </w:p>
        </w:tc>
      </w:tr>
      <w:tr w14:paraId="74FD4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28AD56FB">
            <w:pPr>
              <w:spacing w:line="440" w:lineRule="exact"/>
              <w:ind w:firstLine="420"/>
              <w:rPr>
                <w:rFonts w:hint="eastAsia" w:ascii="宋体" w:hAnsi="宋体" w:eastAsia="宋体" w:cs="宋体"/>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1CEEA42B">
            <w:pPr>
              <w:spacing w:line="440" w:lineRule="exact"/>
              <w:ind w:firstLine="420"/>
              <w:rPr>
                <w:rFonts w:hint="eastAsia" w:ascii="宋体" w:hAnsi="宋体" w:eastAsia="宋体" w:cs="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0A1CB5F4">
            <w:pPr>
              <w:spacing w:line="440" w:lineRule="exact"/>
              <w:ind w:firstLine="420"/>
              <w:rPr>
                <w:rFonts w:hint="eastAsia" w:ascii="宋体" w:hAnsi="宋体" w:eastAsia="宋体" w:cs="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0A7D0B30">
            <w:pPr>
              <w:spacing w:line="440" w:lineRule="exact"/>
              <w:ind w:firstLine="420"/>
              <w:rPr>
                <w:rFonts w:hint="eastAsia" w:ascii="宋体" w:hAnsi="宋体" w:eastAsia="宋体" w:cs="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A22F717">
            <w:pPr>
              <w:spacing w:line="440" w:lineRule="exact"/>
              <w:ind w:firstLine="420"/>
              <w:rPr>
                <w:rFonts w:hint="eastAsia" w:ascii="宋体" w:hAnsi="宋体" w:eastAsia="宋体" w:cs="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2A6E3893">
            <w:pPr>
              <w:spacing w:line="440" w:lineRule="exact"/>
              <w:ind w:firstLine="420"/>
              <w:rPr>
                <w:rFonts w:hint="eastAsia" w:ascii="宋体" w:hAnsi="宋体" w:eastAsia="宋体" w:cs="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617D25C2">
            <w:pPr>
              <w:spacing w:line="440" w:lineRule="exact"/>
              <w:ind w:firstLine="420"/>
              <w:rPr>
                <w:rFonts w:hint="eastAsia" w:ascii="宋体" w:hAnsi="宋体" w:eastAsia="宋体" w:cs="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91E72D3">
            <w:pPr>
              <w:spacing w:line="440" w:lineRule="exact"/>
              <w:ind w:firstLine="420"/>
              <w:rPr>
                <w:rFonts w:hint="eastAsia" w:ascii="宋体" w:hAnsi="宋体" w:eastAsia="宋体" w:cs="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4027B8FB">
            <w:pPr>
              <w:spacing w:line="440" w:lineRule="exact"/>
              <w:ind w:firstLine="420"/>
              <w:rPr>
                <w:rFonts w:hint="eastAsia" w:ascii="宋体" w:hAnsi="宋体" w:eastAsia="宋体" w:cs="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4EF05517">
            <w:pPr>
              <w:spacing w:line="440" w:lineRule="exact"/>
              <w:ind w:firstLine="420"/>
              <w:rPr>
                <w:rFonts w:hint="eastAsia" w:ascii="宋体" w:hAnsi="宋体" w:eastAsia="宋体" w:cs="宋体"/>
                <w:color w:val="auto"/>
                <w:sz w:val="21"/>
                <w:szCs w:val="21"/>
                <w:highlight w:val="none"/>
              </w:rPr>
            </w:pPr>
          </w:p>
        </w:tc>
      </w:tr>
      <w:tr w14:paraId="6447B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6" w:space="0"/>
              <w:right w:val="single" w:color="auto" w:sz="6" w:space="0"/>
            </w:tcBorders>
            <w:vAlign w:val="center"/>
          </w:tcPr>
          <w:p w14:paraId="329B87BB">
            <w:pPr>
              <w:spacing w:line="440" w:lineRule="exact"/>
              <w:ind w:firstLine="420"/>
              <w:rPr>
                <w:rFonts w:hint="eastAsia" w:ascii="宋体" w:hAnsi="宋体" w:eastAsia="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13B2D74B">
            <w:pPr>
              <w:spacing w:line="440" w:lineRule="exact"/>
              <w:ind w:firstLine="420"/>
              <w:rPr>
                <w:rFonts w:hint="eastAsia" w:ascii="宋体" w:hAnsi="宋体" w:eastAsia="宋体" w:cs="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EFA213A">
            <w:pPr>
              <w:spacing w:line="440" w:lineRule="exact"/>
              <w:ind w:firstLine="420"/>
              <w:rPr>
                <w:rFonts w:hint="eastAsia" w:ascii="宋体" w:hAnsi="宋体" w:eastAsia="宋体" w:cs="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6CD984C3">
            <w:pPr>
              <w:spacing w:line="440" w:lineRule="exact"/>
              <w:ind w:firstLine="420"/>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FC70CBF">
            <w:pPr>
              <w:spacing w:line="440" w:lineRule="exact"/>
              <w:ind w:firstLine="420"/>
              <w:rPr>
                <w:rFonts w:hint="eastAsia" w:ascii="宋体" w:hAnsi="宋体" w:eastAsia="宋体" w:cs="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240E868">
            <w:pPr>
              <w:spacing w:line="440" w:lineRule="exact"/>
              <w:ind w:firstLine="420"/>
              <w:rPr>
                <w:rFonts w:hint="eastAsia" w:ascii="宋体" w:hAnsi="宋体" w:eastAsia="宋体" w:cs="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4F20C2B6">
            <w:pPr>
              <w:spacing w:line="440" w:lineRule="exact"/>
              <w:ind w:firstLine="420"/>
              <w:rPr>
                <w:rFonts w:hint="eastAsia" w:ascii="宋体" w:hAnsi="宋体" w:eastAsia="宋体" w:cs="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36DA8D4B">
            <w:pPr>
              <w:spacing w:line="440" w:lineRule="exact"/>
              <w:ind w:firstLine="420"/>
              <w:rPr>
                <w:rFonts w:hint="eastAsia" w:ascii="宋体" w:hAnsi="宋体" w:eastAsia="宋体" w:cs="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96B5387">
            <w:pPr>
              <w:spacing w:line="440" w:lineRule="exact"/>
              <w:ind w:firstLine="420"/>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257067B8">
            <w:pPr>
              <w:spacing w:line="440" w:lineRule="exact"/>
              <w:ind w:firstLine="420"/>
              <w:rPr>
                <w:rFonts w:hint="eastAsia" w:ascii="宋体" w:hAnsi="宋体" w:eastAsia="宋体" w:cs="宋体"/>
                <w:color w:val="auto"/>
                <w:sz w:val="21"/>
                <w:szCs w:val="21"/>
                <w:highlight w:val="none"/>
              </w:rPr>
            </w:pPr>
          </w:p>
        </w:tc>
      </w:tr>
      <w:tr w14:paraId="18226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2DAF655C">
            <w:pPr>
              <w:spacing w:line="440" w:lineRule="exact"/>
              <w:ind w:firstLine="420"/>
              <w:rPr>
                <w:rFonts w:hint="eastAsia" w:ascii="宋体" w:hAnsi="宋体" w:eastAsia="宋体" w:cs="宋体"/>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3CD03DA2">
            <w:pPr>
              <w:spacing w:line="440" w:lineRule="exact"/>
              <w:ind w:firstLine="420"/>
              <w:rPr>
                <w:rFonts w:hint="eastAsia" w:ascii="宋体" w:hAnsi="宋体" w:eastAsia="宋体" w:cs="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BD94712">
            <w:pPr>
              <w:spacing w:line="440" w:lineRule="exact"/>
              <w:ind w:firstLine="420"/>
              <w:rPr>
                <w:rFonts w:hint="eastAsia" w:ascii="宋体" w:hAnsi="宋体" w:eastAsia="宋体" w:cs="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7988417F">
            <w:pPr>
              <w:spacing w:line="440" w:lineRule="exact"/>
              <w:ind w:firstLine="420"/>
              <w:rPr>
                <w:rFonts w:hint="eastAsia" w:ascii="宋体" w:hAnsi="宋体" w:eastAsia="宋体" w:cs="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B459BAC">
            <w:pPr>
              <w:spacing w:line="440" w:lineRule="exact"/>
              <w:ind w:firstLine="420"/>
              <w:rPr>
                <w:rFonts w:hint="eastAsia" w:ascii="宋体" w:hAnsi="宋体" w:eastAsia="宋体" w:cs="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3871FD1C">
            <w:pPr>
              <w:spacing w:line="440" w:lineRule="exact"/>
              <w:ind w:firstLine="420"/>
              <w:rPr>
                <w:rFonts w:hint="eastAsia" w:ascii="宋体" w:hAnsi="宋体" w:eastAsia="宋体" w:cs="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0807FD1B">
            <w:pPr>
              <w:spacing w:line="440" w:lineRule="exact"/>
              <w:ind w:firstLine="420"/>
              <w:rPr>
                <w:rFonts w:hint="eastAsia" w:ascii="宋体" w:hAnsi="宋体" w:eastAsia="宋体" w:cs="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3585B7CC">
            <w:pPr>
              <w:spacing w:line="440" w:lineRule="exact"/>
              <w:ind w:firstLine="420"/>
              <w:rPr>
                <w:rFonts w:hint="eastAsia" w:ascii="宋体" w:hAnsi="宋体" w:eastAsia="宋体" w:cs="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65E8CF6B">
            <w:pPr>
              <w:spacing w:line="440" w:lineRule="exact"/>
              <w:ind w:firstLine="420"/>
              <w:rPr>
                <w:rFonts w:hint="eastAsia" w:ascii="宋体" w:hAnsi="宋体" w:eastAsia="宋体" w:cs="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2F6A328F">
            <w:pPr>
              <w:spacing w:line="440" w:lineRule="exact"/>
              <w:ind w:firstLine="420"/>
              <w:rPr>
                <w:rFonts w:hint="eastAsia" w:ascii="宋体" w:hAnsi="宋体" w:eastAsia="宋体" w:cs="宋体"/>
                <w:color w:val="auto"/>
                <w:sz w:val="21"/>
                <w:szCs w:val="21"/>
                <w:highlight w:val="none"/>
              </w:rPr>
            </w:pPr>
          </w:p>
        </w:tc>
      </w:tr>
      <w:tr w14:paraId="5D6C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12" w:space="0"/>
              <w:right w:val="single" w:color="auto" w:sz="6" w:space="0"/>
            </w:tcBorders>
            <w:vAlign w:val="center"/>
          </w:tcPr>
          <w:p w14:paraId="7AD636AD">
            <w:pPr>
              <w:spacing w:line="440" w:lineRule="exact"/>
              <w:ind w:firstLine="420"/>
              <w:rPr>
                <w:rFonts w:hint="eastAsia" w:ascii="宋体" w:hAnsi="宋体" w:eastAsia="宋体" w:cs="宋体"/>
                <w:color w:val="auto"/>
                <w:sz w:val="21"/>
                <w:szCs w:val="21"/>
                <w:highlight w:val="none"/>
              </w:rPr>
            </w:pPr>
          </w:p>
        </w:tc>
        <w:tc>
          <w:tcPr>
            <w:tcW w:w="1701" w:type="dxa"/>
            <w:tcBorders>
              <w:top w:val="single" w:color="auto" w:sz="6" w:space="0"/>
              <w:left w:val="single" w:color="auto" w:sz="6" w:space="0"/>
              <w:bottom w:val="single" w:color="auto" w:sz="12" w:space="0"/>
              <w:right w:val="single" w:color="auto" w:sz="6" w:space="0"/>
            </w:tcBorders>
            <w:vAlign w:val="center"/>
          </w:tcPr>
          <w:p w14:paraId="06FC7639">
            <w:pPr>
              <w:spacing w:line="440" w:lineRule="exact"/>
              <w:ind w:firstLine="420"/>
              <w:rPr>
                <w:rFonts w:hint="eastAsia" w:ascii="宋体" w:hAnsi="宋体" w:eastAsia="宋体" w:cs="宋体"/>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1E50276D">
            <w:pPr>
              <w:spacing w:line="440" w:lineRule="exact"/>
              <w:ind w:firstLine="420"/>
              <w:rPr>
                <w:rFonts w:hint="eastAsia" w:ascii="宋体" w:hAnsi="宋体" w:eastAsia="宋体" w:cs="宋体"/>
                <w:color w:val="auto"/>
                <w:sz w:val="21"/>
                <w:szCs w:val="21"/>
                <w:highlight w:val="none"/>
              </w:rPr>
            </w:pPr>
          </w:p>
        </w:tc>
        <w:tc>
          <w:tcPr>
            <w:tcW w:w="2410" w:type="dxa"/>
            <w:tcBorders>
              <w:top w:val="single" w:color="auto" w:sz="6" w:space="0"/>
              <w:left w:val="single" w:color="auto" w:sz="6" w:space="0"/>
              <w:bottom w:val="single" w:color="auto" w:sz="12" w:space="0"/>
              <w:right w:val="single" w:color="auto" w:sz="6" w:space="0"/>
            </w:tcBorders>
            <w:vAlign w:val="center"/>
          </w:tcPr>
          <w:p w14:paraId="0405355A">
            <w:pPr>
              <w:spacing w:line="440" w:lineRule="exact"/>
              <w:ind w:firstLine="420"/>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56DC6C60">
            <w:pPr>
              <w:spacing w:line="440" w:lineRule="exact"/>
              <w:ind w:firstLine="420"/>
              <w:rPr>
                <w:rFonts w:hint="eastAsia" w:ascii="宋体" w:hAnsi="宋体" w:eastAsia="宋体" w:cs="宋体"/>
                <w:color w:val="auto"/>
                <w:sz w:val="21"/>
                <w:szCs w:val="21"/>
                <w:highlight w:val="none"/>
              </w:rPr>
            </w:pPr>
          </w:p>
        </w:tc>
        <w:tc>
          <w:tcPr>
            <w:tcW w:w="1560" w:type="dxa"/>
            <w:tcBorders>
              <w:top w:val="single" w:color="auto" w:sz="6" w:space="0"/>
              <w:left w:val="single" w:color="auto" w:sz="6" w:space="0"/>
              <w:bottom w:val="single" w:color="auto" w:sz="12" w:space="0"/>
              <w:right w:val="single" w:color="auto" w:sz="6" w:space="0"/>
            </w:tcBorders>
            <w:vAlign w:val="center"/>
          </w:tcPr>
          <w:p w14:paraId="61367EEE">
            <w:pPr>
              <w:spacing w:line="440" w:lineRule="exact"/>
              <w:ind w:firstLine="420"/>
              <w:rPr>
                <w:rFonts w:hint="eastAsia" w:ascii="宋体" w:hAnsi="宋体" w:eastAsia="宋体" w:cs="宋体"/>
                <w:color w:val="auto"/>
                <w:sz w:val="21"/>
                <w:szCs w:val="21"/>
                <w:highlight w:val="none"/>
              </w:rPr>
            </w:pPr>
          </w:p>
        </w:tc>
        <w:tc>
          <w:tcPr>
            <w:tcW w:w="2126" w:type="dxa"/>
            <w:tcBorders>
              <w:top w:val="single" w:color="auto" w:sz="6" w:space="0"/>
              <w:left w:val="single" w:color="auto" w:sz="6" w:space="0"/>
              <w:bottom w:val="single" w:color="auto" w:sz="12" w:space="0"/>
              <w:right w:val="single" w:color="auto" w:sz="6" w:space="0"/>
            </w:tcBorders>
            <w:vAlign w:val="center"/>
          </w:tcPr>
          <w:p w14:paraId="02B06B6C">
            <w:pPr>
              <w:spacing w:line="440" w:lineRule="exact"/>
              <w:ind w:firstLine="420"/>
              <w:rPr>
                <w:rFonts w:hint="eastAsia" w:ascii="宋体" w:hAnsi="宋体" w:eastAsia="宋体" w:cs="宋体"/>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4515C47C">
            <w:pPr>
              <w:spacing w:line="440" w:lineRule="exact"/>
              <w:ind w:firstLine="420"/>
              <w:rPr>
                <w:rFonts w:hint="eastAsia" w:ascii="宋体" w:hAnsi="宋体" w:eastAsia="宋体" w:cs="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6F1F9001">
            <w:pPr>
              <w:spacing w:line="440" w:lineRule="exact"/>
              <w:ind w:firstLine="420"/>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28E467BB">
            <w:pPr>
              <w:spacing w:line="440" w:lineRule="exact"/>
              <w:ind w:firstLine="420"/>
              <w:rPr>
                <w:rFonts w:hint="eastAsia" w:ascii="宋体" w:hAnsi="宋体" w:eastAsia="宋体" w:cs="宋体"/>
                <w:color w:val="auto"/>
                <w:sz w:val="21"/>
                <w:szCs w:val="21"/>
                <w:highlight w:val="none"/>
              </w:rPr>
            </w:pPr>
          </w:p>
        </w:tc>
      </w:tr>
    </w:tbl>
    <w:p w14:paraId="1D7AAB3E">
      <w:pPr>
        <w:widowControl/>
        <w:ind w:firstLine="482"/>
        <w:jc w:val="left"/>
        <w:rPr>
          <w:rFonts w:hint="eastAsia" w:ascii="宋体" w:hAnsi="宋体" w:eastAsia="宋体" w:cs="宋体"/>
          <w:b/>
          <w:color w:val="auto"/>
          <w:szCs w:val="21"/>
          <w:highlight w:val="none"/>
        </w:rPr>
        <w:sectPr>
          <w:pgSz w:w="16838" w:h="11906" w:orient="landscape"/>
          <w:pgMar w:top="1554" w:right="1418" w:bottom="1531" w:left="1418" w:header="851" w:footer="992" w:gutter="0"/>
          <w:pgNumType w:fmt="decimal"/>
          <w:cols w:space="720" w:num="1"/>
          <w:docGrid w:type="linesAndChars" w:linePitch="312" w:charSpace="0"/>
        </w:sectPr>
      </w:pPr>
    </w:p>
    <w:p w14:paraId="0608362E">
      <w:pPr>
        <w:spacing w:line="44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附</w:t>
      </w:r>
      <w:bookmarkStart w:id="1461" w:name="_Toc296503225"/>
      <w:bookmarkStart w:id="1462" w:name="_Toc296346726"/>
      <w:bookmarkStart w:id="1463" w:name="_Toc296891265"/>
      <w:bookmarkStart w:id="1464" w:name="_Toc296347224"/>
      <w:bookmarkStart w:id="1465" w:name="_Toc267261692"/>
      <w:bookmarkStart w:id="1466" w:name="_Toc296944564"/>
      <w:bookmarkStart w:id="1467" w:name="_Toc296891053"/>
      <w:r>
        <w:rPr>
          <w:rFonts w:hint="eastAsia" w:ascii="宋体" w:hAnsi="宋体" w:eastAsia="宋体" w:cs="宋体"/>
          <w:color w:val="auto"/>
          <w:szCs w:val="21"/>
          <w:highlight w:val="none"/>
        </w:rPr>
        <w:t>件2：</w:t>
      </w:r>
    </w:p>
    <w:bookmarkEnd w:id="1461"/>
    <w:bookmarkEnd w:id="1462"/>
    <w:bookmarkEnd w:id="1463"/>
    <w:bookmarkEnd w:id="1464"/>
    <w:bookmarkEnd w:id="1465"/>
    <w:bookmarkEnd w:id="1466"/>
    <w:bookmarkEnd w:id="1467"/>
    <w:p w14:paraId="04132F39">
      <w:pPr>
        <w:spacing w:before="120" w:beforeLines="50" w:after="120" w:afterLines="50" w:line="440" w:lineRule="exact"/>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发包人供应材料设备一览表</w:t>
      </w:r>
    </w:p>
    <w:tbl>
      <w:tblPr>
        <w:tblStyle w:val="48"/>
        <w:tblW w:w="99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75"/>
        <w:gridCol w:w="1047"/>
        <w:gridCol w:w="1274"/>
        <w:gridCol w:w="993"/>
        <w:gridCol w:w="850"/>
        <w:gridCol w:w="851"/>
        <w:gridCol w:w="992"/>
        <w:gridCol w:w="1134"/>
        <w:gridCol w:w="1134"/>
        <w:gridCol w:w="850"/>
      </w:tblGrid>
      <w:tr w14:paraId="22274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2" w:hRule="atLeast"/>
          <w:jc w:val="center"/>
        </w:trPr>
        <w:tc>
          <w:tcPr>
            <w:tcW w:w="776" w:type="dxa"/>
            <w:tcBorders>
              <w:top w:val="single" w:color="auto" w:sz="12" w:space="0"/>
              <w:left w:val="single" w:color="auto" w:sz="12" w:space="0"/>
              <w:bottom w:val="double" w:color="auto" w:sz="6" w:space="0"/>
              <w:right w:val="single" w:color="auto" w:sz="6" w:space="0"/>
            </w:tcBorders>
            <w:vAlign w:val="center"/>
          </w:tcPr>
          <w:p w14:paraId="6F074D22">
            <w:pPr>
              <w:ind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highlight w:val="none"/>
              </w:rPr>
              <w:t>序号</w:t>
            </w:r>
          </w:p>
        </w:tc>
        <w:tc>
          <w:tcPr>
            <w:tcW w:w="1048" w:type="dxa"/>
            <w:tcBorders>
              <w:top w:val="single" w:color="auto" w:sz="12" w:space="0"/>
              <w:left w:val="single" w:color="auto" w:sz="6" w:space="0"/>
              <w:bottom w:val="double" w:color="auto" w:sz="6" w:space="0"/>
              <w:right w:val="single" w:color="auto" w:sz="6" w:space="0"/>
            </w:tcBorders>
            <w:vAlign w:val="center"/>
          </w:tcPr>
          <w:p w14:paraId="062710BC">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材料、</w:t>
            </w:r>
          </w:p>
          <w:p w14:paraId="23B9A7AF">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设备品种</w:t>
            </w:r>
          </w:p>
        </w:tc>
        <w:tc>
          <w:tcPr>
            <w:tcW w:w="1275" w:type="dxa"/>
            <w:tcBorders>
              <w:top w:val="single" w:color="auto" w:sz="12" w:space="0"/>
              <w:left w:val="single" w:color="auto" w:sz="6" w:space="0"/>
              <w:bottom w:val="double" w:color="auto" w:sz="6" w:space="0"/>
              <w:right w:val="single" w:color="auto" w:sz="6" w:space="0"/>
            </w:tcBorders>
            <w:vAlign w:val="center"/>
          </w:tcPr>
          <w:p w14:paraId="24629E92">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993" w:type="dxa"/>
            <w:tcBorders>
              <w:top w:val="single" w:color="auto" w:sz="12" w:space="0"/>
              <w:left w:val="single" w:color="auto" w:sz="6" w:space="0"/>
              <w:bottom w:val="double" w:color="auto" w:sz="6" w:space="0"/>
              <w:right w:val="single" w:color="auto" w:sz="6" w:space="0"/>
            </w:tcBorders>
            <w:vAlign w:val="center"/>
          </w:tcPr>
          <w:p w14:paraId="766A1124">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850" w:type="dxa"/>
            <w:tcBorders>
              <w:top w:val="single" w:color="auto" w:sz="12" w:space="0"/>
              <w:left w:val="single" w:color="auto" w:sz="6" w:space="0"/>
              <w:bottom w:val="double" w:color="auto" w:sz="6" w:space="0"/>
              <w:right w:val="single" w:color="auto" w:sz="6" w:space="0"/>
            </w:tcBorders>
            <w:vAlign w:val="center"/>
          </w:tcPr>
          <w:p w14:paraId="5E208491">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851" w:type="dxa"/>
            <w:tcBorders>
              <w:top w:val="single" w:color="auto" w:sz="12" w:space="0"/>
              <w:left w:val="single" w:color="auto" w:sz="6" w:space="0"/>
              <w:bottom w:val="double" w:color="auto" w:sz="6" w:space="0"/>
              <w:right w:val="single" w:color="auto" w:sz="6" w:space="0"/>
            </w:tcBorders>
            <w:vAlign w:val="center"/>
          </w:tcPr>
          <w:p w14:paraId="208A9D7F">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00C8DD6B">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质量</w:t>
            </w:r>
          </w:p>
          <w:p w14:paraId="34E301E7">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等级</w:t>
            </w:r>
          </w:p>
        </w:tc>
        <w:tc>
          <w:tcPr>
            <w:tcW w:w="1134" w:type="dxa"/>
            <w:tcBorders>
              <w:top w:val="single" w:color="auto" w:sz="12" w:space="0"/>
              <w:left w:val="single" w:color="auto" w:sz="6" w:space="0"/>
              <w:bottom w:val="double" w:color="auto" w:sz="6" w:space="0"/>
              <w:right w:val="single" w:color="auto" w:sz="6" w:space="0"/>
            </w:tcBorders>
            <w:vAlign w:val="center"/>
          </w:tcPr>
          <w:p w14:paraId="03CCBEF5">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供应</w:t>
            </w:r>
          </w:p>
          <w:p w14:paraId="60C67948">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时间</w:t>
            </w:r>
          </w:p>
        </w:tc>
        <w:tc>
          <w:tcPr>
            <w:tcW w:w="1134" w:type="dxa"/>
            <w:tcBorders>
              <w:top w:val="single" w:color="auto" w:sz="12" w:space="0"/>
              <w:left w:val="single" w:color="auto" w:sz="6" w:space="0"/>
              <w:bottom w:val="double" w:color="auto" w:sz="6" w:space="0"/>
              <w:right w:val="single" w:color="auto" w:sz="6" w:space="0"/>
            </w:tcBorders>
            <w:vAlign w:val="center"/>
          </w:tcPr>
          <w:p w14:paraId="3927B129">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送达</w:t>
            </w:r>
          </w:p>
          <w:p w14:paraId="42C44690">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地点</w:t>
            </w:r>
          </w:p>
        </w:tc>
        <w:tc>
          <w:tcPr>
            <w:tcW w:w="850" w:type="dxa"/>
            <w:tcBorders>
              <w:top w:val="single" w:color="auto" w:sz="12" w:space="0"/>
              <w:left w:val="single" w:color="auto" w:sz="6" w:space="0"/>
              <w:bottom w:val="double" w:color="auto" w:sz="6" w:space="0"/>
              <w:right w:val="single" w:color="auto" w:sz="12" w:space="0"/>
            </w:tcBorders>
            <w:vAlign w:val="center"/>
          </w:tcPr>
          <w:p w14:paraId="7ED3E5E4">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3519F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double" w:color="auto" w:sz="6" w:space="0"/>
              <w:left w:val="single" w:color="auto" w:sz="12" w:space="0"/>
              <w:bottom w:val="single" w:color="auto" w:sz="6" w:space="0"/>
              <w:right w:val="single" w:color="auto" w:sz="6" w:space="0"/>
            </w:tcBorders>
            <w:vAlign w:val="center"/>
          </w:tcPr>
          <w:p w14:paraId="578FF84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48" w:type="dxa"/>
            <w:tcBorders>
              <w:top w:val="double" w:color="auto" w:sz="6" w:space="0"/>
              <w:left w:val="single" w:color="auto" w:sz="6" w:space="0"/>
              <w:bottom w:val="single" w:color="auto" w:sz="6" w:space="0"/>
              <w:right w:val="single" w:color="auto" w:sz="6" w:space="0"/>
            </w:tcBorders>
            <w:vAlign w:val="center"/>
          </w:tcPr>
          <w:p w14:paraId="4934BAB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75" w:type="dxa"/>
            <w:tcBorders>
              <w:top w:val="double" w:color="auto" w:sz="6" w:space="0"/>
              <w:left w:val="single" w:color="auto" w:sz="6" w:space="0"/>
              <w:bottom w:val="single" w:color="auto" w:sz="6" w:space="0"/>
              <w:right w:val="single" w:color="auto" w:sz="6" w:space="0"/>
            </w:tcBorders>
            <w:vAlign w:val="center"/>
          </w:tcPr>
          <w:p w14:paraId="06EC198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93" w:type="dxa"/>
            <w:tcBorders>
              <w:top w:val="double" w:color="auto" w:sz="6" w:space="0"/>
              <w:left w:val="single" w:color="auto" w:sz="6" w:space="0"/>
              <w:bottom w:val="single" w:color="auto" w:sz="6" w:space="0"/>
              <w:right w:val="single" w:color="auto" w:sz="6" w:space="0"/>
            </w:tcBorders>
            <w:vAlign w:val="center"/>
          </w:tcPr>
          <w:p w14:paraId="2A9B62F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double" w:color="auto" w:sz="6" w:space="0"/>
              <w:left w:val="single" w:color="auto" w:sz="6" w:space="0"/>
              <w:bottom w:val="single" w:color="auto" w:sz="6" w:space="0"/>
              <w:right w:val="single" w:color="auto" w:sz="6" w:space="0"/>
            </w:tcBorders>
            <w:vAlign w:val="center"/>
          </w:tcPr>
          <w:p w14:paraId="262FCC2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vAlign w:val="center"/>
          </w:tcPr>
          <w:p w14:paraId="12B7159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92" w:type="dxa"/>
            <w:tcBorders>
              <w:top w:val="double" w:color="auto" w:sz="6" w:space="0"/>
              <w:left w:val="single" w:color="auto" w:sz="6" w:space="0"/>
              <w:bottom w:val="single" w:color="auto" w:sz="6" w:space="0"/>
              <w:right w:val="single" w:color="auto" w:sz="6" w:space="0"/>
            </w:tcBorders>
            <w:vAlign w:val="center"/>
          </w:tcPr>
          <w:p w14:paraId="14C4D2A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double" w:color="auto" w:sz="6" w:space="0"/>
              <w:left w:val="single" w:color="auto" w:sz="6" w:space="0"/>
              <w:bottom w:val="single" w:color="auto" w:sz="6" w:space="0"/>
              <w:right w:val="single" w:color="auto" w:sz="6" w:space="0"/>
            </w:tcBorders>
            <w:vAlign w:val="center"/>
          </w:tcPr>
          <w:p w14:paraId="5DD2D18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double" w:color="auto" w:sz="6" w:space="0"/>
              <w:left w:val="single" w:color="auto" w:sz="6" w:space="0"/>
              <w:bottom w:val="single" w:color="auto" w:sz="6" w:space="0"/>
              <w:right w:val="single" w:color="auto" w:sz="6" w:space="0"/>
            </w:tcBorders>
            <w:vAlign w:val="center"/>
          </w:tcPr>
          <w:p w14:paraId="7BBCCEA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double" w:color="auto" w:sz="6" w:space="0"/>
              <w:left w:val="single" w:color="auto" w:sz="6" w:space="0"/>
              <w:bottom w:val="single" w:color="auto" w:sz="6" w:space="0"/>
              <w:right w:val="single" w:color="auto" w:sz="12" w:space="0"/>
            </w:tcBorders>
            <w:vAlign w:val="center"/>
          </w:tcPr>
          <w:p w14:paraId="154FE53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4A9A0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nil"/>
              <w:left w:val="single" w:color="auto" w:sz="12" w:space="0"/>
              <w:bottom w:val="single" w:color="auto" w:sz="6" w:space="0"/>
              <w:right w:val="single" w:color="auto" w:sz="6" w:space="0"/>
            </w:tcBorders>
            <w:vAlign w:val="center"/>
          </w:tcPr>
          <w:p w14:paraId="3FBC4A1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48" w:type="dxa"/>
            <w:tcBorders>
              <w:top w:val="nil"/>
              <w:left w:val="single" w:color="auto" w:sz="6" w:space="0"/>
              <w:bottom w:val="single" w:color="auto" w:sz="6" w:space="0"/>
              <w:right w:val="single" w:color="auto" w:sz="6" w:space="0"/>
            </w:tcBorders>
            <w:vAlign w:val="center"/>
          </w:tcPr>
          <w:p w14:paraId="3572299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75" w:type="dxa"/>
            <w:tcBorders>
              <w:top w:val="nil"/>
              <w:left w:val="single" w:color="auto" w:sz="6" w:space="0"/>
              <w:bottom w:val="single" w:color="auto" w:sz="6" w:space="0"/>
              <w:right w:val="single" w:color="auto" w:sz="6" w:space="0"/>
            </w:tcBorders>
            <w:vAlign w:val="center"/>
          </w:tcPr>
          <w:p w14:paraId="77B287A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93" w:type="dxa"/>
            <w:tcBorders>
              <w:top w:val="nil"/>
              <w:left w:val="single" w:color="auto" w:sz="6" w:space="0"/>
              <w:bottom w:val="single" w:color="auto" w:sz="6" w:space="0"/>
              <w:right w:val="single" w:color="auto" w:sz="6" w:space="0"/>
            </w:tcBorders>
            <w:vAlign w:val="center"/>
          </w:tcPr>
          <w:p w14:paraId="170A1C6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nil"/>
              <w:left w:val="single" w:color="auto" w:sz="6" w:space="0"/>
              <w:bottom w:val="single" w:color="auto" w:sz="6" w:space="0"/>
              <w:right w:val="single" w:color="auto" w:sz="6" w:space="0"/>
            </w:tcBorders>
            <w:vAlign w:val="center"/>
          </w:tcPr>
          <w:p w14:paraId="79F0916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vAlign w:val="center"/>
          </w:tcPr>
          <w:p w14:paraId="1D08060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92" w:type="dxa"/>
            <w:tcBorders>
              <w:top w:val="nil"/>
              <w:left w:val="single" w:color="auto" w:sz="6" w:space="0"/>
              <w:bottom w:val="single" w:color="auto" w:sz="6" w:space="0"/>
              <w:right w:val="single" w:color="auto" w:sz="6" w:space="0"/>
            </w:tcBorders>
            <w:vAlign w:val="center"/>
          </w:tcPr>
          <w:p w14:paraId="57DBDEB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28FCA1D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7EDABE1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nil"/>
              <w:left w:val="single" w:color="auto" w:sz="6" w:space="0"/>
              <w:bottom w:val="single" w:color="auto" w:sz="6" w:space="0"/>
              <w:right w:val="single" w:color="auto" w:sz="12" w:space="0"/>
            </w:tcBorders>
            <w:vAlign w:val="center"/>
          </w:tcPr>
          <w:p w14:paraId="28BBE05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4C6A5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11ABAAB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01C1373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6C70728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30E58ED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71A4AB2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554634E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016978C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64B873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A8E4A4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1FC4652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400F9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25D6D8F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3E4ED8C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71DED14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0C0ECD1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2EDD8A7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0417000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0168065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EC851F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5FD04B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46AB98B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50637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321AD1C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49EDBC2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40589C6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2275130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0066E34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062B0E4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3CCFF66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12C237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5589A3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1320121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2714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135FD23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5E10BE5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4363873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5C483BB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5A281F1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503EA5D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0E6D81E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A1C348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71739A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610C11D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057AF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4D9C228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79E6778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19845CF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05F06C4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737741E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4129024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5D494E4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04C2C7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552C00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329E7F0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19052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59BE5BB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76D1C5B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689ABA7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12F0886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30ADA61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10C9B5E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2554D1F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20893A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E16399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15AC960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5192F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74C37046">
            <w:pPr>
              <w:ind w:firstLine="420"/>
              <w:jc w:val="center"/>
              <w:rPr>
                <w:rFonts w:hint="eastAsia" w:ascii="宋体" w:hAnsi="宋体" w:eastAsia="宋体" w:cs="宋体"/>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08B72F0F">
            <w:pPr>
              <w:ind w:firstLine="420"/>
              <w:jc w:val="center"/>
              <w:rPr>
                <w:rFonts w:hint="eastAsia" w:ascii="宋体" w:hAnsi="宋体" w:eastAsia="宋体" w:cs="宋体"/>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76950F37">
            <w:pPr>
              <w:ind w:firstLine="420"/>
              <w:jc w:val="center"/>
              <w:rPr>
                <w:rFonts w:hint="eastAsia" w:ascii="宋体" w:hAnsi="宋体" w:eastAsia="宋体" w:cs="宋体"/>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F7596BC">
            <w:pPr>
              <w:ind w:firstLine="420"/>
              <w:jc w:val="center"/>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D24778C">
            <w:pPr>
              <w:ind w:firstLine="420"/>
              <w:jc w:val="center"/>
              <w:rPr>
                <w:rFonts w:hint="eastAsia" w:ascii="宋体" w:hAnsi="宋体" w:eastAsia="宋体" w:cs="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B0B1A1D">
            <w:pPr>
              <w:ind w:firstLine="420"/>
              <w:jc w:val="center"/>
              <w:rPr>
                <w:rFonts w:hint="eastAsia" w:ascii="宋体" w:hAnsi="宋体" w:eastAsia="宋体" w:cs="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63F5A5DF">
            <w:pPr>
              <w:ind w:firstLine="42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1E945F5">
            <w:pPr>
              <w:ind w:firstLine="42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D2DC210">
            <w:pPr>
              <w:ind w:firstLine="420"/>
              <w:jc w:val="center"/>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6F7AB587">
            <w:pPr>
              <w:ind w:firstLine="420"/>
              <w:jc w:val="center"/>
              <w:rPr>
                <w:rFonts w:hint="eastAsia" w:ascii="宋体" w:hAnsi="宋体" w:eastAsia="宋体" w:cs="宋体"/>
                <w:color w:val="auto"/>
                <w:sz w:val="21"/>
                <w:szCs w:val="21"/>
                <w:highlight w:val="none"/>
              </w:rPr>
            </w:pPr>
          </w:p>
        </w:tc>
      </w:tr>
      <w:tr w14:paraId="6DAF3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0DB8DC1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07DFF89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365035A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3E2668F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6295686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18D40D3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1A0CCFB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889E1F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CAFBBC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5CC4319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0997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759E0905">
            <w:pPr>
              <w:ind w:firstLine="420"/>
              <w:jc w:val="center"/>
              <w:rPr>
                <w:rFonts w:hint="eastAsia" w:ascii="宋体" w:hAnsi="宋体" w:eastAsia="宋体" w:cs="宋体"/>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4ACCEA7E">
            <w:pPr>
              <w:ind w:firstLine="420"/>
              <w:jc w:val="center"/>
              <w:rPr>
                <w:rFonts w:hint="eastAsia" w:ascii="宋体" w:hAnsi="宋体" w:eastAsia="宋体" w:cs="宋体"/>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324CD058">
            <w:pPr>
              <w:ind w:firstLine="420"/>
              <w:jc w:val="center"/>
              <w:rPr>
                <w:rFonts w:hint="eastAsia" w:ascii="宋体" w:hAnsi="宋体" w:eastAsia="宋体" w:cs="宋体"/>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7E1A160">
            <w:pPr>
              <w:ind w:firstLine="420"/>
              <w:jc w:val="center"/>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5F8BECF">
            <w:pPr>
              <w:ind w:firstLine="420"/>
              <w:jc w:val="center"/>
              <w:rPr>
                <w:rFonts w:hint="eastAsia" w:ascii="宋体" w:hAnsi="宋体" w:eastAsia="宋体" w:cs="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BCEA5C">
            <w:pPr>
              <w:ind w:firstLine="420"/>
              <w:jc w:val="center"/>
              <w:rPr>
                <w:rFonts w:hint="eastAsia" w:ascii="宋体" w:hAnsi="宋体" w:eastAsia="宋体" w:cs="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4477991F">
            <w:pPr>
              <w:ind w:firstLine="42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B3A21F7">
            <w:pPr>
              <w:ind w:firstLine="42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035C331">
            <w:pPr>
              <w:ind w:firstLine="420"/>
              <w:jc w:val="center"/>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698E0D0F">
            <w:pPr>
              <w:ind w:firstLine="420"/>
              <w:jc w:val="center"/>
              <w:rPr>
                <w:rFonts w:hint="eastAsia" w:ascii="宋体" w:hAnsi="宋体" w:eastAsia="宋体" w:cs="宋体"/>
                <w:color w:val="auto"/>
                <w:sz w:val="21"/>
                <w:szCs w:val="21"/>
                <w:highlight w:val="none"/>
              </w:rPr>
            </w:pPr>
          </w:p>
        </w:tc>
      </w:tr>
      <w:tr w14:paraId="1163B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2350D131">
            <w:pPr>
              <w:ind w:firstLine="420"/>
              <w:jc w:val="center"/>
              <w:rPr>
                <w:rFonts w:hint="eastAsia" w:ascii="宋体" w:hAnsi="宋体" w:eastAsia="宋体" w:cs="宋体"/>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6E7602C4">
            <w:pPr>
              <w:ind w:firstLine="420"/>
              <w:jc w:val="center"/>
              <w:rPr>
                <w:rFonts w:hint="eastAsia" w:ascii="宋体" w:hAnsi="宋体" w:eastAsia="宋体" w:cs="宋体"/>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4054FB5C">
            <w:pPr>
              <w:ind w:firstLine="420"/>
              <w:jc w:val="center"/>
              <w:rPr>
                <w:rFonts w:hint="eastAsia" w:ascii="宋体" w:hAnsi="宋体" w:eastAsia="宋体" w:cs="宋体"/>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173BD077">
            <w:pPr>
              <w:ind w:firstLine="420"/>
              <w:jc w:val="center"/>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CB9291D">
            <w:pPr>
              <w:ind w:firstLine="420"/>
              <w:jc w:val="center"/>
              <w:rPr>
                <w:rFonts w:hint="eastAsia" w:ascii="宋体" w:hAnsi="宋体" w:eastAsia="宋体" w:cs="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66B2D1B">
            <w:pPr>
              <w:ind w:firstLine="420"/>
              <w:jc w:val="center"/>
              <w:rPr>
                <w:rFonts w:hint="eastAsia" w:ascii="宋体" w:hAnsi="宋体" w:eastAsia="宋体" w:cs="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8AE2A1E">
            <w:pPr>
              <w:ind w:firstLine="42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C929B6A">
            <w:pPr>
              <w:ind w:firstLine="42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F60F52B">
            <w:pPr>
              <w:ind w:firstLine="420"/>
              <w:jc w:val="center"/>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25AA4D49">
            <w:pPr>
              <w:ind w:firstLine="420"/>
              <w:jc w:val="center"/>
              <w:rPr>
                <w:rFonts w:hint="eastAsia" w:ascii="宋体" w:hAnsi="宋体" w:eastAsia="宋体" w:cs="宋体"/>
                <w:color w:val="auto"/>
                <w:sz w:val="21"/>
                <w:szCs w:val="21"/>
                <w:highlight w:val="none"/>
              </w:rPr>
            </w:pPr>
          </w:p>
        </w:tc>
      </w:tr>
      <w:tr w14:paraId="44F3B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3A0E4052">
            <w:pPr>
              <w:ind w:firstLine="420"/>
              <w:jc w:val="center"/>
              <w:rPr>
                <w:rFonts w:hint="eastAsia" w:ascii="宋体" w:hAnsi="宋体" w:eastAsia="宋体" w:cs="宋体"/>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4FC65C22">
            <w:pPr>
              <w:ind w:firstLine="420"/>
              <w:jc w:val="center"/>
              <w:rPr>
                <w:rFonts w:hint="eastAsia" w:ascii="宋体" w:hAnsi="宋体" w:eastAsia="宋体" w:cs="宋体"/>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07C97619">
            <w:pPr>
              <w:ind w:firstLine="420"/>
              <w:jc w:val="center"/>
              <w:rPr>
                <w:rFonts w:hint="eastAsia" w:ascii="宋体" w:hAnsi="宋体" w:eastAsia="宋体" w:cs="宋体"/>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56C44637">
            <w:pPr>
              <w:ind w:firstLine="420"/>
              <w:jc w:val="center"/>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2C6A178">
            <w:pPr>
              <w:ind w:firstLine="420"/>
              <w:jc w:val="center"/>
              <w:rPr>
                <w:rFonts w:hint="eastAsia" w:ascii="宋体" w:hAnsi="宋体" w:eastAsia="宋体" w:cs="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92D4B3D">
            <w:pPr>
              <w:ind w:firstLine="420"/>
              <w:jc w:val="center"/>
              <w:rPr>
                <w:rFonts w:hint="eastAsia" w:ascii="宋体" w:hAnsi="宋体" w:eastAsia="宋体" w:cs="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9AC4A69">
            <w:pPr>
              <w:ind w:firstLine="42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1AF8386">
            <w:pPr>
              <w:ind w:firstLine="42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5557C4D">
            <w:pPr>
              <w:ind w:firstLine="420"/>
              <w:jc w:val="center"/>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1B8E80E6">
            <w:pPr>
              <w:ind w:firstLine="420"/>
              <w:jc w:val="center"/>
              <w:rPr>
                <w:rFonts w:hint="eastAsia" w:ascii="宋体" w:hAnsi="宋体" w:eastAsia="宋体" w:cs="宋体"/>
                <w:color w:val="auto"/>
                <w:sz w:val="21"/>
                <w:szCs w:val="21"/>
                <w:highlight w:val="none"/>
              </w:rPr>
            </w:pPr>
          </w:p>
        </w:tc>
      </w:tr>
      <w:tr w14:paraId="1578C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541D3642">
            <w:pPr>
              <w:ind w:firstLine="420"/>
              <w:jc w:val="center"/>
              <w:rPr>
                <w:rFonts w:hint="eastAsia" w:ascii="宋体" w:hAnsi="宋体" w:eastAsia="宋体" w:cs="宋体"/>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7FB758E4">
            <w:pPr>
              <w:ind w:firstLine="420"/>
              <w:jc w:val="center"/>
              <w:rPr>
                <w:rFonts w:hint="eastAsia" w:ascii="宋体" w:hAnsi="宋体" w:eastAsia="宋体" w:cs="宋体"/>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37DA17A4">
            <w:pPr>
              <w:ind w:firstLine="420"/>
              <w:jc w:val="center"/>
              <w:rPr>
                <w:rFonts w:hint="eastAsia" w:ascii="宋体" w:hAnsi="宋体" w:eastAsia="宋体" w:cs="宋体"/>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4C9CF50">
            <w:pPr>
              <w:ind w:firstLine="420"/>
              <w:jc w:val="center"/>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D22F6A6">
            <w:pPr>
              <w:ind w:firstLine="420"/>
              <w:jc w:val="center"/>
              <w:rPr>
                <w:rFonts w:hint="eastAsia" w:ascii="宋体" w:hAnsi="宋体" w:eastAsia="宋体" w:cs="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15CF5D4">
            <w:pPr>
              <w:ind w:firstLine="420"/>
              <w:jc w:val="center"/>
              <w:rPr>
                <w:rFonts w:hint="eastAsia" w:ascii="宋体" w:hAnsi="宋体" w:eastAsia="宋体" w:cs="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64F9058">
            <w:pPr>
              <w:ind w:firstLine="42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5616101">
            <w:pPr>
              <w:ind w:firstLine="42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3D31F75">
            <w:pPr>
              <w:ind w:firstLine="420"/>
              <w:jc w:val="center"/>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756A98E7">
            <w:pPr>
              <w:ind w:firstLine="420"/>
              <w:jc w:val="center"/>
              <w:rPr>
                <w:rFonts w:hint="eastAsia" w:ascii="宋体" w:hAnsi="宋体" w:eastAsia="宋体" w:cs="宋体"/>
                <w:color w:val="auto"/>
                <w:sz w:val="21"/>
                <w:szCs w:val="21"/>
                <w:highlight w:val="none"/>
              </w:rPr>
            </w:pPr>
          </w:p>
        </w:tc>
      </w:tr>
      <w:tr w14:paraId="695D8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55A1AD1E">
            <w:pPr>
              <w:ind w:firstLine="420"/>
              <w:jc w:val="center"/>
              <w:rPr>
                <w:rFonts w:hint="eastAsia" w:ascii="宋体" w:hAnsi="宋体" w:eastAsia="宋体" w:cs="宋体"/>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367B34A9">
            <w:pPr>
              <w:ind w:firstLine="420"/>
              <w:jc w:val="center"/>
              <w:rPr>
                <w:rFonts w:hint="eastAsia" w:ascii="宋体" w:hAnsi="宋体" w:eastAsia="宋体" w:cs="宋体"/>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2FA00C4A">
            <w:pPr>
              <w:ind w:firstLine="420"/>
              <w:jc w:val="center"/>
              <w:rPr>
                <w:rFonts w:hint="eastAsia" w:ascii="宋体" w:hAnsi="宋体" w:eastAsia="宋体" w:cs="宋体"/>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2A044502">
            <w:pPr>
              <w:ind w:firstLine="420"/>
              <w:jc w:val="center"/>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0D81434">
            <w:pPr>
              <w:ind w:firstLine="420"/>
              <w:jc w:val="center"/>
              <w:rPr>
                <w:rFonts w:hint="eastAsia" w:ascii="宋体" w:hAnsi="宋体" w:eastAsia="宋体" w:cs="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C8BC463">
            <w:pPr>
              <w:ind w:firstLine="420"/>
              <w:jc w:val="center"/>
              <w:rPr>
                <w:rFonts w:hint="eastAsia" w:ascii="宋体" w:hAnsi="宋体" w:eastAsia="宋体" w:cs="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18F9FE55">
            <w:pPr>
              <w:ind w:firstLine="42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99EC557">
            <w:pPr>
              <w:ind w:firstLine="42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B0578DD">
            <w:pPr>
              <w:ind w:firstLine="420"/>
              <w:jc w:val="center"/>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BFAA375">
            <w:pPr>
              <w:ind w:firstLine="420"/>
              <w:jc w:val="center"/>
              <w:rPr>
                <w:rFonts w:hint="eastAsia" w:ascii="宋体" w:hAnsi="宋体" w:eastAsia="宋体" w:cs="宋体"/>
                <w:color w:val="auto"/>
                <w:sz w:val="21"/>
                <w:szCs w:val="21"/>
                <w:highlight w:val="none"/>
              </w:rPr>
            </w:pPr>
          </w:p>
        </w:tc>
      </w:tr>
      <w:tr w14:paraId="5E356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44D0EDA9">
            <w:pPr>
              <w:ind w:firstLine="420"/>
              <w:jc w:val="center"/>
              <w:rPr>
                <w:rFonts w:hint="eastAsia" w:ascii="宋体" w:hAnsi="宋体" w:eastAsia="宋体" w:cs="宋体"/>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1E3A4A6F">
            <w:pPr>
              <w:ind w:firstLine="420"/>
              <w:jc w:val="center"/>
              <w:rPr>
                <w:rFonts w:hint="eastAsia" w:ascii="宋体" w:hAnsi="宋体" w:eastAsia="宋体" w:cs="宋体"/>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3D46363A">
            <w:pPr>
              <w:ind w:firstLine="420"/>
              <w:jc w:val="center"/>
              <w:rPr>
                <w:rFonts w:hint="eastAsia" w:ascii="宋体" w:hAnsi="宋体" w:eastAsia="宋体" w:cs="宋体"/>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99B27DC">
            <w:pPr>
              <w:ind w:firstLine="420"/>
              <w:jc w:val="center"/>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0550620">
            <w:pPr>
              <w:ind w:firstLine="420"/>
              <w:jc w:val="center"/>
              <w:rPr>
                <w:rFonts w:hint="eastAsia" w:ascii="宋体" w:hAnsi="宋体" w:eastAsia="宋体" w:cs="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8D8E659">
            <w:pPr>
              <w:ind w:firstLine="420"/>
              <w:jc w:val="center"/>
              <w:rPr>
                <w:rFonts w:hint="eastAsia" w:ascii="宋体" w:hAnsi="宋体" w:eastAsia="宋体" w:cs="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409AD4F">
            <w:pPr>
              <w:ind w:firstLine="42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24AACC1">
            <w:pPr>
              <w:ind w:firstLine="42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5D24818">
            <w:pPr>
              <w:ind w:firstLine="420"/>
              <w:jc w:val="center"/>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1F24B4B6">
            <w:pPr>
              <w:ind w:firstLine="420"/>
              <w:jc w:val="center"/>
              <w:rPr>
                <w:rFonts w:hint="eastAsia" w:ascii="宋体" w:hAnsi="宋体" w:eastAsia="宋体" w:cs="宋体"/>
                <w:color w:val="auto"/>
                <w:sz w:val="21"/>
                <w:szCs w:val="21"/>
                <w:highlight w:val="none"/>
              </w:rPr>
            </w:pPr>
          </w:p>
        </w:tc>
      </w:tr>
      <w:tr w14:paraId="473B3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415CD5FE">
            <w:pPr>
              <w:ind w:firstLine="420"/>
              <w:jc w:val="center"/>
              <w:rPr>
                <w:rFonts w:hint="eastAsia" w:ascii="宋体" w:hAnsi="宋体" w:eastAsia="宋体" w:cs="宋体"/>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218A4F29">
            <w:pPr>
              <w:ind w:firstLine="420"/>
              <w:jc w:val="center"/>
              <w:rPr>
                <w:rFonts w:hint="eastAsia" w:ascii="宋体" w:hAnsi="宋体" w:eastAsia="宋体" w:cs="宋体"/>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520BA239">
            <w:pPr>
              <w:ind w:firstLine="420"/>
              <w:jc w:val="center"/>
              <w:rPr>
                <w:rFonts w:hint="eastAsia" w:ascii="宋体" w:hAnsi="宋体" w:eastAsia="宋体" w:cs="宋体"/>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235B45BE">
            <w:pPr>
              <w:ind w:firstLine="420"/>
              <w:jc w:val="center"/>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F8F461D">
            <w:pPr>
              <w:ind w:firstLine="420"/>
              <w:jc w:val="center"/>
              <w:rPr>
                <w:rFonts w:hint="eastAsia" w:ascii="宋体" w:hAnsi="宋体" w:eastAsia="宋体" w:cs="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681BA4D">
            <w:pPr>
              <w:ind w:firstLine="420"/>
              <w:jc w:val="center"/>
              <w:rPr>
                <w:rFonts w:hint="eastAsia" w:ascii="宋体" w:hAnsi="宋体" w:eastAsia="宋体" w:cs="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9D4E7E0">
            <w:pPr>
              <w:ind w:firstLine="42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7D05649">
            <w:pPr>
              <w:ind w:firstLine="42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E8B2D86">
            <w:pPr>
              <w:ind w:firstLine="420"/>
              <w:jc w:val="center"/>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7C5E42F2">
            <w:pPr>
              <w:ind w:firstLine="420"/>
              <w:jc w:val="center"/>
              <w:rPr>
                <w:rFonts w:hint="eastAsia" w:ascii="宋体" w:hAnsi="宋体" w:eastAsia="宋体" w:cs="宋体"/>
                <w:color w:val="auto"/>
                <w:sz w:val="21"/>
                <w:szCs w:val="21"/>
                <w:highlight w:val="none"/>
              </w:rPr>
            </w:pPr>
          </w:p>
        </w:tc>
      </w:tr>
      <w:tr w14:paraId="5F043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12" w:space="0"/>
              <w:right w:val="single" w:color="auto" w:sz="6" w:space="0"/>
            </w:tcBorders>
            <w:vAlign w:val="center"/>
          </w:tcPr>
          <w:p w14:paraId="451BAA0B">
            <w:pPr>
              <w:ind w:firstLine="420"/>
              <w:jc w:val="center"/>
              <w:rPr>
                <w:rFonts w:hint="eastAsia" w:ascii="宋体" w:hAnsi="宋体" w:eastAsia="宋体" w:cs="宋体"/>
                <w:color w:val="auto"/>
                <w:sz w:val="21"/>
                <w:szCs w:val="21"/>
                <w:highlight w:val="none"/>
              </w:rPr>
            </w:pPr>
          </w:p>
        </w:tc>
        <w:tc>
          <w:tcPr>
            <w:tcW w:w="1048" w:type="dxa"/>
            <w:tcBorders>
              <w:top w:val="single" w:color="auto" w:sz="6" w:space="0"/>
              <w:left w:val="single" w:color="auto" w:sz="6" w:space="0"/>
              <w:bottom w:val="single" w:color="auto" w:sz="12" w:space="0"/>
              <w:right w:val="single" w:color="auto" w:sz="6" w:space="0"/>
            </w:tcBorders>
            <w:vAlign w:val="center"/>
          </w:tcPr>
          <w:p w14:paraId="51574CB3">
            <w:pPr>
              <w:ind w:firstLine="420"/>
              <w:jc w:val="center"/>
              <w:rPr>
                <w:rFonts w:hint="eastAsia" w:ascii="宋体" w:hAnsi="宋体" w:eastAsia="宋体" w:cs="宋体"/>
                <w:color w:val="auto"/>
                <w:sz w:val="21"/>
                <w:szCs w:val="21"/>
                <w:highlight w:val="none"/>
              </w:rPr>
            </w:pPr>
          </w:p>
        </w:tc>
        <w:tc>
          <w:tcPr>
            <w:tcW w:w="1275" w:type="dxa"/>
            <w:tcBorders>
              <w:top w:val="single" w:color="auto" w:sz="6" w:space="0"/>
              <w:left w:val="single" w:color="auto" w:sz="6" w:space="0"/>
              <w:bottom w:val="single" w:color="auto" w:sz="12" w:space="0"/>
              <w:right w:val="single" w:color="auto" w:sz="6" w:space="0"/>
            </w:tcBorders>
            <w:vAlign w:val="center"/>
          </w:tcPr>
          <w:p w14:paraId="1D264DAA">
            <w:pPr>
              <w:ind w:firstLine="420"/>
              <w:jc w:val="center"/>
              <w:rPr>
                <w:rFonts w:hint="eastAsia" w:ascii="宋体" w:hAnsi="宋体" w:eastAsia="宋体" w:cs="宋体"/>
                <w:color w:val="auto"/>
                <w:sz w:val="21"/>
                <w:szCs w:val="21"/>
                <w:highlight w:val="none"/>
              </w:rPr>
            </w:pPr>
          </w:p>
        </w:tc>
        <w:tc>
          <w:tcPr>
            <w:tcW w:w="993" w:type="dxa"/>
            <w:tcBorders>
              <w:top w:val="single" w:color="auto" w:sz="6" w:space="0"/>
              <w:left w:val="single" w:color="auto" w:sz="6" w:space="0"/>
              <w:bottom w:val="single" w:color="auto" w:sz="12" w:space="0"/>
              <w:right w:val="single" w:color="auto" w:sz="6" w:space="0"/>
            </w:tcBorders>
            <w:vAlign w:val="center"/>
          </w:tcPr>
          <w:p w14:paraId="617E360B">
            <w:pPr>
              <w:ind w:firstLine="420"/>
              <w:jc w:val="center"/>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41EC222E">
            <w:pPr>
              <w:ind w:firstLine="420"/>
              <w:jc w:val="center"/>
              <w:rPr>
                <w:rFonts w:hint="eastAsia" w:ascii="宋体" w:hAnsi="宋体" w:eastAsia="宋体" w:cs="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1AE824EA">
            <w:pPr>
              <w:ind w:firstLine="420"/>
              <w:jc w:val="center"/>
              <w:rPr>
                <w:rFonts w:hint="eastAsia" w:ascii="宋体" w:hAnsi="宋体" w:eastAsia="宋体" w:cs="宋体"/>
                <w:color w:val="auto"/>
                <w:sz w:val="21"/>
                <w:szCs w:val="21"/>
                <w:highlight w:val="none"/>
              </w:rPr>
            </w:pPr>
          </w:p>
        </w:tc>
        <w:tc>
          <w:tcPr>
            <w:tcW w:w="992" w:type="dxa"/>
            <w:tcBorders>
              <w:top w:val="single" w:color="auto" w:sz="6" w:space="0"/>
              <w:left w:val="single" w:color="auto" w:sz="6" w:space="0"/>
              <w:bottom w:val="single" w:color="auto" w:sz="12" w:space="0"/>
              <w:right w:val="single" w:color="auto" w:sz="6" w:space="0"/>
            </w:tcBorders>
            <w:vAlign w:val="center"/>
          </w:tcPr>
          <w:p w14:paraId="56DCF58E">
            <w:pPr>
              <w:ind w:firstLine="42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75C52C8A">
            <w:pPr>
              <w:ind w:firstLine="42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284A8FD0">
            <w:pPr>
              <w:ind w:firstLine="420"/>
              <w:jc w:val="center"/>
              <w:rPr>
                <w:rFonts w:hint="eastAsia" w:ascii="宋体" w:hAnsi="宋体" w:eastAsia="宋体" w:cs="宋体"/>
                <w:color w:val="auto"/>
                <w:sz w:val="21"/>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4F7BE4C5">
            <w:pPr>
              <w:ind w:firstLine="420"/>
              <w:jc w:val="center"/>
              <w:rPr>
                <w:rFonts w:hint="eastAsia" w:ascii="宋体" w:hAnsi="宋体" w:eastAsia="宋体" w:cs="宋体"/>
                <w:color w:val="auto"/>
                <w:sz w:val="21"/>
                <w:szCs w:val="21"/>
                <w:highlight w:val="none"/>
              </w:rPr>
            </w:pPr>
          </w:p>
        </w:tc>
      </w:tr>
    </w:tbl>
    <w:p w14:paraId="3914A5A4">
      <w:pPr>
        <w:pStyle w:val="23"/>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0574164">
      <w:pPr>
        <w:spacing w:line="4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1468" w:name="_Toc296346727"/>
      <w:bookmarkStart w:id="1469" w:name="_Toc296891054"/>
      <w:bookmarkStart w:id="1470" w:name="_Toc296891266"/>
      <w:bookmarkStart w:id="1471" w:name="_Toc296944565"/>
      <w:bookmarkStart w:id="1472" w:name="_Toc296347225"/>
      <w:bookmarkStart w:id="1473" w:name="_Toc267261693"/>
      <w:bookmarkStart w:id="1474" w:name="_Toc296503226"/>
      <w:r>
        <w:rPr>
          <w:rFonts w:hint="eastAsia" w:ascii="宋体" w:hAnsi="宋体" w:eastAsia="宋体" w:cs="宋体"/>
          <w:color w:val="auto"/>
          <w:szCs w:val="21"/>
          <w:highlight w:val="none"/>
        </w:rPr>
        <w:t>件3：</w:t>
      </w:r>
      <w:bookmarkEnd w:id="1468"/>
      <w:bookmarkEnd w:id="1469"/>
      <w:bookmarkEnd w:id="1470"/>
      <w:bookmarkEnd w:id="1471"/>
      <w:bookmarkEnd w:id="1472"/>
      <w:bookmarkEnd w:id="1473"/>
      <w:bookmarkEnd w:id="1474"/>
      <w:r>
        <w:rPr>
          <w:rFonts w:hint="eastAsia" w:ascii="宋体" w:hAnsi="宋体" w:eastAsia="宋体" w:cs="宋体"/>
          <w:color w:val="auto"/>
          <w:szCs w:val="21"/>
          <w:highlight w:val="none"/>
        </w:rPr>
        <w:t xml:space="preserve">    </w:t>
      </w:r>
    </w:p>
    <w:p w14:paraId="6E74787C">
      <w:pPr>
        <w:spacing w:before="120" w:beforeLines="50" w:after="120" w:afterLines="50" w:line="440" w:lineRule="exact"/>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工程质量保修书</w:t>
      </w:r>
    </w:p>
    <w:p w14:paraId="053F211D">
      <w:pPr>
        <w:spacing w:line="4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1E616F2">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30B31B5">
      <w:pPr>
        <w:spacing w:line="400" w:lineRule="exact"/>
        <w:ind w:firstLine="480"/>
        <w:rPr>
          <w:rFonts w:hint="eastAsia" w:ascii="宋体" w:hAnsi="宋体" w:eastAsia="宋体" w:cs="宋体"/>
          <w:color w:val="auto"/>
          <w:szCs w:val="21"/>
          <w:highlight w:val="none"/>
        </w:rPr>
      </w:pPr>
    </w:p>
    <w:p w14:paraId="6F7EC6E4">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发包人和承包人根据《中华人民共和国建筑法》和《建设工程质量管理条例》，经协商一致就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（工程全称）签订工程质量保修书。</w:t>
      </w:r>
    </w:p>
    <w:p w14:paraId="6DA1065F">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一、工程质量保修范围和内容</w:t>
      </w:r>
    </w:p>
    <w:p w14:paraId="557E59EE">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承包人在质量保修期内，按照有关法律规定和合同约定，承担工程质量保修责任。</w:t>
      </w:r>
    </w:p>
    <w:p w14:paraId="6B4CDD32">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质量保修范围包括承包范围内施工内容，以及双方约定的其他项目。具体保修的内容，双方约定如下：</w:t>
      </w:r>
    </w:p>
    <w:p w14:paraId="7ECEA9EB">
      <w:pPr>
        <w:autoSpaceDE w:val="0"/>
        <w:autoSpaceDN w:val="0"/>
        <w:adjustRightInd w:val="0"/>
        <w:spacing w:line="400" w:lineRule="exact"/>
        <w:ind w:left="-85" w:firstLine="482"/>
        <w:rPr>
          <w:rFonts w:hint="eastAsia" w:ascii="宋体" w:hAnsi="宋体" w:eastAsia="宋体" w:cs="宋体"/>
          <w:b/>
          <w:color w:val="auto"/>
          <w:szCs w:val="24"/>
          <w:highlight w:val="none"/>
          <w:u w:val="single"/>
        </w:rPr>
      </w:pPr>
      <w:r>
        <w:rPr>
          <w:rFonts w:hint="eastAsia" w:ascii="宋体" w:hAnsi="宋体" w:eastAsia="宋体" w:cs="宋体"/>
          <w:color w:val="auto"/>
          <w:szCs w:val="21"/>
          <w:highlight w:val="none"/>
          <w:u w:val="single"/>
          <w:lang w:eastAsia="zh-CN"/>
        </w:rPr>
        <w:t>承包</w:t>
      </w:r>
      <w:r>
        <w:rPr>
          <w:rFonts w:hint="eastAsia" w:ascii="宋体" w:hAnsi="宋体" w:eastAsia="宋体" w:cs="宋体"/>
          <w:color w:val="auto"/>
          <w:szCs w:val="21"/>
          <w:highlight w:val="none"/>
          <w:u w:val="single"/>
        </w:rPr>
        <w:t>人在质量保修期内，按照有关法律规定和合同约定，承担工程质量保修责任</w:t>
      </w:r>
      <w:r>
        <w:rPr>
          <w:rFonts w:hint="eastAsia" w:ascii="宋体" w:hAnsi="宋体" w:eastAsia="宋体" w:cs="宋体"/>
          <w:color w:val="auto"/>
          <w:szCs w:val="21"/>
          <w:highlight w:val="none"/>
        </w:rPr>
        <w:t>。</w:t>
      </w:r>
    </w:p>
    <w:p w14:paraId="595985CB">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二、质量保修期</w:t>
      </w:r>
    </w:p>
    <w:p w14:paraId="5A6EAC76">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bookmarkStart w:id="1475" w:name="OLE_LINK1"/>
      <w:r>
        <w:rPr>
          <w:rFonts w:hint="eastAsia" w:ascii="宋体" w:hAnsi="宋体" w:eastAsia="宋体" w:cs="宋体"/>
          <w:color w:val="auto"/>
          <w:szCs w:val="21"/>
          <w:highlight w:val="none"/>
        </w:rPr>
        <w:t>建设工程质量管理条例</w:t>
      </w:r>
      <w:bookmarkEnd w:id="1475"/>
      <w:r>
        <w:rPr>
          <w:rFonts w:hint="eastAsia" w:ascii="宋体" w:hAnsi="宋体" w:eastAsia="宋体" w:cs="宋体"/>
          <w:color w:val="auto"/>
          <w:szCs w:val="21"/>
          <w:highlight w:val="none"/>
        </w:rPr>
        <w:t>》及有关规定，工程的质量保修期如下：</w:t>
      </w:r>
    </w:p>
    <w:p w14:paraId="62DB2466">
      <w:pPr>
        <w:spacing w:line="400" w:lineRule="exact"/>
        <w:ind w:firstLine="439" w:firstLineChars="18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地基基础工程和主体结构工程为设计文件规定的该工程合理使用年限；</w:t>
      </w:r>
    </w:p>
    <w:p w14:paraId="0C104EB9">
      <w:pPr>
        <w:spacing w:line="400" w:lineRule="exact"/>
        <w:ind w:firstLine="439" w:firstLineChars="18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屋面防水工程、有防水要求的卫生间、房间和外墙面的防渗漏为</w:t>
      </w:r>
      <w:r>
        <w:rPr>
          <w:rFonts w:hint="eastAsia" w:ascii="宋体" w:hAnsi="宋体" w:eastAsia="宋体" w:cs="宋体"/>
          <w:color w:val="auto"/>
          <w:szCs w:val="21"/>
          <w:highlight w:val="none"/>
          <w:u w:val="single"/>
        </w:rPr>
        <w:t xml:space="preserve">   五   </w:t>
      </w:r>
      <w:r>
        <w:rPr>
          <w:rFonts w:hint="eastAsia" w:ascii="宋体" w:hAnsi="宋体" w:eastAsia="宋体" w:cs="宋体"/>
          <w:color w:val="auto"/>
          <w:szCs w:val="21"/>
          <w:highlight w:val="none"/>
        </w:rPr>
        <w:t>年；</w:t>
      </w:r>
    </w:p>
    <w:p w14:paraId="68A8D7BC">
      <w:pPr>
        <w:spacing w:line="400" w:lineRule="exact"/>
        <w:ind w:firstLine="439" w:firstLineChars="18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装修工程为</w:t>
      </w:r>
      <w:r>
        <w:rPr>
          <w:rFonts w:hint="eastAsia" w:ascii="宋体" w:hAnsi="宋体" w:eastAsia="宋体" w:cs="宋体"/>
          <w:color w:val="auto"/>
          <w:szCs w:val="21"/>
          <w:highlight w:val="none"/>
          <w:u w:val="single"/>
        </w:rPr>
        <w:t xml:space="preserve">  两 </w:t>
      </w:r>
      <w:r>
        <w:rPr>
          <w:rFonts w:hint="eastAsia" w:ascii="宋体" w:hAnsi="宋体" w:eastAsia="宋体" w:cs="宋体"/>
          <w:color w:val="auto"/>
          <w:szCs w:val="21"/>
          <w:highlight w:val="none"/>
        </w:rPr>
        <w:t>年；</w:t>
      </w:r>
    </w:p>
    <w:p w14:paraId="306940E8">
      <w:pPr>
        <w:spacing w:line="400" w:lineRule="exact"/>
        <w:ind w:firstLine="439" w:firstLineChars="18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电气管线、给排水管道、设备安装工程为</w:t>
      </w:r>
      <w:r>
        <w:rPr>
          <w:rFonts w:hint="eastAsia" w:ascii="宋体" w:hAnsi="宋体" w:eastAsia="宋体" w:cs="宋体"/>
          <w:color w:val="auto"/>
          <w:szCs w:val="21"/>
          <w:highlight w:val="none"/>
          <w:u w:val="single"/>
        </w:rPr>
        <w:t xml:space="preserve">    两   </w:t>
      </w:r>
      <w:r>
        <w:rPr>
          <w:rFonts w:hint="eastAsia" w:ascii="宋体" w:hAnsi="宋体" w:eastAsia="宋体" w:cs="宋体"/>
          <w:color w:val="auto"/>
          <w:szCs w:val="21"/>
          <w:highlight w:val="none"/>
        </w:rPr>
        <w:t>年；</w:t>
      </w:r>
    </w:p>
    <w:p w14:paraId="50EBD68D">
      <w:pPr>
        <w:spacing w:line="400" w:lineRule="exact"/>
        <w:ind w:firstLine="439" w:firstLineChars="18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供热与供冷系统为</w:t>
      </w:r>
      <w:r>
        <w:rPr>
          <w:rFonts w:hint="eastAsia" w:ascii="宋体" w:hAnsi="宋体" w:eastAsia="宋体" w:cs="宋体"/>
          <w:color w:val="auto"/>
          <w:szCs w:val="21"/>
          <w:highlight w:val="none"/>
          <w:u w:val="single"/>
        </w:rPr>
        <w:t xml:space="preserve">  两  </w:t>
      </w:r>
      <w:r>
        <w:rPr>
          <w:rFonts w:hint="eastAsia" w:ascii="宋体" w:hAnsi="宋体" w:eastAsia="宋体" w:cs="宋体"/>
          <w:color w:val="auto"/>
          <w:szCs w:val="21"/>
          <w:highlight w:val="none"/>
        </w:rPr>
        <w:t>个采暖期、供冷期；</w:t>
      </w:r>
    </w:p>
    <w:p w14:paraId="0292CA00">
      <w:pPr>
        <w:spacing w:line="400" w:lineRule="exact"/>
        <w:ind w:firstLine="439" w:firstLineChars="18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住宅小区内的给排水设施、道路等配套工程为</w:t>
      </w:r>
      <w:r>
        <w:rPr>
          <w:rFonts w:hint="eastAsia" w:ascii="宋体" w:hAnsi="宋体" w:eastAsia="宋体" w:cs="宋体"/>
          <w:color w:val="auto"/>
          <w:szCs w:val="21"/>
          <w:highlight w:val="none"/>
          <w:u w:val="single"/>
        </w:rPr>
        <w:t xml:space="preserve">    两   </w:t>
      </w:r>
      <w:r>
        <w:rPr>
          <w:rFonts w:hint="eastAsia" w:ascii="宋体" w:hAnsi="宋体" w:eastAsia="宋体" w:cs="宋体"/>
          <w:color w:val="auto"/>
          <w:szCs w:val="21"/>
          <w:highlight w:val="none"/>
        </w:rPr>
        <w:t>年；</w:t>
      </w:r>
    </w:p>
    <w:p w14:paraId="545C0F41">
      <w:pPr>
        <w:spacing w:line="400" w:lineRule="exact"/>
        <w:ind w:firstLine="439" w:firstLineChars="18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其他项目保修期限约定如下：</w:t>
      </w:r>
      <w:r>
        <w:rPr>
          <w:rFonts w:hint="eastAsia" w:ascii="宋体" w:hAnsi="宋体" w:eastAsia="宋体" w:cs="宋体"/>
          <w:color w:val="auto"/>
          <w:szCs w:val="21"/>
          <w:highlight w:val="none"/>
          <w:u w:val="single"/>
          <w:lang w:eastAsia="zh-CN"/>
        </w:rPr>
        <w:t>本工程</w:t>
      </w:r>
      <w:r>
        <w:rPr>
          <w:rFonts w:hint="eastAsia" w:ascii="宋体" w:hAnsi="宋体" w:eastAsia="宋体" w:cs="宋体"/>
          <w:color w:val="auto"/>
          <w:szCs w:val="21"/>
          <w:highlight w:val="none"/>
          <w:u w:val="single"/>
        </w:rPr>
        <w:t>质量保修期不得少于</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lang w:val="en-US" w:eastAsia="zh-CN"/>
        </w:rPr>
        <w:t>年</w:t>
      </w:r>
      <w:r>
        <w:rPr>
          <w:rFonts w:hint="eastAsia" w:ascii="宋体" w:hAnsi="宋体" w:eastAsia="宋体" w:cs="宋体"/>
          <w:color w:val="auto"/>
          <w:szCs w:val="21"/>
          <w:highlight w:val="none"/>
        </w:rPr>
        <w:t>。</w:t>
      </w:r>
    </w:p>
    <w:p w14:paraId="6AC225BA">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　质量保修期自工程竣工验收合格之日起计算。</w:t>
      </w:r>
    </w:p>
    <w:p w14:paraId="352E3DBE">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三、缺陷责任期</w:t>
      </w:r>
    </w:p>
    <w:p w14:paraId="4A036E73">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工程缺陷责任期为</w:t>
      </w:r>
      <w:r>
        <w:rPr>
          <w:rFonts w:hint="eastAsia" w:ascii="宋体" w:hAnsi="宋体" w:eastAsia="宋体" w:cs="宋体"/>
          <w:color w:val="auto"/>
          <w:szCs w:val="21"/>
          <w:highlight w:val="none"/>
          <w:u w:val="single"/>
        </w:rPr>
        <w:t xml:space="preserve"> 24</w:t>
      </w:r>
      <w:r>
        <w:rPr>
          <w:rFonts w:hint="eastAsia" w:ascii="宋体" w:hAnsi="宋体" w:eastAsia="宋体" w:cs="宋体"/>
          <w:color w:val="auto"/>
          <w:szCs w:val="21"/>
          <w:highlight w:val="none"/>
        </w:rPr>
        <w:t>个月，缺陷责任期自工程竣工验收合格之日起计算。单位工程先于全部工程进行验收，单位工程缺陷责任期自单位工程验收合格之日起算。</w:t>
      </w:r>
    </w:p>
    <w:p w14:paraId="00B1161C">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缺陷责任期终止后，发包人应退还剩余的质量保证金。</w:t>
      </w:r>
    </w:p>
    <w:p w14:paraId="24A9EBF7">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四、质量保修责任</w:t>
      </w:r>
    </w:p>
    <w:p w14:paraId="25CE3AA0">
      <w:pPr>
        <w:spacing w:line="400" w:lineRule="exact"/>
        <w:ind w:left="120" w:leftChars="50" w:firstLine="491" w:firstLineChars="205"/>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属于保修范围、内容的项目，承包人应当在接到保修通知之日起7天内派人保修。承包人不在约定期限内派人保修的，发包人可以委托他人修理。</w:t>
      </w:r>
    </w:p>
    <w:p w14:paraId="73ABCD92">
      <w:pPr>
        <w:spacing w:line="400" w:lineRule="exact"/>
        <w:ind w:left="120" w:leftChars="50" w:firstLine="491" w:firstLineChars="205"/>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发生紧急事故需抢修的，承包人在接到事故通知后，应当立即到达事故现场抢修。</w:t>
      </w:r>
    </w:p>
    <w:p w14:paraId="20FA6080">
      <w:pPr>
        <w:spacing w:line="400" w:lineRule="exact"/>
        <w:ind w:left="120" w:leftChars="50" w:firstLine="491" w:firstLineChars="205"/>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054D382">
      <w:pPr>
        <w:spacing w:line="400" w:lineRule="exact"/>
        <w:ind w:left="480" w:leftChars="200" w:firstLine="120"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质量保修完成后，由发包人组织验收。</w:t>
      </w:r>
    </w:p>
    <w:p w14:paraId="1143073C">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五、保修费用</w:t>
      </w:r>
    </w:p>
    <w:p w14:paraId="53793694">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保修费用由造成质量缺陷的责任方承担。</w:t>
      </w:r>
    </w:p>
    <w:p w14:paraId="6C2FA4EE">
      <w:pPr>
        <w:spacing w:line="400" w:lineRule="exact"/>
        <w:ind w:firstLine="482"/>
        <w:jc w:val="left"/>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六</w:t>
      </w:r>
      <w:r>
        <w:rPr>
          <w:rFonts w:hint="eastAsia" w:ascii="宋体" w:hAnsi="宋体" w:eastAsia="宋体" w:cs="宋体"/>
          <w:color w:val="auto"/>
          <w:szCs w:val="21"/>
          <w:highlight w:val="none"/>
        </w:rPr>
        <w:t>、双方约定的其他工程质量保修事项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本项目不收取质量保证金，但并不能免除承包人按照合同约定应承担的质量保修责任和应履行的质量保修义务</w:t>
      </w:r>
      <w:r>
        <w:rPr>
          <w:rFonts w:hint="eastAsia" w:ascii="宋体" w:hAnsi="宋体" w:eastAsia="宋体" w:cs="宋体"/>
          <w:color w:val="auto"/>
          <w:szCs w:val="21"/>
          <w:highlight w:val="none"/>
          <w:u w:val="single"/>
        </w:rPr>
        <w:t>。</w:t>
      </w:r>
    </w:p>
    <w:p w14:paraId="7AD71E24">
      <w:pPr>
        <w:spacing w:line="40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工程质量保修书由发包人、承包人在工程竣工验收前共同签署，作为施工合同附件，其有效期限至保修期满。</w:t>
      </w:r>
    </w:p>
    <w:p w14:paraId="29AC49A2">
      <w:pPr>
        <w:ind w:firstLine="480"/>
        <w:rPr>
          <w:rFonts w:hint="eastAsia" w:ascii="宋体" w:hAnsi="宋体" w:eastAsia="宋体" w:cs="宋体"/>
          <w:color w:val="auto"/>
          <w:szCs w:val="21"/>
          <w:highlight w:val="none"/>
        </w:rPr>
      </w:pPr>
    </w:p>
    <w:p w14:paraId="51919DBF">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承包人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A5D96AE">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36A796F">
      <w:pPr>
        <w:ind w:firstLine="4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6C18A91">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委托代理人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9ED9E17">
      <w:pPr>
        <w:ind w:firstLine="4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14:paraId="6BD6A1C8">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  真：</w:t>
      </w:r>
      <w:r>
        <w:rPr>
          <w:rFonts w:hint="eastAsia" w:ascii="宋体" w:hAnsi="宋体" w:eastAsia="宋体" w:cs="宋体"/>
          <w:color w:val="auto"/>
          <w:szCs w:val="21"/>
          <w:highlight w:val="none"/>
          <w:u w:val="single"/>
        </w:rPr>
        <w:t xml:space="preserve">                     </w:t>
      </w:r>
    </w:p>
    <w:p w14:paraId="24097629">
      <w:pPr>
        <w:ind w:firstLine="4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1A06CA27">
      <w:pPr>
        <w:ind w:firstLine="4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账  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账  号：</w:t>
      </w:r>
      <w:r>
        <w:rPr>
          <w:rFonts w:hint="eastAsia" w:ascii="宋体" w:hAnsi="宋体" w:eastAsia="宋体" w:cs="宋体"/>
          <w:color w:val="auto"/>
          <w:szCs w:val="21"/>
          <w:highlight w:val="none"/>
          <w:u w:val="single"/>
        </w:rPr>
        <w:t xml:space="preserve">                    </w:t>
      </w:r>
    </w:p>
    <w:p w14:paraId="11860A0B">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rPr>
        <w:br w:type="page"/>
      </w:r>
      <w:r>
        <w:rPr>
          <w:rFonts w:hint="eastAsia" w:ascii="宋体" w:hAnsi="宋体" w:eastAsia="宋体" w:cs="宋体"/>
          <w:color w:val="auto"/>
          <w:szCs w:val="21"/>
          <w:highlight w:val="none"/>
        </w:rPr>
        <w:t>附件4：</w:t>
      </w:r>
    </w:p>
    <w:p w14:paraId="5E3C1399">
      <w:pPr>
        <w:spacing w:before="120" w:beforeLines="50" w:after="120" w:afterLines="50" w:line="440" w:lineRule="exact"/>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主要建设工程文件目录</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EADA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41C8B8F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4C6D84A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20878E42">
            <w:pPr>
              <w:keepNext/>
              <w:autoSpaceDE w:val="0"/>
              <w:autoSpaceDN w:val="0"/>
              <w:spacing w:line="440" w:lineRule="exact"/>
              <w:ind w:right="63"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0B69304E">
            <w:pPr>
              <w:keepNext/>
              <w:autoSpaceDE w:val="0"/>
              <w:autoSpaceDN w:val="0"/>
              <w:spacing w:line="440" w:lineRule="exact"/>
              <w:ind w:right="63"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质量</w:t>
            </w:r>
          </w:p>
        </w:tc>
        <w:tc>
          <w:tcPr>
            <w:tcW w:w="1450" w:type="dxa"/>
            <w:tcBorders>
              <w:top w:val="single" w:color="auto" w:sz="12" w:space="0"/>
              <w:left w:val="single" w:color="auto" w:sz="6" w:space="0"/>
              <w:bottom w:val="double" w:color="auto" w:sz="6" w:space="0"/>
              <w:right w:val="single" w:color="auto" w:sz="6" w:space="0"/>
            </w:tcBorders>
          </w:tcPr>
          <w:p w14:paraId="5D6EC7E6">
            <w:pPr>
              <w:keepNext/>
              <w:autoSpaceDE w:val="0"/>
              <w:autoSpaceDN w:val="0"/>
              <w:spacing w:line="440" w:lineRule="exact"/>
              <w:ind w:right="63" w:firstLineChars="0"/>
              <w:jc w:val="left"/>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移交时间</w:t>
            </w:r>
          </w:p>
        </w:tc>
        <w:tc>
          <w:tcPr>
            <w:tcW w:w="1667" w:type="dxa"/>
            <w:tcBorders>
              <w:top w:val="single" w:color="auto" w:sz="12" w:space="0"/>
              <w:left w:val="single" w:color="auto" w:sz="6" w:space="0"/>
              <w:bottom w:val="double" w:color="auto" w:sz="6" w:space="0"/>
              <w:right w:val="single" w:color="auto" w:sz="12" w:space="0"/>
            </w:tcBorders>
          </w:tcPr>
          <w:p w14:paraId="7DF798CB">
            <w:pPr>
              <w:keepNext/>
              <w:autoSpaceDE w:val="0"/>
              <w:autoSpaceDN w:val="0"/>
              <w:spacing w:line="440" w:lineRule="exact"/>
              <w:ind w:right="63" w:firstLine="489" w:firstLineChars="233"/>
              <w:jc w:val="left"/>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责任人</w:t>
            </w:r>
          </w:p>
        </w:tc>
      </w:tr>
      <w:tr w14:paraId="1194C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06DC0E9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76" w:type="dxa"/>
            <w:tcBorders>
              <w:top w:val="double" w:color="auto" w:sz="6" w:space="0"/>
              <w:left w:val="single" w:color="auto" w:sz="6" w:space="0"/>
              <w:bottom w:val="single" w:color="auto" w:sz="6" w:space="0"/>
              <w:right w:val="single" w:color="auto" w:sz="6" w:space="0"/>
            </w:tcBorders>
            <w:vAlign w:val="center"/>
          </w:tcPr>
          <w:p w14:paraId="4327E79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50" w:type="dxa"/>
            <w:tcBorders>
              <w:top w:val="double" w:color="auto" w:sz="6" w:space="0"/>
              <w:left w:val="single" w:color="auto" w:sz="6" w:space="0"/>
              <w:bottom w:val="single" w:color="auto" w:sz="6" w:space="0"/>
              <w:right w:val="single" w:color="auto" w:sz="6" w:space="0"/>
            </w:tcBorders>
            <w:vAlign w:val="center"/>
          </w:tcPr>
          <w:p w14:paraId="6CEC123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43" w:type="dxa"/>
            <w:tcBorders>
              <w:top w:val="double" w:color="auto" w:sz="6" w:space="0"/>
              <w:left w:val="single" w:color="auto" w:sz="6" w:space="0"/>
              <w:bottom w:val="single" w:color="auto" w:sz="6" w:space="0"/>
              <w:right w:val="single" w:color="auto" w:sz="6" w:space="0"/>
            </w:tcBorders>
            <w:vAlign w:val="center"/>
          </w:tcPr>
          <w:p w14:paraId="3783FF6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50" w:type="dxa"/>
            <w:tcBorders>
              <w:top w:val="double" w:color="auto" w:sz="6" w:space="0"/>
              <w:left w:val="single" w:color="auto" w:sz="6" w:space="0"/>
              <w:bottom w:val="single" w:color="auto" w:sz="6" w:space="0"/>
              <w:right w:val="single" w:color="auto" w:sz="6" w:space="0"/>
            </w:tcBorders>
            <w:vAlign w:val="center"/>
          </w:tcPr>
          <w:p w14:paraId="5DEA056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667" w:type="dxa"/>
            <w:tcBorders>
              <w:top w:val="double" w:color="auto" w:sz="6" w:space="0"/>
              <w:left w:val="single" w:color="auto" w:sz="6" w:space="0"/>
              <w:bottom w:val="single" w:color="auto" w:sz="6" w:space="0"/>
              <w:right w:val="single" w:color="auto" w:sz="12" w:space="0"/>
            </w:tcBorders>
            <w:vAlign w:val="center"/>
          </w:tcPr>
          <w:p w14:paraId="75DF463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06D15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12E1AD1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76" w:type="dxa"/>
            <w:tcBorders>
              <w:top w:val="nil"/>
              <w:left w:val="single" w:color="auto" w:sz="6" w:space="0"/>
              <w:bottom w:val="single" w:color="auto" w:sz="6" w:space="0"/>
              <w:right w:val="single" w:color="auto" w:sz="6" w:space="0"/>
            </w:tcBorders>
            <w:vAlign w:val="center"/>
          </w:tcPr>
          <w:p w14:paraId="76BA4A6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50" w:type="dxa"/>
            <w:tcBorders>
              <w:top w:val="nil"/>
              <w:left w:val="single" w:color="auto" w:sz="6" w:space="0"/>
              <w:bottom w:val="single" w:color="auto" w:sz="6" w:space="0"/>
              <w:right w:val="single" w:color="auto" w:sz="6" w:space="0"/>
            </w:tcBorders>
            <w:vAlign w:val="center"/>
          </w:tcPr>
          <w:p w14:paraId="63C6608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43" w:type="dxa"/>
            <w:tcBorders>
              <w:top w:val="nil"/>
              <w:left w:val="single" w:color="auto" w:sz="6" w:space="0"/>
              <w:bottom w:val="single" w:color="auto" w:sz="6" w:space="0"/>
              <w:right w:val="single" w:color="auto" w:sz="6" w:space="0"/>
            </w:tcBorders>
            <w:vAlign w:val="center"/>
          </w:tcPr>
          <w:p w14:paraId="4C733ED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50" w:type="dxa"/>
            <w:tcBorders>
              <w:top w:val="nil"/>
              <w:left w:val="single" w:color="auto" w:sz="6" w:space="0"/>
              <w:bottom w:val="single" w:color="auto" w:sz="6" w:space="0"/>
              <w:right w:val="single" w:color="auto" w:sz="6" w:space="0"/>
            </w:tcBorders>
            <w:vAlign w:val="center"/>
          </w:tcPr>
          <w:p w14:paraId="7C3F9A3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667" w:type="dxa"/>
            <w:tcBorders>
              <w:top w:val="nil"/>
              <w:left w:val="single" w:color="auto" w:sz="6" w:space="0"/>
              <w:bottom w:val="single" w:color="auto" w:sz="6" w:space="0"/>
              <w:right w:val="single" w:color="auto" w:sz="12" w:space="0"/>
            </w:tcBorders>
            <w:vAlign w:val="center"/>
          </w:tcPr>
          <w:p w14:paraId="2F0C52C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6FB08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7200E2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13CB0C1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6F9B8AB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3D26AAA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0F6DF72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08B054C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773AF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246FD4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586EEFF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32F7F36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6D40894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5FDE8B9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779DAE7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7075E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BDCB98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4DC7605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74C6D43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0AC77B0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21C76E9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7AE9A54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2F569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7236D8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252EC88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0ECF210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3B3308C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2FE457B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6606D64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59E57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7202CD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1864D90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6FE769E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1BD6231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010C624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5321FCA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452BB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vAlign w:val="center"/>
          </w:tcPr>
          <w:p w14:paraId="53D2737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76" w:type="dxa"/>
            <w:tcBorders>
              <w:top w:val="single" w:color="auto" w:sz="6" w:space="0"/>
              <w:left w:val="single" w:color="auto" w:sz="6" w:space="0"/>
              <w:bottom w:val="single" w:color="auto" w:sz="12" w:space="0"/>
              <w:right w:val="single" w:color="auto" w:sz="6" w:space="0"/>
            </w:tcBorders>
            <w:vAlign w:val="center"/>
          </w:tcPr>
          <w:p w14:paraId="4BA5C02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50" w:type="dxa"/>
            <w:tcBorders>
              <w:top w:val="single" w:color="auto" w:sz="6" w:space="0"/>
              <w:left w:val="single" w:color="auto" w:sz="6" w:space="0"/>
              <w:bottom w:val="single" w:color="auto" w:sz="12" w:space="0"/>
              <w:right w:val="single" w:color="auto" w:sz="6" w:space="0"/>
            </w:tcBorders>
            <w:vAlign w:val="center"/>
          </w:tcPr>
          <w:p w14:paraId="30C8888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243" w:type="dxa"/>
            <w:tcBorders>
              <w:top w:val="single" w:color="auto" w:sz="6" w:space="0"/>
              <w:left w:val="single" w:color="auto" w:sz="6" w:space="0"/>
              <w:bottom w:val="single" w:color="auto" w:sz="12" w:space="0"/>
              <w:right w:val="single" w:color="auto" w:sz="6" w:space="0"/>
            </w:tcBorders>
            <w:vAlign w:val="center"/>
          </w:tcPr>
          <w:p w14:paraId="182A9B6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50" w:type="dxa"/>
            <w:tcBorders>
              <w:top w:val="single" w:color="auto" w:sz="6" w:space="0"/>
              <w:left w:val="single" w:color="auto" w:sz="6" w:space="0"/>
              <w:bottom w:val="single" w:color="auto" w:sz="12" w:space="0"/>
              <w:right w:val="single" w:color="auto" w:sz="6" w:space="0"/>
            </w:tcBorders>
            <w:vAlign w:val="center"/>
          </w:tcPr>
          <w:p w14:paraId="3597A72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667" w:type="dxa"/>
            <w:tcBorders>
              <w:top w:val="single" w:color="auto" w:sz="6" w:space="0"/>
              <w:left w:val="single" w:color="auto" w:sz="6" w:space="0"/>
              <w:bottom w:val="single" w:color="auto" w:sz="12" w:space="0"/>
              <w:right w:val="single" w:color="auto" w:sz="12" w:space="0"/>
            </w:tcBorders>
            <w:vAlign w:val="center"/>
          </w:tcPr>
          <w:p w14:paraId="15F3CDD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bl>
    <w:p w14:paraId="3A399863">
      <w:pPr>
        <w:spacing w:line="440" w:lineRule="exact"/>
        <w:ind w:firstLine="420"/>
        <w:rPr>
          <w:rFonts w:hint="eastAsia" w:ascii="宋体" w:hAnsi="宋体" w:eastAsia="宋体" w:cs="宋体"/>
          <w:color w:val="auto"/>
          <w:sz w:val="21"/>
          <w:szCs w:val="21"/>
          <w:highlight w:val="none"/>
        </w:rPr>
      </w:pPr>
    </w:p>
    <w:p w14:paraId="4E97E927">
      <w:pPr>
        <w:pStyle w:val="23"/>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4D8592E">
      <w:pPr>
        <w:spacing w:line="440" w:lineRule="exact"/>
        <w:ind w:firstLine="420"/>
        <w:rPr>
          <w:rFonts w:hint="eastAsia" w:ascii="宋体" w:hAnsi="宋体" w:eastAsia="宋体" w:cs="宋体"/>
          <w:color w:val="auto"/>
          <w:sz w:val="21"/>
          <w:szCs w:val="21"/>
          <w:highlight w:val="none"/>
        </w:rPr>
      </w:pPr>
    </w:p>
    <w:p w14:paraId="6AE215A5">
      <w:pPr>
        <w:spacing w:line="4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1476" w:name="_Toc267261698"/>
      <w:bookmarkStart w:id="1477" w:name="_Toc296503227"/>
      <w:bookmarkStart w:id="1478" w:name="_Toc296891055"/>
      <w:bookmarkStart w:id="1479" w:name="_Toc296891267"/>
      <w:bookmarkStart w:id="1480" w:name="_Toc296347226"/>
      <w:bookmarkStart w:id="1481" w:name="_Toc296944566"/>
      <w:bookmarkStart w:id="1482" w:name="_Toc296346728"/>
      <w:r>
        <w:rPr>
          <w:rFonts w:hint="eastAsia" w:ascii="宋体" w:hAnsi="宋体" w:eastAsia="宋体" w:cs="宋体"/>
          <w:color w:val="auto"/>
          <w:szCs w:val="21"/>
          <w:highlight w:val="none"/>
        </w:rPr>
        <w:t>件5：</w:t>
      </w:r>
    </w:p>
    <w:bookmarkEnd w:id="1476"/>
    <w:bookmarkEnd w:id="1477"/>
    <w:bookmarkEnd w:id="1478"/>
    <w:bookmarkEnd w:id="1479"/>
    <w:bookmarkEnd w:id="1480"/>
    <w:bookmarkEnd w:id="1481"/>
    <w:bookmarkEnd w:id="1482"/>
    <w:p w14:paraId="7E655645">
      <w:pPr>
        <w:spacing w:before="120" w:beforeLines="50" w:after="120" w:afterLines="50" w:line="440" w:lineRule="exact"/>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承包人用于本工程施工的机械设备表</w:t>
      </w:r>
    </w:p>
    <w:tbl>
      <w:tblPr>
        <w:tblStyle w:val="4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6BCB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10AB94AC">
            <w:pPr>
              <w:ind w:firstLine="319" w:firstLineChars="133"/>
              <w:rPr>
                <w:rFonts w:hint="eastAsia" w:ascii="宋体" w:hAnsi="宋体" w:eastAsia="宋体" w:cs="宋体"/>
                <w:color w:val="auto"/>
                <w:sz w:val="21"/>
                <w:szCs w:val="24"/>
                <w:highlight w:val="none"/>
              </w:rPr>
            </w:pPr>
            <w:r>
              <w:rPr>
                <w:rFonts w:hint="eastAsia" w:ascii="宋体" w:hAnsi="宋体" w:eastAsia="宋体" w:cs="宋体"/>
                <w:color w:val="auto"/>
                <w:highlight w:val="none"/>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21734ADA">
            <w:pPr>
              <w:ind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highlight w:val="none"/>
              </w:rPr>
              <w:t>机械或设备名称</w:t>
            </w:r>
          </w:p>
        </w:tc>
        <w:tc>
          <w:tcPr>
            <w:tcW w:w="850" w:type="dxa"/>
            <w:tcBorders>
              <w:top w:val="single" w:color="auto" w:sz="12" w:space="0"/>
              <w:left w:val="single" w:color="auto" w:sz="6" w:space="0"/>
              <w:bottom w:val="double" w:color="auto" w:sz="6" w:space="0"/>
              <w:right w:val="single" w:color="auto" w:sz="6" w:space="0"/>
            </w:tcBorders>
            <w:vAlign w:val="center"/>
          </w:tcPr>
          <w:p w14:paraId="5F0B41CB">
            <w:pPr>
              <w:ind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highlight w:val="none"/>
              </w:rPr>
              <w:t>规格型号</w:t>
            </w:r>
          </w:p>
        </w:tc>
        <w:tc>
          <w:tcPr>
            <w:tcW w:w="1058" w:type="dxa"/>
            <w:tcBorders>
              <w:top w:val="single" w:color="auto" w:sz="12" w:space="0"/>
              <w:left w:val="single" w:color="auto" w:sz="6" w:space="0"/>
              <w:bottom w:val="double" w:color="auto" w:sz="6" w:space="0"/>
              <w:right w:val="single" w:color="auto" w:sz="6" w:space="0"/>
            </w:tcBorders>
            <w:vAlign w:val="center"/>
          </w:tcPr>
          <w:p w14:paraId="4DE7F637">
            <w:pPr>
              <w:ind w:firstLine="199" w:firstLineChars="83"/>
              <w:rPr>
                <w:rFonts w:hint="eastAsia" w:ascii="宋体" w:hAnsi="宋体" w:eastAsia="宋体" w:cs="宋体"/>
                <w:color w:val="auto"/>
                <w:sz w:val="21"/>
                <w:szCs w:val="24"/>
                <w:highlight w:val="none"/>
              </w:rPr>
            </w:pPr>
            <w:r>
              <w:rPr>
                <w:rFonts w:hint="eastAsia" w:ascii="宋体" w:hAnsi="宋体" w:eastAsia="宋体" w:cs="宋体"/>
                <w:color w:val="auto"/>
                <w:highlight w:val="none"/>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56DD8448">
            <w:pPr>
              <w:ind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highlight w:val="none"/>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0B289201">
            <w:pPr>
              <w:ind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highlight w:val="none"/>
              </w:rPr>
              <w:t>制造年份</w:t>
            </w:r>
          </w:p>
        </w:tc>
        <w:tc>
          <w:tcPr>
            <w:tcW w:w="1480" w:type="dxa"/>
            <w:tcBorders>
              <w:top w:val="single" w:color="auto" w:sz="12" w:space="0"/>
              <w:left w:val="single" w:color="auto" w:sz="6" w:space="0"/>
              <w:bottom w:val="double" w:color="auto" w:sz="6" w:space="0"/>
              <w:right w:val="single" w:color="auto" w:sz="6" w:space="0"/>
            </w:tcBorders>
            <w:vAlign w:val="center"/>
          </w:tcPr>
          <w:p w14:paraId="2E75EDA8">
            <w:pPr>
              <w:ind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highlight w:val="none"/>
              </w:rPr>
              <w:t>额定功率</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kW</w:t>
            </w:r>
            <w:r>
              <w:rPr>
                <w:rFonts w:hint="eastAsia" w:ascii="宋体" w:hAnsi="宋体" w:eastAsia="宋体" w:cs="宋体"/>
                <w:color w:val="auto"/>
                <w:highlight w:val="none"/>
                <w:lang w:eastAsia="zh-CN"/>
              </w:rPr>
              <w:t>）</w:t>
            </w:r>
          </w:p>
        </w:tc>
        <w:tc>
          <w:tcPr>
            <w:tcW w:w="1020" w:type="dxa"/>
            <w:tcBorders>
              <w:top w:val="single" w:color="auto" w:sz="12" w:space="0"/>
              <w:left w:val="single" w:color="auto" w:sz="6" w:space="0"/>
              <w:bottom w:val="double" w:color="auto" w:sz="6" w:space="0"/>
              <w:right w:val="single" w:color="auto" w:sz="6" w:space="0"/>
            </w:tcBorders>
            <w:vAlign w:val="center"/>
          </w:tcPr>
          <w:p w14:paraId="7D2B0FD5">
            <w:pPr>
              <w:ind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highlight w:val="none"/>
              </w:rPr>
              <w:t>生产能力</w:t>
            </w:r>
          </w:p>
        </w:tc>
        <w:tc>
          <w:tcPr>
            <w:tcW w:w="921" w:type="dxa"/>
            <w:tcBorders>
              <w:top w:val="single" w:color="auto" w:sz="12" w:space="0"/>
              <w:left w:val="single" w:color="auto" w:sz="6" w:space="0"/>
              <w:bottom w:val="double" w:color="auto" w:sz="6" w:space="0"/>
              <w:right w:val="single" w:color="auto" w:sz="12" w:space="0"/>
            </w:tcBorders>
            <w:vAlign w:val="center"/>
          </w:tcPr>
          <w:p w14:paraId="780B5B5B">
            <w:pPr>
              <w:ind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highlight w:val="none"/>
              </w:rPr>
              <w:t>备注</w:t>
            </w:r>
          </w:p>
        </w:tc>
      </w:tr>
      <w:tr w14:paraId="38ADB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6FED07A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vAlign w:val="center"/>
          </w:tcPr>
          <w:p w14:paraId="734AE3A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double" w:color="auto" w:sz="6" w:space="0"/>
              <w:left w:val="single" w:color="auto" w:sz="6" w:space="0"/>
              <w:bottom w:val="single" w:color="auto" w:sz="6" w:space="0"/>
              <w:right w:val="single" w:color="auto" w:sz="6" w:space="0"/>
            </w:tcBorders>
            <w:vAlign w:val="center"/>
          </w:tcPr>
          <w:p w14:paraId="1B0CB68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58" w:type="dxa"/>
            <w:tcBorders>
              <w:top w:val="double" w:color="auto" w:sz="6" w:space="0"/>
              <w:left w:val="single" w:color="auto" w:sz="6" w:space="0"/>
              <w:bottom w:val="single" w:color="auto" w:sz="6" w:space="0"/>
              <w:right w:val="single" w:color="auto" w:sz="6" w:space="0"/>
            </w:tcBorders>
            <w:vAlign w:val="center"/>
          </w:tcPr>
          <w:p w14:paraId="51C2C3F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80" w:type="dxa"/>
            <w:tcBorders>
              <w:top w:val="double" w:color="auto" w:sz="6" w:space="0"/>
              <w:left w:val="single" w:color="auto" w:sz="6" w:space="0"/>
              <w:bottom w:val="single" w:color="auto" w:sz="6" w:space="0"/>
              <w:right w:val="single" w:color="auto" w:sz="6" w:space="0"/>
            </w:tcBorders>
            <w:vAlign w:val="center"/>
          </w:tcPr>
          <w:p w14:paraId="37E5992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20" w:type="dxa"/>
            <w:tcBorders>
              <w:top w:val="double" w:color="auto" w:sz="6" w:space="0"/>
              <w:left w:val="single" w:color="auto" w:sz="6" w:space="0"/>
              <w:bottom w:val="single" w:color="auto" w:sz="6" w:space="0"/>
              <w:right w:val="single" w:color="auto" w:sz="6" w:space="0"/>
            </w:tcBorders>
            <w:vAlign w:val="center"/>
          </w:tcPr>
          <w:p w14:paraId="7E322C2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80" w:type="dxa"/>
            <w:tcBorders>
              <w:top w:val="double" w:color="auto" w:sz="6" w:space="0"/>
              <w:left w:val="single" w:color="auto" w:sz="6" w:space="0"/>
              <w:bottom w:val="single" w:color="auto" w:sz="6" w:space="0"/>
              <w:right w:val="single" w:color="auto" w:sz="6" w:space="0"/>
            </w:tcBorders>
            <w:vAlign w:val="center"/>
          </w:tcPr>
          <w:p w14:paraId="65D41DE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20" w:type="dxa"/>
            <w:tcBorders>
              <w:top w:val="double" w:color="auto" w:sz="6" w:space="0"/>
              <w:left w:val="single" w:color="auto" w:sz="6" w:space="0"/>
              <w:bottom w:val="single" w:color="auto" w:sz="6" w:space="0"/>
              <w:right w:val="single" w:color="auto" w:sz="6" w:space="0"/>
            </w:tcBorders>
            <w:vAlign w:val="center"/>
          </w:tcPr>
          <w:p w14:paraId="158CAD1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21" w:type="dxa"/>
            <w:tcBorders>
              <w:top w:val="double" w:color="auto" w:sz="6" w:space="0"/>
              <w:left w:val="single" w:color="auto" w:sz="6" w:space="0"/>
              <w:bottom w:val="single" w:color="auto" w:sz="6" w:space="0"/>
              <w:right w:val="single" w:color="auto" w:sz="12" w:space="0"/>
            </w:tcBorders>
            <w:vAlign w:val="center"/>
          </w:tcPr>
          <w:p w14:paraId="50D93AB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6A86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7C0761C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vAlign w:val="center"/>
          </w:tcPr>
          <w:p w14:paraId="423DEFC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nil"/>
              <w:left w:val="single" w:color="auto" w:sz="6" w:space="0"/>
              <w:bottom w:val="single" w:color="auto" w:sz="6" w:space="0"/>
              <w:right w:val="single" w:color="auto" w:sz="6" w:space="0"/>
            </w:tcBorders>
            <w:vAlign w:val="center"/>
          </w:tcPr>
          <w:p w14:paraId="5D243D7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58" w:type="dxa"/>
            <w:tcBorders>
              <w:top w:val="nil"/>
              <w:left w:val="single" w:color="auto" w:sz="6" w:space="0"/>
              <w:bottom w:val="single" w:color="auto" w:sz="6" w:space="0"/>
              <w:right w:val="single" w:color="auto" w:sz="6" w:space="0"/>
            </w:tcBorders>
            <w:vAlign w:val="center"/>
          </w:tcPr>
          <w:p w14:paraId="5257FE5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80" w:type="dxa"/>
            <w:tcBorders>
              <w:top w:val="nil"/>
              <w:left w:val="single" w:color="auto" w:sz="6" w:space="0"/>
              <w:bottom w:val="single" w:color="auto" w:sz="6" w:space="0"/>
              <w:right w:val="single" w:color="auto" w:sz="6" w:space="0"/>
            </w:tcBorders>
            <w:vAlign w:val="center"/>
          </w:tcPr>
          <w:p w14:paraId="14C4205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20" w:type="dxa"/>
            <w:tcBorders>
              <w:top w:val="nil"/>
              <w:left w:val="single" w:color="auto" w:sz="6" w:space="0"/>
              <w:bottom w:val="single" w:color="auto" w:sz="6" w:space="0"/>
              <w:right w:val="single" w:color="auto" w:sz="6" w:space="0"/>
            </w:tcBorders>
            <w:vAlign w:val="center"/>
          </w:tcPr>
          <w:p w14:paraId="4319D5A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80" w:type="dxa"/>
            <w:tcBorders>
              <w:top w:val="nil"/>
              <w:left w:val="single" w:color="auto" w:sz="6" w:space="0"/>
              <w:bottom w:val="single" w:color="auto" w:sz="6" w:space="0"/>
              <w:right w:val="single" w:color="auto" w:sz="6" w:space="0"/>
            </w:tcBorders>
            <w:vAlign w:val="center"/>
          </w:tcPr>
          <w:p w14:paraId="5125D03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20" w:type="dxa"/>
            <w:tcBorders>
              <w:top w:val="nil"/>
              <w:left w:val="single" w:color="auto" w:sz="6" w:space="0"/>
              <w:bottom w:val="single" w:color="auto" w:sz="6" w:space="0"/>
              <w:right w:val="single" w:color="auto" w:sz="6" w:space="0"/>
            </w:tcBorders>
            <w:vAlign w:val="center"/>
          </w:tcPr>
          <w:p w14:paraId="32B1AD7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21" w:type="dxa"/>
            <w:tcBorders>
              <w:top w:val="nil"/>
              <w:left w:val="single" w:color="auto" w:sz="6" w:space="0"/>
              <w:bottom w:val="single" w:color="auto" w:sz="6" w:space="0"/>
              <w:right w:val="single" w:color="auto" w:sz="12" w:space="0"/>
            </w:tcBorders>
            <w:vAlign w:val="center"/>
          </w:tcPr>
          <w:p w14:paraId="65578B4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59D69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3311E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0242E7D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5BC4246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58" w:type="dxa"/>
            <w:tcBorders>
              <w:top w:val="single" w:color="auto" w:sz="6" w:space="0"/>
              <w:left w:val="single" w:color="auto" w:sz="6" w:space="0"/>
              <w:bottom w:val="single" w:color="auto" w:sz="6" w:space="0"/>
              <w:right w:val="single" w:color="auto" w:sz="6" w:space="0"/>
            </w:tcBorders>
            <w:vAlign w:val="center"/>
          </w:tcPr>
          <w:p w14:paraId="0EB5575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80" w:type="dxa"/>
            <w:tcBorders>
              <w:top w:val="single" w:color="auto" w:sz="6" w:space="0"/>
              <w:left w:val="single" w:color="auto" w:sz="6" w:space="0"/>
              <w:bottom w:val="single" w:color="auto" w:sz="6" w:space="0"/>
              <w:right w:val="single" w:color="auto" w:sz="6" w:space="0"/>
            </w:tcBorders>
            <w:vAlign w:val="center"/>
          </w:tcPr>
          <w:p w14:paraId="5DE47FD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220A4AA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80" w:type="dxa"/>
            <w:tcBorders>
              <w:top w:val="single" w:color="auto" w:sz="6" w:space="0"/>
              <w:left w:val="single" w:color="auto" w:sz="6" w:space="0"/>
              <w:bottom w:val="single" w:color="auto" w:sz="6" w:space="0"/>
              <w:right w:val="single" w:color="auto" w:sz="6" w:space="0"/>
            </w:tcBorders>
            <w:vAlign w:val="center"/>
          </w:tcPr>
          <w:p w14:paraId="7FDDDA4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7D0CB7A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21" w:type="dxa"/>
            <w:tcBorders>
              <w:top w:val="single" w:color="auto" w:sz="6" w:space="0"/>
              <w:left w:val="single" w:color="auto" w:sz="6" w:space="0"/>
              <w:bottom w:val="single" w:color="auto" w:sz="6" w:space="0"/>
              <w:right w:val="single" w:color="auto" w:sz="12" w:space="0"/>
            </w:tcBorders>
            <w:vAlign w:val="center"/>
          </w:tcPr>
          <w:p w14:paraId="6BEF63D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68EE6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7ED8E2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0F732A4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502919B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58" w:type="dxa"/>
            <w:tcBorders>
              <w:top w:val="single" w:color="auto" w:sz="6" w:space="0"/>
              <w:left w:val="single" w:color="auto" w:sz="6" w:space="0"/>
              <w:bottom w:val="single" w:color="auto" w:sz="6" w:space="0"/>
              <w:right w:val="single" w:color="auto" w:sz="6" w:space="0"/>
            </w:tcBorders>
            <w:vAlign w:val="center"/>
          </w:tcPr>
          <w:p w14:paraId="53CD59D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80" w:type="dxa"/>
            <w:tcBorders>
              <w:top w:val="single" w:color="auto" w:sz="6" w:space="0"/>
              <w:left w:val="single" w:color="auto" w:sz="6" w:space="0"/>
              <w:bottom w:val="single" w:color="auto" w:sz="6" w:space="0"/>
              <w:right w:val="single" w:color="auto" w:sz="6" w:space="0"/>
            </w:tcBorders>
            <w:vAlign w:val="center"/>
          </w:tcPr>
          <w:p w14:paraId="07FCD32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093CE8D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80" w:type="dxa"/>
            <w:tcBorders>
              <w:top w:val="single" w:color="auto" w:sz="6" w:space="0"/>
              <w:left w:val="single" w:color="auto" w:sz="6" w:space="0"/>
              <w:bottom w:val="single" w:color="auto" w:sz="6" w:space="0"/>
              <w:right w:val="single" w:color="auto" w:sz="6" w:space="0"/>
            </w:tcBorders>
            <w:vAlign w:val="center"/>
          </w:tcPr>
          <w:p w14:paraId="00BD550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7A72B31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21" w:type="dxa"/>
            <w:tcBorders>
              <w:top w:val="single" w:color="auto" w:sz="6" w:space="0"/>
              <w:left w:val="single" w:color="auto" w:sz="6" w:space="0"/>
              <w:bottom w:val="single" w:color="auto" w:sz="6" w:space="0"/>
              <w:right w:val="single" w:color="auto" w:sz="12" w:space="0"/>
            </w:tcBorders>
            <w:vAlign w:val="center"/>
          </w:tcPr>
          <w:p w14:paraId="1D4E891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36DCC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DA120D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4976CF4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6DFA761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58" w:type="dxa"/>
            <w:tcBorders>
              <w:top w:val="single" w:color="auto" w:sz="6" w:space="0"/>
              <w:left w:val="single" w:color="auto" w:sz="6" w:space="0"/>
              <w:bottom w:val="single" w:color="auto" w:sz="6" w:space="0"/>
              <w:right w:val="single" w:color="auto" w:sz="6" w:space="0"/>
            </w:tcBorders>
            <w:vAlign w:val="center"/>
          </w:tcPr>
          <w:p w14:paraId="3C920D8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80" w:type="dxa"/>
            <w:tcBorders>
              <w:top w:val="single" w:color="auto" w:sz="6" w:space="0"/>
              <w:left w:val="single" w:color="auto" w:sz="6" w:space="0"/>
              <w:bottom w:val="single" w:color="auto" w:sz="6" w:space="0"/>
              <w:right w:val="single" w:color="auto" w:sz="6" w:space="0"/>
            </w:tcBorders>
            <w:vAlign w:val="center"/>
          </w:tcPr>
          <w:p w14:paraId="4A1DC98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73C9704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80" w:type="dxa"/>
            <w:tcBorders>
              <w:top w:val="single" w:color="auto" w:sz="6" w:space="0"/>
              <w:left w:val="single" w:color="auto" w:sz="6" w:space="0"/>
              <w:bottom w:val="single" w:color="auto" w:sz="6" w:space="0"/>
              <w:right w:val="single" w:color="auto" w:sz="6" w:space="0"/>
            </w:tcBorders>
            <w:vAlign w:val="center"/>
          </w:tcPr>
          <w:p w14:paraId="11E50FA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1B96A55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21" w:type="dxa"/>
            <w:tcBorders>
              <w:top w:val="single" w:color="auto" w:sz="6" w:space="0"/>
              <w:left w:val="single" w:color="auto" w:sz="6" w:space="0"/>
              <w:bottom w:val="single" w:color="auto" w:sz="6" w:space="0"/>
              <w:right w:val="single" w:color="auto" w:sz="12" w:space="0"/>
            </w:tcBorders>
            <w:vAlign w:val="center"/>
          </w:tcPr>
          <w:p w14:paraId="7D5166A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68F72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vAlign w:val="center"/>
          </w:tcPr>
          <w:p w14:paraId="4F068AA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12" w:space="0"/>
              <w:right w:val="single" w:color="auto" w:sz="6" w:space="0"/>
            </w:tcBorders>
            <w:vAlign w:val="center"/>
          </w:tcPr>
          <w:p w14:paraId="490158A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0" w:type="dxa"/>
            <w:tcBorders>
              <w:top w:val="single" w:color="auto" w:sz="6" w:space="0"/>
              <w:left w:val="single" w:color="auto" w:sz="6" w:space="0"/>
              <w:bottom w:val="single" w:color="auto" w:sz="12" w:space="0"/>
              <w:right w:val="single" w:color="auto" w:sz="6" w:space="0"/>
            </w:tcBorders>
            <w:vAlign w:val="center"/>
          </w:tcPr>
          <w:p w14:paraId="53B28C1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58" w:type="dxa"/>
            <w:tcBorders>
              <w:top w:val="single" w:color="auto" w:sz="6" w:space="0"/>
              <w:left w:val="single" w:color="auto" w:sz="6" w:space="0"/>
              <w:bottom w:val="single" w:color="auto" w:sz="12" w:space="0"/>
              <w:right w:val="single" w:color="auto" w:sz="6" w:space="0"/>
            </w:tcBorders>
            <w:vAlign w:val="center"/>
          </w:tcPr>
          <w:p w14:paraId="03B4C8D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80" w:type="dxa"/>
            <w:tcBorders>
              <w:top w:val="single" w:color="auto" w:sz="6" w:space="0"/>
              <w:left w:val="single" w:color="auto" w:sz="6" w:space="0"/>
              <w:bottom w:val="single" w:color="auto" w:sz="12" w:space="0"/>
              <w:right w:val="single" w:color="auto" w:sz="6" w:space="0"/>
            </w:tcBorders>
            <w:vAlign w:val="center"/>
          </w:tcPr>
          <w:p w14:paraId="49889C7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20" w:type="dxa"/>
            <w:tcBorders>
              <w:top w:val="single" w:color="auto" w:sz="6" w:space="0"/>
              <w:left w:val="single" w:color="auto" w:sz="6" w:space="0"/>
              <w:bottom w:val="single" w:color="auto" w:sz="12" w:space="0"/>
              <w:right w:val="single" w:color="auto" w:sz="6" w:space="0"/>
            </w:tcBorders>
            <w:vAlign w:val="center"/>
          </w:tcPr>
          <w:p w14:paraId="18E7775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80" w:type="dxa"/>
            <w:tcBorders>
              <w:top w:val="single" w:color="auto" w:sz="6" w:space="0"/>
              <w:left w:val="single" w:color="auto" w:sz="6" w:space="0"/>
              <w:bottom w:val="single" w:color="auto" w:sz="12" w:space="0"/>
              <w:right w:val="single" w:color="auto" w:sz="6" w:space="0"/>
            </w:tcBorders>
            <w:vAlign w:val="center"/>
          </w:tcPr>
          <w:p w14:paraId="02D9427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020" w:type="dxa"/>
            <w:tcBorders>
              <w:top w:val="single" w:color="auto" w:sz="6" w:space="0"/>
              <w:left w:val="single" w:color="auto" w:sz="6" w:space="0"/>
              <w:bottom w:val="single" w:color="auto" w:sz="12" w:space="0"/>
              <w:right w:val="single" w:color="auto" w:sz="6" w:space="0"/>
            </w:tcBorders>
            <w:vAlign w:val="center"/>
          </w:tcPr>
          <w:p w14:paraId="63D748C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921" w:type="dxa"/>
            <w:tcBorders>
              <w:top w:val="single" w:color="auto" w:sz="6" w:space="0"/>
              <w:left w:val="single" w:color="auto" w:sz="6" w:space="0"/>
              <w:bottom w:val="single" w:color="auto" w:sz="12" w:space="0"/>
              <w:right w:val="single" w:color="auto" w:sz="12" w:space="0"/>
            </w:tcBorders>
            <w:vAlign w:val="center"/>
          </w:tcPr>
          <w:p w14:paraId="55102F6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bl>
    <w:p w14:paraId="6CB37CB1">
      <w:pPr>
        <w:spacing w:line="440" w:lineRule="exact"/>
        <w:ind w:firstLine="420"/>
        <w:rPr>
          <w:rFonts w:hint="eastAsia" w:ascii="宋体" w:hAnsi="宋体" w:eastAsia="宋体" w:cs="宋体"/>
          <w:color w:val="auto"/>
          <w:sz w:val="21"/>
          <w:szCs w:val="21"/>
          <w:highlight w:val="none"/>
        </w:rPr>
      </w:pPr>
    </w:p>
    <w:p w14:paraId="3CC383AB">
      <w:pPr>
        <w:widowControl/>
        <w:spacing w:line="240" w:lineRule="auto"/>
        <w:ind w:firstLine="0" w:firstLineChars="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br w:type="page"/>
      </w:r>
    </w:p>
    <w:p w14:paraId="7757CAAD">
      <w:pPr>
        <w:spacing w:line="4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1483" w:name="_Toc296347227"/>
      <w:bookmarkStart w:id="1484" w:name="_Toc296503228"/>
      <w:bookmarkStart w:id="1485" w:name="_Toc296891268"/>
      <w:bookmarkStart w:id="1486" w:name="_Toc267261699"/>
      <w:bookmarkStart w:id="1487" w:name="_Toc296944567"/>
      <w:bookmarkStart w:id="1488" w:name="_Toc296346729"/>
      <w:bookmarkStart w:id="1489" w:name="_Toc296891056"/>
      <w:r>
        <w:rPr>
          <w:rFonts w:hint="eastAsia" w:ascii="宋体" w:hAnsi="宋体" w:eastAsia="宋体" w:cs="宋体"/>
          <w:color w:val="auto"/>
          <w:szCs w:val="21"/>
          <w:highlight w:val="none"/>
        </w:rPr>
        <w:t>件6：</w:t>
      </w:r>
    </w:p>
    <w:bookmarkEnd w:id="1483"/>
    <w:bookmarkEnd w:id="1484"/>
    <w:bookmarkEnd w:id="1485"/>
    <w:bookmarkEnd w:id="1486"/>
    <w:bookmarkEnd w:id="1487"/>
    <w:bookmarkEnd w:id="1488"/>
    <w:bookmarkEnd w:id="1489"/>
    <w:p w14:paraId="7E0741DC">
      <w:pPr>
        <w:spacing w:before="120" w:beforeLines="50" w:after="120" w:afterLines="50" w:line="440" w:lineRule="exact"/>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承包人主要施工管理人员表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C9A5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77768E3A">
            <w:pPr>
              <w:ind w:firstLine="480"/>
              <w:jc w:val="center"/>
              <w:rPr>
                <w:rFonts w:hint="eastAsia" w:ascii="宋体" w:hAnsi="宋体" w:eastAsia="宋体" w:cs="宋体"/>
                <w:color w:val="auto"/>
                <w:sz w:val="21"/>
                <w:szCs w:val="24"/>
                <w:highlight w:val="none"/>
              </w:rPr>
            </w:pPr>
            <w:r>
              <w:rPr>
                <w:rFonts w:hint="eastAsia" w:ascii="宋体" w:hAnsi="宋体" w:eastAsia="宋体" w:cs="宋体"/>
                <w:color w:val="auto"/>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1A3B4A46">
            <w:pPr>
              <w:ind w:firstLine="480"/>
              <w:jc w:val="center"/>
              <w:rPr>
                <w:rFonts w:hint="eastAsia" w:ascii="宋体" w:hAnsi="宋体" w:eastAsia="宋体" w:cs="宋体"/>
                <w:color w:val="auto"/>
                <w:sz w:val="21"/>
                <w:szCs w:val="24"/>
                <w:highlight w:val="none"/>
              </w:rPr>
            </w:pPr>
            <w:r>
              <w:rPr>
                <w:rFonts w:hint="eastAsia" w:ascii="宋体" w:hAnsi="宋体" w:eastAsia="宋体" w:cs="宋体"/>
                <w:color w:val="auto"/>
                <w:highlight w:val="none"/>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6F9D1500">
            <w:pPr>
              <w:ind w:firstLine="480"/>
              <w:jc w:val="center"/>
              <w:rPr>
                <w:rFonts w:hint="eastAsia" w:ascii="宋体" w:hAnsi="宋体" w:eastAsia="宋体" w:cs="宋体"/>
                <w:color w:val="auto"/>
                <w:sz w:val="21"/>
                <w:szCs w:val="24"/>
                <w:highlight w:val="none"/>
              </w:rPr>
            </w:pPr>
            <w:r>
              <w:rPr>
                <w:rFonts w:hint="eastAsia" w:ascii="宋体" w:hAnsi="宋体" w:eastAsia="宋体" w:cs="宋体"/>
                <w:color w:val="auto"/>
                <w:highlight w:val="none"/>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783B9C54">
            <w:pPr>
              <w:ind w:firstLine="480"/>
              <w:jc w:val="center"/>
              <w:rPr>
                <w:rFonts w:hint="eastAsia" w:ascii="宋体" w:hAnsi="宋体" w:eastAsia="宋体" w:cs="宋体"/>
                <w:color w:val="auto"/>
                <w:sz w:val="21"/>
                <w:szCs w:val="24"/>
                <w:highlight w:val="none"/>
              </w:rPr>
            </w:pPr>
            <w:r>
              <w:rPr>
                <w:rFonts w:hint="eastAsia" w:ascii="宋体" w:hAnsi="宋体" w:eastAsia="宋体" w:cs="宋体"/>
                <w:color w:val="auto"/>
                <w:highlight w:val="none"/>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21E9421F">
            <w:pPr>
              <w:ind w:firstLine="480"/>
              <w:jc w:val="center"/>
              <w:rPr>
                <w:rFonts w:hint="eastAsia" w:ascii="宋体" w:hAnsi="宋体" w:eastAsia="宋体" w:cs="宋体"/>
                <w:color w:val="auto"/>
                <w:sz w:val="21"/>
                <w:szCs w:val="24"/>
                <w:highlight w:val="none"/>
              </w:rPr>
            </w:pPr>
            <w:r>
              <w:rPr>
                <w:rFonts w:hint="eastAsia" w:ascii="宋体" w:hAnsi="宋体" w:eastAsia="宋体" w:cs="宋体"/>
                <w:color w:val="auto"/>
                <w:highlight w:val="none"/>
              </w:rPr>
              <w:t>主要资历、经验及承担过的项目</w:t>
            </w:r>
          </w:p>
        </w:tc>
      </w:tr>
      <w:tr w14:paraId="2D673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cBorders>
            <w:vAlign w:val="center"/>
          </w:tcPr>
          <w:p w14:paraId="1953581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一、总部人员</w:t>
            </w:r>
          </w:p>
        </w:tc>
      </w:tr>
      <w:tr w14:paraId="1953F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6AE1642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项目主管</w:t>
            </w:r>
          </w:p>
        </w:tc>
        <w:tc>
          <w:tcPr>
            <w:tcW w:w="1418" w:type="dxa"/>
            <w:tcBorders>
              <w:top w:val="nil"/>
              <w:left w:val="single" w:color="auto" w:sz="6" w:space="0"/>
              <w:bottom w:val="single" w:color="auto" w:sz="6" w:space="0"/>
              <w:right w:val="single" w:color="auto" w:sz="6" w:space="0"/>
            </w:tcBorders>
            <w:vAlign w:val="center"/>
          </w:tcPr>
          <w:p w14:paraId="63CC997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3B284DF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1443A72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nil"/>
              <w:left w:val="single" w:color="auto" w:sz="6" w:space="0"/>
              <w:bottom w:val="single" w:color="auto" w:sz="6" w:space="0"/>
              <w:right w:val="single" w:color="auto" w:sz="12" w:space="0"/>
            </w:tcBorders>
            <w:vAlign w:val="center"/>
          </w:tcPr>
          <w:p w14:paraId="026FE29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65AFF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45C62C1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5E96C85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98FDAB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EC5772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8796F4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020AA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2A962D2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5E4DF0E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F1FA44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BEF551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7A0773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7B562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6E049F1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4258B5E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0479A2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5F2140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22F7110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4A21B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14:paraId="34555EC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二、现场人员</w:t>
            </w:r>
          </w:p>
        </w:tc>
      </w:tr>
      <w:tr w14:paraId="128EF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B11DBD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472C3D3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73667D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D396CC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2F0FF74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4DF21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2B2DBE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72AA221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3EA1CD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761AB0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08EB824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45F3E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BF6A88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20AD288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DF88DD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36595C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B2F704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4F4B9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862380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2B0CA20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EB11B4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B70046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6365B13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64D45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2165474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456D0D3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3A1ED2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6148F2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0DC54AD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5B7F2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03BF57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5745555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9E896E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AF28FD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683DB4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6CA94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8B0B94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C0AEB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0FC493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992E5E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338ABE0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1D68A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25C02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0449110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21FEFC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E3D4BE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30969F4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69817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2FC403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2387F0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C6D415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66FDF9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4CE0DCC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49B27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27AA2A7D">
            <w:pPr>
              <w:widowControl/>
              <w:ind w:firstLine="420"/>
              <w:jc w:val="left"/>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462CCC8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3FAF766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495EA7C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nil"/>
              <w:right w:val="single" w:color="auto" w:sz="12" w:space="0"/>
            </w:tcBorders>
            <w:vAlign w:val="center"/>
          </w:tcPr>
          <w:p w14:paraId="4F56A2D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5DAA9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5F52DBA2">
            <w:pPr>
              <w:widowControl/>
              <w:ind w:firstLine="420"/>
              <w:jc w:val="left"/>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08C0B76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448FDA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F37C69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9CA36F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7DDCB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75378361">
            <w:pPr>
              <w:widowControl/>
              <w:ind w:firstLine="420"/>
              <w:jc w:val="left"/>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DB8102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9519CF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AFE702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6E20DD7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22A10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185241F0">
            <w:pPr>
              <w:widowControl/>
              <w:ind w:firstLine="420"/>
              <w:jc w:val="left"/>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6B85EE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A1D2E5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C878D7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74A90C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11E9A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15F82A63">
            <w:pPr>
              <w:widowControl/>
              <w:ind w:firstLine="420"/>
              <w:jc w:val="left"/>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6C7ED7B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5926EA8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44FF8BD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12" w:space="0"/>
              <w:right w:val="single" w:color="auto" w:sz="12" w:space="0"/>
            </w:tcBorders>
            <w:vAlign w:val="center"/>
          </w:tcPr>
          <w:p w14:paraId="1AA39DC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bl>
    <w:p w14:paraId="4C0EC5AE">
      <w:pPr>
        <w:spacing w:line="44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附</w:t>
      </w:r>
      <w:bookmarkStart w:id="1490" w:name="_Toc296891269"/>
      <w:bookmarkStart w:id="1491" w:name="_Toc296347228"/>
      <w:bookmarkStart w:id="1492" w:name="_Toc296503229"/>
      <w:bookmarkStart w:id="1493" w:name="_Toc296944568"/>
      <w:bookmarkStart w:id="1494" w:name="_Toc296891057"/>
      <w:bookmarkStart w:id="1495" w:name="_Toc296346730"/>
      <w:r>
        <w:rPr>
          <w:rFonts w:hint="eastAsia" w:ascii="宋体" w:hAnsi="宋体" w:eastAsia="宋体" w:cs="宋体"/>
          <w:color w:val="auto"/>
          <w:szCs w:val="21"/>
          <w:highlight w:val="none"/>
        </w:rPr>
        <w:t>件7：</w:t>
      </w:r>
    </w:p>
    <w:bookmarkEnd w:id="1490"/>
    <w:bookmarkEnd w:id="1491"/>
    <w:bookmarkEnd w:id="1492"/>
    <w:bookmarkEnd w:id="1493"/>
    <w:bookmarkEnd w:id="1494"/>
    <w:bookmarkEnd w:id="1495"/>
    <w:p w14:paraId="6DC27E59">
      <w:pPr>
        <w:spacing w:before="120" w:beforeLines="50" w:after="120" w:afterLines="50" w:line="440" w:lineRule="exact"/>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分包人主要施工管理人员表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C947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597609E0">
            <w:pPr>
              <w:ind w:firstLine="480"/>
              <w:jc w:val="center"/>
              <w:rPr>
                <w:rFonts w:hint="eastAsia" w:ascii="宋体" w:hAnsi="宋体" w:eastAsia="宋体" w:cs="宋体"/>
                <w:color w:val="auto"/>
                <w:sz w:val="21"/>
                <w:szCs w:val="24"/>
                <w:highlight w:val="none"/>
              </w:rPr>
            </w:pPr>
            <w:r>
              <w:rPr>
                <w:rFonts w:hint="eastAsia" w:ascii="宋体" w:hAnsi="宋体" w:eastAsia="宋体" w:cs="宋体"/>
                <w:color w:val="auto"/>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65C5CC">
            <w:pPr>
              <w:ind w:firstLine="480"/>
              <w:jc w:val="center"/>
              <w:rPr>
                <w:rFonts w:hint="eastAsia" w:ascii="宋体" w:hAnsi="宋体" w:eastAsia="宋体" w:cs="宋体"/>
                <w:color w:val="auto"/>
                <w:sz w:val="21"/>
                <w:szCs w:val="24"/>
                <w:highlight w:val="none"/>
              </w:rPr>
            </w:pPr>
            <w:r>
              <w:rPr>
                <w:rFonts w:hint="eastAsia" w:ascii="宋体" w:hAnsi="宋体" w:eastAsia="宋体" w:cs="宋体"/>
                <w:color w:val="auto"/>
                <w:highlight w:val="none"/>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7B61DA67">
            <w:pPr>
              <w:ind w:firstLine="480"/>
              <w:jc w:val="center"/>
              <w:rPr>
                <w:rFonts w:hint="eastAsia" w:ascii="宋体" w:hAnsi="宋体" w:eastAsia="宋体" w:cs="宋体"/>
                <w:color w:val="auto"/>
                <w:sz w:val="21"/>
                <w:szCs w:val="24"/>
                <w:highlight w:val="none"/>
              </w:rPr>
            </w:pPr>
            <w:r>
              <w:rPr>
                <w:rFonts w:hint="eastAsia" w:ascii="宋体" w:hAnsi="宋体" w:eastAsia="宋体" w:cs="宋体"/>
                <w:color w:val="auto"/>
                <w:highlight w:val="none"/>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7404A391">
            <w:pPr>
              <w:ind w:firstLine="480"/>
              <w:jc w:val="center"/>
              <w:rPr>
                <w:rFonts w:hint="eastAsia" w:ascii="宋体" w:hAnsi="宋体" w:eastAsia="宋体" w:cs="宋体"/>
                <w:color w:val="auto"/>
                <w:sz w:val="21"/>
                <w:szCs w:val="24"/>
                <w:highlight w:val="none"/>
              </w:rPr>
            </w:pPr>
            <w:r>
              <w:rPr>
                <w:rFonts w:hint="eastAsia" w:ascii="宋体" w:hAnsi="宋体" w:eastAsia="宋体" w:cs="宋体"/>
                <w:color w:val="auto"/>
                <w:highlight w:val="none"/>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7103DF25">
            <w:pPr>
              <w:ind w:firstLine="480"/>
              <w:jc w:val="center"/>
              <w:rPr>
                <w:rFonts w:hint="eastAsia" w:ascii="宋体" w:hAnsi="宋体" w:eastAsia="宋体" w:cs="宋体"/>
                <w:color w:val="auto"/>
                <w:sz w:val="21"/>
                <w:szCs w:val="24"/>
                <w:highlight w:val="none"/>
              </w:rPr>
            </w:pPr>
            <w:r>
              <w:rPr>
                <w:rFonts w:hint="eastAsia" w:ascii="宋体" w:hAnsi="宋体" w:eastAsia="宋体" w:cs="宋体"/>
                <w:color w:val="auto"/>
                <w:highlight w:val="none"/>
              </w:rPr>
              <w:t>主要资历、经验及承担过的项目</w:t>
            </w:r>
          </w:p>
        </w:tc>
      </w:tr>
      <w:tr w14:paraId="3E6EB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cBorders>
            <w:vAlign w:val="center"/>
          </w:tcPr>
          <w:p w14:paraId="269F0AD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一、总部人员</w:t>
            </w:r>
          </w:p>
        </w:tc>
      </w:tr>
      <w:tr w14:paraId="79DAE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37FEB63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项目主管</w:t>
            </w:r>
          </w:p>
        </w:tc>
        <w:tc>
          <w:tcPr>
            <w:tcW w:w="1418" w:type="dxa"/>
            <w:tcBorders>
              <w:top w:val="nil"/>
              <w:left w:val="single" w:color="auto" w:sz="6" w:space="0"/>
              <w:bottom w:val="single" w:color="auto" w:sz="6" w:space="0"/>
              <w:right w:val="single" w:color="auto" w:sz="6" w:space="0"/>
            </w:tcBorders>
            <w:vAlign w:val="center"/>
          </w:tcPr>
          <w:p w14:paraId="41A1EF4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7C64EAE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4693982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nil"/>
              <w:left w:val="single" w:color="auto" w:sz="6" w:space="0"/>
              <w:bottom w:val="single" w:color="auto" w:sz="6" w:space="0"/>
              <w:right w:val="single" w:color="auto" w:sz="12" w:space="0"/>
            </w:tcBorders>
            <w:vAlign w:val="center"/>
          </w:tcPr>
          <w:p w14:paraId="2740BE8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64970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5E85D9D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5003A81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755162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640E50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29E791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4FD4E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11EF3FD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2271441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E4D310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25E556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7FFEA8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22084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3666D82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227E873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B15196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37D2E0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45BD50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0846B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14:paraId="3345652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二、现场人员</w:t>
            </w:r>
          </w:p>
        </w:tc>
      </w:tr>
      <w:tr w14:paraId="2AC82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B466BA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779D48F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806629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800E96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36064D1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6E550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AC69DE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10A38EB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DA7C5D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85ED45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4905608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2F57C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E17DEB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04C7189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50684E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626B43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5DD8C2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265D5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4DB5F5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EE487C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038F57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42CD37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06B9F0F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13450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5DB670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2D0B8D1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F2FC11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610134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41C08F4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369DC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8E85D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4BB2062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7A255E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9C6CCB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AA993F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00055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DC5410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735BF61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9FBCC2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BD4F10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32F7E1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6CBDB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7B8A54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31A8B96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0DCB53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E2136A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B39A00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5C014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4483C5A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r>
              <w:rPr>
                <w:rFonts w:hint="eastAsia" w:ascii="宋体" w:hAnsi="宋体" w:eastAsia="宋体" w:cs="宋体"/>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0E41FA1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423680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D5B503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23219FE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051A0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37D9E97E">
            <w:pPr>
              <w:widowControl/>
              <w:ind w:firstLine="420"/>
              <w:jc w:val="left"/>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3DDF47B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39CFE3A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775CFD7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nil"/>
              <w:right w:val="single" w:color="auto" w:sz="12" w:space="0"/>
            </w:tcBorders>
            <w:vAlign w:val="center"/>
          </w:tcPr>
          <w:p w14:paraId="4573C35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079A6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5332ED6A">
            <w:pPr>
              <w:widowControl/>
              <w:ind w:firstLine="420"/>
              <w:jc w:val="left"/>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3CAD44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73F4AD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225FA4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5FF8B9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4576D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48FD9599">
            <w:pPr>
              <w:widowControl/>
              <w:ind w:firstLine="420"/>
              <w:jc w:val="left"/>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360FBF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AAF872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AE0BB2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A77EAC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3D9A3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7AF97B59">
            <w:pPr>
              <w:widowControl/>
              <w:ind w:firstLine="420"/>
              <w:jc w:val="left"/>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FFE038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ED98DE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B26DF6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D54E9C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4F48A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60ECA25C">
            <w:pPr>
              <w:widowControl/>
              <w:ind w:firstLine="420"/>
              <w:jc w:val="left"/>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711D9E7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1854ABB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034C9B1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4252" w:type="dxa"/>
            <w:tcBorders>
              <w:top w:val="single" w:color="auto" w:sz="6" w:space="0"/>
              <w:left w:val="single" w:color="auto" w:sz="6" w:space="0"/>
              <w:bottom w:val="single" w:color="auto" w:sz="12" w:space="0"/>
              <w:right w:val="single" w:color="auto" w:sz="12" w:space="0"/>
            </w:tcBorders>
            <w:vAlign w:val="center"/>
          </w:tcPr>
          <w:p w14:paraId="2CE7AF9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bl>
    <w:p w14:paraId="30724ECB">
      <w:pPr>
        <w:spacing w:line="44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br w:type="page"/>
      </w:r>
      <w:bookmarkStart w:id="1496" w:name="_Toc267261701"/>
      <w:r>
        <w:rPr>
          <w:rFonts w:hint="eastAsia" w:ascii="宋体" w:hAnsi="宋体" w:eastAsia="宋体" w:cs="宋体"/>
          <w:color w:val="auto"/>
          <w:szCs w:val="21"/>
          <w:highlight w:val="none"/>
        </w:rPr>
        <w:t>附</w:t>
      </w:r>
      <w:bookmarkStart w:id="1497" w:name="_Toc296891271"/>
      <w:bookmarkStart w:id="1498" w:name="_Toc296347230"/>
      <w:bookmarkStart w:id="1499" w:name="_Toc296944570"/>
      <w:bookmarkStart w:id="1500" w:name="_Toc296346732"/>
      <w:bookmarkStart w:id="1501" w:name="_Toc296891059"/>
      <w:bookmarkStart w:id="1502" w:name="_Toc296503231"/>
      <w:r>
        <w:rPr>
          <w:rFonts w:hint="eastAsia" w:ascii="宋体" w:hAnsi="宋体" w:eastAsia="宋体" w:cs="宋体"/>
          <w:color w:val="auto"/>
          <w:szCs w:val="21"/>
          <w:highlight w:val="none"/>
        </w:rPr>
        <w:t>件8：</w:t>
      </w:r>
    </w:p>
    <w:bookmarkEnd w:id="1496"/>
    <w:bookmarkEnd w:id="1497"/>
    <w:bookmarkEnd w:id="1498"/>
    <w:bookmarkEnd w:id="1499"/>
    <w:bookmarkEnd w:id="1500"/>
    <w:bookmarkEnd w:id="1501"/>
    <w:bookmarkEnd w:id="1502"/>
    <w:p w14:paraId="2C4587E1">
      <w:pPr>
        <w:spacing w:before="120" w:beforeLines="50" w:after="120" w:afterLines="50" w:line="440" w:lineRule="exact"/>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p w14:paraId="027A9D2E">
      <w:pPr>
        <w:spacing w:line="4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（发包人名称）：</w:t>
      </w:r>
    </w:p>
    <w:p w14:paraId="34ECAA67">
      <w:pPr>
        <w:spacing w:line="440" w:lineRule="exact"/>
        <w:ind w:firstLine="480"/>
        <w:rPr>
          <w:rFonts w:hint="eastAsia" w:ascii="宋体" w:hAnsi="宋体" w:eastAsia="宋体" w:cs="宋体"/>
          <w:color w:val="auto"/>
          <w:szCs w:val="21"/>
          <w:highlight w:val="none"/>
        </w:rPr>
      </w:pPr>
    </w:p>
    <w:p w14:paraId="76521034">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（发包人名称，以下简称“发包人”）与</w:t>
      </w:r>
    </w:p>
    <w:p w14:paraId="4544831E">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（承包人名称）（以</w:t>
      </w:r>
      <w:r>
        <w:rPr>
          <w:rFonts w:hint="eastAsia" w:ascii="宋体" w:hAnsi="宋体" w:eastAsia="宋体" w:cs="宋体"/>
          <w:color w:val="auto"/>
          <w:szCs w:val="21"/>
          <w:highlight w:val="none"/>
          <w:lang w:eastAsia="zh-CN"/>
        </w:rPr>
        <w:t>下简</w:t>
      </w:r>
      <w:r>
        <w:rPr>
          <w:rFonts w:hint="eastAsia" w:ascii="宋体" w:hAnsi="宋体" w:eastAsia="宋体" w:cs="宋体"/>
          <w:color w:val="auto"/>
          <w:szCs w:val="21"/>
          <w:highlight w:val="none"/>
        </w:rPr>
        <w:t>称“承包人”）于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（工程名称）施工及有关事项协商一致共同签订《建设工程施工合同》。我方愿意无条件地、不可撤销地就承包人履行与你方签订的合同</w:t>
      </w:r>
      <w:r>
        <w:rPr>
          <w:rFonts w:hint="eastAsia" w:ascii="宋体" w:hAnsi="宋体" w:eastAsia="宋体" w:cs="宋体"/>
          <w:color w:val="auto"/>
          <w:szCs w:val="21"/>
          <w:highlight w:val="none"/>
          <w:lang w:eastAsia="zh-CN"/>
        </w:rPr>
        <w:t>，并</w:t>
      </w:r>
      <w:r>
        <w:rPr>
          <w:rFonts w:hint="eastAsia" w:ascii="宋体" w:hAnsi="宋体" w:eastAsia="宋体" w:cs="宋体"/>
          <w:color w:val="auto"/>
          <w:szCs w:val="21"/>
          <w:highlight w:val="none"/>
        </w:rPr>
        <w:t xml:space="preserve">向你方提供连带责任担保。 </w:t>
      </w:r>
    </w:p>
    <w:p w14:paraId="7066E2D9">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担保金额人民币（大写）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6198D94">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担保有效期自你方与承包人签订的合同生效之日起至你方签发或应签发工程接收证书之日止。</w:t>
      </w:r>
    </w:p>
    <w:p w14:paraId="0D592C3A">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31026F29">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你方和承包人按合同约定变更合同时，我方承担本担保规定的义务不变。</w:t>
      </w:r>
    </w:p>
    <w:p w14:paraId="456F3350">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因本保函发生的纠纷，可由双方协商解决，协商不成的，任何一方均可提请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仲裁委员会仲裁。</w:t>
      </w:r>
    </w:p>
    <w:p w14:paraId="56105F79">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本保函自我方法定代表人（或其授权代理人）签字并加盖公章之日起生效。</w:t>
      </w:r>
    </w:p>
    <w:p w14:paraId="4D2B95E0">
      <w:pPr>
        <w:ind w:firstLine="480"/>
        <w:rPr>
          <w:rFonts w:hint="eastAsia" w:ascii="宋体" w:hAnsi="宋体" w:eastAsia="宋体" w:cs="宋体"/>
          <w:color w:val="auto"/>
          <w:szCs w:val="21"/>
          <w:highlight w:val="none"/>
        </w:rPr>
      </w:pPr>
    </w:p>
    <w:p w14:paraId="1C2181F4">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 保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4C831D5F">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5D0A9409">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79DE04E4">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556EA70C">
      <w:pPr>
        <w:ind w:firstLine="4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14:paraId="110B59E5">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p>
    <w:p w14:paraId="7B845432">
      <w:pPr>
        <w:ind w:firstLine="480"/>
        <w:jc w:val="left"/>
        <w:rPr>
          <w:rFonts w:hint="eastAsia" w:ascii="宋体" w:hAnsi="宋体" w:eastAsia="宋体" w:cs="宋体"/>
          <w:color w:val="auto"/>
          <w:szCs w:val="21"/>
          <w:highlight w:val="none"/>
          <w:u w:val="single"/>
        </w:rPr>
      </w:pPr>
    </w:p>
    <w:p w14:paraId="1E9EF03C">
      <w:pPr>
        <w:ind w:left="1519" w:hanging="1519" w:hangingChars="633"/>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7AAE417">
      <w:pPr>
        <w:ind w:firstLine="480"/>
        <w:rPr>
          <w:rFonts w:hint="eastAsia" w:ascii="宋体" w:hAnsi="宋体" w:eastAsia="宋体" w:cs="宋体"/>
          <w:color w:val="auto"/>
          <w:szCs w:val="21"/>
          <w:highlight w:val="none"/>
        </w:rPr>
      </w:pPr>
    </w:p>
    <w:p w14:paraId="52730131">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1503" w:name="_Toc296944571"/>
      <w:bookmarkStart w:id="1504" w:name="_Toc296346733"/>
      <w:bookmarkStart w:id="1505" w:name="_Toc267261702"/>
      <w:bookmarkStart w:id="1506" w:name="_Toc296891060"/>
      <w:bookmarkStart w:id="1507" w:name="_Toc296347231"/>
      <w:bookmarkStart w:id="1508" w:name="_Toc296503232"/>
      <w:bookmarkStart w:id="1509" w:name="_Toc296891272"/>
      <w:r>
        <w:rPr>
          <w:rFonts w:hint="eastAsia" w:ascii="宋体" w:hAnsi="宋体" w:eastAsia="宋体" w:cs="宋体"/>
          <w:color w:val="auto"/>
          <w:szCs w:val="21"/>
          <w:highlight w:val="none"/>
        </w:rPr>
        <w:t>件9 ：</w:t>
      </w:r>
    </w:p>
    <w:bookmarkEnd w:id="1503"/>
    <w:bookmarkEnd w:id="1504"/>
    <w:bookmarkEnd w:id="1505"/>
    <w:bookmarkEnd w:id="1506"/>
    <w:bookmarkEnd w:id="1507"/>
    <w:bookmarkEnd w:id="1508"/>
    <w:bookmarkEnd w:id="1509"/>
    <w:p w14:paraId="21019503">
      <w:pPr>
        <w:spacing w:before="120" w:beforeLines="50" w:after="120" w:afterLines="50" w:line="440" w:lineRule="exact"/>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w:t>
      </w:r>
    </w:p>
    <w:p w14:paraId="54BE5042">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（发包人名称）：</w:t>
      </w:r>
    </w:p>
    <w:p w14:paraId="2419C859">
      <w:pPr>
        <w:ind w:firstLine="480"/>
        <w:rPr>
          <w:rFonts w:hint="eastAsia" w:ascii="宋体" w:hAnsi="宋体" w:eastAsia="宋体" w:cs="宋体"/>
          <w:color w:val="auto"/>
          <w:szCs w:val="21"/>
          <w:highlight w:val="none"/>
        </w:rPr>
      </w:pPr>
    </w:p>
    <w:p w14:paraId="0C27C60B">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（承包人名称）（以</w:t>
      </w:r>
      <w:r>
        <w:rPr>
          <w:rFonts w:hint="eastAsia" w:ascii="宋体" w:hAnsi="宋体" w:eastAsia="宋体" w:cs="宋体"/>
          <w:color w:val="auto"/>
          <w:szCs w:val="21"/>
          <w:highlight w:val="none"/>
          <w:lang w:eastAsia="zh-CN"/>
        </w:rPr>
        <w:t>下简</w:t>
      </w:r>
      <w:r>
        <w:rPr>
          <w:rFonts w:hint="eastAsia" w:ascii="宋体" w:hAnsi="宋体" w:eastAsia="宋体" w:cs="宋体"/>
          <w:color w:val="auto"/>
          <w:szCs w:val="21"/>
          <w:highlight w:val="none"/>
        </w:rPr>
        <w:t>称“承包人”）与</w:t>
      </w:r>
    </w:p>
    <w:p w14:paraId="6CE540F3">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（发包人名称）（以下简称“发包人”）</w:t>
      </w:r>
    </w:p>
    <w:p w14:paraId="31F9A9E2">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日签订的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51F70377">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担保金额人民币（大写）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C4CC732">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担保有效期自预付款支付给承包人起生效，至你方签发的进度款支付证书说明已完全扣清止。</w:t>
      </w:r>
    </w:p>
    <w:p w14:paraId="78829045">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在本保函有效期内，因承包人违反合同约定的义务而要求收回预付款时，我方在收到你方的书面通知后，在</w:t>
      </w: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天内无条件支付。但本保函的担保金额，在任何时候不应超过预付款金额减去你方按合同约定在向承包人签发的进度款支付证书中扣除的金额。</w:t>
      </w:r>
    </w:p>
    <w:p w14:paraId="43E58F5E">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你方和承包人按合同约定变更合同时，我方承担本保函规定的义务不变。</w:t>
      </w:r>
    </w:p>
    <w:p w14:paraId="58B9DCFE">
      <w:pPr>
        <w:spacing w:line="40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因本保函发生的纠纷，可由双方协商解决，协商不成的，任何一方均可提请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仲裁委员会仲裁。</w:t>
      </w:r>
    </w:p>
    <w:p w14:paraId="6D5FDFED">
      <w:pPr>
        <w:spacing w:line="40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本保函自我方法定代表人（或其授权代理人）签字并加盖公章之日起生效。</w:t>
      </w:r>
    </w:p>
    <w:p w14:paraId="121E7745">
      <w:pPr>
        <w:ind w:firstLine="480"/>
        <w:rPr>
          <w:rFonts w:hint="eastAsia" w:ascii="宋体" w:hAnsi="宋体" w:eastAsia="宋体" w:cs="宋体"/>
          <w:color w:val="auto"/>
          <w:szCs w:val="21"/>
          <w:highlight w:val="none"/>
        </w:rPr>
      </w:pPr>
    </w:p>
    <w:p w14:paraId="35D24265">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5E49FC99">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576C669A">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74A906CC">
      <w:pPr>
        <w:ind w:firstLine="4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1376ACAF">
      <w:pPr>
        <w:ind w:firstLine="4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4ACB70B1">
      <w:pPr>
        <w:ind w:firstLine="4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79AF1C33">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DD9D1EE">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857659D">
      <w:pPr>
        <w:spacing w:line="440" w:lineRule="exact"/>
        <w:ind w:firstLine="482"/>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1510" w:name="_Toc296347232"/>
      <w:bookmarkStart w:id="1511" w:name="_Toc296346734"/>
      <w:bookmarkStart w:id="1512" w:name="_Toc296891061"/>
      <w:bookmarkStart w:id="1513" w:name="_Toc296891273"/>
      <w:bookmarkStart w:id="1514" w:name="_Toc296944572"/>
      <w:bookmarkStart w:id="1515" w:name="_Toc296503233"/>
      <w:r>
        <w:rPr>
          <w:rFonts w:hint="eastAsia" w:ascii="宋体" w:hAnsi="宋体" w:eastAsia="宋体" w:cs="宋体"/>
          <w:color w:val="auto"/>
          <w:szCs w:val="21"/>
          <w:highlight w:val="none"/>
        </w:rPr>
        <w:t xml:space="preserve">件10:  </w:t>
      </w:r>
    </w:p>
    <w:bookmarkEnd w:id="1510"/>
    <w:bookmarkEnd w:id="1511"/>
    <w:bookmarkEnd w:id="1512"/>
    <w:bookmarkEnd w:id="1513"/>
    <w:bookmarkEnd w:id="1514"/>
    <w:bookmarkEnd w:id="1515"/>
    <w:p w14:paraId="0BE1FCD3">
      <w:pPr>
        <w:spacing w:before="120" w:beforeLines="50" w:after="120" w:afterLines="50" w:line="440" w:lineRule="exact"/>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w:t>
      </w:r>
    </w:p>
    <w:p w14:paraId="77ACD462">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w:t>
      </w:r>
    </w:p>
    <w:p w14:paraId="3C5CBA79">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鉴于你方作为承包人已经与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（发包人名称）（以下称“发包人”）于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日签订了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（工程名称）《建设工程施工合同》（以下称“主合同”），应发包人的申请，我方愿就发包人履行主合同约定的工程款支付义务以保证的方式向你方提供如下担保：</w:t>
      </w:r>
    </w:p>
    <w:p w14:paraId="4C6A8BFF">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一、保证的范围及保证金额</w:t>
      </w:r>
    </w:p>
    <w:p w14:paraId="2E899FE3">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我方的保证范围是主合同约定的工程款。</w:t>
      </w:r>
    </w:p>
    <w:p w14:paraId="70C790AB">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本保函所称主合同约定的工程款是指主合同约定的除工程质量保证金以外的合同价款。</w:t>
      </w:r>
    </w:p>
    <w:p w14:paraId="3305DBB8">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我方保证的金额是主合同约定的工程款的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%，数额最高不超过人民币元（大写：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2CAF565">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二、保证的方式及保证期间</w:t>
      </w:r>
    </w:p>
    <w:p w14:paraId="3F34C51C">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我方保证的方式为：连带责任保证。</w:t>
      </w:r>
    </w:p>
    <w:p w14:paraId="667A9D76">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我方保证的期间为：自本合同生效之日起至主合同约定的工程款支付完毕之日后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w:t>
      </w:r>
    </w:p>
    <w:p w14:paraId="08F7A3FE">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你方与发包人协议变更工程款支付日期的，经我方书面同意后，保证期间按照变更后的支付日期做相应调整。</w:t>
      </w:r>
    </w:p>
    <w:p w14:paraId="1F5AFEDF">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三、承担保证责任的形式</w:t>
      </w:r>
    </w:p>
    <w:p w14:paraId="00F08250">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我方承担保证责任的形式是代为支付。发包人未按主合同约定向你方支付工程款的，由我方在保证金额内代为支付。</w:t>
      </w:r>
    </w:p>
    <w:p w14:paraId="25C3ED9D">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四、代偿的安排</w:t>
      </w:r>
    </w:p>
    <w:p w14:paraId="687F5C80">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790C963E">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2ECB4B8">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我方收到你方的书面索赔通知及相应的证明材料后</w:t>
      </w: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天内无条件支付。</w:t>
      </w:r>
    </w:p>
    <w:p w14:paraId="7DDDDBC5">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五、保证责任的解除</w:t>
      </w:r>
    </w:p>
    <w:p w14:paraId="4345082E">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在本保函承诺的保证期间内，你方未书面向我方主张保证责任的，自保证期间届满次日起，我方保证责任解除。</w:t>
      </w:r>
    </w:p>
    <w:p w14:paraId="4A57B10A">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发包人按主合同约定履行了工程款的全部支付义务的，自本保函承诺的保证期间届满次日起，我方保证责任解除。</w:t>
      </w:r>
    </w:p>
    <w:p w14:paraId="212FAECB">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我方按照本保函向你方履行保证责任所支付金额达到本保函保证金额时，自我方向你方支付（支付款项从我方账户划出）之日起，保证责任即解除。</w:t>
      </w:r>
    </w:p>
    <w:p w14:paraId="3D515346">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按照法律法规的规定或出现应解除我方保证责任的其他情形的，我方在本保函项下的保证责任亦解除。</w:t>
      </w:r>
    </w:p>
    <w:p w14:paraId="73F480BD">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我方解除保证责任后，你方应自我方保证责任解除之日起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个工作日内，将本保函原件返还我方。</w:t>
      </w:r>
    </w:p>
    <w:p w14:paraId="05FBCA79">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六、免责条款</w:t>
      </w:r>
    </w:p>
    <w:p w14:paraId="27934885">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因你方违约致使发包人不能履行义务的，我方不承担保证责任。</w:t>
      </w:r>
    </w:p>
    <w:p w14:paraId="5851D182">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依照法律法规的规定或你方与发包人的另行约定，免除发包人部分或全部义务的，我方亦免除其相应的保证责任。</w:t>
      </w:r>
    </w:p>
    <w:p w14:paraId="55DF5519">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3D076FF">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因不可抗力造成发包人不能履行义务的，我方不承担保证责任。</w:t>
      </w:r>
    </w:p>
    <w:p w14:paraId="1F720974">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七、争议解决</w:t>
      </w:r>
    </w:p>
    <w:p w14:paraId="74E16182">
      <w:pPr>
        <w:spacing w:after="120" w:line="3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因本保函或本保函相关事项发生的纠纷，可由双方协商解决，协商不成的，按下列第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种方式解决：</w:t>
      </w:r>
    </w:p>
    <w:p w14:paraId="0566A52D">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仲裁委员会申请仲裁；</w:t>
      </w:r>
    </w:p>
    <w:p w14:paraId="4DDB6705">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人民法院起诉。</w:t>
      </w:r>
    </w:p>
    <w:p w14:paraId="750C0314">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八、保函的生效</w:t>
      </w:r>
    </w:p>
    <w:p w14:paraId="68DF156B">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本保函自我方法定代表人（或其授权代理人）签字并加盖公章之日起生效。</w:t>
      </w:r>
    </w:p>
    <w:p w14:paraId="51458D26">
      <w:pPr>
        <w:spacing w:line="340" w:lineRule="exact"/>
        <w:ind w:firstLine="480"/>
        <w:jc w:val="left"/>
        <w:rPr>
          <w:rFonts w:hint="eastAsia" w:ascii="宋体" w:hAnsi="宋体" w:eastAsia="宋体" w:cs="宋体"/>
          <w:color w:val="auto"/>
          <w:szCs w:val="21"/>
          <w:highlight w:val="none"/>
        </w:rPr>
      </w:pPr>
    </w:p>
    <w:p w14:paraId="7444DE7E">
      <w:pPr>
        <w:spacing w:line="340" w:lineRule="exact"/>
        <w:ind w:right="600"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14:paraId="11187300">
      <w:pPr>
        <w:spacing w:line="340" w:lineRule="exact"/>
        <w:ind w:right="120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720077C7">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16FFF0A7">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73BFE4BF">
      <w:pPr>
        <w:spacing w:line="3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p>
    <w:p w14:paraId="23B7686D">
      <w:pPr>
        <w:ind w:right="150"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E2DECF2">
      <w:pPr>
        <w:spacing w:line="4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附件11：</w:t>
      </w:r>
    </w:p>
    <w:p w14:paraId="52E7E777">
      <w:pPr>
        <w:spacing w:before="120" w:beforeLines="50" w:after="120" w:afterLines="50" w:line="440" w:lineRule="exact"/>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11-1：材料暂估价表</w:t>
      </w:r>
    </w:p>
    <w:tbl>
      <w:tblPr>
        <w:tblStyle w:val="4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5AF7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25A79B1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12" w:space="0"/>
              <w:left w:val="single" w:color="auto" w:sz="6" w:space="0"/>
              <w:bottom w:val="double" w:color="auto" w:sz="6" w:space="0"/>
              <w:right w:val="single" w:color="auto" w:sz="6" w:space="0"/>
            </w:tcBorders>
          </w:tcPr>
          <w:p w14:paraId="29F6B46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12" w:space="0"/>
              <w:left w:val="single" w:color="auto" w:sz="6" w:space="0"/>
              <w:bottom w:val="double" w:color="auto" w:sz="6" w:space="0"/>
              <w:right w:val="single" w:color="auto" w:sz="6" w:space="0"/>
            </w:tcBorders>
          </w:tcPr>
          <w:p w14:paraId="7873997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12" w:space="0"/>
              <w:left w:val="single" w:color="auto" w:sz="6" w:space="0"/>
              <w:bottom w:val="double" w:color="auto" w:sz="6" w:space="0"/>
              <w:right w:val="single" w:color="auto" w:sz="6" w:space="0"/>
            </w:tcBorders>
          </w:tcPr>
          <w:p w14:paraId="05D3B0C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12" w:space="0"/>
              <w:left w:val="single" w:color="auto" w:sz="6" w:space="0"/>
              <w:bottom w:val="double" w:color="auto" w:sz="6" w:space="0"/>
              <w:right w:val="single" w:color="auto" w:sz="6" w:space="0"/>
            </w:tcBorders>
          </w:tcPr>
          <w:p w14:paraId="25321CB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12" w:space="0"/>
              <w:left w:val="single" w:color="auto" w:sz="6" w:space="0"/>
              <w:bottom w:val="double" w:color="auto" w:sz="6" w:space="0"/>
              <w:right w:val="single" w:color="auto" w:sz="6" w:space="0"/>
            </w:tcBorders>
          </w:tcPr>
          <w:p w14:paraId="0E84381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12" w:space="0"/>
              <w:left w:val="single" w:color="auto" w:sz="6" w:space="0"/>
              <w:bottom w:val="double" w:color="auto" w:sz="6" w:space="0"/>
              <w:right w:val="single" w:color="auto" w:sz="12" w:space="0"/>
            </w:tcBorders>
          </w:tcPr>
          <w:p w14:paraId="016909F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1CB7B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270A19A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double" w:color="auto" w:sz="6" w:space="0"/>
              <w:left w:val="single" w:color="auto" w:sz="6" w:space="0"/>
              <w:bottom w:val="single" w:color="auto" w:sz="6" w:space="0"/>
              <w:right w:val="single" w:color="auto" w:sz="6" w:space="0"/>
            </w:tcBorders>
          </w:tcPr>
          <w:p w14:paraId="4986FF6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tcPr>
          <w:p w14:paraId="5B00BCD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double" w:color="auto" w:sz="6" w:space="0"/>
              <w:left w:val="single" w:color="auto" w:sz="6" w:space="0"/>
              <w:bottom w:val="single" w:color="auto" w:sz="6" w:space="0"/>
              <w:right w:val="single" w:color="auto" w:sz="6" w:space="0"/>
            </w:tcBorders>
          </w:tcPr>
          <w:p w14:paraId="4658E38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double" w:color="auto" w:sz="6" w:space="0"/>
              <w:left w:val="single" w:color="auto" w:sz="6" w:space="0"/>
              <w:bottom w:val="single" w:color="auto" w:sz="6" w:space="0"/>
              <w:right w:val="single" w:color="auto" w:sz="6" w:space="0"/>
            </w:tcBorders>
          </w:tcPr>
          <w:p w14:paraId="5B1CF1E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tcPr>
          <w:p w14:paraId="0079188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double" w:color="auto" w:sz="6" w:space="0"/>
              <w:left w:val="single" w:color="auto" w:sz="6" w:space="0"/>
              <w:bottom w:val="single" w:color="auto" w:sz="6" w:space="0"/>
              <w:right w:val="single" w:color="auto" w:sz="12" w:space="0"/>
            </w:tcBorders>
          </w:tcPr>
          <w:p w14:paraId="40AF360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3BBEF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4EDAA46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nil"/>
              <w:left w:val="single" w:color="auto" w:sz="6" w:space="0"/>
              <w:bottom w:val="single" w:color="auto" w:sz="6" w:space="0"/>
              <w:right w:val="single" w:color="auto" w:sz="6" w:space="0"/>
            </w:tcBorders>
          </w:tcPr>
          <w:p w14:paraId="34E124B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tcPr>
          <w:p w14:paraId="3C4A1D2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nil"/>
              <w:left w:val="single" w:color="auto" w:sz="6" w:space="0"/>
              <w:bottom w:val="single" w:color="auto" w:sz="6" w:space="0"/>
              <w:right w:val="single" w:color="auto" w:sz="6" w:space="0"/>
            </w:tcBorders>
          </w:tcPr>
          <w:p w14:paraId="024E36F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nil"/>
              <w:left w:val="single" w:color="auto" w:sz="6" w:space="0"/>
              <w:bottom w:val="single" w:color="auto" w:sz="6" w:space="0"/>
              <w:right w:val="single" w:color="auto" w:sz="6" w:space="0"/>
            </w:tcBorders>
          </w:tcPr>
          <w:p w14:paraId="0DA07A7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tcPr>
          <w:p w14:paraId="608769B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nil"/>
              <w:left w:val="single" w:color="auto" w:sz="6" w:space="0"/>
              <w:bottom w:val="single" w:color="auto" w:sz="6" w:space="0"/>
              <w:right w:val="single" w:color="auto" w:sz="12" w:space="0"/>
            </w:tcBorders>
          </w:tcPr>
          <w:p w14:paraId="45F0A38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0681B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95EF8A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B75E12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44A8D4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B19970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0FC4E6E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FDA03B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39CCF28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7E566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A32EE1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EE3AD4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F7AA7D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F85243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1CC292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705393B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1567F1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4BCF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356B57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07C350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80B1A1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CF5E32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0189C3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2B2EFC7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499654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54413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01B7CD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99159F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835170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7C00C4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DA4D3B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75BFDE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F289DF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65A60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56DAFF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C0384E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6E0F197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44FD75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60630C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6891C6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5136F6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0D3C5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C77143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F4FA61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DA2F8C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02F987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4CF96F8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837E3B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33277EE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74C01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DDD2D5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921054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2D5124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32ABCD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299BE49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C9D563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B00476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7FDBF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0940295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12" w:space="0"/>
              <w:right w:val="single" w:color="auto" w:sz="6" w:space="0"/>
            </w:tcBorders>
          </w:tcPr>
          <w:p w14:paraId="7D7F4CE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12" w:space="0"/>
              <w:right w:val="single" w:color="auto" w:sz="6" w:space="0"/>
            </w:tcBorders>
          </w:tcPr>
          <w:p w14:paraId="17B6AA7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12" w:space="0"/>
              <w:right w:val="single" w:color="auto" w:sz="6" w:space="0"/>
            </w:tcBorders>
          </w:tcPr>
          <w:p w14:paraId="55B5673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12" w:space="0"/>
              <w:right w:val="single" w:color="auto" w:sz="6" w:space="0"/>
            </w:tcBorders>
          </w:tcPr>
          <w:p w14:paraId="2B45DC1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12" w:space="0"/>
              <w:right w:val="single" w:color="auto" w:sz="6" w:space="0"/>
            </w:tcBorders>
          </w:tcPr>
          <w:p w14:paraId="321809E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12" w:space="0"/>
              <w:right w:val="single" w:color="auto" w:sz="12" w:space="0"/>
            </w:tcBorders>
          </w:tcPr>
          <w:p w14:paraId="5F41F18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bl>
    <w:p w14:paraId="3540929E">
      <w:pPr>
        <w:spacing w:before="120" w:beforeLines="50" w:after="120" w:afterLines="50" w:line="440" w:lineRule="exact"/>
        <w:ind w:firstLine="420"/>
        <w:jc w:val="center"/>
        <w:rPr>
          <w:rFonts w:hint="eastAsia" w:ascii="宋体" w:hAnsi="宋体" w:eastAsia="宋体" w:cs="宋体"/>
          <w:color w:val="auto"/>
          <w:sz w:val="21"/>
          <w:szCs w:val="21"/>
          <w:highlight w:val="none"/>
        </w:rPr>
      </w:pPr>
    </w:p>
    <w:p w14:paraId="09458F25">
      <w:pPr>
        <w:spacing w:before="120" w:beforeLines="50" w:after="120" w:afterLines="50" w:line="440" w:lineRule="exact"/>
        <w:ind w:firstLine="480"/>
        <w:jc w:val="center"/>
        <w:rPr>
          <w:rFonts w:hint="eastAsia" w:ascii="宋体" w:hAnsi="宋体" w:eastAsia="宋体" w:cs="宋体"/>
          <w:color w:val="auto"/>
          <w:szCs w:val="21"/>
          <w:highlight w:val="none"/>
        </w:rPr>
      </w:pPr>
    </w:p>
    <w:p w14:paraId="4C912674">
      <w:pPr>
        <w:spacing w:before="120" w:beforeLines="50" w:after="120" w:afterLines="50" w:line="440" w:lineRule="exact"/>
        <w:ind w:firstLine="480"/>
        <w:jc w:val="center"/>
        <w:rPr>
          <w:rFonts w:hint="eastAsia" w:ascii="宋体" w:hAnsi="宋体" w:eastAsia="宋体" w:cs="宋体"/>
          <w:color w:val="auto"/>
          <w:szCs w:val="21"/>
          <w:highlight w:val="none"/>
        </w:rPr>
      </w:pPr>
    </w:p>
    <w:p w14:paraId="777D09D4">
      <w:pPr>
        <w:spacing w:before="120" w:beforeLines="50" w:after="120" w:afterLines="50" w:line="440" w:lineRule="exact"/>
        <w:ind w:firstLine="480"/>
        <w:jc w:val="center"/>
        <w:rPr>
          <w:rFonts w:hint="eastAsia" w:ascii="宋体" w:hAnsi="宋体" w:eastAsia="宋体" w:cs="宋体"/>
          <w:color w:val="auto"/>
          <w:szCs w:val="21"/>
          <w:highlight w:val="none"/>
        </w:rPr>
      </w:pPr>
    </w:p>
    <w:p w14:paraId="12EEF41E">
      <w:pPr>
        <w:spacing w:before="120" w:beforeLines="50" w:after="120" w:afterLines="50" w:line="440" w:lineRule="exact"/>
        <w:ind w:firstLine="480"/>
        <w:jc w:val="center"/>
        <w:rPr>
          <w:rFonts w:hint="eastAsia" w:ascii="宋体" w:hAnsi="宋体" w:eastAsia="宋体" w:cs="宋体"/>
          <w:color w:val="auto"/>
          <w:szCs w:val="21"/>
          <w:highlight w:val="none"/>
        </w:rPr>
      </w:pPr>
    </w:p>
    <w:p w14:paraId="7417DE2A">
      <w:pPr>
        <w:spacing w:before="120" w:beforeLines="50" w:after="120" w:afterLines="50" w:line="440" w:lineRule="exact"/>
        <w:ind w:firstLine="480"/>
        <w:jc w:val="center"/>
        <w:rPr>
          <w:rFonts w:hint="eastAsia" w:ascii="宋体" w:hAnsi="宋体" w:eastAsia="宋体" w:cs="宋体"/>
          <w:color w:val="auto"/>
          <w:szCs w:val="21"/>
          <w:highlight w:val="none"/>
        </w:rPr>
      </w:pPr>
    </w:p>
    <w:p w14:paraId="52B2E519">
      <w:pPr>
        <w:spacing w:before="120" w:beforeLines="50" w:after="120" w:afterLines="50" w:line="440" w:lineRule="exact"/>
        <w:ind w:firstLine="480"/>
        <w:jc w:val="center"/>
        <w:rPr>
          <w:rFonts w:hint="eastAsia" w:ascii="宋体" w:hAnsi="宋体" w:eastAsia="宋体" w:cs="宋体"/>
          <w:color w:val="auto"/>
          <w:szCs w:val="21"/>
          <w:highlight w:val="none"/>
        </w:rPr>
      </w:pPr>
    </w:p>
    <w:p w14:paraId="340BC307">
      <w:pPr>
        <w:spacing w:before="120" w:beforeLines="50" w:after="120" w:afterLines="50" w:line="440" w:lineRule="exact"/>
        <w:ind w:firstLine="480"/>
        <w:jc w:val="center"/>
        <w:rPr>
          <w:rFonts w:hint="eastAsia" w:ascii="宋体" w:hAnsi="宋体" w:eastAsia="宋体" w:cs="宋体"/>
          <w:color w:val="auto"/>
          <w:szCs w:val="21"/>
          <w:highlight w:val="none"/>
        </w:rPr>
      </w:pPr>
    </w:p>
    <w:p w14:paraId="4245C04E">
      <w:pPr>
        <w:spacing w:before="120" w:beforeLines="50" w:after="120" w:afterLines="50" w:line="440" w:lineRule="exact"/>
        <w:ind w:firstLine="480"/>
        <w:jc w:val="center"/>
        <w:rPr>
          <w:rFonts w:hint="eastAsia" w:ascii="宋体" w:hAnsi="宋体" w:eastAsia="宋体" w:cs="宋体"/>
          <w:color w:val="auto"/>
          <w:szCs w:val="21"/>
          <w:highlight w:val="none"/>
        </w:rPr>
      </w:pPr>
    </w:p>
    <w:p w14:paraId="08EF453C">
      <w:pPr>
        <w:spacing w:before="120" w:beforeLines="50" w:after="120" w:afterLines="50" w:line="440" w:lineRule="exact"/>
        <w:ind w:firstLine="480"/>
        <w:jc w:val="center"/>
        <w:rPr>
          <w:rFonts w:hint="eastAsia" w:ascii="宋体" w:hAnsi="宋体" w:eastAsia="宋体" w:cs="宋体"/>
          <w:color w:val="auto"/>
          <w:szCs w:val="21"/>
          <w:highlight w:val="none"/>
        </w:rPr>
      </w:pPr>
    </w:p>
    <w:p w14:paraId="5E3FBA8E">
      <w:pPr>
        <w:widowControl/>
        <w:spacing w:line="240"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DE4B66C">
      <w:pPr>
        <w:spacing w:before="120" w:beforeLines="50" w:after="120" w:afterLines="50" w:line="440" w:lineRule="exact"/>
        <w:ind w:firstLine="480"/>
        <w:jc w:val="center"/>
        <w:rPr>
          <w:rFonts w:hint="eastAsia" w:ascii="宋体" w:hAnsi="宋体" w:eastAsia="宋体" w:cs="宋体"/>
          <w:color w:val="auto"/>
          <w:szCs w:val="21"/>
          <w:highlight w:val="none"/>
        </w:rPr>
      </w:pPr>
    </w:p>
    <w:p w14:paraId="5A372918">
      <w:pPr>
        <w:spacing w:before="120" w:beforeLines="50" w:after="120" w:afterLines="50" w:line="440" w:lineRule="exact"/>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11-2：工程设备暂估价表</w:t>
      </w:r>
    </w:p>
    <w:tbl>
      <w:tblPr>
        <w:tblStyle w:val="4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8199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1130721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12" w:space="0"/>
              <w:left w:val="single" w:color="auto" w:sz="6" w:space="0"/>
              <w:bottom w:val="double" w:color="auto" w:sz="6" w:space="0"/>
              <w:right w:val="single" w:color="auto" w:sz="6" w:space="0"/>
            </w:tcBorders>
          </w:tcPr>
          <w:p w14:paraId="0A956CD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12" w:space="0"/>
              <w:left w:val="single" w:color="auto" w:sz="6" w:space="0"/>
              <w:bottom w:val="double" w:color="auto" w:sz="6" w:space="0"/>
              <w:right w:val="single" w:color="auto" w:sz="6" w:space="0"/>
            </w:tcBorders>
          </w:tcPr>
          <w:p w14:paraId="217D4C7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12" w:space="0"/>
              <w:left w:val="single" w:color="auto" w:sz="6" w:space="0"/>
              <w:bottom w:val="double" w:color="auto" w:sz="6" w:space="0"/>
              <w:right w:val="single" w:color="auto" w:sz="6" w:space="0"/>
            </w:tcBorders>
          </w:tcPr>
          <w:p w14:paraId="5EEA912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12" w:space="0"/>
              <w:left w:val="single" w:color="auto" w:sz="6" w:space="0"/>
              <w:bottom w:val="double" w:color="auto" w:sz="6" w:space="0"/>
              <w:right w:val="single" w:color="auto" w:sz="6" w:space="0"/>
            </w:tcBorders>
          </w:tcPr>
          <w:p w14:paraId="67D0241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12" w:space="0"/>
              <w:left w:val="single" w:color="auto" w:sz="6" w:space="0"/>
              <w:bottom w:val="double" w:color="auto" w:sz="6" w:space="0"/>
              <w:right w:val="single" w:color="auto" w:sz="6" w:space="0"/>
            </w:tcBorders>
          </w:tcPr>
          <w:p w14:paraId="37048D4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12" w:space="0"/>
              <w:left w:val="single" w:color="auto" w:sz="6" w:space="0"/>
              <w:bottom w:val="double" w:color="auto" w:sz="6" w:space="0"/>
              <w:right w:val="single" w:color="auto" w:sz="12" w:space="0"/>
            </w:tcBorders>
          </w:tcPr>
          <w:p w14:paraId="44AC7BE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56377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797F41C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double" w:color="auto" w:sz="6" w:space="0"/>
              <w:left w:val="single" w:color="auto" w:sz="6" w:space="0"/>
              <w:bottom w:val="single" w:color="auto" w:sz="6" w:space="0"/>
              <w:right w:val="single" w:color="auto" w:sz="6" w:space="0"/>
            </w:tcBorders>
          </w:tcPr>
          <w:p w14:paraId="220BBDC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tcPr>
          <w:p w14:paraId="377D05A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double" w:color="auto" w:sz="6" w:space="0"/>
              <w:left w:val="single" w:color="auto" w:sz="6" w:space="0"/>
              <w:bottom w:val="single" w:color="auto" w:sz="6" w:space="0"/>
              <w:right w:val="single" w:color="auto" w:sz="6" w:space="0"/>
            </w:tcBorders>
          </w:tcPr>
          <w:p w14:paraId="524F1A5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double" w:color="auto" w:sz="6" w:space="0"/>
              <w:left w:val="single" w:color="auto" w:sz="6" w:space="0"/>
              <w:bottom w:val="single" w:color="auto" w:sz="6" w:space="0"/>
              <w:right w:val="single" w:color="auto" w:sz="6" w:space="0"/>
            </w:tcBorders>
          </w:tcPr>
          <w:p w14:paraId="3FB204F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tcPr>
          <w:p w14:paraId="2B7592F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double" w:color="auto" w:sz="6" w:space="0"/>
              <w:left w:val="single" w:color="auto" w:sz="6" w:space="0"/>
              <w:bottom w:val="single" w:color="auto" w:sz="6" w:space="0"/>
              <w:right w:val="single" w:color="auto" w:sz="12" w:space="0"/>
            </w:tcBorders>
          </w:tcPr>
          <w:p w14:paraId="58948EC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06F9D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29C5647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nil"/>
              <w:left w:val="single" w:color="auto" w:sz="6" w:space="0"/>
              <w:bottom w:val="single" w:color="auto" w:sz="6" w:space="0"/>
              <w:right w:val="single" w:color="auto" w:sz="6" w:space="0"/>
            </w:tcBorders>
          </w:tcPr>
          <w:p w14:paraId="14AC160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tcPr>
          <w:p w14:paraId="28D5DA7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nil"/>
              <w:left w:val="single" w:color="auto" w:sz="6" w:space="0"/>
              <w:bottom w:val="single" w:color="auto" w:sz="6" w:space="0"/>
              <w:right w:val="single" w:color="auto" w:sz="6" w:space="0"/>
            </w:tcBorders>
          </w:tcPr>
          <w:p w14:paraId="2F2BE65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nil"/>
              <w:left w:val="single" w:color="auto" w:sz="6" w:space="0"/>
              <w:bottom w:val="single" w:color="auto" w:sz="6" w:space="0"/>
              <w:right w:val="single" w:color="auto" w:sz="6" w:space="0"/>
            </w:tcBorders>
          </w:tcPr>
          <w:p w14:paraId="42309E4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tcPr>
          <w:p w14:paraId="5E33E6B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nil"/>
              <w:left w:val="single" w:color="auto" w:sz="6" w:space="0"/>
              <w:bottom w:val="single" w:color="auto" w:sz="6" w:space="0"/>
              <w:right w:val="single" w:color="auto" w:sz="12" w:space="0"/>
            </w:tcBorders>
          </w:tcPr>
          <w:p w14:paraId="0828240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5CA50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A7CE16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3E0FD9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96D98B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0C8999C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5DD183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DF70DA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9D2F24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0BE55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15FD1F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407869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FC2303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7C1332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29D54D5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7704F67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46F463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1E352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7E8300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21887CB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C24C35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9675C3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0D4981E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808246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B69357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1CC33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798DBC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E33423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F8046B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0725DBA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2689B9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224D3D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29E04BA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49D01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72352C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12C555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CD2E6C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1EB9FE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763462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688089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BBE2CF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70355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EC4E11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1FC779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D83B65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40F6F82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D9AD43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7CB6ED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266E39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235F1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9AC728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7B1FC3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225575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D93A52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433A42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C2C8A8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33CB8FF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7593B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18F4E5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1BC5F1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29954F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F5C7BF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A0D7C0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25C717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F798FE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1DF1B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3FAEDF7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12" w:space="0"/>
              <w:right w:val="single" w:color="auto" w:sz="6" w:space="0"/>
            </w:tcBorders>
          </w:tcPr>
          <w:p w14:paraId="32C0507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12" w:space="0"/>
              <w:right w:val="single" w:color="auto" w:sz="6" w:space="0"/>
            </w:tcBorders>
          </w:tcPr>
          <w:p w14:paraId="16DBDCD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12" w:space="0"/>
              <w:right w:val="single" w:color="auto" w:sz="6" w:space="0"/>
            </w:tcBorders>
          </w:tcPr>
          <w:p w14:paraId="0BB313D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12" w:space="0"/>
              <w:right w:val="single" w:color="auto" w:sz="6" w:space="0"/>
            </w:tcBorders>
          </w:tcPr>
          <w:p w14:paraId="700E129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12" w:space="0"/>
              <w:right w:val="single" w:color="auto" w:sz="6" w:space="0"/>
            </w:tcBorders>
          </w:tcPr>
          <w:p w14:paraId="66EC677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12" w:space="0"/>
              <w:right w:val="single" w:color="auto" w:sz="12" w:space="0"/>
            </w:tcBorders>
          </w:tcPr>
          <w:p w14:paraId="164987F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bl>
    <w:p w14:paraId="5C55B836">
      <w:pPr>
        <w:spacing w:line="440" w:lineRule="exact"/>
        <w:ind w:firstLine="420"/>
        <w:rPr>
          <w:rFonts w:hint="eastAsia" w:ascii="宋体" w:hAnsi="宋体" w:eastAsia="宋体" w:cs="宋体"/>
          <w:color w:val="auto"/>
          <w:sz w:val="21"/>
          <w:szCs w:val="21"/>
          <w:highlight w:val="none"/>
        </w:rPr>
      </w:pPr>
    </w:p>
    <w:p w14:paraId="5F88E28E">
      <w:pPr>
        <w:spacing w:before="120" w:beforeLines="50" w:after="120" w:afterLines="50" w:line="440" w:lineRule="exact"/>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11-3：专业工程暂估价表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349E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left w:val="single" w:color="auto" w:sz="12" w:space="0"/>
              <w:bottom w:val="double" w:color="auto" w:sz="6" w:space="0"/>
              <w:right w:val="single" w:color="auto" w:sz="6" w:space="0"/>
            </w:tcBorders>
          </w:tcPr>
          <w:p w14:paraId="216853D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12" w:space="0"/>
              <w:left w:val="single" w:color="auto" w:sz="6" w:space="0"/>
              <w:bottom w:val="double" w:color="auto" w:sz="6" w:space="0"/>
              <w:right w:val="single" w:color="auto" w:sz="6" w:space="0"/>
            </w:tcBorders>
          </w:tcPr>
          <w:p w14:paraId="3A65AC1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12" w:space="0"/>
              <w:left w:val="single" w:color="auto" w:sz="6" w:space="0"/>
              <w:bottom w:val="double" w:color="auto" w:sz="6" w:space="0"/>
              <w:right w:val="single" w:color="auto" w:sz="6" w:space="0"/>
            </w:tcBorders>
          </w:tcPr>
          <w:p w14:paraId="698886C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12" w:space="0"/>
              <w:left w:val="single" w:color="auto" w:sz="6" w:space="0"/>
              <w:bottom w:val="double" w:color="auto" w:sz="6" w:space="0"/>
              <w:right w:val="single" w:color="auto" w:sz="6" w:space="0"/>
            </w:tcBorders>
          </w:tcPr>
          <w:p w14:paraId="35A8AED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12" w:space="0"/>
              <w:left w:val="single" w:color="auto" w:sz="6" w:space="0"/>
              <w:bottom w:val="double" w:color="auto" w:sz="6" w:space="0"/>
              <w:right w:val="single" w:color="auto" w:sz="6" w:space="0"/>
            </w:tcBorders>
          </w:tcPr>
          <w:p w14:paraId="2347EFF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12" w:space="0"/>
              <w:left w:val="single" w:color="auto" w:sz="6" w:space="0"/>
              <w:bottom w:val="double" w:color="auto" w:sz="6" w:space="0"/>
              <w:right w:val="single" w:color="auto" w:sz="6" w:space="0"/>
            </w:tcBorders>
          </w:tcPr>
          <w:p w14:paraId="19CE386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12" w:space="0"/>
              <w:left w:val="single" w:color="auto" w:sz="6" w:space="0"/>
              <w:bottom w:val="double" w:color="auto" w:sz="6" w:space="0"/>
              <w:right w:val="single" w:color="auto" w:sz="12" w:space="0"/>
            </w:tcBorders>
          </w:tcPr>
          <w:p w14:paraId="1757183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63D76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4EDBE1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double" w:color="auto" w:sz="6" w:space="0"/>
              <w:left w:val="single" w:color="auto" w:sz="6" w:space="0"/>
              <w:bottom w:val="single" w:color="auto" w:sz="6" w:space="0"/>
              <w:right w:val="single" w:color="auto" w:sz="6" w:space="0"/>
            </w:tcBorders>
          </w:tcPr>
          <w:p w14:paraId="6FA173E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tcPr>
          <w:p w14:paraId="1FE7908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double" w:color="auto" w:sz="6" w:space="0"/>
              <w:left w:val="single" w:color="auto" w:sz="6" w:space="0"/>
              <w:bottom w:val="single" w:color="auto" w:sz="6" w:space="0"/>
              <w:right w:val="single" w:color="auto" w:sz="6" w:space="0"/>
            </w:tcBorders>
          </w:tcPr>
          <w:p w14:paraId="11A136F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double" w:color="auto" w:sz="6" w:space="0"/>
              <w:left w:val="single" w:color="auto" w:sz="6" w:space="0"/>
              <w:bottom w:val="single" w:color="auto" w:sz="6" w:space="0"/>
              <w:right w:val="single" w:color="auto" w:sz="6" w:space="0"/>
            </w:tcBorders>
          </w:tcPr>
          <w:p w14:paraId="70C7192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tcPr>
          <w:p w14:paraId="211C71B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double" w:color="auto" w:sz="6" w:space="0"/>
              <w:left w:val="single" w:color="auto" w:sz="6" w:space="0"/>
              <w:bottom w:val="single" w:color="auto" w:sz="6" w:space="0"/>
              <w:right w:val="single" w:color="auto" w:sz="12" w:space="0"/>
            </w:tcBorders>
          </w:tcPr>
          <w:p w14:paraId="5B443CA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29685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5AE691C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nil"/>
              <w:left w:val="single" w:color="auto" w:sz="6" w:space="0"/>
              <w:bottom w:val="single" w:color="auto" w:sz="6" w:space="0"/>
              <w:right w:val="single" w:color="auto" w:sz="6" w:space="0"/>
            </w:tcBorders>
          </w:tcPr>
          <w:p w14:paraId="5A73839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tcPr>
          <w:p w14:paraId="1C8D15B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nil"/>
              <w:left w:val="single" w:color="auto" w:sz="6" w:space="0"/>
              <w:bottom w:val="single" w:color="auto" w:sz="6" w:space="0"/>
              <w:right w:val="single" w:color="auto" w:sz="6" w:space="0"/>
            </w:tcBorders>
          </w:tcPr>
          <w:p w14:paraId="6B862A9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nil"/>
              <w:left w:val="single" w:color="auto" w:sz="6" w:space="0"/>
              <w:bottom w:val="single" w:color="auto" w:sz="6" w:space="0"/>
              <w:right w:val="single" w:color="auto" w:sz="6" w:space="0"/>
            </w:tcBorders>
          </w:tcPr>
          <w:p w14:paraId="151C2C3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tcPr>
          <w:p w14:paraId="74D9C3C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nil"/>
              <w:left w:val="single" w:color="auto" w:sz="6" w:space="0"/>
              <w:bottom w:val="single" w:color="auto" w:sz="6" w:space="0"/>
              <w:right w:val="single" w:color="auto" w:sz="12" w:space="0"/>
            </w:tcBorders>
          </w:tcPr>
          <w:p w14:paraId="6137814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75DDC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3F20A8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78B255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023CF2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08CEB12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7C6F28E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4F80991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37E786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4AAA7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48FE7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357EAD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ED8DD0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40A3FB6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DEFAE0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EF40AB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34B4BD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350A8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7D0D38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150ADD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F295D2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30E88C5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45CF59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D478C9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CE9165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352D5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093B88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E1BDEE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E430A2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CE84F1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72FA4B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29CEB52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A088D9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71F9F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822AB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7AD227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811133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21AFDD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008931A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2A42492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BFE331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1C784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CBFEBC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9C3D70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91CFCD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81B862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42F6C17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F69B62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57D8C3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1CDFE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CC0016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D02542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D62916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97078A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AD26C6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5955FF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E8E870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6FC17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52660E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C60B1D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6492A3B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89EDEC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31D5161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6BE3B9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B01D12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08362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862BE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54E9E9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42631A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484C0C7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2886220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3CD4D56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C0C200B">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22F14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15030D2">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C6D9DA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4455CA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3FFE50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B023B7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4FB15DF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26DA21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12A45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C87539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E9D8BA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D02BB4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CD6EB6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C10D39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C92ECC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B915CD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2D28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E9F9A6">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91B30D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32E8D2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BE9656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73E443F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711087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037EA90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77F67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32B9C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10D6F9E">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B7FCAF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3099C23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5BC8E1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7DA33D6C">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A78663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24B04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5CBA8A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11164E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359F800">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D8BBCF1">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4DC321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6E7A22D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E98BDA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406E6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AA7F8D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9023CFA">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25EA19B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0EA361D">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42AB0D4">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4CE9AFF">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051CE44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r w14:paraId="147EF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69CDEB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2B195645">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60F609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16F984A8">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7D62E7E9">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667CF67">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78C82B3">
            <w:pPr>
              <w:keepNext/>
              <w:autoSpaceDE w:val="0"/>
              <w:autoSpaceDN w:val="0"/>
              <w:spacing w:line="440" w:lineRule="exact"/>
              <w:ind w:left="420" w:right="63" w:firstLine="0" w:firstLineChars="0"/>
              <w:jc w:val="left"/>
              <w:rPr>
                <w:rFonts w:hint="eastAsia" w:ascii="宋体" w:hAnsi="宋体" w:eastAsia="宋体" w:cs="宋体"/>
                <w:color w:val="auto"/>
                <w:sz w:val="21"/>
                <w:szCs w:val="21"/>
                <w:highlight w:val="none"/>
                <w:lang w:bidi="zh-CN"/>
              </w:rPr>
            </w:pPr>
          </w:p>
        </w:tc>
      </w:tr>
    </w:tbl>
    <w:p w14:paraId="65C4694A">
      <w:pPr>
        <w:snapToGrid w:val="0"/>
        <w:spacing w:line="360" w:lineRule="exact"/>
        <w:ind w:right="480" w:firstLine="420"/>
        <w:rPr>
          <w:rFonts w:hint="eastAsia" w:ascii="宋体" w:hAnsi="宋体" w:eastAsia="宋体" w:cs="宋体"/>
          <w:bCs/>
          <w:color w:val="auto"/>
          <w:sz w:val="21"/>
          <w:szCs w:val="21"/>
          <w:highlight w:val="none"/>
        </w:rPr>
      </w:pPr>
    </w:p>
    <w:p w14:paraId="3B082A54">
      <w:pPr>
        <w:snapToGrid w:val="0"/>
        <w:spacing w:line="360" w:lineRule="exact"/>
        <w:ind w:right="480" w:firstLine="480"/>
        <w:rPr>
          <w:rFonts w:hint="eastAsia" w:ascii="宋体" w:hAnsi="宋体" w:eastAsia="宋体" w:cs="宋体"/>
          <w:bCs/>
          <w:color w:val="auto"/>
          <w:szCs w:val="21"/>
          <w:highlight w:val="none"/>
        </w:rPr>
      </w:pPr>
    </w:p>
    <w:p w14:paraId="434CA850">
      <w:pPr>
        <w:ind w:firstLine="643"/>
        <w:jc w:val="center"/>
        <w:rPr>
          <w:rFonts w:hint="eastAsia" w:ascii="宋体" w:hAnsi="宋体" w:eastAsia="宋体" w:cs="宋体"/>
          <w:b/>
          <w:bCs/>
          <w:color w:val="auto"/>
          <w:kern w:val="44"/>
          <w:sz w:val="32"/>
          <w:szCs w:val="32"/>
          <w:highlight w:val="none"/>
          <w:lang w:val="zh-CN"/>
        </w:rPr>
      </w:pPr>
    </w:p>
    <w:p w14:paraId="6EE1F00F">
      <w:pPr>
        <w:spacing w:line="380" w:lineRule="exact"/>
        <w:ind w:firstLine="0" w:firstLineChars="0"/>
        <w:jc w:val="left"/>
        <w:rPr>
          <w:rFonts w:hint="eastAsia" w:ascii="宋体" w:hAnsi="宋体" w:eastAsia="宋体" w:cs="宋体"/>
          <w:b/>
          <w:bCs/>
          <w:color w:val="auto"/>
          <w:sz w:val="32"/>
          <w:szCs w:val="24"/>
          <w:highlight w:val="none"/>
        </w:rPr>
      </w:pPr>
    </w:p>
    <w:p w14:paraId="6CC357F9">
      <w:pPr>
        <w:spacing w:line="380" w:lineRule="exact"/>
        <w:ind w:firstLine="0" w:firstLineChars="0"/>
        <w:jc w:val="left"/>
        <w:rPr>
          <w:rFonts w:hint="eastAsia" w:ascii="宋体" w:hAnsi="宋体" w:eastAsia="宋体" w:cs="宋体"/>
          <w:b/>
          <w:bCs/>
          <w:color w:val="auto"/>
          <w:sz w:val="32"/>
          <w:szCs w:val="24"/>
          <w:highlight w:val="none"/>
        </w:rPr>
      </w:pPr>
    </w:p>
    <w:p w14:paraId="1D12D449">
      <w:pPr>
        <w:spacing w:line="380" w:lineRule="exact"/>
        <w:ind w:firstLine="0" w:firstLineChars="0"/>
        <w:jc w:val="left"/>
        <w:rPr>
          <w:rFonts w:hint="eastAsia" w:ascii="宋体" w:hAnsi="宋体" w:eastAsia="宋体" w:cs="宋体"/>
          <w:b/>
          <w:bCs/>
          <w:color w:val="auto"/>
          <w:sz w:val="32"/>
          <w:szCs w:val="24"/>
          <w:highlight w:val="none"/>
        </w:rPr>
      </w:pPr>
    </w:p>
    <w:p w14:paraId="7666AC7D">
      <w:pPr>
        <w:spacing w:line="380" w:lineRule="exact"/>
        <w:ind w:firstLine="0" w:firstLineChars="0"/>
        <w:jc w:val="left"/>
        <w:rPr>
          <w:rFonts w:hint="eastAsia" w:ascii="宋体" w:hAnsi="宋体" w:eastAsia="宋体" w:cs="宋体"/>
          <w:b/>
          <w:bCs/>
          <w:color w:val="auto"/>
          <w:sz w:val="32"/>
          <w:szCs w:val="24"/>
          <w:highlight w:val="none"/>
        </w:rPr>
      </w:pPr>
    </w:p>
    <w:p w14:paraId="5BF42B8C">
      <w:pPr>
        <w:spacing w:line="380" w:lineRule="exact"/>
        <w:ind w:firstLine="0" w:firstLineChars="0"/>
        <w:jc w:val="left"/>
        <w:rPr>
          <w:rFonts w:hint="eastAsia" w:ascii="宋体" w:hAnsi="宋体" w:eastAsia="宋体" w:cs="宋体"/>
          <w:b/>
          <w:bCs/>
          <w:color w:val="auto"/>
          <w:sz w:val="32"/>
          <w:szCs w:val="24"/>
          <w:highlight w:val="none"/>
        </w:rPr>
      </w:pPr>
    </w:p>
    <w:p w14:paraId="413788AE">
      <w:pPr>
        <w:snapToGrid w:val="0"/>
        <w:spacing w:line="400" w:lineRule="exact"/>
        <w:ind w:firstLine="0" w:firstLineChars="0"/>
        <w:rPr>
          <w:rFonts w:hint="eastAsia" w:ascii="宋体" w:hAnsi="宋体" w:eastAsia="宋体" w:cs="宋体"/>
          <w:b/>
          <w:bCs/>
          <w:color w:val="auto"/>
          <w:sz w:val="32"/>
          <w:szCs w:val="32"/>
          <w:highlight w:val="none"/>
        </w:rPr>
      </w:pPr>
    </w:p>
    <w:sectPr>
      <w:headerReference r:id="rId26" w:type="first"/>
      <w:footerReference r:id="rId29" w:type="first"/>
      <w:headerReference r:id="rId24" w:type="default"/>
      <w:footerReference r:id="rId27" w:type="default"/>
      <w:headerReference r:id="rId25" w:type="even"/>
      <w:footerReference r:id="rId28" w:type="even"/>
      <w:pgSz w:w="11907" w:h="16840"/>
      <w:pgMar w:top="1440" w:right="1440" w:bottom="1440" w:left="1797" w:header="851" w:footer="85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DF918">
    <w:pPr>
      <w:pStyle w:val="31"/>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520C9">
    <w:pPr>
      <w:spacing w:line="226" w:lineRule="exact"/>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A4EF7">
                          <w:pPr>
                            <w:pStyle w:val="3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41A4EF7">
                    <w:pPr>
                      <w:pStyle w:val="3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58EFB">
    <w:pPr>
      <w:pStyle w:val="31"/>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7B3E3">
                          <w:pPr>
                            <w:pStyle w:val="3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427B3E3">
                    <w:pPr>
                      <w:pStyle w:val="3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C4A3F">
    <w:pPr>
      <w:spacing w:line="226" w:lineRule="exact"/>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D6555">
                          <w:pPr>
                            <w:pStyle w:val="31"/>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E8D6555">
                    <w:pPr>
                      <w:pStyle w:val="31"/>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C1A1F">
    <w:pPr>
      <w:pStyle w:val="31"/>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D4F06">
                          <w:pPr>
                            <w:pStyle w:val="31"/>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28D4F06">
                    <w:pPr>
                      <w:pStyle w:val="31"/>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91009">
    <w:pPr>
      <w:pStyle w:val="31"/>
      <w:ind w:firstLine="36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540F0">
                          <w:pPr>
                            <w:pStyle w:val="31"/>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A0540F0">
                    <w:pPr>
                      <w:pStyle w:val="31"/>
                    </w:pPr>
                    <w:r>
                      <w:fldChar w:fldCharType="begin"/>
                    </w:r>
                    <w:r>
                      <w:instrText xml:space="preserve"> PAGE  \* MERGEFORMAT </w:instrText>
                    </w:r>
                    <w:r>
                      <w:fldChar w:fldCharType="separate"/>
                    </w:r>
                    <w:r>
                      <w:t>125</w:t>
                    </w:r>
                    <w:r>
                      <w:fldChar w:fldCharType="end"/>
                    </w:r>
                  </w:p>
                </w:txbxContent>
              </v:textbox>
            </v:shape>
          </w:pict>
        </mc:Fallback>
      </mc:AlternateContent>
    </w:r>
  </w:p>
  <w:p w14:paraId="04C911E0">
    <w:pPr>
      <w:ind w:firstLine="480"/>
    </w:pPr>
  </w:p>
  <w:p w14:paraId="30BF615E">
    <w:pPr>
      <w:ind w:firstLine="48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8FFE9">
    <w:pPr>
      <w:pStyle w:val="31"/>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8FCF9">
                          <w:pPr>
                            <w:pStyle w:val="31"/>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618FCF9">
                    <w:pPr>
                      <w:pStyle w:val="31"/>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5E27E">
    <w:pPr>
      <w:pStyle w:val="3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1370">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07EB">
    <w:pPr>
      <w:pStyle w:val="3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96850"/>
              <wp:effectExtent l="0" t="0" r="0" b="0"/>
              <wp:wrapNone/>
              <wp:docPr id="4" name="文本框 2"/>
              <wp:cNvGraphicFramePr/>
              <a:graphic xmlns:a="http://schemas.openxmlformats.org/drawingml/2006/main">
                <a:graphicData uri="http://schemas.microsoft.com/office/word/2010/wordprocessingShape">
                  <wps:wsp>
                    <wps:cNvSpPr txBox="1"/>
                    <wps:spPr>
                      <a:xfrm>
                        <a:off x="0" y="0"/>
                        <a:ext cx="286385" cy="196850"/>
                      </a:xfrm>
                      <a:prstGeom prst="rect">
                        <a:avLst/>
                      </a:prstGeom>
                      <a:noFill/>
                      <a:ln>
                        <a:noFill/>
                      </a:ln>
                      <a:effectLst/>
                    </wps:spPr>
                    <wps:txbx>
                      <w:txbxContent>
                        <w:p w14:paraId="022B8600">
                          <w:pPr>
                            <w:ind w:firstLine="480"/>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5.5pt;width:22.55pt;mso-position-horizontal:center;mso-position-horizontal-relative:margin;mso-wrap-style:none;z-index:251659264;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IxZx9EAAAADAQAADwAAAAAAAAABACAAAAAiAAAA&#10;ZHJzL2Rvd25yZXYueG1sUEsBAhQAFAAAAAgAh07iQJJSGCHVAQAApQMAAA4AAAAAAAAAAQAgAAAA&#10;IAEAAGRycy9lMm9Eb2MueG1sUEsFBgAAAAAGAAYAWQEAAGcFAAAAAA==&#10;">
              <v:fill on="f" focussize="0,0"/>
              <v:stroke on="f"/>
              <v:imagedata o:title=""/>
              <o:lock v:ext="edit" aspectratio="f"/>
              <v:textbox inset="0mm,0mm,0mm,0mm" style="mso-fit-shape-to-text:t;">
                <w:txbxContent>
                  <w:p w14:paraId="022B8600">
                    <w:pPr>
                      <w:ind w:firstLine="48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472A6">
    <w:pPr>
      <w:pStyle w:val="31"/>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72BFE">
    <w:pPr>
      <w:pStyle w:val="3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87C7">
    <w:pPr>
      <w:pStyle w:val="31"/>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58BCF">
    <w:pPr>
      <w:pStyle w:val="31"/>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9FB53">
                          <w:pPr>
                            <w:pStyle w:val="3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D79FB53">
                    <w:pPr>
                      <w:pStyle w:val="3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9FB0">
    <w:pPr>
      <w:pStyle w:val="31"/>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29B55">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4729B55">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24DD">
    <w:pPr>
      <w:pStyle w:val="3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91F9D">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AB91F9D">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122DA">
    <w:pPr>
      <w:pStyle w:val="3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52F9">
    <w:pPr>
      <w:ind w:left="48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7CA2D">
    <w:pPr>
      <w:ind w:left="48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47BE7">
    <w:pPr>
      <w:pStyle w:val="32"/>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9339">
    <w:pPr>
      <w:pStyle w:val="32"/>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E1E3C">
    <w:pPr>
      <w:pStyle w:val="32"/>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7C62E">
    <w:pPr>
      <w:ind w:left="480" w:firstLine="0" w:firstLineChars="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A3669">
    <w:pPr>
      <w:ind w:left="480" w:firstLine="0" w:firstLineChars="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E317">
    <w:pPr>
      <w:pStyle w:val="32"/>
      <w:ind w:firstLine="360"/>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898515" cy="4747260"/>
          <wp:effectExtent l="0" t="0" r="6985" b="15240"/>
          <wp:wrapNone/>
          <wp:docPr id="9" name="WordPictureWatermark1814048" descr="7~WSSC5A17YNC}~AT53OV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1814048" descr="7~WSSC5A17YNC}~AT53OVPX"/>
                  <pic:cNvPicPr>
                    <a:picLocks noChangeAspect="1"/>
                  </pic:cNvPicPr>
                </pic:nvPicPr>
                <pic:blipFill>
                  <a:blip r:embed="rId1">
                    <a:lum bright="70001" contrast="-70000"/>
                  </a:blip>
                  <a:stretch>
                    <a:fillRect/>
                  </a:stretch>
                </pic:blipFill>
                <pic:spPr>
                  <a:xfrm>
                    <a:off x="0" y="0"/>
                    <a:ext cx="5898515" cy="47472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3CDA6"/>
    <w:multiLevelType w:val="singleLevel"/>
    <w:tmpl w:val="DAF3CDA6"/>
    <w:lvl w:ilvl="0" w:tentative="0">
      <w:start w:val="2"/>
      <w:numFmt w:val="decimal"/>
      <w:suff w:val="nothing"/>
      <w:lvlText w:val="（%1）"/>
      <w:lvlJc w:val="left"/>
    </w:lvl>
  </w:abstractNum>
  <w:abstractNum w:abstractNumId="1">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2">
    <w:nsid w:val="24B26C46"/>
    <w:multiLevelType w:val="multilevel"/>
    <w:tmpl w:val="24B26C46"/>
    <w:lvl w:ilvl="0" w:tentative="0">
      <w:start w:val="1"/>
      <w:numFmt w:val="decimal"/>
      <w:pStyle w:val="2"/>
      <w:lvlText w:val="%1."/>
      <w:lvlJc w:val="left"/>
      <w:pPr>
        <w:ind w:left="432" w:hanging="432"/>
      </w:pPr>
      <w:rPr>
        <w:rFonts w:hint="eastAsia"/>
      </w:rPr>
    </w:lvl>
    <w:lvl w:ilvl="1" w:tentative="0">
      <w:start w:val="1"/>
      <w:numFmt w:val="decimal"/>
      <w:pStyle w:val="3"/>
      <w:suff w:val="space"/>
      <w:lvlText w:val="%1.%2"/>
      <w:lvlJc w:val="left"/>
      <w:pPr>
        <w:ind w:left="1002" w:hanging="576"/>
      </w:pPr>
      <w:rPr>
        <w:rFonts w:hint="eastAsia"/>
        <w:lang w:val="en-US"/>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pStyle w:val="8"/>
      <w:suff w:val="space"/>
      <w:lvlText w:val="%1.%2.%3.%4.%5.%6.%7"/>
      <w:lvlJc w:val="left"/>
      <w:pPr>
        <w:ind w:left="1296" w:hanging="1296"/>
      </w:pPr>
      <w:rPr>
        <w:rFonts w:hint="eastAsia"/>
      </w:rPr>
    </w:lvl>
    <w:lvl w:ilvl="7" w:tentative="0">
      <w:start w:val="1"/>
      <w:numFmt w:val="decimal"/>
      <w:pStyle w:val="10"/>
      <w:suff w:val="space"/>
      <w:lvlText w:val="%1.%2.%3.%4.%5.%6.%7.%8"/>
      <w:lvlJc w:val="left"/>
      <w:pPr>
        <w:ind w:left="1440" w:hanging="1440"/>
      </w:pPr>
      <w:rPr>
        <w:rFonts w:hint="eastAsia"/>
      </w:rPr>
    </w:lvl>
    <w:lvl w:ilvl="8" w:tentative="0">
      <w:start w:val="1"/>
      <w:numFmt w:val="decimal"/>
      <w:pStyle w:val="11"/>
      <w:suff w:val="space"/>
      <w:lvlText w:val="%1.%2.%3.%4.%5.%6.%7.%8.%9"/>
      <w:lvlJc w:val="left"/>
      <w:pPr>
        <w:ind w:left="1584" w:hanging="1584"/>
      </w:pPr>
      <w:rPr>
        <w:rFonts w:hint="eastAsia"/>
      </w:rPr>
    </w:lvl>
  </w:abstractNum>
  <w:abstractNum w:abstractNumId="3">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E2D185"/>
    <w:multiLevelType w:val="singleLevel"/>
    <w:tmpl w:val="78E2D185"/>
    <w:lvl w:ilvl="0" w:tentative="0">
      <w:start w:val="7"/>
      <w:numFmt w:val="chineseCounting"/>
      <w:suff w:val="nothing"/>
      <w:lvlText w:val="%1、"/>
      <w:lvlJc w:val="left"/>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evenAndOddHeaders w:val="1"/>
  <w:drawingGridHorizontalSpacing w:val="1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MjllNjFhMTFhNTc4NzZmMDM0NjBhMDQ1N2I5NmMifQ=="/>
  </w:docVars>
  <w:rsids>
    <w:rsidRoot w:val="00D0178C"/>
    <w:rsid w:val="00001137"/>
    <w:rsid w:val="000017A7"/>
    <w:rsid w:val="000019AD"/>
    <w:rsid w:val="00001B40"/>
    <w:rsid w:val="00001F7D"/>
    <w:rsid w:val="00003297"/>
    <w:rsid w:val="000036D1"/>
    <w:rsid w:val="0000457E"/>
    <w:rsid w:val="0000516C"/>
    <w:rsid w:val="000054B0"/>
    <w:rsid w:val="00006185"/>
    <w:rsid w:val="00006652"/>
    <w:rsid w:val="00007E20"/>
    <w:rsid w:val="0001030D"/>
    <w:rsid w:val="00010391"/>
    <w:rsid w:val="0001057F"/>
    <w:rsid w:val="00010909"/>
    <w:rsid w:val="00010E4E"/>
    <w:rsid w:val="0001159F"/>
    <w:rsid w:val="00012D7D"/>
    <w:rsid w:val="00012D90"/>
    <w:rsid w:val="00013601"/>
    <w:rsid w:val="00013934"/>
    <w:rsid w:val="00013B96"/>
    <w:rsid w:val="00013D23"/>
    <w:rsid w:val="00013D8A"/>
    <w:rsid w:val="00015D9B"/>
    <w:rsid w:val="00016A50"/>
    <w:rsid w:val="000228F2"/>
    <w:rsid w:val="000259AD"/>
    <w:rsid w:val="00026012"/>
    <w:rsid w:val="000279A4"/>
    <w:rsid w:val="000301BC"/>
    <w:rsid w:val="000310B5"/>
    <w:rsid w:val="00031125"/>
    <w:rsid w:val="0003189C"/>
    <w:rsid w:val="000318A6"/>
    <w:rsid w:val="00032059"/>
    <w:rsid w:val="00032F56"/>
    <w:rsid w:val="000339EF"/>
    <w:rsid w:val="00033E25"/>
    <w:rsid w:val="000341DF"/>
    <w:rsid w:val="000342BC"/>
    <w:rsid w:val="00034AC0"/>
    <w:rsid w:val="00035895"/>
    <w:rsid w:val="00035C45"/>
    <w:rsid w:val="000369A0"/>
    <w:rsid w:val="000402E9"/>
    <w:rsid w:val="00041296"/>
    <w:rsid w:val="00041EFB"/>
    <w:rsid w:val="000421B4"/>
    <w:rsid w:val="00043950"/>
    <w:rsid w:val="00043953"/>
    <w:rsid w:val="000448AE"/>
    <w:rsid w:val="00044C04"/>
    <w:rsid w:val="00045818"/>
    <w:rsid w:val="00045E4C"/>
    <w:rsid w:val="00046A8F"/>
    <w:rsid w:val="000474C6"/>
    <w:rsid w:val="000476EB"/>
    <w:rsid w:val="000506FA"/>
    <w:rsid w:val="000511C3"/>
    <w:rsid w:val="00052368"/>
    <w:rsid w:val="0005263D"/>
    <w:rsid w:val="00052BD2"/>
    <w:rsid w:val="0005449D"/>
    <w:rsid w:val="00055B08"/>
    <w:rsid w:val="000561CD"/>
    <w:rsid w:val="00057AAB"/>
    <w:rsid w:val="000609A0"/>
    <w:rsid w:val="000630B8"/>
    <w:rsid w:val="000634F2"/>
    <w:rsid w:val="00063B0D"/>
    <w:rsid w:val="000647BB"/>
    <w:rsid w:val="00065104"/>
    <w:rsid w:val="0006637A"/>
    <w:rsid w:val="0006660A"/>
    <w:rsid w:val="00066D53"/>
    <w:rsid w:val="00067A57"/>
    <w:rsid w:val="00067AFE"/>
    <w:rsid w:val="00071F3C"/>
    <w:rsid w:val="00073521"/>
    <w:rsid w:val="00073E6A"/>
    <w:rsid w:val="0007440B"/>
    <w:rsid w:val="0007550D"/>
    <w:rsid w:val="000755AA"/>
    <w:rsid w:val="00075C43"/>
    <w:rsid w:val="00076B8D"/>
    <w:rsid w:val="00076CBD"/>
    <w:rsid w:val="00080903"/>
    <w:rsid w:val="0008143C"/>
    <w:rsid w:val="000815A3"/>
    <w:rsid w:val="00082672"/>
    <w:rsid w:val="00084AA8"/>
    <w:rsid w:val="00084FE8"/>
    <w:rsid w:val="0008698B"/>
    <w:rsid w:val="0009012B"/>
    <w:rsid w:val="00090932"/>
    <w:rsid w:val="00091772"/>
    <w:rsid w:val="00091861"/>
    <w:rsid w:val="000924D5"/>
    <w:rsid w:val="000929D5"/>
    <w:rsid w:val="000939AD"/>
    <w:rsid w:val="00094022"/>
    <w:rsid w:val="000944BE"/>
    <w:rsid w:val="0009491C"/>
    <w:rsid w:val="00094A12"/>
    <w:rsid w:val="00096E39"/>
    <w:rsid w:val="00096EB3"/>
    <w:rsid w:val="000970D0"/>
    <w:rsid w:val="000973CE"/>
    <w:rsid w:val="00097707"/>
    <w:rsid w:val="00097E2E"/>
    <w:rsid w:val="000A00E4"/>
    <w:rsid w:val="000A159D"/>
    <w:rsid w:val="000A2427"/>
    <w:rsid w:val="000A3586"/>
    <w:rsid w:val="000A42A5"/>
    <w:rsid w:val="000A42B1"/>
    <w:rsid w:val="000A50BB"/>
    <w:rsid w:val="000A79FC"/>
    <w:rsid w:val="000B1707"/>
    <w:rsid w:val="000B19AD"/>
    <w:rsid w:val="000B21BB"/>
    <w:rsid w:val="000B2D2A"/>
    <w:rsid w:val="000B2E5C"/>
    <w:rsid w:val="000B351D"/>
    <w:rsid w:val="000B3F25"/>
    <w:rsid w:val="000B4308"/>
    <w:rsid w:val="000B4B94"/>
    <w:rsid w:val="000B60E8"/>
    <w:rsid w:val="000B6383"/>
    <w:rsid w:val="000B6491"/>
    <w:rsid w:val="000B6DC2"/>
    <w:rsid w:val="000B6F97"/>
    <w:rsid w:val="000B7479"/>
    <w:rsid w:val="000C016B"/>
    <w:rsid w:val="000C13B3"/>
    <w:rsid w:val="000C1A53"/>
    <w:rsid w:val="000C1A5B"/>
    <w:rsid w:val="000C1C38"/>
    <w:rsid w:val="000C24D0"/>
    <w:rsid w:val="000C2EDB"/>
    <w:rsid w:val="000C3F00"/>
    <w:rsid w:val="000C3FB2"/>
    <w:rsid w:val="000C565F"/>
    <w:rsid w:val="000C6DB8"/>
    <w:rsid w:val="000C7596"/>
    <w:rsid w:val="000D00F7"/>
    <w:rsid w:val="000D013E"/>
    <w:rsid w:val="000D0791"/>
    <w:rsid w:val="000D0F22"/>
    <w:rsid w:val="000D193C"/>
    <w:rsid w:val="000D2533"/>
    <w:rsid w:val="000D6177"/>
    <w:rsid w:val="000D632F"/>
    <w:rsid w:val="000D68C8"/>
    <w:rsid w:val="000D6EF4"/>
    <w:rsid w:val="000E08CE"/>
    <w:rsid w:val="000E15D6"/>
    <w:rsid w:val="000E161F"/>
    <w:rsid w:val="000E2F73"/>
    <w:rsid w:val="000E4A34"/>
    <w:rsid w:val="000E5137"/>
    <w:rsid w:val="000E5348"/>
    <w:rsid w:val="000E5487"/>
    <w:rsid w:val="000E5E42"/>
    <w:rsid w:val="000E6020"/>
    <w:rsid w:val="000E6135"/>
    <w:rsid w:val="000E679F"/>
    <w:rsid w:val="000E6CE0"/>
    <w:rsid w:val="000E793B"/>
    <w:rsid w:val="000F0056"/>
    <w:rsid w:val="000F0064"/>
    <w:rsid w:val="000F0BE9"/>
    <w:rsid w:val="000F14EA"/>
    <w:rsid w:val="000F28ED"/>
    <w:rsid w:val="000F2D24"/>
    <w:rsid w:val="000F3222"/>
    <w:rsid w:val="000F33B0"/>
    <w:rsid w:val="000F40DD"/>
    <w:rsid w:val="000F4FC2"/>
    <w:rsid w:val="000F6DB1"/>
    <w:rsid w:val="000F7051"/>
    <w:rsid w:val="00100537"/>
    <w:rsid w:val="00100E73"/>
    <w:rsid w:val="0010129F"/>
    <w:rsid w:val="00101BD5"/>
    <w:rsid w:val="00102975"/>
    <w:rsid w:val="0010306B"/>
    <w:rsid w:val="00103636"/>
    <w:rsid w:val="00103A01"/>
    <w:rsid w:val="00103B2F"/>
    <w:rsid w:val="001044B6"/>
    <w:rsid w:val="00105207"/>
    <w:rsid w:val="0010562A"/>
    <w:rsid w:val="00105D9F"/>
    <w:rsid w:val="00106308"/>
    <w:rsid w:val="00106520"/>
    <w:rsid w:val="00106880"/>
    <w:rsid w:val="0010744C"/>
    <w:rsid w:val="001102DC"/>
    <w:rsid w:val="0011092F"/>
    <w:rsid w:val="00110984"/>
    <w:rsid w:val="00111288"/>
    <w:rsid w:val="00112621"/>
    <w:rsid w:val="0011355A"/>
    <w:rsid w:val="001143A2"/>
    <w:rsid w:val="00117CE5"/>
    <w:rsid w:val="001201B1"/>
    <w:rsid w:val="00120A8E"/>
    <w:rsid w:val="00120B3F"/>
    <w:rsid w:val="00120C20"/>
    <w:rsid w:val="00120E48"/>
    <w:rsid w:val="001218A7"/>
    <w:rsid w:val="0012216C"/>
    <w:rsid w:val="001234B2"/>
    <w:rsid w:val="00124EC3"/>
    <w:rsid w:val="00125E2E"/>
    <w:rsid w:val="001262F1"/>
    <w:rsid w:val="00126CCD"/>
    <w:rsid w:val="00130A5D"/>
    <w:rsid w:val="00131A89"/>
    <w:rsid w:val="00132830"/>
    <w:rsid w:val="001347FE"/>
    <w:rsid w:val="001361E5"/>
    <w:rsid w:val="00136202"/>
    <w:rsid w:val="00136309"/>
    <w:rsid w:val="0013724D"/>
    <w:rsid w:val="001374FE"/>
    <w:rsid w:val="001400A2"/>
    <w:rsid w:val="00141993"/>
    <w:rsid w:val="00141ED3"/>
    <w:rsid w:val="001420A2"/>
    <w:rsid w:val="00142261"/>
    <w:rsid w:val="0014230B"/>
    <w:rsid w:val="00142F62"/>
    <w:rsid w:val="001434AE"/>
    <w:rsid w:val="0014368A"/>
    <w:rsid w:val="00143845"/>
    <w:rsid w:val="0014399B"/>
    <w:rsid w:val="00143E61"/>
    <w:rsid w:val="00144D3E"/>
    <w:rsid w:val="00146E74"/>
    <w:rsid w:val="0014736A"/>
    <w:rsid w:val="00147C83"/>
    <w:rsid w:val="00150C0A"/>
    <w:rsid w:val="00150F7E"/>
    <w:rsid w:val="001519CD"/>
    <w:rsid w:val="00152688"/>
    <w:rsid w:val="001536B8"/>
    <w:rsid w:val="001538A8"/>
    <w:rsid w:val="0015468E"/>
    <w:rsid w:val="0015508A"/>
    <w:rsid w:val="0015514B"/>
    <w:rsid w:val="0015559E"/>
    <w:rsid w:val="00156E0D"/>
    <w:rsid w:val="00157297"/>
    <w:rsid w:val="001574E6"/>
    <w:rsid w:val="00157A13"/>
    <w:rsid w:val="00161369"/>
    <w:rsid w:val="00162016"/>
    <w:rsid w:val="001633EE"/>
    <w:rsid w:val="001645DB"/>
    <w:rsid w:val="00164F27"/>
    <w:rsid w:val="00165553"/>
    <w:rsid w:val="0016564A"/>
    <w:rsid w:val="00165A12"/>
    <w:rsid w:val="00165B24"/>
    <w:rsid w:val="00166764"/>
    <w:rsid w:val="001670DD"/>
    <w:rsid w:val="00167948"/>
    <w:rsid w:val="00167C0F"/>
    <w:rsid w:val="001733A8"/>
    <w:rsid w:val="001736C6"/>
    <w:rsid w:val="00175B7F"/>
    <w:rsid w:val="00176238"/>
    <w:rsid w:val="001762EF"/>
    <w:rsid w:val="00176873"/>
    <w:rsid w:val="00176FAD"/>
    <w:rsid w:val="00177DF5"/>
    <w:rsid w:val="00177E31"/>
    <w:rsid w:val="001807D1"/>
    <w:rsid w:val="00180E07"/>
    <w:rsid w:val="00181C48"/>
    <w:rsid w:val="001828CD"/>
    <w:rsid w:val="001834AD"/>
    <w:rsid w:val="00183FBD"/>
    <w:rsid w:val="0018406F"/>
    <w:rsid w:val="00184341"/>
    <w:rsid w:val="00186269"/>
    <w:rsid w:val="0018684B"/>
    <w:rsid w:val="00186883"/>
    <w:rsid w:val="00186F64"/>
    <w:rsid w:val="0018738D"/>
    <w:rsid w:val="00187CBF"/>
    <w:rsid w:val="001903F9"/>
    <w:rsid w:val="00191F45"/>
    <w:rsid w:val="00192D60"/>
    <w:rsid w:val="0019309E"/>
    <w:rsid w:val="00195763"/>
    <w:rsid w:val="00195904"/>
    <w:rsid w:val="00195BDE"/>
    <w:rsid w:val="00195D91"/>
    <w:rsid w:val="00196373"/>
    <w:rsid w:val="001964DE"/>
    <w:rsid w:val="001A0594"/>
    <w:rsid w:val="001A0673"/>
    <w:rsid w:val="001A0ADC"/>
    <w:rsid w:val="001A0C89"/>
    <w:rsid w:val="001A1C75"/>
    <w:rsid w:val="001A205F"/>
    <w:rsid w:val="001A2C88"/>
    <w:rsid w:val="001A2E1E"/>
    <w:rsid w:val="001A3A17"/>
    <w:rsid w:val="001A5701"/>
    <w:rsid w:val="001A5922"/>
    <w:rsid w:val="001A6637"/>
    <w:rsid w:val="001A7075"/>
    <w:rsid w:val="001A7268"/>
    <w:rsid w:val="001A73E5"/>
    <w:rsid w:val="001A7D0D"/>
    <w:rsid w:val="001B01F6"/>
    <w:rsid w:val="001B0FA2"/>
    <w:rsid w:val="001B148B"/>
    <w:rsid w:val="001B1F96"/>
    <w:rsid w:val="001B2296"/>
    <w:rsid w:val="001B26AA"/>
    <w:rsid w:val="001B3894"/>
    <w:rsid w:val="001B5057"/>
    <w:rsid w:val="001B5500"/>
    <w:rsid w:val="001B5587"/>
    <w:rsid w:val="001B61EC"/>
    <w:rsid w:val="001B6998"/>
    <w:rsid w:val="001B750B"/>
    <w:rsid w:val="001B7CDC"/>
    <w:rsid w:val="001C0251"/>
    <w:rsid w:val="001C1E01"/>
    <w:rsid w:val="001C2641"/>
    <w:rsid w:val="001C2BEE"/>
    <w:rsid w:val="001C6390"/>
    <w:rsid w:val="001C74D6"/>
    <w:rsid w:val="001C77EE"/>
    <w:rsid w:val="001D054D"/>
    <w:rsid w:val="001D1207"/>
    <w:rsid w:val="001D33FE"/>
    <w:rsid w:val="001D57A1"/>
    <w:rsid w:val="001D6B33"/>
    <w:rsid w:val="001D6FEB"/>
    <w:rsid w:val="001E015F"/>
    <w:rsid w:val="001E0902"/>
    <w:rsid w:val="001E1776"/>
    <w:rsid w:val="001E32A9"/>
    <w:rsid w:val="001E32EA"/>
    <w:rsid w:val="001E3EC3"/>
    <w:rsid w:val="001E537F"/>
    <w:rsid w:val="001E6C39"/>
    <w:rsid w:val="001E6D30"/>
    <w:rsid w:val="001E6E3C"/>
    <w:rsid w:val="001E729B"/>
    <w:rsid w:val="001F0B1F"/>
    <w:rsid w:val="001F1A82"/>
    <w:rsid w:val="001F1A8D"/>
    <w:rsid w:val="001F1FAF"/>
    <w:rsid w:val="001F1FD8"/>
    <w:rsid w:val="001F2108"/>
    <w:rsid w:val="001F3E44"/>
    <w:rsid w:val="001F40BC"/>
    <w:rsid w:val="001F41D6"/>
    <w:rsid w:val="001F5962"/>
    <w:rsid w:val="001F7235"/>
    <w:rsid w:val="001F7F55"/>
    <w:rsid w:val="00200415"/>
    <w:rsid w:val="00200B3B"/>
    <w:rsid w:val="002017FC"/>
    <w:rsid w:val="00202096"/>
    <w:rsid w:val="0020325C"/>
    <w:rsid w:val="00203497"/>
    <w:rsid w:val="00204169"/>
    <w:rsid w:val="002046B8"/>
    <w:rsid w:val="00204961"/>
    <w:rsid w:val="002051FB"/>
    <w:rsid w:val="002056E5"/>
    <w:rsid w:val="00206B6C"/>
    <w:rsid w:val="00206EDE"/>
    <w:rsid w:val="0020731A"/>
    <w:rsid w:val="00211535"/>
    <w:rsid w:val="002123FA"/>
    <w:rsid w:val="0021291F"/>
    <w:rsid w:val="00212B28"/>
    <w:rsid w:val="00213119"/>
    <w:rsid w:val="002135D5"/>
    <w:rsid w:val="0021448D"/>
    <w:rsid w:val="00214D7F"/>
    <w:rsid w:val="00215766"/>
    <w:rsid w:val="0022192D"/>
    <w:rsid w:val="002220E0"/>
    <w:rsid w:val="0022579E"/>
    <w:rsid w:val="0022587C"/>
    <w:rsid w:val="00226918"/>
    <w:rsid w:val="0022729B"/>
    <w:rsid w:val="00227326"/>
    <w:rsid w:val="00227532"/>
    <w:rsid w:val="00227C23"/>
    <w:rsid w:val="002300C9"/>
    <w:rsid w:val="002303EE"/>
    <w:rsid w:val="00230861"/>
    <w:rsid w:val="00231AF9"/>
    <w:rsid w:val="00232FF3"/>
    <w:rsid w:val="002333AE"/>
    <w:rsid w:val="00234189"/>
    <w:rsid w:val="002342D0"/>
    <w:rsid w:val="0023471F"/>
    <w:rsid w:val="00235154"/>
    <w:rsid w:val="00236465"/>
    <w:rsid w:val="0023681F"/>
    <w:rsid w:val="002400B6"/>
    <w:rsid w:val="002432BC"/>
    <w:rsid w:val="00243826"/>
    <w:rsid w:val="00243BE7"/>
    <w:rsid w:val="00243EB3"/>
    <w:rsid w:val="00244792"/>
    <w:rsid w:val="00244AD2"/>
    <w:rsid w:val="00244E16"/>
    <w:rsid w:val="00244FED"/>
    <w:rsid w:val="00245173"/>
    <w:rsid w:val="00245EC5"/>
    <w:rsid w:val="00245FA9"/>
    <w:rsid w:val="002461AE"/>
    <w:rsid w:val="00246A51"/>
    <w:rsid w:val="00250918"/>
    <w:rsid w:val="00251D82"/>
    <w:rsid w:val="0025353D"/>
    <w:rsid w:val="00253584"/>
    <w:rsid w:val="00253B27"/>
    <w:rsid w:val="0025449F"/>
    <w:rsid w:val="00254B9B"/>
    <w:rsid w:val="002564DC"/>
    <w:rsid w:val="00260C7F"/>
    <w:rsid w:val="00260F84"/>
    <w:rsid w:val="002613C2"/>
    <w:rsid w:val="00262544"/>
    <w:rsid w:val="00263545"/>
    <w:rsid w:val="002643A0"/>
    <w:rsid w:val="002644A7"/>
    <w:rsid w:val="00264A2E"/>
    <w:rsid w:val="00264A4E"/>
    <w:rsid w:val="00265207"/>
    <w:rsid w:val="00265707"/>
    <w:rsid w:val="00265D1D"/>
    <w:rsid w:val="00267288"/>
    <w:rsid w:val="002674DA"/>
    <w:rsid w:val="002675D4"/>
    <w:rsid w:val="00267E36"/>
    <w:rsid w:val="0027070E"/>
    <w:rsid w:val="00270D7D"/>
    <w:rsid w:val="00273A3C"/>
    <w:rsid w:val="00273AED"/>
    <w:rsid w:val="00274CCD"/>
    <w:rsid w:val="00275554"/>
    <w:rsid w:val="00276660"/>
    <w:rsid w:val="0027701C"/>
    <w:rsid w:val="0028021E"/>
    <w:rsid w:val="0028067B"/>
    <w:rsid w:val="00280F11"/>
    <w:rsid w:val="002822AE"/>
    <w:rsid w:val="0028245B"/>
    <w:rsid w:val="00282858"/>
    <w:rsid w:val="00282A44"/>
    <w:rsid w:val="00282DDE"/>
    <w:rsid w:val="0028473B"/>
    <w:rsid w:val="002848F9"/>
    <w:rsid w:val="00285085"/>
    <w:rsid w:val="002858F7"/>
    <w:rsid w:val="00285FB3"/>
    <w:rsid w:val="00286500"/>
    <w:rsid w:val="00287DF3"/>
    <w:rsid w:val="00290629"/>
    <w:rsid w:val="002909BD"/>
    <w:rsid w:val="002909EA"/>
    <w:rsid w:val="00292970"/>
    <w:rsid w:val="00293036"/>
    <w:rsid w:val="00294B05"/>
    <w:rsid w:val="00294DFF"/>
    <w:rsid w:val="00295052"/>
    <w:rsid w:val="00296BD6"/>
    <w:rsid w:val="002A0A7E"/>
    <w:rsid w:val="002A0E7A"/>
    <w:rsid w:val="002A2E17"/>
    <w:rsid w:val="002A3728"/>
    <w:rsid w:val="002A3974"/>
    <w:rsid w:val="002A7239"/>
    <w:rsid w:val="002B144A"/>
    <w:rsid w:val="002B2085"/>
    <w:rsid w:val="002B41F0"/>
    <w:rsid w:val="002B543B"/>
    <w:rsid w:val="002B57EC"/>
    <w:rsid w:val="002B6182"/>
    <w:rsid w:val="002B631B"/>
    <w:rsid w:val="002B797D"/>
    <w:rsid w:val="002B79E8"/>
    <w:rsid w:val="002B7E26"/>
    <w:rsid w:val="002C0BB0"/>
    <w:rsid w:val="002C22C5"/>
    <w:rsid w:val="002C3600"/>
    <w:rsid w:val="002C4336"/>
    <w:rsid w:val="002C5BAE"/>
    <w:rsid w:val="002C5FDD"/>
    <w:rsid w:val="002C676E"/>
    <w:rsid w:val="002C6802"/>
    <w:rsid w:val="002C6C26"/>
    <w:rsid w:val="002C6DEC"/>
    <w:rsid w:val="002D23ED"/>
    <w:rsid w:val="002D4680"/>
    <w:rsid w:val="002D6C27"/>
    <w:rsid w:val="002E0200"/>
    <w:rsid w:val="002E075F"/>
    <w:rsid w:val="002E0D44"/>
    <w:rsid w:val="002E0F2D"/>
    <w:rsid w:val="002E0F39"/>
    <w:rsid w:val="002E0F8E"/>
    <w:rsid w:val="002E136C"/>
    <w:rsid w:val="002E1756"/>
    <w:rsid w:val="002E33D2"/>
    <w:rsid w:val="002E3F68"/>
    <w:rsid w:val="002E42ED"/>
    <w:rsid w:val="002E456E"/>
    <w:rsid w:val="002E4674"/>
    <w:rsid w:val="002E4F2F"/>
    <w:rsid w:val="002E60DC"/>
    <w:rsid w:val="002E6272"/>
    <w:rsid w:val="002E6CB2"/>
    <w:rsid w:val="002E6DD9"/>
    <w:rsid w:val="002E7FE4"/>
    <w:rsid w:val="002F00A7"/>
    <w:rsid w:val="002F0EDF"/>
    <w:rsid w:val="002F1B42"/>
    <w:rsid w:val="002F24E1"/>
    <w:rsid w:val="002F278A"/>
    <w:rsid w:val="002F296A"/>
    <w:rsid w:val="002F3128"/>
    <w:rsid w:val="002F3F8E"/>
    <w:rsid w:val="002F4F23"/>
    <w:rsid w:val="002F71C3"/>
    <w:rsid w:val="002F74A9"/>
    <w:rsid w:val="002F7F4C"/>
    <w:rsid w:val="003002A6"/>
    <w:rsid w:val="00300860"/>
    <w:rsid w:val="00300A6B"/>
    <w:rsid w:val="00301A08"/>
    <w:rsid w:val="00301E10"/>
    <w:rsid w:val="00301FEC"/>
    <w:rsid w:val="003021BA"/>
    <w:rsid w:val="00303442"/>
    <w:rsid w:val="00304AEE"/>
    <w:rsid w:val="0030527A"/>
    <w:rsid w:val="00305539"/>
    <w:rsid w:val="00305934"/>
    <w:rsid w:val="00305D83"/>
    <w:rsid w:val="00306801"/>
    <w:rsid w:val="00310701"/>
    <w:rsid w:val="00310781"/>
    <w:rsid w:val="00310E66"/>
    <w:rsid w:val="00312642"/>
    <w:rsid w:val="00312D07"/>
    <w:rsid w:val="003133D2"/>
    <w:rsid w:val="00313BF6"/>
    <w:rsid w:val="003161B3"/>
    <w:rsid w:val="00316B98"/>
    <w:rsid w:val="00317BDA"/>
    <w:rsid w:val="00320A19"/>
    <w:rsid w:val="0032160A"/>
    <w:rsid w:val="003216C9"/>
    <w:rsid w:val="00322106"/>
    <w:rsid w:val="003223ED"/>
    <w:rsid w:val="00324C5E"/>
    <w:rsid w:val="00324DDF"/>
    <w:rsid w:val="00324EEA"/>
    <w:rsid w:val="00324EF6"/>
    <w:rsid w:val="00325591"/>
    <w:rsid w:val="003257D9"/>
    <w:rsid w:val="003264AE"/>
    <w:rsid w:val="0032693E"/>
    <w:rsid w:val="00326D83"/>
    <w:rsid w:val="00327C81"/>
    <w:rsid w:val="003308E6"/>
    <w:rsid w:val="00330C28"/>
    <w:rsid w:val="00331B3D"/>
    <w:rsid w:val="00331C2D"/>
    <w:rsid w:val="00331CF2"/>
    <w:rsid w:val="0033203B"/>
    <w:rsid w:val="00333052"/>
    <w:rsid w:val="003363F7"/>
    <w:rsid w:val="00336AB2"/>
    <w:rsid w:val="00336C56"/>
    <w:rsid w:val="00337661"/>
    <w:rsid w:val="00337A5B"/>
    <w:rsid w:val="00337B53"/>
    <w:rsid w:val="00340B53"/>
    <w:rsid w:val="003413B7"/>
    <w:rsid w:val="0034142E"/>
    <w:rsid w:val="00341A60"/>
    <w:rsid w:val="00342883"/>
    <w:rsid w:val="00342ACA"/>
    <w:rsid w:val="003434A3"/>
    <w:rsid w:val="0034396E"/>
    <w:rsid w:val="00344EFF"/>
    <w:rsid w:val="00345D59"/>
    <w:rsid w:val="003464E3"/>
    <w:rsid w:val="00346EF5"/>
    <w:rsid w:val="00347AD0"/>
    <w:rsid w:val="00350377"/>
    <w:rsid w:val="00350437"/>
    <w:rsid w:val="003513A8"/>
    <w:rsid w:val="00351740"/>
    <w:rsid w:val="00352439"/>
    <w:rsid w:val="003549B3"/>
    <w:rsid w:val="00354EEE"/>
    <w:rsid w:val="00355BCE"/>
    <w:rsid w:val="00357CBE"/>
    <w:rsid w:val="00357F8B"/>
    <w:rsid w:val="0036074B"/>
    <w:rsid w:val="00360D4A"/>
    <w:rsid w:val="003615EA"/>
    <w:rsid w:val="00361CEE"/>
    <w:rsid w:val="003631B6"/>
    <w:rsid w:val="003634A0"/>
    <w:rsid w:val="00363B39"/>
    <w:rsid w:val="00365FC4"/>
    <w:rsid w:val="003675C5"/>
    <w:rsid w:val="003715C7"/>
    <w:rsid w:val="003717C4"/>
    <w:rsid w:val="00373170"/>
    <w:rsid w:val="00373DDB"/>
    <w:rsid w:val="00373F95"/>
    <w:rsid w:val="00374E8F"/>
    <w:rsid w:val="00375E65"/>
    <w:rsid w:val="00376DA8"/>
    <w:rsid w:val="00377884"/>
    <w:rsid w:val="003779E8"/>
    <w:rsid w:val="00380D3B"/>
    <w:rsid w:val="003823F5"/>
    <w:rsid w:val="0038347D"/>
    <w:rsid w:val="00383BA0"/>
    <w:rsid w:val="0038404B"/>
    <w:rsid w:val="0038523E"/>
    <w:rsid w:val="0038587E"/>
    <w:rsid w:val="0038594B"/>
    <w:rsid w:val="00386020"/>
    <w:rsid w:val="00386067"/>
    <w:rsid w:val="00386698"/>
    <w:rsid w:val="00386A8F"/>
    <w:rsid w:val="003870AC"/>
    <w:rsid w:val="003877D8"/>
    <w:rsid w:val="00387EC4"/>
    <w:rsid w:val="00390EED"/>
    <w:rsid w:val="0039121E"/>
    <w:rsid w:val="00391401"/>
    <w:rsid w:val="0039268D"/>
    <w:rsid w:val="003929BC"/>
    <w:rsid w:val="00392B9A"/>
    <w:rsid w:val="00392C55"/>
    <w:rsid w:val="003936FD"/>
    <w:rsid w:val="003948D3"/>
    <w:rsid w:val="003A0880"/>
    <w:rsid w:val="003A0D0C"/>
    <w:rsid w:val="003A1852"/>
    <w:rsid w:val="003A20E7"/>
    <w:rsid w:val="003A221C"/>
    <w:rsid w:val="003A296F"/>
    <w:rsid w:val="003A2B52"/>
    <w:rsid w:val="003A2F1B"/>
    <w:rsid w:val="003A348C"/>
    <w:rsid w:val="003A39B1"/>
    <w:rsid w:val="003A551D"/>
    <w:rsid w:val="003A5EEF"/>
    <w:rsid w:val="003A6429"/>
    <w:rsid w:val="003A6DEE"/>
    <w:rsid w:val="003B0247"/>
    <w:rsid w:val="003B02D0"/>
    <w:rsid w:val="003B085D"/>
    <w:rsid w:val="003B2B65"/>
    <w:rsid w:val="003B3199"/>
    <w:rsid w:val="003B329E"/>
    <w:rsid w:val="003B44D0"/>
    <w:rsid w:val="003B515F"/>
    <w:rsid w:val="003B5A19"/>
    <w:rsid w:val="003B6EAB"/>
    <w:rsid w:val="003C067E"/>
    <w:rsid w:val="003C1E51"/>
    <w:rsid w:val="003C213A"/>
    <w:rsid w:val="003C4201"/>
    <w:rsid w:val="003C4E00"/>
    <w:rsid w:val="003C592F"/>
    <w:rsid w:val="003C5D8C"/>
    <w:rsid w:val="003C675E"/>
    <w:rsid w:val="003C695B"/>
    <w:rsid w:val="003C722E"/>
    <w:rsid w:val="003C761B"/>
    <w:rsid w:val="003D0067"/>
    <w:rsid w:val="003D007D"/>
    <w:rsid w:val="003D06F9"/>
    <w:rsid w:val="003D08A0"/>
    <w:rsid w:val="003D2133"/>
    <w:rsid w:val="003D2617"/>
    <w:rsid w:val="003D2D3D"/>
    <w:rsid w:val="003D3675"/>
    <w:rsid w:val="003D37C2"/>
    <w:rsid w:val="003D51FE"/>
    <w:rsid w:val="003D560E"/>
    <w:rsid w:val="003D6FAF"/>
    <w:rsid w:val="003D787C"/>
    <w:rsid w:val="003E01C9"/>
    <w:rsid w:val="003E0837"/>
    <w:rsid w:val="003E16AA"/>
    <w:rsid w:val="003E212C"/>
    <w:rsid w:val="003E257E"/>
    <w:rsid w:val="003E3378"/>
    <w:rsid w:val="003E4072"/>
    <w:rsid w:val="003E46E3"/>
    <w:rsid w:val="003E4DB5"/>
    <w:rsid w:val="003E5616"/>
    <w:rsid w:val="003E6525"/>
    <w:rsid w:val="003E7D43"/>
    <w:rsid w:val="003F007C"/>
    <w:rsid w:val="003F0688"/>
    <w:rsid w:val="003F06BA"/>
    <w:rsid w:val="003F084B"/>
    <w:rsid w:val="003F0A78"/>
    <w:rsid w:val="003F13C3"/>
    <w:rsid w:val="003F19EA"/>
    <w:rsid w:val="003F1FBC"/>
    <w:rsid w:val="003F2A02"/>
    <w:rsid w:val="003F2BCB"/>
    <w:rsid w:val="003F31FE"/>
    <w:rsid w:val="003F3D5B"/>
    <w:rsid w:val="003F414E"/>
    <w:rsid w:val="003F433D"/>
    <w:rsid w:val="003F4473"/>
    <w:rsid w:val="003F5253"/>
    <w:rsid w:val="003F52C0"/>
    <w:rsid w:val="003F56D6"/>
    <w:rsid w:val="003F6CAF"/>
    <w:rsid w:val="003F6D16"/>
    <w:rsid w:val="003F6FDA"/>
    <w:rsid w:val="003F744D"/>
    <w:rsid w:val="003F7D09"/>
    <w:rsid w:val="00400130"/>
    <w:rsid w:val="00400280"/>
    <w:rsid w:val="00402805"/>
    <w:rsid w:val="004034D4"/>
    <w:rsid w:val="00403919"/>
    <w:rsid w:val="00403975"/>
    <w:rsid w:val="00403C6A"/>
    <w:rsid w:val="00404F12"/>
    <w:rsid w:val="00406333"/>
    <w:rsid w:val="00406415"/>
    <w:rsid w:val="00406BB9"/>
    <w:rsid w:val="00406CC1"/>
    <w:rsid w:val="00410018"/>
    <w:rsid w:val="00410136"/>
    <w:rsid w:val="00410819"/>
    <w:rsid w:val="00411638"/>
    <w:rsid w:val="00411734"/>
    <w:rsid w:val="004125A4"/>
    <w:rsid w:val="004126FB"/>
    <w:rsid w:val="004128CC"/>
    <w:rsid w:val="00412CA2"/>
    <w:rsid w:val="00412EEE"/>
    <w:rsid w:val="00413356"/>
    <w:rsid w:val="004142F6"/>
    <w:rsid w:val="004143FA"/>
    <w:rsid w:val="00414936"/>
    <w:rsid w:val="004149EB"/>
    <w:rsid w:val="00416099"/>
    <w:rsid w:val="00416220"/>
    <w:rsid w:val="00417D32"/>
    <w:rsid w:val="0042163B"/>
    <w:rsid w:val="0042236E"/>
    <w:rsid w:val="00425563"/>
    <w:rsid w:val="00425BC1"/>
    <w:rsid w:val="00425EE1"/>
    <w:rsid w:val="00425F08"/>
    <w:rsid w:val="0042603A"/>
    <w:rsid w:val="004263DD"/>
    <w:rsid w:val="00426C70"/>
    <w:rsid w:val="00430393"/>
    <w:rsid w:val="00430395"/>
    <w:rsid w:val="00430D0C"/>
    <w:rsid w:val="00431222"/>
    <w:rsid w:val="004315FE"/>
    <w:rsid w:val="0043240A"/>
    <w:rsid w:val="00433DF9"/>
    <w:rsid w:val="0043510F"/>
    <w:rsid w:val="00435AE3"/>
    <w:rsid w:val="00436D4E"/>
    <w:rsid w:val="0044063E"/>
    <w:rsid w:val="00440E1F"/>
    <w:rsid w:val="0044136F"/>
    <w:rsid w:val="004423A7"/>
    <w:rsid w:val="00442897"/>
    <w:rsid w:val="0044314B"/>
    <w:rsid w:val="004432A0"/>
    <w:rsid w:val="004432FB"/>
    <w:rsid w:val="00443F3D"/>
    <w:rsid w:val="00444299"/>
    <w:rsid w:val="00445B9B"/>
    <w:rsid w:val="00446265"/>
    <w:rsid w:val="004463A4"/>
    <w:rsid w:val="0044681C"/>
    <w:rsid w:val="00446FB8"/>
    <w:rsid w:val="00447C1D"/>
    <w:rsid w:val="0045091D"/>
    <w:rsid w:val="004509DA"/>
    <w:rsid w:val="0045526B"/>
    <w:rsid w:val="004554F2"/>
    <w:rsid w:val="00456876"/>
    <w:rsid w:val="00456C3E"/>
    <w:rsid w:val="00457D9F"/>
    <w:rsid w:val="00460C84"/>
    <w:rsid w:val="00460EC6"/>
    <w:rsid w:val="00461E9D"/>
    <w:rsid w:val="00463965"/>
    <w:rsid w:val="00463D2D"/>
    <w:rsid w:val="0046472A"/>
    <w:rsid w:val="0046569F"/>
    <w:rsid w:val="00467198"/>
    <w:rsid w:val="004672D4"/>
    <w:rsid w:val="00467859"/>
    <w:rsid w:val="00467CD3"/>
    <w:rsid w:val="004700FC"/>
    <w:rsid w:val="00472C68"/>
    <w:rsid w:val="00473EDD"/>
    <w:rsid w:val="00474008"/>
    <w:rsid w:val="0047424F"/>
    <w:rsid w:val="0047452D"/>
    <w:rsid w:val="004765EE"/>
    <w:rsid w:val="00476D48"/>
    <w:rsid w:val="004838E4"/>
    <w:rsid w:val="00483BC4"/>
    <w:rsid w:val="00484454"/>
    <w:rsid w:val="0048451A"/>
    <w:rsid w:val="004847F0"/>
    <w:rsid w:val="00484AB0"/>
    <w:rsid w:val="004855D1"/>
    <w:rsid w:val="0048595F"/>
    <w:rsid w:val="0048623A"/>
    <w:rsid w:val="00486280"/>
    <w:rsid w:val="004868E5"/>
    <w:rsid w:val="0048791E"/>
    <w:rsid w:val="00490CBD"/>
    <w:rsid w:val="004911C2"/>
    <w:rsid w:val="00491D83"/>
    <w:rsid w:val="004920A4"/>
    <w:rsid w:val="00492875"/>
    <w:rsid w:val="00492B9F"/>
    <w:rsid w:val="004930E7"/>
    <w:rsid w:val="0049342B"/>
    <w:rsid w:val="00493CB7"/>
    <w:rsid w:val="00493CFE"/>
    <w:rsid w:val="0049425E"/>
    <w:rsid w:val="00497097"/>
    <w:rsid w:val="004973EA"/>
    <w:rsid w:val="00497545"/>
    <w:rsid w:val="00497EFC"/>
    <w:rsid w:val="004A062D"/>
    <w:rsid w:val="004A0937"/>
    <w:rsid w:val="004A0F5D"/>
    <w:rsid w:val="004A3125"/>
    <w:rsid w:val="004A3F7D"/>
    <w:rsid w:val="004A4255"/>
    <w:rsid w:val="004A5C54"/>
    <w:rsid w:val="004A632D"/>
    <w:rsid w:val="004A680B"/>
    <w:rsid w:val="004A79B5"/>
    <w:rsid w:val="004B0BFF"/>
    <w:rsid w:val="004B29D2"/>
    <w:rsid w:val="004B2E2F"/>
    <w:rsid w:val="004B2F93"/>
    <w:rsid w:val="004B381B"/>
    <w:rsid w:val="004B3AF3"/>
    <w:rsid w:val="004B4591"/>
    <w:rsid w:val="004B4EAB"/>
    <w:rsid w:val="004B5022"/>
    <w:rsid w:val="004B5294"/>
    <w:rsid w:val="004B55FE"/>
    <w:rsid w:val="004B6DF3"/>
    <w:rsid w:val="004B6F6E"/>
    <w:rsid w:val="004B70B2"/>
    <w:rsid w:val="004B7678"/>
    <w:rsid w:val="004B779A"/>
    <w:rsid w:val="004C106B"/>
    <w:rsid w:val="004C3AE0"/>
    <w:rsid w:val="004C3C1F"/>
    <w:rsid w:val="004C4593"/>
    <w:rsid w:val="004C55CD"/>
    <w:rsid w:val="004C6A31"/>
    <w:rsid w:val="004C76AA"/>
    <w:rsid w:val="004C77BF"/>
    <w:rsid w:val="004D35DA"/>
    <w:rsid w:val="004D4D0D"/>
    <w:rsid w:val="004D513F"/>
    <w:rsid w:val="004D5B50"/>
    <w:rsid w:val="004D69AF"/>
    <w:rsid w:val="004D6D36"/>
    <w:rsid w:val="004D7090"/>
    <w:rsid w:val="004D7A81"/>
    <w:rsid w:val="004D7CA7"/>
    <w:rsid w:val="004E03AA"/>
    <w:rsid w:val="004E0AFE"/>
    <w:rsid w:val="004E0C1A"/>
    <w:rsid w:val="004E0DB7"/>
    <w:rsid w:val="004E1149"/>
    <w:rsid w:val="004E2873"/>
    <w:rsid w:val="004E3157"/>
    <w:rsid w:val="004E3CF9"/>
    <w:rsid w:val="004E453A"/>
    <w:rsid w:val="004E4DBD"/>
    <w:rsid w:val="004E5598"/>
    <w:rsid w:val="004E5CE0"/>
    <w:rsid w:val="004E5D0D"/>
    <w:rsid w:val="004E63B2"/>
    <w:rsid w:val="004E66BC"/>
    <w:rsid w:val="004E67A0"/>
    <w:rsid w:val="004E68CC"/>
    <w:rsid w:val="004E6DB4"/>
    <w:rsid w:val="004E7341"/>
    <w:rsid w:val="004F0363"/>
    <w:rsid w:val="004F09F5"/>
    <w:rsid w:val="004F115F"/>
    <w:rsid w:val="004F1C42"/>
    <w:rsid w:val="004F1E28"/>
    <w:rsid w:val="004F21CA"/>
    <w:rsid w:val="004F2437"/>
    <w:rsid w:val="004F263E"/>
    <w:rsid w:val="004F2F00"/>
    <w:rsid w:val="004F4181"/>
    <w:rsid w:val="004F670F"/>
    <w:rsid w:val="004F7517"/>
    <w:rsid w:val="004F7BD6"/>
    <w:rsid w:val="00500473"/>
    <w:rsid w:val="00500702"/>
    <w:rsid w:val="005012D2"/>
    <w:rsid w:val="0050307E"/>
    <w:rsid w:val="00503EA9"/>
    <w:rsid w:val="0050456B"/>
    <w:rsid w:val="00506B90"/>
    <w:rsid w:val="005074F0"/>
    <w:rsid w:val="00507FAC"/>
    <w:rsid w:val="00510AE2"/>
    <w:rsid w:val="00511E93"/>
    <w:rsid w:val="005144D2"/>
    <w:rsid w:val="0051460F"/>
    <w:rsid w:val="0051466D"/>
    <w:rsid w:val="0051649A"/>
    <w:rsid w:val="0051655D"/>
    <w:rsid w:val="00517362"/>
    <w:rsid w:val="0051762A"/>
    <w:rsid w:val="005176C0"/>
    <w:rsid w:val="005203BB"/>
    <w:rsid w:val="00520FCF"/>
    <w:rsid w:val="0052129F"/>
    <w:rsid w:val="00521385"/>
    <w:rsid w:val="005216DF"/>
    <w:rsid w:val="005218A6"/>
    <w:rsid w:val="00521F4A"/>
    <w:rsid w:val="0052319D"/>
    <w:rsid w:val="005246A9"/>
    <w:rsid w:val="00524875"/>
    <w:rsid w:val="00524C29"/>
    <w:rsid w:val="00525BDC"/>
    <w:rsid w:val="005265F4"/>
    <w:rsid w:val="0052661B"/>
    <w:rsid w:val="0052757C"/>
    <w:rsid w:val="00527944"/>
    <w:rsid w:val="00527CB5"/>
    <w:rsid w:val="00527EEC"/>
    <w:rsid w:val="005302C9"/>
    <w:rsid w:val="0053133B"/>
    <w:rsid w:val="00531AF5"/>
    <w:rsid w:val="0053214C"/>
    <w:rsid w:val="00532DC9"/>
    <w:rsid w:val="00533C6F"/>
    <w:rsid w:val="00534770"/>
    <w:rsid w:val="00534CFB"/>
    <w:rsid w:val="0053603D"/>
    <w:rsid w:val="005363A9"/>
    <w:rsid w:val="00540B5A"/>
    <w:rsid w:val="00541554"/>
    <w:rsid w:val="00541585"/>
    <w:rsid w:val="005420BD"/>
    <w:rsid w:val="00542678"/>
    <w:rsid w:val="00542B01"/>
    <w:rsid w:val="00543DCB"/>
    <w:rsid w:val="00543E0F"/>
    <w:rsid w:val="00544CB9"/>
    <w:rsid w:val="00545037"/>
    <w:rsid w:val="0054510A"/>
    <w:rsid w:val="0054529E"/>
    <w:rsid w:val="00547C0A"/>
    <w:rsid w:val="00551104"/>
    <w:rsid w:val="0055148C"/>
    <w:rsid w:val="005519D7"/>
    <w:rsid w:val="005521BE"/>
    <w:rsid w:val="00552A95"/>
    <w:rsid w:val="00553629"/>
    <w:rsid w:val="00553B3B"/>
    <w:rsid w:val="00553D6B"/>
    <w:rsid w:val="00555E77"/>
    <w:rsid w:val="00556DE2"/>
    <w:rsid w:val="00557589"/>
    <w:rsid w:val="005578C9"/>
    <w:rsid w:val="00560866"/>
    <w:rsid w:val="005618EF"/>
    <w:rsid w:val="00562DB7"/>
    <w:rsid w:val="00564A0C"/>
    <w:rsid w:val="00565603"/>
    <w:rsid w:val="00565883"/>
    <w:rsid w:val="00566059"/>
    <w:rsid w:val="00566C0B"/>
    <w:rsid w:val="0056761B"/>
    <w:rsid w:val="00571532"/>
    <w:rsid w:val="00574042"/>
    <w:rsid w:val="00574119"/>
    <w:rsid w:val="00574AFA"/>
    <w:rsid w:val="00574BDC"/>
    <w:rsid w:val="00574F43"/>
    <w:rsid w:val="00574FAC"/>
    <w:rsid w:val="0057764F"/>
    <w:rsid w:val="00577F0B"/>
    <w:rsid w:val="00577F28"/>
    <w:rsid w:val="00577F2E"/>
    <w:rsid w:val="00580BBE"/>
    <w:rsid w:val="00580C3A"/>
    <w:rsid w:val="0058126C"/>
    <w:rsid w:val="00581B1C"/>
    <w:rsid w:val="00581B41"/>
    <w:rsid w:val="00581FC8"/>
    <w:rsid w:val="00582255"/>
    <w:rsid w:val="0058231A"/>
    <w:rsid w:val="005827C8"/>
    <w:rsid w:val="00583414"/>
    <w:rsid w:val="00583FF2"/>
    <w:rsid w:val="00584026"/>
    <w:rsid w:val="00585122"/>
    <w:rsid w:val="0058514E"/>
    <w:rsid w:val="00585226"/>
    <w:rsid w:val="00585F9B"/>
    <w:rsid w:val="00586544"/>
    <w:rsid w:val="005869C4"/>
    <w:rsid w:val="00587C0E"/>
    <w:rsid w:val="00587DF7"/>
    <w:rsid w:val="0059056C"/>
    <w:rsid w:val="00591138"/>
    <w:rsid w:val="00591618"/>
    <w:rsid w:val="00591CE1"/>
    <w:rsid w:val="0059266E"/>
    <w:rsid w:val="00593E2B"/>
    <w:rsid w:val="0059436E"/>
    <w:rsid w:val="005970A8"/>
    <w:rsid w:val="005979C2"/>
    <w:rsid w:val="005A0EF9"/>
    <w:rsid w:val="005A2D81"/>
    <w:rsid w:val="005A2F64"/>
    <w:rsid w:val="005A4576"/>
    <w:rsid w:val="005A4D38"/>
    <w:rsid w:val="005A50D0"/>
    <w:rsid w:val="005A5BF0"/>
    <w:rsid w:val="005A7065"/>
    <w:rsid w:val="005A7506"/>
    <w:rsid w:val="005B022A"/>
    <w:rsid w:val="005B1099"/>
    <w:rsid w:val="005B1366"/>
    <w:rsid w:val="005B1A22"/>
    <w:rsid w:val="005B1F9C"/>
    <w:rsid w:val="005B218A"/>
    <w:rsid w:val="005B2D72"/>
    <w:rsid w:val="005B30A5"/>
    <w:rsid w:val="005B5105"/>
    <w:rsid w:val="005B5661"/>
    <w:rsid w:val="005B5AE0"/>
    <w:rsid w:val="005B5D8D"/>
    <w:rsid w:val="005B5EDF"/>
    <w:rsid w:val="005B704D"/>
    <w:rsid w:val="005B7F9A"/>
    <w:rsid w:val="005C06AD"/>
    <w:rsid w:val="005C089C"/>
    <w:rsid w:val="005C1511"/>
    <w:rsid w:val="005C1E28"/>
    <w:rsid w:val="005C2CAB"/>
    <w:rsid w:val="005C2DFE"/>
    <w:rsid w:val="005C3281"/>
    <w:rsid w:val="005C389C"/>
    <w:rsid w:val="005C3AF0"/>
    <w:rsid w:val="005C46CF"/>
    <w:rsid w:val="005C55E4"/>
    <w:rsid w:val="005C5BEA"/>
    <w:rsid w:val="005C61FD"/>
    <w:rsid w:val="005C7A41"/>
    <w:rsid w:val="005D14E7"/>
    <w:rsid w:val="005D1B19"/>
    <w:rsid w:val="005D1DB3"/>
    <w:rsid w:val="005D342E"/>
    <w:rsid w:val="005D4CBB"/>
    <w:rsid w:val="005D5069"/>
    <w:rsid w:val="005D5247"/>
    <w:rsid w:val="005D59B6"/>
    <w:rsid w:val="005D5B65"/>
    <w:rsid w:val="005D5E9F"/>
    <w:rsid w:val="005D610D"/>
    <w:rsid w:val="005D6319"/>
    <w:rsid w:val="005D65AD"/>
    <w:rsid w:val="005D69B2"/>
    <w:rsid w:val="005E0FE1"/>
    <w:rsid w:val="005E3E3A"/>
    <w:rsid w:val="005E4357"/>
    <w:rsid w:val="005E4AF2"/>
    <w:rsid w:val="005E5F5D"/>
    <w:rsid w:val="005F0714"/>
    <w:rsid w:val="005F0819"/>
    <w:rsid w:val="005F16FA"/>
    <w:rsid w:val="005F1D03"/>
    <w:rsid w:val="005F2DE5"/>
    <w:rsid w:val="005F3CA2"/>
    <w:rsid w:val="005F4EB2"/>
    <w:rsid w:val="005F5858"/>
    <w:rsid w:val="005F5F95"/>
    <w:rsid w:val="005F6964"/>
    <w:rsid w:val="005F7AB7"/>
    <w:rsid w:val="006003E6"/>
    <w:rsid w:val="00600E4C"/>
    <w:rsid w:val="00600F24"/>
    <w:rsid w:val="006017F4"/>
    <w:rsid w:val="00601A19"/>
    <w:rsid w:val="00602061"/>
    <w:rsid w:val="0060254E"/>
    <w:rsid w:val="00602B2C"/>
    <w:rsid w:val="0060359A"/>
    <w:rsid w:val="00603DA8"/>
    <w:rsid w:val="0060460B"/>
    <w:rsid w:val="00604ED6"/>
    <w:rsid w:val="00605851"/>
    <w:rsid w:val="00606127"/>
    <w:rsid w:val="00606A46"/>
    <w:rsid w:val="00611D0E"/>
    <w:rsid w:val="00612567"/>
    <w:rsid w:val="006127E7"/>
    <w:rsid w:val="00612C56"/>
    <w:rsid w:val="00612DCD"/>
    <w:rsid w:val="0061354D"/>
    <w:rsid w:val="00613BA1"/>
    <w:rsid w:val="006140C3"/>
    <w:rsid w:val="0061554F"/>
    <w:rsid w:val="00615FF2"/>
    <w:rsid w:val="00616FE8"/>
    <w:rsid w:val="00617FEF"/>
    <w:rsid w:val="00620620"/>
    <w:rsid w:val="0062158B"/>
    <w:rsid w:val="00621BB5"/>
    <w:rsid w:val="00622211"/>
    <w:rsid w:val="0062269B"/>
    <w:rsid w:val="006239F8"/>
    <w:rsid w:val="006244E3"/>
    <w:rsid w:val="00624B9E"/>
    <w:rsid w:val="00624F65"/>
    <w:rsid w:val="00625E3D"/>
    <w:rsid w:val="006275F7"/>
    <w:rsid w:val="00627F6A"/>
    <w:rsid w:val="00630215"/>
    <w:rsid w:val="00630367"/>
    <w:rsid w:val="006309D5"/>
    <w:rsid w:val="00630C13"/>
    <w:rsid w:val="00630C4D"/>
    <w:rsid w:val="00631114"/>
    <w:rsid w:val="0063170A"/>
    <w:rsid w:val="00631CA5"/>
    <w:rsid w:val="0063305E"/>
    <w:rsid w:val="00636833"/>
    <w:rsid w:val="00636ED8"/>
    <w:rsid w:val="006405F6"/>
    <w:rsid w:val="0064074B"/>
    <w:rsid w:val="0064106D"/>
    <w:rsid w:val="00641C1A"/>
    <w:rsid w:val="00641E45"/>
    <w:rsid w:val="00641E72"/>
    <w:rsid w:val="00641E98"/>
    <w:rsid w:val="00643B69"/>
    <w:rsid w:val="00643F81"/>
    <w:rsid w:val="00644111"/>
    <w:rsid w:val="006446B8"/>
    <w:rsid w:val="00644BF1"/>
    <w:rsid w:val="00644E67"/>
    <w:rsid w:val="00644FC5"/>
    <w:rsid w:val="00645B7E"/>
    <w:rsid w:val="00645EFD"/>
    <w:rsid w:val="0064602F"/>
    <w:rsid w:val="006474A9"/>
    <w:rsid w:val="006502A7"/>
    <w:rsid w:val="00650434"/>
    <w:rsid w:val="00650A0A"/>
    <w:rsid w:val="00651206"/>
    <w:rsid w:val="00651BD4"/>
    <w:rsid w:val="00655400"/>
    <w:rsid w:val="00655A2B"/>
    <w:rsid w:val="00655A86"/>
    <w:rsid w:val="00656643"/>
    <w:rsid w:val="00657457"/>
    <w:rsid w:val="00660705"/>
    <w:rsid w:val="0066321B"/>
    <w:rsid w:val="00663BA0"/>
    <w:rsid w:val="00663E95"/>
    <w:rsid w:val="006647EC"/>
    <w:rsid w:val="00664A72"/>
    <w:rsid w:val="00665B09"/>
    <w:rsid w:val="00667926"/>
    <w:rsid w:val="00670510"/>
    <w:rsid w:val="00670AFA"/>
    <w:rsid w:val="00670CF1"/>
    <w:rsid w:val="00670DC1"/>
    <w:rsid w:val="0067126F"/>
    <w:rsid w:val="00671D13"/>
    <w:rsid w:val="00672A60"/>
    <w:rsid w:val="00672C16"/>
    <w:rsid w:val="00672E87"/>
    <w:rsid w:val="0067442A"/>
    <w:rsid w:val="00675261"/>
    <w:rsid w:val="00676279"/>
    <w:rsid w:val="00676669"/>
    <w:rsid w:val="00676930"/>
    <w:rsid w:val="0067778F"/>
    <w:rsid w:val="00677ABB"/>
    <w:rsid w:val="00677B1E"/>
    <w:rsid w:val="00677FA2"/>
    <w:rsid w:val="006800A9"/>
    <w:rsid w:val="00680C80"/>
    <w:rsid w:val="0068105E"/>
    <w:rsid w:val="00681315"/>
    <w:rsid w:val="00682B77"/>
    <w:rsid w:val="00682E96"/>
    <w:rsid w:val="0068319B"/>
    <w:rsid w:val="0068380B"/>
    <w:rsid w:val="00683918"/>
    <w:rsid w:val="006847EF"/>
    <w:rsid w:val="0068529F"/>
    <w:rsid w:val="00686042"/>
    <w:rsid w:val="006870DD"/>
    <w:rsid w:val="00687F42"/>
    <w:rsid w:val="00690708"/>
    <w:rsid w:val="0069074B"/>
    <w:rsid w:val="00691046"/>
    <w:rsid w:val="006917F7"/>
    <w:rsid w:val="00691CE5"/>
    <w:rsid w:val="00693011"/>
    <w:rsid w:val="00693EF3"/>
    <w:rsid w:val="006946A3"/>
    <w:rsid w:val="00695B61"/>
    <w:rsid w:val="0069657A"/>
    <w:rsid w:val="00696DAC"/>
    <w:rsid w:val="00697438"/>
    <w:rsid w:val="006975DC"/>
    <w:rsid w:val="0069779F"/>
    <w:rsid w:val="006A0487"/>
    <w:rsid w:val="006A1072"/>
    <w:rsid w:val="006A1C48"/>
    <w:rsid w:val="006A1FB1"/>
    <w:rsid w:val="006A3507"/>
    <w:rsid w:val="006A3DBC"/>
    <w:rsid w:val="006A40B2"/>
    <w:rsid w:val="006A4785"/>
    <w:rsid w:val="006A4B48"/>
    <w:rsid w:val="006A52F7"/>
    <w:rsid w:val="006A56B8"/>
    <w:rsid w:val="006A5C05"/>
    <w:rsid w:val="006A5D33"/>
    <w:rsid w:val="006A5F80"/>
    <w:rsid w:val="006A6BAF"/>
    <w:rsid w:val="006A77F7"/>
    <w:rsid w:val="006B0A8C"/>
    <w:rsid w:val="006B469F"/>
    <w:rsid w:val="006B4CD9"/>
    <w:rsid w:val="006B5083"/>
    <w:rsid w:val="006B560A"/>
    <w:rsid w:val="006B5D2F"/>
    <w:rsid w:val="006B6B44"/>
    <w:rsid w:val="006B6F33"/>
    <w:rsid w:val="006B7839"/>
    <w:rsid w:val="006B7EFC"/>
    <w:rsid w:val="006C14B3"/>
    <w:rsid w:val="006C1BB0"/>
    <w:rsid w:val="006C1DAE"/>
    <w:rsid w:val="006C5107"/>
    <w:rsid w:val="006C53A7"/>
    <w:rsid w:val="006C5644"/>
    <w:rsid w:val="006C5D6B"/>
    <w:rsid w:val="006C5F90"/>
    <w:rsid w:val="006C6312"/>
    <w:rsid w:val="006C6948"/>
    <w:rsid w:val="006C6F94"/>
    <w:rsid w:val="006D004A"/>
    <w:rsid w:val="006D1774"/>
    <w:rsid w:val="006D194F"/>
    <w:rsid w:val="006D1AF8"/>
    <w:rsid w:val="006D241F"/>
    <w:rsid w:val="006D2772"/>
    <w:rsid w:val="006D2779"/>
    <w:rsid w:val="006D311F"/>
    <w:rsid w:val="006D34CB"/>
    <w:rsid w:val="006D3DD2"/>
    <w:rsid w:val="006D426B"/>
    <w:rsid w:val="006D4322"/>
    <w:rsid w:val="006D51BD"/>
    <w:rsid w:val="006D679B"/>
    <w:rsid w:val="006D6CAA"/>
    <w:rsid w:val="006D6FEB"/>
    <w:rsid w:val="006D7A25"/>
    <w:rsid w:val="006E1760"/>
    <w:rsid w:val="006E1AC5"/>
    <w:rsid w:val="006E2125"/>
    <w:rsid w:val="006E285F"/>
    <w:rsid w:val="006E387B"/>
    <w:rsid w:val="006E4C91"/>
    <w:rsid w:val="006E549E"/>
    <w:rsid w:val="006E6029"/>
    <w:rsid w:val="006E68C5"/>
    <w:rsid w:val="006E6DDB"/>
    <w:rsid w:val="006E6EDB"/>
    <w:rsid w:val="006E70D4"/>
    <w:rsid w:val="006E726B"/>
    <w:rsid w:val="006E7C11"/>
    <w:rsid w:val="006E7D27"/>
    <w:rsid w:val="006E7F85"/>
    <w:rsid w:val="006F060C"/>
    <w:rsid w:val="006F073A"/>
    <w:rsid w:val="006F0DC7"/>
    <w:rsid w:val="006F106F"/>
    <w:rsid w:val="006F1256"/>
    <w:rsid w:val="006F142E"/>
    <w:rsid w:val="006F1595"/>
    <w:rsid w:val="006F1FA1"/>
    <w:rsid w:val="006F234A"/>
    <w:rsid w:val="006F3045"/>
    <w:rsid w:val="006F3344"/>
    <w:rsid w:val="006F3A42"/>
    <w:rsid w:val="006F5683"/>
    <w:rsid w:val="006F5D77"/>
    <w:rsid w:val="006F689B"/>
    <w:rsid w:val="006F6CED"/>
    <w:rsid w:val="006F6E9A"/>
    <w:rsid w:val="006F7599"/>
    <w:rsid w:val="006F7913"/>
    <w:rsid w:val="007002BD"/>
    <w:rsid w:val="00700E04"/>
    <w:rsid w:val="00702144"/>
    <w:rsid w:val="0070219E"/>
    <w:rsid w:val="0070236C"/>
    <w:rsid w:val="0070242B"/>
    <w:rsid w:val="00702668"/>
    <w:rsid w:val="00703853"/>
    <w:rsid w:val="00703858"/>
    <w:rsid w:val="007041DC"/>
    <w:rsid w:val="007047FF"/>
    <w:rsid w:val="00704A7C"/>
    <w:rsid w:val="00705104"/>
    <w:rsid w:val="00705368"/>
    <w:rsid w:val="0070540B"/>
    <w:rsid w:val="007056B4"/>
    <w:rsid w:val="0070575F"/>
    <w:rsid w:val="0070642E"/>
    <w:rsid w:val="007065D3"/>
    <w:rsid w:val="0070740B"/>
    <w:rsid w:val="0070776B"/>
    <w:rsid w:val="007103B3"/>
    <w:rsid w:val="00710E8F"/>
    <w:rsid w:val="00711C1E"/>
    <w:rsid w:val="007122FE"/>
    <w:rsid w:val="007123A3"/>
    <w:rsid w:val="007125E6"/>
    <w:rsid w:val="00712B3E"/>
    <w:rsid w:val="00712B4B"/>
    <w:rsid w:val="00713056"/>
    <w:rsid w:val="00714234"/>
    <w:rsid w:val="0071505B"/>
    <w:rsid w:val="007154E7"/>
    <w:rsid w:val="00715DDD"/>
    <w:rsid w:val="007203DD"/>
    <w:rsid w:val="0072308F"/>
    <w:rsid w:val="00723FC0"/>
    <w:rsid w:val="00725447"/>
    <w:rsid w:val="0072589E"/>
    <w:rsid w:val="007258E1"/>
    <w:rsid w:val="00725ACA"/>
    <w:rsid w:val="007266A7"/>
    <w:rsid w:val="007269AD"/>
    <w:rsid w:val="007272B5"/>
    <w:rsid w:val="007277D9"/>
    <w:rsid w:val="007305F0"/>
    <w:rsid w:val="007318AC"/>
    <w:rsid w:val="00732EB4"/>
    <w:rsid w:val="00734033"/>
    <w:rsid w:val="0073417E"/>
    <w:rsid w:val="007347E8"/>
    <w:rsid w:val="00734F88"/>
    <w:rsid w:val="007352E1"/>
    <w:rsid w:val="00735555"/>
    <w:rsid w:val="00735798"/>
    <w:rsid w:val="00735B17"/>
    <w:rsid w:val="00736A4C"/>
    <w:rsid w:val="00736BAF"/>
    <w:rsid w:val="00737BE8"/>
    <w:rsid w:val="00737C91"/>
    <w:rsid w:val="00737D37"/>
    <w:rsid w:val="00740B80"/>
    <w:rsid w:val="00741619"/>
    <w:rsid w:val="00742D4E"/>
    <w:rsid w:val="00742F34"/>
    <w:rsid w:val="00743966"/>
    <w:rsid w:val="00743F20"/>
    <w:rsid w:val="007443D1"/>
    <w:rsid w:val="007452E9"/>
    <w:rsid w:val="00745B08"/>
    <w:rsid w:val="007460FC"/>
    <w:rsid w:val="0074633F"/>
    <w:rsid w:val="007469C5"/>
    <w:rsid w:val="00747C9B"/>
    <w:rsid w:val="00750C48"/>
    <w:rsid w:val="007511AC"/>
    <w:rsid w:val="00751549"/>
    <w:rsid w:val="0075188F"/>
    <w:rsid w:val="00751D4C"/>
    <w:rsid w:val="00752777"/>
    <w:rsid w:val="00753056"/>
    <w:rsid w:val="0075383D"/>
    <w:rsid w:val="00753ED2"/>
    <w:rsid w:val="00754776"/>
    <w:rsid w:val="007547B0"/>
    <w:rsid w:val="00754F68"/>
    <w:rsid w:val="0075676D"/>
    <w:rsid w:val="00757AF4"/>
    <w:rsid w:val="00757B0F"/>
    <w:rsid w:val="00757B65"/>
    <w:rsid w:val="0076042F"/>
    <w:rsid w:val="00761208"/>
    <w:rsid w:val="0076147F"/>
    <w:rsid w:val="00762BF5"/>
    <w:rsid w:val="00762F96"/>
    <w:rsid w:val="00763324"/>
    <w:rsid w:val="00763769"/>
    <w:rsid w:val="00765E69"/>
    <w:rsid w:val="00766752"/>
    <w:rsid w:val="00766908"/>
    <w:rsid w:val="00767D8B"/>
    <w:rsid w:val="00767E68"/>
    <w:rsid w:val="0077029F"/>
    <w:rsid w:val="00770D0F"/>
    <w:rsid w:val="0077367F"/>
    <w:rsid w:val="007739E5"/>
    <w:rsid w:val="007744F1"/>
    <w:rsid w:val="007746C0"/>
    <w:rsid w:val="00774A40"/>
    <w:rsid w:val="00774AB6"/>
    <w:rsid w:val="00775030"/>
    <w:rsid w:val="007751EF"/>
    <w:rsid w:val="007772F4"/>
    <w:rsid w:val="00777634"/>
    <w:rsid w:val="00777D2D"/>
    <w:rsid w:val="007801AE"/>
    <w:rsid w:val="00780260"/>
    <w:rsid w:val="00781D95"/>
    <w:rsid w:val="00781FA7"/>
    <w:rsid w:val="007821F1"/>
    <w:rsid w:val="007836EF"/>
    <w:rsid w:val="00783A45"/>
    <w:rsid w:val="00783C91"/>
    <w:rsid w:val="007842AB"/>
    <w:rsid w:val="00784899"/>
    <w:rsid w:val="00784EC0"/>
    <w:rsid w:val="00785D5F"/>
    <w:rsid w:val="00785FD3"/>
    <w:rsid w:val="007865EA"/>
    <w:rsid w:val="00786C5E"/>
    <w:rsid w:val="00786F4D"/>
    <w:rsid w:val="00786FD8"/>
    <w:rsid w:val="00787E5D"/>
    <w:rsid w:val="007911E3"/>
    <w:rsid w:val="00791223"/>
    <w:rsid w:val="007913BD"/>
    <w:rsid w:val="0079192C"/>
    <w:rsid w:val="00792FA5"/>
    <w:rsid w:val="00793514"/>
    <w:rsid w:val="0079356E"/>
    <w:rsid w:val="0079373F"/>
    <w:rsid w:val="0079379A"/>
    <w:rsid w:val="0079437E"/>
    <w:rsid w:val="0079444C"/>
    <w:rsid w:val="00794D42"/>
    <w:rsid w:val="00796A17"/>
    <w:rsid w:val="0079720F"/>
    <w:rsid w:val="00797311"/>
    <w:rsid w:val="00797535"/>
    <w:rsid w:val="00797BC8"/>
    <w:rsid w:val="007A215F"/>
    <w:rsid w:val="007A25ED"/>
    <w:rsid w:val="007A2E65"/>
    <w:rsid w:val="007A3490"/>
    <w:rsid w:val="007A35F7"/>
    <w:rsid w:val="007A37A3"/>
    <w:rsid w:val="007A3BD5"/>
    <w:rsid w:val="007A422D"/>
    <w:rsid w:val="007A4367"/>
    <w:rsid w:val="007A4E96"/>
    <w:rsid w:val="007A54AF"/>
    <w:rsid w:val="007A560A"/>
    <w:rsid w:val="007A5827"/>
    <w:rsid w:val="007A662D"/>
    <w:rsid w:val="007A7337"/>
    <w:rsid w:val="007A767F"/>
    <w:rsid w:val="007A7A84"/>
    <w:rsid w:val="007B03C0"/>
    <w:rsid w:val="007B06D9"/>
    <w:rsid w:val="007B0EE8"/>
    <w:rsid w:val="007B15FE"/>
    <w:rsid w:val="007B1DD6"/>
    <w:rsid w:val="007B21AB"/>
    <w:rsid w:val="007B245F"/>
    <w:rsid w:val="007B30C1"/>
    <w:rsid w:val="007B31D6"/>
    <w:rsid w:val="007B36DF"/>
    <w:rsid w:val="007B56AC"/>
    <w:rsid w:val="007B78BF"/>
    <w:rsid w:val="007B7E37"/>
    <w:rsid w:val="007C0261"/>
    <w:rsid w:val="007C0803"/>
    <w:rsid w:val="007C3061"/>
    <w:rsid w:val="007C37AA"/>
    <w:rsid w:val="007C3B9E"/>
    <w:rsid w:val="007C3EE4"/>
    <w:rsid w:val="007C41DD"/>
    <w:rsid w:val="007C45F2"/>
    <w:rsid w:val="007C48FF"/>
    <w:rsid w:val="007C4A92"/>
    <w:rsid w:val="007C579C"/>
    <w:rsid w:val="007C69A3"/>
    <w:rsid w:val="007C6CAE"/>
    <w:rsid w:val="007C6FB0"/>
    <w:rsid w:val="007D2F12"/>
    <w:rsid w:val="007D36CD"/>
    <w:rsid w:val="007D37B1"/>
    <w:rsid w:val="007D38B9"/>
    <w:rsid w:val="007D49CE"/>
    <w:rsid w:val="007D4BB8"/>
    <w:rsid w:val="007D4BD5"/>
    <w:rsid w:val="007D66A2"/>
    <w:rsid w:val="007D7598"/>
    <w:rsid w:val="007D7DA0"/>
    <w:rsid w:val="007D7FC6"/>
    <w:rsid w:val="007E11FA"/>
    <w:rsid w:val="007E121A"/>
    <w:rsid w:val="007E1C3B"/>
    <w:rsid w:val="007E35B8"/>
    <w:rsid w:val="007E37FC"/>
    <w:rsid w:val="007E43F9"/>
    <w:rsid w:val="007E4663"/>
    <w:rsid w:val="007E4DF4"/>
    <w:rsid w:val="007E5236"/>
    <w:rsid w:val="007E57A9"/>
    <w:rsid w:val="007E5C61"/>
    <w:rsid w:val="007E5DFA"/>
    <w:rsid w:val="007E676A"/>
    <w:rsid w:val="007E7883"/>
    <w:rsid w:val="007F0B3C"/>
    <w:rsid w:val="007F0D6E"/>
    <w:rsid w:val="007F1651"/>
    <w:rsid w:val="007F3F63"/>
    <w:rsid w:val="007F4B9D"/>
    <w:rsid w:val="007F4C7B"/>
    <w:rsid w:val="007F4F3A"/>
    <w:rsid w:val="007F55EA"/>
    <w:rsid w:val="007F741E"/>
    <w:rsid w:val="007F7706"/>
    <w:rsid w:val="0080005F"/>
    <w:rsid w:val="00800630"/>
    <w:rsid w:val="008009AC"/>
    <w:rsid w:val="008018FE"/>
    <w:rsid w:val="00803C48"/>
    <w:rsid w:val="008045AE"/>
    <w:rsid w:val="00804675"/>
    <w:rsid w:val="008048DF"/>
    <w:rsid w:val="00804C9B"/>
    <w:rsid w:val="00804D43"/>
    <w:rsid w:val="00806236"/>
    <w:rsid w:val="00806E0C"/>
    <w:rsid w:val="00810B67"/>
    <w:rsid w:val="00812B97"/>
    <w:rsid w:val="00815632"/>
    <w:rsid w:val="00816872"/>
    <w:rsid w:val="0081698F"/>
    <w:rsid w:val="00817748"/>
    <w:rsid w:val="008200CA"/>
    <w:rsid w:val="0082052A"/>
    <w:rsid w:val="00820579"/>
    <w:rsid w:val="0082109B"/>
    <w:rsid w:val="00821110"/>
    <w:rsid w:val="00821F16"/>
    <w:rsid w:val="008224AD"/>
    <w:rsid w:val="00822F3A"/>
    <w:rsid w:val="008241C2"/>
    <w:rsid w:val="0082429A"/>
    <w:rsid w:val="00824662"/>
    <w:rsid w:val="00824D33"/>
    <w:rsid w:val="00825639"/>
    <w:rsid w:val="00825E30"/>
    <w:rsid w:val="008262BE"/>
    <w:rsid w:val="00827212"/>
    <w:rsid w:val="008278B4"/>
    <w:rsid w:val="00830912"/>
    <w:rsid w:val="00830C44"/>
    <w:rsid w:val="008326F1"/>
    <w:rsid w:val="00832A21"/>
    <w:rsid w:val="008346D1"/>
    <w:rsid w:val="008358F9"/>
    <w:rsid w:val="00835CC8"/>
    <w:rsid w:val="008365D7"/>
    <w:rsid w:val="00836752"/>
    <w:rsid w:val="008367B8"/>
    <w:rsid w:val="008379C4"/>
    <w:rsid w:val="00840802"/>
    <w:rsid w:val="008420D6"/>
    <w:rsid w:val="00842C38"/>
    <w:rsid w:val="008432A5"/>
    <w:rsid w:val="00843569"/>
    <w:rsid w:val="008439D8"/>
    <w:rsid w:val="00844008"/>
    <w:rsid w:val="0084498E"/>
    <w:rsid w:val="00844ED2"/>
    <w:rsid w:val="00846DFD"/>
    <w:rsid w:val="008507D7"/>
    <w:rsid w:val="00850F5F"/>
    <w:rsid w:val="00851089"/>
    <w:rsid w:val="0085138F"/>
    <w:rsid w:val="008516EB"/>
    <w:rsid w:val="00852718"/>
    <w:rsid w:val="00852DEA"/>
    <w:rsid w:val="008538D0"/>
    <w:rsid w:val="0085397B"/>
    <w:rsid w:val="00853A77"/>
    <w:rsid w:val="00853D4C"/>
    <w:rsid w:val="00854286"/>
    <w:rsid w:val="00854349"/>
    <w:rsid w:val="008543D2"/>
    <w:rsid w:val="008547FF"/>
    <w:rsid w:val="00854EEF"/>
    <w:rsid w:val="00854F40"/>
    <w:rsid w:val="00855625"/>
    <w:rsid w:val="008565F6"/>
    <w:rsid w:val="00856706"/>
    <w:rsid w:val="00857011"/>
    <w:rsid w:val="00857E49"/>
    <w:rsid w:val="00860D31"/>
    <w:rsid w:val="008614EA"/>
    <w:rsid w:val="0086327B"/>
    <w:rsid w:val="0086350C"/>
    <w:rsid w:val="008637E0"/>
    <w:rsid w:val="00863DF4"/>
    <w:rsid w:val="008669EC"/>
    <w:rsid w:val="00867CCC"/>
    <w:rsid w:val="008720D9"/>
    <w:rsid w:val="008744EB"/>
    <w:rsid w:val="0087470E"/>
    <w:rsid w:val="00874807"/>
    <w:rsid w:val="008767E8"/>
    <w:rsid w:val="008770AB"/>
    <w:rsid w:val="008805F0"/>
    <w:rsid w:val="00881B78"/>
    <w:rsid w:val="00883129"/>
    <w:rsid w:val="0088339F"/>
    <w:rsid w:val="00883460"/>
    <w:rsid w:val="00883D40"/>
    <w:rsid w:val="00883FCE"/>
    <w:rsid w:val="00884F83"/>
    <w:rsid w:val="00885905"/>
    <w:rsid w:val="00885FDA"/>
    <w:rsid w:val="008868C5"/>
    <w:rsid w:val="00886B6E"/>
    <w:rsid w:val="00886D0E"/>
    <w:rsid w:val="00886EE6"/>
    <w:rsid w:val="00890EE7"/>
    <w:rsid w:val="00893172"/>
    <w:rsid w:val="0089407C"/>
    <w:rsid w:val="0089482F"/>
    <w:rsid w:val="00894BD9"/>
    <w:rsid w:val="00894E4F"/>
    <w:rsid w:val="00894E9E"/>
    <w:rsid w:val="00895A46"/>
    <w:rsid w:val="00895F8C"/>
    <w:rsid w:val="00896224"/>
    <w:rsid w:val="008962BD"/>
    <w:rsid w:val="00896C3C"/>
    <w:rsid w:val="00896C62"/>
    <w:rsid w:val="00897289"/>
    <w:rsid w:val="0089764D"/>
    <w:rsid w:val="00897795"/>
    <w:rsid w:val="008A13CE"/>
    <w:rsid w:val="008A17DD"/>
    <w:rsid w:val="008A26A4"/>
    <w:rsid w:val="008A31FE"/>
    <w:rsid w:val="008A3A0D"/>
    <w:rsid w:val="008A3FB3"/>
    <w:rsid w:val="008A50D9"/>
    <w:rsid w:val="008A5DA8"/>
    <w:rsid w:val="008A7010"/>
    <w:rsid w:val="008A78B8"/>
    <w:rsid w:val="008B01D3"/>
    <w:rsid w:val="008B0B15"/>
    <w:rsid w:val="008B1A44"/>
    <w:rsid w:val="008B2E22"/>
    <w:rsid w:val="008B39F2"/>
    <w:rsid w:val="008B3C89"/>
    <w:rsid w:val="008B588B"/>
    <w:rsid w:val="008B59B3"/>
    <w:rsid w:val="008B6228"/>
    <w:rsid w:val="008B6F30"/>
    <w:rsid w:val="008B73A1"/>
    <w:rsid w:val="008B75B3"/>
    <w:rsid w:val="008B7ACA"/>
    <w:rsid w:val="008C0BEB"/>
    <w:rsid w:val="008C0D60"/>
    <w:rsid w:val="008C0F4C"/>
    <w:rsid w:val="008C1158"/>
    <w:rsid w:val="008C1B35"/>
    <w:rsid w:val="008C2992"/>
    <w:rsid w:val="008C3505"/>
    <w:rsid w:val="008C351E"/>
    <w:rsid w:val="008C420E"/>
    <w:rsid w:val="008C4813"/>
    <w:rsid w:val="008C4E3C"/>
    <w:rsid w:val="008C6137"/>
    <w:rsid w:val="008C62D6"/>
    <w:rsid w:val="008C679F"/>
    <w:rsid w:val="008C74B0"/>
    <w:rsid w:val="008D088E"/>
    <w:rsid w:val="008D097D"/>
    <w:rsid w:val="008D273D"/>
    <w:rsid w:val="008D336D"/>
    <w:rsid w:val="008D4B72"/>
    <w:rsid w:val="008D52B1"/>
    <w:rsid w:val="008D5585"/>
    <w:rsid w:val="008D7A27"/>
    <w:rsid w:val="008D7B1D"/>
    <w:rsid w:val="008E03A0"/>
    <w:rsid w:val="008E0AD2"/>
    <w:rsid w:val="008E11A4"/>
    <w:rsid w:val="008E163A"/>
    <w:rsid w:val="008E2645"/>
    <w:rsid w:val="008E3057"/>
    <w:rsid w:val="008E3189"/>
    <w:rsid w:val="008E3252"/>
    <w:rsid w:val="008E3BB0"/>
    <w:rsid w:val="008E4ED6"/>
    <w:rsid w:val="008E5156"/>
    <w:rsid w:val="008E6518"/>
    <w:rsid w:val="008E654A"/>
    <w:rsid w:val="008E7571"/>
    <w:rsid w:val="008E7715"/>
    <w:rsid w:val="008F1A61"/>
    <w:rsid w:val="008F23C2"/>
    <w:rsid w:val="008F33A0"/>
    <w:rsid w:val="008F410A"/>
    <w:rsid w:val="008F4B7D"/>
    <w:rsid w:val="008F4FAD"/>
    <w:rsid w:val="008F5354"/>
    <w:rsid w:val="008F54CD"/>
    <w:rsid w:val="008F58B7"/>
    <w:rsid w:val="008F6DA7"/>
    <w:rsid w:val="008F7E8C"/>
    <w:rsid w:val="00900A26"/>
    <w:rsid w:val="0090190B"/>
    <w:rsid w:val="00902B00"/>
    <w:rsid w:val="00902F85"/>
    <w:rsid w:val="0090367D"/>
    <w:rsid w:val="00904480"/>
    <w:rsid w:val="0090465D"/>
    <w:rsid w:val="0090478D"/>
    <w:rsid w:val="00904EB1"/>
    <w:rsid w:val="00905187"/>
    <w:rsid w:val="00905548"/>
    <w:rsid w:val="0090568B"/>
    <w:rsid w:val="0090618B"/>
    <w:rsid w:val="009066A2"/>
    <w:rsid w:val="00907151"/>
    <w:rsid w:val="00907DDB"/>
    <w:rsid w:val="009104FF"/>
    <w:rsid w:val="009108F1"/>
    <w:rsid w:val="00911334"/>
    <w:rsid w:val="00911512"/>
    <w:rsid w:val="00911A35"/>
    <w:rsid w:val="00911F32"/>
    <w:rsid w:val="009120C5"/>
    <w:rsid w:val="009127E3"/>
    <w:rsid w:val="00912B1E"/>
    <w:rsid w:val="00912C98"/>
    <w:rsid w:val="00912E04"/>
    <w:rsid w:val="0091384A"/>
    <w:rsid w:val="009161F6"/>
    <w:rsid w:val="0091696B"/>
    <w:rsid w:val="009179EA"/>
    <w:rsid w:val="00920D72"/>
    <w:rsid w:val="009212C4"/>
    <w:rsid w:val="009214DF"/>
    <w:rsid w:val="009223E3"/>
    <w:rsid w:val="0092332A"/>
    <w:rsid w:val="0092358D"/>
    <w:rsid w:val="00923726"/>
    <w:rsid w:val="009237F0"/>
    <w:rsid w:val="00925143"/>
    <w:rsid w:val="00925749"/>
    <w:rsid w:val="00926337"/>
    <w:rsid w:val="00926C46"/>
    <w:rsid w:val="00930EEE"/>
    <w:rsid w:val="0093142A"/>
    <w:rsid w:val="009318FB"/>
    <w:rsid w:val="00934607"/>
    <w:rsid w:val="00934948"/>
    <w:rsid w:val="00935221"/>
    <w:rsid w:val="00936AFE"/>
    <w:rsid w:val="0093700E"/>
    <w:rsid w:val="009374C1"/>
    <w:rsid w:val="00940BBE"/>
    <w:rsid w:val="00940DB6"/>
    <w:rsid w:val="00941E37"/>
    <w:rsid w:val="009435D6"/>
    <w:rsid w:val="009444D6"/>
    <w:rsid w:val="00944D56"/>
    <w:rsid w:val="0094521B"/>
    <w:rsid w:val="0094599D"/>
    <w:rsid w:val="00945AA0"/>
    <w:rsid w:val="00945C51"/>
    <w:rsid w:val="009467CB"/>
    <w:rsid w:val="00946ECC"/>
    <w:rsid w:val="00950729"/>
    <w:rsid w:val="009513C7"/>
    <w:rsid w:val="00951B6D"/>
    <w:rsid w:val="009528D1"/>
    <w:rsid w:val="009543AF"/>
    <w:rsid w:val="00954ED9"/>
    <w:rsid w:val="00955A34"/>
    <w:rsid w:val="00956452"/>
    <w:rsid w:val="0095754A"/>
    <w:rsid w:val="0096032D"/>
    <w:rsid w:val="00961145"/>
    <w:rsid w:val="00962CFD"/>
    <w:rsid w:val="00963B70"/>
    <w:rsid w:val="0096406F"/>
    <w:rsid w:val="009642D8"/>
    <w:rsid w:val="00964609"/>
    <w:rsid w:val="00965BFF"/>
    <w:rsid w:val="00965E86"/>
    <w:rsid w:val="00966A44"/>
    <w:rsid w:val="00967962"/>
    <w:rsid w:val="00970094"/>
    <w:rsid w:val="00971536"/>
    <w:rsid w:val="009718C6"/>
    <w:rsid w:val="009720F6"/>
    <w:rsid w:val="009728E7"/>
    <w:rsid w:val="0097324A"/>
    <w:rsid w:val="00973D3A"/>
    <w:rsid w:val="00974A46"/>
    <w:rsid w:val="009756A4"/>
    <w:rsid w:val="009764DD"/>
    <w:rsid w:val="009766F5"/>
    <w:rsid w:val="009768B3"/>
    <w:rsid w:val="00981B81"/>
    <w:rsid w:val="00982BB1"/>
    <w:rsid w:val="00982BD7"/>
    <w:rsid w:val="00983196"/>
    <w:rsid w:val="00984153"/>
    <w:rsid w:val="00985087"/>
    <w:rsid w:val="00986199"/>
    <w:rsid w:val="00990134"/>
    <w:rsid w:val="00991B93"/>
    <w:rsid w:val="00993006"/>
    <w:rsid w:val="0099341E"/>
    <w:rsid w:val="00993C3D"/>
    <w:rsid w:val="00994972"/>
    <w:rsid w:val="00994BBD"/>
    <w:rsid w:val="00994FE6"/>
    <w:rsid w:val="009954AB"/>
    <w:rsid w:val="009954F9"/>
    <w:rsid w:val="00995925"/>
    <w:rsid w:val="00995957"/>
    <w:rsid w:val="00995EA2"/>
    <w:rsid w:val="00996B2D"/>
    <w:rsid w:val="009A00D6"/>
    <w:rsid w:val="009A016C"/>
    <w:rsid w:val="009A1948"/>
    <w:rsid w:val="009A1ABB"/>
    <w:rsid w:val="009A1C38"/>
    <w:rsid w:val="009A4092"/>
    <w:rsid w:val="009A4469"/>
    <w:rsid w:val="009A48EF"/>
    <w:rsid w:val="009A521C"/>
    <w:rsid w:val="009A6741"/>
    <w:rsid w:val="009A686F"/>
    <w:rsid w:val="009B0213"/>
    <w:rsid w:val="009B13B7"/>
    <w:rsid w:val="009B152A"/>
    <w:rsid w:val="009B2180"/>
    <w:rsid w:val="009B257D"/>
    <w:rsid w:val="009B42DC"/>
    <w:rsid w:val="009B470A"/>
    <w:rsid w:val="009B4F1D"/>
    <w:rsid w:val="009B5811"/>
    <w:rsid w:val="009B63DF"/>
    <w:rsid w:val="009B74F5"/>
    <w:rsid w:val="009C096D"/>
    <w:rsid w:val="009C1A01"/>
    <w:rsid w:val="009C20D2"/>
    <w:rsid w:val="009C2656"/>
    <w:rsid w:val="009C30B9"/>
    <w:rsid w:val="009C506D"/>
    <w:rsid w:val="009C5DAC"/>
    <w:rsid w:val="009C5E7A"/>
    <w:rsid w:val="009C5EDF"/>
    <w:rsid w:val="009C7297"/>
    <w:rsid w:val="009C771E"/>
    <w:rsid w:val="009D0D94"/>
    <w:rsid w:val="009D1190"/>
    <w:rsid w:val="009D1D98"/>
    <w:rsid w:val="009D269C"/>
    <w:rsid w:val="009D326B"/>
    <w:rsid w:val="009D34FA"/>
    <w:rsid w:val="009D3EEE"/>
    <w:rsid w:val="009D50C8"/>
    <w:rsid w:val="009D5592"/>
    <w:rsid w:val="009D58E1"/>
    <w:rsid w:val="009D63CF"/>
    <w:rsid w:val="009D6A56"/>
    <w:rsid w:val="009D7D6D"/>
    <w:rsid w:val="009E06DC"/>
    <w:rsid w:val="009E06E4"/>
    <w:rsid w:val="009E1B2C"/>
    <w:rsid w:val="009E2329"/>
    <w:rsid w:val="009E3B6D"/>
    <w:rsid w:val="009E3CB3"/>
    <w:rsid w:val="009E3D50"/>
    <w:rsid w:val="009E6005"/>
    <w:rsid w:val="009E649B"/>
    <w:rsid w:val="009E6540"/>
    <w:rsid w:val="009E6FB1"/>
    <w:rsid w:val="009E7447"/>
    <w:rsid w:val="009E75A9"/>
    <w:rsid w:val="009F02C8"/>
    <w:rsid w:val="009F169E"/>
    <w:rsid w:val="009F1D2C"/>
    <w:rsid w:val="009F28AD"/>
    <w:rsid w:val="009F2939"/>
    <w:rsid w:val="009F4F03"/>
    <w:rsid w:val="009F5017"/>
    <w:rsid w:val="009F5C2E"/>
    <w:rsid w:val="009F5F28"/>
    <w:rsid w:val="009F7522"/>
    <w:rsid w:val="009F792B"/>
    <w:rsid w:val="00A0062C"/>
    <w:rsid w:val="00A00D54"/>
    <w:rsid w:val="00A017D7"/>
    <w:rsid w:val="00A01937"/>
    <w:rsid w:val="00A01AE7"/>
    <w:rsid w:val="00A01FFB"/>
    <w:rsid w:val="00A02706"/>
    <w:rsid w:val="00A02BDB"/>
    <w:rsid w:val="00A03314"/>
    <w:rsid w:val="00A0359A"/>
    <w:rsid w:val="00A0398F"/>
    <w:rsid w:val="00A03BE9"/>
    <w:rsid w:val="00A04147"/>
    <w:rsid w:val="00A04206"/>
    <w:rsid w:val="00A044D9"/>
    <w:rsid w:val="00A056CF"/>
    <w:rsid w:val="00A07D79"/>
    <w:rsid w:val="00A1011A"/>
    <w:rsid w:val="00A110A5"/>
    <w:rsid w:val="00A11229"/>
    <w:rsid w:val="00A121F1"/>
    <w:rsid w:val="00A12AF9"/>
    <w:rsid w:val="00A13382"/>
    <w:rsid w:val="00A13470"/>
    <w:rsid w:val="00A1353C"/>
    <w:rsid w:val="00A13757"/>
    <w:rsid w:val="00A138B7"/>
    <w:rsid w:val="00A138BD"/>
    <w:rsid w:val="00A138D6"/>
    <w:rsid w:val="00A14434"/>
    <w:rsid w:val="00A16630"/>
    <w:rsid w:val="00A168E1"/>
    <w:rsid w:val="00A16C9B"/>
    <w:rsid w:val="00A21AA9"/>
    <w:rsid w:val="00A21D50"/>
    <w:rsid w:val="00A22910"/>
    <w:rsid w:val="00A252ED"/>
    <w:rsid w:val="00A269A5"/>
    <w:rsid w:val="00A26F1A"/>
    <w:rsid w:val="00A30E20"/>
    <w:rsid w:val="00A31BCC"/>
    <w:rsid w:val="00A3235D"/>
    <w:rsid w:val="00A34D5D"/>
    <w:rsid w:val="00A35545"/>
    <w:rsid w:val="00A358E9"/>
    <w:rsid w:val="00A3695F"/>
    <w:rsid w:val="00A374BD"/>
    <w:rsid w:val="00A3777B"/>
    <w:rsid w:val="00A37C52"/>
    <w:rsid w:val="00A37E7E"/>
    <w:rsid w:val="00A40035"/>
    <w:rsid w:val="00A40360"/>
    <w:rsid w:val="00A40CC1"/>
    <w:rsid w:val="00A41679"/>
    <w:rsid w:val="00A41C10"/>
    <w:rsid w:val="00A429F7"/>
    <w:rsid w:val="00A42BFE"/>
    <w:rsid w:val="00A42FA3"/>
    <w:rsid w:val="00A4382E"/>
    <w:rsid w:val="00A438BC"/>
    <w:rsid w:val="00A43F5E"/>
    <w:rsid w:val="00A461F7"/>
    <w:rsid w:val="00A47A2F"/>
    <w:rsid w:val="00A5044B"/>
    <w:rsid w:val="00A5044F"/>
    <w:rsid w:val="00A50A00"/>
    <w:rsid w:val="00A5226B"/>
    <w:rsid w:val="00A54E58"/>
    <w:rsid w:val="00A55708"/>
    <w:rsid w:val="00A561B9"/>
    <w:rsid w:val="00A56641"/>
    <w:rsid w:val="00A56913"/>
    <w:rsid w:val="00A60059"/>
    <w:rsid w:val="00A6241A"/>
    <w:rsid w:val="00A62899"/>
    <w:rsid w:val="00A629A9"/>
    <w:rsid w:val="00A646CD"/>
    <w:rsid w:val="00A64806"/>
    <w:rsid w:val="00A67FC6"/>
    <w:rsid w:val="00A70ED1"/>
    <w:rsid w:val="00A717ED"/>
    <w:rsid w:val="00A71DC9"/>
    <w:rsid w:val="00A7211C"/>
    <w:rsid w:val="00A74665"/>
    <w:rsid w:val="00A752C0"/>
    <w:rsid w:val="00A76B53"/>
    <w:rsid w:val="00A777F8"/>
    <w:rsid w:val="00A805F4"/>
    <w:rsid w:val="00A80CF3"/>
    <w:rsid w:val="00A819BB"/>
    <w:rsid w:val="00A81A5E"/>
    <w:rsid w:val="00A82D48"/>
    <w:rsid w:val="00A836AF"/>
    <w:rsid w:val="00A838EF"/>
    <w:rsid w:val="00A858C4"/>
    <w:rsid w:val="00A85A40"/>
    <w:rsid w:val="00A85D2B"/>
    <w:rsid w:val="00A860B5"/>
    <w:rsid w:val="00A862D0"/>
    <w:rsid w:val="00A865D4"/>
    <w:rsid w:val="00A87724"/>
    <w:rsid w:val="00A87DF5"/>
    <w:rsid w:val="00A9007B"/>
    <w:rsid w:val="00A903ED"/>
    <w:rsid w:val="00A912F2"/>
    <w:rsid w:val="00A91878"/>
    <w:rsid w:val="00A922BB"/>
    <w:rsid w:val="00A9257C"/>
    <w:rsid w:val="00A9352B"/>
    <w:rsid w:val="00A93576"/>
    <w:rsid w:val="00A937BC"/>
    <w:rsid w:val="00A944CC"/>
    <w:rsid w:val="00A94601"/>
    <w:rsid w:val="00A95460"/>
    <w:rsid w:val="00A95E51"/>
    <w:rsid w:val="00A96327"/>
    <w:rsid w:val="00A977B8"/>
    <w:rsid w:val="00A97A41"/>
    <w:rsid w:val="00AA0109"/>
    <w:rsid w:val="00AA0435"/>
    <w:rsid w:val="00AA0584"/>
    <w:rsid w:val="00AA0A41"/>
    <w:rsid w:val="00AA0B29"/>
    <w:rsid w:val="00AA1D15"/>
    <w:rsid w:val="00AA4663"/>
    <w:rsid w:val="00AA4864"/>
    <w:rsid w:val="00AA4AF9"/>
    <w:rsid w:val="00AA4C8E"/>
    <w:rsid w:val="00AA5175"/>
    <w:rsid w:val="00AA59F3"/>
    <w:rsid w:val="00AA69D7"/>
    <w:rsid w:val="00AA7513"/>
    <w:rsid w:val="00AB09A9"/>
    <w:rsid w:val="00AB0A07"/>
    <w:rsid w:val="00AB253C"/>
    <w:rsid w:val="00AB2C55"/>
    <w:rsid w:val="00AB378B"/>
    <w:rsid w:val="00AB54E2"/>
    <w:rsid w:val="00AB5D8A"/>
    <w:rsid w:val="00AB7C10"/>
    <w:rsid w:val="00AC008F"/>
    <w:rsid w:val="00AC05A1"/>
    <w:rsid w:val="00AC3592"/>
    <w:rsid w:val="00AC3BF1"/>
    <w:rsid w:val="00AC3FD9"/>
    <w:rsid w:val="00AC664F"/>
    <w:rsid w:val="00AC6863"/>
    <w:rsid w:val="00AD05EC"/>
    <w:rsid w:val="00AD0FC1"/>
    <w:rsid w:val="00AD181D"/>
    <w:rsid w:val="00AD27A3"/>
    <w:rsid w:val="00AD298B"/>
    <w:rsid w:val="00AD2B89"/>
    <w:rsid w:val="00AD3FF8"/>
    <w:rsid w:val="00AD423E"/>
    <w:rsid w:val="00AD4969"/>
    <w:rsid w:val="00AD4A3D"/>
    <w:rsid w:val="00AD58A8"/>
    <w:rsid w:val="00AD66D0"/>
    <w:rsid w:val="00AD74EC"/>
    <w:rsid w:val="00AE1563"/>
    <w:rsid w:val="00AE1A9C"/>
    <w:rsid w:val="00AE1FBC"/>
    <w:rsid w:val="00AE2AC1"/>
    <w:rsid w:val="00AE3676"/>
    <w:rsid w:val="00AE38DE"/>
    <w:rsid w:val="00AE395F"/>
    <w:rsid w:val="00AE53FD"/>
    <w:rsid w:val="00AE5A9D"/>
    <w:rsid w:val="00AE5CFB"/>
    <w:rsid w:val="00AE7758"/>
    <w:rsid w:val="00AE7F75"/>
    <w:rsid w:val="00AF08C1"/>
    <w:rsid w:val="00AF0BB2"/>
    <w:rsid w:val="00AF184D"/>
    <w:rsid w:val="00AF19CB"/>
    <w:rsid w:val="00AF335C"/>
    <w:rsid w:val="00AF3EC8"/>
    <w:rsid w:val="00AF4524"/>
    <w:rsid w:val="00AF512A"/>
    <w:rsid w:val="00AF54E3"/>
    <w:rsid w:val="00AF55EB"/>
    <w:rsid w:val="00AF6617"/>
    <w:rsid w:val="00AF6E70"/>
    <w:rsid w:val="00AF6F41"/>
    <w:rsid w:val="00B0087B"/>
    <w:rsid w:val="00B00BC4"/>
    <w:rsid w:val="00B01515"/>
    <w:rsid w:val="00B01A2F"/>
    <w:rsid w:val="00B0294B"/>
    <w:rsid w:val="00B02D77"/>
    <w:rsid w:val="00B03A41"/>
    <w:rsid w:val="00B03EFC"/>
    <w:rsid w:val="00B0440D"/>
    <w:rsid w:val="00B04981"/>
    <w:rsid w:val="00B05269"/>
    <w:rsid w:val="00B054DF"/>
    <w:rsid w:val="00B057C3"/>
    <w:rsid w:val="00B05CCC"/>
    <w:rsid w:val="00B0616E"/>
    <w:rsid w:val="00B06652"/>
    <w:rsid w:val="00B079ED"/>
    <w:rsid w:val="00B10E64"/>
    <w:rsid w:val="00B1177C"/>
    <w:rsid w:val="00B122AF"/>
    <w:rsid w:val="00B136BA"/>
    <w:rsid w:val="00B138CA"/>
    <w:rsid w:val="00B14065"/>
    <w:rsid w:val="00B14892"/>
    <w:rsid w:val="00B14C13"/>
    <w:rsid w:val="00B14D6B"/>
    <w:rsid w:val="00B155CF"/>
    <w:rsid w:val="00B1566D"/>
    <w:rsid w:val="00B15D19"/>
    <w:rsid w:val="00B16115"/>
    <w:rsid w:val="00B165CC"/>
    <w:rsid w:val="00B1700B"/>
    <w:rsid w:val="00B20D00"/>
    <w:rsid w:val="00B21740"/>
    <w:rsid w:val="00B22F7F"/>
    <w:rsid w:val="00B23520"/>
    <w:rsid w:val="00B24791"/>
    <w:rsid w:val="00B250DB"/>
    <w:rsid w:val="00B25EE8"/>
    <w:rsid w:val="00B26CA5"/>
    <w:rsid w:val="00B310F2"/>
    <w:rsid w:val="00B311FE"/>
    <w:rsid w:val="00B3128B"/>
    <w:rsid w:val="00B31672"/>
    <w:rsid w:val="00B32BBA"/>
    <w:rsid w:val="00B32FC9"/>
    <w:rsid w:val="00B33155"/>
    <w:rsid w:val="00B336E3"/>
    <w:rsid w:val="00B3393D"/>
    <w:rsid w:val="00B34718"/>
    <w:rsid w:val="00B3491A"/>
    <w:rsid w:val="00B35795"/>
    <w:rsid w:val="00B35A87"/>
    <w:rsid w:val="00B35AC2"/>
    <w:rsid w:val="00B36B74"/>
    <w:rsid w:val="00B41426"/>
    <w:rsid w:val="00B42027"/>
    <w:rsid w:val="00B4255F"/>
    <w:rsid w:val="00B44A29"/>
    <w:rsid w:val="00B45069"/>
    <w:rsid w:val="00B453B7"/>
    <w:rsid w:val="00B45546"/>
    <w:rsid w:val="00B45570"/>
    <w:rsid w:val="00B455AB"/>
    <w:rsid w:val="00B45E7F"/>
    <w:rsid w:val="00B4618C"/>
    <w:rsid w:val="00B468DA"/>
    <w:rsid w:val="00B46BDC"/>
    <w:rsid w:val="00B47F2D"/>
    <w:rsid w:val="00B51018"/>
    <w:rsid w:val="00B5155D"/>
    <w:rsid w:val="00B51880"/>
    <w:rsid w:val="00B5196E"/>
    <w:rsid w:val="00B51FAF"/>
    <w:rsid w:val="00B527E5"/>
    <w:rsid w:val="00B53DD8"/>
    <w:rsid w:val="00B54051"/>
    <w:rsid w:val="00B5464A"/>
    <w:rsid w:val="00B54781"/>
    <w:rsid w:val="00B54894"/>
    <w:rsid w:val="00B55754"/>
    <w:rsid w:val="00B57C59"/>
    <w:rsid w:val="00B57F70"/>
    <w:rsid w:val="00B60457"/>
    <w:rsid w:val="00B60822"/>
    <w:rsid w:val="00B61601"/>
    <w:rsid w:val="00B62676"/>
    <w:rsid w:val="00B635A3"/>
    <w:rsid w:val="00B63670"/>
    <w:rsid w:val="00B63E33"/>
    <w:rsid w:val="00B6405F"/>
    <w:rsid w:val="00B65376"/>
    <w:rsid w:val="00B6553E"/>
    <w:rsid w:val="00B65EFE"/>
    <w:rsid w:val="00B662E2"/>
    <w:rsid w:val="00B67B3C"/>
    <w:rsid w:val="00B705B6"/>
    <w:rsid w:val="00B70D46"/>
    <w:rsid w:val="00B710D7"/>
    <w:rsid w:val="00B719F8"/>
    <w:rsid w:val="00B71B15"/>
    <w:rsid w:val="00B72487"/>
    <w:rsid w:val="00B72A4F"/>
    <w:rsid w:val="00B736BA"/>
    <w:rsid w:val="00B73D26"/>
    <w:rsid w:val="00B746DD"/>
    <w:rsid w:val="00B748B1"/>
    <w:rsid w:val="00B74A0C"/>
    <w:rsid w:val="00B74D26"/>
    <w:rsid w:val="00B76697"/>
    <w:rsid w:val="00B766CB"/>
    <w:rsid w:val="00B76AA4"/>
    <w:rsid w:val="00B771EE"/>
    <w:rsid w:val="00B773EE"/>
    <w:rsid w:val="00B80D80"/>
    <w:rsid w:val="00B80D88"/>
    <w:rsid w:val="00B80E9D"/>
    <w:rsid w:val="00B81086"/>
    <w:rsid w:val="00B81254"/>
    <w:rsid w:val="00B8138B"/>
    <w:rsid w:val="00B81A82"/>
    <w:rsid w:val="00B823F5"/>
    <w:rsid w:val="00B82E0F"/>
    <w:rsid w:val="00B83353"/>
    <w:rsid w:val="00B833EB"/>
    <w:rsid w:val="00B83489"/>
    <w:rsid w:val="00B83A89"/>
    <w:rsid w:val="00B84C11"/>
    <w:rsid w:val="00B85FEA"/>
    <w:rsid w:val="00B8641E"/>
    <w:rsid w:val="00B86AD2"/>
    <w:rsid w:val="00B86C17"/>
    <w:rsid w:val="00B8792D"/>
    <w:rsid w:val="00B9088F"/>
    <w:rsid w:val="00B90901"/>
    <w:rsid w:val="00B9161B"/>
    <w:rsid w:val="00B91D83"/>
    <w:rsid w:val="00B926B7"/>
    <w:rsid w:val="00B92BA7"/>
    <w:rsid w:val="00B92D6C"/>
    <w:rsid w:val="00B938BB"/>
    <w:rsid w:val="00B94FDA"/>
    <w:rsid w:val="00B950A7"/>
    <w:rsid w:val="00B95326"/>
    <w:rsid w:val="00BA0114"/>
    <w:rsid w:val="00BA0452"/>
    <w:rsid w:val="00BA071C"/>
    <w:rsid w:val="00BA0BB5"/>
    <w:rsid w:val="00BA0C6A"/>
    <w:rsid w:val="00BA2AE8"/>
    <w:rsid w:val="00BA321C"/>
    <w:rsid w:val="00BA38A5"/>
    <w:rsid w:val="00BA3D97"/>
    <w:rsid w:val="00BA3E18"/>
    <w:rsid w:val="00BA4B2E"/>
    <w:rsid w:val="00BA4D03"/>
    <w:rsid w:val="00BA541A"/>
    <w:rsid w:val="00BA59C3"/>
    <w:rsid w:val="00BA644A"/>
    <w:rsid w:val="00BA6832"/>
    <w:rsid w:val="00BB0BBD"/>
    <w:rsid w:val="00BB13E2"/>
    <w:rsid w:val="00BB1B0A"/>
    <w:rsid w:val="00BB1DCB"/>
    <w:rsid w:val="00BB286A"/>
    <w:rsid w:val="00BB2D8D"/>
    <w:rsid w:val="00BB3116"/>
    <w:rsid w:val="00BB5126"/>
    <w:rsid w:val="00BB5194"/>
    <w:rsid w:val="00BB5EDC"/>
    <w:rsid w:val="00BC152C"/>
    <w:rsid w:val="00BC23E2"/>
    <w:rsid w:val="00BC2AFF"/>
    <w:rsid w:val="00BC2DC4"/>
    <w:rsid w:val="00BC3748"/>
    <w:rsid w:val="00BC40A5"/>
    <w:rsid w:val="00BC438C"/>
    <w:rsid w:val="00BC51A6"/>
    <w:rsid w:val="00BC51AB"/>
    <w:rsid w:val="00BC5668"/>
    <w:rsid w:val="00BC57B2"/>
    <w:rsid w:val="00BC5E8D"/>
    <w:rsid w:val="00BC643D"/>
    <w:rsid w:val="00BD0F10"/>
    <w:rsid w:val="00BD21F3"/>
    <w:rsid w:val="00BD29BB"/>
    <w:rsid w:val="00BD34F2"/>
    <w:rsid w:val="00BD391B"/>
    <w:rsid w:val="00BD4993"/>
    <w:rsid w:val="00BD5AAA"/>
    <w:rsid w:val="00BD5C34"/>
    <w:rsid w:val="00BD7351"/>
    <w:rsid w:val="00BD7CC1"/>
    <w:rsid w:val="00BD7D76"/>
    <w:rsid w:val="00BE0953"/>
    <w:rsid w:val="00BE0A75"/>
    <w:rsid w:val="00BE1EE1"/>
    <w:rsid w:val="00BE2387"/>
    <w:rsid w:val="00BE297C"/>
    <w:rsid w:val="00BE2B60"/>
    <w:rsid w:val="00BE2B66"/>
    <w:rsid w:val="00BE307F"/>
    <w:rsid w:val="00BE3CEC"/>
    <w:rsid w:val="00BE531C"/>
    <w:rsid w:val="00BE5B2A"/>
    <w:rsid w:val="00BE6A0F"/>
    <w:rsid w:val="00BE6D44"/>
    <w:rsid w:val="00BE759F"/>
    <w:rsid w:val="00BE766C"/>
    <w:rsid w:val="00BE7BDD"/>
    <w:rsid w:val="00BE7DA4"/>
    <w:rsid w:val="00BE7EC5"/>
    <w:rsid w:val="00BF03CE"/>
    <w:rsid w:val="00BF1145"/>
    <w:rsid w:val="00BF1826"/>
    <w:rsid w:val="00BF1E58"/>
    <w:rsid w:val="00BF2371"/>
    <w:rsid w:val="00BF2F8E"/>
    <w:rsid w:val="00BF354E"/>
    <w:rsid w:val="00BF4DF5"/>
    <w:rsid w:val="00BF5F69"/>
    <w:rsid w:val="00BF6173"/>
    <w:rsid w:val="00BF6341"/>
    <w:rsid w:val="00BF78CD"/>
    <w:rsid w:val="00BF7B2A"/>
    <w:rsid w:val="00C011BF"/>
    <w:rsid w:val="00C01375"/>
    <w:rsid w:val="00C02105"/>
    <w:rsid w:val="00C0240A"/>
    <w:rsid w:val="00C03162"/>
    <w:rsid w:val="00C04225"/>
    <w:rsid w:val="00C043FA"/>
    <w:rsid w:val="00C06D40"/>
    <w:rsid w:val="00C06F3B"/>
    <w:rsid w:val="00C06F97"/>
    <w:rsid w:val="00C11F8C"/>
    <w:rsid w:val="00C133B1"/>
    <w:rsid w:val="00C138BE"/>
    <w:rsid w:val="00C14E73"/>
    <w:rsid w:val="00C16617"/>
    <w:rsid w:val="00C16B15"/>
    <w:rsid w:val="00C16EBD"/>
    <w:rsid w:val="00C1719C"/>
    <w:rsid w:val="00C17D07"/>
    <w:rsid w:val="00C22996"/>
    <w:rsid w:val="00C22DB0"/>
    <w:rsid w:val="00C2317F"/>
    <w:rsid w:val="00C23245"/>
    <w:rsid w:val="00C23BC8"/>
    <w:rsid w:val="00C24F10"/>
    <w:rsid w:val="00C251BD"/>
    <w:rsid w:val="00C25297"/>
    <w:rsid w:val="00C255B3"/>
    <w:rsid w:val="00C25707"/>
    <w:rsid w:val="00C30576"/>
    <w:rsid w:val="00C31DB2"/>
    <w:rsid w:val="00C320AD"/>
    <w:rsid w:val="00C32A31"/>
    <w:rsid w:val="00C33B83"/>
    <w:rsid w:val="00C33FF4"/>
    <w:rsid w:val="00C3640C"/>
    <w:rsid w:val="00C370FA"/>
    <w:rsid w:val="00C424E5"/>
    <w:rsid w:val="00C425E0"/>
    <w:rsid w:val="00C4268B"/>
    <w:rsid w:val="00C42E85"/>
    <w:rsid w:val="00C43023"/>
    <w:rsid w:val="00C43987"/>
    <w:rsid w:val="00C43F5F"/>
    <w:rsid w:val="00C4442B"/>
    <w:rsid w:val="00C44903"/>
    <w:rsid w:val="00C45BA7"/>
    <w:rsid w:val="00C468A1"/>
    <w:rsid w:val="00C47162"/>
    <w:rsid w:val="00C47C27"/>
    <w:rsid w:val="00C47D56"/>
    <w:rsid w:val="00C47E30"/>
    <w:rsid w:val="00C50E18"/>
    <w:rsid w:val="00C51239"/>
    <w:rsid w:val="00C52A20"/>
    <w:rsid w:val="00C53EB8"/>
    <w:rsid w:val="00C54733"/>
    <w:rsid w:val="00C55AF9"/>
    <w:rsid w:val="00C563B1"/>
    <w:rsid w:val="00C5674F"/>
    <w:rsid w:val="00C5727E"/>
    <w:rsid w:val="00C57BD3"/>
    <w:rsid w:val="00C61F18"/>
    <w:rsid w:val="00C62468"/>
    <w:rsid w:val="00C624BF"/>
    <w:rsid w:val="00C626A4"/>
    <w:rsid w:val="00C65BE2"/>
    <w:rsid w:val="00C7083F"/>
    <w:rsid w:val="00C71C73"/>
    <w:rsid w:val="00C71DE0"/>
    <w:rsid w:val="00C7350A"/>
    <w:rsid w:val="00C7494F"/>
    <w:rsid w:val="00C74AC3"/>
    <w:rsid w:val="00C76709"/>
    <w:rsid w:val="00C77332"/>
    <w:rsid w:val="00C77678"/>
    <w:rsid w:val="00C77D32"/>
    <w:rsid w:val="00C8093A"/>
    <w:rsid w:val="00C80F5D"/>
    <w:rsid w:val="00C81118"/>
    <w:rsid w:val="00C82502"/>
    <w:rsid w:val="00C85500"/>
    <w:rsid w:val="00C85B3F"/>
    <w:rsid w:val="00C86C9E"/>
    <w:rsid w:val="00C87C96"/>
    <w:rsid w:val="00C902B7"/>
    <w:rsid w:val="00C908FA"/>
    <w:rsid w:val="00C90BFF"/>
    <w:rsid w:val="00C91068"/>
    <w:rsid w:val="00C91A57"/>
    <w:rsid w:val="00C93D27"/>
    <w:rsid w:val="00C97700"/>
    <w:rsid w:val="00C97AE9"/>
    <w:rsid w:val="00C97F9E"/>
    <w:rsid w:val="00CA0109"/>
    <w:rsid w:val="00CA039E"/>
    <w:rsid w:val="00CA2EE9"/>
    <w:rsid w:val="00CA305E"/>
    <w:rsid w:val="00CA40DA"/>
    <w:rsid w:val="00CA4552"/>
    <w:rsid w:val="00CA469B"/>
    <w:rsid w:val="00CA4F32"/>
    <w:rsid w:val="00CA5FAC"/>
    <w:rsid w:val="00CA67AA"/>
    <w:rsid w:val="00CA6BEA"/>
    <w:rsid w:val="00CA6C98"/>
    <w:rsid w:val="00CA7446"/>
    <w:rsid w:val="00CA7CB6"/>
    <w:rsid w:val="00CB08CF"/>
    <w:rsid w:val="00CB0B8D"/>
    <w:rsid w:val="00CB1053"/>
    <w:rsid w:val="00CB1BEB"/>
    <w:rsid w:val="00CB2AAD"/>
    <w:rsid w:val="00CB3639"/>
    <w:rsid w:val="00CB38BB"/>
    <w:rsid w:val="00CB3980"/>
    <w:rsid w:val="00CB3EAE"/>
    <w:rsid w:val="00CB41FF"/>
    <w:rsid w:val="00CB6B64"/>
    <w:rsid w:val="00CB734B"/>
    <w:rsid w:val="00CB7D08"/>
    <w:rsid w:val="00CC1512"/>
    <w:rsid w:val="00CC177E"/>
    <w:rsid w:val="00CC2BF7"/>
    <w:rsid w:val="00CC3900"/>
    <w:rsid w:val="00CC3ACA"/>
    <w:rsid w:val="00CC419D"/>
    <w:rsid w:val="00CC4D0F"/>
    <w:rsid w:val="00CC5B4F"/>
    <w:rsid w:val="00CC6838"/>
    <w:rsid w:val="00CC710C"/>
    <w:rsid w:val="00CC76F9"/>
    <w:rsid w:val="00CD1C18"/>
    <w:rsid w:val="00CD1C27"/>
    <w:rsid w:val="00CD2335"/>
    <w:rsid w:val="00CD55DC"/>
    <w:rsid w:val="00CE0197"/>
    <w:rsid w:val="00CE0D18"/>
    <w:rsid w:val="00CE15A4"/>
    <w:rsid w:val="00CE15EE"/>
    <w:rsid w:val="00CE193E"/>
    <w:rsid w:val="00CE22C8"/>
    <w:rsid w:val="00CE24D2"/>
    <w:rsid w:val="00CE388E"/>
    <w:rsid w:val="00CE4285"/>
    <w:rsid w:val="00CE4BAB"/>
    <w:rsid w:val="00CE4C2F"/>
    <w:rsid w:val="00CE5775"/>
    <w:rsid w:val="00CE5815"/>
    <w:rsid w:val="00CE5992"/>
    <w:rsid w:val="00CE5CF4"/>
    <w:rsid w:val="00CE5DA9"/>
    <w:rsid w:val="00CE6670"/>
    <w:rsid w:val="00CE6703"/>
    <w:rsid w:val="00CE697D"/>
    <w:rsid w:val="00CF032B"/>
    <w:rsid w:val="00CF0331"/>
    <w:rsid w:val="00CF1F5A"/>
    <w:rsid w:val="00CF2F20"/>
    <w:rsid w:val="00CF391D"/>
    <w:rsid w:val="00CF3946"/>
    <w:rsid w:val="00CF4246"/>
    <w:rsid w:val="00CF5DE5"/>
    <w:rsid w:val="00CF6E10"/>
    <w:rsid w:val="00D00EDE"/>
    <w:rsid w:val="00D0178C"/>
    <w:rsid w:val="00D02438"/>
    <w:rsid w:val="00D03042"/>
    <w:rsid w:val="00D03A15"/>
    <w:rsid w:val="00D04246"/>
    <w:rsid w:val="00D04B0B"/>
    <w:rsid w:val="00D04BAE"/>
    <w:rsid w:val="00D05699"/>
    <w:rsid w:val="00D05915"/>
    <w:rsid w:val="00D06D50"/>
    <w:rsid w:val="00D07054"/>
    <w:rsid w:val="00D11284"/>
    <w:rsid w:val="00D11541"/>
    <w:rsid w:val="00D11B47"/>
    <w:rsid w:val="00D125E0"/>
    <w:rsid w:val="00D160F5"/>
    <w:rsid w:val="00D16992"/>
    <w:rsid w:val="00D16F64"/>
    <w:rsid w:val="00D17DB2"/>
    <w:rsid w:val="00D204D1"/>
    <w:rsid w:val="00D20DA6"/>
    <w:rsid w:val="00D20E73"/>
    <w:rsid w:val="00D21B73"/>
    <w:rsid w:val="00D23896"/>
    <w:rsid w:val="00D25409"/>
    <w:rsid w:val="00D270C5"/>
    <w:rsid w:val="00D27DFC"/>
    <w:rsid w:val="00D32022"/>
    <w:rsid w:val="00D3260A"/>
    <w:rsid w:val="00D3279A"/>
    <w:rsid w:val="00D32B5E"/>
    <w:rsid w:val="00D33750"/>
    <w:rsid w:val="00D33AA6"/>
    <w:rsid w:val="00D349A5"/>
    <w:rsid w:val="00D35DDA"/>
    <w:rsid w:val="00D37779"/>
    <w:rsid w:val="00D40A87"/>
    <w:rsid w:val="00D41AEB"/>
    <w:rsid w:val="00D427AE"/>
    <w:rsid w:val="00D4488E"/>
    <w:rsid w:val="00D45847"/>
    <w:rsid w:val="00D46766"/>
    <w:rsid w:val="00D47878"/>
    <w:rsid w:val="00D5133D"/>
    <w:rsid w:val="00D516C5"/>
    <w:rsid w:val="00D51848"/>
    <w:rsid w:val="00D51C40"/>
    <w:rsid w:val="00D51E42"/>
    <w:rsid w:val="00D52C85"/>
    <w:rsid w:val="00D52FC0"/>
    <w:rsid w:val="00D5306D"/>
    <w:rsid w:val="00D5378A"/>
    <w:rsid w:val="00D5423D"/>
    <w:rsid w:val="00D54492"/>
    <w:rsid w:val="00D54667"/>
    <w:rsid w:val="00D546DE"/>
    <w:rsid w:val="00D54E02"/>
    <w:rsid w:val="00D5527D"/>
    <w:rsid w:val="00D55ACE"/>
    <w:rsid w:val="00D56E32"/>
    <w:rsid w:val="00D57F84"/>
    <w:rsid w:val="00D604C7"/>
    <w:rsid w:val="00D604CC"/>
    <w:rsid w:val="00D60540"/>
    <w:rsid w:val="00D60A92"/>
    <w:rsid w:val="00D61C68"/>
    <w:rsid w:val="00D61F22"/>
    <w:rsid w:val="00D629A6"/>
    <w:rsid w:val="00D63C48"/>
    <w:rsid w:val="00D6406B"/>
    <w:rsid w:val="00D647A6"/>
    <w:rsid w:val="00D64C74"/>
    <w:rsid w:val="00D656F0"/>
    <w:rsid w:val="00D66267"/>
    <w:rsid w:val="00D66C26"/>
    <w:rsid w:val="00D676FC"/>
    <w:rsid w:val="00D67979"/>
    <w:rsid w:val="00D67A4D"/>
    <w:rsid w:val="00D67C4A"/>
    <w:rsid w:val="00D71636"/>
    <w:rsid w:val="00D71A49"/>
    <w:rsid w:val="00D71D83"/>
    <w:rsid w:val="00D71F38"/>
    <w:rsid w:val="00D72435"/>
    <w:rsid w:val="00D72679"/>
    <w:rsid w:val="00D726ED"/>
    <w:rsid w:val="00D763A2"/>
    <w:rsid w:val="00D77797"/>
    <w:rsid w:val="00D8014F"/>
    <w:rsid w:val="00D80DF2"/>
    <w:rsid w:val="00D8156D"/>
    <w:rsid w:val="00D816F4"/>
    <w:rsid w:val="00D817F9"/>
    <w:rsid w:val="00D81E01"/>
    <w:rsid w:val="00D8201F"/>
    <w:rsid w:val="00D820A6"/>
    <w:rsid w:val="00D82922"/>
    <w:rsid w:val="00D84585"/>
    <w:rsid w:val="00D85226"/>
    <w:rsid w:val="00D853F0"/>
    <w:rsid w:val="00D85578"/>
    <w:rsid w:val="00D85786"/>
    <w:rsid w:val="00D85ADB"/>
    <w:rsid w:val="00D863CB"/>
    <w:rsid w:val="00D877DB"/>
    <w:rsid w:val="00D92598"/>
    <w:rsid w:val="00D92AC7"/>
    <w:rsid w:val="00D931E0"/>
    <w:rsid w:val="00D93C6E"/>
    <w:rsid w:val="00D94EAB"/>
    <w:rsid w:val="00D96DC3"/>
    <w:rsid w:val="00D97361"/>
    <w:rsid w:val="00D973C9"/>
    <w:rsid w:val="00DA0AB9"/>
    <w:rsid w:val="00DA0F30"/>
    <w:rsid w:val="00DA11BA"/>
    <w:rsid w:val="00DA13DF"/>
    <w:rsid w:val="00DA2017"/>
    <w:rsid w:val="00DA2E83"/>
    <w:rsid w:val="00DA4ECA"/>
    <w:rsid w:val="00DA52A5"/>
    <w:rsid w:val="00DA5996"/>
    <w:rsid w:val="00DA5FD4"/>
    <w:rsid w:val="00DA63D8"/>
    <w:rsid w:val="00DA67D1"/>
    <w:rsid w:val="00DB0CEB"/>
    <w:rsid w:val="00DB0F0C"/>
    <w:rsid w:val="00DB1002"/>
    <w:rsid w:val="00DB1C33"/>
    <w:rsid w:val="00DB1F67"/>
    <w:rsid w:val="00DB242C"/>
    <w:rsid w:val="00DB28B5"/>
    <w:rsid w:val="00DB2D35"/>
    <w:rsid w:val="00DB2E46"/>
    <w:rsid w:val="00DB3357"/>
    <w:rsid w:val="00DB494A"/>
    <w:rsid w:val="00DB51C3"/>
    <w:rsid w:val="00DB6020"/>
    <w:rsid w:val="00DB67F9"/>
    <w:rsid w:val="00DB6943"/>
    <w:rsid w:val="00DB7139"/>
    <w:rsid w:val="00DB7801"/>
    <w:rsid w:val="00DB7FE0"/>
    <w:rsid w:val="00DC253A"/>
    <w:rsid w:val="00DC2650"/>
    <w:rsid w:val="00DC39B9"/>
    <w:rsid w:val="00DC449F"/>
    <w:rsid w:val="00DC468C"/>
    <w:rsid w:val="00DC59AF"/>
    <w:rsid w:val="00DC629B"/>
    <w:rsid w:val="00DC6592"/>
    <w:rsid w:val="00DC680F"/>
    <w:rsid w:val="00DC6E6D"/>
    <w:rsid w:val="00DC6EC5"/>
    <w:rsid w:val="00DD0378"/>
    <w:rsid w:val="00DD0F42"/>
    <w:rsid w:val="00DD1120"/>
    <w:rsid w:val="00DD14C2"/>
    <w:rsid w:val="00DD29B0"/>
    <w:rsid w:val="00DD342E"/>
    <w:rsid w:val="00DD49FB"/>
    <w:rsid w:val="00DD4E6D"/>
    <w:rsid w:val="00DD5090"/>
    <w:rsid w:val="00DD52A1"/>
    <w:rsid w:val="00DD644B"/>
    <w:rsid w:val="00DD7200"/>
    <w:rsid w:val="00DD7510"/>
    <w:rsid w:val="00DE09F8"/>
    <w:rsid w:val="00DE186B"/>
    <w:rsid w:val="00DE1D13"/>
    <w:rsid w:val="00DE23C1"/>
    <w:rsid w:val="00DE24F9"/>
    <w:rsid w:val="00DE26A0"/>
    <w:rsid w:val="00DE2CCF"/>
    <w:rsid w:val="00DE418A"/>
    <w:rsid w:val="00DE4381"/>
    <w:rsid w:val="00DE478A"/>
    <w:rsid w:val="00DE4955"/>
    <w:rsid w:val="00DE5BDE"/>
    <w:rsid w:val="00DE5F32"/>
    <w:rsid w:val="00DE694F"/>
    <w:rsid w:val="00DE76C0"/>
    <w:rsid w:val="00DE7A56"/>
    <w:rsid w:val="00DF0AE9"/>
    <w:rsid w:val="00DF10F2"/>
    <w:rsid w:val="00DF1D77"/>
    <w:rsid w:val="00DF1F73"/>
    <w:rsid w:val="00DF21DA"/>
    <w:rsid w:val="00DF32E2"/>
    <w:rsid w:val="00DF392D"/>
    <w:rsid w:val="00DF3958"/>
    <w:rsid w:val="00DF3A31"/>
    <w:rsid w:val="00DF5A99"/>
    <w:rsid w:val="00DF5DA1"/>
    <w:rsid w:val="00DF5EC4"/>
    <w:rsid w:val="00DF6675"/>
    <w:rsid w:val="00DF6E57"/>
    <w:rsid w:val="00E011E8"/>
    <w:rsid w:val="00E02787"/>
    <w:rsid w:val="00E03115"/>
    <w:rsid w:val="00E035E8"/>
    <w:rsid w:val="00E0376A"/>
    <w:rsid w:val="00E0449C"/>
    <w:rsid w:val="00E0503B"/>
    <w:rsid w:val="00E05546"/>
    <w:rsid w:val="00E0652C"/>
    <w:rsid w:val="00E07810"/>
    <w:rsid w:val="00E07C95"/>
    <w:rsid w:val="00E10A52"/>
    <w:rsid w:val="00E10CA8"/>
    <w:rsid w:val="00E1126F"/>
    <w:rsid w:val="00E115FB"/>
    <w:rsid w:val="00E13D9B"/>
    <w:rsid w:val="00E143CF"/>
    <w:rsid w:val="00E14523"/>
    <w:rsid w:val="00E14EB8"/>
    <w:rsid w:val="00E1509A"/>
    <w:rsid w:val="00E16751"/>
    <w:rsid w:val="00E1681E"/>
    <w:rsid w:val="00E16ADA"/>
    <w:rsid w:val="00E17556"/>
    <w:rsid w:val="00E17EEA"/>
    <w:rsid w:val="00E17F50"/>
    <w:rsid w:val="00E2173A"/>
    <w:rsid w:val="00E226F4"/>
    <w:rsid w:val="00E2283E"/>
    <w:rsid w:val="00E22B73"/>
    <w:rsid w:val="00E232A0"/>
    <w:rsid w:val="00E2439A"/>
    <w:rsid w:val="00E24633"/>
    <w:rsid w:val="00E24881"/>
    <w:rsid w:val="00E2536D"/>
    <w:rsid w:val="00E25954"/>
    <w:rsid w:val="00E2678E"/>
    <w:rsid w:val="00E27C89"/>
    <w:rsid w:val="00E3088E"/>
    <w:rsid w:val="00E3138C"/>
    <w:rsid w:val="00E330E5"/>
    <w:rsid w:val="00E338D1"/>
    <w:rsid w:val="00E33B67"/>
    <w:rsid w:val="00E343A0"/>
    <w:rsid w:val="00E34AD9"/>
    <w:rsid w:val="00E34E3C"/>
    <w:rsid w:val="00E34F07"/>
    <w:rsid w:val="00E402A4"/>
    <w:rsid w:val="00E4152A"/>
    <w:rsid w:val="00E41888"/>
    <w:rsid w:val="00E4285D"/>
    <w:rsid w:val="00E44760"/>
    <w:rsid w:val="00E44FC2"/>
    <w:rsid w:val="00E46AA5"/>
    <w:rsid w:val="00E50589"/>
    <w:rsid w:val="00E50A4A"/>
    <w:rsid w:val="00E533B5"/>
    <w:rsid w:val="00E533DD"/>
    <w:rsid w:val="00E54269"/>
    <w:rsid w:val="00E55C4C"/>
    <w:rsid w:val="00E56E26"/>
    <w:rsid w:val="00E57058"/>
    <w:rsid w:val="00E57A64"/>
    <w:rsid w:val="00E61429"/>
    <w:rsid w:val="00E63DC2"/>
    <w:rsid w:val="00E6408A"/>
    <w:rsid w:val="00E640AE"/>
    <w:rsid w:val="00E640B3"/>
    <w:rsid w:val="00E6435D"/>
    <w:rsid w:val="00E64399"/>
    <w:rsid w:val="00E6453B"/>
    <w:rsid w:val="00E64AAB"/>
    <w:rsid w:val="00E664E6"/>
    <w:rsid w:val="00E66931"/>
    <w:rsid w:val="00E669D5"/>
    <w:rsid w:val="00E66B77"/>
    <w:rsid w:val="00E67435"/>
    <w:rsid w:val="00E67640"/>
    <w:rsid w:val="00E679FF"/>
    <w:rsid w:val="00E67F3E"/>
    <w:rsid w:val="00E73C96"/>
    <w:rsid w:val="00E7437E"/>
    <w:rsid w:val="00E74F92"/>
    <w:rsid w:val="00E757FB"/>
    <w:rsid w:val="00E76037"/>
    <w:rsid w:val="00E76D78"/>
    <w:rsid w:val="00E77A67"/>
    <w:rsid w:val="00E77CC9"/>
    <w:rsid w:val="00E80DBD"/>
    <w:rsid w:val="00E81C53"/>
    <w:rsid w:val="00E82DF3"/>
    <w:rsid w:val="00E83902"/>
    <w:rsid w:val="00E83D84"/>
    <w:rsid w:val="00E841C4"/>
    <w:rsid w:val="00E844CF"/>
    <w:rsid w:val="00E84620"/>
    <w:rsid w:val="00E84952"/>
    <w:rsid w:val="00E85031"/>
    <w:rsid w:val="00E85816"/>
    <w:rsid w:val="00E866C3"/>
    <w:rsid w:val="00E87106"/>
    <w:rsid w:val="00E87B19"/>
    <w:rsid w:val="00E903CA"/>
    <w:rsid w:val="00E905A5"/>
    <w:rsid w:val="00E90EA4"/>
    <w:rsid w:val="00E90FF3"/>
    <w:rsid w:val="00E9136F"/>
    <w:rsid w:val="00E9291F"/>
    <w:rsid w:val="00E93740"/>
    <w:rsid w:val="00E94184"/>
    <w:rsid w:val="00E94689"/>
    <w:rsid w:val="00E9512E"/>
    <w:rsid w:val="00E95F62"/>
    <w:rsid w:val="00E95F93"/>
    <w:rsid w:val="00E96641"/>
    <w:rsid w:val="00E96B01"/>
    <w:rsid w:val="00E96C20"/>
    <w:rsid w:val="00E972FF"/>
    <w:rsid w:val="00EA0334"/>
    <w:rsid w:val="00EA23B7"/>
    <w:rsid w:val="00EA2F29"/>
    <w:rsid w:val="00EA3372"/>
    <w:rsid w:val="00EA5CB4"/>
    <w:rsid w:val="00EA6BC5"/>
    <w:rsid w:val="00EA7159"/>
    <w:rsid w:val="00EB05F6"/>
    <w:rsid w:val="00EB1506"/>
    <w:rsid w:val="00EB15A3"/>
    <w:rsid w:val="00EB28D8"/>
    <w:rsid w:val="00EB31EB"/>
    <w:rsid w:val="00EB3A4A"/>
    <w:rsid w:val="00EB45DE"/>
    <w:rsid w:val="00EB5FAA"/>
    <w:rsid w:val="00EB60FB"/>
    <w:rsid w:val="00EC061B"/>
    <w:rsid w:val="00EC1D6F"/>
    <w:rsid w:val="00EC2D6C"/>
    <w:rsid w:val="00EC2D73"/>
    <w:rsid w:val="00EC4A4D"/>
    <w:rsid w:val="00EC5936"/>
    <w:rsid w:val="00EC5E48"/>
    <w:rsid w:val="00EC64FA"/>
    <w:rsid w:val="00EC6E97"/>
    <w:rsid w:val="00EC77DA"/>
    <w:rsid w:val="00EC7BC0"/>
    <w:rsid w:val="00ED294C"/>
    <w:rsid w:val="00ED29F8"/>
    <w:rsid w:val="00ED2BA6"/>
    <w:rsid w:val="00ED2BBA"/>
    <w:rsid w:val="00ED3012"/>
    <w:rsid w:val="00ED335B"/>
    <w:rsid w:val="00ED3B78"/>
    <w:rsid w:val="00ED3EAC"/>
    <w:rsid w:val="00ED4C9F"/>
    <w:rsid w:val="00ED532F"/>
    <w:rsid w:val="00ED602F"/>
    <w:rsid w:val="00ED69D4"/>
    <w:rsid w:val="00ED6A74"/>
    <w:rsid w:val="00EE17A0"/>
    <w:rsid w:val="00EE19D0"/>
    <w:rsid w:val="00EE2DE2"/>
    <w:rsid w:val="00EE3122"/>
    <w:rsid w:val="00EE37A6"/>
    <w:rsid w:val="00EE3898"/>
    <w:rsid w:val="00EE5312"/>
    <w:rsid w:val="00EE65E6"/>
    <w:rsid w:val="00EE78E9"/>
    <w:rsid w:val="00EF0234"/>
    <w:rsid w:val="00EF2559"/>
    <w:rsid w:val="00EF25B4"/>
    <w:rsid w:val="00EF27E0"/>
    <w:rsid w:val="00EF388F"/>
    <w:rsid w:val="00EF3AEC"/>
    <w:rsid w:val="00EF425C"/>
    <w:rsid w:val="00EF4ABE"/>
    <w:rsid w:val="00EF501C"/>
    <w:rsid w:val="00EF51C1"/>
    <w:rsid w:val="00EF5A28"/>
    <w:rsid w:val="00EF5E44"/>
    <w:rsid w:val="00EF5E51"/>
    <w:rsid w:val="00EF6BE6"/>
    <w:rsid w:val="00EF6FDD"/>
    <w:rsid w:val="00EF7702"/>
    <w:rsid w:val="00EF7EBA"/>
    <w:rsid w:val="00F00012"/>
    <w:rsid w:val="00F004F4"/>
    <w:rsid w:val="00F024BA"/>
    <w:rsid w:val="00F02667"/>
    <w:rsid w:val="00F02A61"/>
    <w:rsid w:val="00F02B2D"/>
    <w:rsid w:val="00F02C37"/>
    <w:rsid w:val="00F05630"/>
    <w:rsid w:val="00F06B45"/>
    <w:rsid w:val="00F06BBF"/>
    <w:rsid w:val="00F0733B"/>
    <w:rsid w:val="00F075EC"/>
    <w:rsid w:val="00F07B19"/>
    <w:rsid w:val="00F10616"/>
    <w:rsid w:val="00F10EF5"/>
    <w:rsid w:val="00F11455"/>
    <w:rsid w:val="00F121EC"/>
    <w:rsid w:val="00F12281"/>
    <w:rsid w:val="00F12B66"/>
    <w:rsid w:val="00F12E3B"/>
    <w:rsid w:val="00F12EAB"/>
    <w:rsid w:val="00F14300"/>
    <w:rsid w:val="00F14F57"/>
    <w:rsid w:val="00F154B9"/>
    <w:rsid w:val="00F16BC7"/>
    <w:rsid w:val="00F17777"/>
    <w:rsid w:val="00F17791"/>
    <w:rsid w:val="00F17994"/>
    <w:rsid w:val="00F20519"/>
    <w:rsid w:val="00F20F2D"/>
    <w:rsid w:val="00F22849"/>
    <w:rsid w:val="00F22D2E"/>
    <w:rsid w:val="00F2312F"/>
    <w:rsid w:val="00F24C51"/>
    <w:rsid w:val="00F24CB6"/>
    <w:rsid w:val="00F27119"/>
    <w:rsid w:val="00F27827"/>
    <w:rsid w:val="00F279AE"/>
    <w:rsid w:val="00F279B8"/>
    <w:rsid w:val="00F27B72"/>
    <w:rsid w:val="00F27D1C"/>
    <w:rsid w:val="00F30805"/>
    <w:rsid w:val="00F30CFF"/>
    <w:rsid w:val="00F311AB"/>
    <w:rsid w:val="00F317D8"/>
    <w:rsid w:val="00F31C06"/>
    <w:rsid w:val="00F32E27"/>
    <w:rsid w:val="00F33E15"/>
    <w:rsid w:val="00F34CCE"/>
    <w:rsid w:val="00F3560E"/>
    <w:rsid w:val="00F35BE5"/>
    <w:rsid w:val="00F370DC"/>
    <w:rsid w:val="00F374D3"/>
    <w:rsid w:val="00F37E4B"/>
    <w:rsid w:val="00F413ED"/>
    <w:rsid w:val="00F41FF6"/>
    <w:rsid w:val="00F424D9"/>
    <w:rsid w:val="00F42B90"/>
    <w:rsid w:val="00F45188"/>
    <w:rsid w:val="00F454F8"/>
    <w:rsid w:val="00F45AFE"/>
    <w:rsid w:val="00F45FC5"/>
    <w:rsid w:val="00F468DF"/>
    <w:rsid w:val="00F46AB6"/>
    <w:rsid w:val="00F46E6D"/>
    <w:rsid w:val="00F46FF3"/>
    <w:rsid w:val="00F4732A"/>
    <w:rsid w:val="00F475F9"/>
    <w:rsid w:val="00F5016F"/>
    <w:rsid w:val="00F51223"/>
    <w:rsid w:val="00F51693"/>
    <w:rsid w:val="00F51C16"/>
    <w:rsid w:val="00F522C9"/>
    <w:rsid w:val="00F52354"/>
    <w:rsid w:val="00F52E82"/>
    <w:rsid w:val="00F52F32"/>
    <w:rsid w:val="00F52F8B"/>
    <w:rsid w:val="00F53C12"/>
    <w:rsid w:val="00F54528"/>
    <w:rsid w:val="00F574BE"/>
    <w:rsid w:val="00F57605"/>
    <w:rsid w:val="00F57857"/>
    <w:rsid w:val="00F60F6D"/>
    <w:rsid w:val="00F60FF3"/>
    <w:rsid w:val="00F63737"/>
    <w:rsid w:val="00F63E12"/>
    <w:rsid w:val="00F63E90"/>
    <w:rsid w:val="00F64111"/>
    <w:rsid w:val="00F64234"/>
    <w:rsid w:val="00F644C0"/>
    <w:rsid w:val="00F64EA7"/>
    <w:rsid w:val="00F64F27"/>
    <w:rsid w:val="00F658DD"/>
    <w:rsid w:val="00F65A9E"/>
    <w:rsid w:val="00F66AFA"/>
    <w:rsid w:val="00F66E3F"/>
    <w:rsid w:val="00F6722E"/>
    <w:rsid w:val="00F67A31"/>
    <w:rsid w:val="00F7086F"/>
    <w:rsid w:val="00F7254A"/>
    <w:rsid w:val="00F72780"/>
    <w:rsid w:val="00F72A4C"/>
    <w:rsid w:val="00F7319C"/>
    <w:rsid w:val="00F74037"/>
    <w:rsid w:val="00F74C5F"/>
    <w:rsid w:val="00F74DF6"/>
    <w:rsid w:val="00F74F91"/>
    <w:rsid w:val="00F752F5"/>
    <w:rsid w:val="00F76595"/>
    <w:rsid w:val="00F76BF9"/>
    <w:rsid w:val="00F776AD"/>
    <w:rsid w:val="00F7788B"/>
    <w:rsid w:val="00F80324"/>
    <w:rsid w:val="00F80AFC"/>
    <w:rsid w:val="00F815E2"/>
    <w:rsid w:val="00F81F18"/>
    <w:rsid w:val="00F8202A"/>
    <w:rsid w:val="00F83F40"/>
    <w:rsid w:val="00F8406D"/>
    <w:rsid w:val="00F864DE"/>
    <w:rsid w:val="00F86EE8"/>
    <w:rsid w:val="00F8725A"/>
    <w:rsid w:val="00F906D9"/>
    <w:rsid w:val="00F93522"/>
    <w:rsid w:val="00F95296"/>
    <w:rsid w:val="00F95BBB"/>
    <w:rsid w:val="00F96B9B"/>
    <w:rsid w:val="00F96BF4"/>
    <w:rsid w:val="00F97501"/>
    <w:rsid w:val="00F97C2E"/>
    <w:rsid w:val="00FA00A3"/>
    <w:rsid w:val="00FA2BC4"/>
    <w:rsid w:val="00FA2C0E"/>
    <w:rsid w:val="00FA2E62"/>
    <w:rsid w:val="00FA44BB"/>
    <w:rsid w:val="00FA4D9F"/>
    <w:rsid w:val="00FA55D8"/>
    <w:rsid w:val="00FA649B"/>
    <w:rsid w:val="00FA6F45"/>
    <w:rsid w:val="00FA76DD"/>
    <w:rsid w:val="00FA7C66"/>
    <w:rsid w:val="00FB11A9"/>
    <w:rsid w:val="00FB2512"/>
    <w:rsid w:val="00FB33BB"/>
    <w:rsid w:val="00FB3AAB"/>
    <w:rsid w:val="00FB504D"/>
    <w:rsid w:val="00FB675B"/>
    <w:rsid w:val="00FB6BCF"/>
    <w:rsid w:val="00FC22EE"/>
    <w:rsid w:val="00FC27C7"/>
    <w:rsid w:val="00FC29D8"/>
    <w:rsid w:val="00FC3E1B"/>
    <w:rsid w:val="00FC433D"/>
    <w:rsid w:val="00FC5C04"/>
    <w:rsid w:val="00FC64B2"/>
    <w:rsid w:val="00FC6D5E"/>
    <w:rsid w:val="00FC6F84"/>
    <w:rsid w:val="00FC79BF"/>
    <w:rsid w:val="00FC7EEC"/>
    <w:rsid w:val="00FD186F"/>
    <w:rsid w:val="00FD1A2D"/>
    <w:rsid w:val="00FD1D8D"/>
    <w:rsid w:val="00FD1EC1"/>
    <w:rsid w:val="00FD1FB4"/>
    <w:rsid w:val="00FD2D95"/>
    <w:rsid w:val="00FD34CB"/>
    <w:rsid w:val="00FD3C90"/>
    <w:rsid w:val="00FD48CD"/>
    <w:rsid w:val="00FD4EA5"/>
    <w:rsid w:val="00FD5DD2"/>
    <w:rsid w:val="00FD6970"/>
    <w:rsid w:val="00FD7462"/>
    <w:rsid w:val="00FD7685"/>
    <w:rsid w:val="00FE1E05"/>
    <w:rsid w:val="00FE3D9B"/>
    <w:rsid w:val="00FE4955"/>
    <w:rsid w:val="00FE4E2B"/>
    <w:rsid w:val="00FE4EF4"/>
    <w:rsid w:val="00FE557D"/>
    <w:rsid w:val="00FE56BD"/>
    <w:rsid w:val="00FE67EC"/>
    <w:rsid w:val="00FE6A36"/>
    <w:rsid w:val="00FE7F60"/>
    <w:rsid w:val="00FF02C2"/>
    <w:rsid w:val="00FF1AC4"/>
    <w:rsid w:val="00FF2A35"/>
    <w:rsid w:val="00FF318A"/>
    <w:rsid w:val="00FF4364"/>
    <w:rsid w:val="00FF4DCB"/>
    <w:rsid w:val="00FF504A"/>
    <w:rsid w:val="00FF54FB"/>
    <w:rsid w:val="00FF5880"/>
    <w:rsid w:val="00FF5C55"/>
    <w:rsid w:val="00FF63BB"/>
    <w:rsid w:val="00FF644C"/>
    <w:rsid w:val="00FF7320"/>
    <w:rsid w:val="013A2793"/>
    <w:rsid w:val="0156026D"/>
    <w:rsid w:val="018F38F6"/>
    <w:rsid w:val="01E90844"/>
    <w:rsid w:val="022A608E"/>
    <w:rsid w:val="022E26FA"/>
    <w:rsid w:val="02511314"/>
    <w:rsid w:val="032B6239"/>
    <w:rsid w:val="03443858"/>
    <w:rsid w:val="035911A8"/>
    <w:rsid w:val="035D4076"/>
    <w:rsid w:val="036A4F37"/>
    <w:rsid w:val="0392072B"/>
    <w:rsid w:val="03A74512"/>
    <w:rsid w:val="03AA5DB1"/>
    <w:rsid w:val="04395055"/>
    <w:rsid w:val="047C20F3"/>
    <w:rsid w:val="0481143B"/>
    <w:rsid w:val="04954AC7"/>
    <w:rsid w:val="04964902"/>
    <w:rsid w:val="04BF2C00"/>
    <w:rsid w:val="04D70E27"/>
    <w:rsid w:val="05212A41"/>
    <w:rsid w:val="05300538"/>
    <w:rsid w:val="054162A1"/>
    <w:rsid w:val="0578144E"/>
    <w:rsid w:val="05B42F17"/>
    <w:rsid w:val="05D90BCF"/>
    <w:rsid w:val="05DA6E27"/>
    <w:rsid w:val="06513492"/>
    <w:rsid w:val="06723D89"/>
    <w:rsid w:val="067C38A5"/>
    <w:rsid w:val="068648B3"/>
    <w:rsid w:val="073C31C4"/>
    <w:rsid w:val="0774124D"/>
    <w:rsid w:val="07766439"/>
    <w:rsid w:val="07A33592"/>
    <w:rsid w:val="07A54038"/>
    <w:rsid w:val="07BF0F29"/>
    <w:rsid w:val="07DA6724"/>
    <w:rsid w:val="086E3851"/>
    <w:rsid w:val="08A07782"/>
    <w:rsid w:val="08A32A73"/>
    <w:rsid w:val="08C571E9"/>
    <w:rsid w:val="08EC0C19"/>
    <w:rsid w:val="097F1E8C"/>
    <w:rsid w:val="09A31262"/>
    <w:rsid w:val="09BC0979"/>
    <w:rsid w:val="0A14667A"/>
    <w:rsid w:val="0A390502"/>
    <w:rsid w:val="0A4171E7"/>
    <w:rsid w:val="0A4F2E9A"/>
    <w:rsid w:val="0A527505"/>
    <w:rsid w:val="0A54652A"/>
    <w:rsid w:val="0A922957"/>
    <w:rsid w:val="0A9D21CB"/>
    <w:rsid w:val="0AC0410C"/>
    <w:rsid w:val="0AC202F5"/>
    <w:rsid w:val="0AFF46CE"/>
    <w:rsid w:val="0B016BFE"/>
    <w:rsid w:val="0B251650"/>
    <w:rsid w:val="0B6151C6"/>
    <w:rsid w:val="0BA80D1B"/>
    <w:rsid w:val="0BAD4690"/>
    <w:rsid w:val="0BB04180"/>
    <w:rsid w:val="0BB665C2"/>
    <w:rsid w:val="0C3C5A14"/>
    <w:rsid w:val="0C7B7B44"/>
    <w:rsid w:val="0C8C699B"/>
    <w:rsid w:val="0C9B7CE9"/>
    <w:rsid w:val="0CA75583"/>
    <w:rsid w:val="0CBA3508"/>
    <w:rsid w:val="0D1321C5"/>
    <w:rsid w:val="0D1C1B16"/>
    <w:rsid w:val="0D5E27C7"/>
    <w:rsid w:val="0D780DE9"/>
    <w:rsid w:val="0DA44D27"/>
    <w:rsid w:val="0DB154A0"/>
    <w:rsid w:val="0E5A619D"/>
    <w:rsid w:val="0E7201B5"/>
    <w:rsid w:val="0E8C4A31"/>
    <w:rsid w:val="0EC3241C"/>
    <w:rsid w:val="0ECA37AB"/>
    <w:rsid w:val="0EF91A2E"/>
    <w:rsid w:val="0EFD435B"/>
    <w:rsid w:val="0F244675"/>
    <w:rsid w:val="0F2A424A"/>
    <w:rsid w:val="0F3B0748"/>
    <w:rsid w:val="0F59068B"/>
    <w:rsid w:val="0F6A4F4A"/>
    <w:rsid w:val="0F7554C5"/>
    <w:rsid w:val="0F7979B8"/>
    <w:rsid w:val="0F9E77FC"/>
    <w:rsid w:val="0FCC70AF"/>
    <w:rsid w:val="10926AB7"/>
    <w:rsid w:val="10AB4BE4"/>
    <w:rsid w:val="10AF2C58"/>
    <w:rsid w:val="10CC380A"/>
    <w:rsid w:val="10CD30DE"/>
    <w:rsid w:val="10D764EC"/>
    <w:rsid w:val="10F42D61"/>
    <w:rsid w:val="11166B93"/>
    <w:rsid w:val="11423ACC"/>
    <w:rsid w:val="11627CCB"/>
    <w:rsid w:val="11C262C0"/>
    <w:rsid w:val="11E54835"/>
    <w:rsid w:val="11F72B09"/>
    <w:rsid w:val="12016786"/>
    <w:rsid w:val="12512C71"/>
    <w:rsid w:val="12521AED"/>
    <w:rsid w:val="12633CFA"/>
    <w:rsid w:val="126E262F"/>
    <w:rsid w:val="12707088"/>
    <w:rsid w:val="128B2F0D"/>
    <w:rsid w:val="12AF0A22"/>
    <w:rsid w:val="12ED7A68"/>
    <w:rsid w:val="13525B1D"/>
    <w:rsid w:val="137A2ED6"/>
    <w:rsid w:val="13A22600"/>
    <w:rsid w:val="13C5610C"/>
    <w:rsid w:val="13D027D0"/>
    <w:rsid w:val="14294AD0"/>
    <w:rsid w:val="1471597C"/>
    <w:rsid w:val="14717CCD"/>
    <w:rsid w:val="148D1503"/>
    <w:rsid w:val="14942DA7"/>
    <w:rsid w:val="14EA1F2A"/>
    <w:rsid w:val="15170DCC"/>
    <w:rsid w:val="154D2B25"/>
    <w:rsid w:val="15C154CF"/>
    <w:rsid w:val="15F317A5"/>
    <w:rsid w:val="15FF0ADE"/>
    <w:rsid w:val="16775FC6"/>
    <w:rsid w:val="16835BB7"/>
    <w:rsid w:val="1684100F"/>
    <w:rsid w:val="16902DC4"/>
    <w:rsid w:val="16A85011"/>
    <w:rsid w:val="16B25250"/>
    <w:rsid w:val="172318A2"/>
    <w:rsid w:val="172F68A1"/>
    <w:rsid w:val="173A3A3F"/>
    <w:rsid w:val="17D31922"/>
    <w:rsid w:val="17D56760"/>
    <w:rsid w:val="186A04B9"/>
    <w:rsid w:val="187379FD"/>
    <w:rsid w:val="187F1162"/>
    <w:rsid w:val="189A7199"/>
    <w:rsid w:val="18F172D7"/>
    <w:rsid w:val="19BF6247"/>
    <w:rsid w:val="19C657F5"/>
    <w:rsid w:val="19E07411"/>
    <w:rsid w:val="19E41BC5"/>
    <w:rsid w:val="19EF6273"/>
    <w:rsid w:val="19FC2552"/>
    <w:rsid w:val="1A0B266A"/>
    <w:rsid w:val="1A12061E"/>
    <w:rsid w:val="1A2367C2"/>
    <w:rsid w:val="1AB94C2D"/>
    <w:rsid w:val="1AD54F08"/>
    <w:rsid w:val="1AE600F4"/>
    <w:rsid w:val="1B4F1DB4"/>
    <w:rsid w:val="1B7451E9"/>
    <w:rsid w:val="1B7E0AB9"/>
    <w:rsid w:val="1B94140F"/>
    <w:rsid w:val="1BD05350"/>
    <w:rsid w:val="1BE93D5B"/>
    <w:rsid w:val="1C00080C"/>
    <w:rsid w:val="1C11391D"/>
    <w:rsid w:val="1CD854DF"/>
    <w:rsid w:val="1CDC3027"/>
    <w:rsid w:val="1D3F5364"/>
    <w:rsid w:val="1D7D3EDE"/>
    <w:rsid w:val="1DA50771"/>
    <w:rsid w:val="1E1B5651"/>
    <w:rsid w:val="1E5C3978"/>
    <w:rsid w:val="1E644592"/>
    <w:rsid w:val="1E7E1EBC"/>
    <w:rsid w:val="1E967736"/>
    <w:rsid w:val="1EB842D7"/>
    <w:rsid w:val="1ED8571C"/>
    <w:rsid w:val="1EFD7285"/>
    <w:rsid w:val="1F784BFC"/>
    <w:rsid w:val="1F792DAF"/>
    <w:rsid w:val="1F896D6A"/>
    <w:rsid w:val="1FB84222"/>
    <w:rsid w:val="1FF24233"/>
    <w:rsid w:val="1FF97A4C"/>
    <w:rsid w:val="20320D85"/>
    <w:rsid w:val="204C5AEC"/>
    <w:rsid w:val="208D0A85"/>
    <w:rsid w:val="210165B1"/>
    <w:rsid w:val="210743EB"/>
    <w:rsid w:val="21204F6E"/>
    <w:rsid w:val="21204FF0"/>
    <w:rsid w:val="214473ED"/>
    <w:rsid w:val="21983295"/>
    <w:rsid w:val="21A4301C"/>
    <w:rsid w:val="21B17FE2"/>
    <w:rsid w:val="21F01F1F"/>
    <w:rsid w:val="222D1C2F"/>
    <w:rsid w:val="224D407F"/>
    <w:rsid w:val="227C6712"/>
    <w:rsid w:val="22B52042"/>
    <w:rsid w:val="22B943E7"/>
    <w:rsid w:val="22EF4F37"/>
    <w:rsid w:val="233252EB"/>
    <w:rsid w:val="233F7E6C"/>
    <w:rsid w:val="23515DF1"/>
    <w:rsid w:val="235A6A54"/>
    <w:rsid w:val="235D4796"/>
    <w:rsid w:val="23767606"/>
    <w:rsid w:val="237C7D5E"/>
    <w:rsid w:val="2389558B"/>
    <w:rsid w:val="23902475"/>
    <w:rsid w:val="23A067C1"/>
    <w:rsid w:val="23A203FB"/>
    <w:rsid w:val="244A6C4D"/>
    <w:rsid w:val="244E3D2D"/>
    <w:rsid w:val="246F652F"/>
    <w:rsid w:val="24A3646D"/>
    <w:rsid w:val="24BE60D3"/>
    <w:rsid w:val="24C67E36"/>
    <w:rsid w:val="24CB7AAA"/>
    <w:rsid w:val="24D32F62"/>
    <w:rsid w:val="24F609FE"/>
    <w:rsid w:val="25824926"/>
    <w:rsid w:val="25AD2581"/>
    <w:rsid w:val="26064C71"/>
    <w:rsid w:val="262B2929"/>
    <w:rsid w:val="263A491A"/>
    <w:rsid w:val="263B7010"/>
    <w:rsid w:val="267E37CA"/>
    <w:rsid w:val="26B96122"/>
    <w:rsid w:val="26BC7A25"/>
    <w:rsid w:val="26FA0563"/>
    <w:rsid w:val="272A498F"/>
    <w:rsid w:val="27644345"/>
    <w:rsid w:val="27C14247"/>
    <w:rsid w:val="27CE5C62"/>
    <w:rsid w:val="280B4196"/>
    <w:rsid w:val="28551EE0"/>
    <w:rsid w:val="28667C49"/>
    <w:rsid w:val="288307FB"/>
    <w:rsid w:val="28B23E2E"/>
    <w:rsid w:val="29177560"/>
    <w:rsid w:val="2934650A"/>
    <w:rsid w:val="29451F54"/>
    <w:rsid w:val="29465E87"/>
    <w:rsid w:val="296F397B"/>
    <w:rsid w:val="29A22F02"/>
    <w:rsid w:val="29A44ECD"/>
    <w:rsid w:val="29D273F6"/>
    <w:rsid w:val="29E96D0E"/>
    <w:rsid w:val="29F076F8"/>
    <w:rsid w:val="2A035437"/>
    <w:rsid w:val="2A443FBA"/>
    <w:rsid w:val="2A602AE0"/>
    <w:rsid w:val="2AA04671"/>
    <w:rsid w:val="2AA65E2B"/>
    <w:rsid w:val="2ABB2C22"/>
    <w:rsid w:val="2AD90BA6"/>
    <w:rsid w:val="2ADA512F"/>
    <w:rsid w:val="2B434271"/>
    <w:rsid w:val="2B765131"/>
    <w:rsid w:val="2BD15D21"/>
    <w:rsid w:val="2C511478"/>
    <w:rsid w:val="2C91021D"/>
    <w:rsid w:val="2C982A58"/>
    <w:rsid w:val="2D051917"/>
    <w:rsid w:val="2D122B4E"/>
    <w:rsid w:val="2D8A43D9"/>
    <w:rsid w:val="2D8C0151"/>
    <w:rsid w:val="2DA336ED"/>
    <w:rsid w:val="2DC132EA"/>
    <w:rsid w:val="2DC43F7D"/>
    <w:rsid w:val="2E084AD9"/>
    <w:rsid w:val="2E7763D7"/>
    <w:rsid w:val="2ED1017B"/>
    <w:rsid w:val="2EE35A97"/>
    <w:rsid w:val="2F087CAC"/>
    <w:rsid w:val="2F21303A"/>
    <w:rsid w:val="2F3C1703"/>
    <w:rsid w:val="2F725125"/>
    <w:rsid w:val="2FA06136"/>
    <w:rsid w:val="2FAA28DE"/>
    <w:rsid w:val="2FF81ACE"/>
    <w:rsid w:val="30297EDA"/>
    <w:rsid w:val="305B205D"/>
    <w:rsid w:val="3062519A"/>
    <w:rsid w:val="30704FFF"/>
    <w:rsid w:val="307373A7"/>
    <w:rsid w:val="30E81B43"/>
    <w:rsid w:val="30EA1F29"/>
    <w:rsid w:val="31726692"/>
    <w:rsid w:val="31B25CAD"/>
    <w:rsid w:val="31F77939"/>
    <w:rsid w:val="321F3964"/>
    <w:rsid w:val="3255145A"/>
    <w:rsid w:val="328C4750"/>
    <w:rsid w:val="32A630D7"/>
    <w:rsid w:val="32F32A21"/>
    <w:rsid w:val="331C5AD4"/>
    <w:rsid w:val="33292BD1"/>
    <w:rsid w:val="33356B95"/>
    <w:rsid w:val="335B4CC5"/>
    <w:rsid w:val="3373707C"/>
    <w:rsid w:val="339A6005"/>
    <w:rsid w:val="33AF6948"/>
    <w:rsid w:val="33C1667B"/>
    <w:rsid w:val="34041715"/>
    <w:rsid w:val="34790D04"/>
    <w:rsid w:val="347C3432"/>
    <w:rsid w:val="347F596E"/>
    <w:rsid w:val="34873421"/>
    <w:rsid w:val="349F1742"/>
    <w:rsid w:val="34A935F3"/>
    <w:rsid w:val="34AA39CC"/>
    <w:rsid w:val="34AE30A3"/>
    <w:rsid w:val="34BA37F6"/>
    <w:rsid w:val="356419B4"/>
    <w:rsid w:val="357A4D33"/>
    <w:rsid w:val="3583494A"/>
    <w:rsid w:val="361B5455"/>
    <w:rsid w:val="36325040"/>
    <w:rsid w:val="366A2FFA"/>
    <w:rsid w:val="36C175C6"/>
    <w:rsid w:val="36E538DC"/>
    <w:rsid w:val="36F34D9D"/>
    <w:rsid w:val="36FB4647"/>
    <w:rsid w:val="370A4EA2"/>
    <w:rsid w:val="371B7C79"/>
    <w:rsid w:val="3797278D"/>
    <w:rsid w:val="379C42AF"/>
    <w:rsid w:val="379C5435"/>
    <w:rsid w:val="37BA5B27"/>
    <w:rsid w:val="37DB2237"/>
    <w:rsid w:val="38117DB1"/>
    <w:rsid w:val="381672D6"/>
    <w:rsid w:val="38351B40"/>
    <w:rsid w:val="384C0455"/>
    <w:rsid w:val="38895DF3"/>
    <w:rsid w:val="389D1465"/>
    <w:rsid w:val="38C52A81"/>
    <w:rsid w:val="38DB01DF"/>
    <w:rsid w:val="38DB6C35"/>
    <w:rsid w:val="38F4304F"/>
    <w:rsid w:val="39162FC5"/>
    <w:rsid w:val="391F00CC"/>
    <w:rsid w:val="392576AC"/>
    <w:rsid w:val="396722FB"/>
    <w:rsid w:val="3978218A"/>
    <w:rsid w:val="398F4694"/>
    <w:rsid w:val="399F120C"/>
    <w:rsid w:val="39C3314D"/>
    <w:rsid w:val="39DD3AE3"/>
    <w:rsid w:val="39FC665F"/>
    <w:rsid w:val="3A4A1178"/>
    <w:rsid w:val="3A816B64"/>
    <w:rsid w:val="3ABC621B"/>
    <w:rsid w:val="3AE27603"/>
    <w:rsid w:val="3B0C65F0"/>
    <w:rsid w:val="3B1E43B3"/>
    <w:rsid w:val="3B680D5D"/>
    <w:rsid w:val="3BA743A8"/>
    <w:rsid w:val="3BAF567D"/>
    <w:rsid w:val="3BF25B5C"/>
    <w:rsid w:val="3BF3242B"/>
    <w:rsid w:val="3C0C42A9"/>
    <w:rsid w:val="3C0F288D"/>
    <w:rsid w:val="3C101F4E"/>
    <w:rsid w:val="3C1A7270"/>
    <w:rsid w:val="3C467402"/>
    <w:rsid w:val="3C6A3D54"/>
    <w:rsid w:val="3CC86CCC"/>
    <w:rsid w:val="3CE16539"/>
    <w:rsid w:val="3D5D7415"/>
    <w:rsid w:val="3DA72764"/>
    <w:rsid w:val="3DAA5519"/>
    <w:rsid w:val="3DAD2B87"/>
    <w:rsid w:val="3DAE5D24"/>
    <w:rsid w:val="3DE5503A"/>
    <w:rsid w:val="3E071210"/>
    <w:rsid w:val="3E34420B"/>
    <w:rsid w:val="3E495BEB"/>
    <w:rsid w:val="3ECF4342"/>
    <w:rsid w:val="3ED2798E"/>
    <w:rsid w:val="3EFF42AE"/>
    <w:rsid w:val="3F346B36"/>
    <w:rsid w:val="3F3E6DD2"/>
    <w:rsid w:val="3F7E5908"/>
    <w:rsid w:val="3F8C4845"/>
    <w:rsid w:val="3FB9136B"/>
    <w:rsid w:val="3FCD646B"/>
    <w:rsid w:val="3FD85478"/>
    <w:rsid w:val="40271B91"/>
    <w:rsid w:val="403E177F"/>
    <w:rsid w:val="40580C20"/>
    <w:rsid w:val="409C6D9C"/>
    <w:rsid w:val="40E449D3"/>
    <w:rsid w:val="41206E76"/>
    <w:rsid w:val="41614FF9"/>
    <w:rsid w:val="418C58B6"/>
    <w:rsid w:val="41970A1B"/>
    <w:rsid w:val="42554B5E"/>
    <w:rsid w:val="43192030"/>
    <w:rsid w:val="433912BA"/>
    <w:rsid w:val="438D4536"/>
    <w:rsid w:val="43B26EBD"/>
    <w:rsid w:val="43BC57F0"/>
    <w:rsid w:val="43EF1FE9"/>
    <w:rsid w:val="43F02873"/>
    <w:rsid w:val="43F63950"/>
    <w:rsid w:val="449C4CC6"/>
    <w:rsid w:val="44B87626"/>
    <w:rsid w:val="44DC1567"/>
    <w:rsid w:val="44E421C9"/>
    <w:rsid w:val="452E7FD4"/>
    <w:rsid w:val="453853F6"/>
    <w:rsid w:val="455A06DD"/>
    <w:rsid w:val="45610BD0"/>
    <w:rsid w:val="45C4279B"/>
    <w:rsid w:val="460A2104"/>
    <w:rsid w:val="464761E9"/>
    <w:rsid w:val="469A6FE4"/>
    <w:rsid w:val="46DE72FD"/>
    <w:rsid w:val="46E719AA"/>
    <w:rsid w:val="46F824BB"/>
    <w:rsid w:val="4723522B"/>
    <w:rsid w:val="473A4323"/>
    <w:rsid w:val="473D3E13"/>
    <w:rsid w:val="475F1429"/>
    <w:rsid w:val="478163F5"/>
    <w:rsid w:val="478C2ED5"/>
    <w:rsid w:val="47EB2FFC"/>
    <w:rsid w:val="48032A28"/>
    <w:rsid w:val="480C5CBF"/>
    <w:rsid w:val="48343468"/>
    <w:rsid w:val="4847319B"/>
    <w:rsid w:val="48D223D2"/>
    <w:rsid w:val="48F02F04"/>
    <w:rsid w:val="496D09DF"/>
    <w:rsid w:val="49926698"/>
    <w:rsid w:val="49EE2AC8"/>
    <w:rsid w:val="4A31525C"/>
    <w:rsid w:val="4A475610"/>
    <w:rsid w:val="4A80578F"/>
    <w:rsid w:val="4AE271AB"/>
    <w:rsid w:val="4B18719D"/>
    <w:rsid w:val="4B4C734F"/>
    <w:rsid w:val="4B58746D"/>
    <w:rsid w:val="4B773956"/>
    <w:rsid w:val="4B7A5635"/>
    <w:rsid w:val="4B7C315C"/>
    <w:rsid w:val="4BBC17AA"/>
    <w:rsid w:val="4BC90A28"/>
    <w:rsid w:val="4BE34F89"/>
    <w:rsid w:val="4BE73BDE"/>
    <w:rsid w:val="4C254AA8"/>
    <w:rsid w:val="4C3B4FDC"/>
    <w:rsid w:val="4C757967"/>
    <w:rsid w:val="4CE01414"/>
    <w:rsid w:val="4D085C5F"/>
    <w:rsid w:val="4D3B0EF1"/>
    <w:rsid w:val="4DA14831"/>
    <w:rsid w:val="4DA85F2B"/>
    <w:rsid w:val="4DB0533F"/>
    <w:rsid w:val="4DC5396C"/>
    <w:rsid w:val="4E10612E"/>
    <w:rsid w:val="4E9E14F2"/>
    <w:rsid w:val="4EA8070C"/>
    <w:rsid w:val="4EF15C0F"/>
    <w:rsid w:val="4F640757"/>
    <w:rsid w:val="4FDB318A"/>
    <w:rsid w:val="50015CFD"/>
    <w:rsid w:val="50250358"/>
    <w:rsid w:val="50387027"/>
    <w:rsid w:val="50540565"/>
    <w:rsid w:val="505709DA"/>
    <w:rsid w:val="505B3C87"/>
    <w:rsid w:val="506027FF"/>
    <w:rsid w:val="507408A5"/>
    <w:rsid w:val="514205CA"/>
    <w:rsid w:val="514C0312"/>
    <w:rsid w:val="515561D0"/>
    <w:rsid w:val="517B5C63"/>
    <w:rsid w:val="51907961"/>
    <w:rsid w:val="51A60DB4"/>
    <w:rsid w:val="52291CD0"/>
    <w:rsid w:val="5244074B"/>
    <w:rsid w:val="52C03774"/>
    <w:rsid w:val="52CD435C"/>
    <w:rsid w:val="52E33975"/>
    <w:rsid w:val="530B42C2"/>
    <w:rsid w:val="536E33AD"/>
    <w:rsid w:val="541C1980"/>
    <w:rsid w:val="545855A0"/>
    <w:rsid w:val="545A4256"/>
    <w:rsid w:val="546C04DD"/>
    <w:rsid w:val="54AD6034"/>
    <w:rsid w:val="54B32284"/>
    <w:rsid w:val="54DC69F7"/>
    <w:rsid w:val="550B72FE"/>
    <w:rsid w:val="551F2FA5"/>
    <w:rsid w:val="55474FEC"/>
    <w:rsid w:val="55A52046"/>
    <w:rsid w:val="55CE4439"/>
    <w:rsid w:val="56187F25"/>
    <w:rsid w:val="56193AC0"/>
    <w:rsid w:val="56315A5F"/>
    <w:rsid w:val="56630E61"/>
    <w:rsid w:val="56666EE2"/>
    <w:rsid w:val="566A5CE2"/>
    <w:rsid w:val="56C562EE"/>
    <w:rsid w:val="56C77D58"/>
    <w:rsid w:val="56D7210F"/>
    <w:rsid w:val="56F50A55"/>
    <w:rsid w:val="57407733"/>
    <w:rsid w:val="57530294"/>
    <w:rsid w:val="57783371"/>
    <w:rsid w:val="578641E7"/>
    <w:rsid w:val="57C945D3"/>
    <w:rsid w:val="58345199"/>
    <w:rsid w:val="58496ABB"/>
    <w:rsid w:val="58727DC0"/>
    <w:rsid w:val="58754A86"/>
    <w:rsid w:val="587868EA"/>
    <w:rsid w:val="58BD150F"/>
    <w:rsid w:val="590F1AB3"/>
    <w:rsid w:val="592875B7"/>
    <w:rsid w:val="594C6863"/>
    <w:rsid w:val="59765B98"/>
    <w:rsid w:val="599C373B"/>
    <w:rsid w:val="59DC2372"/>
    <w:rsid w:val="59E719A1"/>
    <w:rsid w:val="5A0507C0"/>
    <w:rsid w:val="5A1043D4"/>
    <w:rsid w:val="5A2C2DC6"/>
    <w:rsid w:val="5A3719C7"/>
    <w:rsid w:val="5A6B491F"/>
    <w:rsid w:val="5AE8436A"/>
    <w:rsid w:val="5AFD10E3"/>
    <w:rsid w:val="5AFE1BD7"/>
    <w:rsid w:val="5B5F03A4"/>
    <w:rsid w:val="5B5F602A"/>
    <w:rsid w:val="5BD1156E"/>
    <w:rsid w:val="5C4A4F8E"/>
    <w:rsid w:val="5CF644C9"/>
    <w:rsid w:val="5CFC0A90"/>
    <w:rsid w:val="5D107BA8"/>
    <w:rsid w:val="5D1F603D"/>
    <w:rsid w:val="5D215911"/>
    <w:rsid w:val="5D6F2F67"/>
    <w:rsid w:val="5D8C6CB5"/>
    <w:rsid w:val="5D916C44"/>
    <w:rsid w:val="5D967551"/>
    <w:rsid w:val="5DAB167E"/>
    <w:rsid w:val="5DC170D8"/>
    <w:rsid w:val="5E766130"/>
    <w:rsid w:val="5EE22240"/>
    <w:rsid w:val="5EED6987"/>
    <w:rsid w:val="5EFF7ED4"/>
    <w:rsid w:val="5F3B17EE"/>
    <w:rsid w:val="5F3E6C4E"/>
    <w:rsid w:val="5FA34D03"/>
    <w:rsid w:val="5FB8570E"/>
    <w:rsid w:val="5FCD5CFB"/>
    <w:rsid w:val="5FDF108A"/>
    <w:rsid w:val="5FE01420"/>
    <w:rsid w:val="5FF057E4"/>
    <w:rsid w:val="60243AEA"/>
    <w:rsid w:val="60427493"/>
    <w:rsid w:val="606515C6"/>
    <w:rsid w:val="60C73D08"/>
    <w:rsid w:val="60E82395"/>
    <w:rsid w:val="6110461A"/>
    <w:rsid w:val="61167757"/>
    <w:rsid w:val="61C947C9"/>
    <w:rsid w:val="621D1991"/>
    <w:rsid w:val="623954AB"/>
    <w:rsid w:val="626B7A8A"/>
    <w:rsid w:val="629152E7"/>
    <w:rsid w:val="62970423"/>
    <w:rsid w:val="629D3C8C"/>
    <w:rsid w:val="63165E53"/>
    <w:rsid w:val="634A36E8"/>
    <w:rsid w:val="635B76A3"/>
    <w:rsid w:val="63633F82"/>
    <w:rsid w:val="63AF1794"/>
    <w:rsid w:val="63ED479F"/>
    <w:rsid w:val="63FC0D50"/>
    <w:rsid w:val="6407253D"/>
    <w:rsid w:val="640C4FEB"/>
    <w:rsid w:val="644545DB"/>
    <w:rsid w:val="64495F3F"/>
    <w:rsid w:val="6472739A"/>
    <w:rsid w:val="64A10C94"/>
    <w:rsid w:val="64AB32D4"/>
    <w:rsid w:val="64EA12AF"/>
    <w:rsid w:val="653D52B2"/>
    <w:rsid w:val="657809E0"/>
    <w:rsid w:val="65C634F9"/>
    <w:rsid w:val="65E6594A"/>
    <w:rsid w:val="661B575E"/>
    <w:rsid w:val="6639016F"/>
    <w:rsid w:val="663E5757"/>
    <w:rsid w:val="665A4EEE"/>
    <w:rsid w:val="666F0C16"/>
    <w:rsid w:val="66F80E70"/>
    <w:rsid w:val="672F2593"/>
    <w:rsid w:val="67867289"/>
    <w:rsid w:val="6796514D"/>
    <w:rsid w:val="67DB366C"/>
    <w:rsid w:val="681945A2"/>
    <w:rsid w:val="682269E1"/>
    <w:rsid w:val="683954B4"/>
    <w:rsid w:val="685C1EF3"/>
    <w:rsid w:val="685C7E37"/>
    <w:rsid w:val="68747311"/>
    <w:rsid w:val="688361C7"/>
    <w:rsid w:val="68EB00D2"/>
    <w:rsid w:val="69472BA3"/>
    <w:rsid w:val="69AF0748"/>
    <w:rsid w:val="69B016A1"/>
    <w:rsid w:val="69E07153"/>
    <w:rsid w:val="6A1E657F"/>
    <w:rsid w:val="6A2B6021"/>
    <w:rsid w:val="6A4841E8"/>
    <w:rsid w:val="6A4B33A7"/>
    <w:rsid w:val="6A4D41E9"/>
    <w:rsid w:val="6AC124E1"/>
    <w:rsid w:val="6B2111D2"/>
    <w:rsid w:val="6B282560"/>
    <w:rsid w:val="6B8C0D41"/>
    <w:rsid w:val="6BD12EC6"/>
    <w:rsid w:val="6BE6053B"/>
    <w:rsid w:val="6BF05BAA"/>
    <w:rsid w:val="6BF41C1E"/>
    <w:rsid w:val="6C724DE4"/>
    <w:rsid w:val="6C8A2FA4"/>
    <w:rsid w:val="6CCF6BCB"/>
    <w:rsid w:val="6CDC7AA6"/>
    <w:rsid w:val="6CE34991"/>
    <w:rsid w:val="6CE60925"/>
    <w:rsid w:val="6CFB692B"/>
    <w:rsid w:val="6D0C2BFA"/>
    <w:rsid w:val="6D3B2A1F"/>
    <w:rsid w:val="6D761AB6"/>
    <w:rsid w:val="6DB024D9"/>
    <w:rsid w:val="6E1B45FE"/>
    <w:rsid w:val="6E5B49FB"/>
    <w:rsid w:val="6E66587A"/>
    <w:rsid w:val="6EB178F7"/>
    <w:rsid w:val="6EB365E5"/>
    <w:rsid w:val="6EE13152"/>
    <w:rsid w:val="6F1752F4"/>
    <w:rsid w:val="6F2D7ED8"/>
    <w:rsid w:val="6F665D41"/>
    <w:rsid w:val="6F891957"/>
    <w:rsid w:val="6F9B77A5"/>
    <w:rsid w:val="70757FF6"/>
    <w:rsid w:val="70B84386"/>
    <w:rsid w:val="70D540F2"/>
    <w:rsid w:val="711452F5"/>
    <w:rsid w:val="711D0E2F"/>
    <w:rsid w:val="71205150"/>
    <w:rsid w:val="713E6740"/>
    <w:rsid w:val="715F1BDC"/>
    <w:rsid w:val="7189187F"/>
    <w:rsid w:val="71A5490B"/>
    <w:rsid w:val="71CF3736"/>
    <w:rsid w:val="71E566E8"/>
    <w:rsid w:val="71E7506F"/>
    <w:rsid w:val="72231CD3"/>
    <w:rsid w:val="72435ED2"/>
    <w:rsid w:val="72710C91"/>
    <w:rsid w:val="727A7482"/>
    <w:rsid w:val="72B8241C"/>
    <w:rsid w:val="72EB2597"/>
    <w:rsid w:val="73005EB5"/>
    <w:rsid w:val="73942E89"/>
    <w:rsid w:val="739968CA"/>
    <w:rsid w:val="73BB4164"/>
    <w:rsid w:val="73E22112"/>
    <w:rsid w:val="73EF3D7E"/>
    <w:rsid w:val="742666EF"/>
    <w:rsid w:val="74F71921"/>
    <w:rsid w:val="75731E4D"/>
    <w:rsid w:val="75930F1E"/>
    <w:rsid w:val="75995C02"/>
    <w:rsid w:val="75DB7BB6"/>
    <w:rsid w:val="75E56138"/>
    <w:rsid w:val="75EC5C91"/>
    <w:rsid w:val="76123CE0"/>
    <w:rsid w:val="76A756CA"/>
    <w:rsid w:val="76E84536"/>
    <w:rsid w:val="76F0011C"/>
    <w:rsid w:val="770E0AD4"/>
    <w:rsid w:val="77D77C19"/>
    <w:rsid w:val="77FB6BB2"/>
    <w:rsid w:val="78113211"/>
    <w:rsid w:val="78286D62"/>
    <w:rsid w:val="782E0677"/>
    <w:rsid w:val="78375E26"/>
    <w:rsid w:val="784A7FBA"/>
    <w:rsid w:val="790F182A"/>
    <w:rsid w:val="791A1C51"/>
    <w:rsid w:val="794F33AE"/>
    <w:rsid w:val="799D53E3"/>
    <w:rsid w:val="7A301431"/>
    <w:rsid w:val="7A3D3336"/>
    <w:rsid w:val="7A644EE6"/>
    <w:rsid w:val="7A7E03EF"/>
    <w:rsid w:val="7AA8546C"/>
    <w:rsid w:val="7B544DE1"/>
    <w:rsid w:val="7B7D06A6"/>
    <w:rsid w:val="7B8D6D92"/>
    <w:rsid w:val="7B900CE5"/>
    <w:rsid w:val="7B954F34"/>
    <w:rsid w:val="7BB86E92"/>
    <w:rsid w:val="7BD8022F"/>
    <w:rsid w:val="7C384856"/>
    <w:rsid w:val="7C492337"/>
    <w:rsid w:val="7CF16C56"/>
    <w:rsid w:val="7D140858"/>
    <w:rsid w:val="7D5B41D7"/>
    <w:rsid w:val="7D627B5B"/>
    <w:rsid w:val="7DD50326"/>
    <w:rsid w:val="7E3322A7"/>
    <w:rsid w:val="7E3C65F7"/>
    <w:rsid w:val="7E5A4CCF"/>
    <w:rsid w:val="7E5F5E41"/>
    <w:rsid w:val="7E930E19"/>
    <w:rsid w:val="7E991353"/>
    <w:rsid w:val="7EB50985"/>
    <w:rsid w:val="7ED10D4F"/>
    <w:rsid w:val="7EE34CC4"/>
    <w:rsid w:val="7EFCB9A9"/>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0" w:semiHidden="0" w:name="toc 1"/>
    <w:lsdException w:qFormat="1" w:uiPriority="0" w:semiHidden="0" w:name="toc 2"/>
    <w:lsdException w:qFormat="1" w:uiPriority="0" w:semiHidden="0" w:name="toc 3"/>
    <w:lsdException w:qFormat="1" w:unhideWhenUsed="0" w:uiPriority="0" w:semiHidden="0" w:name="toc 4"/>
    <w:lsdException w:qFormat="1" w:uiPriority="0" w:name="toc 5"/>
    <w:lsdException w:qFormat="1" w:uiPriority="0" w:name="toc 6"/>
    <w:lsdException w:qFormat="1" w:uiPriority="0" w:name="toc 7"/>
    <w:lsdException w:qFormat="1" w:uiPriority="0" w:name="toc 8"/>
    <w:lsdException w:qFormat="1" w:uiPriority="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99"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99" w:semiHidden="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64"/>
    <w:qFormat/>
    <w:uiPriority w:val="0"/>
    <w:pPr>
      <w:keepNext/>
      <w:keepLines/>
      <w:widowControl/>
      <w:numPr>
        <w:ilvl w:val="0"/>
        <w:numId w:val="1"/>
      </w:numPr>
      <w:ind w:firstLine="0" w:firstLineChars="0"/>
      <w:jc w:val="left"/>
      <w:outlineLvl w:val="0"/>
    </w:pPr>
    <w:rPr>
      <w:rFonts w:ascii="黑体" w:hAnsi="黑体" w:eastAsia="黑体"/>
      <w:b/>
      <w:bCs/>
      <w:kern w:val="44"/>
      <w:sz w:val="28"/>
      <w:szCs w:val="28"/>
      <w:lang w:val="zh-CN"/>
    </w:rPr>
  </w:style>
  <w:style w:type="paragraph" w:styleId="3">
    <w:name w:val="heading 2"/>
    <w:basedOn w:val="1"/>
    <w:next w:val="1"/>
    <w:link w:val="65"/>
    <w:qFormat/>
    <w:uiPriority w:val="0"/>
    <w:pPr>
      <w:keepNext/>
      <w:keepLines/>
      <w:numPr>
        <w:ilvl w:val="1"/>
        <w:numId w:val="1"/>
      </w:numPr>
      <w:ind w:firstLine="0" w:firstLineChars="0"/>
      <w:jc w:val="left"/>
      <w:outlineLvl w:val="1"/>
    </w:pPr>
    <w:rPr>
      <w:rFonts w:ascii="黑体" w:hAnsi="黑体" w:eastAsia="黑体"/>
      <w:b/>
      <w:bCs/>
      <w:szCs w:val="24"/>
      <w:lang w:val="zh-CN"/>
    </w:rPr>
  </w:style>
  <w:style w:type="paragraph" w:styleId="4">
    <w:name w:val="heading 3"/>
    <w:basedOn w:val="1"/>
    <w:next w:val="1"/>
    <w:link w:val="333"/>
    <w:qFormat/>
    <w:uiPriority w:val="0"/>
    <w:pPr>
      <w:keepNext/>
      <w:keepLines/>
      <w:numPr>
        <w:ilvl w:val="2"/>
        <w:numId w:val="1"/>
      </w:numPr>
      <w:ind w:firstLine="0" w:firstLineChars="0"/>
      <w:jc w:val="left"/>
      <w:outlineLvl w:val="2"/>
    </w:pPr>
    <w:rPr>
      <w:rFonts w:ascii="黑体" w:hAnsi="黑体" w:eastAsia="黑体"/>
      <w:b/>
      <w:bCs/>
      <w:szCs w:val="24"/>
      <w:lang w:val="zh-CN"/>
    </w:rPr>
  </w:style>
  <w:style w:type="paragraph" w:styleId="5">
    <w:name w:val="heading 4"/>
    <w:basedOn w:val="1"/>
    <w:next w:val="1"/>
    <w:link w:val="67"/>
    <w:qFormat/>
    <w:uiPriority w:val="0"/>
    <w:pPr>
      <w:keepNext/>
      <w:keepLines/>
      <w:numPr>
        <w:ilvl w:val="3"/>
        <w:numId w:val="1"/>
      </w:numPr>
      <w:ind w:firstLine="0" w:firstLineChars="0"/>
      <w:jc w:val="left"/>
      <w:outlineLvl w:val="3"/>
    </w:pPr>
    <w:rPr>
      <w:rFonts w:ascii="黑体" w:hAnsi="黑体" w:eastAsia="黑体"/>
      <w:szCs w:val="24"/>
      <w:lang w:val="zh-CN"/>
    </w:rPr>
  </w:style>
  <w:style w:type="paragraph" w:styleId="6">
    <w:name w:val="heading 5"/>
    <w:basedOn w:val="1"/>
    <w:next w:val="7"/>
    <w:link w:val="68"/>
    <w:qFormat/>
    <w:uiPriority w:val="99"/>
    <w:pPr>
      <w:keepNext/>
      <w:keepLines/>
      <w:numPr>
        <w:ilvl w:val="4"/>
        <w:numId w:val="1"/>
      </w:numPr>
      <w:ind w:firstLine="0" w:firstLineChars="0"/>
      <w:jc w:val="left"/>
      <w:outlineLvl w:val="4"/>
    </w:pPr>
    <w:rPr>
      <w:rFonts w:ascii="黑体" w:hAnsi="黑体" w:eastAsia="黑体"/>
      <w:szCs w:val="24"/>
      <w:lang w:val="zh-CN"/>
    </w:rPr>
  </w:style>
  <w:style w:type="paragraph" w:styleId="8">
    <w:name w:val="heading 6"/>
    <w:basedOn w:val="1"/>
    <w:next w:val="1"/>
    <w:link w:val="69"/>
    <w:qFormat/>
    <w:uiPriority w:val="0"/>
    <w:pPr>
      <w:keepNext/>
      <w:keepLines/>
      <w:numPr>
        <w:ilvl w:val="6"/>
        <w:numId w:val="1"/>
      </w:numPr>
      <w:ind w:firstLine="0" w:firstLineChars="0"/>
      <w:jc w:val="left"/>
      <w:outlineLvl w:val="5"/>
    </w:pPr>
    <w:rPr>
      <w:rFonts w:ascii="黑体" w:hAnsi="黑体" w:eastAsia="黑体"/>
      <w:szCs w:val="24"/>
      <w:lang w:val="zh-CN"/>
    </w:rPr>
  </w:style>
  <w:style w:type="paragraph" w:styleId="9">
    <w:name w:val="heading 7"/>
    <w:basedOn w:val="1"/>
    <w:next w:val="1"/>
    <w:link w:val="70"/>
    <w:qFormat/>
    <w:uiPriority w:val="0"/>
    <w:pPr>
      <w:keepNext/>
      <w:keepLines/>
      <w:spacing w:before="240" w:after="64" w:line="320" w:lineRule="auto"/>
      <w:ind w:firstLine="0" w:firstLineChars="0"/>
      <w:outlineLvl w:val="6"/>
    </w:pPr>
    <w:rPr>
      <w:b/>
      <w:bCs/>
      <w:szCs w:val="24"/>
    </w:rPr>
  </w:style>
  <w:style w:type="paragraph" w:styleId="10">
    <w:name w:val="heading 8"/>
    <w:basedOn w:val="1"/>
    <w:next w:val="1"/>
    <w:link w:val="71"/>
    <w:qFormat/>
    <w:uiPriority w:val="0"/>
    <w:pPr>
      <w:keepNext/>
      <w:keepLines/>
      <w:numPr>
        <w:ilvl w:val="7"/>
        <w:numId w:val="1"/>
      </w:numPr>
      <w:spacing w:before="240" w:after="64" w:line="320" w:lineRule="auto"/>
      <w:ind w:firstLine="0" w:firstLineChars="0"/>
      <w:outlineLvl w:val="7"/>
    </w:pPr>
    <w:rPr>
      <w:rFonts w:ascii="Cambria" w:hAnsi="Cambria"/>
      <w:szCs w:val="24"/>
    </w:rPr>
  </w:style>
  <w:style w:type="paragraph" w:styleId="11">
    <w:name w:val="heading 9"/>
    <w:basedOn w:val="1"/>
    <w:next w:val="1"/>
    <w:link w:val="72"/>
    <w:qFormat/>
    <w:uiPriority w:val="0"/>
    <w:pPr>
      <w:keepNext/>
      <w:keepLines/>
      <w:numPr>
        <w:ilvl w:val="8"/>
        <w:numId w:val="1"/>
      </w:numPr>
      <w:spacing w:before="240" w:after="64" w:line="320" w:lineRule="auto"/>
      <w:ind w:firstLine="0" w:firstLineChars="0"/>
      <w:outlineLvl w:val="8"/>
    </w:pPr>
    <w:rPr>
      <w:rFonts w:ascii="Cambria" w:hAnsi="Cambria"/>
      <w:sz w:val="21"/>
      <w:szCs w:val="21"/>
    </w:rPr>
  </w:style>
  <w:style w:type="character" w:default="1" w:styleId="50">
    <w:name w:val="Default Paragraph Font"/>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3"/>
    <w:qFormat/>
    <w:uiPriority w:val="0"/>
    <w:pPr>
      <w:spacing w:line="240" w:lineRule="auto"/>
      <w:ind w:firstLine="420" w:firstLineChars="0"/>
    </w:pPr>
    <w:rPr>
      <w:sz w:val="21"/>
      <w:szCs w:val="20"/>
    </w:rPr>
  </w:style>
  <w:style w:type="paragraph" w:styleId="12">
    <w:name w:val="toc 7"/>
    <w:basedOn w:val="1"/>
    <w:next w:val="1"/>
    <w:autoRedefine/>
    <w:semiHidden/>
    <w:unhideWhenUsed/>
    <w:qFormat/>
    <w:uiPriority w:val="0"/>
    <w:pPr>
      <w:adjustRightInd w:val="0"/>
      <w:spacing w:line="312" w:lineRule="atLeast"/>
      <w:ind w:left="2520" w:firstLine="0" w:firstLineChars="0"/>
    </w:pPr>
    <w:rPr>
      <w:kern w:val="0"/>
      <w:sz w:val="21"/>
      <w:szCs w:val="20"/>
    </w:rPr>
  </w:style>
  <w:style w:type="paragraph" w:styleId="13">
    <w:name w:val="index 8"/>
    <w:basedOn w:val="1"/>
    <w:next w:val="1"/>
    <w:qFormat/>
    <w:uiPriority w:val="0"/>
    <w:pPr>
      <w:spacing w:line="240" w:lineRule="auto"/>
      <w:ind w:left="2940" w:firstLine="0" w:firstLineChars="0"/>
    </w:pPr>
    <w:rPr>
      <w:sz w:val="21"/>
      <w:szCs w:val="24"/>
    </w:rPr>
  </w:style>
  <w:style w:type="paragraph" w:styleId="14">
    <w:name w:val="List Number"/>
    <w:basedOn w:val="1"/>
    <w:qFormat/>
    <w:uiPriority w:val="0"/>
    <w:pPr>
      <w:widowControl/>
      <w:tabs>
        <w:tab w:val="left" w:pos="454"/>
        <w:tab w:val="left" w:pos="720"/>
        <w:tab w:val="left" w:pos="840"/>
      </w:tabs>
      <w:spacing w:afterLines="50" w:line="240" w:lineRule="auto"/>
      <w:ind w:left="454" w:hanging="284" w:firstLineChars="0"/>
      <w:jc w:val="left"/>
    </w:pPr>
    <w:rPr>
      <w:kern w:val="0"/>
      <w:szCs w:val="20"/>
    </w:rPr>
  </w:style>
  <w:style w:type="paragraph" w:styleId="15">
    <w:name w:val="caption"/>
    <w:basedOn w:val="1"/>
    <w:next w:val="1"/>
    <w:qFormat/>
    <w:uiPriority w:val="0"/>
    <w:pPr>
      <w:ind w:firstLine="0" w:firstLineChars="0"/>
      <w:jc w:val="center"/>
    </w:pPr>
    <w:rPr>
      <w:rFonts w:ascii="Cambria" w:hAnsi="Cambria" w:eastAsia="黑体"/>
      <w:sz w:val="20"/>
      <w:szCs w:val="20"/>
    </w:rPr>
  </w:style>
  <w:style w:type="paragraph" w:styleId="16">
    <w:name w:val="Document Map"/>
    <w:basedOn w:val="1"/>
    <w:link w:val="74"/>
    <w:unhideWhenUsed/>
    <w:qFormat/>
    <w:uiPriority w:val="0"/>
    <w:pPr>
      <w:spacing w:line="240" w:lineRule="auto"/>
      <w:ind w:firstLine="0" w:firstLineChars="0"/>
    </w:pPr>
    <w:rPr>
      <w:rFonts w:ascii="宋体"/>
      <w:sz w:val="18"/>
      <w:szCs w:val="18"/>
    </w:rPr>
  </w:style>
  <w:style w:type="paragraph" w:styleId="17">
    <w:name w:val="annotation text"/>
    <w:basedOn w:val="1"/>
    <w:link w:val="75"/>
    <w:unhideWhenUsed/>
    <w:qFormat/>
    <w:uiPriority w:val="99"/>
    <w:pPr>
      <w:jc w:val="left"/>
    </w:pPr>
  </w:style>
  <w:style w:type="paragraph" w:styleId="18">
    <w:name w:val="Body Text 3"/>
    <w:basedOn w:val="1"/>
    <w:link w:val="76"/>
    <w:qFormat/>
    <w:uiPriority w:val="0"/>
    <w:pPr>
      <w:spacing w:line="240" w:lineRule="exact"/>
      <w:ind w:firstLine="0" w:firstLineChars="0"/>
    </w:pPr>
    <w:rPr>
      <w:rFonts w:ascii="宋体" w:hAnsi="宋体"/>
      <w:color w:val="000000"/>
      <w:sz w:val="21"/>
      <w:szCs w:val="21"/>
    </w:rPr>
  </w:style>
  <w:style w:type="paragraph" w:styleId="19">
    <w:name w:val="Body Text"/>
    <w:basedOn w:val="1"/>
    <w:link w:val="77"/>
    <w:qFormat/>
    <w:uiPriority w:val="0"/>
    <w:pPr>
      <w:autoSpaceDE w:val="0"/>
      <w:autoSpaceDN w:val="0"/>
      <w:spacing w:line="240" w:lineRule="auto"/>
      <w:ind w:left="252" w:firstLine="0" w:firstLineChars="0"/>
      <w:jc w:val="left"/>
    </w:pPr>
    <w:rPr>
      <w:rFonts w:ascii="宋体" w:hAnsi="宋体" w:cs="宋体"/>
      <w:kern w:val="0"/>
      <w:sz w:val="21"/>
      <w:szCs w:val="21"/>
      <w:lang w:val="zh-CN" w:bidi="zh-CN"/>
    </w:rPr>
  </w:style>
  <w:style w:type="paragraph" w:styleId="20">
    <w:name w:val="Body Text Indent"/>
    <w:basedOn w:val="1"/>
    <w:link w:val="78"/>
    <w:unhideWhenUsed/>
    <w:qFormat/>
    <w:uiPriority w:val="0"/>
    <w:pPr>
      <w:spacing w:after="120" w:line="240" w:lineRule="auto"/>
      <w:ind w:left="420" w:leftChars="200" w:firstLine="0" w:firstLineChars="0"/>
    </w:pPr>
    <w:rPr>
      <w:sz w:val="21"/>
      <w:szCs w:val="24"/>
    </w:rPr>
  </w:style>
  <w:style w:type="paragraph" w:styleId="21">
    <w:name w:val="List Number 3"/>
    <w:basedOn w:val="1"/>
    <w:qFormat/>
    <w:uiPriority w:val="0"/>
    <w:pPr>
      <w:tabs>
        <w:tab w:val="left" w:pos="1350"/>
      </w:tabs>
      <w:spacing w:line="240" w:lineRule="auto"/>
      <w:ind w:left="1350" w:hanging="720" w:firstLineChars="0"/>
    </w:pPr>
    <w:rPr>
      <w:sz w:val="21"/>
      <w:szCs w:val="24"/>
    </w:rPr>
  </w:style>
  <w:style w:type="paragraph" w:styleId="22">
    <w:name w:val="List 2"/>
    <w:basedOn w:val="1"/>
    <w:qFormat/>
    <w:uiPriority w:val="99"/>
    <w:pPr>
      <w:spacing w:line="240" w:lineRule="auto"/>
      <w:ind w:left="100" w:leftChars="200" w:hanging="200" w:hangingChars="200"/>
    </w:pPr>
    <w:rPr>
      <w:sz w:val="28"/>
      <w:szCs w:val="24"/>
    </w:rPr>
  </w:style>
  <w:style w:type="paragraph" w:styleId="23">
    <w:name w:val="Block Text"/>
    <w:basedOn w:val="1"/>
    <w:qFormat/>
    <w:uiPriority w:val="99"/>
    <w:pPr>
      <w:adjustRightInd w:val="0"/>
      <w:spacing w:line="240" w:lineRule="auto"/>
      <w:ind w:left="420" w:right="33" w:firstLine="0" w:firstLineChars="0"/>
      <w:jc w:val="left"/>
      <w:textAlignment w:val="baseline"/>
    </w:pPr>
    <w:rPr>
      <w:kern w:val="0"/>
      <w:szCs w:val="20"/>
    </w:rPr>
  </w:style>
  <w:style w:type="paragraph" w:styleId="24">
    <w:name w:val="toc 5"/>
    <w:basedOn w:val="1"/>
    <w:next w:val="1"/>
    <w:autoRedefine/>
    <w:semiHidden/>
    <w:unhideWhenUsed/>
    <w:qFormat/>
    <w:uiPriority w:val="0"/>
    <w:pPr>
      <w:adjustRightInd w:val="0"/>
      <w:spacing w:line="312" w:lineRule="atLeast"/>
      <w:ind w:left="1680" w:firstLine="0" w:firstLineChars="0"/>
    </w:pPr>
    <w:rPr>
      <w:kern w:val="0"/>
      <w:sz w:val="21"/>
      <w:szCs w:val="20"/>
    </w:rPr>
  </w:style>
  <w:style w:type="paragraph" w:styleId="25">
    <w:name w:val="toc 3"/>
    <w:basedOn w:val="1"/>
    <w:next w:val="1"/>
    <w:unhideWhenUsed/>
    <w:qFormat/>
    <w:uiPriority w:val="0"/>
    <w:pPr>
      <w:ind w:left="840" w:leftChars="400" w:firstLine="0" w:firstLineChars="0"/>
    </w:pPr>
    <w:rPr>
      <w:rFonts w:ascii="Calibri" w:hAnsi="Calibri"/>
    </w:rPr>
  </w:style>
  <w:style w:type="paragraph" w:styleId="26">
    <w:name w:val="Plain Text"/>
    <w:basedOn w:val="1"/>
    <w:next w:val="1"/>
    <w:link w:val="79"/>
    <w:qFormat/>
    <w:uiPriority w:val="0"/>
    <w:pPr>
      <w:spacing w:line="460" w:lineRule="exact"/>
      <w:ind w:firstLine="0" w:firstLineChars="0"/>
    </w:pPr>
    <w:rPr>
      <w:lang w:val="en-GB"/>
    </w:rPr>
  </w:style>
  <w:style w:type="paragraph" w:styleId="27">
    <w:name w:val="toc 8"/>
    <w:basedOn w:val="1"/>
    <w:next w:val="1"/>
    <w:autoRedefine/>
    <w:semiHidden/>
    <w:unhideWhenUsed/>
    <w:qFormat/>
    <w:uiPriority w:val="0"/>
    <w:pPr>
      <w:adjustRightInd w:val="0"/>
      <w:spacing w:line="312" w:lineRule="atLeast"/>
      <w:ind w:left="2940" w:firstLine="0" w:firstLineChars="0"/>
    </w:pPr>
    <w:rPr>
      <w:kern w:val="0"/>
      <w:sz w:val="21"/>
      <w:szCs w:val="20"/>
    </w:rPr>
  </w:style>
  <w:style w:type="paragraph" w:styleId="28">
    <w:name w:val="Date"/>
    <w:basedOn w:val="1"/>
    <w:next w:val="1"/>
    <w:link w:val="80"/>
    <w:unhideWhenUsed/>
    <w:qFormat/>
    <w:uiPriority w:val="0"/>
    <w:pPr>
      <w:ind w:left="100" w:leftChars="2500"/>
    </w:pPr>
  </w:style>
  <w:style w:type="paragraph" w:styleId="29">
    <w:name w:val="Body Text Indent 2"/>
    <w:basedOn w:val="1"/>
    <w:link w:val="81"/>
    <w:unhideWhenUsed/>
    <w:qFormat/>
    <w:uiPriority w:val="0"/>
    <w:pPr>
      <w:spacing w:after="120" w:line="480" w:lineRule="auto"/>
      <w:ind w:left="420" w:leftChars="200" w:firstLine="0" w:firstLineChars="0"/>
    </w:pPr>
    <w:rPr>
      <w:sz w:val="21"/>
      <w:szCs w:val="20"/>
    </w:rPr>
  </w:style>
  <w:style w:type="paragraph" w:styleId="30">
    <w:name w:val="Balloon Text"/>
    <w:basedOn w:val="1"/>
    <w:link w:val="82"/>
    <w:unhideWhenUsed/>
    <w:qFormat/>
    <w:uiPriority w:val="0"/>
    <w:pPr>
      <w:spacing w:line="240" w:lineRule="auto"/>
    </w:pPr>
    <w:rPr>
      <w:sz w:val="18"/>
      <w:szCs w:val="18"/>
    </w:rPr>
  </w:style>
  <w:style w:type="paragraph" w:styleId="31">
    <w:name w:val="footer"/>
    <w:basedOn w:val="1"/>
    <w:link w:val="83"/>
    <w:unhideWhenUsed/>
    <w:qFormat/>
    <w:uiPriority w:val="99"/>
    <w:pPr>
      <w:tabs>
        <w:tab w:val="center" w:pos="4153"/>
        <w:tab w:val="right" w:pos="8306"/>
      </w:tabs>
      <w:snapToGrid w:val="0"/>
      <w:jc w:val="left"/>
    </w:pPr>
    <w:rPr>
      <w:sz w:val="18"/>
      <w:szCs w:val="18"/>
    </w:rPr>
  </w:style>
  <w:style w:type="paragraph" w:styleId="32">
    <w:name w:val="header"/>
    <w:basedOn w:val="1"/>
    <w:link w:val="84"/>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0"/>
    <w:pPr>
      <w:ind w:firstLine="0" w:firstLineChars="0"/>
    </w:pPr>
    <w:rPr>
      <w:rFonts w:ascii="Calibri" w:hAnsi="Calibri"/>
      <w:b/>
    </w:rPr>
  </w:style>
  <w:style w:type="paragraph" w:styleId="34">
    <w:name w:val="toc 4"/>
    <w:basedOn w:val="1"/>
    <w:next w:val="1"/>
    <w:qFormat/>
    <w:uiPriority w:val="0"/>
    <w:pPr>
      <w:spacing w:line="240" w:lineRule="auto"/>
      <w:ind w:left="630" w:firstLine="0" w:firstLineChars="0"/>
      <w:jc w:val="left"/>
    </w:pPr>
    <w:rPr>
      <w:sz w:val="18"/>
      <w:szCs w:val="18"/>
    </w:rPr>
  </w:style>
  <w:style w:type="paragraph" w:styleId="35">
    <w:name w:val="List"/>
    <w:basedOn w:val="1"/>
    <w:qFormat/>
    <w:uiPriority w:val="0"/>
    <w:pPr>
      <w:spacing w:line="240" w:lineRule="auto"/>
      <w:ind w:left="200" w:hanging="200" w:hangingChars="200"/>
    </w:pPr>
    <w:rPr>
      <w:sz w:val="28"/>
      <w:szCs w:val="24"/>
    </w:rPr>
  </w:style>
  <w:style w:type="paragraph" w:styleId="36">
    <w:name w:val="toc 6"/>
    <w:basedOn w:val="1"/>
    <w:next w:val="1"/>
    <w:autoRedefine/>
    <w:semiHidden/>
    <w:unhideWhenUsed/>
    <w:qFormat/>
    <w:uiPriority w:val="0"/>
    <w:pPr>
      <w:adjustRightInd w:val="0"/>
      <w:spacing w:line="312" w:lineRule="atLeast"/>
      <w:ind w:left="2100" w:firstLine="0" w:firstLineChars="0"/>
    </w:pPr>
    <w:rPr>
      <w:kern w:val="0"/>
      <w:sz w:val="21"/>
      <w:szCs w:val="20"/>
    </w:rPr>
  </w:style>
  <w:style w:type="paragraph" w:styleId="37">
    <w:name w:val="List 5"/>
    <w:basedOn w:val="1"/>
    <w:qFormat/>
    <w:uiPriority w:val="0"/>
    <w:pPr>
      <w:spacing w:line="240" w:lineRule="auto"/>
      <w:ind w:left="2100" w:hanging="420" w:firstLineChars="0"/>
    </w:pPr>
    <w:rPr>
      <w:sz w:val="21"/>
      <w:szCs w:val="20"/>
    </w:rPr>
  </w:style>
  <w:style w:type="paragraph" w:styleId="38">
    <w:name w:val="Body Text Indent 3"/>
    <w:basedOn w:val="1"/>
    <w:link w:val="85"/>
    <w:unhideWhenUsed/>
    <w:qFormat/>
    <w:uiPriority w:val="0"/>
    <w:pPr>
      <w:spacing w:after="120" w:line="240" w:lineRule="auto"/>
      <w:ind w:left="420" w:leftChars="200" w:firstLine="0" w:firstLineChars="0"/>
    </w:pPr>
    <w:rPr>
      <w:sz w:val="16"/>
      <w:szCs w:val="16"/>
    </w:rPr>
  </w:style>
  <w:style w:type="paragraph" w:styleId="39">
    <w:name w:val="toc 2"/>
    <w:basedOn w:val="1"/>
    <w:next w:val="1"/>
    <w:unhideWhenUsed/>
    <w:qFormat/>
    <w:uiPriority w:val="0"/>
    <w:pPr>
      <w:ind w:left="420" w:leftChars="200" w:firstLine="0" w:firstLineChars="0"/>
    </w:pPr>
    <w:rPr>
      <w:rFonts w:ascii="Calibri" w:hAnsi="Calibri"/>
    </w:rPr>
  </w:style>
  <w:style w:type="paragraph" w:styleId="40">
    <w:name w:val="toc 9"/>
    <w:basedOn w:val="1"/>
    <w:next w:val="1"/>
    <w:autoRedefine/>
    <w:semiHidden/>
    <w:unhideWhenUsed/>
    <w:qFormat/>
    <w:uiPriority w:val="0"/>
    <w:pPr>
      <w:adjustRightInd w:val="0"/>
      <w:spacing w:line="312" w:lineRule="atLeast"/>
      <w:ind w:left="3360" w:firstLine="0" w:firstLineChars="0"/>
    </w:pPr>
    <w:rPr>
      <w:kern w:val="0"/>
      <w:sz w:val="21"/>
      <w:szCs w:val="20"/>
    </w:rPr>
  </w:style>
  <w:style w:type="paragraph" w:styleId="41">
    <w:name w:val="Body Text 2"/>
    <w:basedOn w:val="1"/>
    <w:link w:val="86"/>
    <w:qFormat/>
    <w:uiPriority w:val="0"/>
    <w:pPr>
      <w:spacing w:after="120" w:line="480" w:lineRule="auto"/>
      <w:ind w:firstLine="0" w:firstLineChars="0"/>
    </w:pPr>
    <w:rPr>
      <w:sz w:val="21"/>
      <w:szCs w:val="24"/>
    </w:rPr>
  </w:style>
  <w:style w:type="paragraph" w:styleId="42">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Cs w:val="24"/>
    </w:rPr>
  </w:style>
  <w:style w:type="paragraph" w:styleId="43">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44">
    <w:name w:val="index 1"/>
    <w:basedOn w:val="1"/>
    <w:next w:val="1"/>
    <w:semiHidden/>
    <w:qFormat/>
    <w:uiPriority w:val="0"/>
    <w:pPr>
      <w:spacing w:line="400" w:lineRule="exact"/>
      <w:ind w:firstLine="420"/>
    </w:pPr>
    <w:rPr>
      <w:rFonts w:ascii="宋体" w:hAnsi="Courier New"/>
      <w:b/>
      <w:sz w:val="21"/>
      <w:szCs w:val="20"/>
    </w:rPr>
  </w:style>
  <w:style w:type="paragraph" w:styleId="45">
    <w:name w:val="Title"/>
    <w:basedOn w:val="1"/>
    <w:next w:val="1"/>
    <w:link w:val="88"/>
    <w:qFormat/>
    <w:uiPriority w:val="0"/>
    <w:pPr>
      <w:spacing w:before="240" w:after="60" w:line="240" w:lineRule="auto"/>
      <w:ind w:firstLine="0" w:firstLineChars="0"/>
      <w:jc w:val="center"/>
      <w:outlineLvl w:val="0"/>
    </w:pPr>
    <w:rPr>
      <w:rFonts w:ascii="Cambria" w:hAnsi="Cambria"/>
      <w:b/>
      <w:bCs/>
      <w:sz w:val="32"/>
      <w:szCs w:val="32"/>
    </w:rPr>
  </w:style>
  <w:style w:type="paragraph" w:styleId="46">
    <w:name w:val="annotation subject"/>
    <w:basedOn w:val="17"/>
    <w:next w:val="17"/>
    <w:link w:val="89"/>
    <w:unhideWhenUsed/>
    <w:qFormat/>
    <w:uiPriority w:val="0"/>
    <w:rPr>
      <w:b/>
      <w:bCs/>
    </w:rPr>
  </w:style>
  <w:style w:type="paragraph" w:styleId="47">
    <w:name w:val="Body Text First Indent 2"/>
    <w:basedOn w:val="20"/>
    <w:link w:val="90"/>
    <w:unhideWhenUsed/>
    <w:qFormat/>
    <w:uiPriority w:val="0"/>
    <w:pPr>
      <w:ind w:firstLine="420" w:firstLineChars="200"/>
    </w:pPr>
  </w:style>
  <w:style w:type="table" w:styleId="49">
    <w:name w:val="Table Grid"/>
    <w:basedOn w:val="4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basedOn w:val="50"/>
    <w:unhideWhenUsed/>
    <w:qFormat/>
    <w:uiPriority w:val="0"/>
    <w:rPr>
      <w:color w:val="800080"/>
      <w:u w:val="single"/>
    </w:rPr>
  </w:style>
  <w:style w:type="character" w:styleId="54">
    <w:name w:val="Emphasis"/>
    <w:qFormat/>
    <w:uiPriority w:val="0"/>
  </w:style>
  <w:style w:type="character" w:styleId="55">
    <w:name w:val="HTML Definition"/>
    <w:basedOn w:val="50"/>
    <w:semiHidden/>
    <w:unhideWhenUsed/>
    <w:qFormat/>
    <w:uiPriority w:val="0"/>
  </w:style>
  <w:style w:type="character" w:styleId="56">
    <w:name w:val="HTML Typewriter"/>
    <w:basedOn w:val="50"/>
    <w:semiHidden/>
    <w:unhideWhenUsed/>
    <w:qFormat/>
    <w:uiPriority w:val="0"/>
    <w:rPr>
      <w:rFonts w:hint="default" w:ascii="Courier New" w:hAnsi="Courier New" w:eastAsia="Courier New" w:cs="Courier New"/>
      <w:sz w:val="24"/>
      <w:szCs w:val="24"/>
    </w:rPr>
  </w:style>
  <w:style w:type="character" w:styleId="57">
    <w:name w:val="HTML Variable"/>
    <w:basedOn w:val="50"/>
    <w:semiHidden/>
    <w:unhideWhenUsed/>
    <w:qFormat/>
    <w:uiPriority w:val="0"/>
    <w:rPr>
      <w:vanish/>
      <w:bdr w:val="single" w:color="DCDCDC" w:sz="6" w:space="0"/>
    </w:rPr>
  </w:style>
  <w:style w:type="character" w:styleId="58">
    <w:name w:val="Hyperlink"/>
    <w:basedOn w:val="50"/>
    <w:unhideWhenUsed/>
    <w:qFormat/>
    <w:uiPriority w:val="0"/>
    <w:rPr>
      <w:color w:val="0000FF"/>
      <w:u w:val="single"/>
    </w:rPr>
  </w:style>
  <w:style w:type="character" w:styleId="59">
    <w:name w:val="HTML Code"/>
    <w:basedOn w:val="50"/>
    <w:semiHidden/>
    <w:unhideWhenUsed/>
    <w:qFormat/>
    <w:uiPriority w:val="0"/>
    <w:rPr>
      <w:rFonts w:hint="default" w:ascii="Courier New" w:hAnsi="Courier New" w:eastAsia="Courier New" w:cs="Courier New"/>
      <w:sz w:val="24"/>
      <w:szCs w:val="24"/>
    </w:rPr>
  </w:style>
  <w:style w:type="character" w:styleId="60">
    <w:name w:val="annotation reference"/>
    <w:basedOn w:val="50"/>
    <w:unhideWhenUsed/>
    <w:qFormat/>
    <w:uiPriority w:val="99"/>
    <w:rPr>
      <w:sz w:val="21"/>
      <w:szCs w:val="21"/>
    </w:rPr>
  </w:style>
  <w:style w:type="character" w:styleId="61">
    <w:name w:val="HTML Cite"/>
    <w:basedOn w:val="50"/>
    <w:semiHidden/>
    <w:unhideWhenUsed/>
    <w:qFormat/>
    <w:uiPriority w:val="0"/>
  </w:style>
  <w:style w:type="character" w:styleId="62">
    <w:name w:val="HTML Keyboard"/>
    <w:basedOn w:val="50"/>
    <w:semiHidden/>
    <w:unhideWhenUsed/>
    <w:qFormat/>
    <w:uiPriority w:val="0"/>
    <w:rPr>
      <w:rFonts w:hint="default" w:ascii="Courier New" w:hAnsi="Courier New" w:eastAsia="Courier New" w:cs="Courier New"/>
      <w:sz w:val="24"/>
      <w:szCs w:val="24"/>
    </w:rPr>
  </w:style>
  <w:style w:type="character" w:styleId="63">
    <w:name w:val="HTML Sample"/>
    <w:basedOn w:val="50"/>
    <w:semiHidden/>
    <w:unhideWhenUsed/>
    <w:qFormat/>
    <w:uiPriority w:val="0"/>
    <w:rPr>
      <w:rFonts w:hint="default" w:ascii="Courier New" w:hAnsi="Courier New" w:eastAsia="Courier New" w:cs="Courier New"/>
    </w:rPr>
  </w:style>
  <w:style w:type="character" w:customStyle="1" w:styleId="64">
    <w:name w:val="标题 1 字符"/>
    <w:basedOn w:val="50"/>
    <w:link w:val="2"/>
    <w:qFormat/>
    <w:uiPriority w:val="0"/>
    <w:rPr>
      <w:rFonts w:ascii="黑体" w:hAnsi="黑体" w:eastAsia="黑体"/>
      <w:b/>
      <w:bCs/>
      <w:kern w:val="44"/>
      <w:sz w:val="28"/>
      <w:szCs w:val="28"/>
      <w:lang w:val="zh-CN"/>
    </w:rPr>
  </w:style>
  <w:style w:type="character" w:customStyle="1" w:styleId="65">
    <w:name w:val="标题 2 字符"/>
    <w:basedOn w:val="50"/>
    <w:link w:val="3"/>
    <w:qFormat/>
    <w:uiPriority w:val="0"/>
    <w:rPr>
      <w:rFonts w:ascii="黑体" w:hAnsi="黑体" w:eastAsia="黑体"/>
      <w:b/>
      <w:bCs/>
      <w:kern w:val="2"/>
      <w:sz w:val="24"/>
      <w:szCs w:val="24"/>
      <w:lang w:val="zh-CN"/>
    </w:rPr>
  </w:style>
  <w:style w:type="character" w:customStyle="1" w:styleId="66">
    <w:name w:val="标题 3 字符"/>
    <w:basedOn w:val="50"/>
    <w:link w:val="4"/>
    <w:qFormat/>
    <w:uiPriority w:val="0"/>
    <w:rPr>
      <w:rFonts w:ascii="黑体" w:hAnsi="黑体" w:eastAsia="黑体"/>
      <w:b/>
      <w:bCs/>
      <w:kern w:val="2"/>
      <w:sz w:val="24"/>
      <w:szCs w:val="24"/>
      <w:lang w:val="zh-CN"/>
    </w:rPr>
  </w:style>
  <w:style w:type="character" w:customStyle="1" w:styleId="67">
    <w:name w:val="标题 4 字符"/>
    <w:basedOn w:val="50"/>
    <w:link w:val="5"/>
    <w:qFormat/>
    <w:uiPriority w:val="0"/>
    <w:rPr>
      <w:rFonts w:ascii="黑体" w:hAnsi="黑体" w:eastAsia="黑体"/>
      <w:kern w:val="2"/>
      <w:sz w:val="24"/>
      <w:szCs w:val="24"/>
      <w:lang w:val="zh-CN"/>
    </w:rPr>
  </w:style>
  <w:style w:type="character" w:customStyle="1" w:styleId="68">
    <w:name w:val="标题 5 字符"/>
    <w:basedOn w:val="50"/>
    <w:link w:val="6"/>
    <w:qFormat/>
    <w:uiPriority w:val="99"/>
    <w:rPr>
      <w:rFonts w:ascii="黑体" w:hAnsi="黑体" w:eastAsia="黑体"/>
      <w:kern w:val="2"/>
      <w:sz w:val="24"/>
      <w:szCs w:val="24"/>
      <w:lang w:val="zh-CN"/>
    </w:rPr>
  </w:style>
  <w:style w:type="character" w:customStyle="1" w:styleId="69">
    <w:name w:val="标题 6 字符"/>
    <w:basedOn w:val="50"/>
    <w:link w:val="8"/>
    <w:qFormat/>
    <w:uiPriority w:val="0"/>
    <w:rPr>
      <w:rFonts w:ascii="黑体" w:hAnsi="黑体" w:eastAsia="黑体"/>
      <w:kern w:val="2"/>
      <w:sz w:val="24"/>
      <w:szCs w:val="24"/>
      <w:lang w:val="zh-CN"/>
    </w:rPr>
  </w:style>
  <w:style w:type="character" w:customStyle="1" w:styleId="70">
    <w:name w:val="标题 7 字符"/>
    <w:basedOn w:val="50"/>
    <w:link w:val="9"/>
    <w:qFormat/>
    <w:uiPriority w:val="0"/>
    <w:rPr>
      <w:rFonts w:eastAsia="宋体"/>
      <w:b/>
      <w:bCs/>
      <w:sz w:val="24"/>
      <w:szCs w:val="24"/>
    </w:rPr>
  </w:style>
  <w:style w:type="character" w:customStyle="1" w:styleId="71">
    <w:name w:val="标题 8 字符"/>
    <w:basedOn w:val="50"/>
    <w:link w:val="10"/>
    <w:qFormat/>
    <w:uiPriority w:val="0"/>
    <w:rPr>
      <w:rFonts w:ascii="Cambria" w:hAnsi="Cambria"/>
      <w:kern w:val="2"/>
      <w:sz w:val="24"/>
      <w:szCs w:val="24"/>
    </w:rPr>
  </w:style>
  <w:style w:type="character" w:customStyle="1" w:styleId="72">
    <w:name w:val="标题 9 字符"/>
    <w:basedOn w:val="50"/>
    <w:link w:val="11"/>
    <w:qFormat/>
    <w:uiPriority w:val="0"/>
    <w:rPr>
      <w:rFonts w:ascii="Cambria" w:hAnsi="Cambria"/>
      <w:kern w:val="2"/>
      <w:sz w:val="21"/>
      <w:szCs w:val="21"/>
    </w:rPr>
  </w:style>
  <w:style w:type="character" w:customStyle="1" w:styleId="73">
    <w:name w:val="正文缩进 字符"/>
    <w:link w:val="7"/>
    <w:qFormat/>
    <w:locked/>
    <w:uiPriority w:val="0"/>
    <w:rPr>
      <w:rFonts w:ascii="Times New Roman" w:hAnsi="Times New Roman"/>
      <w:kern w:val="2"/>
      <w:sz w:val="21"/>
    </w:rPr>
  </w:style>
  <w:style w:type="character" w:customStyle="1" w:styleId="74">
    <w:name w:val="文档结构图 字符"/>
    <w:link w:val="16"/>
    <w:qFormat/>
    <w:uiPriority w:val="0"/>
    <w:rPr>
      <w:rFonts w:ascii="宋体" w:hAnsi="Times New Roman"/>
      <w:kern w:val="2"/>
      <w:sz w:val="18"/>
      <w:szCs w:val="18"/>
    </w:rPr>
  </w:style>
  <w:style w:type="character" w:customStyle="1" w:styleId="75">
    <w:name w:val="批注文字 字符"/>
    <w:basedOn w:val="50"/>
    <w:link w:val="17"/>
    <w:qFormat/>
    <w:uiPriority w:val="99"/>
    <w:rPr>
      <w:rFonts w:eastAsia="宋体"/>
      <w:sz w:val="24"/>
    </w:rPr>
  </w:style>
  <w:style w:type="character" w:customStyle="1" w:styleId="76">
    <w:name w:val="正文文本 3 字符"/>
    <w:basedOn w:val="50"/>
    <w:link w:val="18"/>
    <w:qFormat/>
    <w:uiPriority w:val="0"/>
    <w:rPr>
      <w:rFonts w:ascii="宋体" w:hAnsi="宋体"/>
      <w:color w:val="000000"/>
      <w:kern w:val="2"/>
      <w:sz w:val="21"/>
      <w:szCs w:val="21"/>
    </w:rPr>
  </w:style>
  <w:style w:type="character" w:customStyle="1" w:styleId="77">
    <w:name w:val="正文文本 字符"/>
    <w:basedOn w:val="50"/>
    <w:link w:val="19"/>
    <w:qFormat/>
    <w:uiPriority w:val="0"/>
    <w:rPr>
      <w:rFonts w:ascii="宋体" w:hAnsi="宋体" w:eastAsia="宋体" w:cs="宋体"/>
      <w:kern w:val="0"/>
      <w:szCs w:val="21"/>
      <w:lang w:val="zh-CN" w:bidi="zh-CN"/>
    </w:rPr>
  </w:style>
  <w:style w:type="character" w:customStyle="1" w:styleId="78">
    <w:name w:val="正文文本缩进 字符"/>
    <w:link w:val="20"/>
    <w:qFormat/>
    <w:uiPriority w:val="0"/>
    <w:rPr>
      <w:rFonts w:ascii="Times New Roman" w:hAnsi="Times New Roman"/>
      <w:kern w:val="2"/>
      <w:sz w:val="21"/>
      <w:szCs w:val="24"/>
    </w:rPr>
  </w:style>
  <w:style w:type="character" w:customStyle="1" w:styleId="79">
    <w:name w:val="纯文本 字符1"/>
    <w:basedOn w:val="50"/>
    <w:link w:val="26"/>
    <w:qFormat/>
    <w:uiPriority w:val="0"/>
    <w:rPr>
      <w:rFonts w:eastAsia="宋体"/>
      <w:sz w:val="24"/>
      <w:lang w:val="en-GB"/>
    </w:rPr>
  </w:style>
  <w:style w:type="character" w:customStyle="1" w:styleId="80">
    <w:name w:val="日期 字符"/>
    <w:basedOn w:val="50"/>
    <w:link w:val="28"/>
    <w:qFormat/>
    <w:uiPriority w:val="0"/>
    <w:rPr>
      <w:rFonts w:eastAsia="宋体"/>
      <w:sz w:val="24"/>
    </w:rPr>
  </w:style>
  <w:style w:type="character" w:customStyle="1" w:styleId="81">
    <w:name w:val="正文文本缩进 2 字符"/>
    <w:basedOn w:val="50"/>
    <w:link w:val="29"/>
    <w:qFormat/>
    <w:uiPriority w:val="0"/>
    <w:rPr>
      <w:rFonts w:ascii="Times New Roman" w:hAnsi="Times New Roman"/>
      <w:kern w:val="2"/>
      <w:sz w:val="21"/>
    </w:rPr>
  </w:style>
  <w:style w:type="character" w:customStyle="1" w:styleId="82">
    <w:name w:val="批注框文本 字符"/>
    <w:basedOn w:val="50"/>
    <w:link w:val="30"/>
    <w:qFormat/>
    <w:uiPriority w:val="0"/>
    <w:rPr>
      <w:rFonts w:eastAsia="宋体"/>
      <w:sz w:val="18"/>
      <w:szCs w:val="18"/>
    </w:rPr>
  </w:style>
  <w:style w:type="character" w:customStyle="1" w:styleId="83">
    <w:name w:val="页脚 字符"/>
    <w:basedOn w:val="50"/>
    <w:link w:val="31"/>
    <w:qFormat/>
    <w:uiPriority w:val="99"/>
    <w:rPr>
      <w:sz w:val="18"/>
      <w:szCs w:val="18"/>
    </w:rPr>
  </w:style>
  <w:style w:type="character" w:customStyle="1" w:styleId="84">
    <w:name w:val="页眉 字符"/>
    <w:basedOn w:val="50"/>
    <w:link w:val="32"/>
    <w:qFormat/>
    <w:uiPriority w:val="0"/>
    <w:rPr>
      <w:sz w:val="18"/>
      <w:szCs w:val="18"/>
    </w:rPr>
  </w:style>
  <w:style w:type="character" w:customStyle="1" w:styleId="85">
    <w:name w:val="正文文本缩进 3 字符1"/>
    <w:basedOn w:val="50"/>
    <w:link w:val="38"/>
    <w:qFormat/>
    <w:uiPriority w:val="0"/>
    <w:rPr>
      <w:rFonts w:ascii="Times New Roman" w:hAnsi="Times New Roman"/>
      <w:kern w:val="2"/>
      <w:sz w:val="16"/>
      <w:szCs w:val="16"/>
    </w:rPr>
  </w:style>
  <w:style w:type="character" w:customStyle="1" w:styleId="86">
    <w:name w:val="正文文本 2 字符"/>
    <w:basedOn w:val="50"/>
    <w:link w:val="41"/>
    <w:qFormat/>
    <w:uiPriority w:val="0"/>
    <w:rPr>
      <w:rFonts w:ascii="Times New Roman" w:hAnsi="Times New Roman"/>
      <w:kern w:val="2"/>
      <w:sz w:val="21"/>
      <w:szCs w:val="24"/>
    </w:rPr>
  </w:style>
  <w:style w:type="character" w:customStyle="1" w:styleId="87">
    <w:name w:val="HTML 预设格式 字符"/>
    <w:basedOn w:val="50"/>
    <w:link w:val="42"/>
    <w:qFormat/>
    <w:uiPriority w:val="0"/>
    <w:rPr>
      <w:rFonts w:ascii="宋体" w:hAnsi="宋体"/>
      <w:sz w:val="24"/>
      <w:szCs w:val="24"/>
    </w:rPr>
  </w:style>
  <w:style w:type="character" w:customStyle="1" w:styleId="88">
    <w:name w:val="标题 字符"/>
    <w:basedOn w:val="50"/>
    <w:link w:val="45"/>
    <w:qFormat/>
    <w:uiPriority w:val="0"/>
    <w:rPr>
      <w:rFonts w:ascii="Cambria" w:hAnsi="Cambria"/>
      <w:b/>
      <w:bCs/>
      <w:kern w:val="2"/>
      <w:sz w:val="32"/>
      <w:szCs w:val="32"/>
    </w:rPr>
  </w:style>
  <w:style w:type="character" w:customStyle="1" w:styleId="89">
    <w:name w:val="批注主题 字符"/>
    <w:basedOn w:val="75"/>
    <w:link w:val="46"/>
    <w:qFormat/>
    <w:uiPriority w:val="0"/>
    <w:rPr>
      <w:rFonts w:eastAsia="宋体"/>
      <w:b/>
      <w:bCs/>
      <w:sz w:val="24"/>
    </w:rPr>
  </w:style>
  <w:style w:type="character" w:customStyle="1" w:styleId="90">
    <w:name w:val="正文首行缩进 2 字符"/>
    <w:basedOn w:val="91"/>
    <w:link w:val="47"/>
    <w:qFormat/>
    <w:uiPriority w:val="0"/>
    <w:rPr>
      <w:rFonts w:ascii="Times New Roman" w:hAnsi="Times New Roman"/>
      <w:kern w:val="2"/>
      <w:sz w:val="21"/>
      <w:szCs w:val="24"/>
    </w:rPr>
  </w:style>
  <w:style w:type="character" w:customStyle="1" w:styleId="91">
    <w:name w:val="正文文本缩进 Char"/>
    <w:basedOn w:val="50"/>
    <w:link w:val="92"/>
    <w:qFormat/>
    <w:uiPriority w:val="0"/>
    <w:rPr>
      <w:kern w:val="2"/>
      <w:sz w:val="24"/>
      <w:szCs w:val="22"/>
    </w:rPr>
  </w:style>
  <w:style w:type="paragraph" w:customStyle="1" w:styleId="92">
    <w:name w:val="正文文本缩进1"/>
    <w:basedOn w:val="1"/>
    <w:next w:val="20"/>
    <w:link w:val="91"/>
    <w:qFormat/>
    <w:uiPriority w:val="0"/>
    <w:pPr>
      <w:spacing w:after="120" w:line="240" w:lineRule="auto"/>
      <w:ind w:left="420" w:leftChars="200" w:firstLine="0" w:firstLineChars="0"/>
    </w:pPr>
  </w:style>
  <w:style w:type="character" w:customStyle="1" w:styleId="93">
    <w:name w:val="apple-style-span"/>
    <w:qFormat/>
    <w:uiPriority w:val="0"/>
  </w:style>
  <w:style w:type="character" w:customStyle="1" w:styleId="94">
    <w:name w:val="标题 9 Char1"/>
    <w:semiHidden/>
    <w:qFormat/>
    <w:uiPriority w:val="0"/>
    <w:rPr>
      <w:rFonts w:ascii="Cambria" w:hAnsi="Cambria" w:eastAsia="宋体" w:cs="Times New Roman"/>
      <w:kern w:val="2"/>
      <w:sz w:val="21"/>
      <w:szCs w:val="21"/>
    </w:rPr>
  </w:style>
  <w:style w:type="character" w:customStyle="1" w:styleId="95">
    <w:name w:val="Char Char1"/>
    <w:qFormat/>
    <w:uiPriority w:val="0"/>
    <w:rPr>
      <w:rFonts w:eastAsia="宋体"/>
      <w:kern w:val="2"/>
      <w:sz w:val="21"/>
      <w:szCs w:val="24"/>
      <w:lang w:val="en-US" w:eastAsia="zh-CN" w:bidi="ar-SA"/>
    </w:rPr>
  </w:style>
  <w:style w:type="character" w:customStyle="1" w:styleId="96">
    <w:name w:val="表格正文 Char"/>
    <w:link w:val="97"/>
    <w:qFormat/>
    <w:locked/>
    <w:uiPriority w:val="0"/>
    <w:rPr>
      <w:szCs w:val="24"/>
    </w:rPr>
  </w:style>
  <w:style w:type="paragraph" w:customStyle="1" w:styleId="97">
    <w:name w:val="表格正文"/>
    <w:basedOn w:val="1"/>
    <w:link w:val="96"/>
    <w:qFormat/>
    <w:uiPriority w:val="0"/>
    <w:pPr>
      <w:ind w:firstLine="0" w:firstLineChars="0"/>
    </w:pPr>
    <w:rPr>
      <w:kern w:val="0"/>
      <w:sz w:val="20"/>
      <w:szCs w:val="24"/>
    </w:rPr>
  </w:style>
  <w:style w:type="character" w:customStyle="1" w:styleId="98">
    <w:name w:val="Char Char10"/>
    <w:qFormat/>
    <w:uiPriority w:val="0"/>
    <w:rPr>
      <w:rFonts w:eastAsia="宋体"/>
      <w:kern w:val="2"/>
      <w:sz w:val="21"/>
      <w:szCs w:val="24"/>
      <w:lang w:val="en-US" w:eastAsia="zh-CN" w:bidi="ar-SA"/>
    </w:rPr>
  </w:style>
  <w:style w:type="character" w:customStyle="1" w:styleId="99">
    <w:name w:val="1ji Char"/>
    <w:link w:val="100"/>
    <w:qFormat/>
    <w:uiPriority w:val="0"/>
    <w:rPr>
      <w:rFonts w:ascii="宋体" w:hAnsi="宋体"/>
      <w:b/>
      <w:bCs/>
      <w:kern w:val="44"/>
      <w:sz w:val="36"/>
      <w:szCs w:val="44"/>
    </w:rPr>
  </w:style>
  <w:style w:type="paragraph" w:customStyle="1" w:styleId="100">
    <w:name w:val="1ji"/>
    <w:basedOn w:val="2"/>
    <w:link w:val="99"/>
    <w:qFormat/>
    <w:uiPriority w:val="0"/>
    <w:pPr>
      <w:keepLines w:val="0"/>
      <w:numPr>
        <w:numId w:val="0"/>
      </w:numPr>
      <w:spacing w:line="240" w:lineRule="auto"/>
      <w:jc w:val="center"/>
    </w:pPr>
    <w:rPr>
      <w:rFonts w:ascii="宋体" w:hAnsi="宋体" w:eastAsia="宋体"/>
      <w:sz w:val="36"/>
      <w:szCs w:val="44"/>
    </w:rPr>
  </w:style>
  <w:style w:type="character" w:customStyle="1" w:styleId="101">
    <w:name w:val="标书4级 Char"/>
    <w:link w:val="102"/>
    <w:qFormat/>
    <w:uiPriority w:val="0"/>
    <w:rPr>
      <w:rFonts w:ascii="宋体" w:hAnsi="宋体"/>
      <w:b/>
      <w:bCs/>
      <w:kern w:val="2"/>
      <w:sz w:val="28"/>
      <w:szCs w:val="28"/>
    </w:rPr>
  </w:style>
  <w:style w:type="paragraph" w:customStyle="1" w:styleId="102">
    <w:name w:val="标书4级"/>
    <w:basedOn w:val="5"/>
    <w:link w:val="101"/>
    <w:qFormat/>
    <w:uiPriority w:val="0"/>
    <w:pPr>
      <w:numPr>
        <w:ilvl w:val="0"/>
        <w:numId w:val="0"/>
      </w:numPr>
      <w:spacing w:before="280" w:after="290" w:line="376" w:lineRule="auto"/>
      <w:jc w:val="both"/>
    </w:pPr>
    <w:rPr>
      <w:rFonts w:ascii="宋体" w:hAnsi="宋体" w:eastAsia="宋体"/>
      <w:b/>
      <w:bCs/>
      <w:sz w:val="28"/>
      <w:szCs w:val="28"/>
    </w:rPr>
  </w:style>
  <w:style w:type="character" w:customStyle="1" w:styleId="103">
    <w:name w:val="font51"/>
    <w:qFormat/>
    <w:uiPriority w:val="0"/>
    <w:rPr>
      <w:rFonts w:hint="eastAsia" w:ascii="宋体" w:hAnsi="宋体" w:eastAsia="宋体" w:cs="宋体"/>
      <w:color w:val="000000"/>
      <w:sz w:val="18"/>
      <w:szCs w:val="18"/>
      <w:u w:val="none"/>
    </w:rPr>
  </w:style>
  <w:style w:type="character" w:customStyle="1" w:styleId="104">
    <w:name w:val="批注文字 Char1"/>
    <w:qFormat/>
    <w:uiPriority w:val="99"/>
    <w:rPr>
      <w:rFonts w:ascii="Times New Roman" w:hAnsi="Times New Roman"/>
      <w:kern w:val="2"/>
      <w:sz w:val="21"/>
      <w:szCs w:val="24"/>
    </w:rPr>
  </w:style>
  <w:style w:type="character" w:customStyle="1" w:styleId="105">
    <w:name w:val="Char Char"/>
    <w:qFormat/>
    <w:locked/>
    <w:uiPriority w:val="0"/>
    <w:rPr>
      <w:rFonts w:ascii="宋体" w:hAnsi="宋体" w:eastAsia="宋体"/>
      <w:kern w:val="2"/>
      <w:sz w:val="21"/>
      <w:szCs w:val="24"/>
      <w:lang w:val="en-US" w:eastAsia="zh-CN" w:bidi="ar-SA"/>
    </w:rPr>
  </w:style>
  <w:style w:type="character" w:customStyle="1" w:styleId="106">
    <w:name w:val="纯文本 Char1"/>
    <w:qFormat/>
    <w:uiPriority w:val="0"/>
    <w:rPr>
      <w:rFonts w:ascii="宋体" w:hAnsi="Courier New"/>
      <w:kern w:val="2"/>
      <w:sz w:val="21"/>
    </w:rPr>
  </w:style>
  <w:style w:type="character" w:customStyle="1" w:styleId="107">
    <w:name w:val="A15"/>
    <w:qFormat/>
    <w:uiPriority w:val="0"/>
    <w:rPr>
      <w:rFonts w:ascii="Times New Roman" w:hAnsi="Times New Roman"/>
      <w:color w:val="000000"/>
      <w:sz w:val="14"/>
      <w:szCs w:val="14"/>
    </w:rPr>
  </w:style>
  <w:style w:type="character" w:customStyle="1" w:styleId="108">
    <w:name w:val="纯文本 Char3"/>
    <w:qFormat/>
    <w:uiPriority w:val="0"/>
    <w:rPr>
      <w:rFonts w:ascii="宋体" w:hAnsi="Courier New"/>
      <w:szCs w:val="21"/>
    </w:rPr>
  </w:style>
  <w:style w:type="character" w:customStyle="1" w:styleId="109">
    <w:name w:val="无间隔 Char"/>
    <w:link w:val="110"/>
    <w:qFormat/>
    <w:uiPriority w:val="1"/>
    <w:rPr>
      <w:kern w:val="2"/>
      <w:sz w:val="21"/>
      <w:szCs w:val="22"/>
      <w:lang w:val="en-US" w:eastAsia="zh-CN" w:bidi="ar-SA"/>
    </w:rPr>
  </w:style>
  <w:style w:type="paragraph" w:customStyle="1" w:styleId="110">
    <w:name w:val="无间隔1"/>
    <w:link w:val="109"/>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1">
    <w:name w:val="普通文字 Char Char2"/>
    <w:qFormat/>
    <w:uiPriority w:val="0"/>
    <w:rPr>
      <w:rFonts w:ascii="宋体" w:hAnsi="Courier New" w:eastAsia="宋体" w:cs="Courier New"/>
      <w:szCs w:val="21"/>
    </w:rPr>
  </w:style>
  <w:style w:type="character" w:customStyle="1" w:styleId="112">
    <w:name w:val="Char Char3"/>
    <w:qFormat/>
    <w:uiPriority w:val="0"/>
    <w:rPr>
      <w:rFonts w:ascii="宋体" w:hAnsi="Courier New" w:eastAsia="宋体"/>
      <w:kern w:val="2"/>
      <w:sz w:val="21"/>
      <w:lang w:val="en-US" w:eastAsia="zh-CN" w:bidi="ar-SA"/>
    </w:rPr>
  </w:style>
  <w:style w:type="character" w:customStyle="1" w:styleId="113">
    <w:name w:val="标题 Char1"/>
    <w:basedOn w:val="50"/>
    <w:qFormat/>
    <w:uiPriority w:val="0"/>
    <w:rPr>
      <w:rFonts w:ascii="Cambria" w:hAnsi="Cambria" w:cs="Times New Roman"/>
      <w:b/>
      <w:bCs/>
      <w:kern w:val="2"/>
      <w:sz w:val="32"/>
      <w:szCs w:val="32"/>
    </w:rPr>
  </w:style>
  <w:style w:type="character" w:customStyle="1" w:styleId="114">
    <w:name w:val="普通文字 Char Char1 Char"/>
    <w:qFormat/>
    <w:locked/>
    <w:uiPriority w:val="0"/>
    <w:rPr>
      <w:rFonts w:ascii="宋体" w:hAnsi="Courier New" w:eastAsia="宋体" w:cs="宋体"/>
      <w:kern w:val="2"/>
      <w:sz w:val="21"/>
      <w:szCs w:val="21"/>
      <w:lang w:val="en-US" w:eastAsia="zh-CN"/>
    </w:rPr>
  </w:style>
  <w:style w:type="character" w:customStyle="1" w:styleId="115">
    <w:name w:val="纯文本 字符"/>
    <w:basedOn w:val="50"/>
    <w:qFormat/>
    <w:uiPriority w:val="0"/>
    <w:rPr>
      <w:rFonts w:ascii="宋体" w:hAnsi="Courier New" w:cs="Courier New"/>
      <w:sz w:val="24"/>
    </w:rPr>
  </w:style>
  <w:style w:type="character" w:customStyle="1" w:styleId="116">
    <w:name w:val="*正文 Char"/>
    <w:link w:val="117"/>
    <w:qFormat/>
    <w:uiPriority w:val="0"/>
    <w:rPr>
      <w:rFonts w:ascii="仿宋_GB2312" w:eastAsia="仿宋_GB2312"/>
      <w:sz w:val="24"/>
      <w:szCs w:val="28"/>
    </w:rPr>
  </w:style>
  <w:style w:type="paragraph" w:customStyle="1" w:styleId="117">
    <w:name w:val="*正文"/>
    <w:basedOn w:val="1"/>
    <w:link w:val="116"/>
    <w:qFormat/>
    <w:uiPriority w:val="0"/>
    <w:pPr>
      <w:widowControl/>
      <w:spacing w:line="240" w:lineRule="auto"/>
      <w:jc w:val="left"/>
    </w:pPr>
    <w:rPr>
      <w:rFonts w:ascii="仿宋_GB2312" w:eastAsia="仿宋_GB2312"/>
      <w:kern w:val="0"/>
      <w:szCs w:val="28"/>
    </w:rPr>
  </w:style>
  <w:style w:type="character" w:customStyle="1" w:styleId="118">
    <w:name w:val="标题 1 Char1"/>
    <w:qFormat/>
    <w:uiPriority w:val="0"/>
    <w:rPr>
      <w:b/>
      <w:bCs/>
      <w:kern w:val="44"/>
      <w:sz w:val="44"/>
      <w:szCs w:val="44"/>
    </w:rPr>
  </w:style>
  <w:style w:type="character" w:customStyle="1" w:styleId="119">
    <w:name w:val="case31"/>
    <w:qFormat/>
    <w:uiPriority w:val="0"/>
    <w:rPr>
      <w:rFonts w:hint="default"/>
      <w:sz w:val="21"/>
      <w:szCs w:val="21"/>
    </w:rPr>
  </w:style>
  <w:style w:type="character" w:customStyle="1" w:styleId="120">
    <w:name w:val="062"/>
    <w:qFormat/>
    <w:uiPriority w:val="0"/>
    <w:rPr>
      <w:rFonts w:ascii="宋体" w:hAnsi="宋体"/>
      <w:b/>
      <w:bCs/>
      <w:sz w:val="32"/>
    </w:rPr>
  </w:style>
  <w:style w:type="character" w:customStyle="1" w:styleId="121">
    <w:name w:val="正文缩进 Char1"/>
    <w:qFormat/>
    <w:locked/>
    <w:uiPriority w:val="0"/>
    <w:rPr>
      <w:rFonts w:eastAsia="宋体"/>
      <w:kern w:val="2"/>
      <w:sz w:val="21"/>
      <w:lang w:val="en-US" w:eastAsia="zh-CN" w:bidi="ar-SA"/>
    </w:rPr>
  </w:style>
  <w:style w:type="character" w:customStyle="1" w:styleId="122">
    <w:name w:val="普通文字 Char Char3"/>
    <w:qFormat/>
    <w:uiPriority w:val="0"/>
    <w:rPr>
      <w:rFonts w:ascii="宋体" w:hAnsi="Courier New"/>
      <w:kern w:val="2"/>
      <w:sz w:val="21"/>
    </w:rPr>
  </w:style>
  <w:style w:type="character" w:customStyle="1" w:styleId="123">
    <w:name w:val="font41"/>
    <w:qFormat/>
    <w:uiPriority w:val="0"/>
    <w:rPr>
      <w:rFonts w:hint="eastAsia" w:ascii="宋体" w:hAnsi="宋体" w:eastAsia="宋体" w:cs="宋体"/>
      <w:color w:val="FF0000"/>
      <w:sz w:val="18"/>
      <w:szCs w:val="18"/>
      <w:u w:val="none"/>
    </w:rPr>
  </w:style>
  <w:style w:type="character" w:customStyle="1" w:styleId="124">
    <w:name w:val="正文文本缩进 字符1"/>
    <w:basedOn w:val="50"/>
    <w:semiHidden/>
    <w:qFormat/>
    <w:uiPriority w:val="99"/>
  </w:style>
  <w:style w:type="character" w:customStyle="1" w:styleId="125">
    <w:name w:val="正文文本缩进 3 字符"/>
    <w:semiHidden/>
    <w:qFormat/>
    <w:uiPriority w:val="99"/>
    <w:rPr>
      <w:sz w:val="16"/>
      <w:szCs w:val="16"/>
    </w:rPr>
  </w:style>
  <w:style w:type="character" w:customStyle="1" w:styleId="126">
    <w:name w:val="纯文本 字符2"/>
    <w:qFormat/>
    <w:uiPriority w:val="0"/>
    <w:rPr>
      <w:rFonts w:ascii="宋体" w:hAnsi="Courier New" w:eastAsia="宋体" w:cs="Courier New"/>
      <w:kern w:val="2"/>
      <w:sz w:val="21"/>
      <w:szCs w:val="21"/>
      <w:lang w:val="en-US" w:eastAsia="zh-CN" w:bidi="ar-SA"/>
    </w:rPr>
  </w:style>
  <w:style w:type="character" w:customStyle="1" w:styleId="127">
    <w:name w:val="标题 8 Char1"/>
    <w:semiHidden/>
    <w:qFormat/>
    <w:uiPriority w:val="0"/>
    <w:rPr>
      <w:rFonts w:ascii="Cambria" w:hAnsi="Cambria" w:eastAsia="宋体" w:cs="Times New Roman"/>
      <w:kern w:val="2"/>
      <w:sz w:val="24"/>
      <w:szCs w:val="24"/>
    </w:rPr>
  </w:style>
  <w:style w:type="character" w:customStyle="1" w:styleId="128">
    <w:name w:val="正文文本 (2)_"/>
    <w:link w:val="129"/>
    <w:qFormat/>
    <w:locked/>
    <w:uiPriority w:val="0"/>
    <w:rPr>
      <w:rFonts w:ascii="MingLiU" w:hAnsi="MingLiU" w:eastAsia="MingLiU" w:cs="MingLiU"/>
      <w:sz w:val="22"/>
      <w:shd w:val="clear" w:color="auto" w:fill="FFFFFF"/>
    </w:rPr>
  </w:style>
  <w:style w:type="paragraph" w:customStyle="1" w:styleId="129">
    <w:name w:val="正文文本 (2)5"/>
    <w:basedOn w:val="1"/>
    <w:link w:val="128"/>
    <w:qFormat/>
    <w:uiPriority w:val="0"/>
    <w:pPr>
      <w:shd w:val="clear" w:color="auto" w:fill="FFFFFF"/>
      <w:spacing w:before="540" w:line="466" w:lineRule="exact"/>
      <w:ind w:hanging="440" w:firstLineChars="0"/>
      <w:jc w:val="distribute"/>
    </w:pPr>
    <w:rPr>
      <w:rFonts w:ascii="MingLiU" w:hAnsi="MingLiU" w:eastAsia="MingLiU"/>
      <w:kern w:val="0"/>
      <w:sz w:val="22"/>
      <w:szCs w:val="20"/>
    </w:rPr>
  </w:style>
  <w:style w:type="character" w:customStyle="1" w:styleId="130">
    <w:name w:val="表格标题 Char"/>
    <w:link w:val="131"/>
    <w:qFormat/>
    <w:uiPriority w:val="0"/>
    <w:rPr>
      <w:rFonts w:ascii="Calibri" w:hAnsi="Calibri" w:eastAsia="宋体" w:cs="Times New Roman"/>
      <w:b/>
      <w:sz w:val="24"/>
      <w:lang w:val="zh-CN"/>
    </w:rPr>
  </w:style>
  <w:style w:type="paragraph" w:customStyle="1" w:styleId="131">
    <w:name w:val="表格标题"/>
    <w:basedOn w:val="132"/>
    <w:link w:val="130"/>
    <w:qFormat/>
    <w:uiPriority w:val="0"/>
    <w:pPr>
      <w:jc w:val="center"/>
    </w:pPr>
    <w:rPr>
      <w:b/>
    </w:rPr>
  </w:style>
  <w:style w:type="paragraph" w:customStyle="1" w:styleId="132">
    <w:name w:val="表格文本"/>
    <w:basedOn w:val="1"/>
    <w:link w:val="133"/>
    <w:qFormat/>
    <w:uiPriority w:val="0"/>
    <w:pPr>
      <w:spacing w:line="276" w:lineRule="auto"/>
      <w:ind w:firstLine="0" w:firstLineChars="0"/>
    </w:pPr>
    <w:rPr>
      <w:kern w:val="0"/>
      <w:szCs w:val="20"/>
      <w:lang w:val="zh-CN"/>
    </w:rPr>
  </w:style>
  <w:style w:type="character" w:customStyle="1" w:styleId="133">
    <w:name w:val="表格文本 Char"/>
    <w:link w:val="132"/>
    <w:qFormat/>
    <w:uiPriority w:val="0"/>
    <w:rPr>
      <w:rFonts w:ascii="Calibri" w:hAnsi="Calibri" w:eastAsia="宋体" w:cs="Times New Roman"/>
      <w:sz w:val="24"/>
      <w:lang w:val="zh-CN"/>
    </w:rPr>
  </w:style>
  <w:style w:type="character" w:customStyle="1" w:styleId="134">
    <w:name w:val="t-14"/>
    <w:basedOn w:val="50"/>
    <w:qFormat/>
    <w:uiPriority w:val="0"/>
  </w:style>
  <w:style w:type="character" w:customStyle="1" w:styleId="135">
    <w:name w:val="ca-142"/>
    <w:basedOn w:val="50"/>
    <w:qFormat/>
    <w:uiPriority w:val="0"/>
  </w:style>
  <w:style w:type="character" w:customStyle="1" w:styleId="136">
    <w:name w:val="NormalCharacter"/>
    <w:qFormat/>
    <w:uiPriority w:val="0"/>
    <w:rPr>
      <w:rFonts w:ascii="Times New Roman" w:hAnsi="Times New Roman" w:eastAsia="华文新魏" w:cs="Times New Roman"/>
      <w:lang w:bidi="ar-SA"/>
    </w:rPr>
  </w:style>
  <w:style w:type="character" w:customStyle="1" w:styleId="137">
    <w:name w:val="A正文小四 Char"/>
    <w:link w:val="138"/>
    <w:qFormat/>
    <w:uiPriority w:val="0"/>
    <w:rPr>
      <w:sz w:val="24"/>
      <w:szCs w:val="24"/>
    </w:rPr>
  </w:style>
  <w:style w:type="paragraph" w:customStyle="1" w:styleId="138">
    <w:name w:val="A正文小四"/>
    <w:basedOn w:val="1"/>
    <w:link w:val="137"/>
    <w:qFormat/>
    <w:uiPriority w:val="0"/>
    <w:rPr>
      <w:kern w:val="0"/>
      <w:szCs w:val="24"/>
    </w:rPr>
  </w:style>
  <w:style w:type="character" w:customStyle="1" w:styleId="139">
    <w:name w:val="标题 4 Char1"/>
    <w:semiHidden/>
    <w:qFormat/>
    <w:uiPriority w:val="0"/>
    <w:rPr>
      <w:rFonts w:ascii="Cambria" w:hAnsi="Cambria" w:eastAsia="宋体" w:cs="Times New Roman"/>
      <w:b/>
      <w:bCs/>
      <w:kern w:val="2"/>
      <w:sz w:val="28"/>
      <w:szCs w:val="28"/>
    </w:rPr>
  </w:style>
  <w:style w:type="character" w:customStyle="1" w:styleId="140">
    <w:name w:val="font21"/>
    <w:qFormat/>
    <w:uiPriority w:val="0"/>
    <w:rPr>
      <w:rFonts w:hint="default" w:ascii="Times New Roman" w:hAnsi="Times New Roman" w:cs="Times New Roman"/>
      <w:color w:val="000000"/>
      <w:sz w:val="18"/>
      <w:szCs w:val="18"/>
      <w:u w:val="none"/>
    </w:rPr>
  </w:style>
  <w:style w:type="character" w:customStyle="1" w:styleId="141">
    <w:name w:val="apple-converted-space"/>
    <w:basedOn w:val="50"/>
    <w:qFormat/>
    <w:uiPriority w:val="0"/>
  </w:style>
  <w:style w:type="character" w:customStyle="1" w:styleId="142">
    <w:name w:val="列出段落 Char"/>
    <w:link w:val="143"/>
    <w:qFormat/>
    <w:locked/>
    <w:uiPriority w:val="0"/>
    <w:rPr>
      <w:kern w:val="2"/>
      <w:sz w:val="21"/>
      <w:szCs w:val="24"/>
    </w:rPr>
  </w:style>
  <w:style w:type="paragraph" w:customStyle="1" w:styleId="143">
    <w:name w:val="列出段落2"/>
    <w:basedOn w:val="1"/>
    <w:link w:val="142"/>
    <w:unhideWhenUsed/>
    <w:qFormat/>
    <w:uiPriority w:val="0"/>
    <w:pPr>
      <w:spacing w:line="240" w:lineRule="auto"/>
      <w:ind w:firstLine="420"/>
    </w:pPr>
    <w:rPr>
      <w:sz w:val="21"/>
      <w:szCs w:val="24"/>
    </w:rPr>
  </w:style>
  <w:style w:type="character" w:customStyle="1" w:styleId="144">
    <w:name w:val="标题 Char2"/>
    <w:basedOn w:val="50"/>
    <w:qFormat/>
    <w:uiPriority w:val="10"/>
    <w:rPr>
      <w:rFonts w:ascii="Cambria" w:hAnsi="Cambria" w:cs="Times New Roman"/>
      <w:b/>
      <w:bCs/>
      <w:kern w:val="2"/>
      <w:sz w:val="32"/>
      <w:szCs w:val="32"/>
    </w:rPr>
  </w:style>
  <w:style w:type="character" w:customStyle="1" w:styleId="145">
    <w:name w:val="fontstyle11"/>
    <w:basedOn w:val="50"/>
    <w:qFormat/>
    <w:uiPriority w:val="0"/>
    <w:rPr>
      <w:rFonts w:hint="eastAsia" w:ascii="宋体" w:hAnsi="宋体" w:eastAsia="宋体"/>
      <w:color w:val="000000"/>
      <w:sz w:val="22"/>
      <w:szCs w:val="22"/>
    </w:rPr>
  </w:style>
  <w:style w:type="character" w:customStyle="1" w:styleId="146">
    <w:name w:val="文档结构图 Char"/>
    <w:basedOn w:val="50"/>
    <w:link w:val="147"/>
    <w:qFormat/>
    <w:uiPriority w:val="0"/>
    <w:rPr>
      <w:rFonts w:ascii="宋体"/>
      <w:kern w:val="2"/>
      <w:sz w:val="18"/>
      <w:szCs w:val="18"/>
    </w:rPr>
  </w:style>
  <w:style w:type="paragraph" w:customStyle="1" w:styleId="147">
    <w:name w:val="文档结构图1"/>
    <w:basedOn w:val="1"/>
    <w:next w:val="16"/>
    <w:link w:val="146"/>
    <w:unhideWhenUsed/>
    <w:qFormat/>
    <w:uiPriority w:val="0"/>
    <w:pPr>
      <w:spacing w:line="240" w:lineRule="auto"/>
      <w:ind w:firstLine="0" w:firstLineChars="0"/>
    </w:pPr>
    <w:rPr>
      <w:rFonts w:ascii="宋体"/>
      <w:sz w:val="18"/>
      <w:szCs w:val="18"/>
    </w:rPr>
  </w:style>
  <w:style w:type="character" w:customStyle="1" w:styleId="148">
    <w:name w:val="Char Char5"/>
    <w:qFormat/>
    <w:locked/>
    <w:uiPriority w:val="0"/>
    <w:rPr>
      <w:rFonts w:cs="Times New Roman"/>
      <w:sz w:val="21"/>
      <w:szCs w:val="21"/>
    </w:rPr>
  </w:style>
  <w:style w:type="character" w:customStyle="1" w:styleId="149">
    <w:name w:val="正文缩进2字符 Char"/>
    <w:link w:val="150"/>
    <w:qFormat/>
    <w:locked/>
    <w:uiPriority w:val="0"/>
    <w:rPr>
      <w:kern w:val="2"/>
      <w:sz w:val="24"/>
      <w:szCs w:val="24"/>
    </w:rPr>
  </w:style>
  <w:style w:type="paragraph" w:customStyle="1" w:styleId="150">
    <w:name w:val="正文缩进2字符"/>
    <w:basedOn w:val="1"/>
    <w:next w:val="1"/>
    <w:link w:val="149"/>
    <w:qFormat/>
    <w:uiPriority w:val="0"/>
    <w:pPr>
      <w:ind w:firstLine="480"/>
    </w:pPr>
    <w:rPr>
      <w:szCs w:val="24"/>
    </w:rPr>
  </w:style>
  <w:style w:type="character" w:customStyle="1" w:styleId="151">
    <w:name w:val="font61"/>
    <w:basedOn w:val="50"/>
    <w:qFormat/>
    <w:uiPriority w:val="0"/>
    <w:rPr>
      <w:rFonts w:hint="eastAsia" w:ascii="宋体" w:hAnsi="宋体" w:eastAsia="宋体" w:cs="宋体"/>
      <w:color w:val="000000"/>
      <w:sz w:val="18"/>
      <w:szCs w:val="18"/>
      <w:u w:val="none"/>
    </w:rPr>
  </w:style>
  <w:style w:type="character" w:customStyle="1" w:styleId="152">
    <w:name w:val="font71"/>
    <w:qFormat/>
    <w:uiPriority w:val="0"/>
    <w:rPr>
      <w:rFonts w:hint="eastAsia" w:ascii="宋体" w:hAnsi="宋体" w:eastAsia="宋体" w:cs="宋体"/>
      <w:color w:val="000000"/>
      <w:sz w:val="21"/>
      <w:szCs w:val="21"/>
      <w:u w:val="none"/>
    </w:rPr>
  </w:style>
  <w:style w:type="character" w:customStyle="1" w:styleId="153">
    <w:name w:val="span_param1"/>
    <w:basedOn w:val="50"/>
    <w:qFormat/>
    <w:uiPriority w:val="0"/>
  </w:style>
  <w:style w:type="character" w:customStyle="1" w:styleId="154">
    <w:name w:val="普通文字 Char Char5"/>
    <w:qFormat/>
    <w:uiPriority w:val="0"/>
    <w:rPr>
      <w:rFonts w:ascii="宋体" w:hAnsi="Courier New" w:eastAsia="宋体"/>
      <w:szCs w:val="21"/>
      <w:lang w:bidi="ar-SA"/>
    </w:rPr>
  </w:style>
  <w:style w:type="character" w:customStyle="1" w:styleId="155">
    <w:name w:val="标准正文 Char"/>
    <w:link w:val="156"/>
    <w:qFormat/>
    <w:locked/>
    <w:uiPriority w:val="0"/>
    <w:rPr>
      <w:rFonts w:ascii="宋体" w:hAnsi="宋体"/>
      <w:kern w:val="2"/>
      <w:sz w:val="24"/>
      <w:szCs w:val="22"/>
    </w:rPr>
  </w:style>
  <w:style w:type="paragraph" w:customStyle="1" w:styleId="156">
    <w:name w:val="标准正文"/>
    <w:basedOn w:val="1"/>
    <w:link w:val="155"/>
    <w:qFormat/>
    <w:uiPriority w:val="0"/>
    <w:pPr>
      <w:ind w:firstLine="420"/>
    </w:pPr>
    <w:rPr>
      <w:rFonts w:ascii="宋体" w:hAnsi="宋体"/>
    </w:rPr>
  </w:style>
  <w:style w:type="character" w:customStyle="1" w:styleId="157">
    <w:name w:val="页脚 Char1"/>
    <w:basedOn w:val="50"/>
    <w:qFormat/>
    <w:uiPriority w:val="0"/>
    <w:rPr>
      <w:rFonts w:eastAsia="宋体"/>
      <w:kern w:val="2"/>
      <w:sz w:val="18"/>
      <w:szCs w:val="18"/>
    </w:rPr>
  </w:style>
  <w:style w:type="character" w:customStyle="1" w:styleId="158">
    <w:name w:val="style291"/>
    <w:qFormat/>
    <w:uiPriority w:val="0"/>
    <w:rPr>
      <w:rFonts w:hint="eastAsia" w:ascii="仿宋_GB2312" w:eastAsia="仿宋_GB2312"/>
    </w:rPr>
  </w:style>
  <w:style w:type="character" w:customStyle="1" w:styleId="159">
    <w:name w:val="A4"/>
    <w:qFormat/>
    <w:uiPriority w:val="0"/>
    <w:rPr>
      <w:rFonts w:ascii="新宋体" w:eastAsia="新宋体" w:cs="新宋体"/>
      <w:color w:val="000000"/>
      <w:lang w:bidi="ar-SA"/>
    </w:rPr>
  </w:style>
  <w:style w:type="character" w:customStyle="1" w:styleId="160">
    <w:name w:val="纯文本 Char2"/>
    <w:qFormat/>
    <w:uiPriority w:val="0"/>
    <w:rPr>
      <w:rFonts w:ascii="宋体" w:hAnsi="Courier New" w:cs="Courier New"/>
      <w:kern w:val="2"/>
      <w:sz w:val="21"/>
      <w:szCs w:val="21"/>
    </w:rPr>
  </w:style>
  <w:style w:type="character" w:customStyle="1" w:styleId="161">
    <w:name w:val="正文文本 Char1"/>
    <w:semiHidden/>
    <w:qFormat/>
    <w:locked/>
    <w:uiPriority w:val="0"/>
    <w:rPr>
      <w:kern w:val="2"/>
      <w:sz w:val="21"/>
      <w:szCs w:val="24"/>
    </w:rPr>
  </w:style>
  <w:style w:type="character" w:customStyle="1" w:styleId="162">
    <w:name w:val="标准正文 S字符"/>
    <w:link w:val="163"/>
    <w:qFormat/>
    <w:locked/>
    <w:uiPriority w:val="0"/>
    <w:rPr>
      <w:kern w:val="2"/>
      <w:sz w:val="24"/>
      <w:szCs w:val="24"/>
    </w:rPr>
  </w:style>
  <w:style w:type="paragraph" w:customStyle="1" w:styleId="163">
    <w:name w:val="标准正文 S"/>
    <w:basedOn w:val="1"/>
    <w:link w:val="162"/>
    <w:qFormat/>
    <w:uiPriority w:val="0"/>
    <w:pPr>
      <w:spacing w:beforeLines="50" w:afterLines="50"/>
      <w:ind w:firstLine="480" w:firstLineChars="0"/>
      <w:jc w:val="left"/>
    </w:pPr>
    <w:rPr>
      <w:szCs w:val="24"/>
    </w:rPr>
  </w:style>
  <w:style w:type="character" w:customStyle="1" w:styleId="164">
    <w:name w:val="副章标题 Char"/>
    <w:link w:val="165"/>
    <w:qFormat/>
    <w:uiPriority w:val="0"/>
    <w:rPr>
      <w:rFonts w:hAnsi="微软雅黑"/>
      <w:b/>
      <w:color w:val="000000"/>
      <w:sz w:val="36"/>
      <w:szCs w:val="36"/>
    </w:rPr>
  </w:style>
  <w:style w:type="paragraph" w:customStyle="1" w:styleId="165">
    <w:name w:val="副章标题"/>
    <w:basedOn w:val="1"/>
    <w:link w:val="164"/>
    <w:qFormat/>
    <w:uiPriority w:val="0"/>
    <w:pPr>
      <w:spacing w:line="240" w:lineRule="auto"/>
      <w:ind w:firstLine="0" w:firstLineChars="0"/>
      <w:outlineLvl w:val="1"/>
    </w:pPr>
    <w:rPr>
      <w:rFonts w:hAnsi="微软雅黑"/>
      <w:b/>
      <w:color w:val="000000"/>
      <w:kern w:val="0"/>
      <w:sz w:val="36"/>
      <w:szCs w:val="36"/>
    </w:rPr>
  </w:style>
  <w:style w:type="paragraph" w:customStyle="1" w:styleId="166">
    <w:name w:val="目录 41"/>
    <w:basedOn w:val="1"/>
    <w:next w:val="1"/>
    <w:unhideWhenUsed/>
    <w:qFormat/>
    <w:uiPriority w:val="39"/>
    <w:pPr>
      <w:spacing w:line="240" w:lineRule="auto"/>
      <w:ind w:left="630" w:firstLine="0" w:firstLineChars="0"/>
      <w:jc w:val="left"/>
    </w:pPr>
    <w:rPr>
      <w:rFonts w:ascii="等线" w:hAnsi="等线" w:eastAsia="等线"/>
      <w:sz w:val="18"/>
      <w:szCs w:val="18"/>
    </w:rPr>
  </w:style>
  <w:style w:type="paragraph" w:customStyle="1" w:styleId="167">
    <w:name w:val="Char Char Char"/>
    <w:basedOn w:val="1"/>
    <w:qFormat/>
    <w:uiPriority w:val="0"/>
    <w:pPr>
      <w:spacing w:line="240" w:lineRule="auto"/>
      <w:ind w:firstLine="0" w:firstLineChars="0"/>
    </w:pPr>
    <w:rPr>
      <w:rFonts w:ascii="Tahoma" w:hAnsi="Tahoma"/>
      <w:szCs w:val="20"/>
    </w:rPr>
  </w:style>
  <w:style w:type="paragraph" w:customStyle="1" w:styleId="168">
    <w:name w:val="标题 81"/>
    <w:basedOn w:val="1"/>
    <w:next w:val="1"/>
    <w:unhideWhenUsed/>
    <w:qFormat/>
    <w:uiPriority w:val="0"/>
    <w:pPr>
      <w:keepNext/>
      <w:keepLines/>
      <w:tabs>
        <w:tab w:val="left" w:pos="3360"/>
      </w:tabs>
      <w:spacing w:before="240" w:after="64" w:line="320" w:lineRule="auto"/>
      <w:ind w:left="3360" w:hanging="420" w:firstLineChars="0"/>
      <w:outlineLvl w:val="7"/>
    </w:pPr>
    <w:rPr>
      <w:rFonts w:ascii="等线 Light" w:hAnsi="等线 Light" w:eastAsia="等线 Light"/>
      <w:szCs w:val="24"/>
    </w:rPr>
  </w:style>
  <w:style w:type="paragraph" w:customStyle="1" w:styleId="169">
    <w:name w:val="标题 11"/>
    <w:basedOn w:val="1"/>
    <w:next w:val="1"/>
    <w:qFormat/>
    <w:uiPriority w:val="0"/>
    <w:pPr>
      <w:keepNext/>
      <w:keepLines/>
      <w:pageBreakBefore/>
      <w:tabs>
        <w:tab w:val="left" w:pos="1080"/>
      </w:tabs>
      <w:spacing w:line="578" w:lineRule="auto"/>
      <w:ind w:left="1080" w:hanging="1080" w:firstLineChars="0"/>
      <w:jc w:val="left"/>
      <w:outlineLvl w:val="0"/>
    </w:pPr>
    <w:rPr>
      <w:rFonts w:ascii="微软雅黑" w:hAnsi="微软雅黑" w:eastAsia="微软雅黑" w:cs="仿宋"/>
      <w:b/>
      <w:color w:val="000000"/>
      <w:sz w:val="32"/>
      <w:szCs w:val="32"/>
    </w:rPr>
  </w:style>
  <w:style w:type="paragraph" w:customStyle="1" w:styleId="170">
    <w:name w:val="表内文字"/>
    <w:basedOn w:val="1"/>
    <w:qFormat/>
    <w:uiPriority w:val="0"/>
    <w:pPr>
      <w:snapToGrid w:val="0"/>
      <w:spacing w:before="50" w:after="50" w:line="240" w:lineRule="auto"/>
      <w:ind w:firstLine="0" w:firstLineChars="0"/>
      <w:jc w:val="center"/>
    </w:pPr>
    <w:rPr>
      <w:rFonts w:ascii="仿宋_GB2312" w:hAnsi="宋体" w:eastAsia="仿宋_GB2312"/>
      <w:b/>
      <w:color w:val="000000"/>
      <w:sz w:val="32"/>
      <w:szCs w:val="32"/>
    </w:rPr>
  </w:style>
  <w:style w:type="paragraph" w:customStyle="1" w:styleId="17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72">
    <w:name w:val="Char1"/>
    <w:basedOn w:val="1"/>
    <w:qFormat/>
    <w:uiPriority w:val="0"/>
    <w:pPr>
      <w:spacing w:line="240" w:lineRule="auto"/>
      <w:ind w:firstLine="0" w:firstLineChars="0"/>
    </w:pPr>
    <w:rPr>
      <w:sz w:val="21"/>
      <w:szCs w:val="21"/>
    </w:rPr>
  </w:style>
  <w:style w:type="paragraph" w:customStyle="1" w:styleId="173">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szCs w:val="24"/>
    </w:rPr>
  </w:style>
  <w:style w:type="paragraph" w:customStyle="1" w:styleId="174">
    <w:name w:val="_Style 29"/>
    <w:basedOn w:val="1"/>
    <w:qFormat/>
    <w:uiPriority w:val="0"/>
    <w:pPr>
      <w:spacing w:line="240" w:lineRule="auto"/>
      <w:ind w:firstLine="0" w:firstLineChars="0"/>
    </w:pPr>
    <w:rPr>
      <w:rFonts w:ascii="Tahoma" w:hAnsi="Tahoma"/>
      <w:szCs w:val="20"/>
    </w:rPr>
  </w:style>
  <w:style w:type="paragraph" w:customStyle="1" w:styleId="17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76">
    <w:name w:val="列出段落3"/>
    <w:basedOn w:val="1"/>
    <w:unhideWhenUsed/>
    <w:qFormat/>
    <w:uiPriority w:val="99"/>
    <w:pPr>
      <w:spacing w:line="240" w:lineRule="auto"/>
      <w:ind w:firstLine="420"/>
    </w:pPr>
    <w:rPr>
      <w:sz w:val="21"/>
      <w:szCs w:val="24"/>
    </w:rPr>
  </w:style>
  <w:style w:type="paragraph" w:customStyle="1" w:styleId="177">
    <w:name w:val="默认段落字体 Para Char Char Char Char Char Char Char Char Char1 Char Char Char Char"/>
    <w:basedOn w:val="1"/>
    <w:qFormat/>
    <w:uiPriority w:val="0"/>
    <w:pPr>
      <w:spacing w:line="240" w:lineRule="auto"/>
      <w:ind w:firstLine="0" w:firstLineChars="0"/>
    </w:pPr>
    <w:rPr>
      <w:rFonts w:ascii="Tahoma" w:hAnsi="Tahoma"/>
      <w:szCs w:val="20"/>
    </w:rPr>
  </w:style>
  <w:style w:type="paragraph" w:customStyle="1" w:styleId="178">
    <w:name w:val="Char3"/>
    <w:basedOn w:val="1"/>
    <w:qFormat/>
    <w:uiPriority w:val="0"/>
    <w:pPr>
      <w:widowControl/>
      <w:spacing w:line="500" w:lineRule="exact"/>
      <w:ind w:firstLine="0" w:firstLineChars="0"/>
      <w:outlineLvl w:val="2"/>
    </w:pPr>
    <w:rPr>
      <w:rFonts w:ascii="黑体" w:hAnsi="Verdana" w:eastAsia="黑体" w:cs="黑体"/>
      <w:kern w:val="0"/>
      <w:sz w:val="28"/>
      <w:szCs w:val="28"/>
      <w:lang w:eastAsia="en-US"/>
    </w:rPr>
  </w:style>
  <w:style w:type="paragraph" w:styleId="179">
    <w:name w:val="List Paragraph"/>
    <w:basedOn w:val="1"/>
    <w:qFormat/>
    <w:uiPriority w:val="0"/>
    <w:pPr>
      <w:ind w:firstLine="420"/>
    </w:pPr>
  </w:style>
  <w:style w:type="paragraph" w:customStyle="1" w:styleId="180">
    <w:name w:val="表格"/>
    <w:basedOn w:val="1"/>
    <w:qFormat/>
    <w:uiPriority w:val="0"/>
    <w:pPr>
      <w:spacing w:line="400" w:lineRule="exact"/>
      <w:ind w:firstLine="0" w:firstLineChars="0"/>
    </w:pPr>
    <w:rPr>
      <w:szCs w:val="24"/>
    </w:rPr>
  </w:style>
  <w:style w:type="paragraph" w:customStyle="1" w:styleId="181">
    <w:name w:val="目录 61"/>
    <w:basedOn w:val="1"/>
    <w:next w:val="1"/>
    <w:unhideWhenUsed/>
    <w:qFormat/>
    <w:uiPriority w:val="39"/>
    <w:pPr>
      <w:spacing w:line="240" w:lineRule="auto"/>
      <w:ind w:left="1050" w:firstLine="0" w:firstLineChars="0"/>
      <w:jc w:val="left"/>
    </w:pPr>
    <w:rPr>
      <w:rFonts w:ascii="等线" w:hAnsi="等线" w:eastAsia="等线"/>
      <w:sz w:val="18"/>
      <w:szCs w:val="18"/>
    </w:rPr>
  </w:style>
  <w:style w:type="paragraph" w:customStyle="1" w:styleId="182">
    <w:name w:val="修订1"/>
    <w:semiHidden/>
    <w:qFormat/>
    <w:uiPriority w:val="99"/>
    <w:rPr>
      <w:rFonts w:ascii="Times New Roman" w:hAnsi="Times New Roman" w:eastAsia="宋体" w:cs="Times New Roman"/>
      <w:kern w:val="2"/>
      <w:sz w:val="21"/>
      <w:lang w:val="en-US" w:eastAsia="zh-CN" w:bidi="ar-SA"/>
    </w:rPr>
  </w:style>
  <w:style w:type="paragraph" w:customStyle="1" w:styleId="183">
    <w:name w:val="ZW"/>
    <w:basedOn w:val="1"/>
    <w:qFormat/>
    <w:uiPriority w:val="0"/>
    <w:pPr>
      <w:spacing w:line="560" w:lineRule="exact"/>
      <w:ind w:firstLine="560"/>
    </w:pPr>
    <w:rPr>
      <w:rFonts w:hAnsi="宋体"/>
      <w:sz w:val="28"/>
      <w:szCs w:val="28"/>
    </w:rPr>
  </w:style>
  <w:style w:type="paragraph" w:styleId="184">
    <w:name w:val="No Spacing"/>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85">
    <w:name w:val="列出段落11"/>
    <w:basedOn w:val="1"/>
    <w:qFormat/>
    <w:uiPriority w:val="34"/>
    <w:pPr>
      <w:spacing w:line="240" w:lineRule="auto"/>
      <w:ind w:firstLine="420"/>
    </w:pPr>
    <w:rPr>
      <w:sz w:val="21"/>
      <w:szCs w:val="24"/>
    </w:rPr>
  </w:style>
  <w:style w:type="paragraph" w:customStyle="1" w:styleId="186">
    <w:name w:val="样式 首行缩进:  2 字符"/>
    <w:basedOn w:val="1"/>
    <w:qFormat/>
    <w:uiPriority w:val="0"/>
    <w:pPr>
      <w:spacing w:line="400" w:lineRule="exact"/>
    </w:pPr>
    <w:rPr>
      <w:rFonts w:cs="宋体"/>
      <w:szCs w:val="24"/>
    </w:rPr>
  </w:style>
  <w:style w:type="paragraph" w:customStyle="1" w:styleId="187">
    <w:name w:val="目录 31"/>
    <w:basedOn w:val="1"/>
    <w:next w:val="1"/>
    <w:unhideWhenUsed/>
    <w:qFormat/>
    <w:uiPriority w:val="39"/>
    <w:pPr>
      <w:spacing w:line="240" w:lineRule="auto"/>
      <w:ind w:left="420" w:firstLine="0" w:firstLineChars="0"/>
      <w:jc w:val="left"/>
    </w:pPr>
    <w:rPr>
      <w:rFonts w:ascii="等线" w:hAnsi="等线" w:eastAsia="等线"/>
      <w:i/>
      <w:iCs/>
      <w:sz w:val="20"/>
      <w:szCs w:val="20"/>
    </w:rPr>
  </w:style>
  <w:style w:type="paragraph" w:customStyle="1" w:styleId="188">
    <w:name w:val="无间隔1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默认段落字体 Para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190">
    <w:name w:val="题注1"/>
    <w:basedOn w:val="1"/>
    <w:next w:val="1"/>
    <w:unhideWhenUsed/>
    <w:qFormat/>
    <w:uiPriority w:val="0"/>
    <w:pPr>
      <w:keepNext/>
      <w:ind w:firstLine="0" w:firstLineChars="0"/>
      <w:jc w:val="center"/>
    </w:pPr>
    <w:rPr>
      <w:rFonts w:ascii="Cambria" w:hAnsi="Cambria"/>
      <w:b/>
      <w:color w:val="000000"/>
      <w:sz w:val="21"/>
      <w:szCs w:val="20"/>
    </w:rPr>
  </w:style>
  <w:style w:type="paragraph" w:customStyle="1" w:styleId="191">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 w:type="paragraph" w:customStyle="1" w:styleId="19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3">
    <w:name w:val="Default"/>
    <w:qFormat/>
    <w:uiPriority w:val="99"/>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194">
    <w:name w:val="TOC 标题1"/>
    <w:basedOn w:val="2"/>
    <w:next w:val="1"/>
    <w:qFormat/>
    <w:uiPriority w:val="39"/>
    <w:pPr>
      <w:widowControl w:val="0"/>
      <w:numPr>
        <w:numId w:val="0"/>
      </w:numPr>
      <w:spacing w:before="340" w:after="330" w:line="578" w:lineRule="auto"/>
      <w:jc w:val="both"/>
      <w:outlineLvl w:val="9"/>
    </w:pPr>
    <w:rPr>
      <w:rFonts w:ascii="Times New Roman" w:hAnsi="Times New Roman" w:eastAsia="宋体"/>
      <w:sz w:val="44"/>
      <w:szCs w:val="44"/>
      <w:lang w:val="en-US"/>
    </w:rPr>
  </w:style>
  <w:style w:type="paragraph" w:customStyle="1" w:styleId="195">
    <w:name w:val="列表段落1"/>
    <w:basedOn w:val="1"/>
    <w:qFormat/>
    <w:uiPriority w:val="34"/>
    <w:pPr>
      <w:spacing w:beforeLines="50" w:afterLines="50" w:line="240" w:lineRule="auto"/>
      <w:ind w:firstLine="420"/>
    </w:pPr>
  </w:style>
  <w:style w:type="paragraph" w:customStyle="1" w:styleId="196">
    <w:name w:val="3 级标题"/>
    <w:basedOn w:val="4"/>
    <w:qFormat/>
    <w:uiPriority w:val="0"/>
    <w:pPr>
      <w:numPr>
        <w:ilvl w:val="0"/>
        <w:numId w:val="0"/>
      </w:numPr>
      <w:spacing w:before="120" w:after="120"/>
      <w:ind w:left="567" w:right="27" w:rightChars="13" w:hanging="567"/>
    </w:pPr>
    <w:rPr>
      <w:rFonts w:ascii="Times New Roman" w:hAnsi="Times New Roman" w:eastAsia="宋体"/>
      <w:sz w:val="28"/>
      <w:szCs w:val="32"/>
    </w:rPr>
  </w:style>
  <w:style w:type="paragraph" w:customStyle="1" w:styleId="197">
    <w:name w:val="目录 21"/>
    <w:basedOn w:val="1"/>
    <w:next w:val="1"/>
    <w:unhideWhenUsed/>
    <w:qFormat/>
    <w:uiPriority w:val="39"/>
    <w:pPr>
      <w:tabs>
        <w:tab w:val="right" w:leader="dot" w:pos="9742"/>
      </w:tabs>
      <w:spacing w:line="240" w:lineRule="exact"/>
      <w:ind w:left="210" w:firstLine="0" w:firstLineChars="0"/>
      <w:jc w:val="left"/>
    </w:pPr>
    <w:rPr>
      <w:rFonts w:ascii="等线" w:hAnsi="等线" w:eastAsia="等线"/>
      <w:smallCaps/>
      <w:sz w:val="20"/>
      <w:szCs w:val="20"/>
    </w:rPr>
  </w:style>
  <w:style w:type="paragraph" w:customStyle="1" w:styleId="198">
    <w:name w:val="目录 81"/>
    <w:basedOn w:val="1"/>
    <w:next w:val="1"/>
    <w:unhideWhenUsed/>
    <w:qFormat/>
    <w:uiPriority w:val="39"/>
    <w:pPr>
      <w:spacing w:line="240" w:lineRule="auto"/>
      <w:ind w:left="1470" w:firstLine="0" w:firstLineChars="0"/>
      <w:jc w:val="left"/>
    </w:pPr>
    <w:rPr>
      <w:rFonts w:ascii="等线" w:hAnsi="等线" w:eastAsia="等线"/>
      <w:sz w:val="18"/>
      <w:szCs w:val="18"/>
    </w:rPr>
  </w:style>
  <w:style w:type="paragraph" w:customStyle="1" w:styleId="199">
    <w:name w:val="TOC 标题11"/>
    <w:basedOn w:val="2"/>
    <w:next w:val="1"/>
    <w:unhideWhenUsed/>
    <w:qFormat/>
    <w:uiPriority w:val="39"/>
    <w:pPr>
      <w:numPr>
        <w:numId w:val="0"/>
      </w:numPr>
      <w:spacing w:before="240" w:line="259" w:lineRule="auto"/>
      <w:outlineLvl w:val="9"/>
    </w:pPr>
    <w:rPr>
      <w:rFonts w:ascii="Cambria" w:hAnsi="Cambria" w:eastAsia="宋体"/>
      <w:b w:val="0"/>
      <w:bCs w:val="0"/>
      <w:color w:val="365F91"/>
      <w:kern w:val="0"/>
      <w:sz w:val="32"/>
      <w:szCs w:val="32"/>
    </w:rPr>
  </w:style>
  <w:style w:type="paragraph" w:customStyle="1" w:styleId="20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正文段"/>
    <w:basedOn w:val="1"/>
    <w:qFormat/>
    <w:uiPriority w:val="0"/>
    <w:pPr>
      <w:widowControl/>
      <w:snapToGrid w:val="0"/>
      <w:spacing w:afterLines="50" w:line="240" w:lineRule="auto"/>
    </w:pPr>
    <w:rPr>
      <w:kern w:val="0"/>
      <w:szCs w:val="20"/>
    </w:rPr>
  </w:style>
  <w:style w:type="paragraph" w:customStyle="1" w:styleId="202">
    <w:name w:val="样式 Verdana 首行缩进:  0.74 厘米"/>
    <w:basedOn w:val="1"/>
    <w:qFormat/>
    <w:uiPriority w:val="0"/>
    <w:pPr>
      <w:ind w:firstLine="420" w:firstLineChars="0"/>
    </w:pPr>
    <w:rPr>
      <w:rFonts w:ascii="Verdana" w:hAnsi="Verdana"/>
      <w:szCs w:val="20"/>
    </w:rPr>
  </w:style>
  <w:style w:type="paragraph" w:customStyle="1" w:styleId="203">
    <w:name w:val="标题 91"/>
    <w:basedOn w:val="1"/>
    <w:next w:val="1"/>
    <w:unhideWhenUsed/>
    <w:qFormat/>
    <w:uiPriority w:val="0"/>
    <w:pPr>
      <w:keepNext/>
      <w:keepLines/>
      <w:tabs>
        <w:tab w:val="left" w:pos="3780"/>
      </w:tabs>
      <w:spacing w:before="240" w:after="64" w:line="320" w:lineRule="auto"/>
      <w:ind w:left="3780" w:hanging="420" w:firstLineChars="0"/>
      <w:outlineLvl w:val="8"/>
    </w:pPr>
    <w:rPr>
      <w:rFonts w:ascii="等线 Light" w:hAnsi="等线 Light" w:eastAsia="等线 Light"/>
      <w:sz w:val="21"/>
      <w:szCs w:val="21"/>
    </w:rPr>
  </w:style>
  <w:style w:type="paragraph" w:customStyle="1" w:styleId="204">
    <w:name w:val="p0"/>
    <w:basedOn w:val="1"/>
    <w:qFormat/>
    <w:uiPriority w:val="0"/>
    <w:pPr>
      <w:widowControl/>
      <w:spacing w:line="240" w:lineRule="auto"/>
      <w:ind w:firstLine="0" w:firstLineChars="0"/>
    </w:pPr>
    <w:rPr>
      <w:kern w:val="0"/>
      <w:sz w:val="21"/>
      <w:szCs w:val="21"/>
    </w:rPr>
  </w:style>
  <w:style w:type="paragraph" w:customStyle="1" w:styleId="205">
    <w:name w:val="444"/>
    <w:basedOn w:val="1"/>
    <w:qFormat/>
    <w:uiPriority w:val="0"/>
    <w:pPr>
      <w:adjustRightInd w:val="0"/>
      <w:spacing w:line="312" w:lineRule="atLeast"/>
      <w:ind w:firstLine="0" w:firstLineChars="0"/>
      <w:jc w:val="center"/>
      <w:textAlignment w:val="baseline"/>
    </w:pPr>
    <w:rPr>
      <w:b/>
      <w:kern w:val="0"/>
      <w:sz w:val="36"/>
      <w:szCs w:val="36"/>
    </w:rPr>
  </w:style>
  <w:style w:type="paragraph" w:customStyle="1" w:styleId="206">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7">
    <w:name w:val="样式 标题 2 + Times New Roman 四号 非加粗 段前: 5 磅 段后: 0 磅 行距: 固定值 20..."/>
    <w:basedOn w:val="3"/>
    <w:qFormat/>
    <w:uiPriority w:val="0"/>
    <w:pPr>
      <w:numPr>
        <w:ilvl w:val="0"/>
        <w:numId w:val="0"/>
      </w:numPr>
      <w:spacing w:before="100" w:line="400" w:lineRule="exact"/>
      <w:jc w:val="both"/>
    </w:pPr>
    <w:rPr>
      <w:rFonts w:ascii="Times New Roman" w:hAnsi="Times New Roman" w:cs="宋体"/>
      <w:b w:val="0"/>
      <w:bCs w:val="0"/>
      <w:sz w:val="28"/>
      <w:szCs w:val="20"/>
    </w:rPr>
  </w:style>
  <w:style w:type="paragraph" w:customStyle="1" w:styleId="208">
    <w:name w:val="1"/>
    <w:basedOn w:val="1"/>
    <w:next w:val="26"/>
    <w:qFormat/>
    <w:uiPriority w:val="0"/>
    <w:pPr>
      <w:spacing w:line="240" w:lineRule="auto"/>
      <w:ind w:firstLine="0" w:firstLineChars="0"/>
    </w:pPr>
    <w:rPr>
      <w:rFonts w:ascii="宋体" w:hAnsi="Courier New"/>
      <w:sz w:val="21"/>
      <w:szCs w:val="20"/>
    </w:rPr>
  </w:style>
  <w:style w:type="paragraph" w:customStyle="1" w:styleId="209">
    <w:name w:val="Char Char8"/>
    <w:basedOn w:val="1"/>
    <w:qFormat/>
    <w:uiPriority w:val="0"/>
    <w:pPr>
      <w:spacing w:line="240" w:lineRule="auto"/>
      <w:ind w:firstLine="0" w:firstLineChars="0"/>
    </w:pPr>
    <w:rPr>
      <w:rFonts w:ascii="Tahoma" w:hAnsi="Tahoma" w:eastAsia="Times New Roman"/>
      <w:kern w:val="0"/>
      <w:szCs w:val="20"/>
    </w:rPr>
  </w:style>
  <w:style w:type="paragraph" w:customStyle="1" w:styleId="210">
    <w:name w:val="列出段落1"/>
    <w:basedOn w:val="1"/>
    <w:qFormat/>
    <w:uiPriority w:val="0"/>
    <w:pPr>
      <w:spacing w:line="240" w:lineRule="auto"/>
      <w:ind w:firstLine="420"/>
    </w:pPr>
    <w:rPr>
      <w:sz w:val="21"/>
    </w:rPr>
  </w:style>
  <w:style w:type="paragraph" w:customStyle="1" w:styleId="211">
    <w:name w:val="目录 91"/>
    <w:basedOn w:val="1"/>
    <w:next w:val="1"/>
    <w:unhideWhenUsed/>
    <w:qFormat/>
    <w:uiPriority w:val="39"/>
    <w:pPr>
      <w:spacing w:line="240" w:lineRule="auto"/>
      <w:ind w:left="1680" w:firstLine="0" w:firstLineChars="0"/>
      <w:jc w:val="left"/>
    </w:pPr>
    <w:rPr>
      <w:rFonts w:ascii="等线" w:hAnsi="等线" w:eastAsia="等线"/>
      <w:sz w:val="18"/>
      <w:szCs w:val="18"/>
    </w:rPr>
  </w:style>
  <w:style w:type="paragraph" w:customStyle="1" w:styleId="212">
    <w:name w:val="样式 小四正文 + 首行缩进:  2 字符 段前: 0.5 行"/>
    <w:basedOn w:val="1"/>
    <w:qFormat/>
    <w:uiPriority w:val="0"/>
    <w:pPr>
      <w:spacing w:beforeLines="50"/>
    </w:pPr>
    <w:rPr>
      <w:rFonts w:ascii="宋体" w:hAnsi="宋体"/>
      <w:szCs w:val="20"/>
    </w:rPr>
  </w:style>
  <w:style w:type="paragraph" w:customStyle="1" w:styleId="213">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2ji"/>
    <w:basedOn w:val="3"/>
    <w:qFormat/>
    <w:uiPriority w:val="0"/>
    <w:pPr>
      <w:numPr>
        <w:ilvl w:val="0"/>
        <w:numId w:val="0"/>
      </w:numPr>
      <w:adjustRightInd w:val="0"/>
      <w:jc w:val="both"/>
      <w:textAlignment w:val="baseline"/>
    </w:pPr>
    <w:rPr>
      <w:rFonts w:ascii="宋体" w:hAnsi="宋体" w:eastAsia="宋体"/>
      <w:kern w:val="0"/>
      <w:sz w:val="21"/>
      <w:szCs w:val="21"/>
    </w:rPr>
  </w:style>
  <w:style w:type="paragraph" w:customStyle="1" w:styleId="215">
    <w:name w:val="Char Char16 Char Char"/>
    <w:basedOn w:val="1"/>
    <w:qFormat/>
    <w:uiPriority w:val="0"/>
    <w:pPr>
      <w:adjustRightInd w:val="0"/>
      <w:ind w:firstLine="0" w:firstLineChars="0"/>
    </w:pPr>
    <w:rPr>
      <w:sz w:val="21"/>
      <w:szCs w:val="24"/>
    </w:rPr>
  </w:style>
  <w:style w:type="paragraph" w:customStyle="1" w:styleId="216">
    <w:name w:val="正文首行缩进两字符"/>
    <w:basedOn w:val="1"/>
    <w:qFormat/>
    <w:uiPriority w:val="0"/>
    <w:rPr>
      <w:sz w:val="21"/>
      <w:szCs w:val="24"/>
    </w:rPr>
  </w:style>
  <w:style w:type="paragraph" w:customStyle="1" w:styleId="217">
    <w:name w:val="标题 41"/>
    <w:basedOn w:val="1"/>
    <w:next w:val="1"/>
    <w:unhideWhenUsed/>
    <w:qFormat/>
    <w:uiPriority w:val="0"/>
    <w:pPr>
      <w:keepNext/>
      <w:keepLines/>
      <w:tabs>
        <w:tab w:val="left" w:pos="1680"/>
      </w:tabs>
      <w:spacing w:before="280" w:after="290" w:line="376" w:lineRule="auto"/>
      <w:ind w:left="1680" w:hanging="420" w:firstLineChars="0"/>
      <w:outlineLvl w:val="3"/>
    </w:pPr>
    <w:rPr>
      <w:rFonts w:ascii="宋体" w:hAnsi="宋体"/>
      <w:b/>
      <w:bCs/>
      <w:sz w:val="28"/>
      <w:szCs w:val="28"/>
    </w:rPr>
  </w:style>
  <w:style w:type="paragraph" w:customStyle="1" w:styleId="218">
    <w:name w:val="F2"/>
    <w:basedOn w:val="1"/>
    <w:qFormat/>
    <w:uiPriority w:val="0"/>
    <w:pPr>
      <w:autoSpaceDE w:val="0"/>
      <w:autoSpaceDN w:val="0"/>
      <w:adjustRightInd w:val="0"/>
      <w:spacing w:line="240" w:lineRule="auto"/>
      <w:ind w:firstLine="601" w:firstLineChars="0"/>
      <w:textAlignment w:val="baseline"/>
    </w:pPr>
    <w:rPr>
      <w:kern w:val="0"/>
      <w:szCs w:val="20"/>
    </w:rPr>
  </w:style>
  <w:style w:type="paragraph" w:customStyle="1" w:styleId="219">
    <w:name w:val="_Style 36"/>
    <w:basedOn w:val="1"/>
    <w:qFormat/>
    <w:uiPriority w:val="0"/>
    <w:pPr>
      <w:spacing w:line="240" w:lineRule="auto"/>
      <w:ind w:firstLine="0" w:firstLineChars="0"/>
    </w:pPr>
    <w:rPr>
      <w:rFonts w:ascii="Tahoma" w:hAnsi="Tahoma"/>
      <w:szCs w:val="20"/>
    </w:rPr>
  </w:style>
  <w:style w:type="paragraph" w:customStyle="1" w:styleId="220">
    <w:name w:val="Char2"/>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221">
    <w:name w:val="Char"/>
    <w:basedOn w:val="1"/>
    <w:qFormat/>
    <w:uiPriority w:val="0"/>
    <w:pPr>
      <w:spacing w:line="240" w:lineRule="auto"/>
      <w:ind w:firstLine="0" w:firstLineChars="0"/>
    </w:pPr>
    <w:rPr>
      <w:sz w:val="21"/>
      <w:szCs w:val="24"/>
    </w:rPr>
  </w:style>
  <w:style w:type="paragraph" w:customStyle="1" w:styleId="222">
    <w:name w:val="目录 11"/>
    <w:basedOn w:val="1"/>
    <w:next w:val="1"/>
    <w:unhideWhenUsed/>
    <w:qFormat/>
    <w:uiPriority w:val="39"/>
    <w:pPr>
      <w:spacing w:before="120" w:after="120" w:line="240" w:lineRule="auto"/>
      <w:ind w:firstLine="0" w:firstLineChars="0"/>
      <w:jc w:val="left"/>
    </w:pPr>
    <w:rPr>
      <w:rFonts w:ascii="等线" w:hAnsi="等线" w:eastAsia="等线"/>
      <w:b/>
      <w:bCs/>
      <w:caps/>
      <w:sz w:val="20"/>
      <w:szCs w:val="20"/>
    </w:rPr>
  </w:style>
  <w:style w:type="paragraph" w:customStyle="1" w:styleId="223">
    <w:name w:val="列出段落12"/>
    <w:basedOn w:val="1"/>
    <w:qFormat/>
    <w:uiPriority w:val="34"/>
    <w:pPr>
      <w:spacing w:line="240" w:lineRule="auto"/>
      <w:ind w:firstLine="420"/>
    </w:pPr>
    <w:rPr>
      <w:sz w:val="21"/>
      <w:szCs w:val="24"/>
    </w:rPr>
  </w:style>
  <w:style w:type="paragraph" w:customStyle="1" w:styleId="224">
    <w:name w:val="目录 51"/>
    <w:basedOn w:val="1"/>
    <w:next w:val="1"/>
    <w:unhideWhenUsed/>
    <w:qFormat/>
    <w:uiPriority w:val="39"/>
    <w:pPr>
      <w:spacing w:line="240" w:lineRule="auto"/>
      <w:ind w:left="840" w:firstLine="0" w:firstLineChars="0"/>
      <w:jc w:val="left"/>
    </w:pPr>
    <w:rPr>
      <w:rFonts w:ascii="等线" w:hAnsi="等线" w:eastAsia="等线"/>
      <w:sz w:val="18"/>
      <w:szCs w:val="18"/>
    </w:rPr>
  </w:style>
  <w:style w:type="paragraph" w:customStyle="1" w:styleId="225">
    <w:name w:val="目录 71"/>
    <w:basedOn w:val="1"/>
    <w:next w:val="1"/>
    <w:unhideWhenUsed/>
    <w:qFormat/>
    <w:uiPriority w:val="39"/>
    <w:pPr>
      <w:spacing w:line="240" w:lineRule="auto"/>
      <w:ind w:left="1260" w:firstLine="0" w:firstLineChars="0"/>
      <w:jc w:val="left"/>
    </w:pPr>
    <w:rPr>
      <w:rFonts w:ascii="等线" w:hAnsi="等线" w:eastAsia="等线"/>
      <w:sz w:val="18"/>
      <w:szCs w:val="18"/>
    </w:rPr>
  </w:style>
  <w:style w:type="paragraph" w:customStyle="1" w:styleId="226">
    <w:name w:val="样式 标题 3 + (中文) 黑体 小四 非加粗 段前: 7.8 磅 段后: 0 磅 行距: 固定值 20 磅"/>
    <w:basedOn w:val="4"/>
    <w:qFormat/>
    <w:uiPriority w:val="0"/>
    <w:pPr>
      <w:numPr>
        <w:ilvl w:val="0"/>
        <w:numId w:val="0"/>
      </w:numPr>
      <w:spacing w:line="400" w:lineRule="exact"/>
      <w:jc w:val="both"/>
    </w:pPr>
    <w:rPr>
      <w:rFonts w:ascii="Times New Roman" w:hAnsi="Times New Roman" w:cs="宋体"/>
      <w:b w:val="0"/>
      <w:bCs w:val="0"/>
      <w:szCs w:val="20"/>
    </w:rPr>
  </w:style>
  <w:style w:type="paragraph" w:customStyle="1" w:styleId="227">
    <w:name w:val="msolistparagraph"/>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228">
    <w:name w:val="样式1"/>
    <w:basedOn w:val="1"/>
    <w:qFormat/>
    <w:uiPriority w:val="0"/>
    <w:pPr>
      <w:spacing w:before="120" w:after="120" w:line="300" w:lineRule="auto"/>
      <w:ind w:firstLine="0" w:firstLineChars="0"/>
    </w:pPr>
    <w:rPr>
      <w:rFonts w:ascii="宋体" w:hAnsi="宋体"/>
      <w:b/>
      <w:szCs w:val="20"/>
    </w:rPr>
  </w:style>
  <w:style w:type="paragraph" w:customStyle="1" w:styleId="229">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30">
    <w:name w:val="网格型2"/>
    <w:basedOn w:val="48"/>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修订2"/>
    <w:hidden/>
    <w:unhideWhenUsed/>
    <w:qFormat/>
    <w:uiPriority w:val="99"/>
    <w:rPr>
      <w:rFonts w:ascii="Times New Roman" w:hAnsi="Times New Roman" w:eastAsia="宋体" w:cs="Times New Roman"/>
      <w:kern w:val="2"/>
      <w:sz w:val="24"/>
      <w:szCs w:val="22"/>
      <w:lang w:val="en-US" w:eastAsia="zh-CN" w:bidi="ar-SA"/>
    </w:rPr>
  </w:style>
  <w:style w:type="paragraph" w:customStyle="1" w:styleId="234">
    <w:name w:val="正文呀2"/>
    <w:basedOn w:val="235"/>
    <w:link w:val="240"/>
    <w:qFormat/>
    <w:uiPriority w:val="0"/>
    <w:rPr>
      <w:rFonts w:ascii="Times New Roman" w:hAnsi="Times New Roman"/>
    </w:rPr>
  </w:style>
  <w:style w:type="paragraph" w:customStyle="1" w:styleId="235">
    <w:name w:val="正文呀"/>
    <w:basedOn w:val="1"/>
    <w:link w:val="237"/>
    <w:qFormat/>
    <w:uiPriority w:val="0"/>
    <w:pPr>
      <w:spacing w:line="420" w:lineRule="exact"/>
      <w:ind w:firstLine="420"/>
    </w:pPr>
    <w:rPr>
      <w:rFonts w:ascii="宋体" w:hAnsi="宋体"/>
    </w:rPr>
  </w:style>
  <w:style w:type="paragraph" w:customStyle="1" w:styleId="236">
    <w:name w:val="表格文字"/>
    <w:basedOn w:val="1"/>
    <w:qFormat/>
    <w:uiPriority w:val="0"/>
    <w:pPr>
      <w:adjustRightInd w:val="0"/>
      <w:spacing w:line="420" w:lineRule="atLeast"/>
      <w:ind w:firstLine="0" w:firstLineChars="0"/>
      <w:jc w:val="left"/>
    </w:pPr>
    <w:rPr>
      <w:kern w:val="0"/>
      <w:sz w:val="21"/>
      <w:szCs w:val="24"/>
    </w:rPr>
  </w:style>
  <w:style w:type="character" w:customStyle="1" w:styleId="237">
    <w:name w:val="正文呀 Char"/>
    <w:link w:val="235"/>
    <w:qFormat/>
    <w:locked/>
    <w:uiPriority w:val="0"/>
    <w:rPr>
      <w:rFonts w:ascii="宋体" w:hAnsi="宋体"/>
      <w:kern w:val="2"/>
      <w:sz w:val="24"/>
      <w:szCs w:val="22"/>
    </w:rPr>
  </w:style>
  <w:style w:type="character" w:customStyle="1" w:styleId="238">
    <w:name w:val="标准文本 Char"/>
    <w:link w:val="239"/>
    <w:qFormat/>
    <w:locked/>
    <w:uiPriority w:val="0"/>
    <w:rPr>
      <w:kern w:val="2"/>
      <w:sz w:val="24"/>
    </w:rPr>
  </w:style>
  <w:style w:type="paragraph" w:customStyle="1" w:styleId="239">
    <w:name w:val="标准文本"/>
    <w:basedOn w:val="1"/>
    <w:link w:val="238"/>
    <w:qFormat/>
    <w:uiPriority w:val="0"/>
    <w:pPr>
      <w:ind w:firstLine="480"/>
    </w:pPr>
    <w:rPr>
      <w:szCs w:val="20"/>
    </w:rPr>
  </w:style>
  <w:style w:type="character" w:customStyle="1" w:styleId="240">
    <w:name w:val="正文呀2 Char"/>
    <w:basedOn w:val="237"/>
    <w:link w:val="234"/>
    <w:qFormat/>
    <w:locked/>
    <w:uiPriority w:val="0"/>
    <w:rPr>
      <w:rFonts w:ascii="宋体" w:hAnsi="宋体"/>
      <w:kern w:val="2"/>
      <w:sz w:val="24"/>
      <w:szCs w:val="22"/>
    </w:rPr>
  </w:style>
  <w:style w:type="character" w:customStyle="1" w:styleId="241">
    <w:name w:val="！正文 Char Char"/>
    <w:link w:val="242"/>
    <w:qFormat/>
    <w:locked/>
    <w:uiPriority w:val="0"/>
    <w:rPr>
      <w:rFonts w:ascii="华文细黑" w:hAnsi="华文细黑" w:eastAsia="华文细黑"/>
      <w:sz w:val="24"/>
    </w:rPr>
  </w:style>
  <w:style w:type="paragraph" w:customStyle="1" w:styleId="242">
    <w:name w:val="！正文"/>
    <w:basedOn w:val="1"/>
    <w:link w:val="241"/>
    <w:qFormat/>
    <w:uiPriority w:val="0"/>
    <w:rPr>
      <w:rFonts w:ascii="华文细黑" w:hAnsi="华文细黑" w:eastAsia="华文细黑"/>
      <w:kern w:val="0"/>
      <w:szCs w:val="20"/>
    </w:rPr>
  </w:style>
  <w:style w:type="character" w:customStyle="1" w:styleId="243">
    <w:name w:val="段 Char"/>
    <w:link w:val="244"/>
    <w:qFormat/>
    <w:locked/>
    <w:uiPriority w:val="0"/>
    <w:rPr>
      <w:rFonts w:ascii="宋体" w:hAnsi="宋体"/>
    </w:rPr>
  </w:style>
  <w:style w:type="paragraph" w:customStyle="1" w:styleId="244">
    <w:name w:val="段"/>
    <w:link w:val="243"/>
    <w:qFormat/>
    <w:uiPriority w:val="0"/>
    <w:pPr>
      <w:autoSpaceDE w:val="0"/>
      <w:autoSpaceDN w:val="0"/>
      <w:ind w:firstLine="200" w:firstLineChars="200"/>
      <w:jc w:val="both"/>
    </w:pPr>
    <w:rPr>
      <w:rFonts w:ascii="宋体" w:hAnsi="宋体" w:eastAsia="宋体" w:cs="Times New Roman"/>
      <w:lang w:val="en-US" w:eastAsia="zh-CN" w:bidi="ar-SA"/>
    </w:rPr>
  </w:style>
  <w:style w:type="paragraph" w:customStyle="1" w:styleId="245">
    <w:name w:val="标题 2_0"/>
    <w:basedOn w:val="1"/>
    <w:next w:val="1"/>
    <w:qFormat/>
    <w:uiPriority w:val="9"/>
    <w:pPr>
      <w:keepNext/>
      <w:keepLines/>
      <w:spacing w:before="260" w:after="260" w:line="412" w:lineRule="auto"/>
      <w:ind w:firstLine="0" w:firstLineChars="0"/>
      <w:jc w:val="left"/>
      <w:outlineLvl w:val="1"/>
    </w:pPr>
    <w:rPr>
      <w:rFonts w:ascii="Arial" w:hAnsi="Arial"/>
      <w:b/>
      <w:sz w:val="21"/>
      <w:szCs w:val="24"/>
    </w:rPr>
  </w:style>
  <w:style w:type="paragraph" w:customStyle="1" w:styleId="246">
    <w:name w:val="xl51"/>
    <w:basedOn w:val="1"/>
    <w:qFormat/>
    <w:uiPriority w:val="0"/>
    <w:pPr>
      <w:widowControl/>
      <w:pBdr>
        <w:top w:val="single" w:color="0000FF" w:sz="4" w:space="0"/>
        <w:left w:val="single" w:color="0000FF" w:sz="4" w:space="0"/>
        <w:bottom w:val="single" w:color="0000FF" w:sz="8" w:space="0"/>
        <w:right w:val="single" w:color="0000FF" w:sz="4" w:space="0"/>
      </w:pBdr>
      <w:spacing w:before="100" w:beforeAutospacing="1" w:after="100" w:afterAutospacing="1" w:line="240" w:lineRule="auto"/>
      <w:ind w:firstLine="0" w:firstLineChars="0"/>
      <w:jc w:val="center"/>
    </w:pPr>
    <w:rPr>
      <w:rFonts w:ascii="宋体" w:hAnsi="宋体"/>
      <w:kern w:val="0"/>
      <w:szCs w:val="24"/>
    </w:rPr>
  </w:style>
  <w:style w:type="paragraph" w:customStyle="1" w:styleId="247">
    <w:name w:val="one"/>
    <w:basedOn w:val="1"/>
    <w:qFormat/>
    <w:uiPriority w:val="0"/>
    <w:pPr>
      <w:widowControl/>
      <w:spacing w:line="240" w:lineRule="auto"/>
      <w:ind w:firstLine="0" w:firstLineChars="0"/>
      <w:jc w:val="left"/>
    </w:pPr>
    <w:rPr>
      <w:rFonts w:ascii="宋体" w:cs="宋体"/>
      <w:kern w:val="0"/>
      <w:szCs w:val="24"/>
    </w:rPr>
  </w:style>
  <w:style w:type="paragraph" w:customStyle="1" w:styleId="248">
    <w:name w:val="_Style 37"/>
    <w:basedOn w:val="1"/>
    <w:qFormat/>
    <w:uiPriority w:val="0"/>
    <w:pPr>
      <w:spacing w:line="240" w:lineRule="auto"/>
      <w:ind w:firstLine="0" w:firstLineChars="0"/>
    </w:pPr>
    <w:rPr>
      <w:rFonts w:ascii="Tahoma" w:hAnsi="Tahoma"/>
      <w:szCs w:val="20"/>
    </w:rPr>
  </w:style>
  <w:style w:type="paragraph" w:customStyle="1" w:styleId="249">
    <w:name w:val="正文_0"/>
    <w:qFormat/>
    <w:uiPriority w:val="0"/>
    <w:pPr>
      <w:widowControl w:val="0"/>
      <w:spacing w:before="120" w:after="120"/>
      <w:jc w:val="both"/>
    </w:pPr>
    <w:rPr>
      <w:rFonts w:ascii="Calibri" w:hAnsi="Calibri" w:eastAsia="宋体" w:cs="Times New Roman"/>
      <w:kern w:val="2"/>
      <w:sz w:val="21"/>
      <w:szCs w:val="24"/>
      <w:lang w:val="en-US" w:eastAsia="zh-CN" w:bidi="ar-SA"/>
    </w:rPr>
  </w:style>
  <w:style w:type="paragraph" w:customStyle="1" w:styleId="250">
    <w:name w:val="正文1"/>
    <w:basedOn w:val="1"/>
    <w:qFormat/>
    <w:uiPriority w:val="0"/>
    <w:pPr>
      <w:adjustRightInd w:val="0"/>
      <w:spacing w:before="360" w:after="360" w:line="312" w:lineRule="atLeast"/>
      <w:ind w:firstLine="0" w:firstLineChars="0"/>
      <w:jc w:val="center"/>
    </w:pPr>
    <w:rPr>
      <w:b/>
      <w:kern w:val="0"/>
      <w:sz w:val="52"/>
      <w:szCs w:val="20"/>
    </w:rPr>
  </w:style>
  <w:style w:type="paragraph" w:customStyle="1" w:styleId="251">
    <w:name w:val="font6"/>
    <w:basedOn w:val="1"/>
    <w:qFormat/>
    <w:uiPriority w:val="0"/>
    <w:pPr>
      <w:widowControl/>
      <w:spacing w:before="100" w:beforeAutospacing="1" w:after="100" w:afterAutospacing="1" w:line="240" w:lineRule="auto"/>
      <w:ind w:firstLine="0" w:firstLineChars="0"/>
      <w:jc w:val="left"/>
    </w:pPr>
    <w:rPr>
      <w:rFonts w:ascii="宋体" w:hAnsi="宋体"/>
      <w:kern w:val="0"/>
      <w:sz w:val="20"/>
      <w:szCs w:val="20"/>
    </w:rPr>
  </w:style>
  <w:style w:type="paragraph" w:customStyle="1" w:styleId="252">
    <w:name w:val="Char Char1 Char Char Char Char Char Char Char Char Char Char"/>
    <w:basedOn w:val="1"/>
    <w:qFormat/>
    <w:uiPriority w:val="0"/>
    <w:pPr>
      <w:widowControl/>
      <w:spacing w:after="160" w:line="240" w:lineRule="exact"/>
      <w:ind w:firstLine="0" w:firstLineChars="0"/>
      <w:jc w:val="left"/>
    </w:pPr>
    <w:rPr>
      <w:sz w:val="21"/>
      <w:szCs w:val="20"/>
    </w:rPr>
  </w:style>
  <w:style w:type="paragraph" w:customStyle="1" w:styleId="253">
    <w:name w:val="正文缩进1"/>
    <w:basedOn w:val="1"/>
    <w:next w:val="1"/>
    <w:qFormat/>
    <w:uiPriority w:val="0"/>
    <w:pPr>
      <w:widowControl/>
      <w:spacing w:line="240" w:lineRule="auto"/>
      <w:ind w:firstLine="420" w:firstLineChars="0"/>
    </w:pPr>
    <w:rPr>
      <w:color w:val="000000"/>
      <w:sz w:val="21"/>
      <w:szCs w:val="20"/>
    </w:rPr>
  </w:style>
  <w:style w:type="paragraph" w:customStyle="1" w:styleId="254">
    <w:name w:val="xl2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b/>
      <w:bCs/>
      <w:kern w:val="0"/>
      <w:sz w:val="21"/>
      <w:szCs w:val="21"/>
    </w:rPr>
  </w:style>
  <w:style w:type="paragraph" w:customStyle="1" w:styleId="255">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xl52"/>
    <w:basedOn w:val="1"/>
    <w:qFormat/>
    <w:uiPriority w:val="0"/>
    <w:pPr>
      <w:widowControl/>
      <w:pBdr>
        <w:top w:val="single" w:color="0000FF" w:sz="8" w:space="0"/>
        <w:left w:val="single" w:color="0000FF" w:sz="4" w:space="0"/>
        <w:bottom w:val="single" w:color="0000FF" w:sz="4" w:space="0"/>
        <w:right w:val="single" w:color="0000FF" w:sz="8"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57">
    <w:name w:val="xl57"/>
    <w:basedOn w:val="1"/>
    <w:qFormat/>
    <w:uiPriority w:val="0"/>
    <w:pPr>
      <w:widowControl/>
      <w:pBdr>
        <w:left w:val="single" w:color="0000FF" w:sz="4" w:space="0"/>
        <w:bottom w:val="single" w:color="0000FF" w:sz="4" w:space="0"/>
        <w:right w:val="single" w:color="0000FF" w:sz="4"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58">
    <w:name w:val="xl2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sz w:val="21"/>
      <w:szCs w:val="21"/>
    </w:rPr>
  </w:style>
  <w:style w:type="paragraph" w:customStyle="1" w:styleId="259">
    <w:name w:val="xl2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楷体_GB2312" w:hAnsi="宋体" w:eastAsia="楷体_GB2312"/>
      <w:b/>
      <w:bCs/>
      <w:kern w:val="0"/>
      <w:sz w:val="21"/>
      <w:szCs w:val="21"/>
    </w:rPr>
  </w:style>
  <w:style w:type="paragraph" w:customStyle="1" w:styleId="260">
    <w:name w:val="xl3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pPr>
    <w:rPr>
      <w:rFonts w:ascii="宋体" w:hAnsi="宋体"/>
      <w:kern w:val="0"/>
      <w:sz w:val="21"/>
      <w:szCs w:val="21"/>
    </w:rPr>
  </w:style>
  <w:style w:type="paragraph" w:customStyle="1" w:styleId="261">
    <w:name w:val="正文小标题"/>
    <w:basedOn w:val="2"/>
    <w:qFormat/>
    <w:uiPriority w:val="0"/>
    <w:pPr>
      <w:widowControl w:val="0"/>
      <w:numPr>
        <w:numId w:val="0"/>
      </w:numPr>
      <w:spacing w:before="340" w:after="330" w:line="420" w:lineRule="exact"/>
      <w:jc w:val="both"/>
    </w:pPr>
    <w:rPr>
      <w:rFonts w:ascii="Times New Roman" w:hAnsi="宋体" w:eastAsia="宋体"/>
      <w:sz w:val="21"/>
      <w:szCs w:val="21"/>
      <w:lang w:val="en-US"/>
    </w:rPr>
  </w:style>
  <w:style w:type="paragraph" w:customStyle="1" w:styleId="262">
    <w:name w:val="Blockquote"/>
    <w:basedOn w:val="1"/>
    <w:qFormat/>
    <w:uiPriority w:val="0"/>
    <w:pPr>
      <w:autoSpaceDE w:val="0"/>
      <w:autoSpaceDN w:val="0"/>
      <w:adjustRightInd w:val="0"/>
      <w:spacing w:before="100" w:after="100" w:line="312" w:lineRule="atLeast"/>
      <w:ind w:left="360" w:right="360" w:firstLine="0" w:firstLineChars="0"/>
    </w:pPr>
    <w:rPr>
      <w:kern w:val="0"/>
      <w:szCs w:val="20"/>
    </w:rPr>
  </w:style>
  <w:style w:type="paragraph" w:customStyle="1" w:styleId="263">
    <w:name w:val="CM24"/>
    <w:basedOn w:val="1"/>
    <w:next w:val="1"/>
    <w:qFormat/>
    <w:uiPriority w:val="0"/>
    <w:pPr>
      <w:autoSpaceDE w:val="0"/>
      <w:autoSpaceDN w:val="0"/>
      <w:adjustRightInd w:val="0"/>
      <w:spacing w:after="298" w:line="240" w:lineRule="auto"/>
      <w:ind w:firstLine="0" w:firstLineChars="0"/>
      <w:jc w:val="left"/>
    </w:pPr>
    <w:rPr>
      <w:rFonts w:ascii="楷体_GB2312" w:eastAsia="楷体_GB2312" w:cs="楷体_GB2312"/>
      <w:kern w:val="0"/>
      <w:szCs w:val="24"/>
    </w:rPr>
  </w:style>
  <w:style w:type="paragraph" w:customStyle="1" w:styleId="26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21"/>
      <w:szCs w:val="21"/>
      <w:u w:val="single"/>
    </w:rPr>
  </w:style>
  <w:style w:type="paragraph" w:customStyle="1" w:styleId="265">
    <w:name w:val="font7"/>
    <w:basedOn w:val="1"/>
    <w:qFormat/>
    <w:uiPriority w:val="0"/>
    <w:pPr>
      <w:widowControl/>
      <w:spacing w:before="100" w:beforeAutospacing="1" w:after="100" w:afterAutospacing="1" w:line="240" w:lineRule="auto"/>
      <w:ind w:firstLine="0" w:firstLineChars="0"/>
      <w:jc w:val="left"/>
    </w:pPr>
    <w:rPr>
      <w:kern w:val="0"/>
      <w:sz w:val="20"/>
      <w:szCs w:val="20"/>
    </w:rPr>
  </w:style>
  <w:style w:type="paragraph" w:customStyle="1" w:styleId="26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xl42"/>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line="240" w:lineRule="auto"/>
      <w:ind w:firstLine="0" w:firstLineChars="0"/>
      <w:jc w:val="center"/>
    </w:pPr>
    <w:rPr>
      <w:rFonts w:ascii="楷体_GB2312" w:hAnsi="宋体" w:eastAsia="楷体_GB2312"/>
      <w:b/>
      <w:bCs/>
      <w:kern w:val="0"/>
      <w:sz w:val="20"/>
      <w:szCs w:val="20"/>
    </w:rPr>
  </w:style>
  <w:style w:type="paragraph" w:customStyle="1" w:styleId="268">
    <w:name w:val="xl3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kern w:val="0"/>
      <w:sz w:val="21"/>
      <w:szCs w:val="21"/>
    </w:rPr>
  </w:style>
  <w:style w:type="paragraph" w:customStyle="1" w:styleId="269">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firstLineChars="0"/>
      <w:jc w:val="left"/>
    </w:pPr>
    <w:rPr>
      <w:rFonts w:ascii="宋体" w:hAnsi="宋体"/>
      <w:kern w:val="0"/>
      <w:sz w:val="20"/>
      <w:szCs w:val="20"/>
    </w:rPr>
  </w:style>
  <w:style w:type="paragraph" w:customStyle="1" w:styleId="270">
    <w:name w:val="Char Char Char Char"/>
    <w:basedOn w:val="1"/>
    <w:qFormat/>
    <w:uiPriority w:val="0"/>
    <w:pPr>
      <w:spacing w:line="240" w:lineRule="auto"/>
      <w:ind w:firstLine="0" w:firstLineChars="0"/>
    </w:pPr>
    <w:rPr>
      <w:rFonts w:ascii="Tahoma" w:hAnsi="Tahoma"/>
      <w:szCs w:val="20"/>
    </w:rPr>
  </w:style>
  <w:style w:type="paragraph" w:customStyle="1" w:styleId="271">
    <w:name w:val="正文_1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xl46"/>
    <w:basedOn w:val="1"/>
    <w:qFormat/>
    <w:uiPriority w:val="0"/>
    <w:pPr>
      <w:widowControl/>
      <w:pBdr>
        <w:top w:val="single" w:color="0000FF" w:sz="8" w:space="0"/>
        <w:left w:val="single" w:color="0000FF" w:sz="8"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7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21"/>
      <w:szCs w:val="21"/>
    </w:rPr>
  </w:style>
  <w:style w:type="paragraph" w:customStyle="1" w:styleId="274">
    <w:name w:val="xl31"/>
    <w:basedOn w:val="1"/>
    <w:qFormat/>
    <w:uiPriority w:val="0"/>
    <w:pPr>
      <w:widowControl/>
      <w:spacing w:before="100" w:beforeAutospacing="1" w:after="100" w:afterAutospacing="1" w:line="240" w:lineRule="auto"/>
      <w:ind w:firstLine="0" w:firstLineChars="0"/>
      <w:jc w:val="center"/>
    </w:pPr>
    <w:rPr>
      <w:rFonts w:ascii="Arial Unicode MS" w:hAnsi="Arial Unicode MS"/>
      <w:kern w:val="0"/>
      <w:szCs w:val="24"/>
    </w:rPr>
  </w:style>
  <w:style w:type="paragraph" w:customStyle="1" w:styleId="275">
    <w:name w:val="_Style 20"/>
    <w:basedOn w:val="1"/>
    <w:qFormat/>
    <w:uiPriority w:val="0"/>
    <w:pPr>
      <w:spacing w:line="240" w:lineRule="auto"/>
      <w:ind w:firstLine="0" w:firstLineChars="0"/>
    </w:pPr>
    <w:rPr>
      <w:rFonts w:ascii="Tahoma" w:hAnsi="Tahoma"/>
      <w:szCs w:val="20"/>
    </w:rPr>
  </w:style>
  <w:style w:type="paragraph" w:customStyle="1" w:styleId="276">
    <w:name w:val="xl2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sz w:val="21"/>
      <w:szCs w:val="21"/>
    </w:rPr>
  </w:style>
  <w:style w:type="paragraph" w:customStyle="1" w:styleId="277">
    <w:name w:val="pa-1"/>
    <w:basedOn w:val="1"/>
    <w:qFormat/>
    <w:uiPriority w:val="0"/>
    <w:pPr>
      <w:widowControl/>
      <w:spacing w:line="384" w:lineRule="atLeast"/>
      <w:ind w:firstLine="0" w:firstLineChars="0"/>
      <w:jc w:val="left"/>
    </w:pPr>
    <w:rPr>
      <w:rFonts w:ascii="宋体" w:hAnsi="宋体" w:cs="宋体"/>
      <w:kern w:val="0"/>
      <w:szCs w:val="24"/>
    </w:rPr>
  </w:style>
  <w:style w:type="paragraph" w:customStyle="1" w:styleId="278">
    <w:name w:val="xl59"/>
    <w:basedOn w:val="1"/>
    <w:qFormat/>
    <w:uiPriority w:val="0"/>
    <w:pPr>
      <w:widowControl/>
      <w:pBdr>
        <w:top w:val="single" w:color="0000FF" w:sz="4" w:space="0"/>
        <w:left w:val="single" w:color="0000FF" w:sz="4" w:space="0"/>
        <w:right w:val="single" w:color="0000FF" w:sz="8"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79">
    <w:name w:val="xl56"/>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80">
    <w:name w:val="xl50"/>
    <w:basedOn w:val="1"/>
    <w:qFormat/>
    <w:uiPriority w:val="0"/>
    <w:pPr>
      <w:widowControl/>
      <w:pBdr>
        <w:top w:val="single" w:color="0000FF" w:sz="4" w:space="0"/>
        <w:left w:val="single" w:color="0000FF" w:sz="4"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81">
    <w:name w:val="xl3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40" w:lineRule="auto"/>
      <w:ind w:firstLine="0" w:firstLineChars="0"/>
      <w:jc w:val="center"/>
    </w:pPr>
    <w:rPr>
      <w:rFonts w:ascii="楷体_GB2312" w:hAnsi="宋体" w:eastAsia="楷体_GB2312"/>
      <w:kern w:val="0"/>
      <w:sz w:val="21"/>
      <w:szCs w:val="21"/>
    </w:rPr>
  </w:style>
  <w:style w:type="paragraph" w:customStyle="1" w:styleId="282">
    <w:name w:val="Char1 Char Char Char Char Char Char"/>
    <w:basedOn w:val="1"/>
    <w:qFormat/>
    <w:uiPriority w:val="0"/>
    <w:pPr>
      <w:spacing w:line="240" w:lineRule="auto"/>
      <w:ind w:firstLine="0" w:firstLineChars="0"/>
    </w:pPr>
    <w:rPr>
      <w:rFonts w:ascii="Tahoma" w:hAnsi="Tahoma"/>
      <w:szCs w:val="20"/>
    </w:rPr>
  </w:style>
  <w:style w:type="paragraph" w:customStyle="1" w:styleId="28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4">
    <w:name w:val="xl58"/>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line="240" w:lineRule="auto"/>
      <w:ind w:firstLine="0" w:firstLineChars="0"/>
      <w:jc w:val="center"/>
    </w:pPr>
    <w:rPr>
      <w:kern w:val="0"/>
      <w:sz w:val="21"/>
      <w:szCs w:val="21"/>
    </w:rPr>
  </w:style>
  <w:style w:type="paragraph" w:customStyle="1" w:styleId="285">
    <w:name w:val="xl48"/>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86">
    <w:name w:val="xl55"/>
    <w:basedOn w:val="1"/>
    <w:qFormat/>
    <w:uiPriority w:val="0"/>
    <w:pPr>
      <w:widowControl/>
      <w:pBdr>
        <w:left w:val="single" w:color="0000FF" w:sz="8"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color w:val="000000"/>
      <w:kern w:val="0"/>
      <w:sz w:val="21"/>
      <w:szCs w:val="21"/>
    </w:rPr>
  </w:style>
  <w:style w:type="paragraph" w:customStyle="1" w:styleId="287">
    <w:name w:val="标题 3_0"/>
    <w:basedOn w:val="249"/>
    <w:next w:val="1"/>
    <w:qFormat/>
    <w:uiPriority w:val="0"/>
    <w:pPr>
      <w:keepNext/>
      <w:keepLines/>
      <w:spacing w:before="260" w:after="260" w:line="412" w:lineRule="auto"/>
      <w:jc w:val="left"/>
      <w:outlineLvl w:val="2"/>
    </w:pPr>
    <w:rPr>
      <w:b/>
    </w:rPr>
  </w:style>
  <w:style w:type="paragraph" w:customStyle="1" w:styleId="288">
    <w:name w:val="xl60"/>
    <w:basedOn w:val="1"/>
    <w:qFormat/>
    <w:uiPriority w:val="0"/>
    <w:pPr>
      <w:widowControl/>
      <w:pBdr>
        <w:left w:val="single" w:color="0000FF" w:sz="4" w:space="0"/>
        <w:bottom w:val="single" w:color="0000FF" w:sz="4" w:space="0"/>
        <w:right w:val="single" w:color="0000FF" w:sz="8"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89">
    <w:name w:val="次小点说明 Char"/>
    <w:basedOn w:val="7"/>
    <w:qFormat/>
    <w:uiPriority w:val="0"/>
    <w:pPr>
      <w:ind w:firstLine="0"/>
    </w:pPr>
    <w:rPr>
      <w:sz w:val="24"/>
      <w:szCs w:val="24"/>
    </w:rPr>
  </w:style>
  <w:style w:type="paragraph" w:customStyle="1" w:styleId="290">
    <w:name w:val="正文呀_0"/>
    <w:basedOn w:val="283"/>
    <w:qFormat/>
    <w:uiPriority w:val="0"/>
    <w:pPr>
      <w:spacing w:line="420" w:lineRule="exact"/>
      <w:ind w:firstLine="420" w:firstLineChars="200"/>
    </w:pPr>
    <w:rPr>
      <w:rFonts w:ascii="宋体" w:hAnsi="宋体" w:eastAsia="等线"/>
      <w:szCs w:val="21"/>
    </w:rPr>
  </w:style>
  <w:style w:type="paragraph" w:customStyle="1" w:styleId="291">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pPr>
    <w:rPr>
      <w:rFonts w:ascii="宋体" w:hAnsi="宋体"/>
      <w:kern w:val="0"/>
      <w:sz w:val="21"/>
      <w:szCs w:val="21"/>
    </w:rPr>
  </w:style>
  <w:style w:type="paragraph" w:customStyle="1" w:styleId="292">
    <w:name w:val="xl53"/>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93">
    <w:name w:val="Char Char Char1"/>
    <w:basedOn w:val="1"/>
    <w:qFormat/>
    <w:uiPriority w:val="0"/>
    <w:pPr>
      <w:spacing w:line="240" w:lineRule="auto"/>
      <w:ind w:firstLine="0" w:firstLineChars="0"/>
    </w:pPr>
    <w:rPr>
      <w:rFonts w:ascii="Tahoma" w:hAnsi="Tahoma"/>
      <w:szCs w:val="20"/>
    </w:rPr>
  </w:style>
  <w:style w:type="paragraph" w:customStyle="1" w:styleId="29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49"/>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96">
    <w:name w:val="xl4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firstLineChars="0"/>
      <w:jc w:val="left"/>
    </w:pPr>
    <w:rPr>
      <w:rFonts w:ascii="宋体" w:hAnsi="宋体"/>
      <w:kern w:val="0"/>
      <w:szCs w:val="20"/>
    </w:rPr>
  </w:style>
  <w:style w:type="paragraph" w:customStyle="1" w:styleId="297">
    <w:name w:val="xl61"/>
    <w:basedOn w:val="1"/>
    <w:qFormat/>
    <w:uiPriority w:val="0"/>
    <w:pPr>
      <w:widowControl/>
      <w:pBdr>
        <w:top w:val="single" w:color="0000FF" w:sz="4" w:space="0"/>
        <w:left w:val="single" w:color="0000FF" w:sz="4" w:space="0"/>
        <w:right w:val="single" w:color="0000FF" w:sz="4" w:space="0"/>
      </w:pBdr>
      <w:spacing w:before="100" w:beforeAutospacing="1" w:after="100" w:afterAutospacing="1" w:line="240" w:lineRule="auto"/>
      <w:ind w:firstLine="0" w:firstLineChars="0"/>
      <w:jc w:val="center"/>
    </w:pPr>
    <w:rPr>
      <w:color w:val="000000"/>
      <w:kern w:val="0"/>
      <w:sz w:val="21"/>
      <w:szCs w:val="21"/>
    </w:rPr>
  </w:style>
  <w:style w:type="paragraph" w:customStyle="1" w:styleId="298">
    <w:name w:val="正文小四缩进"/>
    <w:next w:val="1"/>
    <w:qFormat/>
    <w:uiPriority w:val="0"/>
    <w:pPr>
      <w:widowControl w:val="0"/>
      <w:adjustRightInd w:val="0"/>
      <w:snapToGrid w:val="0"/>
      <w:spacing w:line="360" w:lineRule="auto"/>
      <w:ind w:firstLine="420" w:firstLineChars="200"/>
    </w:pPr>
    <w:rPr>
      <w:rFonts w:ascii="宋体" w:hAnsi="宋体" w:eastAsia="Times New Roman" w:cs="Times New Roman"/>
      <w:kern w:val="2"/>
      <w:sz w:val="21"/>
      <w:szCs w:val="21"/>
      <w:lang w:val="en-US" w:eastAsia="zh-CN" w:bidi="ar-SA"/>
    </w:rPr>
  </w:style>
  <w:style w:type="paragraph" w:customStyle="1" w:styleId="299">
    <w:name w:val="xl54"/>
    <w:basedOn w:val="1"/>
    <w:qFormat/>
    <w:uiPriority w:val="0"/>
    <w:pPr>
      <w:widowControl/>
      <w:pBdr>
        <w:top w:val="single" w:color="0000FF" w:sz="4" w:space="0"/>
        <w:left w:val="single" w:color="0000FF" w:sz="8" w:space="0"/>
        <w:right w:val="single" w:color="0000FF" w:sz="4" w:space="0"/>
      </w:pBdr>
      <w:spacing w:before="100" w:beforeAutospacing="1" w:after="100" w:afterAutospacing="1" w:line="240" w:lineRule="auto"/>
      <w:ind w:firstLine="0" w:firstLineChars="0"/>
      <w:jc w:val="center"/>
    </w:pPr>
    <w:rPr>
      <w:rFonts w:ascii="宋体" w:hAnsi="宋体"/>
      <w:color w:val="000000"/>
      <w:kern w:val="0"/>
      <w:sz w:val="21"/>
      <w:szCs w:val="21"/>
    </w:rPr>
  </w:style>
  <w:style w:type="paragraph" w:customStyle="1" w:styleId="300">
    <w:name w:val="font10"/>
    <w:basedOn w:val="1"/>
    <w:qFormat/>
    <w:uiPriority w:val="0"/>
    <w:pPr>
      <w:widowControl/>
      <w:spacing w:before="100" w:beforeAutospacing="1" w:after="100" w:afterAutospacing="1" w:line="240" w:lineRule="auto"/>
      <w:ind w:firstLine="0" w:firstLineChars="0"/>
      <w:jc w:val="left"/>
    </w:pPr>
    <w:rPr>
      <w:rFonts w:ascii="宋体" w:hAnsi="宋体"/>
      <w:b/>
      <w:bCs/>
      <w:color w:val="000000"/>
      <w:kern w:val="0"/>
      <w:sz w:val="21"/>
      <w:szCs w:val="21"/>
    </w:rPr>
  </w:style>
  <w:style w:type="paragraph" w:customStyle="1" w:styleId="3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楷体_GB2312" w:hAnsi="宋体" w:eastAsia="楷体_GB2312"/>
      <w:b/>
      <w:bCs/>
      <w:kern w:val="0"/>
      <w:sz w:val="21"/>
      <w:szCs w:val="21"/>
    </w:rPr>
  </w:style>
  <w:style w:type="paragraph" w:customStyle="1" w:styleId="302">
    <w:name w:val="xl44"/>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303">
    <w:name w:val="font5"/>
    <w:basedOn w:val="1"/>
    <w:qFormat/>
    <w:uiPriority w:val="0"/>
    <w:pPr>
      <w:widowControl/>
      <w:spacing w:before="100" w:beforeAutospacing="1" w:after="100" w:afterAutospacing="1" w:line="240" w:lineRule="auto"/>
      <w:ind w:firstLine="0" w:firstLineChars="0"/>
      <w:jc w:val="left"/>
    </w:pPr>
    <w:rPr>
      <w:rFonts w:ascii="宋体" w:hAnsi="宋体"/>
      <w:kern w:val="0"/>
      <w:sz w:val="18"/>
      <w:szCs w:val="18"/>
    </w:rPr>
  </w:style>
  <w:style w:type="paragraph" w:customStyle="1" w:styleId="304">
    <w:name w:val="xl4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240" w:lineRule="auto"/>
      <w:ind w:firstLine="0" w:firstLineChars="0"/>
      <w:jc w:val="left"/>
    </w:pPr>
    <w:rPr>
      <w:rFonts w:ascii="宋体" w:hAnsi="宋体"/>
      <w:kern w:val="0"/>
      <w:szCs w:val="20"/>
    </w:rPr>
  </w:style>
  <w:style w:type="paragraph" w:customStyle="1" w:styleId="305">
    <w:name w:val="font9"/>
    <w:basedOn w:val="1"/>
    <w:qFormat/>
    <w:uiPriority w:val="0"/>
    <w:pPr>
      <w:widowControl/>
      <w:spacing w:before="100" w:beforeAutospacing="1" w:after="100" w:afterAutospacing="1" w:line="240" w:lineRule="auto"/>
      <w:ind w:firstLine="0" w:firstLineChars="0"/>
      <w:jc w:val="left"/>
    </w:pPr>
    <w:rPr>
      <w:b/>
      <w:bCs/>
      <w:color w:val="000000"/>
      <w:kern w:val="0"/>
      <w:sz w:val="21"/>
      <w:szCs w:val="21"/>
    </w:rPr>
  </w:style>
  <w:style w:type="paragraph" w:customStyle="1" w:styleId="306">
    <w:name w:val="正文 A"/>
    <w:qFormat/>
    <w:uiPriority w:val="0"/>
    <w:pPr>
      <w:widowControl w:val="0"/>
      <w:jc w:val="both"/>
    </w:pPr>
    <w:rPr>
      <w:rFonts w:ascii="Calibri" w:hAnsi="Calibri" w:eastAsia="宋体" w:cs="Calibri"/>
      <w:color w:val="000000"/>
      <w:kern w:val="2"/>
      <w:sz w:val="21"/>
      <w:szCs w:val="21"/>
      <w:u w:color="000000"/>
      <w:lang w:val="en-US" w:eastAsia="zh-CN" w:bidi="ar-SA"/>
    </w:rPr>
  </w:style>
  <w:style w:type="paragraph" w:customStyle="1" w:styleId="307">
    <w:name w:val="xl47"/>
    <w:basedOn w:val="1"/>
    <w:qFormat/>
    <w:uiPriority w:val="0"/>
    <w:pPr>
      <w:widowControl/>
      <w:pBdr>
        <w:top w:val="single" w:color="0000FF" w:sz="4" w:space="0"/>
        <w:left w:val="single" w:color="0000FF" w:sz="8"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kern w:val="0"/>
      <w:szCs w:val="24"/>
    </w:rPr>
  </w:style>
  <w:style w:type="paragraph" w:customStyle="1" w:styleId="308">
    <w:name w:val="Char Char1 Char Char Char Char Char Char"/>
    <w:basedOn w:val="1"/>
    <w:qFormat/>
    <w:uiPriority w:val="0"/>
    <w:pPr>
      <w:widowControl/>
      <w:adjustRightInd w:val="0"/>
      <w:snapToGrid w:val="0"/>
      <w:spacing w:beforeLines="25" w:line="240" w:lineRule="exact"/>
      <w:ind w:firstLine="560" w:firstLineChars="192"/>
      <w:jc w:val="left"/>
    </w:pPr>
    <w:rPr>
      <w:sz w:val="21"/>
      <w:szCs w:val="20"/>
    </w:rPr>
  </w:style>
  <w:style w:type="paragraph" w:customStyle="1" w:styleId="309">
    <w:name w:val="font8"/>
    <w:basedOn w:val="1"/>
    <w:qFormat/>
    <w:uiPriority w:val="0"/>
    <w:pPr>
      <w:widowControl/>
      <w:spacing w:before="100" w:beforeAutospacing="1" w:after="100" w:afterAutospacing="1" w:line="240" w:lineRule="auto"/>
      <w:ind w:firstLine="0" w:firstLineChars="0"/>
      <w:jc w:val="left"/>
    </w:pPr>
    <w:rPr>
      <w:rFonts w:ascii="宋体" w:hAnsi="宋体"/>
      <w:b/>
      <w:bCs/>
      <w:color w:val="000000"/>
      <w:kern w:val="0"/>
      <w:sz w:val="21"/>
      <w:szCs w:val="21"/>
    </w:rPr>
  </w:style>
  <w:style w:type="paragraph" w:customStyle="1" w:styleId="310">
    <w:name w:val="xl3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pPr>
    <w:rPr>
      <w:b/>
      <w:bCs/>
      <w:kern w:val="0"/>
      <w:sz w:val="21"/>
      <w:szCs w:val="21"/>
      <w:u w:val="single"/>
    </w:rPr>
  </w:style>
  <w:style w:type="paragraph" w:customStyle="1" w:styleId="311">
    <w:name w:val="font11"/>
    <w:basedOn w:val="1"/>
    <w:qFormat/>
    <w:uiPriority w:val="0"/>
    <w:pPr>
      <w:widowControl/>
      <w:spacing w:before="100" w:beforeAutospacing="1" w:after="100" w:afterAutospacing="1" w:line="240" w:lineRule="auto"/>
      <w:ind w:firstLine="0" w:firstLineChars="0"/>
      <w:jc w:val="left"/>
    </w:pPr>
    <w:rPr>
      <w:rFonts w:ascii="宋体" w:hAnsi="宋体"/>
      <w:kern w:val="0"/>
      <w:sz w:val="21"/>
      <w:szCs w:val="21"/>
    </w:rPr>
  </w:style>
  <w:style w:type="paragraph" w:customStyle="1" w:styleId="312">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kern w:val="0"/>
      <w:sz w:val="21"/>
      <w:szCs w:val="21"/>
    </w:rPr>
  </w:style>
  <w:style w:type="paragraph" w:customStyle="1" w:styleId="31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楷体_GB2312" w:hAnsi="宋体" w:eastAsia="楷体_GB2312"/>
      <w:kern w:val="0"/>
      <w:sz w:val="21"/>
      <w:szCs w:val="21"/>
    </w:rPr>
  </w:style>
  <w:style w:type="paragraph" w:customStyle="1" w:styleId="314">
    <w:name w:val="xl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楷体_GB2312" w:hAnsi="宋体" w:eastAsia="楷体_GB2312"/>
      <w:b/>
      <w:bCs/>
      <w:kern w:val="0"/>
      <w:sz w:val="21"/>
      <w:szCs w:val="21"/>
    </w:rPr>
  </w:style>
  <w:style w:type="paragraph" w:customStyle="1" w:styleId="315">
    <w:name w:val="xl45"/>
    <w:basedOn w:val="1"/>
    <w:qFormat/>
    <w:uiPriority w:val="0"/>
    <w:pPr>
      <w:widowControl/>
      <w:pBdr>
        <w:top w:val="single" w:color="0000FF" w:sz="4" w:space="0"/>
        <w:left w:val="single" w:color="0000FF" w:sz="4" w:space="0"/>
        <w:right w:val="single" w:color="0000FF" w:sz="4" w:space="0"/>
      </w:pBdr>
      <w:spacing w:before="100" w:beforeAutospacing="1" w:after="100" w:afterAutospacing="1" w:line="240" w:lineRule="auto"/>
      <w:ind w:firstLine="0" w:firstLineChars="0"/>
      <w:jc w:val="left"/>
    </w:pPr>
    <w:rPr>
      <w:rFonts w:ascii="宋体" w:hAnsi="宋体"/>
      <w:kern w:val="0"/>
      <w:szCs w:val="24"/>
    </w:rPr>
  </w:style>
  <w:style w:type="paragraph" w:customStyle="1" w:styleId="316">
    <w:name w:val="正文呀2_0"/>
    <w:basedOn w:val="290"/>
    <w:qFormat/>
    <w:uiPriority w:val="0"/>
    <w:rPr>
      <w:rFonts w:ascii="Times New Roman" w:hAnsi="Times New Roman" w:eastAsia="宋体"/>
    </w:rPr>
  </w:style>
  <w:style w:type="character" w:customStyle="1" w:styleId="317">
    <w:name w:val="UserStyle_9"/>
    <w:link w:val="318"/>
    <w:qFormat/>
    <w:locked/>
    <w:uiPriority w:val="0"/>
    <w:rPr>
      <w:kern w:val="2"/>
      <w:sz w:val="21"/>
      <w:szCs w:val="24"/>
    </w:rPr>
  </w:style>
  <w:style w:type="paragraph" w:customStyle="1" w:styleId="318">
    <w:name w:val="AnnotationText"/>
    <w:basedOn w:val="1"/>
    <w:link w:val="317"/>
    <w:qFormat/>
    <w:uiPriority w:val="0"/>
    <w:pPr>
      <w:widowControl/>
      <w:spacing w:line="240" w:lineRule="auto"/>
      <w:ind w:firstLine="0" w:firstLineChars="0"/>
      <w:jc w:val="left"/>
    </w:pPr>
    <w:rPr>
      <w:sz w:val="21"/>
      <w:szCs w:val="24"/>
    </w:rPr>
  </w:style>
  <w:style w:type="character" w:customStyle="1" w:styleId="319">
    <w:name w:val="批注文字 Char2"/>
    <w:qFormat/>
    <w:uiPriority w:val="0"/>
    <w:rPr>
      <w:rFonts w:hint="default" w:ascii="Times New Roman" w:hAnsi="Times New Roman" w:cs="Times New Roman"/>
      <w:szCs w:val="24"/>
    </w:rPr>
  </w:style>
  <w:style w:type="character" w:customStyle="1" w:styleId="320">
    <w:name w:val="Char Char9"/>
    <w:qFormat/>
    <w:uiPriority w:val="0"/>
    <w:rPr>
      <w:rFonts w:hint="eastAsia" w:ascii="仿宋_GB2312" w:hAnsi="Times New Roman" w:eastAsia="仿宋_GB2312" w:cs="Times New Roman"/>
      <w:sz w:val="32"/>
      <w:szCs w:val="20"/>
    </w:rPr>
  </w:style>
  <w:style w:type="character" w:customStyle="1" w:styleId="321">
    <w:name w:val="正文文本缩进 3 Char1"/>
    <w:basedOn w:val="50"/>
    <w:semiHidden/>
    <w:qFormat/>
    <w:locked/>
    <w:uiPriority w:val="0"/>
    <w:rPr>
      <w:sz w:val="28"/>
    </w:rPr>
  </w:style>
  <w:style w:type="character" w:customStyle="1" w:styleId="322">
    <w:name w:val="批注框文本 Char1"/>
    <w:basedOn w:val="50"/>
    <w:semiHidden/>
    <w:qFormat/>
    <w:locked/>
    <w:uiPriority w:val="0"/>
    <w:rPr>
      <w:kern w:val="2"/>
      <w:sz w:val="18"/>
      <w:szCs w:val="18"/>
    </w:rPr>
  </w:style>
  <w:style w:type="character" w:customStyle="1" w:styleId="323">
    <w:name w:val="日期 Char1"/>
    <w:basedOn w:val="50"/>
    <w:semiHidden/>
    <w:qFormat/>
    <w:locked/>
    <w:uiPriority w:val="0"/>
    <w:rPr>
      <w:kern w:val="2"/>
      <w:sz w:val="21"/>
      <w:szCs w:val="24"/>
    </w:rPr>
  </w:style>
  <w:style w:type="character" w:customStyle="1" w:styleId="324">
    <w:name w:val="手改 Char Char"/>
    <w:qFormat/>
    <w:uiPriority w:val="0"/>
    <w:rPr>
      <w:rFonts w:hint="default" w:ascii="Times New Roman" w:hAnsi="Times New Roman" w:eastAsia="宋体" w:cs="Times New Roman"/>
      <w:sz w:val="24"/>
      <w:szCs w:val="24"/>
      <w:lang w:bidi="ar-SA"/>
    </w:rPr>
  </w:style>
  <w:style w:type="character" w:customStyle="1" w:styleId="325">
    <w:name w:val="ca-71"/>
    <w:qFormat/>
    <w:uiPriority w:val="0"/>
    <w:rPr>
      <w:rFonts w:hint="eastAsia" w:ascii="宋体" w:hAnsi="宋体" w:eastAsia="宋体" w:cs="Times New Roman"/>
      <w:color w:val="000000"/>
      <w:sz w:val="12"/>
      <w:szCs w:val="12"/>
    </w:rPr>
  </w:style>
  <w:style w:type="character" w:customStyle="1" w:styleId="326">
    <w:name w:val="ca-41"/>
    <w:qFormat/>
    <w:uiPriority w:val="0"/>
    <w:rPr>
      <w:rFonts w:hint="eastAsia" w:ascii="宋体" w:hAnsi="宋体" w:eastAsia="宋体" w:cs="Times New Roman"/>
      <w:color w:val="000000"/>
      <w:sz w:val="20"/>
      <w:szCs w:val="20"/>
    </w:rPr>
  </w:style>
  <w:style w:type="character" w:customStyle="1" w:styleId="327">
    <w:name w:val="页眉 Char1"/>
    <w:basedOn w:val="50"/>
    <w:semiHidden/>
    <w:qFormat/>
    <w:locked/>
    <w:uiPriority w:val="0"/>
    <w:rPr>
      <w:kern w:val="2"/>
      <w:sz w:val="18"/>
      <w:szCs w:val="18"/>
    </w:rPr>
  </w:style>
  <w:style w:type="character" w:customStyle="1" w:styleId="328">
    <w:name w:val="ca-51"/>
    <w:qFormat/>
    <w:uiPriority w:val="0"/>
    <w:rPr>
      <w:rFonts w:hint="eastAsia" w:ascii="宋体" w:hAnsi="宋体" w:eastAsia="宋体" w:cs="Times New Roman"/>
      <w:color w:val="E60000"/>
      <w:sz w:val="20"/>
      <w:szCs w:val="20"/>
    </w:rPr>
  </w:style>
  <w:style w:type="character" w:customStyle="1" w:styleId="329">
    <w:name w:val="标题 2 Char1"/>
    <w:qFormat/>
    <w:uiPriority w:val="9"/>
    <w:rPr>
      <w:rFonts w:hint="default" w:ascii="Cambria" w:hAnsi="Cambria" w:eastAsia="宋体" w:cs="Times New Roman"/>
      <w:b/>
      <w:bCs/>
      <w:kern w:val="2"/>
      <w:sz w:val="32"/>
      <w:szCs w:val="32"/>
    </w:rPr>
  </w:style>
  <w:style w:type="character" w:customStyle="1" w:styleId="330">
    <w:name w:val="ca-31"/>
    <w:qFormat/>
    <w:uiPriority w:val="0"/>
    <w:rPr>
      <w:rFonts w:hint="eastAsia" w:ascii="宋体" w:hAnsi="宋体" w:eastAsia="宋体" w:cs="Times New Roman"/>
      <w:color w:val="000000"/>
      <w:sz w:val="24"/>
      <w:szCs w:val="24"/>
    </w:rPr>
  </w:style>
  <w:style w:type="character" w:customStyle="1" w:styleId="331">
    <w:name w:val="textcontents"/>
    <w:basedOn w:val="50"/>
    <w:qFormat/>
    <w:uiPriority w:val="0"/>
  </w:style>
  <w:style w:type="paragraph" w:customStyle="1" w:styleId="332">
    <w:name w:val="_paragraph_4sbbx_1"/>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character" w:customStyle="1" w:styleId="333">
    <w:name w:val="标题 3 Char2"/>
    <w:link w:val="4"/>
    <w:qFormat/>
    <w:uiPriority w:val="0"/>
    <w:rPr>
      <w:b/>
      <w:bCs/>
      <w:sz w:val="24"/>
      <w:szCs w:val="32"/>
    </w:rPr>
  </w:style>
  <w:style w:type="table" w:customStyle="1" w:styleId="334">
    <w:name w:val="Table Normal"/>
    <w:semiHidden/>
    <w:unhideWhenUsed/>
    <w:qFormat/>
    <w:uiPriority w:val="0"/>
    <w:tblPr>
      <w:tblCellMar>
        <w:top w:w="0" w:type="dxa"/>
        <w:left w:w="0" w:type="dxa"/>
        <w:bottom w:w="0" w:type="dxa"/>
        <w:right w:w="0" w:type="dxa"/>
      </w:tblCellMar>
    </w:tblPr>
  </w:style>
  <w:style w:type="paragraph" w:customStyle="1" w:styleId="33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7.wmf"/><Relationship Id="rId36" Type="http://schemas.openxmlformats.org/officeDocument/2006/relationships/image" Target="media/image6.wmf"/><Relationship Id="rId35" Type="http://schemas.openxmlformats.org/officeDocument/2006/relationships/image" Target="media/image5.wmf"/><Relationship Id="rId34" Type="http://schemas.openxmlformats.org/officeDocument/2006/relationships/image" Target="media/image4.wmf"/><Relationship Id="rId33" Type="http://schemas.openxmlformats.org/officeDocument/2006/relationships/image" Target="media/image3.wmf"/><Relationship Id="rId32" Type="http://schemas.openxmlformats.org/officeDocument/2006/relationships/image" Target="file:///C:\Users\Administrator\AppData\Roaming\Tencent\Users\84332323\QQ\WinTemp\RichOle\TN3R7%25252525252525252525252525252525252525252525252525252525252525252525252525252525252525252525252525252525252525252525252525252525252525252525252525252525252525252525252525252525255dUDEA05N%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604SDUJC)1.png" TargetMode="External"/><Relationship Id="rId31" Type="http://schemas.openxmlformats.org/officeDocument/2006/relationships/image" Target="media/image2.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header" Target="header8.xml"/><Relationship Id="rId24" Type="http://schemas.openxmlformats.org/officeDocument/2006/relationships/header" Target="header7.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a1d0d837-ccdf-4bfb-b538-6a772f2ef959</errorID>
      <errorWord>上午00:00</errorWord>
      <group>L1_Knowledge</group>
      <groupName>知识性问题</groupName>
      <ability>L2_Time</ability>
      <abilityName>日期时间</abilityName>
      <candidateList/>
      <explain>时间与前缀不匹配，可能的时间前缀有“下午、晚上、凌晨、午夜”。</explain>
      <paraID>62DC28B7</paraID>
      <start>29</start>
      <end>36</end>
      <status>unmodified</status>
      <modifiedWord/>
      <trackRevisions>false</trackRevisions>
    </reviewItem>
    <reviewItem>
      <errorID>6d756cc6-19f3-419f-9076-4de23c2788cc</errorID>
      <errorWord>，</errorWord>
      <group>L1_Word</group>
      <groupName>字词问题</groupName>
      <ability>L2_Typo</ability>
      <abilityName>字词错误</abilityName>
      <candidateList>
        <item>，使</item>
      </candidateList>
      <explain/>
      <paraID>48D2FD44</paraID>
      <start>39</start>
      <end>40</end>
      <status>unmodified</status>
      <modifiedWord/>
      <trackRevisions>false</trackRevisions>
    </reviewItem>
    <reviewItem>
      <errorID>69d0b481-5423-4b9f-9122-454d41120924</errorID>
      <errorWord>可附件</errorWord>
      <group>L1_Word</group>
      <groupName>字词问题</groupName>
      <ability>L2_Typo</ability>
      <abilityName>字词错误</abilityName>
      <candidateList>
        <item>见附件</item>
      </candidateList>
      <explain/>
      <paraID>2C8347DF</paraID>
      <start>49</start>
      <end>52</end>
      <status>unmodified</status>
      <modifiedWord/>
      <trackRevisions>false</trackRevisions>
    </reviewItem>
    <reviewItem>
      <errorID>37553f03-c2aa-47d4-87a1-79fd3b8e704a</errorID>
      <errorWord>(</errorWord>
      <group>L1_Format</group>
      <groupName>格式问题</groupName>
      <ability>L2_HalfPunc</ability>
      <abilityName>全半角检查</abilityName>
      <candidateList>
        <item>（</item>
      </candidateList>
      <explain>文本全半角错误。</explain>
      <paraID>3AB1DF81</paraID>
      <start>24</start>
      <end>25</end>
      <status>modified</status>
      <modifiedWord>（</modifiedWord>
      <trackRevisions>false</trackRevisions>
    </reviewItem>
    <reviewItem>
      <errorID>1e5ef378-887f-4696-8fc1-f988f598d383</errorID>
      <errorWord>)</errorWord>
      <group>L1_Format</group>
      <groupName>格式问题</groupName>
      <ability>L2_HalfPunc</ability>
      <abilityName>全半角检查</abilityName>
      <candidateList>
        <item>）</item>
      </candidateList>
      <explain>文本全半角错误。</explain>
      <paraID>3AB1DF81</paraID>
      <start>29</start>
      <end>30</end>
      <status>modified</status>
      <modifiedWord>）</modifiedWord>
      <trackRevisions>false</trackRevisions>
    </reviewItem>
    <reviewItem>
      <errorID>c353dee6-00b1-47ab-8891-66866b609fa9</errorID>
      <errorWord>(</errorWord>
      <group>L1_Format</group>
      <groupName>格式问题</groupName>
      <ability>L2_HalfPunc</ability>
      <abilityName>全半角检查</abilityName>
      <candidateList>
        <item>（</item>
      </candidateList>
      <explain>文本全半角错误。</explain>
      <paraID>6E38580C</paraID>
      <start>16</start>
      <end>17</end>
      <status>modified</status>
      <modifiedWord>（</modifiedWord>
      <trackRevisions>false</trackRevisions>
    </reviewItem>
    <reviewItem>
      <errorID>2bd09ca9-7652-4c27-bcd1-e6d240ac9572</errorID>
      <errorWord>)</errorWord>
      <group>L1_Format</group>
      <groupName>格式问题</groupName>
      <ability>L2_HalfPunc</ability>
      <abilityName>全半角检查</abilityName>
      <candidateList>
        <item>）</item>
      </candidateList>
      <explain>文本全半角错误。</explain>
      <paraID>6E38580C</paraID>
      <start>21</start>
      <end>22</end>
      <status>modified</status>
      <modifiedWord>）</modifiedWord>
      <trackRevisions>false</trackRevisions>
    </reviewItem>
    <reviewItem>
      <errorID>523fe312-0b56-423c-8680-5b231e4f74c6</errorID>
      <errorWord>,</errorWord>
      <group>L1_Format</group>
      <groupName>格式问题</groupName>
      <ability>L2_HalfPunc</ability>
      <abilityName>全半角检查</abilityName>
      <candidateList>
        <item>，</item>
      </candidateList>
      <explain>文本全半角错误。</explain>
      <paraID>2CC481C8</paraID>
      <start>132</start>
      <end>133</end>
      <status>modified</status>
      <modifiedWord>，</modifiedWord>
      <trackRevisions>false</trackRevisions>
    </reviewItem>
    <reviewItem>
      <errorID>9a54b886-a2c6-49cb-aba6-637c2a16115d</errorID>
      <errorWord>,</errorWord>
      <group>L1_Format</group>
      <groupName>格式问题</groupName>
      <ability>L2_HalfPunc</ability>
      <abilityName>全半角检查</abilityName>
      <candidateList>
        <item>，</item>
      </candidateList>
      <explain>文本全半角错误。</explain>
      <paraID>2CC481C8</paraID>
      <start>294</start>
      <end>295</end>
      <status>modified</status>
      <modifiedWord>，</modifiedWord>
      <trackRevisions>false</trackRevisions>
    </reviewItem>
    <reviewItem>
      <errorID>2591c957-3572-4c31-a594-be3efe7ce6a1</errorID>
      <errorWord>须</errorWord>
      <group>L1_Word</group>
      <groupName>字词问题</groupName>
      <ability>L2_Typo</ability>
      <abilityName>字词错误</abilityName>
      <candidateList>
        <item>需</item>
      </candidateList>
      <explain>存在发音相同字词的误用。</explain>
      <paraID> 5611AC3</paraID>
      <start>9</start>
      <end>10</end>
      <status>ignored</status>
      <modifiedWord/>
      <trackRevisions>false</trackRevisions>
    </reviewItem>
    <reviewItem>
      <errorID>e569ce78-85ab-46d0-ab3a-bb83a33dda9d</errorID>
      <errorWord>(</errorWord>
      <group>L1_Format</group>
      <groupName>格式问题</groupName>
      <ability>L2_HalfPunc</ability>
      <abilityName>全半角检查</abilityName>
      <candidateList>
        <item>（</item>
      </candidateList>
      <explain>文本全半角错误。</explain>
      <paraID>681CA2F1</paraID>
      <start>18</start>
      <end>19</end>
      <status>modified</status>
      <modifiedWord>（</modifiedWord>
      <trackRevisions>false</trackRevisions>
    </reviewItem>
    <reviewItem>
      <errorID>d96dd47d-72cc-44d5-8250-34520688c20f</errorID>
      <errorWord>)</errorWord>
      <group>L1_Format</group>
      <groupName>格式问题</groupName>
      <ability>L2_HalfPunc</ability>
      <abilityName>全半角检查</abilityName>
      <candidateList>
        <item>）</item>
      </candidateList>
      <explain>文本全半角错误。</explain>
      <paraID>681CA2F1</paraID>
      <start>31</start>
      <end>32</end>
      <status>modified</status>
      <modifiedWord>）</modifiedWord>
      <trackRevisions>false</trackRevisions>
    </reviewItem>
    <reviewItem>
      <errorID>4b1b97f3-740f-47e7-980b-e2f6c28974fd</errorID>
      <errorWord>(</errorWord>
      <group>L1_Format</group>
      <groupName>格式问题</groupName>
      <ability>L2_HalfPunc</ability>
      <abilityName>全半角检查</abilityName>
      <candidateList>
        <item>（</item>
      </candidateList>
      <explain>文本全半角错误。</explain>
      <paraID>785179C2</paraID>
      <start>16</start>
      <end>17</end>
      <status>modified</status>
      <modifiedWord>（</modifiedWord>
      <trackRevisions>false</trackRevisions>
    </reviewItem>
    <reviewItem>
      <errorID>7f90b958-d633-4667-b6f9-9c9b39e9611f</errorID>
      <errorWord>)</errorWord>
      <group>L1_Format</group>
      <groupName>格式问题</groupName>
      <ability>L2_HalfPunc</ability>
      <abilityName>全半角检查</abilityName>
      <candidateList>
        <item>）</item>
      </candidateList>
      <explain>文本全半角错误。</explain>
      <paraID>785179C2</paraID>
      <start>35</start>
      <end>36</end>
      <status>modified</status>
      <modifiedWord>）</modifiedWord>
      <trackRevisions>false</trackRevisions>
    </reviewItem>
    <reviewItem>
      <errorID>bf1745f9-74b7-4708-b5ba-34ce204db332</errorID>
      <errorWord>(</errorWord>
      <group>L1_Format</group>
      <groupName>格式问题</groupName>
      <ability>L2_HalfPunc</ability>
      <abilityName>全半角检查</abilityName>
      <candidateList>
        <item>（</item>
      </candidateList>
      <explain>文本全半角错误。</explain>
      <paraID>785179C2</paraID>
      <start>48</start>
      <end>49</end>
      <status>modified</status>
      <modifiedWord>（</modifiedWord>
      <trackRevisions>false</trackRevisions>
    </reviewItem>
    <reviewItem>
      <errorID>9d7ecd2e-9628-4089-ad72-3f6c9845823a</errorID>
      <errorWord>)</errorWord>
      <group>L1_Format</group>
      <groupName>格式问题</groupName>
      <ability>L2_HalfPunc</ability>
      <abilityName>全半角检查</abilityName>
      <candidateList>
        <item>）</item>
      </candidateList>
      <explain>文本全半角错误。</explain>
      <paraID>785179C2</paraID>
      <start>52</start>
      <end>53</end>
      <status>modified</status>
      <modifiedWord>）</modifiedWord>
      <trackRevisions>false</trackRevisions>
    </reviewItem>
    <reviewItem>
      <errorID>ca706451-8ba8-4526-874b-774072c1e77e</errorID>
      <errorWord>&lt;</errorWord>
      <group>L1_Format</group>
      <groupName>格式问题</groupName>
      <ability>L2_HalfPunc</ability>
      <abilityName>全半角检查</abilityName>
      <candidateList>
        <item>〈</item>
      </candidateList>
      <explain>文本全半角错误。</explain>
      <paraID>1F5B177B</paraID>
      <start>23</start>
      <end>24</end>
      <status>modified</status>
      <modifiedWord>〈</modifiedWord>
      <trackRevisions>false</trackRevisions>
    </reviewItem>
    <reviewItem>
      <errorID>1a1f80e5-8b56-4b61-bb75-297a3003ada9</errorID>
      <errorWord>&gt;的通知》</errorWord>
      <group>L1_Punc</group>
      <groupName>标点问题</groupName>
      <ability>L2_Punc</ability>
      <abilityName>标点符号检查</abilityName>
      <candidateList>
        <item>〉的通知》</item>
      </candidateList>
      <explain/>
      <paraID>1F5B177B</paraID>
      <start>39</start>
      <end>44</end>
      <status>modified</status>
      <modifiedWord>〉的通知》</modifiedWord>
      <trackRevisions>false</trackRevisions>
    </reviewItem>
    <reviewItem>
      <errorID>a4764caf-a2ff-4074-bdeb-51a36460dfb2</errorID>
      <errorWord>(</errorWord>
      <group>L1_Format</group>
      <groupName>格式问题</groupName>
      <ability>L2_HalfPunc</ability>
      <abilityName>全半角检查</abilityName>
      <candidateList>
        <item>（</item>
      </candidateList>
      <explain>文本全半角错误。</explain>
      <paraID>1F5B177B</paraID>
      <start>44</start>
      <end>45</end>
      <status>modified</status>
      <modifiedWord>（</modifiedWord>
      <trackRevisions>false</trackRevisions>
    </reviewItem>
    <reviewItem>
      <errorID>9d337fe7-fc03-4cfc-a0b3-2d0b9a18807c</errorID>
      <errorWord>[2016】16号</errorWord>
      <group>L1_Knowledge</group>
      <groupName>知识性问题</groupName>
      <ability>L2_Knowledge</ability>
      <abilityName>其他知识</abilityName>
      <candidateList>
        <item>〔2016〕16号</item>
      </candidateList>
      <explain>发文字号格式错误。</explain>
      <paraID>1F5B177B</paraID>
      <start>48</start>
      <end>57</end>
      <status>modified</status>
      <modifiedWord>〔2016〕16号</modifiedWord>
      <trackRevisions>false</trackRevisions>
    </reviewItem>
    <reviewItem>
      <errorID>d90a82e5-f413-413f-9b8a-6d87ceef585d</errorID>
      <errorWord>)</errorWord>
      <group>L1_Format</group>
      <groupName>格式问题</groupName>
      <ability>L2_HalfPunc</ability>
      <abilityName>全半角检查</abilityName>
      <candidateList>
        <item>）</item>
      </candidateList>
      <explain>文本全半角错误。</explain>
      <paraID>1F5B177B</paraID>
      <start>57</start>
      <end>58</end>
      <status>modified</status>
      <modifiedWord>）</modifiedWord>
      <trackRevisions>false</trackRevisions>
    </reviewItem>
    <reviewItem>
      <errorID>a22d22af-ed65-4b7e-af2a-260fb4a18215</errorID>
      <errorWord>(</errorWord>
      <group>L1_Format</group>
      <groupName>格式问题</groupName>
      <ability>L2_HalfPunc</ability>
      <abilityName>全半角检查</abilityName>
      <candidateList>
        <item>（</item>
      </candidateList>
      <explain>文本全半角错误。</explain>
      <paraID>7B454E29</paraID>
      <start>50</start>
      <end>51</end>
      <status>modified</status>
      <modifiedWord>（</modifiedWord>
      <trackRevisions>false</trackRevisions>
    </reviewItem>
    <reviewItem>
      <errorID>78d10dd2-91a9-4906-91e1-cf811b75d34e</errorID>
      <errorWord>[2016]17号</errorWord>
      <group>L1_Knowledge</group>
      <groupName>知识性问题</groupName>
      <ability>L2_Knowledge</ability>
      <abilityName>其他知识</abilityName>
      <candidateList>
        <item>〔2016〕17号</item>
      </candidateList>
      <explain>发文字号格式错误。</explain>
      <paraID>7B454E29</paraID>
      <start>54</start>
      <end>63</end>
      <status>modified</status>
      <modifiedWord>〔2016〕17号</modifiedWord>
      <trackRevisions>false</trackRevisions>
    </reviewItem>
    <reviewItem>
      <errorID>a758be1b-51c8-4a5e-ac2a-9e075ae8cc2b</errorID>
      <errorWord>)</errorWord>
      <group>L1_Format</group>
      <groupName>格式问题</groupName>
      <ability>L2_HalfPunc</ability>
      <abilityName>全半角检查</abilityName>
      <candidateList>
        <item>）</item>
      </candidateList>
      <explain>文本全半角错误。</explain>
      <paraID>7B454E29</paraID>
      <start>63</start>
      <end>64</end>
      <status>modified</status>
      <modifiedWord>）</modifiedWord>
      <trackRevisions>false</trackRevisions>
    </reviewItem>
    <reviewItem>
      <errorID>972ddfb0-cda8-44f9-b220-3bb147856253</errorID>
      <errorWord>(</errorWord>
      <group>L1_Format</group>
      <groupName>格式问题</groupName>
      <ability>L2_HalfPunc</ability>
      <abilityName>全半角检查</abilityName>
      <candidateList>
        <item>（</item>
      </candidateList>
      <explain>文本全半角错误。</explain>
      <paraID>1A8AD3B2</paraID>
      <start>26</start>
      <end>27</end>
      <status>modified</status>
      <modifiedWord>（</modifiedWord>
      <trackRevisions>false</trackRevisions>
    </reviewItem>
    <reviewItem>
      <errorID>4eb77ba6-97c7-4431-b57d-e91585c5ce9f</errorID>
      <errorWord>[2023】7号</errorWord>
      <group>L1_Knowledge</group>
      <groupName>知识性问题</groupName>
      <ability>L2_Knowledge</ability>
      <abilityName>其他知识</abilityName>
      <candidateList>
        <item>〔2023〕7号</item>
      </candidateList>
      <explain>发文字号格式错误。</explain>
      <paraID>1A8AD3B2</paraID>
      <start>30</start>
      <end>38</end>
      <status>modified</status>
      <modifiedWord>〔2023〕7号</modifiedWord>
      <trackRevisions>false</trackRevisions>
    </reviewItem>
    <reviewItem>
      <errorID>f74c48c3-24a3-4069-9265-e4683aabe32c</errorID>
      <errorWord>)</errorWord>
      <group>L1_Format</group>
      <groupName>格式问题</groupName>
      <ability>L2_HalfPunc</ability>
      <abilityName>全半角检查</abilityName>
      <candidateList>
        <item>）</item>
      </candidateList>
      <explain>文本全半角错误。</explain>
      <paraID>1A8AD3B2</paraID>
      <start>39</start>
      <end>40</end>
      <status>modified</status>
      <modifiedWord>）</modifiedWord>
      <trackRevisions>false</trackRevisions>
    </reviewItem>
    <reviewItem>
      <errorID>b4cbe7dc-dcda-4581-9b87-ec3b02facd6e</errorID>
      <errorWord>房</errorWord>
      <group>L1_Word</group>
      <groupName>字词问题</groupName>
      <ability>L2_Typo</ability>
      <abilityName>字词错误</abilityName>
      <candidateList>
        <item>房和</item>
      </candidateList>
      <explain/>
      <paraID>1DB34AF3</paraID>
      <start>8</start>
      <end>9</end>
      <status>ignored</status>
      <modifiedWord/>
      <trackRevisions>false</trackRevisions>
    </reviewItem>
    <reviewItem>
      <errorID>edca0f0d-1922-4474-8758-ef79aa1f4c92</errorID>
      <errorWord>(</errorWord>
      <group>L1_Format</group>
      <groupName>格式问题</groupName>
      <ability>L2_HalfPunc</ability>
      <abilityName>全半角检查</abilityName>
      <candidateList>
        <item>（</item>
      </candidateList>
      <explain>文本全半角错误。</explain>
      <paraID>1DB34AF3</paraID>
      <start>33</start>
      <end>34</end>
      <status>modified</status>
      <modifiedWord>（</modifiedWord>
      <trackRevisions>false</trackRevisions>
    </reviewItem>
    <reviewItem>
      <errorID>010dda8a-6010-4669-98c1-aaee10092ffd</errorID>
      <errorWord>【2019】12号</errorWord>
      <group>L1_Knowledge</group>
      <groupName>知识性问题</groupName>
      <ability>L2_Knowledge</ability>
      <abilityName>其他知识</abilityName>
      <candidateList>
        <item>〔2019〕12号</item>
      </candidateList>
      <explain>发文字号格式错误。</explain>
      <paraID>1DB34AF3</paraID>
      <start>37</start>
      <end>46</end>
      <status>modified</status>
      <modifiedWord>〔2019〕12号</modifiedWord>
      <trackRevisions>false</trackRevisions>
    </reviewItem>
    <reviewItem>
      <errorID>0a38d7ed-7777-4d9e-bb19-fe805e53de44</errorID>
      <errorWord>)</errorWord>
      <group>L1_Format</group>
      <groupName>格式问题</groupName>
      <ability>L2_HalfPunc</ability>
      <abilityName>全半角检查</abilityName>
      <candidateList>
        <item>）</item>
      </candidateList>
      <explain>文本全半角错误。</explain>
      <paraID>1DB34AF3</paraID>
      <start>46</start>
      <end>47</end>
      <status>modified</status>
      <modifiedWord>）</modifiedWord>
      <trackRevisions>false</trackRevisions>
    </reviewItem>
    <reviewItem>
      <errorID>30c28db1-bb1b-408a-802b-d123e66fd801</errorID>
      <errorWord>，</errorWord>
      <group>L1_Word</group>
      <groupName>字词问题</groupName>
      <ability>L2_Typo</ability>
      <abilityName>字词错误</abilityName>
      <candidateList>
        <item>，具</item>
      </candidateList>
      <explain/>
      <paraID>5439F0FD</paraID>
      <start>23</start>
      <end>25</end>
      <status>modified</status>
      <modifiedWord>，具</modifiedWord>
      <trackRevisions>false</trackRevisions>
    </reviewItem>
    <reviewItem>
      <errorID>109017f8-8fd5-4d00-a433-15473a37bbdc</errorID>
      <errorWord>关键技术有</errorWord>
      <group>L1_Word</group>
      <groupName>字词问题</groupName>
      <ability>L2_Typo</ability>
      <abilityName>字词错误</abilityName>
      <candidateList>
        <item>关键技术</item>
      </candidateList>
      <explain/>
      <paraID>5A974572</paraID>
      <start>10</start>
      <end>14</end>
      <status>modified</status>
      <modifiedWord>关键技术</modifiedWord>
      <trackRevisions>false</trackRevisions>
    </reviewItem>
    <reviewItem>
      <errorID>00ad64ea-fea3-439a-87cb-64b5d5c126f4</errorID>
      <errorWord>送达至</errorWord>
      <group>L1_Word</group>
      <groupName>字词问题</groupName>
      <ability>L2_Typo</ability>
      <abilityName>字词错误</abilityName>
      <candidateList>
        <item>送达</item>
      </candidateList>
      <explain/>
      <paraID>74372B99</paraID>
      <start>22</start>
      <end>25</end>
      <status>ignored</status>
      <modifiedWord/>
      <trackRevisions>false</trackRevisions>
    </reviewItem>
    <reviewItem>
      <errorID>292e5a87-0be7-431d-aa57-82debba19d4c</errorID>
      <errorWord>古树名木的保护</errorWord>
      <group>L1_Political</group>
      <groupName>政治性问题</groupName>
      <ability>L2_Keyword</ability>
      <abilityName>固定表述</abilityName>
      <candidateList>
        <item>古树名木保护</item>
      </candidateList>
      <explain>词汇“古树名木保护”在特定场景下为固定表述形式，请确认此处的“古树名木的保护”是否存在不当。</explain>
      <paraID>6BAD1647</paraID>
      <start>28</start>
      <end>35</end>
      <status>ignored</status>
      <modifiedWord/>
      <trackRevisions>false</trackRevisions>
    </reviewItem>
    <reviewItem>
      <errorID>67161c97-28c8-4da6-a2ea-65f11944aba9</errorID>
      <errorWord>噪音</errorWord>
      <group>L1_Word</group>
      <groupName>字词问题</groupName>
      <ability>L2_Alias</ability>
      <abilityName>也作/曾用词</abilityName>
      <candidateList>
        <item>噪声</item>
      </candidateList>
      <explain>词汇[噪音]为不规范表述或旧称，其规范书面表述为[噪声]。</explain>
      <paraID>12939283</paraID>
      <start>69</start>
      <end>71</end>
      <status>ignored</status>
      <modifiedWord/>
      <trackRevisions>false</trackRevisions>
    </reviewItem>
    <reviewItem>
      <errorID>0a023d40-7e70-4a34-acaf-a5eef1cff6d8</errorID>
      <errorWord>运入</errorWord>
      <group>L1_Word</group>
      <groupName>字词问题</groupName>
      <ability>L2_Typo</ability>
      <abilityName>字词错误</abilityName>
      <candidateList>
        <item>进入</item>
      </candidateList>
      <explain>〈动〉支进到某个范围或某个时期里：～学校｜～新阶段◇～角色。</explain>
      <paraID> 40940D9</paraID>
      <start>3</start>
      <end>5</end>
      <status>ignored</status>
      <modifiedWord/>
      <trackRevisions>false</trackRevisions>
    </reviewItem>
    <reviewItem>
      <errorID>38ff0ee6-5b42-4e38-9dbd-66d943510363</errorID>
      <errorWord>）</errorWord>
      <group>L1_Word</group>
      <groupName>字词问题</groupName>
      <ability>L2_Typo</ability>
      <abilityName>字词错误</abilityName>
      <candidateList>
        <item>）项</item>
      </candidateList>
      <explain/>
      <paraID> 64F33FC</paraID>
      <start>44</start>
      <end>45</end>
      <status>ignored</status>
      <modifiedWord/>
      <trackRevisions>false</trackRevisions>
    </reviewItem>
    <reviewItem>
      <errorID>aa7eed68-852e-43fe-b1e5-ef35918e43f2</errorID>
      <errorWord>其它</errorWord>
      <group>L1_Word</group>
      <groupName>字词问题</groupName>
      <ability>L2_Alias</ability>
      <abilityName>也作/曾用词</abilityName>
      <candidateList>
        <item>其他</item>
      </candidateList>
      <explain>词汇[其它]为不规范表述或旧称，其规范书面表述为[其他]。</explain>
      <paraID>2AFEA7CB</paraID>
      <start>1</start>
      <end>3</end>
      <status>ignored</status>
      <modifiedWord/>
      <trackRevisions>false</trackRevisions>
    </reviewItem>
    <reviewItem>
      <errorID>ae6be5a6-7da4-4863-bfa4-2c646f0e2aa1</errorID>
      <errorWord>：/。</errorWord>
      <group>L1_Punc</group>
      <groupName>标点问题</groupName>
      <ability>L2_Punc</ability>
      <abilityName>标点符号检查</abilityName>
      <candidateList>
        <item>：</item>
      </candidateList>
      <explain/>
      <paraID> A9DEF93</paraID>
      <start>10</start>
      <end>13</end>
      <status>ignored</status>
      <modifiedWord/>
      <trackRevisions>false</trackRevisions>
    </reviewItem>
    <reviewItem>
      <errorID>bdf212ff-da2d-447a-9b0d-add1c9c28354</errorID>
      <errorWord>：/。</errorWord>
      <group>L1_Punc</group>
      <groupName>标点问题</groupName>
      <ability>L2_Punc</ability>
      <abilityName>标点符号检查</abilityName>
      <candidateList>
        <item>：</item>
      </candidateList>
      <explain/>
      <paraID>67FC9658</paraID>
      <start>7</start>
      <end>10</end>
      <status>ignored</status>
      <modifiedWord/>
      <trackRevisions>false</trackRevisions>
    </reviewItem>
    <reviewItem>
      <errorID>d9ba6d25-8337-4b31-bbf9-f1f169e53c75</errorID>
      <errorWord>：/。</errorWord>
      <group>L1_Punc</group>
      <groupName>标点问题</groupName>
      <ability>L2_Punc</ability>
      <abilityName>标点符号检查</abilityName>
      <candidateList>
        <item>：</item>
      </candidateList>
      <explain/>
      <paraID>602093CB</paraID>
      <start>8</start>
      <end>11</end>
      <status>ignored</status>
      <modifiedWord/>
      <trackRevisions>false</trackRevisions>
    </reviewItem>
    <reviewItem>
      <errorID>5eb7ff5c-080b-4692-9a50-310a004f88d6</errorID>
      <errorWord>：/；</errorWord>
      <group>L1_Punc</group>
      <groupName>标点问题</groupName>
      <ability>L2_Punc</ability>
      <abilityName>标点符号检查</abilityName>
      <candidateList>
        <item>：</item>
      </candidateList>
      <explain/>
      <paraID>7ABB02E2</paraID>
      <start>16</start>
      <end>19</end>
      <status>ignored</status>
      <modifiedWord/>
      <trackRevisions>false</trackRevisions>
    </reviewItem>
    <reviewItem>
      <errorID>efdf8a69-54c4-4851-93c7-0ad61ea0a8be</errorID>
      <errorWord>:/。</errorWord>
      <group>L1_Punc</group>
      <groupName>标点问题</groupName>
      <ability>L2_Punc</ability>
      <abilityName>标点符号检查</abilityName>
      <candidateList>
        <item>:</item>
      </candidateList>
      <explain/>
      <paraID>59848F8D</paraID>
      <start>7</start>
      <end>10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8e6f9-2ab5-447b-b23a-1d6a65797b1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140</Pages>
  <Words>76989</Words>
  <Characters>80613</Characters>
  <Lines>861</Lines>
  <Paragraphs>242</Paragraphs>
  <TotalTime>210</TotalTime>
  <ScaleCrop>false</ScaleCrop>
  <LinksUpToDate>false</LinksUpToDate>
  <CharactersWithSpaces>85075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2023-01-02T18:53:00Z</dcterms:created>
  <dc:creator>Administrator</dc:creator>
  <cp:lastModifiedBy>Administrator</cp:lastModifiedBy>
  <cp:lastPrinted>2026-06-18T02:46:00Z</cp:lastPrinted>
  <dcterms:modified xsi:type="dcterms:W3CDTF">2026-06-22T02:49:46Z</dcterms:modified>
  <cp:revision>279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85313A2820C640CAA3B4A8F95A4B0D20_13</vt:lpwstr>
  </property>
  <property fmtid="{D5CDD505-2E9C-101B-9397-08002B2CF9AE}" pid="4" name="KSOTemplateDocerSaveRecord">
    <vt:lpwstr>eyJoZGlkIjoiYjNjMGIwNzI4MDBjMGFlOTM0ZTczMWRiZDcyMWNjMmUiLCJ1c2VySWQiOiI1NTM4NDIyOTAifQ==</vt:lpwstr>
  </property>
</Properties>
</file>