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564EC0">
      <w:pPr>
        <w:jc w:val="center"/>
        <w:rPr>
          <w:rFonts w:hint="eastAsia" w:ascii="楷体_GB2312" w:hAnsi="宋体" w:eastAsia="楷体_GB2312"/>
          <w:b/>
          <w:sz w:val="48"/>
          <w:szCs w:val="48"/>
          <w:lang w:eastAsia="zh-CN"/>
        </w:rPr>
      </w:pPr>
      <w:r>
        <w:rPr>
          <w:rFonts w:hint="eastAsia" w:ascii="楷体_GB2312" w:hAnsi="宋体" w:eastAsia="楷体_GB2312"/>
          <w:b/>
          <w:sz w:val="48"/>
          <w:szCs w:val="48"/>
          <w:lang w:eastAsia="zh-CN"/>
        </w:rPr>
        <w:drawing>
          <wp:inline distT="0" distB="0" distL="114300" distR="114300">
            <wp:extent cx="5753735" cy="8137525"/>
            <wp:effectExtent l="0" t="0" r="18415" b="15875"/>
            <wp:docPr id="10" name="图片 10" descr="202607131536_0001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202607131536_0001_1"/>
                    <pic:cNvPicPr>
                      <a:picLocks noChangeAspect="1"/>
                    </pic:cNvPicPr>
                  </pic:nvPicPr>
                  <pic:blipFill>
                    <a:blip r:embed="rId14"/>
                    <a:stretch>
                      <a:fillRect/>
                    </a:stretch>
                  </pic:blipFill>
                  <pic:spPr>
                    <a:xfrm>
                      <a:off x="0" y="0"/>
                      <a:ext cx="5753735" cy="8137525"/>
                    </a:xfrm>
                    <a:prstGeom prst="rect">
                      <a:avLst/>
                    </a:prstGeom>
                  </pic:spPr>
                </pic:pic>
              </a:graphicData>
            </a:graphic>
          </wp:inline>
        </w:drawing>
      </w:r>
    </w:p>
    <w:p w14:paraId="7D884C6A">
      <w:pPr>
        <w:jc w:val="center"/>
        <w:rPr>
          <w:rFonts w:hint="eastAsia" w:ascii="楷体_GB2312" w:hAnsi="宋体"/>
          <w:b/>
          <w:sz w:val="84"/>
          <w:szCs w:val="84"/>
        </w:rPr>
      </w:pPr>
      <w:r>
        <w:rPr>
          <w:rFonts w:hint="eastAsia" w:ascii="楷体_GB2312" w:hAnsi="宋体" w:eastAsia="楷体_GB2312"/>
          <w:b/>
          <w:sz w:val="48"/>
          <w:szCs w:val="48"/>
        </w:rPr>
        <w:t>广西德元工程项目管理有限责任公司</w:t>
      </w:r>
    </w:p>
    <w:p w14:paraId="355B8C85">
      <w:pPr>
        <w:jc w:val="center"/>
        <w:rPr>
          <w:rFonts w:ascii="宋体" w:hAnsi="宋体"/>
          <w:b/>
          <w:bCs/>
          <w:sz w:val="28"/>
          <w:szCs w:val="28"/>
        </w:rPr>
      </w:pPr>
    </w:p>
    <w:p w14:paraId="3D08FEDA">
      <w:pPr>
        <w:jc w:val="center"/>
        <w:rPr>
          <w:rFonts w:ascii="宋体" w:hAnsi="宋体"/>
          <w:b/>
          <w:bCs/>
          <w:sz w:val="28"/>
          <w:szCs w:val="28"/>
        </w:rPr>
      </w:pPr>
    </w:p>
    <w:p w14:paraId="7E91DAE3">
      <w:pPr>
        <w:jc w:val="center"/>
        <w:rPr>
          <w:rFonts w:ascii="宋体" w:hAnsi="宋体"/>
          <w:b/>
          <w:bCs/>
          <w:sz w:val="28"/>
          <w:szCs w:val="28"/>
        </w:rPr>
      </w:pPr>
      <w:r>
        <w:rPr>
          <w:rFonts w:hint="eastAsia" w:ascii="宋体" w:hAnsi="宋体"/>
          <w:b/>
          <w:bCs/>
          <w:sz w:val="28"/>
          <w:szCs w:val="28"/>
        </w:rPr>
        <w:drawing>
          <wp:inline distT="0" distB="0" distL="114300" distR="114300">
            <wp:extent cx="1646555" cy="1647825"/>
            <wp:effectExtent l="0" t="0" r="14605" b="13335"/>
            <wp:docPr id="1" name="图片 1" descr="QQ图片20240710112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QQ图片20240710112505"/>
                    <pic:cNvPicPr>
                      <a:picLocks noChangeAspect="1"/>
                    </pic:cNvPicPr>
                  </pic:nvPicPr>
                  <pic:blipFill>
                    <a:blip r:embed="rId15"/>
                    <a:stretch>
                      <a:fillRect/>
                    </a:stretch>
                  </pic:blipFill>
                  <pic:spPr>
                    <a:xfrm>
                      <a:off x="0" y="0"/>
                      <a:ext cx="1646555" cy="1647825"/>
                    </a:xfrm>
                    <a:prstGeom prst="rect">
                      <a:avLst/>
                    </a:prstGeom>
                    <a:noFill/>
                    <a:ln>
                      <a:noFill/>
                    </a:ln>
                  </pic:spPr>
                </pic:pic>
              </a:graphicData>
            </a:graphic>
          </wp:inline>
        </w:drawing>
      </w:r>
    </w:p>
    <w:p w14:paraId="5644FD6D">
      <w:pPr>
        <w:spacing w:before="120" w:beforeLines="50"/>
        <w:rPr>
          <w:rFonts w:hint="eastAsia" w:ascii="宋体" w:hAnsi="宋体" w:cs="宋体"/>
          <w:b/>
          <w:sz w:val="48"/>
          <w:szCs w:val="48"/>
        </w:rPr>
      </w:pPr>
    </w:p>
    <w:p w14:paraId="4D39FADD">
      <w:pPr>
        <w:spacing w:before="120" w:beforeLines="50" w:line="720" w:lineRule="auto"/>
        <w:jc w:val="center"/>
        <w:rPr>
          <w:rFonts w:hint="eastAsia" w:ascii="宋体" w:hAnsi="宋体" w:cs="宋体"/>
          <w:b/>
          <w:sz w:val="52"/>
          <w:szCs w:val="52"/>
        </w:rPr>
      </w:pPr>
      <w:r>
        <w:rPr>
          <w:rFonts w:hint="eastAsia" w:ascii="宋体" w:hAnsi="宋体" w:cs="宋体"/>
          <w:b/>
          <w:sz w:val="52"/>
          <w:szCs w:val="52"/>
        </w:rPr>
        <w:t>竞争性磋商文件</w:t>
      </w:r>
    </w:p>
    <w:p w14:paraId="5F591B88">
      <w:pPr>
        <w:pStyle w:val="19"/>
        <w:ind w:firstLine="562"/>
        <w:rPr>
          <w:sz w:val="28"/>
          <w:szCs w:val="28"/>
        </w:rPr>
      </w:pPr>
    </w:p>
    <w:p w14:paraId="2BBDDBB4">
      <w:pPr>
        <w:pStyle w:val="19"/>
        <w:ind w:firstLine="964" w:firstLineChars="300"/>
        <w:rPr>
          <w:rFonts w:hint="eastAsia" w:hAnsi="宋体"/>
          <w:b/>
          <w:bCs/>
          <w:sz w:val="32"/>
          <w:szCs w:val="32"/>
        </w:rPr>
      </w:pPr>
      <w:r>
        <w:rPr>
          <w:rFonts w:hint="eastAsia"/>
          <w:b/>
          <w:bCs/>
          <w:sz w:val="32"/>
          <w:szCs w:val="32"/>
        </w:rPr>
        <w:t>项目名称：</w:t>
      </w:r>
      <w:r>
        <w:rPr>
          <w:rFonts w:hint="eastAsia"/>
          <w:b/>
          <w:bCs/>
          <w:sz w:val="32"/>
          <w:szCs w:val="32"/>
          <w:lang w:eastAsia="zh-CN"/>
        </w:rPr>
        <w:t>食堂鸡蛋供应服务（重</w:t>
      </w:r>
      <w:r>
        <w:rPr>
          <w:rFonts w:hint="eastAsia"/>
          <w:b/>
          <w:bCs/>
          <w:sz w:val="32"/>
          <w:szCs w:val="32"/>
          <w:lang w:val="en-US" w:eastAsia="zh-CN"/>
        </w:rPr>
        <w:t>2</w:t>
      </w:r>
      <w:r>
        <w:rPr>
          <w:rFonts w:hint="eastAsia"/>
          <w:b/>
          <w:bCs/>
          <w:sz w:val="32"/>
          <w:szCs w:val="32"/>
          <w:lang w:eastAsia="zh-CN"/>
        </w:rPr>
        <w:t>）</w:t>
      </w:r>
      <w:r>
        <w:rPr>
          <w:rFonts w:hint="eastAsia" w:hAnsi="宋体"/>
          <w:b/>
          <w:bCs/>
          <w:sz w:val="32"/>
          <w:szCs w:val="32"/>
        </w:rPr>
        <w:t xml:space="preserve"> </w:t>
      </w:r>
    </w:p>
    <w:p w14:paraId="0F769EBE">
      <w:pPr>
        <w:spacing w:line="360" w:lineRule="auto"/>
        <w:rPr>
          <w:rFonts w:hint="eastAsia" w:ascii="宋体" w:hAnsi="宋体"/>
          <w:b/>
          <w:sz w:val="32"/>
          <w:szCs w:val="32"/>
        </w:rPr>
      </w:pPr>
    </w:p>
    <w:p w14:paraId="319623C5">
      <w:pPr>
        <w:spacing w:line="360" w:lineRule="auto"/>
        <w:ind w:firstLine="964" w:firstLineChars="300"/>
        <w:rPr>
          <w:rFonts w:hint="eastAsia" w:ascii="宋体" w:hAnsi="宋体"/>
          <w:b/>
          <w:sz w:val="32"/>
          <w:szCs w:val="32"/>
        </w:rPr>
      </w:pPr>
      <w:r>
        <w:rPr>
          <w:rFonts w:hint="eastAsia" w:ascii="宋体" w:hAnsi="宋体"/>
          <w:b/>
          <w:sz w:val="32"/>
          <w:szCs w:val="32"/>
        </w:rPr>
        <w:t>项目编号：</w:t>
      </w:r>
      <w:r>
        <w:rPr>
          <w:rFonts w:hint="eastAsia" w:ascii="宋体" w:hAnsi="宋体"/>
          <w:b/>
          <w:sz w:val="32"/>
          <w:szCs w:val="32"/>
          <w:lang w:eastAsia="zh-CN"/>
        </w:rPr>
        <w:t>GXZC2026-C3-002247-GXDY</w:t>
      </w:r>
      <w:r>
        <w:rPr>
          <w:rFonts w:hint="eastAsia" w:ascii="宋体" w:hAnsi="宋体"/>
          <w:b/>
          <w:sz w:val="32"/>
          <w:szCs w:val="32"/>
        </w:rPr>
        <w:t xml:space="preserve">  </w:t>
      </w:r>
    </w:p>
    <w:p w14:paraId="1719A027">
      <w:pPr>
        <w:spacing w:line="360" w:lineRule="auto"/>
        <w:jc w:val="center"/>
        <w:rPr>
          <w:rFonts w:hint="eastAsia" w:ascii="宋体" w:hAnsi="宋体"/>
          <w:b/>
          <w:sz w:val="32"/>
          <w:szCs w:val="32"/>
        </w:rPr>
      </w:pPr>
    </w:p>
    <w:p w14:paraId="4218A7D3">
      <w:pPr>
        <w:spacing w:line="360" w:lineRule="auto"/>
        <w:ind w:firstLine="964" w:firstLineChars="300"/>
        <w:rPr>
          <w:rFonts w:hint="eastAsia" w:ascii="宋体" w:hAnsi="宋体" w:eastAsia="宋体"/>
          <w:b/>
          <w:sz w:val="32"/>
          <w:szCs w:val="32"/>
          <w:lang w:eastAsia="zh-CN"/>
        </w:rPr>
      </w:pPr>
      <w:r>
        <w:rPr>
          <w:rFonts w:hint="eastAsia" w:ascii="宋体" w:hAnsi="宋体"/>
          <w:b/>
          <w:sz w:val="32"/>
          <w:szCs w:val="32"/>
        </w:rPr>
        <w:t>采 购 人：</w:t>
      </w:r>
      <w:r>
        <w:rPr>
          <w:rFonts w:hint="eastAsia" w:ascii="宋体" w:hAnsi="宋体"/>
          <w:b/>
          <w:sz w:val="32"/>
          <w:szCs w:val="32"/>
          <w:lang w:eastAsia="zh-CN"/>
        </w:rPr>
        <w:t>广西医科大学第一附属医院</w:t>
      </w:r>
    </w:p>
    <w:p w14:paraId="54D52A21">
      <w:pPr>
        <w:spacing w:line="360" w:lineRule="auto"/>
        <w:jc w:val="center"/>
        <w:rPr>
          <w:rFonts w:hint="eastAsia" w:ascii="宋体" w:hAnsi="宋体"/>
          <w:b/>
          <w:sz w:val="32"/>
          <w:szCs w:val="32"/>
        </w:rPr>
      </w:pPr>
    </w:p>
    <w:p w14:paraId="64080788">
      <w:pPr>
        <w:spacing w:line="360" w:lineRule="auto"/>
        <w:ind w:firstLine="964" w:firstLineChars="300"/>
        <w:rPr>
          <w:rFonts w:hint="eastAsia" w:ascii="宋体" w:hAnsi="宋体"/>
          <w:b/>
          <w:sz w:val="32"/>
          <w:szCs w:val="32"/>
        </w:rPr>
      </w:pPr>
      <w:r>
        <w:rPr>
          <w:rFonts w:hint="eastAsia" w:ascii="宋体" w:hAnsi="宋体"/>
          <w:b/>
          <w:sz w:val="32"/>
          <w:szCs w:val="32"/>
        </w:rPr>
        <w:t xml:space="preserve">采购代理机构：广西德元工程项目管理有限责任公司 </w:t>
      </w:r>
    </w:p>
    <w:p w14:paraId="4FFEC7D9">
      <w:pPr>
        <w:spacing w:line="360" w:lineRule="auto"/>
        <w:jc w:val="center"/>
        <w:rPr>
          <w:rFonts w:hint="eastAsia" w:ascii="宋体" w:hAnsi="宋体"/>
          <w:b/>
          <w:szCs w:val="32"/>
        </w:rPr>
      </w:pPr>
    </w:p>
    <w:p w14:paraId="4902BB93">
      <w:pPr>
        <w:ind w:firstLine="843" w:firstLineChars="400"/>
        <w:jc w:val="both"/>
        <w:rPr>
          <w:rFonts w:hint="eastAsia" w:ascii="宋体" w:hAnsi="宋体" w:cs="Times New Roman"/>
          <w:b/>
          <w:sz w:val="32"/>
          <w:szCs w:val="32"/>
          <w:lang w:val="en-US" w:eastAsia="zh-CN"/>
        </w:rPr>
        <w:sectPr>
          <w:headerReference r:id="rId3" w:type="first"/>
          <w:footerReference r:id="rId5" w:type="first"/>
          <w:footerReference r:id="rId4" w:type="default"/>
          <w:pgSz w:w="11906" w:h="16838"/>
          <w:pgMar w:top="1554" w:right="1312" w:bottom="1134" w:left="1354" w:header="454" w:footer="2260" w:gutter="0"/>
          <w:pgBorders>
            <w:top w:val="none" w:sz="0" w:space="0"/>
            <w:left w:val="none" w:sz="0" w:space="0"/>
            <w:bottom w:val="none" w:sz="0" w:space="0"/>
            <w:right w:val="none" w:sz="0" w:space="0"/>
          </w:pgBorders>
          <w:pgNumType w:start="1"/>
          <w:cols w:space="720" w:num="1"/>
          <w:titlePg/>
          <w:docGrid w:linePitch="312" w:charSpace="0"/>
        </w:sectPr>
      </w:pPr>
      <w:r>
        <w:rPr>
          <w:rFonts w:hint="eastAsia" w:ascii="宋体" w:hAnsi="宋体"/>
          <w:b/>
          <w:szCs w:val="32"/>
        </w:rPr>
        <w:t xml:space="preserve"> </w:t>
      </w:r>
      <w:r>
        <w:rPr>
          <w:rFonts w:hint="eastAsia" w:ascii="宋体" w:hAnsi="宋体"/>
          <w:b/>
          <w:sz w:val="32"/>
          <w:szCs w:val="32"/>
        </w:rPr>
        <w:t>日期：</w:t>
      </w:r>
      <w:r>
        <w:rPr>
          <w:rFonts w:hint="eastAsia" w:ascii="宋体" w:hAnsi="宋体"/>
          <w:b/>
          <w:sz w:val="32"/>
          <w:szCs w:val="32"/>
          <w:lang w:eastAsia="zh-CN"/>
        </w:rPr>
        <w:t xml:space="preserve">2026 </w:t>
      </w:r>
      <w:r>
        <w:rPr>
          <w:rFonts w:hint="eastAsia" w:ascii="宋体" w:hAnsi="宋体"/>
          <w:b/>
          <w:sz w:val="32"/>
          <w:szCs w:val="32"/>
        </w:rPr>
        <w:t xml:space="preserve">年 </w:t>
      </w:r>
      <w:r>
        <w:rPr>
          <w:rFonts w:hint="eastAsia" w:ascii="宋体" w:hAnsi="宋体"/>
          <w:b/>
          <w:sz w:val="32"/>
          <w:szCs w:val="32"/>
          <w:lang w:val="en-US" w:eastAsia="zh-CN"/>
        </w:rPr>
        <w:t>7</w:t>
      </w:r>
      <w:r>
        <w:rPr>
          <w:rFonts w:hint="eastAsia" w:ascii="宋体" w:hAnsi="宋体"/>
          <w:b/>
          <w:sz w:val="32"/>
          <w:szCs w:val="32"/>
        </w:rPr>
        <w:t xml:space="preserve"> 月</w:t>
      </w:r>
      <w:r>
        <w:rPr>
          <w:rFonts w:hint="eastAsia" w:ascii="宋体" w:hAnsi="宋体" w:cs="Times New Roman"/>
          <w:b/>
          <w:sz w:val="32"/>
          <w:szCs w:val="32"/>
          <w:lang w:val="en-US" w:eastAsia="zh-CN"/>
        </w:rPr>
        <w:t xml:space="preserve"> 13 日</w:t>
      </w:r>
    </w:p>
    <w:p w14:paraId="304691F3">
      <w:pPr>
        <w:tabs>
          <w:tab w:val="left" w:pos="1080"/>
        </w:tabs>
        <w:spacing w:line="360" w:lineRule="auto"/>
        <w:jc w:val="center"/>
        <w:rPr>
          <w:rFonts w:hint="eastAsia" w:ascii="宋体" w:hAnsi="宋体"/>
          <w:b/>
          <w:color w:val="auto"/>
          <w:sz w:val="44"/>
          <w:szCs w:val="44"/>
          <w:highlight w:val="none"/>
        </w:rPr>
      </w:pPr>
      <w:r>
        <w:rPr>
          <w:rFonts w:hint="eastAsia" w:ascii="宋体" w:hAnsi="宋体"/>
          <w:b/>
          <w:color w:val="auto"/>
          <w:sz w:val="44"/>
          <w:szCs w:val="44"/>
          <w:highlight w:val="none"/>
        </w:rPr>
        <w:t>目  录</w:t>
      </w:r>
    </w:p>
    <w:p w14:paraId="4026C5C0">
      <w:pPr>
        <w:spacing w:line="400" w:lineRule="exact"/>
        <w:jc w:val="center"/>
        <w:rPr>
          <w:rFonts w:hint="eastAsia" w:ascii="宋体" w:hAnsi="宋体"/>
          <w:b/>
          <w:color w:val="auto"/>
          <w:sz w:val="44"/>
          <w:szCs w:val="44"/>
          <w:highlight w:val="none"/>
        </w:rPr>
      </w:pPr>
    </w:p>
    <w:p w14:paraId="19A1EA07">
      <w:pPr>
        <w:pStyle w:val="25"/>
        <w:tabs>
          <w:tab w:val="right" w:leader="dot" w:pos="8869"/>
        </w:tabs>
        <w:spacing w:line="360" w:lineRule="auto"/>
        <w:rPr>
          <w:rFonts w:ascii="宋体" w:hAnsi="宋体"/>
          <w:color w:val="auto"/>
          <w:sz w:val="28"/>
          <w:szCs w:val="28"/>
          <w:highlight w:val="none"/>
        </w:rPr>
      </w:pPr>
      <w:r>
        <w:rPr>
          <w:rFonts w:ascii="宋体" w:hAnsi="宋体"/>
          <w:b/>
          <w:color w:val="auto"/>
          <w:sz w:val="28"/>
          <w:szCs w:val="28"/>
          <w:highlight w:val="none"/>
        </w:rPr>
        <w:fldChar w:fldCharType="begin"/>
      </w:r>
      <w:r>
        <w:rPr>
          <w:rFonts w:ascii="宋体" w:hAnsi="宋体"/>
          <w:b/>
          <w:color w:val="auto"/>
          <w:sz w:val="28"/>
          <w:szCs w:val="28"/>
          <w:highlight w:val="none"/>
        </w:rPr>
        <w:instrText xml:space="preserve"> </w:instrText>
      </w:r>
      <w:r>
        <w:rPr>
          <w:rFonts w:hint="eastAsia" w:ascii="宋体" w:hAnsi="宋体"/>
          <w:b/>
          <w:color w:val="auto"/>
          <w:sz w:val="28"/>
          <w:szCs w:val="28"/>
          <w:highlight w:val="none"/>
        </w:rPr>
        <w:instrText xml:space="preserve">TOC \o "1-3" \h \z \u</w:instrText>
      </w:r>
      <w:r>
        <w:rPr>
          <w:rFonts w:ascii="宋体" w:hAnsi="宋体"/>
          <w:b/>
          <w:color w:val="auto"/>
          <w:sz w:val="28"/>
          <w:szCs w:val="28"/>
          <w:highlight w:val="none"/>
        </w:rPr>
        <w:instrText xml:space="preserve"> </w:instrText>
      </w:r>
      <w:r>
        <w:rPr>
          <w:rFonts w:ascii="宋体" w:hAnsi="宋体"/>
          <w:b/>
          <w:color w:val="auto"/>
          <w:sz w:val="28"/>
          <w:szCs w:val="28"/>
          <w:highlight w:val="none"/>
        </w:rPr>
        <w:fldChar w:fldCharType="separate"/>
      </w:r>
      <w:r>
        <w:rPr>
          <w:rStyle w:val="38"/>
          <w:rFonts w:ascii="宋体" w:hAnsi="宋体"/>
          <w:color w:val="auto"/>
          <w:sz w:val="28"/>
          <w:szCs w:val="28"/>
          <w:highlight w:val="none"/>
        </w:rPr>
        <w:fldChar w:fldCharType="begin"/>
      </w:r>
      <w:r>
        <w:rPr>
          <w:rStyle w:val="38"/>
          <w:rFonts w:ascii="宋体" w:hAnsi="宋体"/>
          <w:color w:val="auto"/>
          <w:sz w:val="28"/>
          <w:szCs w:val="28"/>
          <w:highlight w:val="none"/>
        </w:rPr>
        <w:instrText xml:space="preserve"> </w:instrText>
      </w:r>
      <w:r>
        <w:rPr>
          <w:rFonts w:ascii="宋体" w:hAnsi="宋体"/>
          <w:color w:val="auto"/>
          <w:sz w:val="28"/>
          <w:szCs w:val="28"/>
          <w:highlight w:val="none"/>
        </w:rPr>
        <w:instrText xml:space="preserve">HYPERLINK \l "_Toc170496348"</w:instrText>
      </w:r>
      <w:r>
        <w:rPr>
          <w:rStyle w:val="38"/>
          <w:rFonts w:ascii="宋体" w:hAnsi="宋体"/>
          <w:color w:val="auto"/>
          <w:sz w:val="28"/>
          <w:szCs w:val="28"/>
          <w:highlight w:val="none"/>
        </w:rPr>
        <w:instrText xml:space="preserve"> </w:instrText>
      </w:r>
      <w:r>
        <w:rPr>
          <w:rStyle w:val="38"/>
          <w:rFonts w:ascii="宋体" w:hAnsi="宋体"/>
          <w:color w:val="auto"/>
          <w:sz w:val="28"/>
          <w:szCs w:val="28"/>
          <w:highlight w:val="none"/>
        </w:rPr>
        <w:fldChar w:fldCharType="separate"/>
      </w:r>
      <w:r>
        <w:rPr>
          <w:rStyle w:val="38"/>
          <w:rFonts w:hint="eastAsia" w:ascii="宋体" w:hAnsi="宋体"/>
          <w:color w:val="auto"/>
          <w:sz w:val="28"/>
          <w:szCs w:val="28"/>
          <w:highlight w:val="none"/>
        </w:rPr>
        <w:t>第一章</w:t>
      </w:r>
      <w:r>
        <w:rPr>
          <w:rStyle w:val="38"/>
          <w:rFonts w:ascii="宋体" w:hAnsi="宋体"/>
          <w:color w:val="auto"/>
          <w:sz w:val="28"/>
          <w:szCs w:val="28"/>
          <w:highlight w:val="none"/>
        </w:rPr>
        <w:t xml:space="preserve"> </w:t>
      </w:r>
      <w:r>
        <w:rPr>
          <w:rStyle w:val="38"/>
          <w:rFonts w:hint="eastAsia" w:ascii="宋体" w:hAnsi="宋体"/>
          <w:color w:val="auto"/>
          <w:sz w:val="28"/>
          <w:szCs w:val="28"/>
          <w:highlight w:val="none"/>
        </w:rPr>
        <w:t>竞争性磋商公告</w:t>
      </w:r>
      <w:r>
        <w:rPr>
          <w:rFonts w:ascii="宋体" w:hAnsi="宋体"/>
          <w:color w:val="auto"/>
          <w:sz w:val="28"/>
          <w:szCs w:val="28"/>
          <w:highlight w:val="none"/>
        </w:rPr>
        <w:tab/>
      </w:r>
      <w:r>
        <w:rPr>
          <w:rFonts w:ascii="宋体" w:hAnsi="宋体"/>
          <w:color w:val="auto"/>
          <w:sz w:val="28"/>
          <w:szCs w:val="28"/>
          <w:highlight w:val="none"/>
        </w:rPr>
        <w:fldChar w:fldCharType="begin"/>
      </w:r>
      <w:r>
        <w:rPr>
          <w:rFonts w:ascii="宋体" w:hAnsi="宋体"/>
          <w:color w:val="auto"/>
          <w:sz w:val="28"/>
          <w:szCs w:val="28"/>
          <w:highlight w:val="none"/>
        </w:rPr>
        <w:instrText xml:space="preserve"> PAGEREF _Toc170496348 \h </w:instrText>
      </w:r>
      <w:r>
        <w:rPr>
          <w:rFonts w:ascii="宋体" w:hAnsi="宋体"/>
          <w:color w:val="auto"/>
          <w:sz w:val="28"/>
          <w:szCs w:val="28"/>
          <w:highlight w:val="none"/>
        </w:rPr>
        <w:fldChar w:fldCharType="separate"/>
      </w:r>
      <w:r>
        <w:rPr>
          <w:rFonts w:ascii="宋体" w:hAnsi="宋体"/>
          <w:color w:val="auto"/>
          <w:sz w:val="28"/>
          <w:szCs w:val="28"/>
          <w:highlight w:val="none"/>
        </w:rPr>
        <w:t>2</w:t>
      </w:r>
      <w:r>
        <w:rPr>
          <w:rFonts w:ascii="宋体" w:hAnsi="宋体"/>
          <w:color w:val="auto"/>
          <w:sz w:val="28"/>
          <w:szCs w:val="28"/>
          <w:highlight w:val="none"/>
        </w:rPr>
        <w:fldChar w:fldCharType="end"/>
      </w:r>
      <w:r>
        <w:rPr>
          <w:rStyle w:val="38"/>
          <w:rFonts w:ascii="宋体" w:hAnsi="宋体"/>
          <w:color w:val="auto"/>
          <w:sz w:val="28"/>
          <w:szCs w:val="28"/>
          <w:highlight w:val="none"/>
        </w:rPr>
        <w:fldChar w:fldCharType="end"/>
      </w:r>
    </w:p>
    <w:p w14:paraId="27600053">
      <w:pPr>
        <w:pStyle w:val="25"/>
        <w:tabs>
          <w:tab w:val="right" w:leader="dot" w:pos="8869"/>
        </w:tabs>
        <w:spacing w:line="360" w:lineRule="auto"/>
        <w:rPr>
          <w:rFonts w:ascii="宋体" w:hAnsi="宋体"/>
          <w:color w:val="auto"/>
          <w:sz w:val="28"/>
          <w:szCs w:val="28"/>
          <w:highlight w:val="none"/>
        </w:rPr>
      </w:pPr>
      <w:r>
        <w:rPr>
          <w:rStyle w:val="38"/>
          <w:rFonts w:ascii="宋体" w:hAnsi="宋体"/>
          <w:color w:val="auto"/>
          <w:sz w:val="28"/>
          <w:szCs w:val="28"/>
          <w:highlight w:val="none"/>
        </w:rPr>
        <w:fldChar w:fldCharType="begin"/>
      </w:r>
      <w:r>
        <w:rPr>
          <w:rStyle w:val="38"/>
          <w:rFonts w:ascii="宋体" w:hAnsi="宋体"/>
          <w:color w:val="auto"/>
          <w:sz w:val="28"/>
          <w:szCs w:val="28"/>
          <w:highlight w:val="none"/>
        </w:rPr>
        <w:instrText xml:space="preserve"> </w:instrText>
      </w:r>
      <w:r>
        <w:rPr>
          <w:rFonts w:ascii="宋体" w:hAnsi="宋体"/>
          <w:color w:val="auto"/>
          <w:sz w:val="28"/>
          <w:szCs w:val="28"/>
          <w:highlight w:val="none"/>
        </w:rPr>
        <w:instrText xml:space="preserve">HYPERLINK \l "_Toc170496350"</w:instrText>
      </w:r>
      <w:r>
        <w:rPr>
          <w:rStyle w:val="38"/>
          <w:rFonts w:ascii="宋体" w:hAnsi="宋体"/>
          <w:color w:val="auto"/>
          <w:sz w:val="28"/>
          <w:szCs w:val="28"/>
          <w:highlight w:val="none"/>
        </w:rPr>
        <w:instrText xml:space="preserve"> </w:instrText>
      </w:r>
      <w:r>
        <w:rPr>
          <w:rStyle w:val="38"/>
          <w:rFonts w:ascii="宋体" w:hAnsi="宋体"/>
          <w:color w:val="auto"/>
          <w:sz w:val="28"/>
          <w:szCs w:val="28"/>
          <w:highlight w:val="none"/>
        </w:rPr>
        <w:fldChar w:fldCharType="separate"/>
      </w:r>
      <w:r>
        <w:rPr>
          <w:rStyle w:val="38"/>
          <w:rFonts w:hint="eastAsia" w:ascii="宋体" w:hAnsi="宋体"/>
          <w:color w:val="auto"/>
          <w:sz w:val="28"/>
          <w:szCs w:val="28"/>
          <w:highlight w:val="none"/>
        </w:rPr>
        <w:t>第二章</w:t>
      </w:r>
      <w:r>
        <w:rPr>
          <w:rStyle w:val="38"/>
          <w:rFonts w:ascii="宋体" w:hAnsi="宋体"/>
          <w:color w:val="auto"/>
          <w:sz w:val="28"/>
          <w:szCs w:val="28"/>
          <w:highlight w:val="none"/>
        </w:rPr>
        <w:t xml:space="preserve"> </w:t>
      </w:r>
      <w:r>
        <w:rPr>
          <w:rStyle w:val="38"/>
          <w:rFonts w:hint="eastAsia" w:ascii="宋体" w:hAnsi="宋体"/>
          <w:color w:val="auto"/>
          <w:sz w:val="28"/>
          <w:szCs w:val="28"/>
          <w:highlight w:val="none"/>
        </w:rPr>
        <w:t>采购需求</w:t>
      </w:r>
      <w:r>
        <w:rPr>
          <w:rFonts w:ascii="宋体" w:hAnsi="宋体"/>
          <w:color w:val="auto"/>
          <w:sz w:val="28"/>
          <w:szCs w:val="28"/>
          <w:highlight w:val="none"/>
        </w:rPr>
        <w:tab/>
      </w:r>
      <w:r>
        <w:rPr>
          <w:rFonts w:ascii="宋体" w:hAnsi="宋体"/>
          <w:color w:val="auto"/>
          <w:sz w:val="28"/>
          <w:szCs w:val="28"/>
          <w:highlight w:val="none"/>
        </w:rPr>
        <w:fldChar w:fldCharType="begin"/>
      </w:r>
      <w:r>
        <w:rPr>
          <w:rFonts w:ascii="宋体" w:hAnsi="宋体"/>
          <w:color w:val="auto"/>
          <w:sz w:val="28"/>
          <w:szCs w:val="28"/>
          <w:highlight w:val="none"/>
        </w:rPr>
        <w:instrText xml:space="preserve"> PAGEREF _Toc170496350 \h </w:instrText>
      </w:r>
      <w:r>
        <w:rPr>
          <w:rFonts w:ascii="宋体" w:hAnsi="宋体"/>
          <w:color w:val="auto"/>
          <w:sz w:val="28"/>
          <w:szCs w:val="28"/>
          <w:highlight w:val="none"/>
        </w:rPr>
        <w:fldChar w:fldCharType="separate"/>
      </w:r>
      <w:r>
        <w:rPr>
          <w:rFonts w:ascii="宋体" w:hAnsi="宋体"/>
          <w:color w:val="auto"/>
          <w:sz w:val="28"/>
          <w:szCs w:val="28"/>
          <w:highlight w:val="none"/>
        </w:rPr>
        <w:t>6</w:t>
      </w:r>
      <w:r>
        <w:rPr>
          <w:rFonts w:ascii="宋体" w:hAnsi="宋体"/>
          <w:color w:val="auto"/>
          <w:sz w:val="28"/>
          <w:szCs w:val="28"/>
          <w:highlight w:val="none"/>
        </w:rPr>
        <w:fldChar w:fldCharType="end"/>
      </w:r>
      <w:r>
        <w:rPr>
          <w:rStyle w:val="38"/>
          <w:rFonts w:ascii="宋体" w:hAnsi="宋体"/>
          <w:color w:val="auto"/>
          <w:sz w:val="28"/>
          <w:szCs w:val="28"/>
          <w:highlight w:val="none"/>
        </w:rPr>
        <w:fldChar w:fldCharType="end"/>
      </w:r>
    </w:p>
    <w:p w14:paraId="4A45E02C">
      <w:pPr>
        <w:pStyle w:val="25"/>
        <w:tabs>
          <w:tab w:val="right" w:leader="dot" w:pos="8869"/>
        </w:tabs>
        <w:spacing w:line="360" w:lineRule="auto"/>
        <w:rPr>
          <w:rFonts w:ascii="宋体" w:hAnsi="宋体"/>
          <w:color w:val="auto"/>
          <w:sz w:val="28"/>
          <w:szCs w:val="28"/>
          <w:highlight w:val="none"/>
        </w:rPr>
      </w:pPr>
      <w:r>
        <w:rPr>
          <w:rStyle w:val="38"/>
          <w:rFonts w:ascii="宋体" w:hAnsi="宋体"/>
          <w:color w:val="auto"/>
          <w:sz w:val="28"/>
          <w:szCs w:val="28"/>
          <w:highlight w:val="none"/>
        </w:rPr>
        <w:fldChar w:fldCharType="begin"/>
      </w:r>
      <w:r>
        <w:rPr>
          <w:rStyle w:val="38"/>
          <w:rFonts w:ascii="宋体" w:hAnsi="宋体"/>
          <w:color w:val="auto"/>
          <w:sz w:val="28"/>
          <w:szCs w:val="28"/>
          <w:highlight w:val="none"/>
        </w:rPr>
        <w:instrText xml:space="preserve"> </w:instrText>
      </w:r>
      <w:r>
        <w:rPr>
          <w:rFonts w:ascii="宋体" w:hAnsi="宋体"/>
          <w:color w:val="auto"/>
          <w:sz w:val="28"/>
          <w:szCs w:val="28"/>
          <w:highlight w:val="none"/>
        </w:rPr>
        <w:instrText xml:space="preserve">HYPERLINK \l "_Toc170496362"</w:instrText>
      </w:r>
      <w:r>
        <w:rPr>
          <w:rStyle w:val="38"/>
          <w:rFonts w:ascii="宋体" w:hAnsi="宋体"/>
          <w:color w:val="auto"/>
          <w:sz w:val="28"/>
          <w:szCs w:val="28"/>
          <w:highlight w:val="none"/>
        </w:rPr>
        <w:instrText xml:space="preserve"> </w:instrText>
      </w:r>
      <w:r>
        <w:rPr>
          <w:rStyle w:val="38"/>
          <w:rFonts w:ascii="宋体" w:hAnsi="宋体"/>
          <w:color w:val="auto"/>
          <w:sz w:val="28"/>
          <w:szCs w:val="28"/>
          <w:highlight w:val="none"/>
        </w:rPr>
        <w:fldChar w:fldCharType="separate"/>
      </w:r>
      <w:r>
        <w:rPr>
          <w:rStyle w:val="38"/>
          <w:rFonts w:hint="eastAsia" w:ascii="宋体" w:hAnsi="宋体"/>
          <w:color w:val="auto"/>
          <w:sz w:val="28"/>
          <w:szCs w:val="28"/>
          <w:highlight w:val="none"/>
        </w:rPr>
        <w:t>第三章</w:t>
      </w:r>
      <w:r>
        <w:rPr>
          <w:rStyle w:val="38"/>
          <w:rFonts w:ascii="宋体" w:hAnsi="宋体"/>
          <w:color w:val="auto"/>
          <w:sz w:val="28"/>
          <w:szCs w:val="28"/>
          <w:highlight w:val="none"/>
        </w:rPr>
        <w:t xml:space="preserve"> </w:t>
      </w:r>
      <w:r>
        <w:rPr>
          <w:rStyle w:val="38"/>
          <w:rFonts w:hint="eastAsia" w:ascii="宋体" w:hAnsi="宋体"/>
          <w:color w:val="auto"/>
          <w:sz w:val="28"/>
          <w:szCs w:val="28"/>
          <w:highlight w:val="none"/>
        </w:rPr>
        <w:t>供应商须知</w:t>
      </w:r>
      <w:r>
        <w:rPr>
          <w:rFonts w:ascii="宋体" w:hAnsi="宋体"/>
          <w:color w:val="auto"/>
          <w:sz w:val="28"/>
          <w:szCs w:val="28"/>
          <w:highlight w:val="none"/>
        </w:rPr>
        <w:tab/>
      </w:r>
      <w:r>
        <w:rPr>
          <w:rFonts w:ascii="宋体" w:hAnsi="宋体"/>
          <w:color w:val="auto"/>
          <w:sz w:val="28"/>
          <w:szCs w:val="28"/>
          <w:highlight w:val="none"/>
        </w:rPr>
        <w:fldChar w:fldCharType="begin"/>
      </w:r>
      <w:r>
        <w:rPr>
          <w:rFonts w:ascii="宋体" w:hAnsi="宋体"/>
          <w:color w:val="auto"/>
          <w:sz w:val="28"/>
          <w:szCs w:val="28"/>
          <w:highlight w:val="none"/>
        </w:rPr>
        <w:instrText xml:space="preserve"> PAGEREF _Toc170496362 \h </w:instrText>
      </w:r>
      <w:r>
        <w:rPr>
          <w:rFonts w:ascii="宋体" w:hAnsi="宋体"/>
          <w:color w:val="auto"/>
          <w:sz w:val="28"/>
          <w:szCs w:val="28"/>
          <w:highlight w:val="none"/>
        </w:rPr>
        <w:fldChar w:fldCharType="separate"/>
      </w:r>
      <w:r>
        <w:rPr>
          <w:rFonts w:ascii="宋体" w:hAnsi="宋体"/>
          <w:color w:val="auto"/>
          <w:sz w:val="28"/>
          <w:szCs w:val="28"/>
          <w:highlight w:val="none"/>
        </w:rPr>
        <w:t>14</w:t>
      </w:r>
      <w:r>
        <w:rPr>
          <w:rFonts w:ascii="宋体" w:hAnsi="宋体"/>
          <w:color w:val="auto"/>
          <w:sz w:val="28"/>
          <w:szCs w:val="28"/>
          <w:highlight w:val="none"/>
        </w:rPr>
        <w:fldChar w:fldCharType="end"/>
      </w:r>
      <w:r>
        <w:rPr>
          <w:rStyle w:val="38"/>
          <w:rFonts w:ascii="宋体" w:hAnsi="宋体"/>
          <w:color w:val="auto"/>
          <w:sz w:val="28"/>
          <w:szCs w:val="28"/>
          <w:highlight w:val="none"/>
        </w:rPr>
        <w:fldChar w:fldCharType="end"/>
      </w:r>
    </w:p>
    <w:p w14:paraId="79F6E5B8">
      <w:pPr>
        <w:pStyle w:val="25"/>
        <w:tabs>
          <w:tab w:val="right" w:leader="dot" w:pos="8869"/>
        </w:tabs>
        <w:spacing w:line="360" w:lineRule="auto"/>
        <w:rPr>
          <w:rFonts w:ascii="宋体" w:hAnsi="宋体"/>
          <w:color w:val="auto"/>
          <w:sz w:val="28"/>
          <w:szCs w:val="28"/>
          <w:highlight w:val="none"/>
        </w:rPr>
      </w:pPr>
      <w:r>
        <w:rPr>
          <w:rStyle w:val="38"/>
          <w:rFonts w:ascii="宋体" w:hAnsi="宋体"/>
          <w:color w:val="auto"/>
          <w:sz w:val="28"/>
          <w:szCs w:val="28"/>
          <w:highlight w:val="none"/>
        </w:rPr>
        <w:fldChar w:fldCharType="begin"/>
      </w:r>
      <w:r>
        <w:rPr>
          <w:rStyle w:val="38"/>
          <w:rFonts w:ascii="宋体" w:hAnsi="宋体"/>
          <w:color w:val="auto"/>
          <w:sz w:val="28"/>
          <w:szCs w:val="28"/>
          <w:highlight w:val="none"/>
        </w:rPr>
        <w:instrText xml:space="preserve"> </w:instrText>
      </w:r>
      <w:r>
        <w:rPr>
          <w:rFonts w:ascii="宋体" w:hAnsi="宋体"/>
          <w:color w:val="auto"/>
          <w:sz w:val="28"/>
          <w:szCs w:val="28"/>
          <w:highlight w:val="none"/>
        </w:rPr>
        <w:instrText xml:space="preserve">HYPERLINK \l "_Toc170496363"</w:instrText>
      </w:r>
      <w:r>
        <w:rPr>
          <w:rStyle w:val="38"/>
          <w:rFonts w:ascii="宋体" w:hAnsi="宋体"/>
          <w:color w:val="auto"/>
          <w:sz w:val="28"/>
          <w:szCs w:val="28"/>
          <w:highlight w:val="none"/>
        </w:rPr>
        <w:instrText xml:space="preserve"> </w:instrText>
      </w:r>
      <w:r>
        <w:rPr>
          <w:rStyle w:val="38"/>
          <w:rFonts w:ascii="宋体" w:hAnsi="宋体"/>
          <w:color w:val="auto"/>
          <w:sz w:val="28"/>
          <w:szCs w:val="28"/>
          <w:highlight w:val="none"/>
        </w:rPr>
        <w:fldChar w:fldCharType="separate"/>
      </w:r>
      <w:r>
        <w:rPr>
          <w:rStyle w:val="38"/>
          <w:rFonts w:hint="eastAsia" w:ascii="宋体" w:hAnsi="宋体"/>
          <w:color w:val="auto"/>
          <w:sz w:val="28"/>
          <w:szCs w:val="28"/>
          <w:highlight w:val="none"/>
        </w:rPr>
        <w:t>第四章</w:t>
      </w:r>
      <w:r>
        <w:rPr>
          <w:rStyle w:val="38"/>
          <w:rFonts w:ascii="宋体" w:hAnsi="宋体"/>
          <w:color w:val="auto"/>
          <w:sz w:val="28"/>
          <w:szCs w:val="28"/>
          <w:highlight w:val="none"/>
        </w:rPr>
        <w:t xml:space="preserve"> </w:t>
      </w:r>
      <w:r>
        <w:rPr>
          <w:rStyle w:val="38"/>
          <w:rFonts w:hint="eastAsia" w:ascii="宋体" w:hAnsi="宋体"/>
          <w:color w:val="auto"/>
          <w:sz w:val="28"/>
          <w:szCs w:val="28"/>
          <w:highlight w:val="none"/>
        </w:rPr>
        <w:t>评审程序、评审方法和评审标准</w:t>
      </w:r>
      <w:r>
        <w:rPr>
          <w:rFonts w:ascii="宋体" w:hAnsi="宋体"/>
          <w:color w:val="auto"/>
          <w:sz w:val="28"/>
          <w:szCs w:val="28"/>
          <w:highlight w:val="none"/>
        </w:rPr>
        <w:tab/>
      </w:r>
      <w:r>
        <w:rPr>
          <w:rFonts w:ascii="宋体" w:hAnsi="宋体"/>
          <w:color w:val="auto"/>
          <w:sz w:val="28"/>
          <w:szCs w:val="28"/>
          <w:highlight w:val="none"/>
        </w:rPr>
        <w:fldChar w:fldCharType="begin"/>
      </w:r>
      <w:r>
        <w:rPr>
          <w:rFonts w:ascii="宋体" w:hAnsi="宋体"/>
          <w:color w:val="auto"/>
          <w:sz w:val="28"/>
          <w:szCs w:val="28"/>
          <w:highlight w:val="none"/>
        </w:rPr>
        <w:instrText xml:space="preserve"> PAGEREF _Toc170496363 \h </w:instrText>
      </w:r>
      <w:r>
        <w:rPr>
          <w:rFonts w:ascii="宋体" w:hAnsi="宋体"/>
          <w:color w:val="auto"/>
          <w:sz w:val="28"/>
          <w:szCs w:val="28"/>
          <w:highlight w:val="none"/>
        </w:rPr>
        <w:fldChar w:fldCharType="separate"/>
      </w:r>
      <w:r>
        <w:rPr>
          <w:rFonts w:ascii="宋体" w:hAnsi="宋体"/>
          <w:color w:val="auto"/>
          <w:sz w:val="28"/>
          <w:szCs w:val="28"/>
          <w:highlight w:val="none"/>
        </w:rPr>
        <w:t>35</w:t>
      </w:r>
      <w:r>
        <w:rPr>
          <w:rFonts w:ascii="宋体" w:hAnsi="宋体"/>
          <w:color w:val="auto"/>
          <w:sz w:val="28"/>
          <w:szCs w:val="28"/>
          <w:highlight w:val="none"/>
        </w:rPr>
        <w:fldChar w:fldCharType="end"/>
      </w:r>
      <w:r>
        <w:rPr>
          <w:rStyle w:val="38"/>
          <w:rFonts w:ascii="宋体" w:hAnsi="宋体"/>
          <w:color w:val="auto"/>
          <w:sz w:val="28"/>
          <w:szCs w:val="28"/>
          <w:highlight w:val="none"/>
        </w:rPr>
        <w:fldChar w:fldCharType="end"/>
      </w:r>
    </w:p>
    <w:p w14:paraId="348A6E0F">
      <w:pPr>
        <w:pStyle w:val="25"/>
        <w:tabs>
          <w:tab w:val="right" w:leader="dot" w:pos="8869"/>
        </w:tabs>
        <w:spacing w:line="360" w:lineRule="auto"/>
        <w:rPr>
          <w:rFonts w:ascii="宋体" w:hAnsi="宋体"/>
          <w:color w:val="auto"/>
          <w:sz w:val="28"/>
          <w:szCs w:val="28"/>
          <w:highlight w:val="none"/>
        </w:rPr>
      </w:pPr>
      <w:r>
        <w:rPr>
          <w:rStyle w:val="38"/>
          <w:rFonts w:ascii="宋体" w:hAnsi="宋体"/>
          <w:color w:val="auto"/>
          <w:sz w:val="28"/>
          <w:szCs w:val="28"/>
          <w:highlight w:val="none"/>
        </w:rPr>
        <w:fldChar w:fldCharType="begin"/>
      </w:r>
      <w:r>
        <w:rPr>
          <w:rStyle w:val="38"/>
          <w:rFonts w:ascii="宋体" w:hAnsi="宋体"/>
          <w:color w:val="auto"/>
          <w:sz w:val="28"/>
          <w:szCs w:val="28"/>
          <w:highlight w:val="none"/>
        </w:rPr>
        <w:instrText xml:space="preserve"> </w:instrText>
      </w:r>
      <w:r>
        <w:rPr>
          <w:rFonts w:ascii="宋体" w:hAnsi="宋体"/>
          <w:color w:val="auto"/>
          <w:sz w:val="28"/>
          <w:szCs w:val="28"/>
          <w:highlight w:val="none"/>
        </w:rPr>
        <w:instrText xml:space="preserve">HYPERLINK \l "_Toc170496364"</w:instrText>
      </w:r>
      <w:r>
        <w:rPr>
          <w:rStyle w:val="38"/>
          <w:rFonts w:ascii="宋体" w:hAnsi="宋体"/>
          <w:color w:val="auto"/>
          <w:sz w:val="28"/>
          <w:szCs w:val="28"/>
          <w:highlight w:val="none"/>
        </w:rPr>
        <w:instrText xml:space="preserve"> </w:instrText>
      </w:r>
      <w:r>
        <w:rPr>
          <w:rStyle w:val="38"/>
          <w:rFonts w:ascii="宋体" w:hAnsi="宋体"/>
          <w:color w:val="auto"/>
          <w:sz w:val="28"/>
          <w:szCs w:val="28"/>
          <w:highlight w:val="none"/>
        </w:rPr>
        <w:fldChar w:fldCharType="separate"/>
      </w:r>
      <w:r>
        <w:rPr>
          <w:rStyle w:val="38"/>
          <w:rFonts w:hint="eastAsia" w:ascii="宋体" w:hAnsi="宋体"/>
          <w:color w:val="auto"/>
          <w:sz w:val="28"/>
          <w:szCs w:val="28"/>
          <w:highlight w:val="none"/>
        </w:rPr>
        <w:t>第五章</w:t>
      </w:r>
      <w:r>
        <w:rPr>
          <w:rStyle w:val="38"/>
          <w:rFonts w:ascii="宋体" w:hAnsi="宋体"/>
          <w:color w:val="auto"/>
          <w:sz w:val="28"/>
          <w:szCs w:val="28"/>
          <w:highlight w:val="none"/>
        </w:rPr>
        <w:t xml:space="preserve"> </w:t>
      </w:r>
      <w:r>
        <w:rPr>
          <w:rStyle w:val="38"/>
          <w:rFonts w:hint="eastAsia" w:ascii="宋体" w:hAnsi="宋体"/>
          <w:color w:val="auto"/>
          <w:sz w:val="28"/>
          <w:szCs w:val="28"/>
          <w:highlight w:val="none"/>
        </w:rPr>
        <w:t>响应文件格式</w:t>
      </w:r>
      <w:r>
        <w:rPr>
          <w:rFonts w:ascii="宋体" w:hAnsi="宋体"/>
          <w:color w:val="auto"/>
          <w:sz w:val="28"/>
          <w:szCs w:val="28"/>
          <w:highlight w:val="none"/>
        </w:rPr>
        <w:tab/>
      </w:r>
      <w:r>
        <w:rPr>
          <w:rFonts w:ascii="宋体" w:hAnsi="宋体"/>
          <w:color w:val="auto"/>
          <w:sz w:val="28"/>
          <w:szCs w:val="28"/>
          <w:highlight w:val="none"/>
        </w:rPr>
        <w:fldChar w:fldCharType="begin"/>
      </w:r>
      <w:r>
        <w:rPr>
          <w:rFonts w:ascii="宋体" w:hAnsi="宋体"/>
          <w:color w:val="auto"/>
          <w:sz w:val="28"/>
          <w:szCs w:val="28"/>
          <w:highlight w:val="none"/>
        </w:rPr>
        <w:instrText xml:space="preserve"> PAGEREF _Toc170496364 \h </w:instrText>
      </w:r>
      <w:r>
        <w:rPr>
          <w:rFonts w:ascii="宋体" w:hAnsi="宋体"/>
          <w:color w:val="auto"/>
          <w:sz w:val="28"/>
          <w:szCs w:val="28"/>
          <w:highlight w:val="none"/>
        </w:rPr>
        <w:fldChar w:fldCharType="separate"/>
      </w:r>
      <w:r>
        <w:rPr>
          <w:rFonts w:ascii="宋体" w:hAnsi="宋体"/>
          <w:color w:val="auto"/>
          <w:sz w:val="28"/>
          <w:szCs w:val="28"/>
          <w:highlight w:val="none"/>
        </w:rPr>
        <w:t>48</w:t>
      </w:r>
      <w:r>
        <w:rPr>
          <w:rFonts w:ascii="宋体" w:hAnsi="宋体"/>
          <w:color w:val="auto"/>
          <w:sz w:val="28"/>
          <w:szCs w:val="28"/>
          <w:highlight w:val="none"/>
        </w:rPr>
        <w:fldChar w:fldCharType="end"/>
      </w:r>
      <w:r>
        <w:rPr>
          <w:rStyle w:val="38"/>
          <w:rFonts w:ascii="宋体" w:hAnsi="宋体"/>
          <w:color w:val="auto"/>
          <w:sz w:val="28"/>
          <w:szCs w:val="28"/>
          <w:highlight w:val="none"/>
        </w:rPr>
        <w:fldChar w:fldCharType="end"/>
      </w:r>
    </w:p>
    <w:p w14:paraId="3212B81B">
      <w:pPr>
        <w:pStyle w:val="25"/>
        <w:tabs>
          <w:tab w:val="right" w:leader="dot" w:pos="8869"/>
        </w:tabs>
        <w:spacing w:line="360" w:lineRule="auto"/>
        <w:rPr>
          <w:rFonts w:ascii="宋体" w:hAnsi="宋体"/>
          <w:color w:val="auto"/>
          <w:sz w:val="28"/>
          <w:szCs w:val="28"/>
          <w:highlight w:val="none"/>
        </w:rPr>
      </w:pPr>
      <w:r>
        <w:rPr>
          <w:rStyle w:val="38"/>
          <w:rFonts w:ascii="宋体" w:hAnsi="宋体"/>
          <w:color w:val="auto"/>
          <w:sz w:val="28"/>
          <w:szCs w:val="28"/>
          <w:highlight w:val="none"/>
        </w:rPr>
        <w:fldChar w:fldCharType="begin"/>
      </w:r>
      <w:r>
        <w:rPr>
          <w:rStyle w:val="38"/>
          <w:rFonts w:ascii="宋体" w:hAnsi="宋体"/>
          <w:color w:val="auto"/>
          <w:sz w:val="28"/>
          <w:szCs w:val="28"/>
          <w:highlight w:val="none"/>
        </w:rPr>
        <w:instrText xml:space="preserve"> </w:instrText>
      </w:r>
      <w:r>
        <w:rPr>
          <w:rFonts w:ascii="宋体" w:hAnsi="宋体"/>
          <w:color w:val="auto"/>
          <w:sz w:val="28"/>
          <w:szCs w:val="28"/>
          <w:highlight w:val="none"/>
        </w:rPr>
        <w:instrText xml:space="preserve">HYPERLINK \l "_Toc170496365"</w:instrText>
      </w:r>
      <w:r>
        <w:rPr>
          <w:rStyle w:val="38"/>
          <w:rFonts w:ascii="宋体" w:hAnsi="宋体"/>
          <w:color w:val="auto"/>
          <w:sz w:val="28"/>
          <w:szCs w:val="28"/>
          <w:highlight w:val="none"/>
        </w:rPr>
        <w:instrText xml:space="preserve"> </w:instrText>
      </w:r>
      <w:r>
        <w:rPr>
          <w:rStyle w:val="38"/>
          <w:rFonts w:ascii="宋体" w:hAnsi="宋体"/>
          <w:color w:val="auto"/>
          <w:sz w:val="28"/>
          <w:szCs w:val="28"/>
          <w:highlight w:val="none"/>
        </w:rPr>
        <w:fldChar w:fldCharType="separate"/>
      </w:r>
      <w:r>
        <w:rPr>
          <w:rStyle w:val="38"/>
          <w:rFonts w:hint="eastAsia" w:ascii="宋体" w:hAnsi="宋体"/>
          <w:color w:val="auto"/>
          <w:sz w:val="28"/>
          <w:szCs w:val="28"/>
          <w:highlight w:val="none"/>
        </w:rPr>
        <w:t>第六章</w:t>
      </w:r>
      <w:r>
        <w:rPr>
          <w:rStyle w:val="38"/>
          <w:rFonts w:ascii="宋体" w:hAnsi="宋体"/>
          <w:color w:val="auto"/>
          <w:sz w:val="28"/>
          <w:szCs w:val="28"/>
          <w:highlight w:val="none"/>
        </w:rPr>
        <w:t xml:space="preserve"> </w:t>
      </w:r>
      <w:r>
        <w:rPr>
          <w:rStyle w:val="38"/>
          <w:rFonts w:hint="eastAsia" w:ascii="宋体" w:hAnsi="宋体"/>
          <w:color w:val="auto"/>
          <w:sz w:val="28"/>
          <w:szCs w:val="28"/>
          <w:highlight w:val="none"/>
        </w:rPr>
        <w:t>合同</w:t>
      </w:r>
      <w:bookmarkStart w:id="0" w:name="_Hlt170496456"/>
      <w:r>
        <w:rPr>
          <w:rStyle w:val="38"/>
          <w:rFonts w:hint="eastAsia" w:ascii="宋体" w:hAnsi="宋体"/>
          <w:color w:val="auto"/>
          <w:sz w:val="28"/>
          <w:szCs w:val="28"/>
          <w:highlight w:val="none"/>
        </w:rPr>
        <w:t>文</w:t>
      </w:r>
      <w:bookmarkEnd w:id="0"/>
      <w:r>
        <w:rPr>
          <w:rStyle w:val="38"/>
          <w:rFonts w:hint="eastAsia" w:ascii="宋体" w:hAnsi="宋体"/>
          <w:color w:val="auto"/>
          <w:sz w:val="28"/>
          <w:szCs w:val="28"/>
          <w:highlight w:val="none"/>
        </w:rPr>
        <w:t>本</w:t>
      </w:r>
      <w:r>
        <w:rPr>
          <w:rFonts w:ascii="宋体" w:hAnsi="宋体"/>
          <w:color w:val="auto"/>
          <w:sz w:val="28"/>
          <w:szCs w:val="28"/>
          <w:highlight w:val="none"/>
        </w:rPr>
        <w:tab/>
      </w:r>
      <w:r>
        <w:rPr>
          <w:rFonts w:ascii="宋体" w:hAnsi="宋体"/>
          <w:color w:val="auto"/>
          <w:sz w:val="28"/>
          <w:szCs w:val="28"/>
          <w:highlight w:val="none"/>
        </w:rPr>
        <w:fldChar w:fldCharType="begin"/>
      </w:r>
      <w:r>
        <w:rPr>
          <w:rFonts w:ascii="宋体" w:hAnsi="宋体"/>
          <w:color w:val="auto"/>
          <w:sz w:val="28"/>
          <w:szCs w:val="28"/>
          <w:highlight w:val="none"/>
        </w:rPr>
        <w:instrText xml:space="preserve"> PAGEREF _Toc170496365 \h </w:instrText>
      </w:r>
      <w:r>
        <w:rPr>
          <w:rFonts w:ascii="宋体" w:hAnsi="宋体"/>
          <w:color w:val="auto"/>
          <w:sz w:val="28"/>
          <w:szCs w:val="28"/>
          <w:highlight w:val="none"/>
        </w:rPr>
        <w:fldChar w:fldCharType="separate"/>
      </w:r>
      <w:r>
        <w:rPr>
          <w:rFonts w:ascii="宋体" w:hAnsi="宋体"/>
          <w:color w:val="auto"/>
          <w:sz w:val="28"/>
          <w:szCs w:val="28"/>
          <w:highlight w:val="none"/>
        </w:rPr>
        <w:t>71</w:t>
      </w:r>
      <w:r>
        <w:rPr>
          <w:rFonts w:ascii="宋体" w:hAnsi="宋体"/>
          <w:color w:val="auto"/>
          <w:sz w:val="28"/>
          <w:szCs w:val="28"/>
          <w:highlight w:val="none"/>
        </w:rPr>
        <w:fldChar w:fldCharType="end"/>
      </w:r>
      <w:r>
        <w:rPr>
          <w:rStyle w:val="38"/>
          <w:rFonts w:ascii="宋体" w:hAnsi="宋体"/>
          <w:color w:val="auto"/>
          <w:sz w:val="28"/>
          <w:szCs w:val="28"/>
          <w:highlight w:val="none"/>
        </w:rPr>
        <w:fldChar w:fldCharType="end"/>
      </w:r>
    </w:p>
    <w:p w14:paraId="5569C0B7">
      <w:pPr>
        <w:pStyle w:val="27"/>
        <w:tabs>
          <w:tab w:val="right" w:leader="dot" w:pos="8931"/>
          <w:tab w:val="clear" w:pos="8296"/>
        </w:tabs>
        <w:snapToGrid w:val="0"/>
        <w:spacing w:line="360" w:lineRule="auto"/>
        <w:ind w:left="0" w:leftChars="0"/>
        <w:rPr>
          <w:rFonts w:hint="eastAsia" w:ascii="宋体" w:hAnsi="宋体"/>
          <w:b/>
          <w:color w:val="auto"/>
          <w:sz w:val="24"/>
          <w:highlight w:val="none"/>
        </w:rPr>
      </w:pPr>
      <w:r>
        <w:rPr>
          <w:rFonts w:ascii="宋体" w:hAnsi="宋体"/>
          <w:b/>
          <w:color w:val="auto"/>
          <w:sz w:val="28"/>
          <w:szCs w:val="28"/>
          <w:highlight w:val="none"/>
        </w:rPr>
        <w:fldChar w:fldCharType="end"/>
      </w:r>
    </w:p>
    <w:p w14:paraId="60744693">
      <w:pPr>
        <w:spacing w:line="400" w:lineRule="exact"/>
        <w:jc w:val="left"/>
        <w:rPr>
          <w:rFonts w:hint="eastAsia" w:ascii="宋体" w:hAnsi="宋体"/>
          <w:b/>
          <w:color w:val="auto"/>
          <w:sz w:val="32"/>
          <w:szCs w:val="32"/>
          <w:highlight w:val="none"/>
        </w:rPr>
      </w:pPr>
    </w:p>
    <w:p w14:paraId="564A67DF">
      <w:pPr>
        <w:spacing w:line="400" w:lineRule="exact"/>
        <w:jc w:val="center"/>
        <w:rPr>
          <w:rFonts w:hint="eastAsia" w:ascii="宋体" w:hAnsi="宋体"/>
          <w:b/>
          <w:color w:val="auto"/>
          <w:sz w:val="32"/>
          <w:szCs w:val="32"/>
          <w:highlight w:val="none"/>
        </w:rPr>
      </w:pPr>
    </w:p>
    <w:p w14:paraId="484576AC">
      <w:pPr>
        <w:spacing w:line="400" w:lineRule="exact"/>
        <w:jc w:val="center"/>
        <w:rPr>
          <w:rFonts w:hint="eastAsia" w:ascii="宋体" w:hAnsi="宋体"/>
          <w:b/>
          <w:color w:val="auto"/>
          <w:sz w:val="32"/>
          <w:szCs w:val="32"/>
          <w:highlight w:val="none"/>
        </w:rPr>
      </w:pPr>
    </w:p>
    <w:p w14:paraId="3FADF5B7">
      <w:pPr>
        <w:spacing w:line="400" w:lineRule="exact"/>
        <w:jc w:val="center"/>
        <w:rPr>
          <w:rFonts w:hint="eastAsia" w:ascii="宋体" w:hAnsi="宋体"/>
          <w:b/>
          <w:color w:val="auto"/>
          <w:sz w:val="32"/>
          <w:szCs w:val="32"/>
          <w:highlight w:val="none"/>
        </w:rPr>
      </w:pPr>
    </w:p>
    <w:p w14:paraId="6F835D5D">
      <w:pPr>
        <w:spacing w:line="400" w:lineRule="exact"/>
        <w:jc w:val="center"/>
        <w:rPr>
          <w:rFonts w:hint="eastAsia" w:ascii="宋体" w:hAnsi="宋体"/>
          <w:b/>
          <w:color w:val="auto"/>
          <w:sz w:val="32"/>
          <w:szCs w:val="32"/>
          <w:highlight w:val="none"/>
        </w:rPr>
      </w:pPr>
    </w:p>
    <w:p w14:paraId="4ABF8655">
      <w:pPr>
        <w:spacing w:line="400" w:lineRule="exact"/>
        <w:rPr>
          <w:rFonts w:hint="eastAsia" w:ascii="宋体" w:hAnsi="宋体"/>
          <w:b/>
          <w:color w:val="auto"/>
          <w:sz w:val="32"/>
          <w:szCs w:val="32"/>
          <w:highlight w:val="none"/>
        </w:rPr>
        <w:sectPr>
          <w:headerReference r:id="rId7" w:type="first"/>
          <w:footerReference r:id="rId9" w:type="first"/>
          <w:headerReference r:id="rId6" w:type="default"/>
          <w:footerReference r:id="rId8" w:type="default"/>
          <w:pgSz w:w="11906" w:h="16838"/>
          <w:pgMar w:top="1440" w:right="1440" w:bottom="1440" w:left="1587" w:header="851" w:footer="992" w:gutter="0"/>
          <w:pgBorders>
            <w:top w:val="none" w:sz="0" w:space="0"/>
            <w:left w:val="none" w:sz="0" w:space="0"/>
            <w:bottom w:val="none" w:sz="0" w:space="0"/>
            <w:right w:val="none" w:sz="0" w:space="0"/>
          </w:pgBorders>
          <w:pgNumType w:fmt="decimal" w:start="1"/>
          <w:cols w:space="720" w:num="1"/>
          <w:titlePg/>
          <w:docGrid w:type="lines" w:linePitch="312" w:charSpace="0"/>
        </w:sectPr>
      </w:pPr>
    </w:p>
    <w:p w14:paraId="73E028A8">
      <w:pPr>
        <w:pStyle w:val="2"/>
        <w:spacing w:line="360" w:lineRule="auto"/>
        <w:jc w:val="center"/>
        <w:rPr>
          <w:color w:val="auto"/>
          <w:highlight w:val="none"/>
        </w:rPr>
      </w:pPr>
      <w:bookmarkStart w:id="39" w:name="_GoBack"/>
      <w:bookmarkEnd w:id="39"/>
      <w:bookmarkStart w:id="1" w:name="_Toc170496348"/>
      <w:r>
        <w:rPr>
          <w:rFonts w:hint="eastAsia"/>
          <w:color w:val="auto"/>
          <w:highlight w:val="none"/>
        </w:rPr>
        <w:t>第一章 竞争性磋商公告</w:t>
      </w:r>
      <w:bookmarkEnd w:id="1"/>
    </w:p>
    <w:p w14:paraId="48401CD9">
      <w:pPr>
        <w:pStyle w:val="19"/>
        <w:keepNext w:val="0"/>
        <w:keepLines w:val="0"/>
        <w:pageBreakBefore w:val="0"/>
        <w:widowControl w:val="0"/>
        <w:kinsoku/>
        <w:wordWrap/>
        <w:overflowPunct/>
        <w:topLinePunct w:val="0"/>
        <w:autoSpaceDE/>
        <w:autoSpaceDN/>
        <w:bidi w:val="0"/>
        <w:adjustRightInd/>
        <w:snapToGrid/>
        <w:spacing w:after="157" w:afterLines="50" w:line="440" w:lineRule="exact"/>
        <w:jc w:val="center"/>
        <w:textAlignment w:val="auto"/>
        <w:rPr>
          <w:rFonts w:hint="eastAsia" w:ascii="宋体" w:hAnsi="宋体" w:cs="宋体"/>
          <w:b/>
          <w:color w:val="000000"/>
          <w:sz w:val="28"/>
          <w:szCs w:val="28"/>
        </w:rPr>
      </w:pPr>
      <w:r>
        <w:rPr>
          <w:rFonts w:hint="eastAsia" w:ascii="宋体" w:hAnsi="宋体" w:cs="宋体"/>
          <w:b/>
          <w:color w:val="000000"/>
          <w:sz w:val="28"/>
          <w:szCs w:val="28"/>
        </w:rPr>
        <w:t>广西德元工程项目管理有限责任公司关于</w:t>
      </w:r>
      <w:r>
        <w:rPr>
          <w:rFonts w:hint="eastAsia" w:hAnsi="宋体" w:cs="宋体"/>
          <w:b/>
          <w:color w:val="000000"/>
          <w:sz w:val="28"/>
          <w:szCs w:val="28"/>
          <w:lang w:eastAsia="zh-CN"/>
        </w:rPr>
        <w:t>食堂鸡蛋供应服务（重</w:t>
      </w:r>
      <w:r>
        <w:rPr>
          <w:rFonts w:hint="eastAsia" w:hAnsi="宋体" w:cs="宋体"/>
          <w:b/>
          <w:color w:val="000000"/>
          <w:sz w:val="28"/>
          <w:szCs w:val="28"/>
          <w:lang w:val="en-US" w:eastAsia="zh-CN"/>
        </w:rPr>
        <w:t>2</w:t>
      </w:r>
      <w:r>
        <w:rPr>
          <w:rFonts w:hint="eastAsia" w:hAnsi="宋体" w:cs="宋体"/>
          <w:b/>
          <w:color w:val="000000"/>
          <w:sz w:val="28"/>
          <w:szCs w:val="28"/>
          <w:lang w:eastAsia="zh-CN"/>
        </w:rPr>
        <w:t>）</w:t>
      </w:r>
      <w:r>
        <w:rPr>
          <w:rFonts w:hint="eastAsia" w:ascii="宋体" w:hAnsi="宋体" w:cs="宋体"/>
          <w:b/>
          <w:color w:val="000000"/>
          <w:sz w:val="28"/>
          <w:szCs w:val="28"/>
        </w:rPr>
        <w:t>的</w:t>
      </w:r>
    </w:p>
    <w:p w14:paraId="29E9F9B4">
      <w:pPr>
        <w:pStyle w:val="19"/>
        <w:keepNext w:val="0"/>
        <w:keepLines w:val="0"/>
        <w:pageBreakBefore w:val="0"/>
        <w:widowControl w:val="0"/>
        <w:kinsoku/>
        <w:wordWrap/>
        <w:overflowPunct/>
        <w:topLinePunct w:val="0"/>
        <w:autoSpaceDE/>
        <w:autoSpaceDN/>
        <w:bidi w:val="0"/>
        <w:adjustRightInd/>
        <w:snapToGrid/>
        <w:spacing w:after="157" w:afterLines="50" w:line="440" w:lineRule="exact"/>
        <w:jc w:val="center"/>
        <w:textAlignment w:val="auto"/>
        <w:rPr>
          <w:rFonts w:hint="eastAsia" w:ascii="宋体" w:hAnsi="Courier New"/>
          <w:b/>
          <w:color w:val="auto"/>
          <w:kern w:val="0"/>
          <w:sz w:val="28"/>
          <w:szCs w:val="28"/>
          <w:highlight w:val="none"/>
        </w:rPr>
      </w:pPr>
      <w:r>
        <w:rPr>
          <w:rFonts w:hint="eastAsia" w:ascii="宋体" w:hAnsi="宋体" w:cs="宋体"/>
          <w:b/>
          <w:color w:val="000000"/>
          <w:sz w:val="28"/>
          <w:szCs w:val="28"/>
        </w:rPr>
        <w:t>竞争性磋商公</w:t>
      </w:r>
      <w:r>
        <w:rPr>
          <w:rFonts w:hint="eastAsia" w:ascii="宋体" w:hAnsi="Courier New"/>
          <w:b/>
          <w:color w:val="auto"/>
          <w:kern w:val="0"/>
          <w:sz w:val="28"/>
          <w:szCs w:val="28"/>
          <w:highlight w:val="none"/>
        </w:rPr>
        <w:t>告</w:t>
      </w:r>
    </w:p>
    <w:p w14:paraId="431FD877">
      <w:pPr>
        <w:keepNext w:val="0"/>
        <w:keepLines w:val="0"/>
        <w:pageBreakBefore w:val="0"/>
        <w:pBdr>
          <w:top w:val="single" w:color="auto" w:sz="4" w:space="1"/>
          <w:left w:val="single" w:color="auto" w:sz="4" w:space="4"/>
          <w:bottom w:val="single" w:color="auto" w:sz="4" w:space="1"/>
          <w:right w:val="single" w:color="auto" w:sz="4" w:space="4"/>
        </w:pBdr>
        <w:kinsoku/>
        <w:overflowPunct/>
        <w:topLinePunct w:val="0"/>
        <w:autoSpaceDE/>
        <w:autoSpaceDN/>
        <w:bidi w:val="0"/>
        <w:adjustRightInd/>
        <w:snapToGrid/>
        <w:spacing w:line="440" w:lineRule="exact"/>
        <w:ind w:firstLine="480" w:firstLineChars="200"/>
        <w:textAlignment w:val="auto"/>
        <w:rPr>
          <w:rFonts w:ascii="宋体" w:hAnsi="宋体"/>
          <w:color w:val="auto"/>
          <w:sz w:val="24"/>
          <w:szCs w:val="24"/>
          <w:highlight w:val="none"/>
        </w:rPr>
      </w:pPr>
      <w:bookmarkStart w:id="2" w:name="_Hlk37430271"/>
      <w:r>
        <w:rPr>
          <w:rFonts w:hint="eastAsia" w:ascii="宋体" w:hAnsi="宋体"/>
          <w:color w:val="auto"/>
          <w:sz w:val="24"/>
          <w:szCs w:val="24"/>
          <w:highlight w:val="none"/>
        </w:rPr>
        <w:t>项目概况</w:t>
      </w:r>
    </w:p>
    <w:p w14:paraId="0E47EC11">
      <w:pPr>
        <w:keepNext w:val="0"/>
        <w:keepLines w:val="0"/>
        <w:pageBreakBefore w:val="0"/>
        <w:widowControl w:val="0"/>
        <w:pBdr>
          <w:top w:val="single" w:color="auto" w:sz="4" w:space="1"/>
          <w:left w:val="single" w:color="auto" w:sz="4" w:space="4"/>
          <w:bottom w:val="single" w:color="auto" w:sz="4" w:space="1"/>
          <w:right w:val="single" w:color="auto" w:sz="4" w:space="4"/>
        </w:pBdr>
        <w:kinsoku/>
        <w:wordWrap w:val="0"/>
        <w:overflowPunct/>
        <w:topLinePunct w:val="0"/>
        <w:autoSpaceDE/>
        <w:autoSpaceDN/>
        <w:bidi w:val="0"/>
        <w:adjustRightInd/>
        <w:snapToGrid/>
        <w:spacing w:line="440" w:lineRule="exact"/>
        <w:ind w:firstLine="480" w:firstLineChars="200"/>
        <w:textAlignment w:val="auto"/>
        <w:rPr>
          <w:rFonts w:ascii="宋体" w:hAnsi="宋体"/>
          <w:color w:val="auto"/>
          <w:sz w:val="24"/>
          <w:szCs w:val="24"/>
          <w:highlight w:val="none"/>
        </w:rPr>
      </w:pPr>
      <w:r>
        <w:rPr>
          <w:rFonts w:hint="eastAsia" w:ascii="宋体" w:hAnsi="宋体" w:cs="宋体"/>
          <w:color w:val="000000"/>
          <w:sz w:val="24"/>
          <w:szCs w:val="24"/>
          <w:u w:val="single"/>
          <w:lang w:eastAsia="zh-CN"/>
        </w:rPr>
        <w:t>食堂鸡蛋供应服务（重2）</w:t>
      </w:r>
      <w:r>
        <w:rPr>
          <w:rFonts w:hint="eastAsia" w:ascii="宋体" w:hAnsi="宋体" w:cs="宋体"/>
          <w:color w:val="000000"/>
          <w:sz w:val="24"/>
          <w:szCs w:val="24"/>
          <w:u w:val="single"/>
        </w:rPr>
        <w:t xml:space="preserve"> </w:t>
      </w:r>
      <w:r>
        <w:rPr>
          <w:rFonts w:hint="eastAsia" w:ascii="宋体" w:hAnsi="宋体" w:cs="宋体"/>
          <w:color w:val="000000"/>
          <w:sz w:val="24"/>
          <w:szCs w:val="24"/>
        </w:rPr>
        <w:t>的潜在供应商应在</w:t>
      </w:r>
      <w:r>
        <w:rPr>
          <w:rFonts w:hint="eastAsia" w:ascii="宋体" w:hAnsi="宋体" w:cs="宋体"/>
          <w:color w:val="000000"/>
          <w:sz w:val="24"/>
          <w:szCs w:val="24"/>
          <w:u w:val="single"/>
        </w:rPr>
        <w:t xml:space="preserve"> 广西政府采购云平台（https://www.gcy.zfcg.gxzf.gov.cn/） </w:t>
      </w:r>
      <w:r>
        <w:rPr>
          <w:rFonts w:hint="eastAsia" w:ascii="宋体" w:hAnsi="宋体" w:cs="宋体"/>
          <w:color w:val="000000"/>
          <w:sz w:val="24"/>
          <w:szCs w:val="24"/>
        </w:rPr>
        <w:t>获取采购文件，并于</w:t>
      </w:r>
      <w:r>
        <w:rPr>
          <w:rFonts w:hint="eastAsia" w:ascii="宋体" w:hAnsi="宋体" w:cs="宋体"/>
          <w:color w:val="000000"/>
          <w:sz w:val="24"/>
          <w:szCs w:val="24"/>
          <w:lang w:eastAsia="zh-CN"/>
        </w:rPr>
        <w:t xml:space="preserve">2026 </w:t>
      </w:r>
      <w:r>
        <w:rPr>
          <w:rFonts w:hint="eastAsia" w:ascii="宋体" w:hAnsi="宋体" w:cs="宋体"/>
          <w:color w:val="000000"/>
          <w:sz w:val="24"/>
          <w:szCs w:val="24"/>
        </w:rPr>
        <w:t xml:space="preserve">年 </w:t>
      </w:r>
      <w:r>
        <w:rPr>
          <w:rFonts w:hint="eastAsia" w:ascii="宋体" w:hAnsi="宋体" w:cs="宋体"/>
          <w:color w:val="000000"/>
          <w:sz w:val="24"/>
          <w:szCs w:val="24"/>
          <w:lang w:val="en-US" w:eastAsia="zh-CN"/>
        </w:rPr>
        <w:t>7</w:t>
      </w:r>
      <w:r>
        <w:rPr>
          <w:rFonts w:hint="eastAsia" w:ascii="宋体" w:hAnsi="宋体" w:cs="宋体"/>
          <w:color w:val="000000"/>
          <w:sz w:val="24"/>
          <w:szCs w:val="24"/>
        </w:rPr>
        <w:t xml:space="preserve"> 月 </w:t>
      </w:r>
      <w:r>
        <w:rPr>
          <w:rFonts w:hint="eastAsia" w:ascii="宋体" w:hAnsi="宋体" w:cs="宋体"/>
          <w:color w:val="000000"/>
          <w:sz w:val="24"/>
          <w:szCs w:val="24"/>
          <w:lang w:val="en-US" w:eastAsia="zh-CN"/>
        </w:rPr>
        <w:t>24</w:t>
      </w:r>
      <w:r>
        <w:rPr>
          <w:rFonts w:hint="eastAsia" w:ascii="宋体" w:hAnsi="宋体" w:cs="宋体"/>
          <w:color w:val="000000"/>
          <w:sz w:val="24"/>
          <w:szCs w:val="24"/>
        </w:rPr>
        <w:t xml:space="preserve"> 日09:30</w:t>
      </w:r>
      <w:r>
        <w:rPr>
          <w:rFonts w:hint="eastAsia" w:ascii="宋体" w:hAnsi="宋体"/>
          <w:bCs/>
          <w:color w:val="auto"/>
          <w:sz w:val="24"/>
          <w:szCs w:val="24"/>
          <w:highlight w:val="none"/>
        </w:rPr>
        <w:t>（北京时间）前提交响应</w:t>
      </w:r>
      <w:r>
        <w:rPr>
          <w:rFonts w:ascii="宋体" w:hAnsi="宋体"/>
          <w:bCs/>
          <w:color w:val="auto"/>
          <w:sz w:val="24"/>
          <w:szCs w:val="24"/>
          <w:highlight w:val="none"/>
        </w:rPr>
        <w:t>文件</w:t>
      </w:r>
      <w:r>
        <w:rPr>
          <w:rFonts w:hint="eastAsia" w:ascii="宋体" w:hAnsi="宋体"/>
          <w:color w:val="auto"/>
          <w:sz w:val="24"/>
          <w:szCs w:val="24"/>
          <w:highlight w:val="none"/>
        </w:rPr>
        <w:t>。</w:t>
      </w:r>
    </w:p>
    <w:p w14:paraId="38142AED">
      <w:pPr>
        <w:spacing w:line="360" w:lineRule="auto"/>
        <w:ind w:firstLine="482" w:firstLineChars="200"/>
        <w:rPr>
          <w:rFonts w:hint="eastAsia" w:ascii="宋体" w:hAnsi="宋体" w:cs="宋体"/>
          <w:color w:val="000000"/>
          <w:sz w:val="24"/>
        </w:rPr>
      </w:pPr>
      <w:bookmarkStart w:id="3" w:name="_Toc28359019"/>
      <w:bookmarkStart w:id="4" w:name="_Toc35393806"/>
      <w:bookmarkStart w:id="5" w:name="_Toc28359096"/>
      <w:bookmarkStart w:id="6" w:name="_Toc35393637"/>
      <w:r>
        <w:rPr>
          <w:rFonts w:hint="eastAsia" w:ascii="宋体" w:hAnsi="宋体" w:cs="宋体"/>
          <w:b/>
          <w:bCs/>
          <w:color w:val="000000"/>
          <w:sz w:val="24"/>
        </w:rPr>
        <w:t>一、项目基本情况</w:t>
      </w:r>
    </w:p>
    <w:p w14:paraId="5C2B890B">
      <w:pPr>
        <w:spacing w:line="360" w:lineRule="auto"/>
        <w:ind w:firstLine="480" w:firstLineChars="200"/>
        <w:rPr>
          <w:rFonts w:ascii="宋体" w:hAnsi="宋体" w:cs="宋体"/>
          <w:color w:val="000000"/>
          <w:sz w:val="24"/>
        </w:rPr>
      </w:pPr>
      <w:r>
        <w:rPr>
          <w:rFonts w:hint="eastAsia" w:ascii="宋体" w:hAnsi="宋体" w:cs="宋体"/>
          <w:color w:val="000000"/>
          <w:sz w:val="24"/>
        </w:rPr>
        <w:t>项目编号：</w:t>
      </w:r>
      <w:r>
        <w:rPr>
          <w:rFonts w:hint="eastAsia" w:ascii="宋体" w:hAnsi="宋体" w:cs="宋体"/>
          <w:color w:val="000000"/>
          <w:sz w:val="24"/>
          <w:lang w:eastAsia="zh-CN"/>
        </w:rPr>
        <w:t xml:space="preserve">GXZC2026-C3-002247-GXDY </w:t>
      </w:r>
      <w:r>
        <w:rPr>
          <w:rFonts w:hint="eastAsia" w:ascii="宋体" w:hAnsi="宋体" w:cs="宋体"/>
          <w:color w:val="000000"/>
          <w:sz w:val="24"/>
        </w:rPr>
        <w:t> </w:t>
      </w:r>
    </w:p>
    <w:p w14:paraId="70F424C7">
      <w:pPr>
        <w:spacing w:line="360" w:lineRule="auto"/>
        <w:ind w:firstLine="480" w:firstLineChars="200"/>
        <w:rPr>
          <w:rFonts w:hint="eastAsia" w:ascii="宋体" w:hAnsi="宋体" w:eastAsia="宋体" w:cs="宋体"/>
          <w:color w:val="000000"/>
          <w:sz w:val="24"/>
          <w:lang w:eastAsia="zh-CN"/>
        </w:rPr>
      </w:pPr>
      <w:r>
        <w:rPr>
          <w:rFonts w:hint="eastAsia" w:ascii="宋体" w:hAnsi="宋体" w:cs="宋体"/>
          <w:color w:val="000000"/>
          <w:sz w:val="24"/>
        </w:rPr>
        <w:t>项目名称：</w:t>
      </w:r>
      <w:r>
        <w:rPr>
          <w:rFonts w:hint="eastAsia" w:ascii="宋体" w:hAnsi="宋体" w:cs="宋体"/>
          <w:color w:val="000000"/>
          <w:sz w:val="24"/>
          <w:lang w:eastAsia="zh-CN"/>
        </w:rPr>
        <w:t>食堂鸡蛋供应服务（重2）</w:t>
      </w:r>
    </w:p>
    <w:p w14:paraId="4D4D8541">
      <w:pPr>
        <w:spacing w:line="360" w:lineRule="auto"/>
        <w:ind w:firstLine="480" w:firstLineChars="200"/>
        <w:rPr>
          <w:rFonts w:ascii="宋体" w:hAnsi="宋体" w:cs="宋体"/>
          <w:color w:val="000000"/>
          <w:sz w:val="24"/>
        </w:rPr>
      </w:pPr>
      <w:r>
        <w:rPr>
          <w:rFonts w:hint="eastAsia" w:ascii="宋体" w:hAnsi="宋体" w:cs="宋体"/>
          <w:color w:val="000000"/>
          <w:sz w:val="24"/>
        </w:rPr>
        <w:t>采购方式：竞争性磋商</w:t>
      </w:r>
    </w:p>
    <w:p w14:paraId="3D711142">
      <w:pPr>
        <w:spacing w:line="360" w:lineRule="auto"/>
        <w:ind w:firstLine="480" w:firstLineChars="200"/>
        <w:rPr>
          <w:rFonts w:hint="eastAsia" w:ascii="宋体" w:hAnsi="宋体" w:eastAsia="宋体" w:cs="宋体"/>
          <w:color w:val="000000"/>
          <w:sz w:val="24"/>
          <w:lang w:eastAsia="zh-CN"/>
        </w:rPr>
      </w:pPr>
      <w:r>
        <w:rPr>
          <w:rFonts w:hint="eastAsia" w:ascii="宋体" w:hAnsi="宋体" w:cs="宋体"/>
          <w:color w:val="000000"/>
          <w:sz w:val="24"/>
        </w:rPr>
        <w:t>预算</w:t>
      </w:r>
      <w:r>
        <w:rPr>
          <w:rFonts w:hint="eastAsia" w:ascii="宋体" w:hAnsi="宋体" w:cs="宋体"/>
          <w:color w:val="000000"/>
          <w:sz w:val="24"/>
          <w:lang w:val="en-US" w:eastAsia="zh-CN"/>
        </w:rPr>
        <w:t>总</w:t>
      </w:r>
      <w:r>
        <w:rPr>
          <w:rFonts w:hint="eastAsia" w:ascii="宋体" w:hAnsi="宋体" w:cs="宋体"/>
          <w:color w:val="000000"/>
          <w:sz w:val="24"/>
        </w:rPr>
        <w:t>金额（元）：</w:t>
      </w:r>
      <w:r>
        <w:rPr>
          <w:rFonts w:hint="eastAsia" w:ascii="宋体" w:hAnsi="宋体" w:cs="宋体"/>
          <w:color w:val="000000"/>
          <w:sz w:val="24"/>
          <w:lang w:eastAsia="zh-CN"/>
        </w:rPr>
        <w:t>2400000</w:t>
      </w:r>
    </w:p>
    <w:p w14:paraId="6D1C69A2">
      <w:pPr>
        <w:spacing w:line="360" w:lineRule="auto"/>
        <w:ind w:firstLine="480" w:firstLineChars="200"/>
        <w:rPr>
          <w:rFonts w:hint="eastAsia" w:ascii="宋体" w:hAnsi="宋体" w:cs="宋体"/>
          <w:color w:val="000000"/>
          <w:sz w:val="24"/>
        </w:rPr>
      </w:pPr>
      <w:r>
        <w:rPr>
          <w:rFonts w:hint="eastAsia" w:ascii="宋体" w:hAnsi="宋体" w:cs="宋体"/>
          <w:color w:val="000000"/>
          <w:sz w:val="24"/>
        </w:rPr>
        <w:t>采购需求：</w:t>
      </w:r>
    </w:p>
    <w:p w14:paraId="01C2C2A4">
      <w:pPr>
        <w:spacing w:line="360" w:lineRule="auto"/>
        <w:ind w:firstLine="480" w:firstLineChars="200"/>
        <w:rPr>
          <w:rFonts w:hint="eastAsia" w:ascii="宋体" w:hAnsi="宋体" w:eastAsia="宋体" w:cs="宋体"/>
          <w:color w:val="000000"/>
          <w:sz w:val="24"/>
          <w:lang w:eastAsia="zh-CN"/>
        </w:rPr>
      </w:pPr>
      <w:r>
        <w:rPr>
          <w:rFonts w:hint="eastAsia" w:ascii="宋体" w:hAnsi="宋体" w:cs="宋体"/>
          <w:color w:val="000000"/>
          <w:sz w:val="24"/>
        </w:rPr>
        <w:t>标项名称：</w:t>
      </w:r>
      <w:r>
        <w:rPr>
          <w:rFonts w:hint="eastAsia" w:ascii="宋体" w:hAnsi="宋体" w:cs="宋体"/>
          <w:color w:val="000000"/>
          <w:sz w:val="24"/>
          <w:lang w:eastAsia="zh-CN"/>
        </w:rPr>
        <w:t>食堂鸡蛋供应服务（重2）</w:t>
      </w:r>
    </w:p>
    <w:p w14:paraId="4A76009E">
      <w:pPr>
        <w:spacing w:line="360" w:lineRule="auto"/>
        <w:ind w:firstLine="480" w:firstLineChars="200"/>
        <w:rPr>
          <w:rFonts w:hint="eastAsia" w:ascii="宋体" w:hAnsi="宋体" w:eastAsia="宋体" w:cs="宋体"/>
          <w:color w:val="000000"/>
          <w:sz w:val="24"/>
          <w:lang w:eastAsia="zh-CN"/>
        </w:rPr>
      </w:pPr>
      <w:r>
        <w:rPr>
          <w:rFonts w:hint="eastAsia" w:ascii="宋体" w:hAnsi="宋体" w:cs="宋体"/>
          <w:color w:val="000000"/>
          <w:sz w:val="24"/>
        </w:rPr>
        <w:t>数量：</w:t>
      </w:r>
      <w:r>
        <w:rPr>
          <w:rFonts w:hint="eastAsia" w:ascii="宋体" w:hAnsi="宋体" w:cs="宋体"/>
          <w:color w:val="000000"/>
          <w:sz w:val="24"/>
          <w:lang w:val="en-US" w:eastAsia="zh-CN"/>
        </w:rPr>
        <w:t>1</w:t>
      </w:r>
    </w:p>
    <w:p w14:paraId="2B25D4CB">
      <w:pPr>
        <w:spacing w:line="360" w:lineRule="auto"/>
        <w:ind w:firstLine="480" w:firstLineChars="200"/>
        <w:rPr>
          <w:rFonts w:hint="eastAsia" w:ascii="宋体" w:hAnsi="宋体" w:eastAsia="宋体" w:cs="宋体"/>
          <w:color w:val="000000"/>
          <w:sz w:val="24"/>
          <w:lang w:eastAsia="zh-CN"/>
        </w:rPr>
      </w:pPr>
      <w:r>
        <w:rPr>
          <w:rFonts w:hint="eastAsia" w:ascii="宋体" w:hAnsi="宋体" w:cs="宋体"/>
          <w:color w:val="000000"/>
          <w:sz w:val="24"/>
        </w:rPr>
        <w:t>预算金额（元）：</w:t>
      </w:r>
      <w:r>
        <w:rPr>
          <w:rFonts w:hint="eastAsia" w:ascii="宋体" w:hAnsi="宋体" w:cs="宋体"/>
          <w:color w:val="000000"/>
          <w:sz w:val="24"/>
          <w:lang w:eastAsia="zh-CN"/>
        </w:rPr>
        <w:t>2400000</w:t>
      </w:r>
    </w:p>
    <w:p w14:paraId="00156ABE">
      <w:pPr>
        <w:spacing w:line="360" w:lineRule="auto"/>
        <w:ind w:firstLine="480" w:firstLineChars="200"/>
        <w:rPr>
          <w:rFonts w:ascii="宋体" w:hAnsi="宋体" w:cs="宋体"/>
          <w:color w:val="000000"/>
          <w:sz w:val="24"/>
        </w:rPr>
      </w:pPr>
      <w:r>
        <w:rPr>
          <w:rFonts w:ascii="宋体" w:hAnsi="宋体"/>
          <w:color w:val="000000"/>
          <w:sz w:val="24"/>
        </w:rPr>
        <w:t>简要规格描述或项目基本概况介绍、用途：</w:t>
      </w:r>
      <w:r>
        <w:rPr>
          <w:rFonts w:hint="eastAsia" w:ascii="宋体" w:hAnsi="宋体"/>
          <w:color w:val="000000"/>
          <w:sz w:val="24"/>
          <w:lang w:eastAsia="zh-CN"/>
        </w:rPr>
        <w:t>食堂鸡蛋供应服务</w:t>
      </w:r>
      <w:r>
        <w:rPr>
          <w:rFonts w:hint="eastAsia" w:ascii="宋体" w:hAnsi="宋体"/>
          <w:color w:val="000000"/>
          <w:sz w:val="24"/>
          <w:lang w:val="en-US" w:eastAsia="zh-CN"/>
        </w:rPr>
        <w:t>1项</w:t>
      </w:r>
      <w:r>
        <w:rPr>
          <w:rFonts w:hint="eastAsia" w:ascii="宋体" w:hAnsi="宋体"/>
          <w:color w:val="000000"/>
          <w:sz w:val="24"/>
        </w:rPr>
        <w:t>，具体内容详见第</w:t>
      </w:r>
      <w:r>
        <w:rPr>
          <w:rFonts w:hint="eastAsia" w:ascii="宋体" w:hAnsi="宋体"/>
          <w:color w:val="000000"/>
          <w:sz w:val="24"/>
          <w:lang w:val="en-US" w:eastAsia="zh-CN"/>
        </w:rPr>
        <w:t>二</w:t>
      </w:r>
      <w:r>
        <w:rPr>
          <w:rFonts w:hint="eastAsia" w:ascii="宋体" w:hAnsi="宋体"/>
          <w:color w:val="000000"/>
          <w:sz w:val="24"/>
        </w:rPr>
        <w:t>章《采购需求》。</w:t>
      </w:r>
    </w:p>
    <w:p w14:paraId="346AC23C">
      <w:pPr>
        <w:spacing w:line="360" w:lineRule="auto"/>
        <w:ind w:firstLine="480" w:firstLineChars="200"/>
        <w:rPr>
          <w:rFonts w:hint="eastAsia" w:ascii="宋体" w:hAnsi="宋体" w:eastAsia="宋体" w:cs="宋体"/>
          <w:color w:val="000000"/>
          <w:sz w:val="24"/>
          <w:lang w:eastAsia="zh-CN"/>
        </w:rPr>
      </w:pPr>
      <w:r>
        <w:rPr>
          <w:rFonts w:ascii="宋体" w:hAnsi="宋体"/>
          <w:color w:val="000000"/>
          <w:sz w:val="24"/>
        </w:rPr>
        <w:t>最高限价</w:t>
      </w:r>
      <w:r>
        <w:rPr>
          <w:rFonts w:hint="eastAsia" w:ascii="宋体" w:hAnsi="宋体" w:cs="宋体"/>
          <w:color w:val="000000"/>
          <w:sz w:val="24"/>
        </w:rPr>
        <w:t>（</w:t>
      </w:r>
      <w:r>
        <w:rPr>
          <w:rFonts w:hint="eastAsia" w:ascii="宋体" w:hAnsi="宋体" w:cs="宋体"/>
          <w:color w:val="000000"/>
          <w:sz w:val="24"/>
          <w:lang w:val="en-US" w:eastAsia="zh-CN"/>
        </w:rPr>
        <w:t>如有</w:t>
      </w:r>
      <w:r>
        <w:rPr>
          <w:rFonts w:hint="eastAsia" w:ascii="宋体" w:hAnsi="宋体" w:cs="宋体"/>
          <w:color w:val="000000"/>
          <w:sz w:val="24"/>
        </w:rPr>
        <w:t>）：</w:t>
      </w:r>
      <w:r>
        <w:rPr>
          <w:rFonts w:hint="eastAsia" w:ascii="宋体" w:hAnsi="宋体" w:cs="宋体"/>
          <w:color w:val="000000"/>
          <w:sz w:val="24"/>
          <w:lang w:eastAsia="zh-CN"/>
        </w:rPr>
        <w:t>2400000</w:t>
      </w:r>
    </w:p>
    <w:p w14:paraId="17556FCB">
      <w:pPr>
        <w:spacing w:line="360" w:lineRule="auto"/>
        <w:ind w:firstLine="480" w:firstLineChars="200"/>
        <w:rPr>
          <w:rFonts w:ascii="宋体" w:hAnsi="宋体" w:cs="宋体"/>
          <w:color w:val="000000"/>
          <w:sz w:val="24"/>
        </w:rPr>
      </w:pPr>
      <w:r>
        <w:rPr>
          <w:rFonts w:hint="eastAsia" w:ascii="宋体" w:hAnsi="宋体" w:cs="宋体"/>
          <w:color w:val="000000"/>
          <w:sz w:val="24"/>
        </w:rPr>
        <w:t>合同履约期限：自合同签订之日起两年。</w:t>
      </w:r>
    </w:p>
    <w:p w14:paraId="211ED6CC">
      <w:pPr>
        <w:spacing w:line="360" w:lineRule="auto"/>
        <w:ind w:firstLine="480" w:firstLineChars="200"/>
        <w:rPr>
          <w:rFonts w:hint="eastAsia" w:ascii="宋体" w:hAnsi="宋体" w:cs="宋体"/>
          <w:color w:val="000000"/>
          <w:sz w:val="24"/>
        </w:rPr>
      </w:pPr>
      <w:r>
        <w:rPr>
          <w:rFonts w:ascii="宋体" w:hAnsi="宋体"/>
          <w:color w:val="000000"/>
          <w:sz w:val="24"/>
        </w:rPr>
        <w:t>本标项（</w:t>
      </w:r>
      <w:r>
        <w:rPr>
          <w:rFonts w:hint="eastAsia" w:ascii="宋体" w:hAnsi="宋体"/>
          <w:color w:val="000000"/>
          <w:sz w:val="24"/>
        </w:rPr>
        <w:t>否）</w:t>
      </w:r>
      <w:r>
        <w:rPr>
          <w:rFonts w:ascii="宋体" w:hAnsi="宋体"/>
          <w:color w:val="000000"/>
          <w:sz w:val="24"/>
        </w:rPr>
        <w:t>接受联合体投标</w:t>
      </w:r>
      <w:r>
        <w:rPr>
          <w:rFonts w:hint="eastAsia" w:ascii="宋体" w:hAnsi="宋体" w:cs="宋体"/>
          <w:color w:val="000000"/>
          <w:sz w:val="24"/>
        </w:rPr>
        <w:t>。 </w:t>
      </w:r>
    </w:p>
    <w:p w14:paraId="74F5BC0A">
      <w:pPr>
        <w:spacing w:line="360" w:lineRule="auto"/>
        <w:ind w:firstLine="480" w:firstLineChars="200"/>
        <w:rPr>
          <w:rFonts w:ascii="宋体" w:hAnsi="宋体" w:cs="宋体"/>
          <w:color w:val="000000"/>
          <w:sz w:val="24"/>
        </w:rPr>
      </w:pPr>
      <w:r>
        <w:rPr>
          <w:rFonts w:ascii="宋体" w:hAnsi="宋体"/>
          <w:color w:val="000000"/>
          <w:sz w:val="24"/>
        </w:rPr>
        <w:t>备注：</w:t>
      </w:r>
      <w:r>
        <w:rPr>
          <w:rFonts w:hint="eastAsia" w:ascii="宋体" w:hAnsi="宋体"/>
          <w:color w:val="000000"/>
          <w:sz w:val="24"/>
        </w:rPr>
        <w:t>/。</w:t>
      </w:r>
      <w:r>
        <w:rPr>
          <w:rFonts w:hint="eastAsia" w:ascii="宋体" w:hAnsi="宋体" w:cs="宋体"/>
          <w:color w:val="000000"/>
          <w:sz w:val="24"/>
        </w:rPr>
        <w:t> </w:t>
      </w:r>
    </w:p>
    <w:p w14:paraId="5FB4FEBE">
      <w:pPr>
        <w:spacing w:line="360" w:lineRule="auto"/>
        <w:ind w:firstLine="482" w:firstLineChars="200"/>
        <w:rPr>
          <w:rFonts w:ascii="宋体" w:hAnsi="宋体" w:cs="宋体"/>
          <w:b/>
          <w:bCs/>
          <w:color w:val="000000"/>
          <w:sz w:val="24"/>
        </w:rPr>
      </w:pPr>
      <w:r>
        <w:rPr>
          <w:rFonts w:hint="eastAsia" w:ascii="宋体" w:hAnsi="宋体" w:cs="宋体"/>
          <w:b/>
          <w:bCs/>
          <w:color w:val="000000"/>
          <w:sz w:val="24"/>
        </w:rPr>
        <w:t>二、申请人的资格要求：</w:t>
      </w:r>
    </w:p>
    <w:p w14:paraId="0FC22282">
      <w:pPr>
        <w:spacing w:line="360" w:lineRule="auto"/>
        <w:ind w:firstLine="480" w:firstLineChars="200"/>
        <w:rPr>
          <w:rFonts w:ascii="宋体" w:hAnsi="宋体" w:cs="宋体"/>
          <w:color w:val="000000"/>
          <w:sz w:val="24"/>
        </w:rPr>
      </w:pPr>
      <w:r>
        <w:rPr>
          <w:rFonts w:hint="eastAsia" w:ascii="宋体" w:hAnsi="宋体" w:cs="宋体"/>
          <w:color w:val="000000"/>
          <w:sz w:val="24"/>
        </w:rPr>
        <w:t>1.满足《中华人民共和国政府采购法》第二十二条规定；</w:t>
      </w:r>
    </w:p>
    <w:p w14:paraId="4B411135">
      <w:pPr>
        <w:spacing w:line="360" w:lineRule="auto"/>
        <w:ind w:firstLine="480" w:firstLineChars="200"/>
        <w:rPr>
          <w:rFonts w:ascii="宋体" w:hAnsi="宋体" w:cs="宋体"/>
          <w:color w:val="000000"/>
          <w:sz w:val="24"/>
        </w:rPr>
      </w:pPr>
      <w:r>
        <w:rPr>
          <w:rFonts w:hint="eastAsia" w:ascii="宋体" w:hAnsi="宋体" w:cs="宋体"/>
          <w:color w:val="000000"/>
          <w:sz w:val="24"/>
        </w:rPr>
        <w:t>2.落实政府采购政策需满足的资格要求：本项目属于专门面向</w:t>
      </w:r>
      <w:r>
        <w:rPr>
          <w:rFonts w:hint="eastAsia" w:ascii="宋体" w:hAnsi="宋体" w:cs="宋体"/>
          <w:color w:val="000000"/>
          <w:sz w:val="24"/>
          <w:lang w:val="en-US" w:eastAsia="zh-CN"/>
        </w:rPr>
        <w:t>中</w:t>
      </w:r>
      <w:r>
        <w:rPr>
          <w:rFonts w:hint="eastAsia" w:ascii="宋体" w:hAnsi="宋体" w:cs="宋体"/>
          <w:color w:val="000000"/>
          <w:sz w:val="24"/>
        </w:rPr>
        <w:t>小企业采购的项目,供应商应为</w:t>
      </w:r>
      <w:r>
        <w:rPr>
          <w:rFonts w:hint="eastAsia" w:ascii="宋体" w:hAnsi="宋体" w:cs="宋体"/>
          <w:color w:val="000000"/>
          <w:sz w:val="24"/>
          <w:lang w:val="en-US" w:eastAsia="zh-CN"/>
        </w:rPr>
        <w:t>中</w:t>
      </w:r>
      <w:r>
        <w:rPr>
          <w:rFonts w:hint="eastAsia" w:ascii="宋体" w:hAnsi="宋体" w:cs="宋体"/>
          <w:color w:val="000000"/>
          <w:sz w:val="24"/>
        </w:rPr>
        <w:t>小企业或监狱企业或残疾人福利性单位</w:t>
      </w:r>
      <w:r>
        <w:rPr>
          <w:rFonts w:hint="eastAsia"/>
        </w:rPr>
        <w:t>。</w:t>
      </w:r>
    </w:p>
    <w:p w14:paraId="7F6C1069">
      <w:pPr>
        <w:pStyle w:val="29"/>
        <w:spacing w:before="0" w:beforeAutospacing="0" w:after="0" w:afterAutospacing="0" w:line="360" w:lineRule="auto"/>
        <w:ind w:firstLine="480" w:firstLineChars="200"/>
        <w:rPr>
          <w:rFonts w:hint="eastAsia" w:hAnsi="宋体" w:cs="宋体"/>
          <w:color w:val="000000"/>
          <w:kern w:val="2"/>
          <w:lang w:val="en-US" w:eastAsia="zh-CN"/>
        </w:rPr>
      </w:pPr>
      <w:r>
        <w:rPr>
          <w:rFonts w:hint="eastAsia" w:hAnsi="宋体" w:cs="宋体"/>
          <w:color w:val="000000"/>
          <w:kern w:val="2"/>
        </w:rPr>
        <w:t>3.本项目的特定资格要求：</w:t>
      </w:r>
      <w:r>
        <w:rPr>
          <w:rFonts w:hint="eastAsia" w:hAnsi="宋体" w:cs="宋体"/>
          <w:color w:val="000000"/>
          <w:kern w:val="2"/>
          <w:lang w:val="en-US" w:eastAsia="zh-CN"/>
        </w:rPr>
        <w:t>供应商为经销商时须提供有效的《食品经营许可证》。</w:t>
      </w:r>
    </w:p>
    <w:p w14:paraId="7E06EAD7">
      <w:pPr>
        <w:spacing w:line="360" w:lineRule="auto"/>
        <w:ind w:firstLine="482" w:firstLineChars="200"/>
        <w:rPr>
          <w:rFonts w:ascii="宋体" w:hAnsi="宋体" w:cs="宋体"/>
          <w:b/>
          <w:bCs/>
          <w:color w:val="000000"/>
          <w:sz w:val="24"/>
        </w:rPr>
      </w:pPr>
      <w:r>
        <w:rPr>
          <w:rFonts w:hint="eastAsia" w:ascii="宋体" w:hAnsi="宋体" w:cs="宋体"/>
          <w:b/>
          <w:bCs/>
          <w:color w:val="000000"/>
          <w:sz w:val="24"/>
        </w:rPr>
        <w:t>三、获取采购文件</w:t>
      </w:r>
    </w:p>
    <w:p w14:paraId="476343DC">
      <w:pPr>
        <w:spacing w:line="360" w:lineRule="auto"/>
        <w:ind w:firstLine="480" w:firstLineChars="200"/>
        <w:rPr>
          <w:rFonts w:ascii="宋体" w:hAnsi="宋体" w:cs="宋体"/>
          <w:color w:val="000000"/>
          <w:sz w:val="24"/>
        </w:rPr>
      </w:pPr>
      <w:r>
        <w:rPr>
          <w:rFonts w:hint="eastAsia" w:ascii="宋体" w:hAnsi="宋体" w:cs="宋体"/>
          <w:color w:val="000000"/>
          <w:sz w:val="24"/>
        </w:rPr>
        <w:t>时间：</w:t>
      </w:r>
      <w:r>
        <w:rPr>
          <w:rFonts w:hint="eastAsia" w:ascii="宋体" w:hAnsi="宋体" w:cs="宋体"/>
          <w:color w:val="000000"/>
          <w:sz w:val="24"/>
          <w:lang w:eastAsia="zh-CN"/>
        </w:rPr>
        <w:t xml:space="preserve">2026 </w:t>
      </w:r>
      <w:r>
        <w:rPr>
          <w:rFonts w:hint="eastAsia" w:ascii="宋体" w:hAnsi="宋体" w:cs="宋体"/>
          <w:color w:val="000000"/>
          <w:sz w:val="24"/>
        </w:rPr>
        <w:t xml:space="preserve">年 </w:t>
      </w:r>
      <w:r>
        <w:rPr>
          <w:rFonts w:hint="eastAsia" w:ascii="宋体" w:hAnsi="宋体" w:cs="宋体"/>
          <w:color w:val="000000"/>
          <w:sz w:val="24"/>
          <w:lang w:val="en-US" w:eastAsia="zh-CN"/>
        </w:rPr>
        <w:t>7</w:t>
      </w:r>
      <w:r>
        <w:rPr>
          <w:rFonts w:hint="eastAsia" w:ascii="宋体" w:hAnsi="宋体" w:cs="宋体"/>
          <w:color w:val="000000"/>
          <w:sz w:val="24"/>
        </w:rPr>
        <w:t xml:space="preserve"> 月 </w:t>
      </w:r>
      <w:r>
        <w:rPr>
          <w:rFonts w:hint="eastAsia" w:ascii="宋体" w:hAnsi="宋体" w:cs="宋体"/>
          <w:color w:val="000000"/>
          <w:sz w:val="24"/>
          <w:lang w:val="en-US" w:eastAsia="zh-CN"/>
        </w:rPr>
        <w:t>13</w:t>
      </w:r>
      <w:r>
        <w:rPr>
          <w:rFonts w:hint="eastAsia" w:ascii="宋体" w:hAnsi="宋体" w:cs="宋体"/>
          <w:color w:val="000000"/>
          <w:sz w:val="24"/>
        </w:rPr>
        <w:t xml:space="preserve"> 日至</w:t>
      </w:r>
      <w:r>
        <w:rPr>
          <w:rFonts w:hint="eastAsia" w:ascii="宋体" w:hAnsi="宋体" w:cs="宋体"/>
          <w:color w:val="000000"/>
          <w:sz w:val="24"/>
          <w:lang w:eastAsia="zh-CN"/>
        </w:rPr>
        <w:t xml:space="preserve">2026 </w:t>
      </w:r>
      <w:r>
        <w:rPr>
          <w:rFonts w:hint="eastAsia" w:ascii="宋体" w:hAnsi="宋体" w:cs="宋体"/>
          <w:color w:val="000000"/>
          <w:sz w:val="24"/>
        </w:rPr>
        <w:t xml:space="preserve">年 </w:t>
      </w:r>
      <w:r>
        <w:rPr>
          <w:rFonts w:hint="eastAsia" w:ascii="宋体" w:hAnsi="宋体" w:cs="宋体"/>
          <w:color w:val="000000"/>
          <w:sz w:val="24"/>
          <w:lang w:val="en-US" w:eastAsia="zh-CN"/>
        </w:rPr>
        <w:t>7</w:t>
      </w:r>
      <w:r>
        <w:rPr>
          <w:rFonts w:hint="eastAsia" w:ascii="宋体" w:hAnsi="宋体" w:cs="宋体"/>
          <w:color w:val="000000"/>
          <w:sz w:val="24"/>
        </w:rPr>
        <w:t xml:space="preserve"> 月 </w:t>
      </w:r>
      <w:r>
        <w:rPr>
          <w:rFonts w:hint="eastAsia" w:ascii="宋体" w:hAnsi="宋体" w:cs="宋体"/>
          <w:color w:val="000000"/>
          <w:sz w:val="24"/>
          <w:lang w:val="en-US" w:eastAsia="zh-CN"/>
        </w:rPr>
        <w:t>20</w:t>
      </w:r>
      <w:r>
        <w:rPr>
          <w:rFonts w:hint="eastAsia" w:ascii="宋体" w:hAnsi="宋体" w:cs="宋体"/>
          <w:color w:val="000000"/>
          <w:sz w:val="24"/>
        </w:rPr>
        <w:t xml:space="preserve"> 日，每天上午00:00:00至12:00:00，下午12:00:00至23:59:59（北京时间，法定节假日除外）</w:t>
      </w:r>
    </w:p>
    <w:p w14:paraId="4BE6B2E4">
      <w:pPr>
        <w:spacing w:line="360" w:lineRule="auto"/>
        <w:ind w:firstLine="480" w:firstLineChars="200"/>
        <w:rPr>
          <w:rFonts w:ascii="宋体" w:hAnsi="宋体" w:cs="宋体"/>
          <w:color w:val="000000"/>
          <w:sz w:val="24"/>
        </w:rPr>
      </w:pPr>
      <w:r>
        <w:rPr>
          <w:rFonts w:hint="eastAsia" w:ascii="宋体" w:hAnsi="宋体" w:cs="宋体"/>
          <w:color w:val="000000"/>
          <w:sz w:val="24"/>
        </w:rPr>
        <w:t>地点：广西政府采购云平台（https://www.gcy.zfcg.gxzf.gov.cn/）  </w:t>
      </w:r>
    </w:p>
    <w:p w14:paraId="0E9681BC">
      <w:pPr>
        <w:spacing w:line="360" w:lineRule="auto"/>
        <w:ind w:firstLine="480" w:firstLineChars="200"/>
        <w:rPr>
          <w:rFonts w:ascii="宋体" w:hAnsi="宋体" w:cs="宋体"/>
          <w:color w:val="000000"/>
          <w:sz w:val="24"/>
        </w:rPr>
      </w:pPr>
      <w:r>
        <w:rPr>
          <w:rFonts w:hint="eastAsia" w:ascii="宋体" w:hAnsi="宋体" w:cs="宋体"/>
          <w:color w:val="000000"/>
          <w:sz w:val="24"/>
        </w:rPr>
        <w:t>方式：网上下载。本项目不发放纸质采购文件，潜在供应商可自行在广西政府采购云平台（https://www.gcy.zfcg.gxzf.gov.cn/）下载采购文件（操作路径：登录广西政府采购云平台-项目采购-获取采购文件-找到本项目-点击“申请获取采购文件”），电子响应文件制作需要基于广西政府采购云平台获取的采购文件编制。 </w:t>
      </w:r>
    </w:p>
    <w:p w14:paraId="144ADE86">
      <w:pPr>
        <w:spacing w:line="360" w:lineRule="auto"/>
        <w:ind w:firstLine="480" w:firstLineChars="200"/>
        <w:rPr>
          <w:rFonts w:ascii="宋体" w:hAnsi="宋体" w:cs="宋体"/>
          <w:color w:val="000000"/>
          <w:sz w:val="24"/>
        </w:rPr>
      </w:pPr>
      <w:r>
        <w:rPr>
          <w:rFonts w:hint="eastAsia" w:ascii="宋体" w:hAnsi="宋体" w:cs="宋体"/>
          <w:color w:val="000000"/>
          <w:sz w:val="24"/>
        </w:rPr>
        <w:t>售价（元）：0 </w:t>
      </w:r>
    </w:p>
    <w:p w14:paraId="4302DC32">
      <w:pPr>
        <w:spacing w:line="360" w:lineRule="auto"/>
        <w:ind w:firstLine="482" w:firstLineChars="200"/>
        <w:rPr>
          <w:rFonts w:ascii="宋体" w:hAnsi="宋体" w:cs="宋体"/>
          <w:b/>
          <w:bCs/>
          <w:color w:val="000000"/>
          <w:sz w:val="24"/>
        </w:rPr>
      </w:pPr>
      <w:r>
        <w:rPr>
          <w:rFonts w:hint="eastAsia" w:ascii="宋体" w:hAnsi="宋体" w:cs="宋体"/>
          <w:b/>
          <w:bCs/>
          <w:color w:val="000000"/>
          <w:sz w:val="24"/>
        </w:rPr>
        <w:t>四、响应文件提交 </w:t>
      </w:r>
    </w:p>
    <w:p w14:paraId="3F3A3EEE">
      <w:pPr>
        <w:spacing w:line="360" w:lineRule="auto"/>
        <w:ind w:firstLine="480" w:firstLineChars="200"/>
        <w:rPr>
          <w:rFonts w:ascii="宋体" w:hAnsi="宋体" w:cs="宋体"/>
          <w:color w:val="000000"/>
          <w:sz w:val="24"/>
        </w:rPr>
      </w:pPr>
      <w:r>
        <w:rPr>
          <w:rFonts w:hint="eastAsia" w:ascii="宋体" w:hAnsi="宋体" w:cs="宋体"/>
          <w:color w:val="000000"/>
          <w:sz w:val="24"/>
        </w:rPr>
        <w:t>截止时间：</w:t>
      </w:r>
      <w:r>
        <w:rPr>
          <w:rFonts w:hint="eastAsia" w:ascii="宋体" w:hAnsi="宋体" w:cs="宋体"/>
          <w:color w:val="000000"/>
          <w:sz w:val="24"/>
          <w:lang w:eastAsia="zh-CN"/>
        </w:rPr>
        <w:t xml:space="preserve">2026 </w:t>
      </w:r>
      <w:r>
        <w:rPr>
          <w:rFonts w:hint="eastAsia" w:ascii="宋体" w:hAnsi="宋体" w:cs="宋体"/>
          <w:color w:val="000000"/>
          <w:sz w:val="24"/>
        </w:rPr>
        <w:t>年</w:t>
      </w:r>
      <w:r>
        <w:rPr>
          <w:rFonts w:hint="eastAsia" w:ascii="宋体" w:hAnsi="宋体" w:cs="宋体"/>
          <w:color w:val="000000"/>
          <w:sz w:val="24"/>
          <w:szCs w:val="24"/>
        </w:rPr>
        <w:t xml:space="preserve"> </w:t>
      </w:r>
      <w:r>
        <w:rPr>
          <w:rFonts w:hint="eastAsia" w:ascii="宋体" w:hAnsi="宋体" w:cs="宋体"/>
          <w:color w:val="000000"/>
          <w:sz w:val="24"/>
          <w:szCs w:val="24"/>
          <w:lang w:val="en-US" w:eastAsia="zh-CN"/>
        </w:rPr>
        <w:t>7</w:t>
      </w:r>
      <w:r>
        <w:rPr>
          <w:rFonts w:hint="eastAsia" w:ascii="宋体" w:hAnsi="宋体" w:cs="宋体"/>
          <w:color w:val="000000"/>
          <w:sz w:val="24"/>
          <w:szCs w:val="24"/>
        </w:rPr>
        <w:t xml:space="preserve"> 月 </w:t>
      </w:r>
      <w:r>
        <w:rPr>
          <w:rFonts w:hint="eastAsia" w:ascii="宋体" w:hAnsi="宋体" w:cs="宋体"/>
          <w:color w:val="000000"/>
          <w:sz w:val="24"/>
          <w:szCs w:val="24"/>
          <w:lang w:val="en-US" w:eastAsia="zh-CN"/>
        </w:rPr>
        <w:t>24</w:t>
      </w:r>
      <w:r>
        <w:rPr>
          <w:rFonts w:hint="eastAsia" w:ascii="宋体" w:hAnsi="宋体" w:cs="宋体"/>
          <w:color w:val="000000"/>
          <w:sz w:val="24"/>
          <w:szCs w:val="24"/>
        </w:rPr>
        <w:t xml:space="preserve"> </w:t>
      </w:r>
      <w:r>
        <w:rPr>
          <w:rFonts w:hint="eastAsia" w:ascii="宋体" w:hAnsi="宋体" w:cs="宋体"/>
          <w:color w:val="000000"/>
          <w:sz w:val="24"/>
        </w:rPr>
        <w:t>日 09:30（北京时间）</w:t>
      </w:r>
    </w:p>
    <w:p w14:paraId="7CC325E4">
      <w:pPr>
        <w:spacing w:line="360" w:lineRule="auto"/>
        <w:ind w:firstLine="480" w:firstLineChars="200"/>
        <w:rPr>
          <w:rFonts w:ascii="宋体" w:hAnsi="宋体" w:cs="宋体"/>
          <w:color w:val="000000"/>
          <w:sz w:val="24"/>
        </w:rPr>
      </w:pPr>
      <w:r>
        <w:rPr>
          <w:rFonts w:hint="eastAsia" w:ascii="宋体" w:hAnsi="宋体" w:cs="宋体"/>
          <w:color w:val="000000"/>
          <w:sz w:val="24"/>
        </w:rPr>
        <w:t>地点：通过政采云平台实行在线投标响应 </w:t>
      </w:r>
    </w:p>
    <w:p w14:paraId="6FBC6C9F">
      <w:pPr>
        <w:spacing w:line="360" w:lineRule="auto"/>
        <w:ind w:firstLine="482" w:firstLineChars="200"/>
        <w:rPr>
          <w:rFonts w:ascii="宋体" w:hAnsi="宋体" w:cs="宋体"/>
          <w:color w:val="000000"/>
          <w:sz w:val="24"/>
        </w:rPr>
      </w:pPr>
      <w:r>
        <w:rPr>
          <w:rFonts w:hint="eastAsia" w:ascii="宋体" w:hAnsi="宋体" w:cs="宋体"/>
          <w:b/>
          <w:bCs/>
          <w:color w:val="000000"/>
          <w:sz w:val="24"/>
        </w:rPr>
        <w:t>五、响应文件开启</w:t>
      </w:r>
    </w:p>
    <w:p w14:paraId="7B26250F">
      <w:pPr>
        <w:spacing w:line="360" w:lineRule="auto"/>
        <w:ind w:firstLine="480" w:firstLineChars="200"/>
        <w:rPr>
          <w:rFonts w:ascii="宋体" w:hAnsi="宋体" w:cs="宋体"/>
          <w:color w:val="000000"/>
          <w:sz w:val="24"/>
        </w:rPr>
      </w:pPr>
      <w:r>
        <w:rPr>
          <w:rFonts w:hint="eastAsia" w:ascii="宋体" w:hAnsi="宋体" w:cs="宋体"/>
          <w:color w:val="000000"/>
          <w:sz w:val="24"/>
        </w:rPr>
        <w:t>开启时间：</w:t>
      </w:r>
      <w:r>
        <w:rPr>
          <w:rFonts w:hint="eastAsia" w:ascii="宋体" w:hAnsi="宋体" w:cs="宋体"/>
          <w:color w:val="000000"/>
          <w:sz w:val="24"/>
          <w:lang w:eastAsia="zh-CN"/>
        </w:rPr>
        <w:t xml:space="preserve">2026 </w:t>
      </w:r>
      <w:r>
        <w:rPr>
          <w:rFonts w:hint="eastAsia" w:ascii="宋体" w:hAnsi="宋体" w:cs="宋体"/>
          <w:color w:val="000000"/>
          <w:sz w:val="24"/>
        </w:rPr>
        <w:t>年</w:t>
      </w:r>
      <w:r>
        <w:rPr>
          <w:rFonts w:hint="eastAsia" w:ascii="宋体" w:hAnsi="宋体" w:cs="宋体"/>
          <w:color w:val="000000"/>
          <w:sz w:val="24"/>
          <w:szCs w:val="24"/>
        </w:rPr>
        <w:t xml:space="preserve"> </w:t>
      </w:r>
      <w:r>
        <w:rPr>
          <w:rFonts w:hint="eastAsia" w:ascii="宋体" w:hAnsi="宋体" w:cs="宋体"/>
          <w:color w:val="000000"/>
          <w:sz w:val="24"/>
          <w:szCs w:val="24"/>
          <w:lang w:val="en-US" w:eastAsia="zh-CN"/>
        </w:rPr>
        <w:t>7</w:t>
      </w:r>
      <w:r>
        <w:rPr>
          <w:rFonts w:hint="eastAsia" w:ascii="宋体" w:hAnsi="宋体" w:cs="宋体"/>
          <w:color w:val="000000"/>
          <w:sz w:val="24"/>
          <w:szCs w:val="24"/>
        </w:rPr>
        <w:t xml:space="preserve"> 月 </w:t>
      </w:r>
      <w:r>
        <w:rPr>
          <w:rFonts w:hint="eastAsia" w:ascii="宋体" w:hAnsi="宋体" w:cs="宋体"/>
          <w:color w:val="000000"/>
          <w:sz w:val="24"/>
          <w:szCs w:val="24"/>
          <w:lang w:val="en-US" w:eastAsia="zh-CN"/>
        </w:rPr>
        <w:t>24</w:t>
      </w:r>
      <w:r>
        <w:rPr>
          <w:rFonts w:hint="eastAsia" w:ascii="宋体" w:hAnsi="宋体" w:cs="宋体"/>
          <w:color w:val="000000"/>
          <w:sz w:val="24"/>
          <w:szCs w:val="24"/>
        </w:rPr>
        <w:t xml:space="preserve"> </w:t>
      </w:r>
      <w:r>
        <w:rPr>
          <w:rFonts w:hint="eastAsia" w:ascii="宋体" w:hAnsi="宋体" w:cs="宋体"/>
          <w:color w:val="000000"/>
          <w:sz w:val="24"/>
        </w:rPr>
        <w:t>日 09:30（北京时间）</w:t>
      </w:r>
    </w:p>
    <w:p w14:paraId="1288AF69">
      <w:pPr>
        <w:spacing w:line="360" w:lineRule="auto"/>
        <w:ind w:firstLine="480" w:firstLineChars="200"/>
        <w:rPr>
          <w:rFonts w:ascii="宋体" w:hAnsi="宋体" w:cs="宋体"/>
          <w:color w:val="000000"/>
          <w:sz w:val="24"/>
        </w:rPr>
      </w:pPr>
      <w:r>
        <w:rPr>
          <w:rFonts w:hint="eastAsia" w:ascii="宋体" w:hAnsi="宋体" w:cs="宋体"/>
          <w:color w:val="000000"/>
          <w:sz w:val="24"/>
        </w:rPr>
        <w:t>地点：通过政采云平台实行在线解密开启 </w:t>
      </w:r>
    </w:p>
    <w:p w14:paraId="59C3F7F9">
      <w:pPr>
        <w:spacing w:line="360" w:lineRule="auto"/>
        <w:ind w:firstLine="482" w:firstLineChars="200"/>
        <w:rPr>
          <w:rFonts w:ascii="宋体" w:hAnsi="宋体" w:cs="宋体"/>
          <w:b/>
          <w:bCs/>
          <w:color w:val="000000"/>
          <w:sz w:val="24"/>
        </w:rPr>
      </w:pPr>
      <w:r>
        <w:rPr>
          <w:rFonts w:hint="eastAsia" w:ascii="宋体" w:hAnsi="宋体" w:cs="宋体"/>
          <w:b/>
          <w:bCs/>
          <w:color w:val="000000"/>
          <w:sz w:val="24"/>
        </w:rPr>
        <w:t>六、公告期限</w:t>
      </w:r>
    </w:p>
    <w:p w14:paraId="0DE04DD7">
      <w:pPr>
        <w:spacing w:line="360" w:lineRule="auto"/>
        <w:ind w:firstLine="480" w:firstLineChars="200"/>
        <w:rPr>
          <w:rFonts w:ascii="宋体" w:hAnsi="宋体" w:cs="宋体"/>
          <w:color w:val="000000"/>
          <w:sz w:val="24"/>
        </w:rPr>
      </w:pPr>
      <w:r>
        <w:rPr>
          <w:rFonts w:hint="eastAsia" w:ascii="宋体" w:hAnsi="宋体" w:cs="宋体"/>
          <w:color w:val="000000"/>
          <w:sz w:val="24"/>
        </w:rPr>
        <w:t>自本公告发布之日起5个工作日。</w:t>
      </w:r>
    </w:p>
    <w:p w14:paraId="0C760EF8">
      <w:pPr>
        <w:spacing w:line="360" w:lineRule="auto"/>
        <w:ind w:firstLine="482" w:firstLineChars="200"/>
        <w:rPr>
          <w:rFonts w:ascii="宋体" w:hAnsi="宋体" w:cs="宋体"/>
          <w:color w:val="000000"/>
          <w:sz w:val="24"/>
        </w:rPr>
      </w:pPr>
      <w:r>
        <w:rPr>
          <w:rFonts w:hint="eastAsia" w:ascii="宋体" w:hAnsi="宋体" w:cs="宋体"/>
          <w:b/>
          <w:bCs/>
          <w:color w:val="000000"/>
          <w:sz w:val="24"/>
        </w:rPr>
        <w:t>七、其他补充事宜</w:t>
      </w:r>
      <w:r>
        <w:rPr>
          <w:rFonts w:hint="eastAsia" w:ascii="宋体" w:hAnsi="宋体" w:cs="宋体"/>
          <w:color w:val="000000"/>
          <w:sz w:val="24"/>
        </w:rPr>
        <w:t> </w:t>
      </w:r>
    </w:p>
    <w:p w14:paraId="6617ECE4">
      <w:pPr>
        <w:spacing w:line="360" w:lineRule="auto"/>
        <w:ind w:firstLine="480" w:firstLineChars="200"/>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1.本项目需缴纳磋商保证金</w:t>
      </w:r>
      <w:r>
        <w:rPr>
          <w:rFonts w:hint="eastAsia" w:asciiTheme="minorEastAsia" w:hAnsiTheme="minorEastAsia" w:eastAsiaTheme="minorEastAsia" w:cstheme="minorEastAsia"/>
          <w:color w:val="000000"/>
          <w:sz w:val="24"/>
          <w:szCs w:val="24"/>
          <w:lang w:eastAsia="zh-CN"/>
        </w:rPr>
        <w:t>，</w:t>
      </w:r>
      <w:r>
        <w:rPr>
          <w:rFonts w:hint="eastAsia" w:asciiTheme="minorEastAsia" w:hAnsiTheme="minorEastAsia" w:eastAsiaTheme="minorEastAsia" w:cstheme="minorEastAsia"/>
          <w:sz w:val="24"/>
          <w:szCs w:val="24"/>
          <w:highlight w:val="none"/>
        </w:rPr>
        <w:t>人民币</w:t>
      </w:r>
      <w:r>
        <w:rPr>
          <w:rFonts w:hint="eastAsia" w:asciiTheme="minorEastAsia" w:hAnsiTheme="minorEastAsia" w:eastAsiaTheme="minorEastAsia" w:cstheme="minorEastAsia"/>
          <w:sz w:val="24"/>
          <w:szCs w:val="24"/>
          <w:highlight w:val="none"/>
          <w:lang w:val="en-US" w:eastAsia="zh-CN"/>
        </w:rPr>
        <w:t>贰万</w:t>
      </w:r>
      <w:r>
        <w:rPr>
          <w:rFonts w:hint="eastAsia" w:asciiTheme="minorEastAsia" w:hAnsiTheme="minorEastAsia" w:eastAsiaTheme="minorEastAsia" w:cstheme="minorEastAsia"/>
          <w:sz w:val="24"/>
          <w:szCs w:val="24"/>
          <w:highlight w:val="none"/>
        </w:rPr>
        <w:t>元整（￥</w:t>
      </w:r>
      <w:r>
        <w:rPr>
          <w:rFonts w:hint="eastAsia" w:asciiTheme="minorEastAsia" w:hAnsiTheme="minorEastAsia" w:eastAsiaTheme="minorEastAsia" w:cstheme="minorEastAsia"/>
          <w:sz w:val="24"/>
          <w:szCs w:val="24"/>
          <w:highlight w:val="none"/>
          <w:lang w:val="en-US" w:eastAsia="zh-CN"/>
        </w:rPr>
        <w:t>20</w:t>
      </w:r>
      <w:r>
        <w:rPr>
          <w:rFonts w:hint="eastAsia" w:asciiTheme="minorEastAsia" w:hAnsiTheme="minorEastAsia" w:eastAsiaTheme="minorEastAsia" w:cstheme="minorEastAsia"/>
          <w:sz w:val="24"/>
          <w:szCs w:val="24"/>
          <w:highlight w:val="none"/>
        </w:rPr>
        <w:t>000.00元）</w:t>
      </w:r>
      <w:r>
        <w:rPr>
          <w:rFonts w:hint="eastAsia" w:asciiTheme="minorEastAsia" w:hAnsiTheme="minorEastAsia" w:eastAsiaTheme="minorEastAsia" w:cstheme="minorEastAsia"/>
          <w:color w:val="000000"/>
          <w:sz w:val="24"/>
          <w:szCs w:val="24"/>
        </w:rPr>
        <w:t>。</w:t>
      </w:r>
    </w:p>
    <w:p w14:paraId="5CE2D7C2">
      <w:pPr>
        <w:spacing w:line="360" w:lineRule="auto"/>
        <w:ind w:firstLine="480" w:firstLineChars="200"/>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2. 信 息 公 告 发 布 媒 体 ：http://www.ccgp.gov.cn(中国政府采购网)，http://zfcg.gxzf.gov.cn(广西政府采购网)。</w:t>
      </w:r>
    </w:p>
    <w:p w14:paraId="45B64F1E">
      <w:pPr>
        <w:spacing w:line="360" w:lineRule="auto"/>
        <w:ind w:firstLine="480" w:firstLineChars="200"/>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xml:space="preserve">3.本项目需要落实的政府采购政策 </w:t>
      </w:r>
    </w:p>
    <w:p w14:paraId="4D1FB3F8">
      <w:pPr>
        <w:spacing w:line="360" w:lineRule="auto"/>
        <w:ind w:firstLine="480" w:firstLineChars="200"/>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xml:space="preserve">（1）政府采购促进中小企业发展。 </w:t>
      </w:r>
    </w:p>
    <w:p w14:paraId="3F16D469">
      <w:pPr>
        <w:spacing w:line="360" w:lineRule="auto"/>
        <w:ind w:firstLine="480" w:firstLineChars="200"/>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xml:space="preserve">（2）政府采购支持监狱企业发展。 </w:t>
      </w:r>
    </w:p>
    <w:p w14:paraId="7441F881">
      <w:pPr>
        <w:spacing w:line="360" w:lineRule="auto"/>
        <w:ind w:firstLine="480" w:firstLineChars="200"/>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xml:space="preserve">（3）政府采购促进残疾人就业政策。 </w:t>
      </w:r>
    </w:p>
    <w:p w14:paraId="7C25E041">
      <w:pPr>
        <w:spacing w:line="360" w:lineRule="auto"/>
        <w:ind w:firstLine="480" w:firstLineChars="200"/>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xml:space="preserve">（4）本项目专门面向中小微企业采购。 </w:t>
      </w:r>
    </w:p>
    <w:p w14:paraId="5CAE7BB3">
      <w:pPr>
        <w:spacing w:line="360" w:lineRule="auto"/>
        <w:ind w:firstLine="480" w:firstLineChars="200"/>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（5）本项目中小企业划分标准所属行业：“批发业”。</w:t>
      </w:r>
    </w:p>
    <w:p w14:paraId="1F23413D">
      <w:pPr>
        <w:spacing w:line="360" w:lineRule="auto"/>
        <w:ind w:firstLine="480" w:firstLineChars="200"/>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xml:space="preserve">4.“广西政府采购云平台”平台电子投标相关事宜说明： </w:t>
      </w:r>
    </w:p>
    <w:p w14:paraId="50591336">
      <w:pPr>
        <w:spacing w:line="360" w:lineRule="auto"/>
        <w:ind w:firstLine="480" w:firstLineChars="200"/>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（1）本项目为全流程电子化采购项目，通过“广西政府采购云平台”</w:t>
      </w:r>
    </w:p>
    <w:p w14:paraId="31EB867B">
      <w:pPr>
        <w:spacing w:line="360" w:lineRule="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https://www.gcy.zfcg.gxzf.gov.cn/）实行在线电子竞标，供应商应先安装“广西政府采购云平台新版客户端”（新版客户端下载路径：请自行前往广西政府采购网（访问地址http://zfcg.gxzf.gov.cn/）—办事服务—下载专区），并按照本项目竞争性磋商文件和“广西政府采购云平台”的要求编制、加密后在竞标截止时间前通过网络上传至 “广西政府采购云平台”，供应商在“广西政府采购云平台”提交电子响应文件时，请填写参加远程开标活动经办人联系方式。供应商登录“广西政府采购云平台”，依次进入“服务中心-项目采购-操作流程-电子招投标-政府采购项目电子交易管理操作指南-供应商”查看电子竞标具体操作流程。</w:t>
      </w:r>
    </w:p>
    <w:p w14:paraId="69AC7C22">
      <w:pPr>
        <w:spacing w:line="360" w:lineRule="auto"/>
        <w:ind w:firstLine="480" w:firstLineChars="200"/>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2）未进行网上注册并办理数字证书（CA认证）的供应商将无法参与本项目政府采购活动，供应商应当在竞标截止时间前，完成电子交易平台上的CA数字证书办理及响应文件的提交（供应商可登录“广西政府采购网”，依次进入“办事服务-下载专区”或者登陆“广西政府采购云平台”，依次进入“服务中心-入驻与配置”中查看CA数字证书办理操作流程。如在操作过程中遇到问题或者需要技术支持，请致电广西政府采购云平台客服热线：95763）。</w:t>
      </w:r>
    </w:p>
    <w:p w14:paraId="2FD0EC45">
      <w:pPr>
        <w:spacing w:line="360" w:lineRule="auto"/>
        <w:ind w:firstLine="480" w:firstLineChars="200"/>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（3）CA证书在线解密：供应商竞标时，需凭制作响应文件时用来加密的有效数字证书（CA认证）登录“广西政府采购云平台”电子开标大厅现场按规定时间对加密的响应文件进行解密，否则后果自负。</w:t>
      </w:r>
    </w:p>
    <w:p w14:paraId="7840E705">
      <w:pPr>
        <w:spacing w:line="360" w:lineRule="auto"/>
        <w:ind w:firstLine="480" w:firstLineChars="200"/>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注：1）为确保网上操作合法、有效和安全，请供应商确保在电子投标过程中能够对相关数据电文进行加密和使用电子签章，妥善保管CA数字证书并使用有效的CA数字证书参与整个采购活动。2）供应商应当在竞标截止时间前完成电子响应文件的上传、提交，竞标截止时间前可以补充、修改或者撤回响应文件。补充或者修改响应文件的，应当先行撤回原响应文件，补充、修改后重新上传、提交，提交响应文件截止时间前未完成上传、提交的，视为撤回响应文件。提交响应文件截止时间以后上传递交的响应文件，“广西政府采购云平台”将予以拒收。</w:t>
      </w:r>
    </w:p>
    <w:p w14:paraId="7F021E1C">
      <w:pPr>
        <w:spacing w:line="360" w:lineRule="auto"/>
        <w:ind w:firstLine="480" w:firstLineChars="200"/>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（4）供应商需要在具备有摄像头及语音功能且互联网网络状况良好的电脑登录“广西政府采购云平台”远程开标大厅参与本次磋商，否则后果自负。</w:t>
      </w:r>
    </w:p>
    <w:p w14:paraId="7B967DBD">
      <w:pPr>
        <w:spacing w:line="360" w:lineRule="auto"/>
        <w:ind w:firstLine="480" w:firstLineChars="200"/>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5）若对项目采购电子交易系统操作有疑问，可登录“广西政府采购云平台”（https://www.gcy.zfcg.gxzf.gov.cn/），点击右侧咨询小采，获取采小蜜智能服务管家帮助，或拨打广西政府采购云平台服务热线95763获取热线服务帮助。</w:t>
      </w:r>
    </w:p>
    <w:p w14:paraId="33CCCF18">
      <w:pPr>
        <w:spacing w:line="360" w:lineRule="auto"/>
        <w:ind w:firstLine="480" w:firstLineChars="200"/>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5.监督部门：自治区财政厅     联系方式：0771-5331810</w:t>
      </w:r>
    </w:p>
    <w:p w14:paraId="769CD8E0">
      <w:pPr>
        <w:spacing w:line="360" w:lineRule="auto"/>
        <w:ind w:firstLine="482" w:firstLineChars="200"/>
        <w:rPr>
          <w:rFonts w:ascii="宋体" w:hAnsi="宋体" w:cs="宋体"/>
          <w:b/>
          <w:bCs/>
          <w:color w:val="000000"/>
          <w:sz w:val="24"/>
        </w:rPr>
      </w:pPr>
      <w:r>
        <w:rPr>
          <w:rFonts w:hint="eastAsia" w:ascii="宋体" w:hAnsi="宋体" w:cs="宋体"/>
          <w:b/>
          <w:bCs/>
          <w:color w:val="000000"/>
          <w:sz w:val="24"/>
        </w:rPr>
        <w:t>八、凡对本次采购提出询问，请按以下方式联系</w:t>
      </w:r>
    </w:p>
    <w:p w14:paraId="4875E474">
      <w:pPr>
        <w:spacing w:line="360" w:lineRule="auto"/>
        <w:ind w:firstLine="480" w:firstLineChars="200"/>
        <w:rPr>
          <w:rFonts w:ascii="宋体" w:hAnsi="宋体" w:cs="宋体"/>
          <w:color w:val="000000"/>
          <w:sz w:val="24"/>
        </w:rPr>
      </w:pPr>
      <w:r>
        <w:rPr>
          <w:rFonts w:hint="eastAsia" w:ascii="宋体" w:hAnsi="宋体" w:cs="宋体"/>
          <w:color w:val="000000"/>
          <w:sz w:val="24"/>
        </w:rPr>
        <w:t>1.采购人信息</w:t>
      </w:r>
    </w:p>
    <w:p w14:paraId="33BB376C">
      <w:pPr>
        <w:spacing w:line="360" w:lineRule="auto"/>
        <w:ind w:firstLine="480" w:firstLineChars="200"/>
        <w:rPr>
          <w:rFonts w:hint="eastAsia" w:ascii="宋体" w:hAnsi="宋体" w:eastAsia="宋体" w:cs="宋体"/>
          <w:color w:val="000000"/>
          <w:sz w:val="24"/>
          <w:lang w:eastAsia="zh-CN"/>
        </w:rPr>
      </w:pPr>
      <w:r>
        <w:rPr>
          <w:rFonts w:hint="eastAsia" w:ascii="宋体" w:hAnsi="宋体" w:cs="宋体"/>
          <w:color w:val="000000"/>
          <w:sz w:val="24"/>
        </w:rPr>
        <w:t>名      称：</w:t>
      </w:r>
      <w:r>
        <w:rPr>
          <w:rFonts w:hint="eastAsia" w:ascii="宋体" w:hAnsi="宋体" w:cs="宋体"/>
          <w:color w:val="000000"/>
          <w:sz w:val="24"/>
          <w:lang w:eastAsia="zh-CN"/>
        </w:rPr>
        <w:t>广西医科大学第一附属医院</w:t>
      </w:r>
    </w:p>
    <w:p w14:paraId="386DB5A6">
      <w:pPr>
        <w:spacing w:line="360" w:lineRule="auto"/>
        <w:ind w:firstLine="480" w:firstLineChars="200"/>
        <w:rPr>
          <w:rFonts w:hint="eastAsia" w:ascii="宋体" w:hAnsi="宋体" w:cs="宋体"/>
          <w:color w:val="000000"/>
          <w:sz w:val="24"/>
        </w:rPr>
      </w:pPr>
      <w:r>
        <w:rPr>
          <w:rFonts w:hint="eastAsia" w:ascii="宋体" w:hAnsi="宋体" w:cs="宋体"/>
          <w:color w:val="000000"/>
          <w:sz w:val="24"/>
        </w:rPr>
        <w:t>地      址：广西南宁市双拥路</w:t>
      </w:r>
      <w:r>
        <w:rPr>
          <w:rFonts w:hint="eastAsia" w:ascii="宋体" w:hAnsi="宋体" w:cs="宋体"/>
          <w:color w:val="000000"/>
          <w:sz w:val="24"/>
          <w:lang w:val="en-US" w:eastAsia="zh-CN"/>
        </w:rPr>
        <w:t>6</w:t>
      </w:r>
      <w:r>
        <w:rPr>
          <w:rFonts w:hint="eastAsia" w:ascii="宋体" w:hAnsi="宋体" w:cs="宋体"/>
          <w:color w:val="000000"/>
          <w:sz w:val="24"/>
        </w:rPr>
        <w:t>号</w:t>
      </w:r>
    </w:p>
    <w:p w14:paraId="54B2A43D">
      <w:pPr>
        <w:spacing w:line="360" w:lineRule="auto"/>
        <w:ind w:firstLine="480" w:firstLineChars="200"/>
        <w:rPr>
          <w:rFonts w:hint="default" w:ascii="宋体" w:hAnsi="宋体" w:eastAsia="宋体" w:cs="宋体"/>
          <w:color w:val="000000"/>
          <w:sz w:val="24"/>
          <w:lang w:val="en-US" w:eastAsia="zh-CN"/>
        </w:rPr>
      </w:pPr>
      <w:r>
        <w:rPr>
          <w:rFonts w:hint="eastAsia" w:ascii="宋体" w:hAnsi="宋体" w:cs="宋体"/>
          <w:color w:val="000000"/>
          <w:sz w:val="24"/>
        </w:rPr>
        <w:t>项目联系人：胡</w:t>
      </w:r>
      <w:r>
        <w:rPr>
          <w:rFonts w:hint="eastAsia" w:ascii="宋体" w:hAnsi="宋体" w:cs="宋体"/>
          <w:color w:val="000000"/>
          <w:sz w:val="24"/>
          <w:lang w:val="en-US" w:eastAsia="zh-CN"/>
        </w:rPr>
        <w:t>春燕</w:t>
      </w:r>
    </w:p>
    <w:p w14:paraId="34C3A9F7">
      <w:pPr>
        <w:spacing w:line="360" w:lineRule="auto"/>
        <w:ind w:firstLine="480" w:firstLineChars="200"/>
        <w:rPr>
          <w:rFonts w:ascii="宋体" w:hAnsi="宋体" w:cs="宋体"/>
          <w:color w:val="000000"/>
          <w:sz w:val="24"/>
        </w:rPr>
      </w:pPr>
      <w:r>
        <w:rPr>
          <w:rFonts w:hint="eastAsia" w:ascii="宋体" w:hAnsi="宋体" w:cs="宋体"/>
          <w:color w:val="000000"/>
          <w:sz w:val="24"/>
        </w:rPr>
        <w:t>项目联系方式：0771-5634385</w:t>
      </w:r>
    </w:p>
    <w:p w14:paraId="0F66B7CA">
      <w:pPr>
        <w:spacing w:line="360" w:lineRule="auto"/>
        <w:ind w:firstLine="480" w:firstLineChars="200"/>
        <w:rPr>
          <w:rFonts w:ascii="宋体" w:hAnsi="宋体" w:cs="宋体"/>
          <w:color w:val="000000"/>
          <w:sz w:val="24"/>
        </w:rPr>
      </w:pPr>
      <w:r>
        <w:rPr>
          <w:rFonts w:hint="eastAsia" w:ascii="宋体" w:hAnsi="宋体" w:cs="宋体"/>
          <w:color w:val="000000"/>
          <w:sz w:val="24"/>
        </w:rPr>
        <w:t>2.采购代理机构信息</w:t>
      </w:r>
    </w:p>
    <w:p w14:paraId="4E29B550">
      <w:pPr>
        <w:spacing w:line="360" w:lineRule="auto"/>
        <w:ind w:firstLine="480" w:firstLineChars="200"/>
        <w:rPr>
          <w:rFonts w:ascii="宋体" w:hAnsi="宋体" w:cs="宋体"/>
          <w:color w:val="000000"/>
          <w:sz w:val="24"/>
        </w:rPr>
      </w:pPr>
      <w:r>
        <w:rPr>
          <w:rFonts w:hint="eastAsia" w:ascii="宋体" w:hAnsi="宋体" w:cs="宋体"/>
          <w:color w:val="000000"/>
          <w:sz w:val="24"/>
        </w:rPr>
        <w:t>名    称：广西德元工程项目管理有限责任公司</w:t>
      </w:r>
      <w:r>
        <w:rPr>
          <w:rFonts w:ascii="宋体" w:hAnsi="宋体" w:cs="宋体"/>
          <w:color w:val="000000"/>
          <w:sz w:val="24"/>
        </w:rPr>
        <w:t> </w:t>
      </w:r>
    </w:p>
    <w:p w14:paraId="70E831F8">
      <w:pPr>
        <w:spacing w:line="360" w:lineRule="auto"/>
        <w:ind w:firstLine="480" w:firstLineChars="200"/>
        <w:rPr>
          <w:rFonts w:hint="eastAsia" w:ascii="宋体" w:hAnsi="宋体" w:cs="宋体"/>
          <w:color w:val="000000"/>
          <w:sz w:val="24"/>
        </w:rPr>
      </w:pPr>
      <w:r>
        <w:rPr>
          <w:rFonts w:hint="eastAsia" w:ascii="宋体" w:hAnsi="宋体" w:cs="宋体"/>
          <w:color w:val="000000"/>
          <w:sz w:val="24"/>
        </w:rPr>
        <w:t>地    址：南宁市良庆区凯旋路15号绿地中心七号楼八楼</w:t>
      </w:r>
    </w:p>
    <w:p w14:paraId="4A8F1367">
      <w:pPr>
        <w:spacing w:line="360" w:lineRule="auto"/>
        <w:ind w:firstLine="480" w:firstLineChars="200"/>
        <w:rPr>
          <w:rFonts w:hint="eastAsia" w:ascii="宋体" w:hAnsi="宋体" w:cs="宋体"/>
          <w:color w:val="000000"/>
          <w:sz w:val="24"/>
        </w:rPr>
      </w:pPr>
      <w:r>
        <w:rPr>
          <w:rFonts w:hint="eastAsia" w:ascii="宋体" w:hAnsi="宋体" w:cs="宋体"/>
          <w:color w:val="000000"/>
          <w:sz w:val="24"/>
        </w:rPr>
        <w:t>项目联系人：李丹</w:t>
      </w:r>
    </w:p>
    <w:p w14:paraId="3419279A">
      <w:pPr>
        <w:spacing w:line="360" w:lineRule="auto"/>
        <w:ind w:firstLine="480" w:firstLineChars="200"/>
        <w:rPr>
          <w:rFonts w:ascii="宋体" w:hAnsi="宋体" w:cs="宋体"/>
          <w:color w:val="000000"/>
          <w:sz w:val="24"/>
        </w:rPr>
      </w:pPr>
      <w:r>
        <w:rPr>
          <w:rFonts w:hint="eastAsia" w:ascii="宋体" w:hAnsi="宋体" w:cs="宋体"/>
          <w:color w:val="000000"/>
          <w:sz w:val="24"/>
        </w:rPr>
        <w:t>项目联系方式：</w:t>
      </w:r>
      <w:r>
        <w:rPr>
          <w:rFonts w:hint="eastAsia" w:ascii="宋体" w:hAnsi="宋体" w:cs="宋体"/>
          <w:color w:val="000000"/>
          <w:sz w:val="24"/>
          <w:lang w:eastAsia="zh-CN"/>
        </w:rPr>
        <w:t>0771-8028710</w:t>
      </w:r>
      <w:r>
        <w:rPr>
          <w:rFonts w:ascii="宋体" w:hAnsi="宋体" w:cs="宋体"/>
          <w:color w:val="000000"/>
          <w:sz w:val="24"/>
        </w:rPr>
        <w:t> </w:t>
      </w:r>
      <w:r>
        <w:rPr>
          <w:rFonts w:hint="eastAsia" w:ascii="宋体" w:hAnsi="宋体" w:cs="宋体"/>
          <w:color w:val="000000"/>
          <w:sz w:val="24"/>
        </w:rPr>
        <w:t> </w:t>
      </w:r>
    </w:p>
    <w:p w14:paraId="7801DD59">
      <w:pPr>
        <w:keepNext w:val="0"/>
        <w:keepLines w:val="0"/>
        <w:pageBreakBefore w:val="0"/>
        <w:kinsoku/>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auto"/>
          <w:szCs w:val="21"/>
          <w:highlight w:val="none"/>
          <w:lang w:eastAsia="zh-CN"/>
        </w:rPr>
      </w:pPr>
    </w:p>
    <w:bookmarkEnd w:id="2"/>
    <w:bookmarkEnd w:id="3"/>
    <w:bookmarkEnd w:id="4"/>
    <w:bookmarkEnd w:id="5"/>
    <w:bookmarkEnd w:id="6"/>
    <w:p w14:paraId="36BA6453">
      <w:pPr>
        <w:pStyle w:val="2"/>
        <w:spacing w:line="360" w:lineRule="auto"/>
        <w:jc w:val="center"/>
        <w:rPr>
          <w:rFonts w:hint="eastAsia"/>
          <w:color w:val="auto"/>
          <w:highlight w:val="none"/>
        </w:rPr>
      </w:pPr>
      <w:r>
        <w:rPr>
          <w:color w:val="auto"/>
          <w:highlight w:val="none"/>
        </w:rPr>
        <w:br w:type="page"/>
      </w:r>
      <w:bookmarkStart w:id="7" w:name="_Toc170496350"/>
      <w:r>
        <w:rPr>
          <w:rFonts w:hint="eastAsia"/>
          <w:color w:val="auto"/>
          <w:highlight w:val="none"/>
        </w:rPr>
        <w:t>第二章 采购需求</w:t>
      </w:r>
      <w:bookmarkEnd w:id="7"/>
    </w:p>
    <w:p w14:paraId="617099C1">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说明：</w:t>
      </w:r>
    </w:p>
    <w:p w14:paraId="392E6221">
      <w:pPr>
        <w:keepNext w:val="0"/>
        <w:keepLines w:val="0"/>
        <w:pageBreakBefore w:val="0"/>
        <w:widowControl w:val="0"/>
        <w:kinsoku/>
        <w:wordWrap/>
        <w:overflowPunct/>
        <w:topLinePunct w:val="0"/>
        <w:autoSpaceDE/>
        <w:autoSpaceDN/>
        <w:bidi w:val="0"/>
        <w:adjustRightInd/>
        <w:snapToGrid/>
        <w:spacing w:line="360" w:lineRule="exact"/>
        <w:ind w:left="-10" w:leftChars="-5" w:right="2" w:rightChars="1" w:firstLine="420" w:firstLineChars="200"/>
        <w:textAlignment w:val="auto"/>
        <w:rPr>
          <w:rFonts w:hint="eastAsia" w:ascii="宋体" w:hAnsi="宋体"/>
          <w:b/>
          <w:bCs/>
          <w:color w:val="auto"/>
          <w:highlight w:val="none"/>
        </w:rPr>
      </w:pPr>
      <w:r>
        <w:rPr>
          <w:rFonts w:hint="eastAsia" w:ascii="宋体" w:hAnsi="宋体"/>
          <w:color w:val="auto"/>
          <w:highlight w:val="none"/>
        </w:rPr>
        <w:t>1</w:t>
      </w:r>
      <w:r>
        <w:rPr>
          <w:rFonts w:hint="eastAsia" w:ascii="宋体" w:hAnsi="宋体"/>
          <w:color w:val="auto"/>
          <w:highlight w:val="none"/>
          <w:lang w:val="en-US" w:eastAsia="zh-CN"/>
        </w:rPr>
        <w:t>.</w:t>
      </w:r>
      <w:r>
        <w:rPr>
          <w:rFonts w:hint="eastAsia" w:ascii="宋体" w:hAnsi="宋体"/>
          <w:color w:val="auto"/>
          <w:highlight w:val="none"/>
        </w:rPr>
        <w:t>“实质性要求”是指竞争性磋商文件中已经指明不满足则响应无效的条款，或者不能负偏离的条款，或者采购需求中带“▲”的条款。</w:t>
      </w:r>
      <w:r>
        <w:rPr>
          <w:rFonts w:hint="eastAsia" w:ascii="宋体" w:hAnsi="宋体"/>
          <w:b/>
          <w:bCs/>
          <w:color w:val="auto"/>
          <w:highlight w:val="none"/>
        </w:rPr>
        <w:t>本采购需求中所有条款均为实质性要求，任何一项不满足将导致竞标无效。</w:t>
      </w:r>
    </w:p>
    <w:tbl>
      <w:tblPr>
        <w:tblStyle w:val="33"/>
        <w:tblpPr w:leftFromText="180" w:rightFromText="180" w:vertAnchor="text" w:horzAnchor="page" w:tblpX="1738" w:tblpY="1652"/>
        <w:tblOverlap w:val="never"/>
        <w:tblW w:w="4813"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99"/>
        <w:gridCol w:w="1207"/>
        <w:gridCol w:w="1115"/>
        <w:gridCol w:w="5889"/>
      </w:tblGrid>
      <w:tr w14:paraId="0F56A42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24" w:hRule="atLeast"/>
          <w:jc w:val="center"/>
        </w:trPr>
        <w:tc>
          <w:tcPr>
            <w:tcW w:w="5000" w:type="pct"/>
            <w:gridSpan w:val="4"/>
            <w:tcBorders>
              <w:top w:val="single" w:color="auto" w:sz="4" w:space="0"/>
              <w:left w:val="single" w:color="auto" w:sz="4" w:space="0"/>
              <w:bottom w:val="single" w:color="auto" w:sz="4" w:space="0"/>
              <w:right w:val="single" w:color="auto" w:sz="4" w:space="0"/>
            </w:tcBorders>
            <w:vAlign w:val="center"/>
          </w:tcPr>
          <w:p w14:paraId="280E95BB">
            <w:pPr>
              <w:spacing w:line="360" w:lineRule="auto"/>
              <w:jc w:val="center"/>
              <w:rPr>
                <w:rFonts w:hint="default" w:ascii="宋体" w:hAnsi="宋体" w:eastAsia="宋体" w:cs="宋体"/>
                <w:b/>
                <w:color w:val="auto"/>
                <w:szCs w:val="21"/>
                <w:highlight w:val="none"/>
                <w:u w:val="none"/>
                <w:lang w:val="en-US" w:eastAsia="zh-CN"/>
              </w:rPr>
            </w:pPr>
            <w:r>
              <w:rPr>
                <w:rFonts w:hint="eastAsia" w:ascii="宋体" w:hAnsi="宋体" w:cs="宋体"/>
                <w:color w:val="auto"/>
                <w:szCs w:val="21"/>
                <w:highlight w:val="none"/>
                <w:u w:val="none"/>
              </w:rPr>
              <w:t>▲</w:t>
            </w:r>
            <w:r>
              <w:rPr>
                <w:rFonts w:hint="eastAsia" w:ascii="宋体" w:hAnsi="宋体" w:cs="宋体"/>
                <w:color w:val="auto"/>
                <w:szCs w:val="21"/>
                <w:highlight w:val="none"/>
                <w:u w:val="none"/>
                <w:lang w:val="en-US" w:eastAsia="zh-CN"/>
              </w:rPr>
              <w:t>一</w:t>
            </w:r>
            <w:r>
              <w:rPr>
                <w:rFonts w:hint="eastAsia" w:ascii="宋体" w:hAnsi="宋体" w:cs="宋体"/>
                <w:color w:val="auto"/>
                <w:szCs w:val="21"/>
                <w:highlight w:val="none"/>
                <w:u w:val="none"/>
              </w:rPr>
              <w:t>、</w:t>
            </w:r>
            <w:r>
              <w:rPr>
                <w:rFonts w:hint="eastAsia" w:ascii="宋体" w:hAnsi="宋体" w:cs="宋体"/>
                <w:color w:val="auto"/>
                <w:szCs w:val="21"/>
                <w:highlight w:val="none"/>
                <w:u w:val="none"/>
                <w:lang w:val="en-US" w:eastAsia="zh-CN"/>
              </w:rPr>
              <w:t>服务要求</w:t>
            </w:r>
          </w:p>
        </w:tc>
      </w:tr>
      <w:tr w14:paraId="0F33734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4" w:hRule="atLeast"/>
          <w:jc w:val="center"/>
        </w:trPr>
        <w:tc>
          <w:tcPr>
            <w:tcW w:w="392" w:type="pct"/>
            <w:tcBorders>
              <w:top w:val="single" w:color="auto" w:sz="4" w:space="0"/>
              <w:left w:val="single" w:color="auto" w:sz="4" w:space="0"/>
              <w:bottom w:val="single" w:color="auto" w:sz="4" w:space="0"/>
              <w:right w:val="single" w:color="auto" w:sz="4" w:space="0"/>
            </w:tcBorders>
            <w:vAlign w:val="center"/>
          </w:tcPr>
          <w:p w14:paraId="646DC72E">
            <w:pPr>
              <w:spacing w:line="240" w:lineRule="auto"/>
              <w:jc w:val="center"/>
              <w:rPr>
                <w:rFonts w:ascii="宋体" w:hAnsi="宋体" w:cs="宋体"/>
                <w:b/>
                <w:color w:val="auto"/>
                <w:szCs w:val="21"/>
                <w:highlight w:val="none"/>
                <w:u w:val="none"/>
              </w:rPr>
            </w:pPr>
            <w:r>
              <w:rPr>
                <w:rFonts w:hint="eastAsia" w:ascii="宋体" w:hAnsi="宋体" w:cs="宋体"/>
                <w:b/>
                <w:color w:val="auto"/>
                <w:szCs w:val="21"/>
                <w:highlight w:val="none"/>
                <w:u w:val="none"/>
              </w:rPr>
              <w:t>序号</w:t>
            </w:r>
          </w:p>
        </w:tc>
        <w:tc>
          <w:tcPr>
            <w:tcW w:w="677" w:type="pct"/>
            <w:tcBorders>
              <w:top w:val="single" w:color="auto" w:sz="4" w:space="0"/>
              <w:left w:val="single" w:color="auto" w:sz="4" w:space="0"/>
              <w:bottom w:val="single" w:color="auto" w:sz="4" w:space="0"/>
              <w:right w:val="single" w:color="auto" w:sz="4" w:space="0"/>
            </w:tcBorders>
            <w:vAlign w:val="center"/>
          </w:tcPr>
          <w:p w14:paraId="55BA7601">
            <w:pPr>
              <w:spacing w:line="240" w:lineRule="auto"/>
              <w:jc w:val="center"/>
              <w:rPr>
                <w:rFonts w:ascii="宋体" w:hAnsi="宋体" w:cs="宋体"/>
                <w:b/>
                <w:color w:val="auto"/>
                <w:szCs w:val="21"/>
                <w:highlight w:val="none"/>
                <w:u w:val="none"/>
              </w:rPr>
            </w:pPr>
            <w:r>
              <w:rPr>
                <w:rFonts w:hint="eastAsia" w:ascii="宋体" w:hAnsi="宋体" w:cs="宋体"/>
                <w:b/>
                <w:color w:val="auto"/>
                <w:szCs w:val="21"/>
                <w:highlight w:val="none"/>
                <w:u w:val="none"/>
              </w:rPr>
              <w:t>标的名称</w:t>
            </w:r>
          </w:p>
        </w:tc>
        <w:tc>
          <w:tcPr>
            <w:tcW w:w="625" w:type="pct"/>
            <w:tcBorders>
              <w:top w:val="single" w:color="auto" w:sz="4" w:space="0"/>
              <w:left w:val="single" w:color="auto" w:sz="4" w:space="0"/>
              <w:bottom w:val="single" w:color="auto" w:sz="4" w:space="0"/>
              <w:right w:val="single" w:color="auto" w:sz="4" w:space="0"/>
            </w:tcBorders>
            <w:vAlign w:val="center"/>
          </w:tcPr>
          <w:p w14:paraId="7A8F295B">
            <w:pPr>
              <w:spacing w:line="240" w:lineRule="auto"/>
              <w:jc w:val="center"/>
              <w:rPr>
                <w:rFonts w:ascii="宋体" w:hAnsi="宋体" w:cs="宋体"/>
                <w:b/>
                <w:color w:val="auto"/>
                <w:szCs w:val="21"/>
                <w:highlight w:val="none"/>
                <w:u w:val="none"/>
              </w:rPr>
            </w:pPr>
            <w:r>
              <w:rPr>
                <w:rFonts w:hint="eastAsia" w:ascii="宋体" w:hAnsi="宋体" w:cs="宋体"/>
                <w:b/>
                <w:color w:val="auto"/>
                <w:szCs w:val="21"/>
                <w:highlight w:val="none"/>
                <w:u w:val="none"/>
              </w:rPr>
              <w:t>数量</w:t>
            </w:r>
          </w:p>
        </w:tc>
        <w:tc>
          <w:tcPr>
            <w:tcW w:w="3304" w:type="pct"/>
            <w:tcBorders>
              <w:top w:val="single" w:color="auto" w:sz="4" w:space="0"/>
              <w:left w:val="single" w:color="auto" w:sz="4" w:space="0"/>
              <w:bottom w:val="single" w:color="auto" w:sz="4" w:space="0"/>
              <w:right w:val="single" w:color="auto" w:sz="4" w:space="0"/>
            </w:tcBorders>
            <w:vAlign w:val="center"/>
          </w:tcPr>
          <w:p w14:paraId="11AE49C0">
            <w:pPr>
              <w:spacing w:line="240" w:lineRule="auto"/>
              <w:jc w:val="center"/>
              <w:rPr>
                <w:rFonts w:ascii="宋体" w:hAnsi="宋体" w:cs="宋体"/>
                <w:b/>
                <w:color w:val="auto"/>
                <w:szCs w:val="21"/>
                <w:highlight w:val="none"/>
                <w:u w:val="none"/>
              </w:rPr>
            </w:pPr>
            <w:r>
              <w:rPr>
                <w:rFonts w:hint="eastAsia" w:ascii="宋体" w:hAnsi="宋体" w:cs="宋体"/>
                <w:b/>
                <w:color w:val="auto"/>
                <w:szCs w:val="21"/>
                <w:highlight w:val="none"/>
                <w:u w:val="none"/>
              </w:rPr>
              <w:t>参数及要求</w:t>
            </w:r>
          </w:p>
        </w:tc>
      </w:tr>
      <w:tr w14:paraId="49CA79B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0" w:hRule="atLeast"/>
          <w:jc w:val="center"/>
        </w:trPr>
        <w:tc>
          <w:tcPr>
            <w:tcW w:w="392" w:type="pct"/>
            <w:tcBorders>
              <w:top w:val="single" w:color="auto" w:sz="4" w:space="0"/>
              <w:left w:val="single" w:color="auto" w:sz="4" w:space="0"/>
              <w:bottom w:val="single" w:color="auto" w:sz="4" w:space="0"/>
              <w:right w:val="single" w:color="auto" w:sz="4" w:space="0"/>
            </w:tcBorders>
            <w:vAlign w:val="center"/>
          </w:tcPr>
          <w:p w14:paraId="6065703F">
            <w:pPr>
              <w:spacing w:line="360" w:lineRule="auto"/>
              <w:jc w:val="center"/>
              <w:rPr>
                <w:rFonts w:ascii="宋体" w:hAnsi="宋体" w:cs="宋体"/>
                <w:b/>
                <w:color w:val="auto"/>
                <w:szCs w:val="21"/>
                <w:highlight w:val="none"/>
                <w:u w:val="none"/>
              </w:rPr>
            </w:pPr>
            <w:r>
              <w:rPr>
                <w:rFonts w:hint="eastAsia" w:ascii="宋体" w:hAnsi="宋体" w:cs="宋体"/>
                <w:b w:val="0"/>
                <w:bCs/>
                <w:color w:val="auto"/>
                <w:szCs w:val="21"/>
                <w:highlight w:val="none"/>
                <w:u w:val="none"/>
              </w:rPr>
              <w:t>1</w:t>
            </w:r>
          </w:p>
        </w:tc>
        <w:tc>
          <w:tcPr>
            <w:tcW w:w="677" w:type="pct"/>
            <w:tcBorders>
              <w:top w:val="single" w:color="auto" w:sz="4" w:space="0"/>
              <w:left w:val="single" w:color="auto" w:sz="4" w:space="0"/>
              <w:bottom w:val="single" w:color="auto" w:sz="4" w:space="0"/>
              <w:right w:val="single" w:color="auto" w:sz="4" w:space="0"/>
            </w:tcBorders>
            <w:vAlign w:val="center"/>
          </w:tcPr>
          <w:p w14:paraId="6311B6BB">
            <w:pPr>
              <w:spacing w:line="360" w:lineRule="auto"/>
              <w:jc w:val="center"/>
              <w:rPr>
                <w:rFonts w:hint="eastAsia" w:ascii="宋体" w:hAnsi="宋体" w:eastAsia="宋体" w:cs="宋体"/>
                <w:color w:val="auto"/>
                <w:szCs w:val="21"/>
                <w:highlight w:val="none"/>
                <w:u w:val="none"/>
                <w:lang w:eastAsia="zh-CN"/>
              </w:rPr>
            </w:pPr>
            <w:r>
              <w:rPr>
                <w:rFonts w:hint="eastAsia" w:ascii="宋体" w:hAnsi="宋体"/>
                <w:color w:val="auto"/>
                <w:szCs w:val="24"/>
                <w:highlight w:val="none"/>
                <w:u w:val="none"/>
                <w:lang w:val="en-US" w:eastAsia="zh-CN"/>
              </w:rPr>
              <w:t>食堂鸡蛋供应服务（重2）</w:t>
            </w:r>
          </w:p>
        </w:tc>
        <w:tc>
          <w:tcPr>
            <w:tcW w:w="625" w:type="pct"/>
            <w:tcBorders>
              <w:top w:val="single" w:color="auto" w:sz="4" w:space="0"/>
              <w:left w:val="single" w:color="auto" w:sz="4" w:space="0"/>
              <w:bottom w:val="single" w:color="auto" w:sz="4" w:space="0"/>
              <w:right w:val="single" w:color="auto" w:sz="4" w:space="0"/>
            </w:tcBorders>
            <w:vAlign w:val="center"/>
          </w:tcPr>
          <w:p w14:paraId="5CCE43B7">
            <w:pPr>
              <w:spacing w:line="360" w:lineRule="auto"/>
              <w:jc w:val="center"/>
              <w:rPr>
                <w:rFonts w:hint="default" w:ascii="宋体" w:hAnsi="宋体" w:eastAsia="宋体" w:cs="宋体"/>
                <w:color w:val="auto"/>
                <w:szCs w:val="21"/>
                <w:highlight w:val="none"/>
                <w:u w:val="none"/>
                <w:lang w:val="en-US" w:eastAsia="zh-CN"/>
              </w:rPr>
            </w:pPr>
            <w:r>
              <w:rPr>
                <w:rFonts w:hint="eastAsia" w:ascii="宋体" w:hAnsi="宋体" w:cs="宋体"/>
                <w:color w:val="auto"/>
                <w:szCs w:val="21"/>
                <w:highlight w:val="none"/>
                <w:u w:val="none"/>
                <w:lang w:val="en-US" w:eastAsia="zh-CN"/>
              </w:rPr>
              <w:t>约300000斤/年</w:t>
            </w:r>
          </w:p>
        </w:tc>
        <w:tc>
          <w:tcPr>
            <w:tcW w:w="3304" w:type="pct"/>
            <w:tcBorders>
              <w:top w:val="single" w:color="auto" w:sz="4" w:space="0"/>
              <w:left w:val="single" w:color="auto" w:sz="4" w:space="0"/>
              <w:bottom w:val="single" w:color="auto" w:sz="4" w:space="0"/>
              <w:right w:val="single" w:color="auto" w:sz="4" w:space="0"/>
            </w:tcBorders>
            <w:vAlign w:val="center"/>
          </w:tcPr>
          <w:p w14:paraId="5CEB3589">
            <w:pPr>
              <w:pStyle w:val="17"/>
              <w:spacing w:line="480" w:lineRule="exact"/>
              <w:ind w:firstLine="0" w:firstLineChars="0"/>
              <w:rPr>
                <w:rFonts w:hint="default" w:ascii="宋体" w:hAnsi="宋体" w:eastAsia="宋体" w:cs="宋体"/>
                <w:color w:val="auto"/>
                <w:kern w:val="0"/>
                <w:sz w:val="21"/>
                <w:szCs w:val="21"/>
                <w:highlight w:val="none"/>
                <w:u w:val="none"/>
                <w:lang w:val="en-US" w:eastAsia="zh-CN" w:bidi="ar-SA"/>
              </w:rPr>
            </w:pPr>
            <w:r>
              <w:rPr>
                <w:rFonts w:hint="eastAsia" w:ascii="宋体" w:hAnsi="宋体" w:eastAsia="宋体" w:cs="宋体"/>
                <w:color w:val="auto"/>
                <w:kern w:val="0"/>
                <w:sz w:val="21"/>
                <w:szCs w:val="21"/>
                <w:highlight w:val="none"/>
                <w:u w:val="none"/>
                <w:lang w:val="en-US" w:eastAsia="zh-CN" w:bidi="ar-SA"/>
              </w:rPr>
              <w:t>鸡蛋：</w:t>
            </w:r>
          </w:p>
          <w:p w14:paraId="5085394E">
            <w:pPr>
              <w:pStyle w:val="17"/>
              <w:spacing w:line="480" w:lineRule="exact"/>
              <w:ind w:firstLine="0" w:firstLineChars="0"/>
              <w:rPr>
                <w:rFonts w:hint="eastAsia" w:ascii="宋体" w:hAnsi="宋体" w:eastAsia="宋体" w:cs="宋体"/>
                <w:color w:val="auto"/>
                <w:kern w:val="0"/>
                <w:sz w:val="21"/>
                <w:szCs w:val="21"/>
                <w:highlight w:val="none"/>
                <w:u w:val="none"/>
                <w:lang w:val="en-US" w:eastAsia="zh-CN" w:bidi="ar-SA"/>
              </w:rPr>
            </w:pPr>
            <w:r>
              <w:rPr>
                <w:rFonts w:hint="eastAsia" w:ascii="宋体" w:hAnsi="宋体" w:eastAsia="宋体" w:cs="宋体"/>
                <w:color w:val="auto"/>
                <w:kern w:val="0"/>
                <w:sz w:val="21"/>
                <w:szCs w:val="21"/>
                <w:highlight w:val="none"/>
                <w:u w:val="none"/>
                <w:lang w:val="en-US" w:eastAsia="zh-CN" w:bidi="ar-SA"/>
              </w:rPr>
              <w:t>1.质量指标：具备应有的食材正常感官和理化性状达到相应国家、行业产品标准要求，</w:t>
            </w:r>
            <w:r>
              <w:rPr>
                <w:rFonts w:hint="eastAsia" w:ascii="宋体" w:hAnsi="宋体" w:eastAsia="宋体" w:cs="宋体"/>
                <w:color w:val="auto"/>
                <w:sz w:val="21"/>
                <w:szCs w:val="21"/>
                <w:highlight w:val="none"/>
                <w:u w:val="none"/>
              </w:rPr>
              <w:t>符合国家动物检疫合格产品质量标准</w:t>
            </w:r>
            <w:r>
              <w:rPr>
                <w:rFonts w:hint="eastAsia" w:ascii="宋体" w:hAnsi="宋体" w:eastAsia="宋体" w:cs="宋体"/>
                <w:color w:val="auto"/>
                <w:sz w:val="21"/>
                <w:szCs w:val="21"/>
                <w:highlight w:val="none"/>
                <w:u w:val="none"/>
                <w:lang w:eastAsia="zh-CN"/>
              </w:rPr>
              <w:t>，</w:t>
            </w:r>
            <w:r>
              <w:rPr>
                <w:rFonts w:hint="eastAsia" w:ascii="宋体" w:hAnsi="宋体" w:eastAsia="宋体" w:cs="宋体"/>
                <w:color w:val="auto"/>
                <w:kern w:val="0"/>
                <w:sz w:val="21"/>
                <w:szCs w:val="21"/>
                <w:highlight w:val="none"/>
                <w:u w:val="none"/>
                <w:lang w:val="en-US" w:eastAsia="zh-CN" w:bidi="ar-SA"/>
              </w:rPr>
              <w:t>卫生指标符合食品安全国家标准要求。</w:t>
            </w:r>
          </w:p>
          <w:p w14:paraId="3A892A74">
            <w:pPr>
              <w:pStyle w:val="17"/>
              <w:spacing w:line="480" w:lineRule="exact"/>
              <w:ind w:firstLine="0" w:firstLineChars="0"/>
              <w:rPr>
                <w:rFonts w:hint="eastAsia" w:ascii="宋体" w:hAnsi="宋体" w:eastAsia="宋体" w:cs="宋体"/>
                <w:color w:val="auto"/>
                <w:kern w:val="0"/>
                <w:sz w:val="21"/>
                <w:szCs w:val="21"/>
                <w:highlight w:val="none"/>
                <w:u w:val="none"/>
                <w:lang w:val="en-US" w:eastAsia="zh-CN" w:bidi="ar-SA"/>
              </w:rPr>
            </w:pPr>
            <w:r>
              <w:rPr>
                <w:rFonts w:hint="eastAsia" w:ascii="宋体" w:hAnsi="宋体" w:eastAsia="宋体" w:cs="宋体"/>
                <w:color w:val="auto"/>
                <w:kern w:val="0"/>
                <w:sz w:val="21"/>
                <w:szCs w:val="21"/>
                <w:highlight w:val="none"/>
                <w:u w:val="none"/>
                <w:lang w:val="en-US" w:eastAsia="zh-CN" w:bidi="ar-SA"/>
              </w:rPr>
              <w:t>2.正常鲜蛋的蛋壳应清洁完整，无裂纹；灯光透视呈微红色，气室小，看不见蛋黄或略见阴影于中心。打开后蛋黄膜不破裂、凸起、完整并带有韧性，蛋黄蛋白分明，颜色鲜艳。</w:t>
            </w:r>
          </w:p>
          <w:p w14:paraId="5B08CA3A">
            <w:pPr>
              <w:pStyle w:val="17"/>
              <w:spacing w:line="480" w:lineRule="exact"/>
              <w:ind w:firstLine="0" w:firstLineChars="0"/>
              <w:rPr>
                <w:rFonts w:hint="eastAsia" w:ascii="宋体" w:hAnsi="宋体" w:eastAsia="宋体" w:cs="宋体"/>
                <w:color w:val="auto"/>
                <w:kern w:val="0"/>
                <w:sz w:val="21"/>
                <w:szCs w:val="21"/>
                <w:highlight w:val="none"/>
                <w:u w:val="none"/>
                <w:lang w:val="en-US" w:eastAsia="zh-CN" w:bidi="ar-SA"/>
              </w:rPr>
            </w:pPr>
            <w:r>
              <w:rPr>
                <w:rFonts w:hint="eastAsia" w:ascii="宋体" w:hAnsi="宋体" w:eastAsia="宋体" w:cs="宋体"/>
                <w:color w:val="auto"/>
                <w:kern w:val="0"/>
                <w:sz w:val="21"/>
                <w:szCs w:val="21"/>
                <w:highlight w:val="none"/>
                <w:u w:val="none"/>
                <w:lang w:val="en-US" w:eastAsia="zh-CN" w:bidi="ar-SA"/>
              </w:rPr>
              <w:t>3.保质期：且自供货之日起算的保质期剩余天数不得少于产品保质期天数的三分之二。</w:t>
            </w:r>
          </w:p>
          <w:p w14:paraId="27FCBB15">
            <w:pPr>
              <w:pStyle w:val="17"/>
              <w:spacing w:line="480" w:lineRule="exact"/>
              <w:ind w:firstLine="0" w:firstLineChars="0"/>
              <w:rPr>
                <w:rFonts w:hint="eastAsia" w:ascii="宋体" w:hAnsi="宋体" w:eastAsia="宋体" w:cs="宋体"/>
                <w:color w:val="auto"/>
                <w:kern w:val="0"/>
                <w:sz w:val="21"/>
                <w:szCs w:val="21"/>
                <w:highlight w:val="none"/>
                <w:u w:val="none"/>
                <w:lang w:val="en-US" w:eastAsia="zh-CN" w:bidi="ar-SA"/>
              </w:rPr>
            </w:pPr>
            <w:r>
              <w:rPr>
                <w:rFonts w:hint="eastAsia" w:ascii="宋体" w:hAnsi="宋体" w:eastAsia="宋体" w:cs="宋体"/>
                <w:color w:val="auto"/>
                <w:kern w:val="0"/>
                <w:sz w:val="21"/>
                <w:szCs w:val="21"/>
                <w:highlight w:val="none"/>
                <w:u w:val="none"/>
                <w:lang w:val="en-US" w:eastAsia="zh-CN" w:bidi="ar-SA"/>
              </w:rPr>
              <w:t>4.配送要求：根据采购人需求，于次日上午7点前配送至采购人指定地点。</w:t>
            </w:r>
          </w:p>
          <w:p w14:paraId="51A62A77">
            <w:pPr>
              <w:pStyle w:val="17"/>
              <w:spacing w:line="480" w:lineRule="exact"/>
              <w:ind w:firstLine="0" w:firstLineChars="0"/>
              <w:rPr>
                <w:rFonts w:hint="default" w:ascii="宋体" w:hAnsi="宋体" w:eastAsia="宋体" w:cs="宋体"/>
                <w:color w:val="auto"/>
                <w:kern w:val="0"/>
                <w:sz w:val="21"/>
                <w:szCs w:val="21"/>
                <w:highlight w:val="none"/>
                <w:u w:val="none"/>
                <w:lang w:val="en-US" w:eastAsia="zh-CN" w:bidi="ar-SA"/>
              </w:rPr>
            </w:pPr>
            <w:r>
              <w:rPr>
                <w:rFonts w:hint="eastAsia" w:ascii="宋体" w:hAnsi="宋体" w:eastAsia="宋体" w:cs="宋体"/>
                <w:color w:val="auto"/>
                <w:kern w:val="0"/>
                <w:sz w:val="21"/>
                <w:szCs w:val="21"/>
                <w:highlight w:val="none"/>
                <w:u w:val="none"/>
                <w:lang w:val="en-US" w:eastAsia="zh-CN" w:bidi="ar-SA"/>
              </w:rPr>
              <w:t>5.配送频率：工作日及双休日为每天配送，其他节假日根据采购人要求调整配送频率。</w:t>
            </w:r>
          </w:p>
          <w:p w14:paraId="5EF00850">
            <w:pPr>
              <w:pStyle w:val="17"/>
              <w:spacing w:line="480" w:lineRule="exact"/>
              <w:ind w:firstLine="0" w:firstLineChars="0"/>
              <w:rPr>
                <w:rFonts w:hint="eastAsia" w:ascii="宋体" w:hAnsi="宋体" w:eastAsia="宋体" w:cs="宋体"/>
                <w:color w:val="auto"/>
                <w:kern w:val="0"/>
                <w:sz w:val="21"/>
                <w:szCs w:val="21"/>
                <w:highlight w:val="none"/>
                <w:u w:val="none"/>
                <w:lang w:val="en-US" w:eastAsia="zh-CN" w:bidi="ar-SA"/>
              </w:rPr>
            </w:pPr>
            <w:r>
              <w:rPr>
                <w:rFonts w:hint="eastAsia" w:ascii="宋体" w:hAnsi="宋体" w:eastAsia="宋体" w:cs="宋体"/>
                <w:color w:val="auto"/>
                <w:kern w:val="0"/>
                <w:sz w:val="21"/>
                <w:szCs w:val="21"/>
                <w:highlight w:val="none"/>
                <w:u w:val="none"/>
                <w:lang w:val="en-US" w:eastAsia="zh-CN" w:bidi="ar-SA"/>
              </w:rPr>
              <w:t>6.售后要求：如鸡蛋存在蛋黄散、发霉、有异味等质量问题，供应商需在2小时内退换。</w:t>
            </w:r>
          </w:p>
          <w:p w14:paraId="62159209">
            <w:pPr>
              <w:pStyle w:val="17"/>
              <w:spacing w:line="480" w:lineRule="exact"/>
              <w:ind w:firstLine="0" w:firstLineChars="0"/>
              <w:rPr>
                <w:rFonts w:hint="eastAsia" w:ascii="宋体" w:hAnsi="宋体" w:eastAsia="宋体" w:cs="宋体"/>
                <w:color w:val="auto"/>
                <w:sz w:val="21"/>
                <w:szCs w:val="21"/>
                <w:highlight w:val="none"/>
                <w:u w:val="none"/>
              </w:rPr>
            </w:pPr>
            <w:r>
              <w:rPr>
                <w:rFonts w:hint="eastAsia" w:ascii="宋体" w:hAnsi="宋体" w:eastAsia="宋体" w:cs="宋体"/>
                <w:color w:val="auto"/>
                <w:kern w:val="0"/>
                <w:sz w:val="21"/>
                <w:szCs w:val="21"/>
                <w:highlight w:val="none"/>
                <w:u w:val="none"/>
                <w:lang w:val="en-US" w:eastAsia="zh-CN" w:bidi="ar-SA"/>
              </w:rPr>
              <w:t>7.</w:t>
            </w:r>
            <w:r>
              <w:rPr>
                <w:rFonts w:hint="eastAsia" w:ascii="宋体" w:hAnsi="宋体" w:eastAsia="宋体" w:cs="宋体"/>
                <w:color w:val="auto"/>
                <w:sz w:val="21"/>
                <w:szCs w:val="21"/>
                <w:highlight w:val="none"/>
                <w:u w:val="none"/>
              </w:rPr>
              <w:t>货品配比要求：供应商供货时需同时提供粉壳蛋（粉壳鸡蛋）、褐壳蛋（红壳鸡蛋）两类鲜蛋，两类鸡蛋供货比例为粉壳蛋（粉壳鸡蛋）：褐壳蛋（红壳鸡蛋） = 7:3；采购人按鸡蛋总重量下单，供应商须严格按照该比例精准拆分、配货送达</w:t>
            </w:r>
            <w:r>
              <w:rPr>
                <w:rFonts w:hint="eastAsia" w:ascii="宋体" w:hAnsi="宋体" w:eastAsia="宋体" w:cs="宋体"/>
                <w:color w:val="auto"/>
                <w:sz w:val="21"/>
                <w:szCs w:val="21"/>
                <w:highlight w:val="none"/>
                <w:u w:val="none"/>
                <w:lang w:eastAsia="zh-CN"/>
              </w:rPr>
              <w:t>，</w:t>
            </w:r>
            <w:r>
              <w:rPr>
                <w:rFonts w:hint="eastAsia" w:ascii="宋体" w:hAnsi="宋体" w:eastAsia="宋体" w:cs="宋体"/>
                <w:color w:val="auto"/>
                <w:sz w:val="21"/>
                <w:szCs w:val="21"/>
                <w:highlight w:val="none"/>
                <w:u w:val="none"/>
                <w:lang w:val="en-US" w:eastAsia="zh-CN"/>
              </w:rPr>
              <w:t>履约过程中若采购人对两类鸡蛋的配比进行调整，需在前一日下单时告知供应商，供应商应配合调整</w:t>
            </w:r>
            <w:r>
              <w:rPr>
                <w:rFonts w:hint="eastAsia" w:ascii="宋体" w:hAnsi="宋体" w:eastAsia="宋体" w:cs="宋体"/>
                <w:color w:val="auto"/>
                <w:sz w:val="21"/>
                <w:szCs w:val="21"/>
                <w:highlight w:val="none"/>
                <w:u w:val="none"/>
              </w:rPr>
              <w:t>。</w:t>
            </w:r>
          </w:p>
          <w:p w14:paraId="15EC30BD">
            <w:pPr>
              <w:pStyle w:val="17"/>
              <w:spacing w:line="480" w:lineRule="exact"/>
              <w:ind w:firstLine="0" w:firstLineChars="0"/>
              <w:rPr>
                <w:rFonts w:hint="default"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8.每批次供货时均应提供鸡蛋养殖场的《动物防疫条件许可证》、国家认可的第三方检测机构出具的该批次产品质检报告及产品合格证。</w:t>
            </w:r>
          </w:p>
        </w:tc>
      </w:tr>
      <w:tr w14:paraId="4F662B8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62" w:hRule="atLeast"/>
          <w:jc w:val="center"/>
        </w:trPr>
        <w:tc>
          <w:tcPr>
            <w:tcW w:w="5000" w:type="pct"/>
            <w:gridSpan w:val="4"/>
            <w:tcBorders>
              <w:top w:val="single" w:color="auto" w:sz="4" w:space="0"/>
              <w:left w:val="single" w:color="auto" w:sz="4" w:space="0"/>
              <w:bottom w:val="single" w:color="auto" w:sz="4" w:space="0"/>
              <w:right w:val="single" w:color="auto" w:sz="4" w:space="0"/>
            </w:tcBorders>
            <w:vAlign w:val="center"/>
          </w:tcPr>
          <w:p w14:paraId="6030E240">
            <w:pPr>
              <w:spacing w:line="360" w:lineRule="auto"/>
              <w:jc w:val="center"/>
              <w:rPr>
                <w:rFonts w:ascii="宋体" w:hAnsi="宋体" w:cs="宋体"/>
                <w:color w:val="auto"/>
                <w:szCs w:val="21"/>
                <w:highlight w:val="none"/>
                <w:u w:val="none"/>
              </w:rPr>
            </w:pPr>
            <w:r>
              <w:rPr>
                <w:rFonts w:hint="eastAsia" w:ascii="宋体" w:hAnsi="宋体" w:cs="宋体"/>
                <w:color w:val="auto"/>
                <w:szCs w:val="21"/>
                <w:highlight w:val="none"/>
                <w:u w:val="none"/>
              </w:rPr>
              <w:t>▲二、</w:t>
            </w:r>
            <w:r>
              <w:rPr>
                <w:rFonts w:hint="eastAsia" w:ascii="宋体" w:hAnsi="宋体" w:cs="宋体"/>
                <w:b/>
                <w:color w:val="auto"/>
                <w:szCs w:val="21"/>
                <w:highlight w:val="none"/>
                <w:u w:val="none"/>
              </w:rPr>
              <w:t>商务条款</w:t>
            </w:r>
          </w:p>
        </w:tc>
      </w:tr>
      <w:tr w14:paraId="338E1A0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15" w:hRule="atLeast"/>
          <w:jc w:val="center"/>
        </w:trPr>
        <w:tc>
          <w:tcPr>
            <w:tcW w:w="1069" w:type="pct"/>
            <w:gridSpan w:val="2"/>
            <w:tcBorders>
              <w:top w:val="single" w:color="auto" w:sz="4" w:space="0"/>
              <w:left w:val="single" w:color="auto" w:sz="4" w:space="0"/>
              <w:bottom w:val="single" w:color="auto" w:sz="4" w:space="0"/>
              <w:right w:val="single" w:color="auto" w:sz="4" w:space="0"/>
            </w:tcBorders>
            <w:vAlign w:val="center"/>
          </w:tcPr>
          <w:p w14:paraId="5103370C">
            <w:pPr>
              <w:spacing w:line="360" w:lineRule="auto"/>
              <w:jc w:val="center"/>
              <w:rPr>
                <w:rFonts w:ascii="宋体" w:hAnsi="宋体" w:cs="宋体"/>
                <w:color w:val="auto"/>
                <w:szCs w:val="21"/>
                <w:highlight w:val="none"/>
                <w:u w:val="none"/>
              </w:rPr>
            </w:pPr>
            <w:r>
              <w:rPr>
                <w:rFonts w:hint="eastAsia" w:ascii="宋体" w:hAnsi="宋体" w:cs="宋体"/>
                <w:color w:val="auto"/>
                <w:highlight w:val="none"/>
                <w:u w:val="none"/>
                <w:lang w:val="en-US" w:eastAsia="zh-CN"/>
              </w:rPr>
              <w:t>1、</w:t>
            </w:r>
            <w:r>
              <w:rPr>
                <w:rFonts w:hint="eastAsia" w:ascii="宋体" w:hAnsi="宋体" w:cs="宋体"/>
                <w:color w:val="auto"/>
                <w:highlight w:val="none"/>
                <w:u w:val="none"/>
              </w:rPr>
              <w:t>服务的时间</w:t>
            </w:r>
            <w:r>
              <w:rPr>
                <w:rFonts w:hint="eastAsia" w:ascii="宋体" w:hAnsi="宋体" w:cs="宋体"/>
                <w:color w:val="auto"/>
                <w:szCs w:val="21"/>
                <w:highlight w:val="none"/>
                <w:u w:val="none"/>
              </w:rPr>
              <w:t>或</w:t>
            </w:r>
            <w:r>
              <w:rPr>
                <w:rFonts w:hint="eastAsia" w:ascii="宋体" w:hAnsi="宋体" w:cs="宋体"/>
                <w:color w:val="auto"/>
                <w:highlight w:val="none"/>
                <w:u w:val="none"/>
              </w:rPr>
              <w:t>服务期限</w:t>
            </w:r>
          </w:p>
        </w:tc>
        <w:tc>
          <w:tcPr>
            <w:tcW w:w="3930" w:type="pct"/>
            <w:gridSpan w:val="2"/>
            <w:tcBorders>
              <w:top w:val="single" w:color="auto" w:sz="4" w:space="0"/>
              <w:left w:val="single" w:color="auto" w:sz="4" w:space="0"/>
              <w:bottom w:val="single" w:color="auto" w:sz="4" w:space="0"/>
              <w:right w:val="single" w:color="auto" w:sz="4" w:space="0"/>
            </w:tcBorders>
            <w:vAlign w:val="center"/>
          </w:tcPr>
          <w:p w14:paraId="6F728661">
            <w:pPr>
              <w:spacing w:line="360" w:lineRule="auto"/>
              <w:jc w:val="left"/>
              <w:rPr>
                <w:rFonts w:hint="eastAsia" w:ascii="宋体" w:hAnsi="宋体" w:eastAsia="宋体" w:cs="宋体"/>
                <w:color w:val="auto"/>
                <w:highlight w:val="none"/>
                <w:u w:val="none"/>
                <w:lang w:eastAsia="zh-CN"/>
              </w:rPr>
            </w:pPr>
            <w:r>
              <w:rPr>
                <w:rFonts w:hint="eastAsia" w:ascii="宋体" w:hAnsi="宋体" w:cs="宋体"/>
                <w:color w:val="000000"/>
                <w:sz w:val="21"/>
                <w:szCs w:val="21"/>
                <w:highlight w:val="none"/>
              </w:rPr>
              <w:t>自合同签订之日起两年。</w:t>
            </w:r>
          </w:p>
        </w:tc>
      </w:tr>
      <w:tr w14:paraId="300D229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47" w:hRule="atLeast"/>
          <w:jc w:val="center"/>
        </w:trPr>
        <w:tc>
          <w:tcPr>
            <w:tcW w:w="1069" w:type="pct"/>
            <w:gridSpan w:val="2"/>
            <w:tcBorders>
              <w:top w:val="single" w:color="auto" w:sz="4" w:space="0"/>
              <w:left w:val="single" w:color="auto" w:sz="4" w:space="0"/>
              <w:bottom w:val="single" w:color="auto" w:sz="4" w:space="0"/>
              <w:right w:val="single" w:color="auto" w:sz="4" w:space="0"/>
            </w:tcBorders>
            <w:vAlign w:val="center"/>
          </w:tcPr>
          <w:p w14:paraId="5DBDF764">
            <w:pPr>
              <w:spacing w:line="360" w:lineRule="auto"/>
              <w:jc w:val="center"/>
              <w:rPr>
                <w:rFonts w:hint="default" w:ascii="宋体" w:hAnsi="宋体" w:eastAsia="宋体" w:cs="宋体"/>
                <w:color w:val="auto"/>
                <w:highlight w:val="none"/>
                <w:u w:val="none"/>
                <w:lang w:val="en-US" w:eastAsia="zh-CN"/>
              </w:rPr>
            </w:pPr>
            <w:r>
              <w:rPr>
                <w:rFonts w:hint="eastAsia" w:ascii="宋体" w:hAnsi="宋体" w:cs="宋体"/>
                <w:color w:val="auto"/>
                <w:szCs w:val="21"/>
                <w:highlight w:val="none"/>
                <w:u w:val="none"/>
                <w:lang w:val="en-US" w:eastAsia="zh-CN"/>
              </w:rPr>
              <w:t>2、</w:t>
            </w:r>
            <w:r>
              <w:rPr>
                <w:rFonts w:hint="eastAsia" w:ascii="宋体" w:hAnsi="宋体" w:cs="宋体"/>
                <w:color w:val="auto"/>
                <w:szCs w:val="21"/>
                <w:highlight w:val="none"/>
                <w:u w:val="none"/>
              </w:rPr>
              <w:t>服务地点</w:t>
            </w:r>
            <w:r>
              <w:rPr>
                <w:rFonts w:hint="eastAsia" w:ascii="宋体" w:hAnsi="宋体" w:cs="宋体"/>
                <w:color w:val="auto"/>
                <w:szCs w:val="21"/>
                <w:highlight w:val="none"/>
                <w:u w:val="none"/>
                <w:lang w:val="en-US" w:eastAsia="zh-CN"/>
              </w:rPr>
              <w:t>及交付要求</w:t>
            </w:r>
          </w:p>
        </w:tc>
        <w:tc>
          <w:tcPr>
            <w:tcW w:w="3930" w:type="pct"/>
            <w:gridSpan w:val="2"/>
            <w:tcBorders>
              <w:top w:val="single" w:color="auto" w:sz="4" w:space="0"/>
              <w:left w:val="single" w:color="auto" w:sz="4" w:space="0"/>
              <w:bottom w:val="single" w:color="auto" w:sz="4" w:space="0"/>
              <w:right w:val="single" w:color="auto" w:sz="4" w:space="0"/>
            </w:tcBorders>
            <w:vAlign w:val="center"/>
          </w:tcPr>
          <w:p w14:paraId="6196D171">
            <w:pPr>
              <w:spacing w:line="360" w:lineRule="auto"/>
              <w:jc w:val="left"/>
              <w:rPr>
                <w:rFonts w:hint="default" w:ascii="宋体" w:hAnsi="宋体" w:eastAsia="宋体" w:cs="宋体"/>
                <w:color w:val="auto"/>
                <w:highlight w:val="none"/>
                <w:u w:val="none"/>
                <w:lang w:val="en-US" w:eastAsia="zh-CN"/>
              </w:rPr>
            </w:pPr>
            <w:r>
              <w:rPr>
                <w:rFonts w:hint="eastAsia" w:ascii="宋体" w:hAnsi="宋体" w:cs="宋体"/>
                <w:color w:val="auto"/>
                <w:szCs w:val="21"/>
                <w:highlight w:val="none"/>
                <w:u w:val="none"/>
              </w:rPr>
              <w:t>南宁市双拥路6号广西医科大学第一附属医院内</w:t>
            </w:r>
            <w:r>
              <w:rPr>
                <w:rFonts w:hint="eastAsia" w:ascii="宋体" w:hAnsi="宋体" w:cs="宋体"/>
                <w:color w:val="auto"/>
                <w:szCs w:val="21"/>
                <w:highlight w:val="none"/>
                <w:u w:val="none"/>
                <w:lang w:eastAsia="zh-CN"/>
              </w:rPr>
              <w:t>。</w:t>
            </w:r>
          </w:p>
        </w:tc>
      </w:tr>
      <w:tr w14:paraId="5E736B0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069" w:type="pct"/>
            <w:gridSpan w:val="2"/>
            <w:tcBorders>
              <w:top w:val="single" w:color="auto" w:sz="4" w:space="0"/>
              <w:left w:val="single" w:color="auto" w:sz="4" w:space="0"/>
              <w:bottom w:val="single" w:color="auto" w:sz="4" w:space="0"/>
              <w:right w:val="single" w:color="auto" w:sz="4" w:space="0"/>
            </w:tcBorders>
            <w:vAlign w:val="center"/>
          </w:tcPr>
          <w:p w14:paraId="668FD367">
            <w:pPr>
              <w:spacing w:line="360" w:lineRule="auto"/>
              <w:jc w:val="center"/>
              <w:rPr>
                <w:rFonts w:ascii="宋体" w:hAnsi="宋体" w:cs="宋体"/>
                <w:bCs/>
                <w:color w:val="auto"/>
                <w:szCs w:val="21"/>
                <w:highlight w:val="none"/>
                <w:u w:val="none"/>
              </w:rPr>
            </w:pPr>
            <w:r>
              <w:rPr>
                <w:rFonts w:hint="eastAsia" w:ascii="宋体" w:hAnsi="宋体" w:cs="宋体"/>
                <w:color w:val="auto"/>
                <w:szCs w:val="21"/>
                <w:highlight w:val="none"/>
                <w:u w:val="none"/>
                <w:lang w:val="en-US" w:eastAsia="zh-CN"/>
              </w:rPr>
              <w:t>3、</w:t>
            </w:r>
            <w:r>
              <w:rPr>
                <w:rFonts w:hint="eastAsia" w:ascii="宋体" w:hAnsi="宋体" w:cs="宋体"/>
                <w:color w:val="auto"/>
                <w:szCs w:val="21"/>
                <w:highlight w:val="none"/>
                <w:u w:val="none"/>
              </w:rPr>
              <w:t>付款方式、时间、条件</w:t>
            </w:r>
          </w:p>
        </w:tc>
        <w:tc>
          <w:tcPr>
            <w:tcW w:w="3930" w:type="pct"/>
            <w:gridSpan w:val="2"/>
            <w:tcBorders>
              <w:top w:val="single" w:color="auto" w:sz="4" w:space="0"/>
              <w:left w:val="single" w:color="auto" w:sz="4" w:space="0"/>
              <w:bottom w:val="single" w:color="auto" w:sz="4" w:space="0"/>
              <w:right w:val="single" w:color="auto" w:sz="4" w:space="0"/>
            </w:tcBorders>
            <w:vAlign w:val="center"/>
          </w:tcPr>
          <w:p w14:paraId="4B23B6FC">
            <w:pPr>
              <w:spacing w:line="360" w:lineRule="auto"/>
              <w:jc w:val="left"/>
              <w:rPr>
                <w:rFonts w:ascii="宋体" w:hAnsi="宋体" w:cs="宋体"/>
                <w:color w:val="auto"/>
                <w:szCs w:val="21"/>
                <w:highlight w:val="none"/>
                <w:u w:val="none"/>
              </w:rPr>
            </w:pPr>
            <w:r>
              <w:rPr>
                <w:rFonts w:hint="eastAsia" w:ascii="宋体" w:hAnsi="宋体" w:cs="宋体"/>
                <w:color w:val="auto"/>
                <w:szCs w:val="21"/>
                <w:highlight w:val="none"/>
                <w:u w:val="none"/>
              </w:rPr>
              <w:t>1.本项目</w:t>
            </w:r>
            <w:r>
              <w:rPr>
                <w:rFonts w:hint="eastAsia" w:ascii="宋体" w:hAnsi="宋体" w:cs="宋体"/>
                <w:color w:val="auto"/>
                <w:szCs w:val="21"/>
                <w:highlight w:val="none"/>
                <w:u w:val="none"/>
                <w:lang w:val="en-US" w:eastAsia="zh-CN"/>
              </w:rPr>
              <w:t>按月</w:t>
            </w:r>
            <w:r>
              <w:rPr>
                <w:rFonts w:hint="eastAsia" w:ascii="宋体" w:hAnsi="宋体" w:cs="宋体"/>
                <w:color w:val="auto"/>
                <w:szCs w:val="21"/>
                <w:highlight w:val="none"/>
                <w:u w:val="none"/>
              </w:rPr>
              <w:t>付款，</w:t>
            </w:r>
            <w:r>
              <w:rPr>
                <w:rFonts w:hint="eastAsia" w:ascii="宋体" w:hAnsi="宋体" w:cs="宋体"/>
                <w:color w:val="auto"/>
                <w:szCs w:val="21"/>
                <w:highlight w:val="none"/>
                <w:u w:val="none"/>
                <w:lang w:val="en-US" w:eastAsia="zh-CN"/>
              </w:rPr>
              <w:t>每月支付一次。</w:t>
            </w:r>
            <w:r>
              <w:rPr>
                <w:rFonts w:hint="eastAsia" w:ascii="宋体" w:hAnsi="宋体" w:cs="宋体"/>
                <w:color w:val="auto"/>
                <w:szCs w:val="21"/>
                <w:highlight w:val="none"/>
                <w:u w:val="none"/>
              </w:rPr>
              <w:t>全部货物验收合格后，</w:t>
            </w:r>
            <w:r>
              <w:rPr>
                <w:rFonts w:hint="eastAsia" w:ascii="宋体" w:hAnsi="宋体" w:eastAsia="宋体" w:cs="宋体"/>
                <w:color w:val="auto"/>
                <w:sz w:val="21"/>
                <w:szCs w:val="21"/>
                <w:highlight w:val="none"/>
                <w:lang w:val="en-US" w:eastAsia="zh-CN"/>
              </w:rPr>
              <w:t>采购人与供应商</w:t>
            </w:r>
            <w:r>
              <w:rPr>
                <w:rFonts w:hint="eastAsia" w:ascii="宋体" w:hAnsi="宋体" w:eastAsia="宋体" w:cs="宋体"/>
                <w:color w:val="auto"/>
                <w:sz w:val="21"/>
                <w:szCs w:val="21"/>
                <w:highlight w:val="none"/>
              </w:rPr>
              <w:t>双方对考核表扣减费用进行核对后</w:t>
            </w:r>
            <w:r>
              <w:rPr>
                <w:rFonts w:hint="eastAsia" w:ascii="宋体" w:hAnsi="宋体" w:eastAsia="宋体" w:cs="宋体"/>
                <w:color w:val="auto"/>
                <w:sz w:val="21"/>
                <w:szCs w:val="21"/>
                <w:highlight w:val="none"/>
                <w:lang w:eastAsia="zh-CN"/>
              </w:rPr>
              <w:t>，</w:t>
            </w:r>
            <w:r>
              <w:rPr>
                <w:rFonts w:hint="eastAsia" w:ascii="宋体" w:hAnsi="宋体" w:cs="宋体"/>
                <w:color w:val="auto"/>
                <w:szCs w:val="21"/>
                <w:highlight w:val="none"/>
                <w:u w:val="none"/>
              </w:rPr>
              <w:t>按照供货数量结算，供应商将发票等相关付款资料</w:t>
            </w:r>
            <w:r>
              <w:rPr>
                <w:rFonts w:hint="eastAsia" w:ascii="宋体" w:hAnsi="宋体" w:cs="宋体"/>
                <w:color w:val="auto"/>
                <w:szCs w:val="21"/>
                <w:highlight w:val="none"/>
                <w:u w:val="none"/>
                <w:lang w:eastAsia="zh-CN"/>
              </w:rPr>
              <w:t>交予</w:t>
            </w:r>
            <w:r>
              <w:rPr>
                <w:rFonts w:hint="eastAsia" w:ascii="宋体" w:hAnsi="宋体" w:cs="宋体"/>
                <w:color w:val="auto"/>
                <w:szCs w:val="21"/>
                <w:highlight w:val="none"/>
                <w:u w:val="none"/>
              </w:rPr>
              <w:t>采购人，采购人</w:t>
            </w:r>
            <w:r>
              <w:rPr>
                <w:rFonts w:hint="eastAsia" w:ascii="宋体" w:hAnsi="宋体" w:cs="宋体"/>
                <w:color w:val="auto"/>
                <w:szCs w:val="21"/>
                <w:highlight w:val="none"/>
                <w:u w:val="none"/>
                <w:lang w:val="en-US" w:eastAsia="zh-CN"/>
              </w:rPr>
              <w:t>次月</w:t>
            </w:r>
            <w:r>
              <w:rPr>
                <w:rFonts w:hint="eastAsia" w:ascii="宋体" w:hAnsi="宋体" w:cs="宋体"/>
                <w:bCs/>
                <w:color w:val="000000"/>
                <w:kern w:val="0"/>
                <w:szCs w:val="21"/>
                <w:highlight w:val="none"/>
              </w:rPr>
              <w:t>自材料审核完成之日起</w:t>
            </w:r>
            <w:r>
              <w:rPr>
                <w:rFonts w:hint="eastAsia" w:ascii="宋体" w:hAnsi="宋体" w:cs="宋体"/>
                <w:color w:val="auto"/>
                <w:szCs w:val="21"/>
                <w:highlight w:val="none"/>
                <w:u w:val="none"/>
              </w:rPr>
              <w:t>15个工作日内付款。</w:t>
            </w:r>
          </w:p>
          <w:p w14:paraId="67AFEEE6">
            <w:pPr>
              <w:spacing w:line="360" w:lineRule="auto"/>
              <w:jc w:val="left"/>
              <w:rPr>
                <w:rFonts w:ascii="宋体" w:hAnsi="宋体" w:cs="宋体"/>
                <w:color w:val="auto"/>
                <w:szCs w:val="21"/>
                <w:highlight w:val="none"/>
                <w:u w:val="none"/>
              </w:rPr>
            </w:pPr>
            <w:r>
              <w:rPr>
                <w:rFonts w:hint="eastAsia" w:ascii="宋体" w:hAnsi="宋体" w:cs="宋体"/>
                <w:color w:val="auto"/>
                <w:szCs w:val="21"/>
                <w:highlight w:val="none"/>
                <w:u w:val="none"/>
              </w:rPr>
              <w:t>2.结算金额=配送数量（</w:t>
            </w:r>
            <w:r>
              <w:rPr>
                <w:rFonts w:hint="eastAsia" w:ascii="宋体" w:hAnsi="宋体" w:cs="宋体"/>
                <w:color w:val="auto"/>
                <w:szCs w:val="21"/>
                <w:highlight w:val="none"/>
                <w:u w:val="none"/>
                <w:lang w:eastAsia="zh-CN"/>
              </w:rPr>
              <w:t>以</w:t>
            </w:r>
            <w:r>
              <w:rPr>
                <w:rFonts w:hint="eastAsia" w:ascii="宋体" w:hAnsi="宋体" w:cs="宋体"/>
                <w:color w:val="auto"/>
                <w:szCs w:val="21"/>
                <w:highlight w:val="none"/>
                <w:u w:val="none"/>
              </w:rPr>
              <w:t>验收单</w:t>
            </w:r>
            <w:r>
              <w:rPr>
                <w:rFonts w:hint="eastAsia" w:ascii="宋体" w:hAnsi="宋体" w:cs="宋体"/>
                <w:color w:val="auto"/>
                <w:szCs w:val="21"/>
                <w:highlight w:val="none"/>
                <w:u w:val="none"/>
                <w:lang w:val="en-US" w:eastAsia="zh-CN"/>
              </w:rPr>
              <w:t>记载</w:t>
            </w:r>
            <w:r>
              <w:rPr>
                <w:rFonts w:hint="eastAsia" w:ascii="宋体" w:hAnsi="宋体" w:cs="宋体"/>
                <w:color w:val="auto"/>
                <w:szCs w:val="21"/>
                <w:highlight w:val="none"/>
                <w:u w:val="none"/>
              </w:rPr>
              <w:t>数量为准）×</w:t>
            </w:r>
            <w:r>
              <w:rPr>
                <w:rFonts w:hint="eastAsia" w:ascii="宋体" w:hAnsi="宋体" w:cs="宋体"/>
                <w:color w:val="auto"/>
                <w:szCs w:val="21"/>
                <w:highlight w:val="none"/>
                <w:u w:val="none"/>
                <w:lang w:val="en-US" w:eastAsia="zh-CN"/>
              </w:rPr>
              <w:t>实际供货价</w:t>
            </w:r>
            <w:r>
              <w:rPr>
                <w:rFonts w:hint="eastAsia" w:ascii="宋体" w:hAnsi="宋体" w:cs="宋体"/>
                <w:color w:val="auto"/>
                <w:szCs w:val="21"/>
                <w:highlight w:val="none"/>
                <w:u w:val="none"/>
              </w:rPr>
              <w:t>单价；</w:t>
            </w:r>
          </w:p>
          <w:p w14:paraId="28371409">
            <w:pPr>
              <w:widowControl/>
              <w:spacing w:line="360" w:lineRule="auto"/>
              <w:jc w:val="left"/>
              <w:rPr>
                <w:rFonts w:ascii="宋体" w:hAnsi="宋体" w:cs="宋体"/>
                <w:color w:val="auto"/>
                <w:highlight w:val="none"/>
                <w:u w:val="none"/>
              </w:rPr>
            </w:pPr>
            <w:r>
              <w:rPr>
                <w:rFonts w:hint="eastAsia" w:ascii="宋体" w:hAnsi="宋体" w:cs="宋体"/>
                <w:color w:val="auto"/>
                <w:szCs w:val="21"/>
                <w:highlight w:val="none"/>
                <w:u w:val="none"/>
              </w:rPr>
              <w:t>本</w:t>
            </w:r>
            <w:r>
              <w:rPr>
                <w:rFonts w:hint="eastAsia" w:ascii="宋体" w:hAnsi="宋体" w:cs="宋体"/>
                <w:color w:val="auto"/>
                <w:szCs w:val="21"/>
                <w:highlight w:val="none"/>
                <w:u w:val="none"/>
                <w:lang w:val="en-US" w:eastAsia="zh-CN"/>
              </w:rPr>
              <w:t>采购需求</w:t>
            </w:r>
            <w:r>
              <w:rPr>
                <w:rFonts w:hint="eastAsia" w:ascii="宋体" w:hAnsi="宋体" w:cs="宋体"/>
                <w:color w:val="auto"/>
                <w:szCs w:val="21"/>
                <w:highlight w:val="none"/>
                <w:u w:val="none"/>
              </w:rPr>
              <w:t>使用货币币制如未特别说明均为人民币。</w:t>
            </w:r>
          </w:p>
        </w:tc>
      </w:tr>
      <w:tr w14:paraId="606AD0A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641" w:hRule="atLeast"/>
          <w:jc w:val="center"/>
        </w:trPr>
        <w:tc>
          <w:tcPr>
            <w:tcW w:w="1069" w:type="pct"/>
            <w:gridSpan w:val="2"/>
            <w:tcBorders>
              <w:top w:val="single" w:color="auto" w:sz="4" w:space="0"/>
              <w:left w:val="single" w:color="auto" w:sz="4" w:space="0"/>
              <w:bottom w:val="single" w:color="auto" w:sz="4" w:space="0"/>
              <w:right w:val="single" w:color="auto" w:sz="4" w:space="0"/>
            </w:tcBorders>
            <w:vAlign w:val="center"/>
          </w:tcPr>
          <w:p w14:paraId="6A00DDEF">
            <w:pPr>
              <w:spacing w:line="360" w:lineRule="auto"/>
              <w:jc w:val="center"/>
              <w:rPr>
                <w:rFonts w:hint="eastAsia" w:ascii="宋体" w:hAnsi="宋体" w:eastAsia="宋体" w:cs="宋体"/>
                <w:color w:val="auto"/>
                <w:szCs w:val="21"/>
                <w:highlight w:val="none"/>
                <w:u w:val="none"/>
                <w:lang w:eastAsia="zh-CN"/>
              </w:rPr>
            </w:pPr>
            <w:r>
              <w:rPr>
                <w:rFonts w:hint="eastAsia" w:ascii="宋体" w:hAnsi="宋体" w:cs="宋体"/>
                <w:color w:val="auto"/>
                <w:szCs w:val="21"/>
                <w:highlight w:val="none"/>
                <w:u w:val="none"/>
                <w:lang w:val="en-US" w:eastAsia="zh-CN"/>
              </w:rPr>
              <w:t>4、</w:t>
            </w:r>
            <w:r>
              <w:rPr>
                <w:rFonts w:hint="eastAsia" w:ascii="宋体" w:hAnsi="宋体" w:cs="宋体"/>
                <w:color w:val="auto"/>
                <w:szCs w:val="21"/>
                <w:highlight w:val="none"/>
                <w:u w:val="none"/>
                <w:lang w:eastAsia="zh-CN"/>
              </w:rPr>
              <w:t>报价方式</w:t>
            </w:r>
          </w:p>
        </w:tc>
        <w:tc>
          <w:tcPr>
            <w:tcW w:w="3930" w:type="pct"/>
            <w:gridSpan w:val="2"/>
            <w:tcBorders>
              <w:top w:val="single" w:color="auto" w:sz="4" w:space="0"/>
              <w:left w:val="single" w:color="auto" w:sz="4" w:space="0"/>
              <w:bottom w:val="single" w:color="auto" w:sz="4" w:space="0"/>
              <w:right w:val="single" w:color="auto" w:sz="4" w:space="0"/>
            </w:tcBorders>
            <w:vAlign w:val="center"/>
          </w:tcPr>
          <w:p w14:paraId="5BDE25D1">
            <w:pPr>
              <w:widowControl/>
              <w:spacing w:line="360" w:lineRule="auto"/>
              <w:jc w:val="left"/>
              <w:rPr>
                <w:rFonts w:hint="eastAsia" w:ascii="宋体" w:hAnsi="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1.</w:t>
            </w:r>
            <w:r>
              <w:rPr>
                <w:rFonts w:hint="eastAsia" w:ascii="宋体" w:hAnsi="宋体" w:eastAsia="宋体" w:cs="宋体"/>
                <w:color w:val="auto"/>
                <w:sz w:val="21"/>
                <w:szCs w:val="21"/>
                <w:highlight w:val="none"/>
                <w:u w:val="none"/>
              </w:rPr>
              <w:t>鸡蛋按</w:t>
            </w:r>
            <w:r>
              <w:rPr>
                <w:rFonts w:hint="eastAsia" w:ascii="宋体" w:hAnsi="宋体" w:eastAsia="宋体" w:cs="宋体"/>
                <w:color w:val="auto"/>
                <w:sz w:val="21"/>
                <w:szCs w:val="21"/>
                <w:highlight w:val="none"/>
                <w:u w:val="none"/>
                <w:lang w:eastAsia="zh-CN"/>
              </w:rPr>
              <w:t>微信公众号“河北馆陶鸡蛋报价”</w:t>
            </w:r>
            <w:r>
              <w:rPr>
                <w:rFonts w:hint="eastAsia" w:ascii="宋体" w:hAnsi="宋体" w:cs="宋体"/>
                <w:color w:val="auto"/>
                <w:sz w:val="21"/>
                <w:szCs w:val="21"/>
                <w:highlight w:val="none"/>
                <w:u w:val="none"/>
                <w:lang w:val="en-US" w:eastAsia="zh-CN"/>
              </w:rPr>
              <w:t>的</w:t>
            </w:r>
            <w:r>
              <w:rPr>
                <w:rFonts w:hint="eastAsia" w:ascii="宋体" w:hAnsi="宋体" w:eastAsia="宋体" w:cs="宋体"/>
                <w:color w:val="auto"/>
                <w:sz w:val="21"/>
                <w:szCs w:val="21"/>
                <w:highlight w:val="none"/>
                <w:u w:val="none"/>
              </w:rPr>
              <w:t>“</w:t>
            </w:r>
            <w:r>
              <w:rPr>
                <w:rFonts w:hint="eastAsia" w:ascii="宋体" w:hAnsi="宋体" w:eastAsia="宋体" w:cs="宋体"/>
                <w:color w:val="auto"/>
                <w:sz w:val="21"/>
                <w:szCs w:val="21"/>
                <w:highlight w:val="none"/>
                <w:u w:val="none"/>
                <w:lang w:val="en-US" w:eastAsia="zh-CN"/>
              </w:rPr>
              <w:t>精品菜花黄蛋托（粉蛋）</w:t>
            </w:r>
            <w:r>
              <w:rPr>
                <w:rFonts w:hint="eastAsia" w:ascii="宋体" w:hAnsi="宋体" w:cs="宋体"/>
                <w:color w:val="auto"/>
                <w:sz w:val="21"/>
                <w:szCs w:val="21"/>
                <w:highlight w:val="none"/>
                <w:u w:val="none"/>
                <w:lang w:val="en-US" w:eastAsia="zh-CN"/>
              </w:rPr>
              <w:t xml:space="preserve"> 净重45斤</w:t>
            </w:r>
            <w:r>
              <w:rPr>
                <w:rFonts w:hint="eastAsia" w:ascii="宋体" w:hAnsi="宋体" w:eastAsia="宋体" w:cs="宋体"/>
                <w:color w:val="auto"/>
                <w:sz w:val="21"/>
                <w:szCs w:val="21"/>
                <w:highlight w:val="none"/>
                <w:u w:val="none"/>
              </w:rPr>
              <w:t>”</w:t>
            </w:r>
            <w:r>
              <w:rPr>
                <w:rFonts w:hint="eastAsia" w:ascii="宋体" w:hAnsi="宋体" w:cs="宋体"/>
                <w:color w:val="auto"/>
                <w:sz w:val="21"/>
                <w:szCs w:val="21"/>
                <w:highlight w:val="none"/>
                <w:u w:val="none"/>
                <w:lang w:val="en-US" w:eastAsia="zh-CN"/>
              </w:rPr>
              <w:t>的单价（元/斤）</w:t>
            </w:r>
            <w:r>
              <w:rPr>
                <w:rFonts w:hint="eastAsia" w:ascii="宋体" w:hAnsi="宋体" w:eastAsia="宋体" w:cs="宋体"/>
                <w:color w:val="auto"/>
                <w:sz w:val="21"/>
                <w:szCs w:val="21"/>
                <w:highlight w:val="none"/>
                <w:u w:val="none"/>
              </w:rPr>
              <w:t>为基准</w:t>
            </w:r>
            <w:r>
              <w:rPr>
                <w:rFonts w:hint="eastAsia" w:ascii="宋体" w:hAnsi="宋体" w:cs="宋体"/>
                <w:color w:val="auto"/>
                <w:sz w:val="21"/>
                <w:szCs w:val="21"/>
                <w:highlight w:val="none"/>
                <w:u w:val="none"/>
                <w:lang w:val="en-US" w:eastAsia="zh-CN"/>
              </w:rPr>
              <w:t>价进行报价。</w:t>
            </w:r>
          </w:p>
          <w:p w14:paraId="67D80BD4">
            <w:pPr>
              <w:widowControl/>
              <w:spacing w:line="360" w:lineRule="auto"/>
              <w:jc w:val="left"/>
              <w:rPr>
                <w:rFonts w:hint="eastAsia" w:ascii="宋体" w:hAnsi="宋体" w:eastAsia="宋体" w:cs="宋体"/>
                <w:b/>
                <w:bCs/>
                <w:color w:val="auto"/>
                <w:sz w:val="21"/>
                <w:szCs w:val="21"/>
                <w:highlight w:val="none"/>
                <w:u w:val="none"/>
                <w:lang w:val="en-US" w:eastAsia="zh-CN"/>
              </w:rPr>
            </w:pPr>
            <w:r>
              <w:rPr>
                <w:rFonts w:hint="eastAsia" w:ascii="宋体" w:hAnsi="宋体" w:cs="宋体"/>
                <w:color w:val="auto"/>
                <w:sz w:val="21"/>
                <w:szCs w:val="21"/>
                <w:highlight w:val="none"/>
                <w:u w:val="none"/>
                <w:lang w:val="en-US" w:eastAsia="zh-CN"/>
              </w:rPr>
              <w:t>由于该公众号公布的价格不包含运费、服务费、税费等费用，因此本项目报价采用</w:t>
            </w:r>
            <w:r>
              <w:rPr>
                <w:rFonts w:hint="eastAsia" w:ascii="宋体" w:hAnsi="宋体" w:cs="宋体"/>
                <w:b/>
                <w:bCs/>
                <w:color w:val="auto"/>
                <w:sz w:val="21"/>
                <w:szCs w:val="21"/>
                <w:highlight w:val="none"/>
                <w:u w:val="none"/>
                <w:lang w:val="en-US" w:eastAsia="zh-CN"/>
              </w:rPr>
              <w:t>浮动率报价</w:t>
            </w:r>
            <w:r>
              <w:rPr>
                <w:rFonts w:hint="eastAsia" w:ascii="宋体" w:hAnsi="宋体" w:cs="宋体"/>
                <w:color w:val="auto"/>
                <w:sz w:val="21"/>
                <w:szCs w:val="21"/>
                <w:highlight w:val="none"/>
                <w:u w:val="none"/>
                <w:lang w:val="en-US" w:eastAsia="zh-CN"/>
              </w:rPr>
              <w:t>方式，</w:t>
            </w:r>
            <w:r>
              <w:rPr>
                <w:rFonts w:hint="eastAsia" w:ascii="宋体" w:hAnsi="宋体" w:eastAsia="宋体" w:cs="宋体"/>
                <w:color w:val="auto"/>
                <w:sz w:val="21"/>
                <w:szCs w:val="21"/>
                <w:highlight w:val="none"/>
                <w:u w:val="none"/>
                <w:lang w:eastAsia="zh-CN"/>
              </w:rPr>
              <w:t>实际供货价</w:t>
            </w:r>
            <w:r>
              <w:rPr>
                <w:rFonts w:hint="eastAsia" w:ascii="宋体" w:hAnsi="宋体" w:eastAsia="宋体" w:cs="宋体"/>
                <w:color w:val="auto"/>
                <w:sz w:val="21"/>
                <w:szCs w:val="21"/>
                <w:highlight w:val="none"/>
                <w:u w:val="none"/>
                <w:lang w:val="en-US" w:eastAsia="zh-CN"/>
              </w:rPr>
              <w:t>=</w:t>
            </w:r>
            <w:r>
              <w:rPr>
                <w:rFonts w:hint="eastAsia" w:ascii="宋体" w:hAnsi="宋体" w:cs="宋体"/>
                <w:color w:val="auto"/>
                <w:sz w:val="21"/>
                <w:szCs w:val="21"/>
                <w:highlight w:val="none"/>
                <w:u w:val="none"/>
                <w:lang w:val="en-US" w:eastAsia="zh-CN"/>
              </w:rPr>
              <w:t>基准价</w:t>
            </w:r>
            <w:r>
              <w:rPr>
                <w:rFonts w:hint="eastAsia" w:ascii="宋体" w:hAnsi="宋体" w:eastAsia="宋体" w:cs="宋体"/>
                <w:color w:val="auto"/>
                <w:sz w:val="21"/>
                <w:szCs w:val="21"/>
                <w:highlight w:val="none"/>
                <w:u w:val="none"/>
                <w:lang w:val="en-US" w:eastAsia="zh-CN"/>
              </w:rPr>
              <w:t>×（1+</w:t>
            </w:r>
            <w:r>
              <w:rPr>
                <w:rFonts w:hint="eastAsia" w:ascii="宋体" w:hAnsi="宋体" w:cs="宋体"/>
                <w:color w:val="auto"/>
                <w:sz w:val="21"/>
                <w:szCs w:val="21"/>
                <w:highlight w:val="none"/>
                <w:u w:val="none"/>
                <w:lang w:val="en-US" w:eastAsia="zh-CN"/>
              </w:rPr>
              <w:t>浮动</w:t>
            </w:r>
            <w:r>
              <w:rPr>
                <w:rFonts w:hint="eastAsia" w:ascii="宋体" w:hAnsi="宋体" w:eastAsia="宋体" w:cs="宋体"/>
                <w:color w:val="auto"/>
                <w:sz w:val="21"/>
                <w:szCs w:val="21"/>
                <w:highlight w:val="none"/>
                <w:u w:val="none"/>
                <w:lang w:val="en-US" w:eastAsia="zh-CN"/>
              </w:rPr>
              <w:t>率</w:t>
            </w:r>
            <w:r>
              <w:rPr>
                <w:rFonts w:hint="eastAsia" w:ascii="宋体" w:hAnsi="宋体" w:cs="宋体"/>
                <w:color w:val="auto"/>
                <w:sz w:val="21"/>
                <w:szCs w:val="21"/>
                <w:highlight w:val="none"/>
                <w:u w:val="none"/>
                <w:lang w:val="en-US" w:eastAsia="zh-CN"/>
              </w:rPr>
              <w:t>X</w:t>
            </w:r>
            <w:r>
              <w:rPr>
                <w:rFonts w:hint="eastAsia" w:ascii="宋体" w:hAnsi="宋体" w:eastAsia="宋体" w:cs="宋体"/>
                <w:color w:val="auto"/>
                <w:sz w:val="21"/>
                <w:szCs w:val="21"/>
                <w:highlight w:val="none"/>
                <w:u w:val="none"/>
                <w:lang w:val="en-US" w:eastAsia="zh-CN"/>
              </w:rPr>
              <w:t>）。</w:t>
            </w:r>
            <w:r>
              <w:rPr>
                <w:rFonts w:hint="eastAsia" w:ascii="宋体" w:hAnsi="宋体" w:eastAsia="宋体" w:cs="宋体"/>
                <w:b/>
                <w:bCs/>
                <w:color w:val="auto"/>
                <w:sz w:val="21"/>
                <w:szCs w:val="21"/>
                <w:highlight w:val="none"/>
                <w:u w:val="none"/>
                <w:lang w:val="en-US" w:eastAsia="zh-CN"/>
              </w:rPr>
              <w:t>有效报价范围为：</w:t>
            </w:r>
            <w:r>
              <w:rPr>
                <w:rFonts w:hint="eastAsia" w:ascii="宋体" w:hAnsi="宋体" w:cs="宋体"/>
                <w:b/>
                <w:bCs/>
                <w:color w:val="auto"/>
                <w:sz w:val="21"/>
                <w:szCs w:val="21"/>
                <w:highlight w:val="none"/>
                <w:u w:val="none"/>
                <w:lang w:val="en-US" w:eastAsia="zh-CN"/>
              </w:rPr>
              <w:t>0≤浮动率X≤35</w:t>
            </w:r>
            <w:r>
              <w:rPr>
                <w:rFonts w:hint="eastAsia" w:ascii="宋体" w:hAnsi="宋体" w:eastAsia="宋体" w:cs="宋体"/>
                <w:b/>
                <w:bCs/>
                <w:color w:val="auto"/>
                <w:sz w:val="21"/>
                <w:szCs w:val="21"/>
                <w:highlight w:val="none"/>
                <w:u w:val="none"/>
                <w:lang w:val="en-US" w:eastAsia="zh-CN"/>
              </w:rPr>
              <w:t>%</w:t>
            </w:r>
            <w:r>
              <w:rPr>
                <w:rFonts w:hint="eastAsia" w:ascii="宋体" w:hAnsi="宋体" w:cs="宋体"/>
                <w:b/>
                <w:bCs/>
                <w:color w:val="auto"/>
                <w:sz w:val="21"/>
                <w:szCs w:val="21"/>
                <w:highlight w:val="none"/>
                <w:u w:val="none"/>
                <w:lang w:val="en-US" w:eastAsia="zh-CN"/>
              </w:rPr>
              <w:t>。</w:t>
            </w:r>
          </w:p>
          <w:p w14:paraId="0C93E169">
            <w:pPr>
              <w:widowControl/>
              <w:spacing w:line="360" w:lineRule="auto"/>
              <w:jc w:val="left"/>
              <w:rPr>
                <w:rFonts w:hint="default" w:ascii="宋体" w:hAnsi="宋体" w:cs="宋体"/>
                <w:color w:val="auto"/>
                <w:sz w:val="21"/>
                <w:szCs w:val="21"/>
                <w:highlight w:val="none"/>
                <w:u w:val="none"/>
                <w:lang w:val="en-US" w:eastAsia="zh-CN"/>
              </w:rPr>
            </w:pPr>
            <w:r>
              <w:rPr>
                <w:sz w:val="21"/>
                <w:szCs w:val="21"/>
                <w:highlight w:val="none"/>
              </w:rPr>
              <mc:AlternateContent>
                <mc:Choice Requires="wps">
                  <w:drawing>
                    <wp:anchor distT="0" distB="0" distL="114300" distR="114300" simplePos="0" relativeHeight="251659264" behindDoc="0" locked="0" layoutInCell="1" allowOverlap="1">
                      <wp:simplePos x="0" y="0"/>
                      <wp:positionH relativeFrom="column">
                        <wp:posOffset>147320</wp:posOffset>
                      </wp:positionH>
                      <wp:positionV relativeFrom="paragraph">
                        <wp:posOffset>5606415</wp:posOffset>
                      </wp:positionV>
                      <wp:extent cx="2294255" cy="317500"/>
                      <wp:effectExtent l="13970" t="13970" r="15875" b="30480"/>
                      <wp:wrapNone/>
                      <wp:docPr id="2" name="矩形 2"/>
                      <wp:cNvGraphicFramePr/>
                      <a:graphic xmlns:a="http://schemas.openxmlformats.org/drawingml/2006/main">
                        <a:graphicData uri="http://schemas.microsoft.com/office/word/2010/wordprocessingShape">
                          <wps:wsp>
                            <wps:cNvSpPr/>
                            <wps:spPr>
                              <a:xfrm>
                                <a:off x="2089785" y="6482080"/>
                                <a:ext cx="2294255" cy="317500"/>
                              </a:xfrm>
                              <a:prstGeom prst="rect">
                                <a:avLst/>
                              </a:prstGeom>
                              <a:noFill/>
                              <a:ln w="28575">
                                <a:solidFill>
                                  <a:srgbClr val="FF0000"/>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1.6pt;margin-top:441.45pt;height:25pt;width:180.65pt;z-index:251659264;v-text-anchor:middle;mso-width-relative:page;mso-height-relative:page;" filled="f" stroked="t" coordsize="21600,21600" o:gfxdata="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">
                      <v:fill on="f" focussize="0,0"/>
                      <v:stroke weight="2.25pt" color="#FF0000 [2404]" joinstyle="round"/>
                      <v:imagedata o:title=""/>
                      <o:lock v:ext="edit" aspectratio="f"/>
                    </v:rect>
                  </w:pict>
                </mc:Fallback>
              </mc:AlternateContent>
            </w:r>
            <w:r>
              <w:rPr>
                <w:rFonts w:hint="default" w:ascii="宋体" w:hAnsi="宋体" w:cs="宋体"/>
                <w:color w:val="auto"/>
                <w:sz w:val="21"/>
                <w:szCs w:val="21"/>
                <w:highlight w:val="none"/>
                <w:u w:val="none"/>
                <w:lang w:val="en-US" w:eastAsia="zh-CN"/>
              </w:rPr>
              <w:drawing>
                <wp:inline distT="0" distB="0" distL="114300" distR="114300">
                  <wp:extent cx="2548255" cy="8828405"/>
                  <wp:effectExtent l="0" t="0" r="4445" b="10795"/>
                  <wp:docPr id="19" name="图片 19" descr="38a496cf549fce0c2c8c41e2b1df3e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38a496cf549fce0c2c8c41e2b1df3e65"/>
                          <pic:cNvPicPr>
                            <a:picLocks noChangeAspect="1"/>
                          </pic:cNvPicPr>
                        </pic:nvPicPr>
                        <pic:blipFill>
                          <a:blip r:embed="rId16"/>
                          <a:stretch>
                            <a:fillRect/>
                          </a:stretch>
                        </pic:blipFill>
                        <pic:spPr>
                          <a:xfrm>
                            <a:off x="0" y="0"/>
                            <a:ext cx="2548255" cy="8828405"/>
                          </a:xfrm>
                          <a:prstGeom prst="rect">
                            <a:avLst/>
                          </a:prstGeom>
                        </pic:spPr>
                      </pic:pic>
                    </a:graphicData>
                  </a:graphic>
                </wp:inline>
              </w:drawing>
            </w:r>
          </w:p>
          <w:p w14:paraId="7BAE9F7B">
            <w:pPr>
              <w:widowControl/>
              <w:spacing w:line="360" w:lineRule="auto"/>
              <w:jc w:val="left"/>
              <w:rPr>
                <w:rFonts w:hint="eastAsia" w:ascii="宋体" w:hAnsi="宋体" w:cs="宋体"/>
                <w:color w:val="auto"/>
                <w:sz w:val="21"/>
                <w:szCs w:val="21"/>
                <w:highlight w:val="none"/>
                <w:u w:val="none"/>
                <w:lang w:val="en-US" w:eastAsia="zh-CN"/>
              </w:rPr>
            </w:pPr>
            <w:r>
              <w:rPr>
                <w:rFonts w:hint="eastAsia" w:ascii="宋体" w:hAnsi="宋体" w:cs="宋体"/>
                <w:color w:val="auto"/>
                <w:sz w:val="21"/>
                <w:szCs w:val="21"/>
                <w:highlight w:val="none"/>
                <w:u w:val="none"/>
                <w:lang w:val="en-US" w:eastAsia="zh-CN"/>
              </w:rPr>
              <w:t>[例：2026年3月11日“河北馆陶鸡蛋报价”中，净重45斤的精品菜花黄蛋托（粉蛋）价格为128元，折合基准价为2.84元/斤。实际供货价=2.84×（1+X%）]</w:t>
            </w:r>
          </w:p>
          <w:p w14:paraId="6604C558">
            <w:pPr>
              <w:widowControl/>
              <w:spacing w:line="360" w:lineRule="auto"/>
              <w:jc w:val="left"/>
              <w:rPr>
                <w:rFonts w:hint="eastAsia" w:ascii="宋体" w:hAnsi="宋体" w:eastAsia="宋体" w:cs="宋体"/>
                <w:color w:val="auto"/>
                <w:sz w:val="21"/>
                <w:szCs w:val="21"/>
                <w:highlight w:val="none"/>
                <w:u w:val="none"/>
                <w:lang w:eastAsia="zh-CN"/>
              </w:rPr>
            </w:pPr>
            <w:r>
              <w:rPr>
                <w:rFonts w:hint="eastAsia" w:ascii="宋体" w:hAnsi="宋体" w:cs="宋体"/>
                <w:color w:val="auto"/>
                <w:sz w:val="21"/>
                <w:szCs w:val="21"/>
                <w:highlight w:val="none"/>
                <w:u w:val="none"/>
                <w:lang w:val="en-US" w:eastAsia="zh-CN"/>
              </w:rPr>
              <w:t>2</w:t>
            </w:r>
            <w:r>
              <w:rPr>
                <w:rFonts w:hint="eastAsia" w:ascii="宋体" w:hAnsi="宋体" w:eastAsia="宋体" w:cs="宋体"/>
                <w:color w:val="auto"/>
                <w:sz w:val="21"/>
                <w:szCs w:val="21"/>
                <w:highlight w:val="none"/>
                <w:u w:val="none"/>
                <w:lang w:val="en-US" w:eastAsia="zh-CN"/>
              </w:rPr>
              <w:t>.</w:t>
            </w:r>
            <w:r>
              <w:rPr>
                <w:rFonts w:hint="eastAsia" w:ascii="宋体" w:hAnsi="宋体" w:eastAsia="宋体" w:cs="宋体"/>
                <w:color w:val="auto"/>
                <w:sz w:val="21"/>
                <w:szCs w:val="21"/>
                <w:highlight w:val="none"/>
                <w:u w:val="none"/>
                <w:lang w:eastAsia="zh-CN"/>
              </w:rPr>
              <w:t>报价必须含以下部分:</w:t>
            </w:r>
          </w:p>
          <w:p w14:paraId="5D8ABBA2">
            <w:pPr>
              <w:widowControl/>
              <w:spacing w:line="360" w:lineRule="auto"/>
              <w:jc w:val="left"/>
              <w:rPr>
                <w:rFonts w:hint="eastAsia" w:ascii="宋体" w:hAnsi="宋体" w:eastAsia="宋体" w:cs="宋体"/>
                <w:color w:val="auto"/>
                <w:sz w:val="21"/>
                <w:szCs w:val="21"/>
                <w:highlight w:val="none"/>
                <w:u w:val="none"/>
                <w:lang w:eastAsia="zh-CN"/>
              </w:rPr>
            </w:pPr>
            <w:r>
              <w:rPr>
                <w:rFonts w:hint="eastAsia" w:ascii="宋体" w:hAnsi="宋体" w:eastAsia="宋体" w:cs="宋体"/>
                <w:color w:val="auto"/>
                <w:sz w:val="21"/>
                <w:szCs w:val="21"/>
                <w:highlight w:val="none"/>
                <w:u w:val="none"/>
                <w:lang w:eastAsia="zh-CN"/>
              </w:rPr>
              <w:sym w:font="Wingdings" w:char="0081"/>
            </w:r>
            <w:r>
              <w:rPr>
                <w:rFonts w:hint="eastAsia" w:ascii="宋体" w:hAnsi="宋体" w:eastAsia="宋体" w:cs="宋体"/>
                <w:color w:val="auto"/>
                <w:sz w:val="21"/>
                <w:szCs w:val="21"/>
                <w:highlight w:val="none"/>
                <w:u w:val="none"/>
                <w:lang w:eastAsia="zh-CN"/>
              </w:rPr>
              <w:t>货物、服务费用；</w:t>
            </w:r>
          </w:p>
          <w:p w14:paraId="4AFDCACE">
            <w:pPr>
              <w:widowControl/>
              <w:spacing w:line="360" w:lineRule="auto"/>
              <w:jc w:val="left"/>
              <w:rPr>
                <w:rFonts w:hint="eastAsia" w:ascii="宋体" w:hAnsi="宋体" w:eastAsia="宋体" w:cs="宋体"/>
                <w:color w:val="auto"/>
                <w:sz w:val="21"/>
                <w:szCs w:val="21"/>
                <w:highlight w:val="none"/>
                <w:u w:val="none"/>
                <w:lang w:eastAsia="zh-CN"/>
              </w:rPr>
            </w:pPr>
            <w:r>
              <w:rPr>
                <w:rFonts w:hint="eastAsia" w:ascii="宋体" w:hAnsi="宋体" w:eastAsia="宋体" w:cs="宋体"/>
                <w:color w:val="auto"/>
                <w:sz w:val="21"/>
                <w:szCs w:val="21"/>
                <w:highlight w:val="none"/>
                <w:u w:val="none"/>
                <w:lang w:eastAsia="zh-CN"/>
              </w:rPr>
              <w:t>②报价需包含必要的保险费用和各项税金费用；</w:t>
            </w:r>
          </w:p>
          <w:p w14:paraId="6867234C">
            <w:pPr>
              <w:widowControl/>
              <w:spacing w:line="360" w:lineRule="auto"/>
              <w:jc w:val="left"/>
              <w:rPr>
                <w:rFonts w:hint="eastAsia" w:ascii="宋体" w:hAnsi="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eastAsia="zh-CN"/>
              </w:rPr>
              <w:t>③报价需包含包装、运输、仓储、配送、搬运、深加工、检验检测、售后服务等相关费用。</w:t>
            </w:r>
          </w:p>
          <w:p w14:paraId="757B949F">
            <w:pPr>
              <w:widowControl/>
              <w:spacing w:line="360" w:lineRule="auto"/>
              <w:jc w:val="left"/>
              <w:rPr>
                <w:rFonts w:hint="eastAsia" w:ascii="宋体" w:hAnsi="宋体" w:cs="宋体"/>
                <w:color w:val="auto"/>
                <w:sz w:val="21"/>
                <w:szCs w:val="21"/>
                <w:highlight w:val="none"/>
                <w:u w:val="none"/>
                <w:lang w:val="en-US" w:eastAsia="zh-CN"/>
              </w:rPr>
            </w:pPr>
            <w:r>
              <w:rPr>
                <w:rFonts w:hint="eastAsia" w:ascii="宋体" w:hAnsi="宋体" w:cs="宋体"/>
                <w:color w:val="auto"/>
                <w:sz w:val="21"/>
                <w:szCs w:val="21"/>
                <w:highlight w:val="none"/>
                <w:u w:val="none"/>
                <w:lang w:val="en-US" w:eastAsia="zh-CN"/>
              </w:rPr>
              <w:t>3.定价方式：基准价每两周调整一次，以两周内最后一个周五公布的价格，作为未来两周内的基准价，未来两周内不再调整。</w:t>
            </w:r>
          </w:p>
          <w:p w14:paraId="1AA32004">
            <w:pPr>
              <w:widowControl/>
              <w:spacing w:line="360" w:lineRule="auto"/>
              <w:jc w:val="left"/>
              <w:rPr>
                <w:rFonts w:hint="default" w:ascii="宋体" w:hAnsi="宋体" w:eastAsia="宋体" w:cs="宋体"/>
                <w:color w:val="auto"/>
                <w:sz w:val="21"/>
                <w:szCs w:val="21"/>
                <w:highlight w:val="none"/>
                <w:u w:val="none"/>
                <w:lang w:val="en-US" w:eastAsia="zh-CN"/>
              </w:rPr>
            </w:pPr>
            <w:r>
              <w:rPr>
                <w:rFonts w:hint="eastAsia" w:ascii="宋体" w:hAnsi="宋体" w:cs="宋体"/>
                <w:color w:val="auto"/>
                <w:sz w:val="21"/>
                <w:szCs w:val="21"/>
                <w:highlight w:val="none"/>
                <w:u w:val="none"/>
                <w:lang w:val="en-US" w:eastAsia="zh-CN"/>
              </w:rPr>
              <w:t>4.若服务期内，上述公布基准价的公众号停止更新，采购人</w:t>
            </w:r>
            <w:r>
              <w:rPr>
                <w:rFonts w:hint="eastAsia" w:ascii="宋体" w:hAnsi="宋体" w:cs="宋体"/>
                <w:color w:val="auto"/>
                <w:sz w:val="21"/>
                <w:szCs w:val="21"/>
                <w:highlight w:val="none"/>
                <w:u w:val="none"/>
              </w:rPr>
              <w:t>应在7 个工作日</w:t>
            </w:r>
            <w:r>
              <w:rPr>
                <w:rFonts w:hint="eastAsia" w:ascii="宋体" w:hAnsi="宋体" w:cs="宋体"/>
                <w:color w:val="auto"/>
                <w:sz w:val="21"/>
                <w:szCs w:val="21"/>
                <w:highlight w:val="none"/>
                <w:u w:val="none"/>
                <w:lang w:val="en-US" w:eastAsia="zh-CN"/>
              </w:rPr>
              <w:t>内与供应商协商，通过市场询价方式供货，</w:t>
            </w:r>
            <w:r>
              <w:rPr>
                <w:rFonts w:hint="eastAsia" w:ascii="宋体" w:hAnsi="宋体" w:cs="宋体"/>
                <w:color w:val="auto"/>
                <w:sz w:val="21"/>
                <w:szCs w:val="21"/>
                <w:highlight w:val="none"/>
                <w:u w:val="none"/>
              </w:rPr>
              <w:t>询价应遵循不少于 3 家合格供应商有效报价、取合理低价原则，询价结果不得高于同期同品质产品市场公允价</w:t>
            </w:r>
            <w:r>
              <w:rPr>
                <w:rFonts w:hint="eastAsia" w:ascii="宋体" w:hAnsi="宋体" w:cs="宋体"/>
                <w:color w:val="auto"/>
                <w:sz w:val="21"/>
                <w:szCs w:val="21"/>
                <w:highlight w:val="none"/>
                <w:u w:val="none"/>
                <w:lang w:val="en-US" w:eastAsia="zh-CN"/>
              </w:rPr>
              <w:t>，</w:t>
            </w:r>
            <w:r>
              <w:rPr>
                <w:rFonts w:hint="eastAsia"/>
                <w:szCs w:val="21"/>
                <w:highlight w:val="none"/>
                <w:lang w:val="en-US" w:eastAsia="zh-CN"/>
              </w:rPr>
              <w:t>询价确定的价格为实际供货价格，不再根据浮动率进行浮动。若双方协商无法就询价方式达成一致，</w:t>
            </w:r>
            <w:r>
              <w:rPr>
                <w:rFonts w:hint="eastAsia"/>
                <w:szCs w:val="21"/>
                <w:highlight w:val="none"/>
              </w:rPr>
              <w:t>导致合同无法继续履行，双方应书面确认并按政府采购规定程序终止，已履约部分据实结算。</w:t>
            </w:r>
          </w:p>
        </w:tc>
      </w:tr>
      <w:tr w14:paraId="349A8A0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6" w:hRule="atLeast"/>
          <w:jc w:val="center"/>
        </w:trPr>
        <w:tc>
          <w:tcPr>
            <w:tcW w:w="1069" w:type="pct"/>
            <w:gridSpan w:val="2"/>
            <w:tcBorders>
              <w:top w:val="single" w:color="auto" w:sz="4" w:space="0"/>
              <w:left w:val="single" w:color="auto" w:sz="4" w:space="0"/>
              <w:bottom w:val="single" w:color="auto" w:sz="4" w:space="0"/>
              <w:right w:val="single" w:color="auto" w:sz="4" w:space="0"/>
            </w:tcBorders>
            <w:vAlign w:val="center"/>
          </w:tcPr>
          <w:p w14:paraId="5F2AB2D0">
            <w:pPr>
              <w:spacing w:line="360" w:lineRule="auto"/>
              <w:jc w:val="center"/>
              <w:rPr>
                <w:rFonts w:hint="default" w:ascii="宋体" w:hAnsi="宋体" w:cs="宋体"/>
                <w:color w:val="auto"/>
                <w:szCs w:val="21"/>
                <w:highlight w:val="none"/>
                <w:u w:val="none"/>
                <w:lang w:val="en-US" w:eastAsia="zh-CN"/>
              </w:rPr>
            </w:pPr>
            <w:r>
              <w:rPr>
                <w:rFonts w:hint="eastAsia" w:ascii="宋体" w:hAnsi="宋体" w:cs="宋体"/>
                <w:color w:val="auto"/>
                <w:szCs w:val="21"/>
                <w:highlight w:val="none"/>
                <w:u w:val="none"/>
                <w:lang w:val="en-US" w:eastAsia="zh-CN"/>
              </w:rPr>
              <w:t>5、验收要求</w:t>
            </w:r>
          </w:p>
        </w:tc>
        <w:tc>
          <w:tcPr>
            <w:tcW w:w="3930" w:type="pct"/>
            <w:gridSpan w:val="2"/>
            <w:tcBorders>
              <w:top w:val="single" w:color="auto" w:sz="4" w:space="0"/>
              <w:left w:val="single" w:color="auto" w:sz="4" w:space="0"/>
              <w:bottom w:val="single" w:color="auto" w:sz="4" w:space="0"/>
              <w:right w:val="single" w:color="auto" w:sz="4" w:space="0"/>
            </w:tcBorders>
            <w:vAlign w:val="center"/>
          </w:tcPr>
          <w:p w14:paraId="4C4243E9">
            <w:pPr>
              <w:pStyle w:val="14"/>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采购人对</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提交的服务依据采购合同进行验收。</w:t>
            </w:r>
          </w:p>
          <w:p w14:paraId="7DEB884C">
            <w:pPr>
              <w:pStyle w:val="14"/>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交付服务前应对服务作出全面检查和对验收文件进行整理，并列出清单，作为采购人验收和使用的技术条件依据，检验的结果应随服务成果交采购人。</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不能完整交付服务及本款规定的单证和工具的，必须负责补齐，否则视为未按合同约定交付。</w:t>
            </w:r>
          </w:p>
          <w:p w14:paraId="22B08454">
            <w:pPr>
              <w:pStyle w:val="14"/>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采购人组织验收，</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必须到场配合，验收合格后双方签署验收合格凭证。</w:t>
            </w:r>
          </w:p>
          <w:p w14:paraId="0515E581">
            <w:pPr>
              <w:pStyle w:val="14"/>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其他未尽事宜应严格按照《关于印发广西壮族自治区政府采购项目履约验收管理办法的通知》[桂财采〔2015〕22号]以及《财政部关于进一步加强政府采购需求和履约验收管理的指导意见》[财库〔2016〕205号]规定执行。</w:t>
            </w:r>
          </w:p>
          <w:p w14:paraId="5035C9CB">
            <w:pPr>
              <w:pStyle w:val="14"/>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验收产生的费用由</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lang w:val="en-US" w:eastAsia="zh-CN"/>
              </w:rPr>
              <w:t>承担</w:t>
            </w:r>
            <w:r>
              <w:rPr>
                <w:rFonts w:hint="eastAsia" w:ascii="宋体" w:hAnsi="宋体" w:eastAsia="宋体" w:cs="宋体"/>
                <w:color w:val="auto"/>
                <w:sz w:val="21"/>
                <w:szCs w:val="21"/>
                <w:highlight w:val="none"/>
              </w:rPr>
              <w:t>。</w:t>
            </w:r>
          </w:p>
          <w:p w14:paraId="1CF0C29D">
            <w:pPr>
              <w:pStyle w:val="14"/>
              <w:spacing w:line="360" w:lineRule="auto"/>
              <w:rPr>
                <w:rFonts w:hint="eastAsia" w:ascii="宋体" w:hAnsi="宋体" w:cs="宋体"/>
                <w:color w:val="auto"/>
                <w:sz w:val="21"/>
                <w:szCs w:val="21"/>
                <w:highlight w:val="none"/>
                <w:u w:val="none"/>
                <w:lang w:val="en-US" w:eastAsia="zh-CN"/>
              </w:rPr>
            </w:pPr>
            <w:r>
              <w:rPr>
                <w:rFonts w:hint="eastAsia" w:ascii="宋体" w:hAnsi="宋体" w:eastAsia="宋体" w:cs="宋体"/>
                <w:color w:val="auto"/>
                <w:sz w:val="21"/>
                <w:szCs w:val="21"/>
                <w:highlight w:val="none"/>
                <w:lang w:val="en-US" w:eastAsia="zh-CN"/>
              </w:rPr>
              <w:t>6</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合同期内按照考核表进行考核，验收时根据考核表结果进行验收。</w:t>
            </w:r>
          </w:p>
        </w:tc>
      </w:tr>
      <w:tr w14:paraId="4C1F4B9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781" w:hRule="atLeast"/>
          <w:jc w:val="center"/>
        </w:trPr>
        <w:tc>
          <w:tcPr>
            <w:tcW w:w="1069" w:type="pct"/>
            <w:gridSpan w:val="2"/>
            <w:tcBorders>
              <w:top w:val="single" w:color="auto" w:sz="4" w:space="0"/>
              <w:left w:val="single" w:color="auto" w:sz="4" w:space="0"/>
              <w:bottom w:val="single" w:color="auto" w:sz="4" w:space="0"/>
              <w:right w:val="single" w:color="auto" w:sz="4" w:space="0"/>
            </w:tcBorders>
            <w:vAlign w:val="center"/>
          </w:tcPr>
          <w:p w14:paraId="18B03D92">
            <w:pPr>
              <w:spacing w:line="360" w:lineRule="auto"/>
              <w:jc w:val="center"/>
              <w:rPr>
                <w:rFonts w:hint="default" w:ascii="宋体" w:hAnsi="宋体" w:cs="宋体"/>
                <w:color w:val="auto"/>
                <w:szCs w:val="21"/>
                <w:highlight w:val="none"/>
                <w:u w:val="none"/>
                <w:lang w:val="en-US" w:eastAsia="zh-CN"/>
              </w:rPr>
            </w:pPr>
            <w:r>
              <w:rPr>
                <w:rFonts w:hint="eastAsia" w:ascii="宋体" w:hAnsi="宋体" w:cs="宋体"/>
                <w:color w:val="auto"/>
                <w:szCs w:val="21"/>
                <w:highlight w:val="none"/>
                <w:u w:val="none"/>
                <w:lang w:val="en-US" w:eastAsia="zh-CN"/>
              </w:rPr>
              <w:t>6、履约保证金要求</w:t>
            </w:r>
          </w:p>
        </w:tc>
        <w:tc>
          <w:tcPr>
            <w:tcW w:w="3930" w:type="pct"/>
            <w:gridSpan w:val="2"/>
            <w:tcBorders>
              <w:top w:val="single" w:color="auto" w:sz="4" w:space="0"/>
              <w:left w:val="single" w:color="auto" w:sz="4" w:space="0"/>
              <w:bottom w:val="single" w:color="auto" w:sz="4" w:space="0"/>
              <w:right w:val="single" w:color="auto" w:sz="4" w:space="0"/>
            </w:tcBorders>
            <w:vAlign w:val="center"/>
          </w:tcPr>
          <w:p w14:paraId="64FC29F8">
            <w:pPr>
              <w:snapToGrid w:val="0"/>
              <w:spacing w:line="360" w:lineRule="auto"/>
              <w:ind w:left="-59" w:leftChars="-28" w:firstLine="420" w:firstLineChars="200"/>
              <w:rPr>
                <w:rFonts w:hint="eastAsia" w:asciiTheme="minorEastAsia" w:hAnsiTheme="minorEastAsia" w:eastAsiaTheme="minorEastAsia" w:cstheme="minorEastAsia"/>
                <w:sz w:val="21"/>
                <w:szCs w:val="21"/>
                <w:highlight w:val="none"/>
                <w:shd w:val="clear" w:color="auto" w:fill="FFFFFF"/>
              </w:rPr>
            </w:pPr>
            <w:r>
              <w:rPr>
                <w:rFonts w:hint="eastAsia" w:asciiTheme="minorEastAsia" w:hAnsiTheme="minorEastAsia" w:eastAsiaTheme="minorEastAsia" w:cstheme="minorEastAsia"/>
                <w:sz w:val="21"/>
                <w:szCs w:val="21"/>
                <w:highlight w:val="none"/>
                <w:shd w:val="clear" w:color="auto" w:fill="FFFFFF"/>
              </w:rPr>
              <w:t>履约保证金金额：按</w:t>
            </w:r>
            <w:r>
              <w:rPr>
                <w:rFonts w:hint="eastAsia" w:asciiTheme="minorEastAsia" w:hAnsiTheme="minorEastAsia" w:eastAsiaTheme="minorEastAsia" w:cstheme="minorEastAsia"/>
                <w:sz w:val="21"/>
                <w:szCs w:val="21"/>
                <w:highlight w:val="none"/>
                <w:shd w:val="clear" w:color="auto" w:fill="FFFFFF"/>
                <w:lang w:val="en-US" w:eastAsia="zh-CN"/>
              </w:rPr>
              <w:t>合同</w:t>
            </w:r>
            <w:r>
              <w:rPr>
                <w:rFonts w:hint="eastAsia" w:asciiTheme="minorEastAsia" w:hAnsiTheme="minorEastAsia" w:eastAsiaTheme="minorEastAsia" w:cstheme="minorEastAsia"/>
                <w:sz w:val="21"/>
                <w:szCs w:val="21"/>
                <w:highlight w:val="none"/>
                <w:shd w:val="clear" w:color="auto" w:fill="FFFFFF"/>
              </w:rPr>
              <w:t>金额的</w:t>
            </w:r>
            <w:r>
              <w:rPr>
                <w:rFonts w:hint="eastAsia" w:asciiTheme="minorEastAsia" w:hAnsiTheme="minorEastAsia" w:eastAsiaTheme="minorEastAsia" w:cstheme="minorEastAsia"/>
                <w:sz w:val="21"/>
                <w:szCs w:val="21"/>
                <w:highlight w:val="none"/>
                <w:shd w:val="clear" w:color="auto" w:fill="FFFFFF"/>
                <w:lang w:val="en-US" w:eastAsia="zh-CN"/>
              </w:rPr>
              <w:t>2</w:t>
            </w:r>
            <w:r>
              <w:rPr>
                <w:rFonts w:hint="eastAsia" w:asciiTheme="minorEastAsia" w:hAnsiTheme="minorEastAsia" w:eastAsiaTheme="minorEastAsia" w:cstheme="minorEastAsia"/>
                <w:sz w:val="21"/>
                <w:szCs w:val="21"/>
                <w:highlight w:val="none"/>
                <w:shd w:val="clear" w:color="auto" w:fill="FFFFFF"/>
              </w:rPr>
              <w:t xml:space="preserve"> %</w:t>
            </w:r>
            <w:r>
              <w:rPr>
                <w:rFonts w:hint="eastAsia" w:asciiTheme="minorEastAsia" w:hAnsiTheme="minorEastAsia" w:eastAsiaTheme="minorEastAsia" w:cstheme="minorEastAsia"/>
                <w:sz w:val="21"/>
                <w:szCs w:val="21"/>
                <w:highlight w:val="none"/>
                <w:shd w:val="clear" w:color="auto" w:fill="FFFFFF"/>
                <w:lang w:eastAsia="zh-CN"/>
              </w:rPr>
              <w:t>（</w:t>
            </w:r>
            <w:r>
              <w:rPr>
                <w:rFonts w:hint="eastAsia" w:asciiTheme="minorEastAsia" w:hAnsiTheme="minorEastAsia" w:eastAsiaTheme="minorEastAsia" w:cstheme="minorEastAsia"/>
                <w:sz w:val="21"/>
                <w:szCs w:val="21"/>
                <w:highlight w:val="none"/>
                <w:shd w:val="clear" w:color="auto" w:fill="FFFFFF"/>
                <w:lang w:val="en-US" w:eastAsia="zh-CN"/>
              </w:rPr>
              <w:t>¥48000.00元</w:t>
            </w:r>
            <w:r>
              <w:rPr>
                <w:rFonts w:hint="eastAsia" w:asciiTheme="minorEastAsia" w:hAnsiTheme="minorEastAsia" w:eastAsiaTheme="minorEastAsia" w:cstheme="minorEastAsia"/>
                <w:sz w:val="21"/>
                <w:szCs w:val="21"/>
                <w:highlight w:val="none"/>
                <w:shd w:val="clear" w:color="auto" w:fill="FFFFFF"/>
                <w:lang w:eastAsia="zh-CN"/>
              </w:rPr>
              <w:t>）</w:t>
            </w:r>
            <w:r>
              <w:rPr>
                <w:rFonts w:hint="eastAsia" w:asciiTheme="minorEastAsia" w:hAnsiTheme="minorEastAsia" w:eastAsiaTheme="minorEastAsia" w:cstheme="minorEastAsia"/>
                <w:sz w:val="21"/>
                <w:szCs w:val="21"/>
                <w:highlight w:val="none"/>
                <w:shd w:val="clear" w:color="auto" w:fill="FFFFFF"/>
              </w:rPr>
              <w:t>向采购人支付履约保证金，在合同签订前提交至指定账户或保函原件交至采购人保管。</w:t>
            </w:r>
          </w:p>
          <w:p w14:paraId="75FC7A53">
            <w:pPr>
              <w:widowControl/>
              <w:snapToGrid w:val="0"/>
              <w:spacing w:line="360" w:lineRule="auto"/>
              <w:ind w:left="-59" w:leftChars="-28" w:firstLine="420" w:firstLineChars="200"/>
              <w:jc w:val="left"/>
              <w:rPr>
                <w:rFonts w:hint="eastAsia" w:asciiTheme="minorEastAsia" w:hAnsiTheme="minorEastAsia" w:eastAsiaTheme="minorEastAsia" w:cstheme="minorEastAsia"/>
                <w:sz w:val="21"/>
                <w:szCs w:val="21"/>
                <w:highlight w:val="none"/>
                <w:shd w:val="clear" w:color="auto" w:fill="FFFFFF"/>
              </w:rPr>
            </w:pPr>
            <w:r>
              <w:rPr>
                <w:rFonts w:hint="eastAsia" w:asciiTheme="minorEastAsia" w:hAnsiTheme="minorEastAsia" w:eastAsiaTheme="minorEastAsia" w:cstheme="minorEastAsia"/>
                <w:sz w:val="21"/>
                <w:szCs w:val="21"/>
                <w:highlight w:val="none"/>
                <w:shd w:val="clear" w:color="auto" w:fill="FFFFFF"/>
              </w:rPr>
              <w:t>递交方式：以银行转账、支票、汇票、本票或者金融机构、担保机构出具的保函等非现金形式提交。</w:t>
            </w:r>
          </w:p>
          <w:p w14:paraId="2B710ACB">
            <w:pPr>
              <w:widowControl/>
              <w:snapToGrid w:val="0"/>
              <w:spacing w:line="360" w:lineRule="auto"/>
              <w:ind w:left="-59" w:leftChars="-28" w:firstLine="420" w:firstLineChars="200"/>
              <w:jc w:val="left"/>
              <w:rPr>
                <w:rFonts w:hint="eastAsia" w:asciiTheme="minorEastAsia" w:hAnsiTheme="minorEastAsia" w:eastAsiaTheme="minorEastAsia" w:cstheme="minorEastAsia"/>
                <w:sz w:val="21"/>
                <w:szCs w:val="21"/>
                <w:highlight w:val="none"/>
                <w:shd w:val="clear" w:color="auto" w:fill="FFFFFF"/>
              </w:rPr>
            </w:pPr>
            <w:r>
              <w:rPr>
                <w:rFonts w:hint="eastAsia" w:asciiTheme="minorEastAsia" w:hAnsiTheme="minorEastAsia" w:eastAsiaTheme="minorEastAsia" w:cstheme="minorEastAsia"/>
                <w:sz w:val="21"/>
                <w:szCs w:val="21"/>
                <w:highlight w:val="none"/>
                <w:shd w:val="clear" w:color="auto" w:fill="FFFFFF"/>
              </w:rPr>
              <w:t>履约保证金退付方式、时间及条件：本项目服务期满，</w:t>
            </w:r>
            <w:r>
              <w:rPr>
                <w:rFonts w:hint="eastAsia" w:asciiTheme="minorEastAsia" w:hAnsiTheme="minorEastAsia" w:eastAsiaTheme="minorEastAsia" w:cstheme="minorEastAsia"/>
                <w:sz w:val="21"/>
                <w:szCs w:val="21"/>
                <w:highlight w:val="none"/>
                <w:shd w:val="clear" w:color="auto" w:fill="FFFFFF"/>
                <w:lang w:eastAsia="zh-CN"/>
              </w:rPr>
              <w:t>成交供应商</w:t>
            </w:r>
            <w:r>
              <w:rPr>
                <w:rFonts w:hint="eastAsia" w:asciiTheme="minorEastAsia" w:hAnsiTheme="minorEastAsia" w:eastAsiaTheme="minorEastAsia" w:cstheme="minorEastAsia"/>
                <w:sz w:val="21"/>
                <w:szCs w:val="21"/>
                <w:highlight w:val="none"/>
                <w:shd w:val="clear" w:color="auto" w:fill="FFFFFF"/>
              </w:rPr>
              <w:t>履行完服务义务且无违约情况下无息退付。由</w:t>
            </w:r>
            <w:r>
              <w:rPr>
                <w:rFonts w:hint="eastAsia" w:asciiTheme="minorEastAsia" w:hAnsiTheme="minorEastAsia" w:eastAsiaTheme="minorEastAsia" w:cstheme="minorEastAsia"/>
                <w:sz w:val="21"/>
                <w:szCs w:val="21"/>
                <w:highlight w:val="none"/>
                <w:shd w:val="clear" w:color="auto" w:fill="FFFFFF"/>
                <w:lang w:eastAsia="zh-CN"/>
              </w:rPr>
              <w:t>成交供应商</w:t>
            </w:r>
            <w:r>
              <w:rPr>
                <w:rFonts w:hint="eastAsia" w:asciiTheme="minorEastAsia" w:hAnsiTheme="minorEastAsia" w:eastAsiaTheme="minorEastAsia" w:cstheme="minorEastAsia"/>
                <w:sz w:val="21"/>
                <w:szCs w:val="21"/>
                <w:highlight w:val="none"/>
                <w:shd w:val="clear" w:color="auto" w:fill="FFFFFF"/>
              </w:rPr>
              <w:t>向履约保证金收取单位提供《广西壮族自治区政府采购项目合同验收书》（详见桂财采〔2015〕22号），保证金收取单位在收到合格材料后5个工作日内办理退还手续。</w:t>
            </w:r>
          </w:p>
          <w:p w14:paraId="78221108">
            <w:pPr>
              <w:widowControl/>
              <w:snapToGrid w:val="0"/>
              <w:spacing w:line="360" w:lineRule="auto"/>
              <w:ind w:left="-59" w:leftChars="-28" w:firstLine="420" w:firstLineChars="200"/>
              <w:jc w:val="left"/>
              <w:rPr>
                <w:rFonts w:hint="eastAsia" w:asciiTheme="minorEastAsia" w:hAnsiTheme="minorEastAsia" w:eastAsiaTheme="minorEastAsia" w:cstheme="minorEastAsia"/>
                <w:sz w:val="21"/>
                <w:szCs w:val="21"/>
                <w:highlight w:val="none"/>
                <w:shd w:val="clear" w:color="auto" w:fill="FFFFFF"/>
              </w:rPr>
            </w:pPr>
            <w:r>
              <w:rPr>
                <w:rFonts w:hint="eastAsia" w:asciiTheme="minorEastAsia" w:hAnsiTheme="minorEastAsia" w:eastAsiaTheme="minorEastAsia" w:cstheme="minorEastAsia"/>
                <w:sz w:val="21"/>
                <w:szCs w:val="21"/>
                <w:highlight w:val="none"/>
                <w:shd w:val="clear" w:color="auto" w:fill="FFFFFF"/>
              </w:rPr>
              <w:t>履约保证金指定账户：</w:t>
            </w:r>
          </w:p>
          <w:p w14:paraId="60F20AD6">
            <w:pPr>
              <w:widowControl/>
              <w:snapToGrid w:val="0"/>
              <w:spacing w:line="360" w:lineRule="auto"/>
              <w:ind w:left="-59" w:leftChars="-28" w:firstLine="420" w:firstLineChars="200"/>
              <w:jc w:val="left"/>
              <w:rPr>
                <w:rFonts w:hint="eastAsia" w:asciiTheme="minorEastAsia" w:hAnsiTheme="minorEastAsia" w:eastAsiaTheme="minorEastAsia" w:cstheme="minorEastAsia"/>
                <w:sz w:val="21"/>
                <w:szCs w:val="21"/>
                <w:highlight w:val="none"/>
                <w:shd w:val="clear" w:color="auto" w:fill="FFFFFF"/>
              </w:rPr>
            </w:pPr>
            <w:r>
              <w:rPr>
                <w:rFonts w:hint="eastAsia" w:asciiTheme="minorEastAsia" w:hAnsiTheme="minorEastAsia" w:eastAsiaTheme="minorEastAsia" w:cstheme="minorEastAsia"/>
                <w:sz w:val="21"/>
                <w:szCs w:val="21"/>
                <w:highlight w:val="none"/>
                <w:shd w:val="clear" w:color="auto" w:fill="FFFFFF"/>
              </w:rPr>
              <w:t>开户名称：广西医科大学第一附属医院</w:t>
            </w:r>
            <w:r>
              <w:rPr>
                <w:rFonts w:hint="eastAsia" w:asciiTheme="minorEastAsia" w:hAnsiTheme="minorEastAsia" w:eastAsiaTheme="minorEastAsia" w:cstheme="minorEastAsia"/>
                <w:sz w:val="21"/>
                <w:szCs w:val="21"/>
                <w:highlight w:val="none"/>
                <w:shd w:val="clear" w:color="auto" w:fill="FFFFFF"/>
              </w:rPr>
              <w:tab/>
            </w:r>
          </w:p>
          <w:p w14:paraId="61AD4AFA">
            <w:pPr>
              <w:widowControl/>
              <w:snapToGrid w:val="0"/>
              <w:spacing w:line="360" w:lineRule="auto"/>
              <w:ind w:left="-59" w:leftChars="-28" w:firstLine="420" w:firstLineChars="200"/>
              <w:jc w:val="left"/>
              <w:rPr>
                <w:rFonts w:hint="eastAsia" w:asciiTheme="minorEastAsia" w:hAnsiTheme="minorEastAsia" w:eastAsiaTheme="minorEastAsia" w:cstheme="minorEastAsia"/>
                <w:sz w:val="21"/>
                <w:szCs w:val="21"/>
                <w:highlight w:val="none"/>
                <w:shd w:val="clear" w:color="auto" w:fill="FFFFFF"/>
              </w:rPr>
            </w:pPr>
            <w:r>
              <w:rPr>
                <w:rFonts w:hint="eastAsia" w:asciiTheme="minorEastAsia" w:hAnsiTheme="minorEastAsia" w:eastAsiaTheme="minorEastAsia" w:cstheme="minorEastAsia"/>
                <w:sz w:val="21"/>
                <w:szCs w:val="21"/>
                <w:highlight w:val="none"/>
                <w:shd w:val="clear" w:color="auto" w:fill="FFFFFF"/>
              </w:rPr>
              <w:t>开户银行：45001604560050501061</w:t>
            </w:r>
          </w:p>
          <w:p w14:paraId="11418F7D">
            <w:pPr>
              <w:widowControl/>
              <w:snapToGrid w:val="0"/>
              <w:spacing w:line="360" w:lineRule="auto"/>
              <w:ind w:left="-59" w:leftChars="-28" w:firstLine="420" w:firstLineChars="200"/>
              <w:jc w:val="left"/>
              <w:rPr>
                <w:highlight w:val="none"/>
              </w:rPr>
            </w:pPr>
            <w:r>
              <w:rPr>
                <w:rFonts w:hint="eastAsia" w:asciiTheme="minorEastAsia" w:hAnsiTheme="minorEastAsia" w:eastAsiaTheme="minorEastAsia" w:cstheme="minorEastAsia"/>
                <w:sz w:val="21"/>
                <w:szCs w:val="21"/>
                <w:highlight w:val="none"/>
                <w:shd w:val="clear" w:color="auto" w:fill="FFFFFF"/>
              </w:rPr>
              <w:t>开户行：中国建设银行股份有限公司南宁医科大支行。</w:t>
            </w:r>
          </w:p>
        </w:tc>
      </w:tr>
      <w:tr w14:paraId="7FF7C76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641" w:hRule="atLeast"/>
          <w:jc w:val="center"/>
        </w:trPr>
        <w:tc>
          <w:tcPr>
            <w:tcW w:w="1069" w:type="pct"/>
            <w:gridSpan w:val="2"/>
            <w:tcBorders>
              <w:top w:val="single" w:color="auto" w:sz="4" w:space="0"/>
              <w:left w:val="single" w:color="auto" w:sz="4" w:space="0"/>
              <w:bottom w:val="single" w:color="auto" w:sz="4" w:space="0"/>
              <w:right w:val="single" w:color="auto" w:sz="4" w:space="0"/>
            </w:tcBorders>
            <w:vAlign w:val="center"/>
          </w:tcPr>
          <w:p w14:paraId="7712A6D9">
            <w:pPr>
              <w:spacing w:line="360" w:lineRule="auto"/>
              <w:jc w:val="center"/>
              <w:rPr>
                <w:rFonts w:hint="default" w:ascii="宋体" w:hAnsi="宋体" w:cs="宋体"/>
                <w:color w:val="auto"/>
                <w:szCs w:val="21"/>
                <w:highlight w:val="none"/>
                <w:u w:val="none"/>
                <w:lang w:val="en-US" w:eastAsia="zh-CN"/>
              </w:rPr>
            </w:pPr>
            <w:r>
              <w:rPr>
                <w:rFonts w:hint="eastAsia" w:ascii="宋体" w:hAnsi="宋体" w:cs="宋体"/>
                <w:color w:val="auto"/>
                <w:szCs w:val="21"/>
                <w:highlight w:val="none"/>
                <w:u w:val="none"/>
                <w:lang w:val="en-US" w:eastAsia="zh-CN"/>
              </w:rPr>
              <w:t>7、其他要求</w:t>
            </w:r>
          </w:p>
        </w:tc>
        <w:tc>
          <w:tcPr>
            <w:tcW w:w="3930" w:type="pct"/>
            <w:gridSpan w:val="2"/>
            <w:tcBorders>
              <w:top w:val="single" w:color="auto" w:sz="4" w:space="0"/>
              <w:left w:val="single" w:color="auto" w:sz="4" w:space="0"/>
              <w:bottom w:val="single" w:color="auto" w:sz="4" w:space="0"/>
              <w:right w:val="single" w:color="auto" w:sz="4" w:space="0"/>
            </w:tcBorders>
            <w:vAlign w:val="center"/>
          </w:tcPr>
          <w:p w14:paraId="75DFD118">
            <w:pPr>
              <w:pStyle w:val="19"/>
              <w:spacing w:line="360" w:lineRule="auto"/>
              <w:rPr>
                <w:rFonts w:hint="eastAsia" w:ascii="宋体" w:hAnsi="宋体" w:eastAsia="宋体" w:cs="宋体"/>
                <w:color w:val="auto"/>
                <w:sz w:val="21"/>
                <w:szCs w:val="21"/>
                <w:highlight w:val="none"/>
                <w:u w:val="none"/>
                <w:lang w:eastAsia="zh-CN"/>
              </w:rPr>
            </w:pPr>
            <w:r>
              <w:rPr>
                <w:rFonts w:hint="eastAsia" w:ascii="宋体" w:hAnsi="宋体" w:eastAsia="宋体" w:cs="宋体"/>
                <w:color w:val="auto"/>
                <w:sz w:val="21"/>
                <w:szCs w:val="21"/>
                <w:highlight w:val="none"/>
                <w:u w:val="none"/>
                <w:lang w:val="en-US" w:eastAsia="zh-CN"/>
              </w:rPr>
              <w:t>1.如</w:t>
            </w:r>
            <w:r>
              <w:rPr>
                <w:rFonts w:hint="eastAsia" w:hAnsi="宋体" w:cs="宋体"/>
                <w:color w:val="auto"/>
                <w:sz w:val="21"/>
                <w:szCs w:val="21"/>
                <w:highlight w:val="none"/>
                <w:u w:val="none"/>
                <w:lang w:val="en-US" w:eastAsia="zh-CN"/>
              </w:rPr>
              <w:t>成交</w:t>
            </w:r>
            <w:r>
              <w:rPr>
                <w:rFonts w:hint="eastAsia" w:ascii="宋体" w:hAnsi="宋体" w:eastAsia="宋体" w:cs="宋体"/>
                <w:color w:val="auto"/>
                <w:sz w:val="21"/>
                <w:szCs w:val="21"/>
                <w:highlight w:val="none"/>
                <w:u w:val="none"/>
              </w:rPr>
              <w:t>供应商为经销商</w:t>
            </w:r>
            <w:r>
              <w:rPr>
                <w:rFonts w:hint="eastAsia" w:ascii="宋体" w:hAnsi="宋体" w:eastAsia="宋体" w:cs="宋体"/>
                <w:color w:val="auto"/>
                <w:sz w:val="21"/>
                <w:szCs w:val="21"/>
                <w:highlight w:val="none"/>
                <w:u w:val="none"/>
                <w:lang w:eastAsia="zh-CN"/>
              </w:rPr>
              <w:t>，</w:t>
            </w:r>
            <w:r>
              <w:rPr>
                <w:rFonts w:hint="eastAsia" w:hAnsi="宋体" w:cs="宋体"/>
                <w:color w:val="auto"/>
                <w:sz w:val="21"/>
                <w:szCs w:val="21"/>
                <w:highlight w:val="none"/>
                <w:u w:val="none"/>
                <w:lang w:val="en-US" w:eastAsia="zh-CN"/>
              </w:rPr>
              <w:t>供货时</w:t>
            </w:r>
            <w:r>
              <w:rPr>
                <w:rFonts w:hint="eastAsia" w:ascii="宋体" w:hAnsi="宋体" w:eastAsia="宋体" w:cs="宋体"/>
                <w:color w:val="auto"/>
                <w:sz w:val="21"/>
                <w:szCs w:val="21"/>
                <w:highlight w:val="none"/>
                <w:u w:val="none"/>
              </w:rPr>
              <w:t>须提供蛋源生产厂家的代理授权书</w:t>
            </w:r>
            <w:r>
              <w:rPr>
                <w:rFonts w:hint="eastAsia" w:ascii="宋体" w:hAnsi="宋体" w:eastAsia="宋体" w:cs="宋体"/>
                <w:color w:val="auto"/>
                <w:sz w:val="21"/>
                <w:szCs w:val="21"/>
                <w:highlight w:val="none"/>
                <w:u w:val="none"/>
                <w:lang w:val="en-US" w:eastAsia="zh-CN"/>
              </w:rPr>
              <w:t>或生产厂家供货承诺</w:t>
            </w:r>
            <w:r>
              <w:rPr>
                <w:rFonts w:hint="eastAsia" w:ascii="宋体" w:hAnsi="宋体" w:eastAsia="宋体" w:cs="宋体"/>
                <w:color w:val="auto"/>
                <w:sz w:val="21"/>
                <w:szCs w:val="21"/>
                <w:highlight w:val="none"/>
                <w:u w:val="none"/>
                <w:lang w:eastAsia="zh-CN"/>
              </w:rPr>
              <w:t>。</w:t>
            </w:r>
          </w:p>
          <w:p w14:paraId="6949B3FE">
            <w:pPr>
              <w:pStyle w:val="19"/>
              <w:spacing w:line="360" w:lineRule="auto"/>
              <w:rPr>
                <w:rFonts w:hint="eastAsia" w:hAnsi="宋体" w:cs="宋体"/>
                <w:color w:val="auto"/>
                <w:sz w:val="21"/>
                <w:szCs w:val="21"/>
                <w:highlight w:val="none"/>
                <w:u w:val="none"/>
                <w:lang w:val="en-US" w:eastAsia="zh-CN"/>
              </w:rPr>
            </w:pPr>
            <w:r>
              <w:rPr>
                <w:rFonts w:hint="eastAsia" w:hAnsi="宋体" w:cs="宋体"/>
                <w:color w:val="auto"/>
                <w:sz w:val="21"/>
                <w:szCs w:val="21"/>
                <w:highlight w:val="none"/>
                <w:u w:val="none"/>
                <w:lang w:val="en-US" w:eastAsia="zh-CN"/>
              </w:rPr>
              <w:t>2.供应商必须自行为其竞标产品侵犯他人的知识产权或者专利成果的行为承担相应法律责任。</w:t>
            </w:r>
          </w:p>
          <w:p w14:paraId="666D2F47">
            <w:pPr>
              <w:pStyle w:val="19"/>
              <w:spacing w:line="360" w:lineRule="auto"/>
              <w:rPr>
                <w:rFonts w:hint="default"/>
                <w:highlight w:val="none"/>
                <w:lang w:val="en-US" w:eastAsia="zh-CN"/>
              </w:rPr>
            </w:pPr>
            <w:r>
              <w:rPr>
                <w:rFonts w:hint="eastAsia" w:hAnsi="宋体" w:cs="宋体"/>
                <w:color w:val="auto"/>
                <w:sz w:val="21"/>
                <w:szCs w:val="21"/>
                <w:highlight w:val="none"/>
                <w:u w:val="none"/>
                <w:lang w:val="en-US" w:eastAsia="zh-CN"/>
              </w:rPr>
              <w:t>3.供应商所响应货物或服务如有国家相关标准、行业标准、地方标准或者其他标准、规范要求的按相关规定执行，若执行标准有修改或更新按最新版本执行。</w:t>
            </w:r>
          </w:p>
        </w:tc>
      </w:tr>
      <w:tr w14:paraId="7966ECA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641" w:hRule="atLeast"/>
          <w:jc w:val="center"/>
        </w:trPr>
        <w:tc>
          <w:tcPr>
            <w:tcW w:w="1069" w:type="pct"/>
            <w:gridSpan w:val="2"/>
            <w:tcBorders>
              <w:top w:val="single" w:color="auto" w:sz="4" w:space="0"/>
              <w:left w:val="single" w:color="auto" w:sz="4" w:space="0"/>
              <w:bottom w:val="single" w:color="auto" w:sz="4" w:space="0"/>
              <w:right w:val="single" w:color="auto" w:sz="4" w:space="0"/>
            </w:tcBorders>
            <w:vAlign w:val="center"/>
          </w:tcPr>
          <w:p w14:paraId="33F5D554">
            <w:pPr>
              <w:spacing w:line="360" w:lineRule="auto"/>
              <w:jc w:val="center"/>
              <w:rPr>
                <w:rFonts w:hint="default" w:ascii="宋体" w:hAnsi="宋体" w:cs="宋体"/>
                <w:color w:val="auto"/>
                <w:szCs w:val="21"/>
                <w:highlight w:val="none"/>
                <w:u w:val="none"/>
                <w:lang w:val="en-US" w:eastAsia="zh-CN"/>
              </w:rPr>
            </w:pPr>
            <w:r>
              <w:rPr>
                <w:rFonts w:hint="eastAsia" w:ascii="宋体" w:hAnsi="宋体" w:cs="宋体"/>
                <w:color w:val="auto"/>
                <w:szCs w:val="21"/>
                <w:highlight w:val="none"/>
                <w:u w:val="none"/>
                <w:lang w:val="en-US" w:eastAsia="zh-CN"/>
              </w:rPr>
              <w:t>8、考核要求</w:t>
            </w:r>
          </w:p>
        </w:tc>
        <w:tc>
          <w:tcPr>
            <w:tcW w:w="3930" w:type="pct"/>
            <w:gridSpan w:val="2"/>
            <w:tcBorders>
              <w:top w:val="single" w:color="auto" w:sz="4" w:space="0"/>
              <w:left w:val="single" w:color="auto" w:sz="4" w:space="0"/>
              <w:bottom w:val="single" w:color="auto" w:sz="4" w:space="0"/>
              <w:right w:val="single" w:color="auto" w:sz="4" w:space="0"/>
            </w:tcBorders>
            <w:vAlign w:val="center"/>
          </w:tcPr>
          <w:p w14:paraId="27FF686E">
            <w:pPr>
              <w:spacing w:line="360" w:lineRule="auto"/>
              <w:rPr>
                <w:rFonts w:hint="eastAsia" w:ascii="宋体" w:hAnsi="宋体" w:eastAsia="宋体" w:cs="宋体"/>
                <w:color w:val="auto"/>
                <w:kern w:val="0"/>
                <w:sz w:val="21"/>
                <w:szCs w:val="21"/>
                <w:highlight w:val="none"/>
                <w:u w:val="none"/>
                <w:lang w:val="en-US" w:eastAsia="zh-CN" w:bidi="ar"/>
              </w:rPr>
            </w:pPr>
            <w:r>
              <w:rPr>
                <w:rFonts w:hint="eastAsia" w:ascii="宋体" w:hAnsi="宋体" w:eastAsia="宋体" w:cs="宋体"/>
                <w:color w:val="auto"/>
                <w:kern w:val="0"/>
                <w:sz w:val="21"/>
                <w:szCs w:val="21"/>
                <w:highlight w:val="none"/>
                <w:u w:val="none"/>
                <w:lang w:val="en-US" w:eastAsia="zh-CN" w:bidi="ar"/>
              </w:rPr>
              <w:t>1.服务期限内，采购人将对成交供应商实行动态管理,由采购人有关部门负责对成交供应商的供货、配送情况、产品质量、服务情况、售后服务响应等进行评估考核，考核内容详见附</w:t>
            </w:r>
            <w:r>
              <w:rPr>
                <w:rFonts w:hint="eastAsia" w:ascii="宋体" w:hAnsi="宋体" w:cs="宋体"/>
                <w:color w:val="auto"/>
                <w:kern w:val="0"/>
                <w:sz w:val="21"/>
                <w:szCs w:val="21"/>
                <w:highlight w:val="none"/>
                <w:u w:val="none"/>
                <w:lang w:val="en-US" w:eastAsia="zh-CN" w:bidi="ar"/>
              </w:rPr>
              <w:t>件1</w:t>
            </w:r>
            <w:r>
              <w:rPr>
                <w:rFonts w:hint="eastAsia" w:ascii="宋体" w:hAnsi="宋体" w:eastAsia="宋体" w:cs="宋体"/>
                <w:color w:val="auto"/>
                <w:kern w:val="0"/>
                <w:sz w:val="21"/>
                <w:szCs w:val="21"/>
                <w:highlight w:val="none"/>
                <w:u w:val="none"/>
                <w:lang w:val="en-US" w:eastAsia="zh-CN" w:bidi="ar"/>
              </w:rPr>
              <w:t>《食堂鸡蛋供应服务考核评分表》。</w:t>
            </w:r>
          </w:p>
          <w:p w14:paraId="6194C3A8">
            <w:pPr>
              <w:spacing w:line="360" w:lineRule="auto"/>
              <w:rPr>
                <w:rFonts w:hint="default"/>
                <w:highlight w:val="none"/>
                <w:lang w:val="en-US" w:eastAsia="zh-CN"/>
              </w:rPr>
            </w:pPr>
            <w:r>
              <w:rPr>
                <w:rFonts w:hint="eastAsia" w:ascii="宋体" w:hAnsi="宋体" w:cs="宋体"/>
                <w:color w:val="auto"/>
                <w:szCs w:val="21"/>
                <w:highlight w:val="none"/>
                <w:lang w:bidi="ar"/>
              </w:rPr>
              <w:t>履约期内5次考核不合格，</w:t>
            </w:r>
            <w:r>
              <w:rPr>
                <w:rFonts w:hint="eastAsia" w:ascii="宋体" w:hAnsi="宋体" w:cs="宋体"/>
                <w:color w:val="auto"/>
                <w:szCs w:val="21"/>
                <w:highlight w:val="none"/>
                <w:lang w:eastAsia="zh-CN" w:bidi="ar"/>
              </w:rPr>
              <w:t>采购人</w:t>
            </w:r>
            <w:r>
              <w:rPr>
                <w:rFonts w:hint="eastAsia" w:ascii="宋体" w:hAnsi="宋体" w:cs="宋体"/>
                <w:color w:val="auto"/>
                <w:szCs w:val="21"/>
                <w:highlight w:val="none"/>
                <w:lang w:bidi="ar"/>
              </w:rPr>
              <w:t>有权解除合同并没收履约保证金或根据项目评估是否继续履约，但继续履约期间仍可随时提前一个月解除合同。</w:t>
            </w:r>
          </w:p>
        </w:tc>
      </w:tr>
    </w:tbl>
    <w:p w14:paraId="696B9CBE">
      <w:pPr>
        <w:rPr>
          <w:color w:val="auto"/>
          <w:highlight w:val="none"/>
        </w:rPr>
      </w:pPr>
      <w:r>
        <w:rPr>
          <w:color w:val="auto"/>
          <w:highlight w:val="none"/>
        </w:rPr>
        <w:br w:type="page"/>
      </w:r>
    </w:p>
    <w:p w14:paraId="4DA92F51">
      <w:pPr>
        <w:spacing w:line="360" w:lineRule="auto"/>
        <w:rPr>
          <w:rFonts w:hint="eastAsia" w:ascii="宋体" w:hAnsi="宋体" w:cs="宋体"/>
          <w:b/>
          <w:bCs/>
          <w:color w:val="auto"/>
          <w:sz w:val="28"/>
          <w:szCs w:val="28"/>
          <w:highlight w:val="none"/>
          <w:lang w:val="en-US" w:eastAsia="zh-CN"/>
        </w:rPr>
      </w:pPr>
      <w:r>
        <w:rPr>
          <w:rFonts w:hint="eastAsia" w:ascii="宋体" w:hAnsi="宋体" w:cs="宋体"/>
          <w:b/>
          <w:bCs/>
          <w:color w:val="auto"/>
          <w:sz w:val="28"/>
          <w:szCs w:val="28"/>
          <w:highlight w:val="none"/>
          <w:lang w:val="en-US" w:eastAsia="zh-CN"/>
        </w:rPr>
        <w:t>附件1：</w:t>
      </w:r>
      <w:bookmarkStart w:id="8" w:name="_Toc207267783"/>
    </w:p>
    <w:p w14:paraId="30B5479A">
      <w:pPr>
        <w:spacing w:line="360" w:lineRule="auto"/>
        <w:jc w:val="center"/>
        <w:rPr>
          <w:rFonts w:hint="default"/>
          <w:b/>
          <w:bCs/>
          <w:color w:val="auto"/>
          <w:sz w:val="28"/>
          <w:szCs w:val="32"/>
          <w:highlight w:val="none"/>
        </w:rPr>
      </w:pPr>
      <w:r>
        <w:rPr>
          <w:rFonts w:hint="eastAsia"/>
          <w:b/>
          <w:bCs/>
          <w:color w:val="auto"/>
          <w:sz w:val="28"/>
          <w:szCs w:val="32"/>
          <w:highlight w:val="none"/>
        </w:rPr>
        <w:t>食堂</w:t>
      </w:r>
      <w:r>
        <w:rPr>
          <w:rFonts w:hint="eastAsia"/>
          <w:b/>
          <w:bCs/>
          <w:color w:val="auto"/>
          <w:sz w:val="28"/>
          <w:szCs w:val="32"/>
          <w:highlight w:val="none"/>
          <w:lang w:val="en-US" w:eastAsia="zh-CN"/>
        </w:rPr>
        <w:t>鸡蛋</w:t>
      </w:r>
      <w:r>
        <w:rPr>
          <w:rFonts w:hint="eastAsia"/>
          <w:b/>
          <w:bCs/>
          <w:color w:val="auto"/>
          <w:sz w:val="28"/>
          <w:szCs w:val="32"/>
          <w:highlight w:val="none"/>
        </w:rPr>
        <w:t>供应服务考核评分表</w:t>
      </w:r>
      <w:bookmarkEnd w:id="8"/>
    </w:p>
    <w:p w14:paraId="106F6E65">
      <w:pPr>
        <w:spacing w:beforeLines="0" w:afterLines="0" w:line="500" w:lineRule="exact"/>
        <w:rPr>
          <w:rFonts w:hint="eastAsia"/>
          <w:color w:val="auto"/>
          <w:sz w:val="24"/>
          <w:szCs w:val="21"/>
          <w:highlight w:val="none"/>
        </w:rPr>
      </w:pPr>
      <w:r>
        <w:rPr>
          <w:rFonts w:hint="eastAsia"/>
          <w:color w:val="auto"/>
          <w:sz w:val="24"/>
          <w:szCs w:val="21"/>
          <w:highlight w:val="none"/>
          <w:lang w:bidi="ar"/>
        </w:rPr>
        <w:t>供</w:t>
      </w:r>
      <w:r>
        <w:rPr>
          <w:rFonts w:hint="eastAsia"/>
          <w:color w:val="auto"/>
          <w:sz w:val="24"/>
          <w:szCs w:val="21"/>
          <w:highlight w:val="none"/>
          <w:lang w:val="en-US" w:eastAsia="zh-CN" w:bidi="ar"/>
        </w:rPr>
        <w:t>应</w:t>
      </w:r>
      <w:r>
        <w:rPr>
          <w:rFonts w:hint="eastAsia"/>
          <w:color w:val="auto"/>
          <w:sz w:val="24"/>
          <w:szCs w:val="21"/>
          <w:highlight w:val="none"/>
          <w:lang w:bidi="ar"/>
        </w:rPr>
        <w:t>商名称：</w:t>
      </w:r>
    </w:p>
    <w:p w14:paraId="6B7DEF78">
      <w:pPr>
        <w:spacing w:beforeLines="0" w:afterLines="0" w:line="500" w:lineRule="exact"/>
        <w:rPr>
          <w:rFonts w:hint="eastAsia"/>
          <w:color w:val="auto"/>
          <w:sz w:val="24"/>
          <w:szCs w:val="21"/>
          <w:highlight w:val="none"/>
          <w:lang w:bidi="ar"/>
        </w:rPr>
      </w:pPr>
      <w:r>
        <w:rPr>
          <w:rFonts w:hint="eastAsia"/>
          <w:color w:val="auto"/>
          <w:sz w:val="24"/>
          <w:szCs w:val="21"/>
          <w:highlight w:val="none"/>
          <w:lang w:bidi="ar"/>
        </w:rPr>
        <w:t>考核日期：</w:t>
      </w:r>
    </w:p>
    <w:tbl>
      <w:tblPr>
        <w:tblStyle w:val="33"/>
        <w:tblW w:w="914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80"/>
        <w:gridCol w:w="1247"/>
        <w:gridCol w:w="5584"/>
        <w:gridCol w:w="828"/>
        <w:gridCol w:w="708"/>
      </w:tblGrid>
      <w:tr w14:paraId="244A58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0" w:hRule="atLeast"/>
          <w:jc w:val="center"/>
        </w:trPr>
        <w:tc>
          <w:tcPr>
            <w:tcW w:w="7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AF44A41">
            <w:pPr>
              <w:spacing w:beforeLines="0" w:afterLine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ar"/>
              </w:rPr>
              <w:t>序号</w:t>
            </w:r>
          </w:p>
        </w:tc>
        <w:tc>
          <w:tcPr>
            <w:tcW w:w="124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377477B">
            <w:pPr>
              <w:spacing w:beforeLines="0" w:afterLine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ar"/>
              </w:rPr>
              <w:t>考评项目</w:t>
            </w:r>
          </w:p>
        </w:tc>
        <w:tc>
          <w:tcPr>
            <w:tcW w:w="5584"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2404E2AE">
            <w:pPr>
              <w:spacing w:beforeLines="0" w:afterLine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ar"/>
              </w:rPr>
              <w:t>考核内容</w:t>
            </w:r>
          </w:p>
        </w:tc>
        <w:tc>
          <w:tcPr>
            <w:tcW w:w="828"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29B00E79">
            <w:pPr>
              <w:spacing w:beforeLines="0" w:afterLine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ar"/>
              </w:rPr>
              <w:t>分值</w:t>
            </w:r>
          </w:p>
        </w:tc>
        <w:tc>
          <w:tcPr>
            <w:tcW w:w="708"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66B55E6D">
            <w:pPr>
              <w:spacing w:beforeLines="0" w:afterLine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ar"/>
              </w:rPr>
              <w:t>得分</w:t>
            </w:r>
          </w:p>
        </w:tc>
      </w:tr>
      <w:tr w14:paraId="58149A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97" w:hRule="atLeast"/>
          <w:jc w:val="center"/>
        </w:trPr>
        <w:tc>
          <w:tcPr>
            <w:tcW w:w="78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09EE0836">
            <w:pPr>
              <w:spacing w:beforeLines="0" w:afterLine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ar"/>
              </w:rPr>
              <w:t>1</w:t>
            </w:r>
          </w:p>
        </w:tc>
        <w:tc>
          <w:tcPr>
            <w:tcW w:w="1247"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5493711E">
            <w:pPr>
              <w:spacing w:beforeLines="0" w:afterLine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ar"/>
              </w:rPr>
              <w:t>货物质量</w:t>
            </w:r>
          </w:p>
        </w:tc>
        <w:tc>
          <w:tcPr>
            <w:tcW w:w="5584"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53618202">
            <w:pPr>
              <w:spacing w:beforeLines="0" w:afterLines="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bidi="ar"/>
              </w:rPr>
              <w:t>采购人</w:t>
            </w:r>
            <w:r>
              <w:rPr>
                <w:rFonts w:hint="eastAsia" w:ascii="宋体" w:hAnsi="宋体" w:eastAsia="宋体" w:cs="宋体"/>
                <w:color w:val="auto"/>
                <w:sz w:val="21"/>
                <w:szCs w:val="21"/>
                <w:highlight w:val="none"/>
                <w:lang w:bidi="ar"/>
              </w:rPr>
              <w:t>严格根据</w:t>
            </w:r>
            <w:r>
              <w:rPr>
                <w:rFonts w:hint="eastAsia" w:ascii="宋体" w:hAnsi="宋体" w:eastAsia="宋体" w:cs="宋体"/>
                <w:color w:val="auto"/>
                <w:sz w:val="21"/>
                <w:szCs w:val="21"/>
                <w:highlight w:val="none"/>
                <w:lang w:val="en-US" w:eastAsia="zh-CN" w:bidi="ar"/>
              </w:rPr>
              <w:t>双方约定的品质</w:t>
            </w:r>
            <w:r>
              <w:rPr>
                <w:rFonts w:hint="eastAsia" w:ascii="宋体" w:hAnsi="宋体" w:eastAsia="宋体" w:cs="宋体"/>
                <w:color w:val="auto"/>
                <w:sz w:val="21"/>
                <w:szCs w:val="21"/>
                <w:highlight w:val="none"/>
                <w:lang w:bidi="ar"/>
              </w:rPr>
              <w:t>要求验收货物，如</w:t>
            </w:r>
            <w:r>
              <w:rPr>
                <w:rFonts w:hint="eastAsia" w:ascii="宋体" w:hAnsi="宋体" w:cs="宋体"/>
                <w:color w:val="auto"/>
                <w:sz w:val="21"/>
                <w:szCs w:val="21"/>
                <w:highlight w:val="none"/>
                <w:lang w:eastAsia="zh-CN" w:bidi="ar"/>
              </w:rPr>
              <w:t>供应商</w:t>
            </w:r>
            <w:r>
              <w:rPr>
                <w:rFonts w:hint="eastAsia" w:ascii="宋体" w:hAnsi="宋体" w:eastAsia="宋体" w:cs="宋体"/>
                <w:color w:val="auto"/>
                <w:sz w:val="21"/>
                <w:szCs w:val="21"/>
                <w:highlight w:val="none"/>
                <w:lang w:bidi="ar"/>
              </w:rPr>
              <w:t>所供货物达不到相应的</w:t>
            </w:r>
            <w:r>
              <w:rPr>
                <w:rFonts w:hint="eastAsia" w:ascii="宋体" w:hAnsi="宋体" w:cs="宋体"/>
                <w:color w:val="auto"/>
                <w:sz w:val="21"/>
                <w:szCs w:val="21"/>
                <w:highlight w:val="none"/>
                <w:lang w:val="en-US" w:eastAsia="zh-CN" w:bidi="ar"/>
              </w:rPr>
              <w:t>验收标准的</w:t>
            </w:r>
            <w:r>
              <w:rPr>
                <w:rFonts w:hint="eastAsia" w:ascii="宋体" w:hAnsi="宋体" w:eastAsia="宋体" w:cs="宋体"/>
                <w:color w:val="auto"/>
                <w:sz w:val="21"/>
                <w:szCs w:val="21"/>
                <w:highlight w:val="none"/>
                <w:lang w:bidi="ar"/>
              </w:rPr>
              <w:t>，每项每次扣</w:t>
            </w:r>
            <w:r>
              <w:rPr>
                <w:rFonts w:hint="eastAsia" w:ascii="宋体" w:hAnsi="宋体" w:eastAsia="宋体" w:cs="宋体"/>
                <w:color w:val="auto"/>
                <w:sz w:val="21"/>
                <w:szCs w:val="21"/>
                <w:highlight w:val="none"/>
                <w:lang w:val="en-US" w:eastAsia="zh-CN" w:bidi="ar"/>
              </w:rPr>
              <w:t>0.5</w:t>
            </w:r>
            <w:r>
              <w:rPr>
                <w:rFonts w:hint="eastAsia" w:ascii="宋体" w:hAnsi="宋体" w:eastAsia="宋体" w:cs="宋体"/>
                <w:color w:val="auto"/>
                <w:sz w:val="21"/>
                <w:szCs w:val="21"/>
                <w:highlight w:val="none"/>
                <w:lang w:bidi="ar"/>
              </w:rPr>
              <w:t>分，</w:t>
            </w:r>
            <w:r>
              <w:rPr>
                <w:rFonts w:hint="eastAsia" w:ascii="宋体" w:hAnsi="宋体" w:cs="宋体"/>
                <w:color w:val="auto"/>
                <w:sz w:val="21"/>
                <w:szCs w:val="21"/>
                <w:highlight w:val="none"/>
                <w:lang w:eastAsia="zh-CN" w:bidi="ar"/>
              </w:rPr>
              <w:t>采购人</w:t>
            </w:r>
            <w:r>
              <w:rPr>
                <w:rFonts w:hint="eastAsia" w:ascii="宋体" w:hAnsi="宋体" w:eastAsia="宋体" w:cs="宋体"/>
                <w:color w:val="auto"/>
                <w:sz w:val="21"/>
                <w:szCs w:val="21"/>
                <w:highlight w:val="none"/>
                <w:lang w:bidi="ar"/>
              </w:rPr>
              <w:t>有权拒收相关货物。</w:t>
            </w:r>
          </w:p>
        </w:tc>
        <w:tc>
          <w:tcPr>
            <w:tcW w:w="828"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542687FD">
            <w:pPr>
              <w:spacing w:beforeLines="0" w:afterLine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ar"/>
              </w:rPr>
              <w:t>15</w:t>
            </w:r>
          </w:p>
        </w:tc>
        <w:tc>
          <w:tcPr>
            <w:tcW w:w="708" w:type="dxa"/>
            <w:tcBorders>
              <w:top w:val="single" w:color="000000" w:sz="4" w:space="0"/>
              <w:left w:val="single" w:color="000000" w:sz="4" w:space="0"/>
              <w:bottom w:val="single" w:color="000000" w:sz="4" w:space="0"/>
              <w:right w:val="single" w:color="000000" w:sz="4" w:space="0"/>
              <w:tl2br w:val="nil"/>
              <w:tr2bl w:val="nil"/>
            </w:tcBorders>
            <w:noWrap/>
            <w:vAlign w:val="top"/>
          </w:tcPr>
          <w:p w14:paraId="5A33EACD">
            <w:pPr>
              <w:spacing w:beforeLines="0" w:afterLines="0"/>
              <w:rPr>
                <w:rFonts w:hint="eastAsia" w:ascii="宋体" w:hAnsi="宋体" w:eastAsia="宋体" w:cs="宋体"/>
                <w:color w:val="auto"/>
                <w:sz w:val="21"/>
                <w:szCs w:val="21"/>
                <w:highlight w:val="none"/>
              </w:rPr>
            </w:pPr>
          </w:p>
        </w:tc>
      </w:tr>
      <w:tr w14:paraId="3BFDCE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1" w:hRule="atLeast"/>
          <w:jc w:val="center"/>
        </w:trPr>
        <w:tc>
          <w:tcPr>
            <w:tcW w:w="78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3CE6A727">
            <w:pPr>
              <w:spacing w:beforeLines="0" w:afterLine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ar"/>
              </w:rPr>
              <w:t>2</w:t>
            </w:r>
          </w:p>
        </w:tc>
        <w:tc>
          <w:tcPr>
            <w:tcW w:w="124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5E4C935">
            <w:pPr>
              <w:spacing w:beforeLines="0" w:afterLine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ar"/>
              </w:rPr>
              <w:t>食品卫生安全</w:t>
            </w:r>
          </w:p>
        </w:tc>
        <w:tc>
          <w:tcPr>
            <w:tcW w:w="5584"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2EA3E35F">
            <w:pPr>
              <w:spacing w:beforeLines="0" w:afterLines="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bidi="ar"/>
              </w:rPr>
              <w:t>供应商</w:t>
            </w:r>
            <w:r>
              <w:rPr>
                <w:rFonts w:hint="eastAsia" w:ascii="宋体" w:hAnsi="宋体" w:eastAsia="宋体" w:cs="宋体"/>
                <w:color w:val="auto"/>
                <w:sz w:val="21"/>
                <w:szCs w:val="21"/>
                <w:highlight w:val="none"/>
                <w:lang w:bidi="ar"/>
              </w:rPr>
              <w:t>提供的货物必须符合国家食品卫生安全要求，如被市场监督部门抽检样本超标或不合格，造成</w:t>
            </w:r>
            <w:r>
              <w:rPr>
                <w:rFonts w:hint="eastAsia" w:ascii="宋体" w:hAnsi="宋体" w:cs="宋体"/>
                <w:color w:val="auto"/>
                <w:sz w:val="21"/>
                <w:szCs w:val="21"/>
                <w:highlight w:val="none"/>
                <w:lang w:eastAsia="zh-CN" w:bidi="ar"/>
              </w:rPr>
              <w:t>采购人</w:t>
            </w:r>
            <w:r>
              <w:rPr>
                <w:rFonts w:hint="eastAsia" w:ascii="宋体" w:hAnsi="宋体" w:eastAsia="宋体" w:cs="宋体"/>
                <w:color w:val="auto"/>
                <w:sz w:val="21"/>
                <w:szCs w:val="21"/>
                <w:highlight w:val="none"/>
                <w:lang w:bidi="ar"/>
              </w:rPr>
              <w:t>经济损失、名誉损失或其他不良影响的，按合同约定处罚，根据情节严重情况每次扣5-10分。出现严重问题的，</w:t>
            </w:r>
            <w:r>
              <w:rPr>
                <w:rFonts w:hint="eastAsia" w:ascii="宋体" w:hAnsi="宋体" w:cs="宋体"/>
                <w:color w:val="auto"/>
                <w:sz w:val="21"/>
                <w:szCs w:val="21"/>
                <w:highlight w:val="none"/>
                <w:lang w:eastAsia="zh-CN" w:bidi="ar"/>
              </w:rPr>
              <w:t>采购人</w:t>
            </w:r>
            <w:r>
              <w:rPr>
                <w:rFonts w:hint="eastAsia" w:ascii="宋体" w:hAnsi="宋体" w:eastAsia="宋体" w:cs="宋体"/>
                <w:color w:val="auto"/>
                <w:sz w:val="21"/>
                <w:szCs w:val="21"/>
                <w:highlight w:val="none"/>
                <w:lang w:bidi="ar"/>
              </w:rPr>
              <w:t>可直接解除双方合同并追究</w:t>
            </w:r>
            <w:r>
              <w:rPr>
                <w:rFonts w:hint="eastAsia" w:ascii="宋体" w:hAnsi="宋体" w:cs="宋体"/>
                <w:color w:val="auto"/>
                <w:sz w:val="21"/>
                <w:szCs w:val="21"/>
                <w:highlight w:val="none"/>
                <w:lang w:eastAsia="zh-CN" w:bidi="ar"/>
              </w:rPr>
              <w:t>供应商</w:t>
            </w:r>
            <w:r>
              <w:rPr>
                <w:rFonts w:hint="eastAsia" w:ascii="宋体" w:hAnsi="宋体" w:eastAsia="宋体" w:cs="宋体"/>
                <w:color w:val="auto"/>
                <w:sz w:val="21"/>
                <w:szCs w:val="21"/>
                <w:highlight w:val="none"/>
                <w:lang w:bidi="ar"/>
              </w:rPr>
              <w:t>法律责任。</w:t>
            </w:r>
          </w:p>
        </w:tc>
        <w:tc>
          <w:tcPr>
            <w:tcW w:w="828"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5EFDFDB4">
            <w:pPr>
              <w:spacing w:beforeLines="0" w:afterLine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ar"/>
              </w:rPr>
              <w:t>15</w:t>
            </w:r>
          </w:p>
        </w:tc>
        <w:tc>
          <w:tcPr>
            <w:tcW w:w="708" w:type="dxa"/>
            <w:tcBorders>
              <w:top w:val="single" w:color="000000" w:sz="4" w:space="0"/>
              <w:left w:val="single" w:color="000000" w:sz="4" w:space="0"/>
              <w:bottom w:val="single" w:color="000000" w:sz="4" w:space="0"/>
              <w:right w:val="single" w:color="000000" w:sz="4" w:space="0"/>
              <w:tl2br w:val="nil"/>
              <w:tr2bl w:val="nil"/>
            </w:tcBorders>
            <w:noWrap/>
            <w:vAlign w:val="top"/>
          </w:tcPr>
          <w:p w14:paraId="34EA2C3F">
            <w:pPr>
              <w:spacing w:beforeLines="0" w:afterLines="0"/>
              <w:rPr>
                <w:rFonts w:hint="eastAsia" w:ascii="宋体" w:hAnsi="宋体" w:eastAsia="宋体" w:cs="宋体"/>
                <w:color w:val="auto"/>
                <w:sz w:val="21"/>
                <w:szCs w:val="21"/>
                <w:highlight w:val="none"/>
              </w:rPr>
            </w:pPr>
          </w:p>
        </w:tc>
      </w:tr>
      <w:tr w14:paraId="0B9426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17" w:hRule="atLeast"/>
          <w:jc w:val="center"/>
        </w:trPr>
        <w:tc>
          <w:tcPr>
            <w:tcW w:w="78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7EA3BA0C">
            <w:pPr>
              <w:spacing w:beforeLines="0" w:afterLine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ar"/>
              </w:rPr>
              <w:t>3</w:t>
            </w:r>
          </w:p>
        </w:tc>
        <w:tc>
          <w:tcPr>
            <w:tcW w:w="124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1CD8956">
            <w:pPr>
              <w:spacing w:beforeLines="0" w:afterLine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ar"/>
              </w:rPr>
              <w:t>食品卫生证明</w:t>
            </w:r>
          </w:p>
        </w:tc>
        <w:tc>
          <w:tcPr>
            <w:tcW w:w="5584"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6C938AB9">
            <w:pPr>
              <w:spacing w:beforeLines="0" w:afterLines="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bidi="ar"/>
              </w:rPr>
              <w:t>供应商</w:t>
            </w:r>
            <w:r>
              <w:rPr>
                <w:rFonts w:hint="eastAsia" w:ascii="宋体" w:hAnsi="宋体" w:eastAsia="宋体" w:cs="宋体"/>
                <w:color w:val="auto"/>
                <w:sz w:val="21"/>
                <w:szCs w:val="21"/>
                <w:highlight w:val="none"/>
                <w:lang w:bidi="ar"/>
              </w:rPr>
              <w:t>提供的货物必须符合国家食品卫生安全要求的相关检验检疫证明或检测报告（可提供复印件），否则发现1次扣5分，且</w:t>
            </w:r>
            <w:r>
              <w:rPr>
                <w:rFonts w:hint="eastAsia" w:ascii="宋体" w:hAnsi="宋体" w:cs="宋体"/>
                <w:color w:val="auto"/>
                <w:sz w:val="21"/>
                <w:szCs w:val="21"/>
                <w:highlight w:val="none"/>
                <w:lang w:eastAsia="zh-CN" w:bidi="ar"/>
              </w:rPr>
              <w:t>采购人</w:t>
            </w:r>
            <w:r>
              <w:rPr>
                <w:rFonts w:hint="eastAsia" w:ascii="宋体" w:hAnsi="宋体" w:eastAsia="宋体" w:cs="宋体"/>
                <w:color w:val="auto"/>
                <w:sz w:val="21"/>
                <w:szCs w:val="21"/>
                <w:highlight w:val="none"/>
                <w:lang w:bidi="ar"/>
              </w:rPr>
              <w:t>有权拒收货物。如</w:t>
            </w:r>
            <w:r>
              <w:rPr>
                <w:rFonts w:hint="eastAsia" w:ascii="宋体" w:hAnsi="宋体" w:cs="宋体"/>
                <w:color w:val="auto"/>
                <w:sz w:val="21"/>
                <w:szCs w:val="21"/>
                <w:highlight w:val="none"/>
                <w:lang w:eastAsia="zh-CN" w:bidi="ar"/>
              </w:rPr>
              <w:t>供应商</w:t>
            </w:r>
            <w:r>
              <w:rPr>
                <w:rFonts w:hint="eastAsia" w:ascii="宋体" w:hAnsi="宋体" w:eastAsia="宋体" w:cs="宋体"/>
                <w:color w:val="auto"/>
                <w:sz w:val="21"/>
                <w:szCs w:val="21"/>
                <w:highlight w:val="none"/>
                <w:lang w:bidi="ar"/>
              </w:rPr>
              <w:t>在一个月内提供的货物出现3次无法提供相关</w:t>
            </w:r>
            <w:r>
              <w:rPr>
                <w:rFonts w:hint="eastAsia" w:ascii="宋体" w:hAnsi="宋体" w:eastAsia="宋体" w:cs="宋体"/>
                <w:color w:val="auto"/>
                <w:sz w:val="21"/>
                <w:szCs w:val="21"/>
                <w:highlight w:val="none"/>
                <w:lang w:eastAsia="zh-CN" w:bidi="ar"/>
              </w:rPr>
              <w:t>检测报告</w:t>
            </w:r>
            <w:r>
              <w:rPr>
                <w:rFonts w:hint="eastAsia" w:ascii="宋体" w:hAnsi="宋体" w:eastAsia="宋体" w:cs="宋体"/>
                <w:color w:val="auto"/>
                <w:sz w:val="21"/>
                <w:szCs w:val="21"/>
                <w:highlight w:val="none"/>
                <w:lang w:bidi="ar"/>
              </w:rPr>
              <w:t>证明的情况，</w:t>
            </w:r>
            <w:r>
              <w:rPr>
                <w:rFonts w:hint="eastAsia" w:ascii="宋体" w:hAnsi="宋体" w:cs="宋体"/>
                <w:color w:val="auto"/>
                <w:sz w:val="21"/>
                <w:szCs w:val="21"/>
                <w:highlight w:val="none"/>
                <w:lang w:eastAsia="zh-CN" w:bidi="ar"/>
              </w:rPr>
              <w:t>采购人</w:t>
            </w:r>
            <w:r>
              <w:rPr>
                <w:rFonts w:hint="eastAsia" w:ascii="宋体" w:hAnsi="宋体" w:eastAsia="宋体" w:cs="宋体"/>
                <w:color w:val="auto"/>
                <w:sz w:val="21"/>
                <w:szCs w:val="21"/>
                <w:highlight w:val="none"/>
                <w:lang w:bidi="ar"/>
              </w:rPr>
              <w:t>可直接解除双方的采购合同。</w:t>
            </w:r>
          </w:p>
        </w:tc>
        <w:tc>
          <w:tcPr>
            <w:tcW w:w="828"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75EA9295">
            <w:pPr>
              <w:spacing w:beforeLines="0" w:afterLine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ar"/>
              </w:rPr>
              <w:t>10</w:t>
            </w:r>
          </w:p>
        </w:tc>
        <w:tc>
          <w:tcPr>
            <w:tcW w:w="708" w:type="dxa"/>
            <w:tcBorders>
              <w:top w:val="single" w:color="000000" w:sz="4" w:space="0"/>
              <w:left w:val="single" w:color="000000" w:sz="4" w:space="0"/>
              <w:bottom w:val="single" w:color="000000" w:sz="4" w:space="0"/>
              <w:right w:val="single" w:color="000000" w:sz="4" w:space="0"/>
              <w:tl2br w:val="nil"/>
              <w:tr2bl w:val="nil"/>
            </w:tcBorders>
            <w:noWrap/>
            <w:vAlign w:val="top"/>
          </w:tcPr>
          <w:p w14:paraId="153D5644">
            <w:pPr>
              <w:spacing w:beforeLines="0" w:afterLines="0"/>
              <w:rPr>
                <w:rFonts w:hint="eastAsia" w:ascii="宋体" w:hAnsi="宋体" w:eastAsia="宋体" w:cs="宋体"/>
                <w:color w:val="auto"/>
                <w:sz w:val="21"/>
                <w:szCs w:val="21"/>
                <w:highlight w:val="none"/>
              </w:rPr>
            </w:pPr>
          </w:p>
        </w:tc>
      </w:tr>
      <w:tr w14:paraId="32833A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8" w:hRule="atLeast"/>
          <w:jc w:val="center"/>
        </w:trPr>
        <w:tc>
          <w:tcPr>
            <w:tcW w:w="78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0F73E124">
            <w:pPr>
              <w:spacing w:beforeLines="0" w:afterLine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ar"/>
              </w:rPr>
              <w:t>4</w:t>
            </w:r>
          </w:p>
        </w:tc>
        <w:tc>
          <w:tcPr>
            <w:tcW w:w="1247"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660606B3">
            <w:pPr>
              <w:spacing w:beforeLines="0" w:afterLine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ar"/>
              </w:rPr>
              <w:t>供货价格</w:t>
            </w:r>
          </w:p>
        </w:tc>
        <w:tc>
          <w:tcPr>
            <w:tcW w:w="5584"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1274F7A9">
            <w:pPr>
              <w:spacing w:beforeLines="0" w:afterLine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ar"/>
              </w:rPr>
              <w:t>如</w:t>
            </w:r>
            <w:r>
              <w:rPr>
                <w:rFonts w:hint="eastAsia" w:ascii="宋体" w:hAnsi="宋体" w:cs="宋体"/>
                <w:color w:val="auto"/>
                <w:sz w:val="21"/>
                <w:szCs w:val="21"/>
                <w:highlight w:val="none"/>
                <w:lang w:eastAsia="zh-CN" w:bidi="ar"/>
              </w:rPr>
              <w:t>供应商</w:t>
            </w:r>
            <w:r>
              <w:rPr>
                <w:rFonts w:hint="eastAsia" w:ascii="宋体" w:hAnsi="宋体" w:eastAsia="宋体" w:cs="宋体"/>
                <w:color w:val="auto"/>
                <w:sz w:val="21"/>
                <w:szCs w:val="21"/>
                <w:highlight w:val="none"/>
                <w:lang w:bidi="ar"/>
              </w:rPr>
              <w:t>无故未按</w:t>
            </w:r>
            <w:r>
              <w:rPr>
                <w:rFonts w:hint="eastAsia" w:ascii="宋体" w:hAnsi="宋体" w:cs="宋体"/>
                <w:color w:val="auto"/>
                <w:sz w:val="21"/>
                <w:szCs w:val="21"/>
                <w:highlight w:val="none"/>
                <w:lang w:eastAsia="zh-CN" w:bidi="ar"/>
              </w:rPr>
              <w:t>采购人</w:t>
            </w:r>
            <w:r>
              <w:rPr>
                <w:rFonts w:hint="eastAsia" w:ascii="宋体" w:hAnsi="宋体" w:eastAsia="宋体" w:cs="宋体"/>
                <w:color w:val="auto"/>
                <w:sz w:val="21"/>
                <w:szCs w:val="21"/>
                <w:highlight w:val="none"/>
                <w:lang w:bidi="ar"/>
              </w:rPr>
              <w:t>询定的供货价格执行，或因价格未达</w:t>
            </w:r>
            <w:r>
              <w:rPr>
                <w:rFonts w:hint="eastAsia" w:ascii="宋体" w:hAnsi="宋体" w:cs="宋体"/>
                <w:color w:val="auto"/>
                <w:sz w:val="21"/>
                <w:szCs w:val="21"/>
                <w:highlight w:val="none"/>
                <w:lang w:eastAsia="zh-CN" w:bidi="ar"/>
              </w:rPr>
              <w:t>供应商</w:t>
            </w:r>
            <w:r>
              <w:rPr>
                <w:rFonts w:hint="eastAsia" w:ascii="宋体" w:hAnsi="宋体" w:eastAsia="宋体" w:cs="宋体"/>
                <w:color w:val="auto"/>
                <w:sz w:val="21"/>
                <w:szCs w:val="21"/>
                <w:highlight w:val="none"/>
                <w:lang w:eastAsia="zh-CN" w:bidi="ar"/>
              </w:rPr>
              <w:t>预期</w:t>
            </w:r>
            <w:r>
              <w:rPr>
                <w:rFonts w:hint="eastAsia" w:ascii="宋体" w:hAnsi="宋体" w:eastAsia="宋体" w:cs="宋体"/>
                <w:color w:val="auto"/>
                <w:sz w:val="21"/>
                <w:szCs w:val="21"/>
                <w:highlight w:val="none"/>
                <w:lang w:bidi="ar"/>
              </w:rPr>
              <w:t>而恶意降低供货品质的，发现1次扣2分。</w:t>
            </w:r>
          </w:p>
        </w:tc>
        <w:tc>
          <w:tcPr>
            <w:tcW w:w="828"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25EE64F0">
            <w:pPr>
              <w:spacing w:beforeLines="0" w:afterLine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ar"/>
              </w:rPr>
              <w:t>10</w:t>
            </w:r>
          </w:p>
        </w:tc>
        <w:tc>
          <w:tcPr>
            <w:tcW w:w="708" w:type="dxa"/>
            <w:tcBorders>
              <w:top w:val="single" w:color="000000" w:sz="4" w:space="0"/>
              <w:left w:val="single" w:color="000000" w:sz="4" w:space="0"/>
              <w:bottom w:val="single" w:color="000000" w:sz="4" w:space="0"/>
              <w:right w:val="single" w:color="000000" w:sz="4" w:space="0"/>
              <w:tl2br w:val="nil"/>
              <w:tr2bl w:val="nil"/>
            </w:tcBorders>
            <w:noWrap/>
            <w:vAlign w:val="top"/>
          </w:tcPr>
          <w:p w14:paraId="3AC233E8">
            <w:pPr>
              <w:spacing w:beforeLines="0" w:afterLines="0"/>
              <w:rPr>
                <w:rFonts w:hint="eastAsia" w:ascii="宋体" w:hAnsi="宋体" w:eastAsia="宋体" w:cs="宋体"/>
                <w:color w:val="auto"/>
                <w:sz w:val="21"/>
                <w:szCs w:val="21"/>
                <w:highlight w:val="none"/>
              </w:rPr>
            </w:pPr>
          </w:p>
        </w:tc>
      </w:tr>
      <w:tr w14:paraId="0AFCBB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17" w:hRule="atLeast"/>
          <w:jc w:val="center"/>
        </w:trPr>
        <w:tc>
          <w:tcPr>
            <w:tcW w:w="78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09E499B3">
            <w:pPr>
              <w:spacing w:beforeLines="0" w:afterLine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ar"/>
              </w:rPr>
              <w:t>5</w:t>
            </w:r>
          </w:p>
        </w:tc>
        <w:tc>
          <w:tcPr>
            <w:tcW w:w="1247"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7F33910C">
            <w:pPr>
              <w:spacing w:beforeLines="0" w:afterLine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ar"/>
              </w:rPr>
              <w:t>供货数量</w:t>
            </w:r>
          </w:p>
        </w:tc>
        <w:tc>
          <w:tcPr>
            <w:tcW w:w="5584" w:type="dxa"/>
            <w:tcBorders>
              <w:top w:val="single" w:color="000000" w:sz="4" w:space="0"/>
              <w:left w:val="single" w:color="000000" w:sz="4" w:space="0"/>
              <w:bottom w:val="single" w:color="000000" w:sz="4" w:space="0"/>
              <w:right w:val="single" w:color="000000" w:sz="4" w:space="0"/>
              <w:tl2br w:val="nil"/>
              <w:tr2bl w:val="nil"/>
            </w:tcBorders>
            <w:noWrap w:val="0"/>
            <w:vAlign w:val="bottom"/>
          </w:tcPr>
          <w:p w14:paraId="045E9DE3">
            <w:pPr>
              <w:spacing w:beforeLines="0" w:afterLines="0"/>
              <w:rPr>
                <w:rFonts w:hint="eastAsia" w:ascii="宋体" w:hAnsi="宋体" w:eastAsia="宋体" w:cs="宋体"/>
                <w:color w:val="auto"/>
                <w:sz w:val="21"/>
                <w:szCs w:val="21"/>
                <w:highlight w:val="none"/>
              </w:rPr>
            </w:pPr>
            <w:r>
              <w:rPr>
                <w:rFonts w:hint="eastAsia" w:ascii="宋体" w:hAnsi="宋体" w:cs="宋体"/>
                <w:color w:val="auto"/>
                <w:szCs w:val="21"/>
                <w:highlight w:val="none"/>
                <w:lang w:eastAsia="zh-CN" w:bidi="ar"/>
              </w:rPr>
              <w:t>供应商</w:t>
            </w:r>
            <w:r>
              <w:rPr>
                <w:rFonts w:hint="eastAsia" w:ascii="宋体" w:hAnsi="宋体" w:cs="宋体"/>
                <w:color w:val="auto"/>
                <w:szCs w:val="21"/>
                <w:highlight w:val="none"/>
                <w:lang w:bidi="ar"/>
              </w:rPr>
              <w:t>所供货物数量与</w:t>
            </w:r>
            <w:r>
              <w:rPr>
                <w:rFonts w:hint="eastAsia" w:ascii="宋体" w:hAnsi="宋体" w:cs="宋体"/>
                <w:color w:val="auto"/>
                <w:szCs w:val="21"/>
                <w:highlight w:val="none"/>
                <w:lang w:eastAsia="zh-CN" w:bidi="ar"/>
              </w:rPr>
              <w:t>采购人</w:t>
            </w:r>
            <w:r>
              <w:rPr>
                <w:rFonts w:hint="eastAsia" w:ascii="宋体" w:hAnsi="宋体" w:cs="宋体"/>
                <w:color w:val="auto"/>
                <w:szCs w:val="21"/>
                <w:highlight w:val="none"/>
                <w:lang w:bidi="ar"/>
              </w:rPr>
              <w:t>的采购计划误差超过5%的，每项每次扣0.5分。</w:t>
            </w:r>
            <w:r>
              <w:rPr>
                <w:rFonts w:hint="eastAsia" w:ascii="宋体" w:hAnsi="宋体" w:cs="宋体"/>
                <w:color w:val="auto"/>
                <w:sz w:val="21"/>
                <w:szCs w:val="21"/>
                <w:highlight w:val="none"/>
                <w:lang w:eastAsia="zh-CN" w:bidi="ar"/>
              </w:rPr>
              <w:t>采购人</w:t>
            </w:r>
            <w:r>
              <w:rPr>
                <w:rFonts w:hint="eastAsia" w:ascii="宋体" w:hAnsi="宋体" w:eastAsia="宋体" w:cs="宋体"/>
                <w:color w:val="auto"/>
                <w:sz w:val="21"/>
                <w:szCs w:val="21"/>
                <w:highlight w:val="none"/>
                <w:lang w:bidi="ar"/>
              </w:rPr>
              <w:t>因生产需要要求</w:t>
            </w:r>
            <w:r>
              <w:rPr>
                <w:rFonts w:hint="eastAsia" w:ascii="宋体" w:hAnsi="宋体" w:cs="宋体"/>
                <w:color w:val="auto"/>
                <w:sz w:val="21"/>
                <w:szCs w:val="21"/>
                <w:highlight w:val="none"/>
                <w:lang w:eastAsia="zh-CN" w:bidi="ar"/>
              </w:rPr>
              <w:t>供应商</w:t>
            </w:r>
            <w:r>
              <w:rPr>
                <w:rFonts w:hint="eastAsia" w:ascii="宋体" w:hAnsi="宋体" w:eastAsia="宋体" w:cs="宋体"/>
                <w:color w:val="auto"/>
                <w:sz w:val="21"/>
                <w:szCs w:val="21"/>
                <w:highlight w:val="none"/>
                <w:lang w:bidi="ar"/>
              </w:rPr>
              <w:t>临时加配货物或紧急供货的，</w:t>
            </w:r>
            <w:r>
              <w:rPr>
                <w:rFonts w:hint="eastAsia" w:ascii="宋体" w:hAnsi="宋体" w:cs="宋体"/>
                <w:color w:val="auto"/>
                <w:sz w:val="21"/>
                <w:szCs w:val="21"/>
                <w:highlight w:val="none"/>
                <w:lang w:eastAsia="zh-CN" w:bidi="ar"/>
              </w:rPr>
              <w:t>供应商</w:t>
            </w:r>
            <w:r>
              <w:rPr>
                <w:rFonts w:hint="eastAsia" w:ascii="宋体" w:hAnsi="宋体" w:eastAsia="宋体" w:cs="宋体"/>
                <w:color w:val="auto"/>
                <w:sz w:val="21"/>
                <w:szCs w:val="21"/>
                <w:highlight w:val="none"/>
                <w:lang w:bidi="ar"/>
              </w:rPr>
              <w:t>须按</w:t>
            </w:r>
            <w:r>
              <w:rPr>
                <w:rFonts w:hint="eastAsia" w:ascii="宋体" w:hAnsi="宋体" w:cs="宋体"/>
                <w:color w:val="auto"/>
                <w:sz w:val="21"/>
                <w:szCs w:val="21"/>
                <w:highlight w:val="none"/>
                <w:lang w:eastAsia="zh-CN" w:bidi="ar"/>
              </w:rPr>
              <w:t>采购人</w:t>
            </w:r>
            <w:r>
              <w:rPr>
                <w:rFonts w:hint="eastAsia" w:ascii="宋体" w:hAnsi="宋体" w:eastAsia="宋体" w:cs="宋体"/>
                <w:color w:val="auto"/>
                <w:sz w:val="21"/>
                <w:szCs w:val="21"/>
                <w:highlight w:val="none"/>
                <w:lang w:bidi="ar"/>
              </w:rPr>
              <w:t>规定时间及采购需求送达，如拒绝或不按规定时间送达，每次扣2分。</w:t>
            </w:r>
          </w:p>
        </w:tc>
        <w:tc>
          <w:tcPr>
            <w:tcW w:w="828"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5B6A5740">
            <w:pPr>
              <w:spacing w:beforeLines="0" w:afterLine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ar"/>
              </w:rPr>
              <w:t>15</w:t>
            </w:r>
          </w:p>
        </w:tc>
        <w:tc>
          <w:tcPr>
            <w:tcW w:w="708" w:type="dxa"/>
            <w:tcBorders>
              <w:top w:val="single" w:color="000000" w:sz="4" w:space="0"/>
              <w:left w:val="single" w:color="000000" w:sz="4" w:space="0"/>
              <w:bottom w:val="single" w:color="000000" w:sz="4" w:space="0"/>
              <w:right w:val="single" w:color="000000" w:sz="4" w:space="0"/>
              <w:tl2br w:val="nil"/>
              <w:tr2bl w:val="nil"/>
            </w:tcBorders>
            <w:noWrap/>
            <w:vAlign w:val="top"/>
          </w:tcPr>
          <w:p w14:paraId="56D92A82">
            <w:pPr>
              <w:spacing w:beforeLines="0" w:afterLines="0"/>
              <w:rPr>
                <w:rFonts w:hint="eastAsia" w:ascii="宋体" w:hAnsi="宋体" w:eastAsia="宋体" w:cs="宋体"/>
                <w:color w:val="auto"/>
                <w:sz w:val="21"/>
                <w:szCs w:val="21"/>
                <w:highlight w:val="none"/>
              </w:rPr>
            </w:pPr>
          </w:p>
        </w:tc>
      </w:tr>
      <w:tr w14:paraId="6CEA7A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7" w:hRule="atLeast"/>
          <w:jc w:val="center"/>
        </w:trPr>
        <w:tc>
          <w:tcPr>
            <w:tcW w:w="78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74FBC0AF">
            <w:pPr>
              <w:spacing w:beforeLines="0" w:afterLine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ar"/>
              </w:rPr>
              <w:t>6</w:t>
            </w:r>
          </w:p>
        </w:tc>
        <w:tc>
          <w:tcPr>
            <w:tcW w:w="1247"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6A465AAA">
            <w:pPr>
              <w:spacing w:beforeLines="0" w:afterLine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ar"/>
              </w:rPr>
              <w:t>送货时间</w:t>
            </w:r>
          </w:p>
        </w:tc>
        <w:tc>
          <w:tcPr>
            <w:tcW w:w="5584"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5D4B73FB">
            <w:pPr>
              <w:spacing w:beforeLines="0" w:afterLines="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bidi="ar"/>
              </w:rPr>
              <w:t>供应商</w:t>
            </w:r>
            <w:r>
              <w:rPr>
                <w:rFonts w:hint="eastAsia" w:ascii="宋体" w:hAnsi="宋体" w:eastAsia="宋体" w:cs="宋体"/>
                <w:color w:val="auto"/>
                <w:sz w:val="21"/>
                <w:szCs w:val="21"/>
                <w:highlight w:val="none"/>
                <w:lang w:bidi="ar"/>
              </w:rPr>
              <w:t>须按</w:t>
            </w:r>
            <w:r>
              <w:rPr>
                <w:rFonts w:hint="eastAsia" w:ascii="宋体" w:hAnsi="宋体" w:cs="宋体"/>
                <w:color w:val="auto"/>
                <w:sz w:val="21"/>
                <w:szCs w:val="21"/>
                <w:highlight w:val="none"/>
                <w:lang w:eastAsia="zh-CN" w:bidi="ar"/>
              </w:rPr>
              <w:t>采购人</w:t>
            </w:r>
            <w:r>
              <w:rPr>
                <w:rFonts w:hint="eastAsia" w:ascii="宋体" w:hAnsi="宋体" w:eastAsia="宋体" w:cs="宋体"/>
                <w:color w:val="auto"/>
                <w:sz w:val="21"/>
                <w:szCs w:val="21"/>
                <w:highlight w:val="none"/>
                <w:lang w:bidi="ar"/>
              </w:rPr>
              <w:t>前一天报送的采购计划在约定的时间将所需物品送至指定地点，</w:t>
            </w:r>
            <w:r>
              <w:rPr>
                <w:rFonts w:hint="eastAsia" w:ascii="宋体" w:hAnsi="宋体" w:cs="宋体"/>
                <w:color w:val="auto"/>
                <w:sz w:val="21"/>
                <w:szCs w:val="21"/>
                <w:highlight w:val="none"/>
                <w:lang w:eastAsia="zh-CN" w:bidi="ar"/>
              </w:rPr>
              <w:t>供应商</w:t>
            </w:r>
            <w:r>
              <w:rPr>
                <w:rFonts w:hint="eastAsia" w:ascii="宋体" w:hAnsi="宋体" w:eastAsia="宋体" w:cs="宋体"/>
                <w:color w:val="auto"/>
                <w:sz w:val="21"/>
                <w:szCs w:val="21"/>
                <w:highlight w:val="none"/>
                <w:lang w:bidi="ar"/>
              </w:rPr>
              <w:t>没有按时送达的（特殊情况除外）</w:t>
            </w:r>
            <w:r>
              <w:rPr>
                <w:rFonts w:hint="eastAsia" w:ascii="宋体" w:hAnsi="宋体" w:cs="宋体"/>
                <w:color w:val="auto"/>
                <w:szCs w:val="21"/>
                <w:highlight w:val="none"/>
                <w:lang w:bidi="ar"/>
              </w:rPr>
              <w:t>，每次每迟到5分钟扣1分，最后不足5分钟按5分钟计</w:t>
            </w:r>
            <w:r>
              <w:rPr>
                <w:rFonts w:hint="eastAsia" w:ascii="宋体" w:hAnsi="宋体" w:eastAsia="宋体" w:cs="宋体"/>
                <w:color w:val="auto"/>
                <w:sz w:val="21"/>
                <w:szCs w:val="21"/>
                <w:highlight w:val="none"/>
                <w:lang w:bidi="ar"/>
              </w:rPr>
              <w:t>（</w:t>
            </w:r>
            <w:r>
              <w:rPr>
                <w:rFonts w:hint="eastAsia" w:ascii="宋体" w:hAnsi="宋体" w:eastAsia="宋体" w:cs="宋体"/>
                <w:color w:val="auto"/>
                <w:sz w:val="21"/>
                <w:szCs w:val="21"/>
                <w:highlight w:val="none"/>
                <w:lang w:eastAsia="zh-CN" w:bidi="ar"/>
              </w:rPr>
              <w:t>可累计扣分，扣完</w:t>
            </w:r>
            <w:r>
              <w:rPr>
                <w:rFonts w:hint="eastAsia" w:ascii="宋体" w:hAnsi="宋体" w:eastAsia="宋体" w:cs="宋体"/>
                <w:color w:val="auto"/>
                <w:sz w:val="21"/>
                <w:szCs w:val="21"/>
                <w:highlight w:val="none"/>
                <w:lang w:val="en-US" w:eastAsia="zh-CN" w:bidi="ar"/>
              </w:rPr>
              <w:t>10分为止</w:t>
            </w:r>
            <w:r>
              <w:rPr>
                <w:rFonts w:hint="eastAsia" w:ascii="宋体" w:hAnsi="宋体" w:eastAsia="宋体" w:cs="宋体"/>
                <w:color w:val="auto"/>
                <w:sz w:val="21"/>
                <w:szCs w:val="21"/>
                <w:highlight w:val="none"/>
                <w:lang w:bidi="ar"/>
              </w:rPr>
              <w:t>）。</w:t>
            </w:r>
          </w:p>
        </w:tc>
        <w:tc>
          <w:tcPr>
            <w:tcW w:w="828"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0A6DEC70">
            <w:pPr>
              <w:spacing w:beforeLines="0" w:afterLine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ar"/>
              </w:rPr>
              <w:t>10</w:t>
            </w:r>
          </w:p>
        </w:tc>
        <w:tc>
          <w:tcPr>
            <w:tcW w:w="708" w:type="dxa"/>
            <w:tcBorders>
              <w:top w:val="single" w:color="000000" w:sz="4" w:space="0"/>
              <w:left w:val="single" w:color="000000" w:sz="4" w:space="0"/>
              <w:bottom w:val="single" w:color="000000" w:sz="4" w:space="0"/>
              <w:right w:val="single" w:color="000000" w:sz="4" w:space="0"/>
              <w:tl2br w:val="nil"/>
              <w:tr2bl w:val="nil"/>
            </w:tcBorders>
            <w:noWrap/>
            <w:vAlign w:val="top"/>
          </w:tcPr>
          <w:p w14:paraId="61457AB5">
            <w:pPr>
              <w:spacing w:beforeLines="0" w:afterLines="0"/>
              <w:rPr>
                <w:rFonts w:hint="eastAsia" w:ascii="宋体" w:hAnsi="宋体" w:eastAsia="宋体" w:cs="宋体"/>
                <w:color w:val="auto"/>
                <w:sz w:val="21"/>
                <w:szCs w:val="21"/>
                <w:highlight w:val="none"/>
              </w:rPr>
            </w:pPr>
          </w:p>
        </w:tc>
      </w:tr>
      <w:tr w14:paraId="4D36F0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1" w:hRule="atLeast"/>
          <w:jc w:val="center"/>
        </w:trPr>
        <w:tc>
          <w:tcPr>
            <w:tcW w:w="78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1FD46027">
            <w:pPr>
              <w:spacing w:beforeLines="0" w:afterLine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ar"/>
              </w:rPr>
              <w:t>7</w:t>
            </w:r>
          </w:p>
        </w:tc>
        <w:tc>
          <w:tcPr>
            <w:tcW w:w="1247"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266AABE3">
            <w:pPr>
              <w:spacing w:beforeLines="0" w:afterLine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ar"/>
              </w:rPr>
              <w:t>响应效率</w:t>
            </w:r>
          </w:p>
        </w:tc>
        <w:tc>
          <w:tcPr>
            <w:tcW w:w="5584"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5237DA0A">
            <w:pPr>
              <w:spacing w:beforeLines="0" w:afterLines="0"/>
              <w:rPr>
                <w:rFonts w:hint="eastAsia" w:ascii="宋体" w:hAnsi="宋体" w:eastAsia="宋体" w:cs="宋体"/>
                <w:color w:val="auto"/>
                <w:sz w:val="21"/>
                <w:szCs w:val="21"/>
                <w:highlight w:val="none"/>
                <w:lang w:bidi="ar"/>
              </w:rPr>
            </w:pPr>
            <w:r>
              <w:rPr>
                <w:rFonts w:hint="eastAsia" w:ascii="宋体" w:hAnsi="宋体" w:cs="宋体"/>
                <w:color w:val="auto"/>
                <w:sz w:val="21"/>
                <w:szCs w:val="21"/>
                <w:highlight w:val="none"/>
                <w:lang w:eastAsia="zh-CN" w:bidi="ar"/>
              </w:rPr>
              <w:t>供应商</w:t>
            </w:r>
            <w:r>
              <w:rPr>
                <w:rFonts w:hint="eastAsia" w:ascii="宋体" w:hAnsi="宋体" w:eastAsia="宋体" w:cs="宋体"/>
                <w:color w:val="auto"/>
                <w:sz w:val="21"/>
                <w:szCs w:val="21"/>
                <w:highlight w:val="none"/>
                <w:lang w:bidi="ar"/>
              </w:rPr>
              <w:t>供应的食材不符合供货要求被拒收的，或存在缺斤少两的，或腐烂变质被退货的，</w:t>
            </w:r>
            <w:r>
              <w:rPr>
                <w:rFonts w:hint="eastAsia" w:ascii="宋体" w:hAnsi="宋体" w:cs="宋体"/>
                <w:color w:val="auto"/>
                <w:sz w:val="21"/>
                <w:szCs w:val="21"/>
                <w:highlight w:val="none"/>
                <w:lang w:eastAsia="zh-CN" w:bidi="ar"/>
              </w:rPr>
              <w:t>供应商</w:t>
            </w:r>
            <w:r>
              <w:rPr>
                <w:rFonts w:hint="eastAsia" w:ascii="宋体" w:hAnsi="宋体" w:eastAsia="宋体" w:cs="宋体"/>
                <w:color w:val="auto"/>
                <w:sz w:val="21"/>
                <w:szCs w:val="21"/>
                <w:highlight w:val="none"/>
                <w:lang w:bidi="ar"/>
              </w:rPr>
              <w:t>在接到</w:t>
            </w:r>
            <w:r>
              <w:rPr>
                <w:rFonts w:hint="eastAsia" w:ascii="宋体" w:hAnsi="宋体" w:cs="宋体"/>
                <w:color w:val="auto"/>
                <w:sz w:val="21"/>
                <w:szCs w:val="21"/>
                <w:highlight w:val="none"/>
                <w:lang w:eastAsia="zh-CN" w:bidi="ar"/>
              </w:rPr>
              <w:t>采购人</w:t>
            </w:r>
            <w:r>
              <w:rPr>
                <w:rFonts w:hint="eastAsia" w:ascii="宋体" w:hAnsi="宋体" w:eastAsia="宋体" w:cs="宋体"/>
                <w:color w:val="auto"/>
                <w:sz w:val="21"/>
                <w:szCs w:val="21"/>
                <w:highlight w:val="none"/>
                <w:lang w:bidi="ar"/>
              </w:rPr>
              <w:t>（口头或书面）通知后</w:t>
            </w:r>
            <w:r>
              <w:rPr>
                <w:rFonts w:hint="eastAsia" w:ascii="宋体" w:hAnsi="宋体" w:cs="宋体"/>
                <w:color w:val="auto"/>
                <w:sz w:val="21"/>
                <w:szCs w:val="21"/>
                <w:highlight w:val="none"/>
                <w:lang w:val="en-US" w:eastAsia="zh-CN" w:bidi="ar"/>
              </w:rPr>
              <w:t>________</w:t>
            </w:r>
            <w:r>
              <w:rPr>
                <w:rFonts w:hint="eastAsia" w:ascii="宋体" w:hAnsi="宋体" w:eastAsia="宋体" w:cs="宋体"/>
                <w:color w:val="auto"/>
                <w:sz w:val="21"/>
                <w:szCs w:val="21"/>
                <w:highlight w:val="none"/>
                <w:lang w:bidi="ar"/>
              </w:rPr>
              <w:t>分钟内给予口头或书面响应</w:t>
            </w:r>
            <w:r>
              <w:rPr>
                <w:rFonts w:hint="eastAsia" w:ascii="宋体" w:hAnsi="宋体" w:cs="宋体"/>
                <w:color w:val="auto"/>
                <w:szCs w:val="21"/>
                <w:highlight w:val="none"/>
                <w:lang w:bidi="ar"/>
              </w:rPr>
              <w:t>（按照</w:t>
            </w:r>
            <w:r>
              <w:rPr>
                <w:rFonts w:hint="eastAsia" w:ascii="宋体" w:hAnsi="宋体" w:cs="宋体"/>
                <w:color w:val="auto"/>
                <w:szCs w:val="21"/>
                <w:highlight w:val="none"/>
                <w:lang w:eastAsia="zh-CN" w:bidi="ar"/>
              </w:rPr>
              <w:t>供应商</w:t>
            </w:r>
            <w:r>
              <w:rPr>
                <w:rFonts w:hint="eastAsia" w:ascii="宋体" w:hAnsi="宋体" w:cs="宋体"/>
                <w:color w:val="auto"/>
                <w:szCs w:val="21"/>
                <w:highlight w:val="none"/>
                <w:lang w:bidi="ar"/>
              </w:rPr>
              <w:t>投标文件承诺响应时间填写）</w:t>
            </w:r>
            <w:r>
              <w:rPr>
                <w:rFonts w:hint="eastAsia" w:ascii="宋体" w:hAnsi="宋体" w:eastAsia="宋体" w:cs="宋体"/>
                <w:color w:val="auto"/>
                <w:sz w:val="21"/>
                <w:szCs w:val="21"/>
                <w:highlight w:val="none"/>
                <w:lang w:bidi="ar"/>
              </w:rPr>
              <w:t>，超过时间才响应的，每超过5分钟扣1分（最后不足5分钟按5分钟计）</w:t>
            </w:r>
            <w:r>
              <w:rPr>
                <w:rFonts w:hint="eastAsia" w:ascii="宋体" w:hAnsi="宋体" w:cs="宋体"/>
                <w:color w:val="auto"/>
                <w:szCs w:val="21"/>
                <w:highlight w:val="none"/>
                <w:lang w:eastAsia="zh-CN" w:bidi="ar"/>
              </w:rPr>
              <w:t>供应商</w:t>
            </w:r>
            <w:r>
              <w:rPr>
                <w:rFonts w:hint="eastAsia" w:ascii="宋体" w:hAnsi="宋体" w:cs="宋体"/>
                <w:color w:val="auto"/>
                <w:szCs w:val="21"/>
                <w:highlight w:val="none"/>
                <w:lang w:bidi="ar"/>
              </w:rPr>
              <w:t>收到</w:t>
            </w:r>
            <w:r>
              <w:rPr>
                <w:rFonts w:hint="eastAsia" w:ascii="宋体" w:hAnsi="宋体" w:cs="宋体"/>
                <w:color w:val="auto"/>
                <w:szCs w:val="21"/>
                <w:highlight w:val="none"/>
                <w:lang w:eastAsia="zh-CN" w:bidi="ar"/>
              </w:rPr>
              <w:t>采购人</w:t>
            </w:r>
            <w:r>
              <w:rPr>
                <w:rFonts w:hint="eastAsia" w:ascii="宋体" w:hAnsi="宋体" w:cs="宋体"/>
                <w:color w:val="auto"/>
                <w:szCs w:val="21"/>
                <w:highlight w:val="none"/>
                <w:lang w:bidi="ar"/>
              </w:rPr>
              <w:t>（口头或书面）通知后须在</w:t>
            </w:r>
            <w:r>
              <w:rPr>
                <w:rFonts w:hint="eastAsia" w:ascii="宋体" w:hAnsi="宋体" w:cs="宋体"/>
                <w:color w:val="auto"/>
                <w:szCs w:val="21"/>
                <w:highlight w:val="none"/>
                <w:lang w:val="en-US" w:eastAsia="zh-CN" w:bidi="ar"/>
              </w:rPr>
              <w:t>_____</w:t>
            </w:r>
            <w:r>
              <w:rPr>
                <w:rFonts w:hint="eastAsia" w:ascii="宋体" w:hAnsi="宋体" w:cs="宋体"/>
                <w:color w:val="auto"/>
                <w:szCs w:val="21"/>
                <w:highlight w:val="none"/>
                <w:lang w:bidi="ar"/>
              </w:rPr>
              <w:t>小时（按照</w:t>
            </w:r>
            <w:r>
              <w:rPr>
                <w:rFonts w:hint="eastAsia" w:ascii="宋体" w:hAnsi="宋体" w:cs="宋体"/>
                <w:color w:val="auto"/>
                <w:szCs w:val="21"/>
                <w:highlight w:val="none"/>
                <w:lang w:eastAsia="zh-CN" w:bidi="ar"/>
              </w:rPr>
              <w:t>供应商</w:t>
            </w:r>
            <w:r>
              <w:rPr>
                <w:rFonts w:hint="eastAsia" w:ascii="宋体" w:hAnsi="宋体" w:cs="宋体"/>
                <w:color w:val="auto"/>
                <w:szCs w:val="21"/>
                <w:highlight w:val="none"/>
                <w:lang w:bidi="ar"/>
              </w:rPr>
              <w:t>投标文件</w:t>
            </w:r>
            <w:r>
              <w:rPr>
                <w:rFonts w:hint="eastAsia" w:ascii="宋体" w:hAnsi="宋体" w:cs="宋体"/>
                <w:color w:val="auto"/>
                <w:szCs w:val="21"/>
                <w:highlight w:val="none"/>
                <w:lang w:val="en-US" w:eastAsia="zh-CN" w:bidi="ar"/>
              </w:rPr>
              <w:t>承诺退换</w:t>
            </w:r>
            <w:r>
              <w:rPr>
                <w:rFonts w:hint="eastAsia" w:ascii="宋体" w:hAnsi="宋体" w:cs="宋体"/>
                <w:color w:val="auto"/>
                <w:szCs w:val="21"/>
                <w:highlight w:val="none"/>
                <w:lang w:bidi="ar"/>
              </w:rPr>
              <w:t>时间填写）内替换补足，超过时间替换补足的，每次扣2分。</w:t>
            </w:r>
          </w:p>
        </w:tc>
        <w:tc>
          <w:tcPr>
            <w:tcW w:w="828"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6C625A4B">
            <w:pPr>
              <w:spacing w:beforeLines="0" w:afterLine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ar"/>
              </w:rPr>
              <w:t>15</w:t>
            </w:r>
          </w:p>
        </w:tc>
        <w:tc>
          <w:tcPr>
            <w:tcW w:w="708" w:type="dxa"/>
            <w:tcBorders>
              <w:top w:val="single" w:color="000000" w:sz="4" w:space="0"/>
              <w:left w:val="single" w:color="000000" w:sz="4" w:space="0"/>
              <w:bottom w:val="single" w:color="000000" w:sz="4" w:space="0"/>
              <w:right w:val="single" w:color="000000" w:sz="4" w:space="0"/>
              <w:tl2br w:val="nil"/>
              <w:tr2bl w:val="nil"/>
            </w:tcBorders>
            <w:noWrap/>
            <w:vAlign w:val="top"/>
          </w:tcPr>
          <w:p w14:paraId="789D0683">
            <w:pPr>
              <w:spacing w:beforeLines="0" w:afterLines="0"/>
              <w:rPr>
                <w:rFonts w:hint="eastAsia" w:ascii="宋体" w:hAnsi="宋体" w:eastAsia="宋体" w:cs="宋体"/>
                <w:color w:val="auto"/>
                <w:sz w:val="21"/>
                <w:szCs w:val="21"/>
                <w:highlight w:val="none"/>
              </w:rPr>
            </w:pPr>
          </w:p>
        </w:tc>
      </w:tr>
      <w:tr w14:paraId="1CDFC4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40" w:hRule="atLeast"/>
          <w:jc w:val="center"/>
        </w:trPr>
        <w:tc>
          <w:tcPr>
            <w:tcW w:w="78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682B1384">
            <w:pPr>
              <w:spacing w:beforeLines="0" w:afterLine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ar"/>
              </w:rPr>
              <w:t>8</w:t>
            </w:r>
          </w:p>
        </w:tc>
        <w:tc>
          <w:tcPr>
            <w:tcW w:w="1247"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5A85CD2E">
            <w:pPr>
              <w:spacing w:beforeLines="0" w:afterLine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ar"/>
              </w:rPr>
              <w:t>配送运输</w:t>
            </w:r>
          </w:p>
        </w:tc>
        <w:tc>
          <w:tcPr>
            <w:tcW w:w="5584"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1086490B">
            <w:pPr>
              <w:spacing w:beforeLines="0" w:afterLine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ar"/>
              </w:rPr>
              <w:t>在运送前，</w:t>
            </w:r>
            <w:r>
              <w:rPr>
                <w:rFonts w:hint="eastAsia" w:ascii="宋体" w:hAnsi="宋体" w:cs="宋体"/>
                <w:color w:val="auto"/>
                <w:sz w:val="21"/>
                <w:szCs w:val="21"/>
                <w:highlight w:val="none"/>
                <w:lang w:eastAsia="zh-CN" w:bidi="ar"/>
              </w:rPr>
              <w:t>供应商</w:t>
            </w:r>
            <w:r>
              <w:rPr>
                <w:rFonts w:hint="eastAsia" w:ascii="宋体" w:hAnsi="宋体" w:eastAsia="宋体" w:cs="宋体"/>
                <w:color w:val="auto"/>
                <w:sz w:val="21"/>
                <w:szCs w:val="21"/>
                <w:highlight w:val="none"/>
                <w:lang w:bidi="ar"/>
              </w:rPr>
              <w:t>运输车辆应进行消毒清洗，避免车辆有霉斑、鼠迹、苍蝇、蟑螂等不卫生状况出现，如达不到相应卫生要求，发现1次扣2分，并且</w:t>
            </w:r>
            <w:r>
              <w:rPr>
                <w:rFonts w:hint="eastAsia" w:ascii="宋体" w:hAnsi="宋体" w:cs="宋体"/>
                <w:color w:val="auto"/>
                <w:sz w:val="21"/>
                <w:szCs w:val="21"/>
                <w:highlight w:val="none"/>
                <w:lang w:eastAsia="zh-CN" w:bidi="ar"/>
              </w:rPr>
              <w:t>采购人</w:t>
            </w:r>
            <w:r>
              <w:rPr>
                <w:rFonts w:hint="eastAsia" w:ascii="宋体" w:hAnsi="宋体" w:eastAsia="宋体" w:cs="宋体"/>
                <w:color w:val="auto"/>
                <w:sz w:val="21"/>
                <w:szCs w:val="21"/>
                <w:highlight w:val="none"/>
                <w:lang w:bidi="ar"/>
              </w:rPr>
              <w:t>有权拒收货物。</w:t>
            </w:r>
          </w:p>
          <w:p w14:paraId="613332A5">
            <w:pPr>
              <w:spacing w:beforeLines="0" w:afterLines="0"/>
              <w:rPr>
                <w:rFonts w:hint="eastAsia" w:ascii="宋体" w:hAnsi="宋体" w:eastAsia="宋体" w:cs="宋体"/>
                <w:color w:val="auto"/>
                <w:sz w:val="21"/>
                <w:szCs w:val="21"/>
                <w:highlight w:val="none"/>
                <w:lang w:bidi="ar"/>
              </w:rPr>
            </w:pPr>
            <w:r>
              <w:rPr>
                <w:rFonts w:hint="eastAsia" w:ascii="宋体" w:hAnsi="宋体" w:cs="宋体"/>
                <w:color w:val="auto"/>
                <w:sz w:val="21"/>
                <w:szCs w:val="21"/>
                <w:highlight w:val="none"/>
                <w:lang w:eastAsia="zh-CN" w:bidi="ar"/>
              </w:rPr>
              <w:t>供应商</w:t>
            </w:r>
            <w:r>
              <w:rPr>
                <w:rFonts w:hint="eastAsia" w:ascii="宋体" w:hAnsi="宋体" w:eastAsia="宋体" w:cs="宋体"/>
                <w:color w:val="auto"/>
                <w:sz w:val="21"/>
                <w:szCs w:val="21"/>
                <w:highlight w:val="none"/>
                <w:lang w:bidi="ar"/>
              </w:rPr>
              <w:t>运输货物不得无包装混装，避免串味和卫生隐患，未按规定运输，发现一次扣2分。</w:t>
            </w:r>
          </w:p>
          <w:p w14:paraId="32FF0F87">
            <w:pPr>
              <w:spacing w:beforeLines="0" w:afterLines="0"/>
              <w:rPr>
                <w:rFonts w:hint="eastAsia" w:ascii="宋体" w:hAnsi="宋体" w:eastAsia="宋体" w:cs="宋体"/>
                <w:color w:val="auto"/>
                <w:sz w:val="21"/>
                <w:szCs w:val="21"/>
                <w:highlight w:val="none"/>
                <w:lang w:bidi="ar"/>
              </w:rPr>
            </w:pPr>
            <w:r>
              <w:rPr>
                <w:rFonts w:hint="eastAsia" w:ascii="宋体" w:hAnsi="宋体" w:cs="宋体"/>
                <w:color w:val="auto"/>
                <w:sz w:val="21"/>
                <w:szCs w:val="21"/>
                <w:highlight w:val="none"/>
                <w:lang w:eastAsia="zh-CN" w:bidi="ar"/>
              </w:rPr>
              <w:t>供应商</w:t>
            </w:r>
            <w:r>
              <w:rPr>
                <w:rFonts w:hint="eastAsia" w:ascii="宋体" w:hAnsi="宋体" w:eastAsia="宋体" w:cs="宋体"/>
                <w:color w:val="auto"/>
                <w:sz w:val="21"/>
                <w:szCs w:val="21"/>
                <w:highlight w:val="none"/>
                <w:lang w:bidi="ar"/>
              </w:rPr>
              <w:t>配送人员必须身体健康、每年定期体检，持有效的健康证及食品安全培训合格证上岗；无健康证或证件过期，发现一次，每人扣2分。</w:t>
            </w:r>
          </w:p>
          <w:p w14:paraId="219949C5">
            <w:pPr>
              <w:spacing w:beforeLines="0" w:afterLines="0"/>
              <w:rPr>
                <w:rFonts w:hint="eastAsia" w:ascii="宋体" w:hAnsi="宋体" w:eastAsia="宋体" w:cs="宋体"/>
                <w:color w:val="auto"/>
                <w:sz w:val="21"/>
                <w:szCs w:val="21"/>
                <w:highlight w:val="none"/>
                <w:lang w:bidi="ar"/>
              </w:rPr>
            </w:pPr>
            <w:r>
              <w:rPr>
                <w:rFonts w:hint="eastAsia" w:ascii="宋体" w:hAnsi="宋体" w:cs="宋体"/>
                <w:color w:val="auto"/>
                <w:sz w:val="21"/>
                <w:szCs w:val="21"/>
                <w:highlight w:val="none"/>
                <w:lang w:eastAsia="zh-CN" w:bidi="ar"/>
              </w:rPr>
              <w:t>供应商</w:t>
            </w:r>
            <w:r>
              <w:rPr>
                <w:rFonts w:hint="eastAsia" w:ascii="宋体" w:hAnsi="宋体" w:eastAsia="宋体" w:cs="宋体"/>
                <w:color w:val="auto"/>
                <w:sz w:val="21"/>
                <w:szCs w:val="21"/>
                <w:highlight w:val="none"/>
                <w:lang w:bidi="ar"/>
              </w:rPr>
              <w:t>配送人员进入食堂生产区域需佩戴好帽子和口罩，未按要求执行，发现一次扣2分。</w:t>
            </w:r>
          </w:p>
          <w:p w14:paraId="06A50A1E">
            <w:pPr>
              <w:spacing w:beforeLines="0" w:afterLines="0"/>
              <w:rPr>
                <w:rFonts w:hint="eastAsia" w:ascii="宋体" w:hAnsi="宋体" w:eastAsia="宋体" w:cs="宋体"/>
                <w:color w:val="auto"/>
                <w:sz w:val="21"/>
                <w:szCs w:val="21"/>
                <w:highlight w:val="none"/>
                <w:lang w:bidi="ar"/>
              </w:rPr>
            </w:pPr>
            <w:r>
              <w:rPr>
                <w:rFonts w:hint="eastAsia" w:ascii="宋体" w:hAnsi="宋体" w:cs="宋体"/>
                <w:color w:val="auto"/>
                <w:sz w:val="21"/>
                <w:szCs w:val="21"/>
                <w:highlight w:val="none"/>
                <w:lang w:eastAsia="zh-CN" w:bidi="ar"/>
              </w:rPr>
              <w:t>供应商</w:t>
            </w:r>
            <w:r>
              <w:rPr>
                <w:rFonts w:hint="eastAsia" w:ascii="宋体" w:hAnsi="宋体" w:eastAsia="宋体" w:cs="宋体"/>
                <w:color w:val="auto"/>
                <w:sz w:val="21"/>
                <w:szCs w:val="21"/>
                <w:highlight w:val="none"/>
                <w:lang w:bidi="ar"/>
              </w:rPr>
              <w:t>配送人员应服务态度良好，</w:t>
            </w:r>
            <w:r>
              <w:rPr>
                <w:rFonts w:hint="eastAsia" w:ascii="宋体" w:hAnsi="宋体" w:eastAsia="宋体" w:cs="宋体"/>
                <w:color w:val="auto"/>
                <w:sz w:val="21"/>
                <w:szCs w:val="21"/>
                <w:highlight w:val="none"/>
                <w:lang w:eastAsia="zh-CN" w:bidi="ar"/>
              </w:rPr>
              <w:t>文明运送搬装</w:t>
            </w:r>
            <w:r>
              <w:rPr>
                <w:rFonts w:hint="eastAsia" w:ascii="宋体" w:hAnsi="宋体" w:eastAsia="宋体" w:cs="宋体"/>
                <w:color w:val="auto"/>
                <w:sz w:val="21"/>
                <w:szCs w:val="21"/>
                <w:highlight w:val="none"/>
                <w:lang w:bidi="ar"/>
              </w:rPr>
              <w:t>，将货品送至</w:t>
            </w:r>
            <w:r>
              <w:rPr>
                <w:rFonts w:hint="eastAsia" w:ascii="宋体" w:hAnsi="宋体" w:cs="宋体"/>
                <w:color w:val="auto"/>
                <w:sz w:val="21"/>
                <w:szCs w:val="21"/>
                <w:highlight w:val="none"/>
                <w:lang w:eastAsia="zh-CN" w:bidi="ar"/>
              </w:rPr>
              <w:t>采购人</w:t>
            </w:r>
            <w:r>
              <w:rPr>
                <w:rFonts w:hint="eastAsia" w:ascii="宋体" w:hAnsi="宋体" w:eastAsia="宋体" w:cs="宋体"/>
                <w:color w:val="auto"/>
                <w:sz w:val="21"/>
                <w:szCs w:val="21"/>
                <w:highlight w:val="none"/>
                <w:lang w:bidi="ar"/>
              </w:rPr>
              <w:t>指定位置。如不配合</w:t>
            </w:r>
            <w:r>
              <w:rPr>
                <w:rFonts w:hint="eastAsia" w:ascii="宋体" w:hAnsi="宋体" w:cs="宋体"/>
                <w:color w:val="auto"/>
                <w:sz w:val="21"/>
                <w:szCs w:val="21"/>
                <w:highlight w:val="none"/>
                <w:lang w:eastAsia="zh-CN" w:bidi="ar"/>
              </w:rPr>
              <w:t>采购人</w:t>
            </w:r>
            <w:r>
              <w:rPr>
                <w:rFonts w:hint="eastAsia" w:ascii="宋体" w:hAnsi="宋体" w:eastAsia="宋体" w:cs="宋体"/>
                <w:color w:val="auto"/>
                <w:sz w:val="21"/>
                <w:szCs w:val="21"/>
                <w:highlight w:val="none"/>
                <w:lang w:bidi="ar"/>
              </w:rPr>
              <w:t>及现场人员的工作，不按指定位置放货，或野蛮运装、无正当理由与食堂人员争执，一次扣2分。</w:t>
            </w:r>
          </w:p>
        </w:tc>
        <w:tc>
          <w:tcPr>
            <w:tcW w:w="828"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6A55C7A8">
            <w:pPr>
              <w:spacing w:beforeLines="0" w:afterLine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ar"/>
              </w:rPr>
              <w:t>10</w:t>
            </w:r>
          </w:p>
        </w:tc>
        <w:tc>
          <w:tcPr>
            <w:tcW w:w="708"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227F43B2">
            <w:pPr>
              <w:spacing w:beforeLines="0" w:afterLines="0"/>
              <w:rPr>
                <w:rFonts w:hint="eastAsia" w:ascii="宋体" w:hAnsi="宋体" w:eastAsia="宋体" w:cs="宋体"/>
                <w:color w:val="auto"/>
                <w:sz w:val="21"/>
                <w:szCs w:val="21"/>
                <w:highlight w:val="none"/>
              </w:rPr>
            </w:pPr>
          </w:p>
        </w:tc>
      </w:tr>
      <w:tr w14:paraId="22F794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2" w:hRule="atLeast"/>
          <w:jc w:val="center"/>
        </w:trPr>
        <w:tc>
          <w:tcPr>
            <w:tcW w:w="2027" w:type="dxa"/>
            <w:gridSpan w:val="2"/>
            <w:tcBorders>
              <w:top w:val="single" w:color="000000" w:sz="4" w:space="0"/>
              <w:left w:val="single" w:color="000000" w:sz="4" w:space="0"/>
              <w:bottom w:val="single" w:color="000000" w:sz="4" w:space="0"/>
              <w:right w:val="single" w:color="000000" w:sz="4" w:space="0"/>
              <w:tl2br w:val="nil"/>
              <w:tr2bl w:val="nil"/>
            </w:tcBorders>
            <w:noWrap/>
            <w:vAlign w:val="center"/>
          </w:tcPr>
          <w:p w14:paraId="45EBA292">
            <w:pPr>
              <w:spacing w:beforeLines="0" w:afterLine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ar"/>
              </w:rPr>
              <w:t>总分:100分</w:t>
            </w:r>
          </w:p>
        </w:tc>
        <w:tc>
          <w:tcPr>
            <w:tcW w:w="7120" w:type="dxa"/>
            <w:gridSpan w:val="3"/>
            <w:tcBorders>
              <w:top w:val="single" w:color="000000" w:sz="4" w:space="0"/>
              <w:left w:val="single" w:color="000000" w:sz="4" w:space="0"/>
              <w:bottom w:val="single" w:color="000000" w:sz="4" w:space="0"/>
              <w:right w:val="single" w:color="000000" w:sz="4" w:space="0"/>
              <w:tl2br w:val="nil"/>
              <w:tr2bl w:val="nil"/>
            </w:tcBorders>
            <w:noWrap/>
            <w:vAlign w:val="center"/>
          </w:tcPr>
          <w:p w14:paraId="00424DD2">
            <w:pPr>
              <w:spacing w:beforeLines="0" w:afterLines="0"/>
              <w:rPr>
                <w:rFonts w:hint="eastAsia" w:ascii="宋体" w:hAnsi="宋体" w:eastAsia="宋体" w:cs="宋体"/>
                <w:color w:val="auto"/>
                <w:sz w:val="21"/>
                <w:szCs w:val="21"/>
                <w:highlight w:val="none"/>
              </w:rPr>
            </w:pPr>
          </w:p>
        </w:tc>
      </w:tr>
      <w:tr w14:paraId="10BEEF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56" w:hRule="atLeast"/>
          <w:jc w:val="center"/>
        </w:trPr>
        <w:tc>
          <w:tcPr>
            <w:tcW w:w="2027" w:type="dxa"/>
            <w:gridSpan w:val="2"/>
            <w:tcBorders>
              <w:top w:val="single" w:color="000000" w:sz="4" w:space="0"/>
              <w:left w:val="single" w:color="000000" w:sz="4" w:space="0"/>
              <w:bottom w:val="single" w:color="000000" w:sz="4" w:space="0"/>
              <w:right w:val="single" w:color="000000" w:sz="4" w:space="0"/>
              <w:tl2br w:val="nil"/>
              <w:tr2bl w:val="nil"/>
            </w:tcBorders>
            <w:noWrap/>
            <w:vAlign w:val="center"/>
          </w:tcPr>
          <w:p w14:paraId="06CE51BB">
            <w:pPr>
              <w:spacing w:beforeLines="0" w:afterLine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ar"/>
              </w:rPr>
              <w:t>备注</w:t>
            </w:r>
          </w:p>
        </w:tc>
        <w:tc>
          <w:tcPr>
            <w:tcW w:w="7120" w:type="dxa"/>
            <w:gridSpan w:val="3"/>
            <w:tcBorders>
              <w:top w:val="single" w:color="000000" w:sz="4" w:space="0"/>
              <w:left w:val="single" w:color="000000" w:sz="4" w:space="0"/>
              <w:bottom w:val="single" w:color="000000" w:sz="4" w:space="0"/>
              <w:right w:val="single" w:color="000000" w:sz="4" w:space="0"/>
              <w:tl2br w:val="nil"/>
              <w:tr2bl w:val="nil"/>
            </w:tcBorders>
            <w:noWrap/>
            <w:vAlign w:val="center"/>
          </w:tcPr>
          <w:p w14:paraId="3C4458DE">
            <w:pPr>
              <w:spacing w:beforeLines="0" w:afterLines="0"/>
              <w:rPr>
                <w:rFonts w:hint="eastAsia" w:ascii="宋体" w:hAnsi="宋体" w:cs="宋体"/>
                <w:color w:val="auto"/>
                <w:szCs w:val="21"/>
                <w:highlight w:val="none"/>
                <w:lang w:bidi="ar"/>
              </w:rPr>
            </w:pPr>
            <w:bookmarkStart w:id="9" w:name="OLE_LINK2"/>
            <w:r>
              <w:rPr>
                <w:rFonts w:hint="eastAsia" w:ascii="宋体" w:hAnsi="宋体" w:cs="宋体"/>
                <w:color w:val="auto"/>
                <w:szCs w:val="21"/>
                <w:highlight w:val="none"/>
                <w:lang w:bidi="ar"/>
              </w:rPr>
              <w:t>每月考核分≥95分，不处罚当月货款；</w:t>
            </w:r>
          </w:p>
          <w:p w14:paraId="3D9F0F27">
            <w:pPr>
              <w:spacing w:beforeLines="0" w:afterLines="0"/>
              <w:rPr>
                <w:rFonts w:hint="eastAsia" w:ascii="宋体" w:hAnsi="宋体" w:cs="宋体"/>
                <w:color w:val="auto"/>
                <w:szCs w:val="21"/>
                <w:highlight w:val="none"/>
                <w:lang w:bidi="ar"/>
              </w:rPr>
            </w:pPr>
            <w:r>
              <w:rPr>
                <w:rFonts w:hint="eastAsia" w:ascii="宋体" w:hAnsi="宋体" w:cs="宋体"/>
                <w:color w:val="auto"/>
                <w:szCs w:val="21"/>
                <w:highlight w:val="none"/>
                <w:lang w:bidi="ar"/>
              </w:rPr>
              <w:t>90分≤每月考核分＜95分，扣除当月货款0.5%作为处罚；</w:t>
            </w:r>
          </w:p>
          <w:p w14:paraId="640DA1BF">
            <w:pPr>
              <w:spacing w:beforeLines="0" w:afterLines="0"/>
              <w:rPr>
                <w:rFonts w:hint="eastAsia" w:ascii="宋体" w:hAnsi="宋体" w:cs="宋体"/>
                <w:color w:val="auto"/>
                <w:szCs w:val="21"/>
                <w:highlight w:val="none"/>
                <w:lang w:bidi="ar"/>
              </w:rPr>
            </w:pPr>
            <w:r>
              <w:rPr>
                <w:rFonts w:hint="eastAsia" w:ascii="宋体" w:hAnsi="宋体" w:cs="宋体"/>
                <w:color w:val="auto"/>
                <w:szCs w:val="21"/>
                <w:highlight w:val="none"/>
                <w:lang w:bidi="ar"/>
              </w:rPr>
              <w:t>80分≤每月考核分＜90分，扣除当月货款1%作为处罚；</w:t>
            </w:r>
          </w:p>
          <w:p w14:paraId="6ECD2D31">
            <w:pPr>
              <w:spacing w:beforeLines="0" w:afterLines="0"/>
              <w:rPr>
                <w:rFonts w:hint="eastAsia" w:ascii="宋体" w:hAnsi="宋体" w:cs="宋体"/>
                <w:color w:val="auto"/>
                <w:szCs w:val="21"/>
                <w:highlight w:val="none"/>
                <w:lang w:bidi="ar"/>
              </w:rPr>
            </w:pPr>
            <w:r>
              <w:rPr>
                <w:rFonts w:hint="eastAsia" w:ascii="宋体" w:hAnsi="宋体" w:cs="宋体"/>
                <w:color w:val="auto"/>
                <w:szCs w:val="21"/>
                <w:highlight w:val="none"/>
                <w:lang w:bidi="ar"/>
              </w:rPr>
              <w:t>70分≤每月考核分＜80分，扣除当月货款2%作为处罚；</w:t>
            </w:r>
          </w:p>
          <w:p w14:paraId="39A4EAAA">
            <w:pPr>
              <w:spacing w:beforeLines="0" w:afterLines="0"/>
              <w:rPr>
                <w:rFonts w:hint="eastAsia" w:ascii="宋体" w:hAnsi="宋体" w:cs="宋体"/>
                <w:color w:val="auto"/>
                <w:szCs w:val="21"/>
                <w:highlight w:val="none"/>
                <w:lang w:bidi="ar"/>
              </w:rPr>
            </w:pPr>
            <w:r>
              <w:rPr>
                <w:rFonts w:hint="eastAsia" w:ascii="宋体" w:hAnsi="宋体" w:cs="宋体"/>
                <w:color w:val="auto"/>
                <w:szCs w:val="21"/>
                <w:highlight w:val="none"/>
                <w:lang w:bidi="ar"/>
              </w:rPr>
              <w:t>每月考核分＜70分，扣除当月货款5%作为处罚。</w:t>
            </w:r>
          </w:p>
          <w:p w14:paraId="4B220DEB">
            <w:pPr>
              <w:spacing w:beforeLines="0" w:afterLines="0"/>
              <w:rPr>
                <w:rFonts w:hint="eastAsia" w:ascii="宋体" w:hAnsi="宋体" w:eastAsia="宋体" w:cs="宋体"/>
                <w:color w:val="auto"/>
                <w:sz w:val="21"/>
                <w:szCs w:val="21"/>
                <w:highlight w:val="none"/>
                <w:lang w:val="en-US" w:eastAsia="zh-CN" w:bidi="ar"/>
              </w:rPr>
            </w:pPr>
            <w:r>
              <w:rPr>
                <w:rFonts w:hint="eastAsia" w:ascii="宋体" w:hAnsi="宋体" w:cs="宋体"/>
                <w:color w:val="auto"/>
                <w:szCs w:val="21"/>
                <w:highlight w:val="none"/>
                <w:lang w:bidi="ar"/>
              </w:rPr>
              <w:t>每月考核分＜90分为不合格，履约期内5次考核不合格，</w:t>
            </w:r>
            <w:r>
              <w:rPr>
                <w:rFonts w:hint="eastAsia" w:ascii="宋体" w:hAnsi="宋体" w:cs="宋体"/>
                <w:color w:val="auto"/>
                <w:szCs w:val="21"/>
                <w:highlight w:val="none"/>
                <w:lang w:eastAsia="zh-CN" w:bidi="ar"/>
              </w:rPr>
              <w:t>采购人</w:t>
            </w:r>
            <w:r>
              <w:rPr>
                <w:rFonts w:hint="eastAsia" w:ascii="宋体" w:hAnsi="宋体" w:cs="宋体"/>
                <w:color w:val="auto"/>
                <w:szCs w:val="21"/>
                <w:highlight w:val="none"/>
                <w:lang w:bidi="ar"/>
              </w:rPr>
              <w:t>有权解除合同并没收履约保证金或根据项目评估是否继续履约，但继续履约期间仍可随时提前一个月解除合同。</w:t>
            </w:r>
            <w:bookmarkEnd w:id="9"/>
          </w:p>
        </w:tc>
      </w:tr>
    </w:tbl>
    <w:p w14:paraId="41295E74">
      <w:pPr>
        <w:bidi w:val="0"/>
      </w:pPr>
    </w:p>
    <w:p w14:paraId="0F1698FF">
      <w:pPr>
        <w:spacing w:line="360" w:lineRule="auto"/>
        <w:rPr>
          <w:rFonts w:hint="eastAsia" w:ascii="宋体" w:hAnsi="宋体" w:cs="宋体"/>
          <w:color w:val="auto"/>
          <w:szCs w:val="21"/>
          <w:highlight w:val="none"/>
          <w:lang w:val="en-US" w:eastAsia="zh-CN"/>
        </w:rPr>
      </w:pPr>
    </w:p>
    <w:p w14:paraId="66F137AE">
      <w:pPr>
        <w:spacing w:line="360" w:lineRule="auto"/>
        <w:rPr>
          <w:rFonts w:hint="eastAsia" w:ascii="宋体" w:hAnsi="宋体" w:cs="宋体"/>
          <w:color w:val="auto"/>
          <w:szCs w:val="21"/>
          <w:highlight w:val="none"/>
        </w:rPr>
      </w:pPr>
    </w:p>
    <w:p w14:paraId="1D998756">
      <w:pPr>
        <w:spacing w:line="360" w:lineRule="auto"/>
        <w:ind w:firstLine="0" w:firstLineChars="0"/>
        <w:jc w:val="left"/>
        <w:rPr>
          <w:color w:val="auto"/>
          <w:highlight w:val="none"/>
        </w:rPr>
      </w:pPr>
    </w:p>
    <w:p w14:paraId="40E79F65">
      <w:pPr>
        <w:jc w:val="left"/>
        <w:outlineLvl w:val="9"/>
        <w:rPr>
          <w:color w:val="auto"/>
          <w:highlight w:val="none"/>
        </w:rPr>
      </w:pPr>
      <w:r>
        <w:rPr>
          <w:color w:val="auto"/>
          <w:highlight w:val="none"/>
        </w:rPr>
        <w:br w:type="page"/>
      </w:r>
    </w:p>
    <w:p w14:paraId="4C2A9E1A">
      <w:pPr>
        <w:jc w:val="left"/>
        <w:rPr>
          <w:rFonts w:hint="eastAsia" w:ascii="宋体" w:hAnsi="宋体" w:eastAsia="宋体" w:cs="宋体"/>
          <w:color w:val="auto"/>
          <w:kern w:val="0"/>
          <w:sz w:val="32"/>
          <w:szCs w:val="32"/>
          <w:highlight w:val="none"/>
        </w:rPr>
      </w:pPr>
      <w:r>
        <w:rPr>
          <w:rFonts w:hint="eastAsia" w:ascii="宋体" w:hAnsi="宋体" w:eastAsia="宋体" w:cs="宋体"/>
          <w:color w:val="auto"/>
          <w:kern w:val="0"/>
          <w:sz w:val="32"/>
          <w:szCs w:val="32"/>
          <w:highlight w:val="none"/>
        </w:rPr>
        <w:t>附件2：</w:t>
      </w:r>
    </w:p>
    <w:p w14:paraId="327823D0">
      <w:pPr>
        <w:spacing w:line="528" w:lineRule="exact"/>
        <w:jc w:val="center"/>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中小微企业划型标准</w:t>
      </w:r>
    </w:p>
    <w:tbl>
      <w:tblPr>
        <w:tblStyle w:val="33"/>
        <w:tblW w:w="9052" w:type="dxa"/>
        <w:jc w:val="center"/>
        <w:tblLayout w:type="fixed"/>
        <w:tblCellMar>
          <w:top w:w="0" w:type="dxa"/>
          <w:left w:w="108" w:type="dxa"/>
          <w:bottom w:w="0" w:type="dxa"/>
          <w:right w:w="108" w:type="dxa"/>
        </w:tblCellMar>
      </w:tblPr>
      <w:tblGrid>
        <w:gridCol w:w="1904"/>
        <w:gridCol w:w="1384"/>
        <w:gridCol w:w="913"/>
        <w:gridCol w:w="1966"/>
        <w:gridCol w:w="1743"/>
        <w:gridCol w:w="1142"/>
      </w:tblGrid>
      <w:tr w14:paraId="7251208F">
        <w:tblPrEx>
          <w:tblCellMar>
            <w:top w:w="0" w:type="dxa"/>
            <w:left w:w="108" w:type="dxa"/>
            <w:bottom w:w="0" w:type="dxa"/>
            <w:right w:w="108" w:type="dxa"/>
          </w:tblCellMar>
        </w:tblPrEx>
        <w:trPr>
          <w:trHeight w:val="285" w:hRule="atLeast"/>
          <w:jc w:val="center"/>
        </w:trPr>
        <w:tc>
          <w:tcPr>
            <w:tcW w:w="1904" w:type="dxa"/>
            <w:tcBorders>
              <w:top w:val="single" w:color="auto" w:sz="4" w:space="0"/>
              <w:left w:val="single" w:color="auto" w:sz="4" w:space="0"/>
              <w:bottom w:val="single" w:color="auto" w:sz="4" w:space="0"/>
              <w:right w:val="single" w:color="auto" w:sz="4" w:space="0"/>
            </w:tcBorders>
            <w:noWrap w:val="0"/>
            <w:vAlign w:val="center"/>
          </w:tcPr>
          <w:p w14:paraId="583DC645">
            <w:pPr>
              <w:widowControl/>
              <w:jc w:val="center"/>
              <w:rPr>
                <w:rFonts w:hint="eastAsia" w:ascii="宋体" w:hAnsi="宋体" w:eastAsia="宋体" w:cs="宋体"/>
                <w:b/>
                <w:color w:val="auto"/>
                <w:kern w:val="0"/>
                <w:sz w:val="24"/>
                <w:highlight w:val="none"/>
              </w:rPr>
            </w:pPr>
            <w:r>
              <w:rPr>
                <w:rFonts w:hint="eastAsia" w:ascii="宋体" w:hAnsi="宋体" w:eastAsia="宋体" w:cs="宋体"/>
                <w:b/>
                <w:color w:val="auto"/>
                <w:kern w:val="0"/>
                <w:sz w:val="24"/>
                <w:highlight w:val="none"/>
              </w:rPr>
              <w:t>行业名称</w:t>
            </w:r>
          </w:p>
        </w:tc>
        <w:tc>
          <w:tcPr>
            <w:tcW w:w="1384" w:type="dxa"/>
            <w:tcBorders>
              <w:top w:val="single" w:color="auto" w:sz="4" w:space="0"/>
              <w:left w:val="nil"/>
              <w:bottom w:val="single" w:color="auto" w:sz="4" w:space="0"/>
              <w:right w:val="single" w:color="auto" w:sz="4" w:space="0"/>
            </w:tcBorders>
            <w:noWrap w:val="0"/>
            <w:vAlign w:val="center"/>
          </w:tcPr>
          <w:p w14:paraId="5A1DA638">
            <w:pPr>
              <w:widowControl/>
              <w:jc w:val="center"/>
              <w:rPr>
                <w:rFonts w:hint="eastAsia" w:ascii="宋体" w:hAnsi="宋体" w:eastAsia="宋体" w:cs="宋体"/>
                <w:b/>
                <w:color w:val="auto"/>
                <w:kern w:val="0"/>
                <w:sz w:val="24"/>
                <w:highlight w:val="none"/>
              </w:rPr>
            </w:pPr>
            <w:r>
              <w:rPr>
                <w:rFonts w:hint="eastAsia" w:ascii="宋体" w:hAnsi="宋体" w:eastAsia="宋体" w:cs="宋体"/>
                <w:b/>
                <w:color w:val="auto"/>
                <w:kern w:val="0"/>
                <w:sz w:val="24"/>
                <w:highlight w:val="none"/>
              </w:rPr>
              <w:t>指标名称</w:t>
            </w:r>
          </w:p>
        </w:tc>
        <w:tc>
          <w:tcPr>
            <w:tcW w:w="913" w:type="dxa"/>
            <w:tcBorders>
              <w:top w:val="single" w:color="auto" w:sz="4" w:space="0"/>
              <w:left w:val="nil"/>
              <w:bottom w:val="single" w:color="auto" w:sz="4" w:space="0"/>
              <w:right w:val="single" w:color="auto" w:sz="4" w:space="0"/>
            </w:tcBorders>
            <w:noWrap w:val="0"/>
            <w:vAlign w:val="center"/>
          </w:tcPr>
          <w:p w14:paraId="42C93A59">
            <w:pPr>
              <w:widowControl/>
              <w:jc w:val="center"/>
              <w:rPr>
                <w:rFonts w:hint="eastAsia" w:ascii="宋体" w:hAnsi="宋体" w:eastAsia="宋体" w:cs="宋体"/>
                <w:b/>
                <w:color w:val="auto"/>
                <w:kern w:val="0"/>
                <w:sz w:val="24"/>
                <w:highlight w:val="none"/>
              </w:rPr>
            </w:pPr>
            <w:r>
              <w:rPr>
                <w:rFonts w:hint="eastAsia" w:ascii="宋体" w:hAnsi="宋体" w:eastAsia="宋体" w:cs="宋体"/>
                <w:b/>
                <w:color w:val="auto"/>
                <w:kern w:val="0"/>
                <w:sz w:val="24"/>
                <w:highlight w:val="none"/>
              </w:rPr>
              <w:t>计量单位</w:t>
            </w:r>
          </w:p>
        </w:tc>
        <w:tc>
          <w:tcPr>
            <w:tcW w:w="1966" w:type="dxa"/>
            <w:tcBorders>
              <w:top w:val="single" w:color="auto" w:sz="4" w:space="0"/>
              <w:left w:val="nil"/>
              <w:bottom w:val="single" w:color="auto" w:sz="4" w:space="0"/>
              <w:right w:val="single" w:color="auto" w:sz="4" w:space="0"/>
            </w:tcBorders>
            <w:noWrap w:val="0"/>
            <w:vAlign w:val="center"/>
          </w:tcPr>
          <w:p w14:paraId="456E9CCB">
            <w:pPr>
              <w:widowControl/>
              <w:jc w:val="center"/>
              <w:rPr>
                <w:rFonts w:hint="eastAsia" w:ascii="宋体" w:hAnsi="宋体" w:eastAsia="宋体" w:cs="宋体"/>
                <w:b/>
                <w:color w:val="auto"/>
                <w:kern w:val="0"/>
                <w:sz w:val="24"/>
                <w:highlight w:val="none"/>
              </w:rPr>
            </w:pPr>
            <w:r>
              <w:rPr>
                <w:rFonts w:hint="eastAsia" w:ascii="宋体" w:hAnsi="宋体" w:eastAsia="宋体" w:cs="宋体"/>
                <w:b/>
                <w:color w:val="auto"/>
                <w:kern w:val="0"/>
                <w:sz w:val="24"/>
                <w:highlight w:val="none"/>
              </w:rPr>
              <w:t>中型</w:t>
            </w:r>
          </w:p>
        </w:tc>
        <w:tc>
          <w:tcPr>
            <w:tcW w:w="1743" w:type="dxa"/>
            <w:tcBorders>
              <w:top w:val="single" w:color="auto" w:sz="4" w:space="0"/>
              <w:left w:val="nil"/>
              <w:bottom w:val="single" w:color="auto" w:sz="4" w:space="0"/>
              <w:right w:val="single" w:color="auto" w:sz="4" w:space="0"/>
            </w:tcBorders>
            <w:noWrap w:val="0"/>
            <w:vAlign w:val="center"/>
          </w:tcPr>
          <w:p w14:paraId="54DF503C">
            <w:pPr>
              <w:widowControl/>
              <w:jc w:val="center"/>
              <w:rPr>
                <w:rFonts w:hint="eastAsia" w:ascii="宋体" w:hAnsi="宋体" w:eastAsia="宋体" w:cs="宋体"/>
                <w:b/>
                <w:color w:val="auto"/>
                <w:kern w:val="0"/>
                <w:sz w:val="24"/>
                <w:highlight w:val="none"/>
              </w:rPr>
            </w:pPr>
            <w:r>
              <w:rPr>
                <w:rFonts w:hint="eastAsia" w:ascii="宋体" w:hAnsi="宋体" w:eastAsia="宋体" w:cs="宋体"/>
                <w:b/>
                <w:color w:val="auto"/>
                <w:kern w:val="0"/>
                <w:sz w:val="24"/>
                <w:highlight w:val="none"/>
              </w:rPr>
              <w:t>小型</w:t>
            </w:r>
          </w:p>
        </w:tc>
        <w:tc>
          <w:tcPr>
            <w:tcW w:w="1142" w:type="dxa"/>
            <w:tcBorders>
              <w:top w:val="single" w:color="auto" w:sz="4" w:space="0"/>
              <w:left w:val="nil"/>
              <w:bottom w:val="single" w:color="auto" w:sz="4" w:space="0"/>
              <w:right w:val="single" w:color="auto" w:sz="4" w:space="0"/>
            </w:tcBorders>
            <w:noWrap w:val="0"/>
            <w:vAlign w:val="center"/>
          </w:tcPr>
          <w:p w14:paraId="02570579">
            <w:pPr>
              <w:widowControl/>
              <w:jc w:val="center"/>
              <w:rPr>
                <w:rFonts w:hint="eastAsia" w:ascii="宋体" w:hAnsi="宋体" w:eastAsia="宋体" w:cs="宋体"/>
                <w:b/>
                <w:color w:val="auto"/>
                <w:kern w:val="0"/>
                <w:sz w:val="24"/>
                <w:highlight w:val="none"/>
              </w:rPr>
            </w:pPr>
            <w:r>
              <w:rPr>
                <w:rFonts w:hint="eastAsia" w:ascii="宋体" w:hAnsi="宋体" w:eastAsia="宋体" w:cs="宋体"/>
                <w:b/>
                <w:color w:val="auto"/>
                <w:kern w:val="0"/>
                <w:sz w:val="24"/>
                <w:highlight w:val="none"/>
              </w:rPr>
              <w:t>微型</w:t>
            </w:r>
          </w:p>
        </w:tc>
      </w:tr>
      <w:tr w14:paraId="1CADBEEE">
        <w:tblPrEx>
          <w:tblCellMar>
            <w:top w:w="0" w:type="dxa"/>
            <w:left w:w="108" w:type="dxa"/>
            <w:bottom w:w="0" w:type="dxa"/>
            <w:right w:w="108" w:type="dxa"/>
          </w:tblCellMar>
        </w:tblPrEx>
        <w:trPr>
          <w:trHeight w:val="225" w:hRule="atLeast"/>
          <w:jc w:val="center"/>
        </w:trPr>
        <w:tc>
          <w:tcPr>
            <w:tcW w:w="1904" w:type="dxa"/>
            <w:tcBorders>
              <w:top w:val="nil"/>
              <w:left w:val="single" w:color="auto" w:sz="4" w:space="0"/>
              <w:bottom w:val="single" w:color="auto" w:sz="4" w:space="0"/>
              <w:right w:val="single" w:color="auto" w:sz="4" w:space="0"/>
            </w:tcBorders>
            <w:noWrap w:val="0"/>
            <w:vAlign w:val="center"/>
          </w:tcPr>
          <w:p w14:paraId="026E3D50">
            <w:pPr>
              <w:widowControl/>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农、林、牧、渔</w:t>
            </w:r>
          </w:p>
        </w:tc>
        <w:tc>
          <w:tcPr>
            <w:tcW w:w="1384" w:type="dxa"/>
            <w:tcBorders>
              <w:top w:val="nil"/>
              <w:left w:val="nil"/>
              <w:bottom w:val="single" w:color="auto" w:sz="4" w:space="0"/>
              <w:right w:val="single" w:color="auto" w:sz="4" w:space="0"/>
            </w:tcBorders>
            <w:noWrap w:val="0"/>
            <w:vAlign w:val="center"/>
          </w:tcPr>
          <w:p w14:paraId="59BCB80F">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营业收入（Y）</w:t>
            </w:r>
          </w:p>
        </w:tc>
        <w:tc>
          <w:tcPr>
            <w:tcW w:w="913" w:type="dxa"/>
            <w:tcBorders>
              <w:top w:val="nil"/>
              <w:left w:val="nil"/>
              <w:bottom w:val="single" w:color="auto" w:sz="4" w:space="0"/>
              <w:right w:val="single" w:color="auto" w:sz="4" w:space="0"/>
            </w:tcBorders>
            <w:noWrap w:val="0"/>
            <w:vAlign w:val="center"/>
          </w:tcPr>
          <w:p w14:paraId="2C5387F1">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万元</w:t>
            </w:r>
          </w:p>
        </w:tc>
        <w:tc>
          <w:tcPr>
            <w:tcW w:w="1966" w:type="dxa"/>
            <w:tcBorders>
              <w:top w:val="nil"/>
              <w:left w:val="nil"/>
              <w:bottom w:val="single" w:color="auto" w:sz="4" w:space="0"/>
              <w:right w:val="single" w:color="auto" w:sz="4" w:space="0"/>
            </w:tcBorders>
            <w:noWrap w:val="0"/>
            <w:vAlign w:val="center"/>
          </w:tcPr>
          <w:p w14:paraId="230FAC0C">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500≤Y＜20000</w:t>
            </w:r>
          </w:p>
        </w:tc>
        <w:tc>
          <w:tcPr>
            <w:tcW w:w="1743" w:type="dxa"/>
            <w:tcBorders>
              <w:top w:val="nil"/>
              <w:left w:val="nil"/>
              <w:bottom w:val="single" w:color="auto" w:sz="4" w:space="0"/>
              <w:right w:val="single" w:color="auto" w:sz="4" w:space="0"/>
            </w:tcBorders>
            <w:noWrap w:val="0"/>
            <w:vAlign w:val="center"/>
          </w:tcPr>
          <w:p w14:paraId="5AB94BD6">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50≤Y＜500</w:t>
            </w:r>
          </w:p>
        </w:tc>
        <w:tc>
          <w:tcPr>
            <w:tcW w:w="1142" w:type="dxa"/>
            <w:tcBorders>
              <w:top w:val="nil"/>
              <w:left w:val="nil"/>
              <w:bottom w:val="single" w:color="auto" w:sz="4" w:space="0"/>
              <w:right w:val="single" w:color="auto" w:sz="4" w:space="0"/>
            </w:tcBorders>
            <w:noWrap w:val="0"/>
            <w:vAlign w:val="center"/>
          </w:tcPr>
          <w:p w14:paraId="3C9CE215">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Y＜50</w:t>
            </w:r>
          </w:p>
        </w:tc>
      </w:tr>
      <w:tr w14:paraId="6B3CB3D0">
        <w:tblPrEx>
          <w:tblCellMar>
            <w:top w:w="0" w:type="dxa"/>
            <w:left w:w="108" w:type="dxa"/>
            <w:bottom w:w="0" w:type="dxa"/>
            <w:right w:w="108" w:type="dxa"/>
          </w:tblCellMar>
        </w:tblPrEx>
        <w:trPr>
          <w:trHeight w:val="225" w:hRule="atLeast"/>
          <w:jc w:val="center"/>
        </w:trPr>
        <w:tc>
          <w:tcPr>
            <w:tcW w:w="1904" w:type="dxa"/>
            <w:vMerge w:val="restart"/>
            <w:tcBorders>
              <w:top w:val="nil"/>
              <w:left w:val="single" w:color="auto" w:sz="4" w:space="0"/>
              <w:bottom w:val="single" w:color="auto" w:sz="4" w:space="0"/>
              <w:right w:val="single" w:color="auto" w:sz="4" w:space="0"/>
            </w:tcBorders>
            <w:noWrap w:val="0"/>
            <w:vAlign w:val="center"/>
          </w:tcPr>
          <w:p w14:paraId="5549D133">
            <w:pPr>
              <w:widowControl/>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工业</w:t>
            </w:r>
          </w:p>
        </w:tc>
        <w:tc>
          <w:tcPr>
            <w:tcW w:w="1384" w:type="dxa"/>
            <w:tcBorders>
              <w:top w:val="nil"/>
              <w:left w:val="nil"/>
              <w:bottom w:val="single" w:color="auto" w:sz="4" w:space="0"/>
              <w:right w:val="single" w:color="auto" w:sz="4" w:space="0"/>
            </w:tcBorders>
            <w:noWrap w:val="0"/>
            <w:vAlign w:val="center"/>
          </w:tcPr>
          <w:p w14:paraId="54EEC54E">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从业人员（X）</w:t>
            </w:r>
          </w:p>
        </w:tc>
        <w:tc>
          <w:tcPr>
            <w:tcW w:w="913" w:type="dxa"/>
            <w:tcBorders>
              <w:top w:val="nil"/>
              <w:left w:val="nil"/>
              <w:bottom w:val="single" w:color="auto" w:sz="4" w:space="0"/>
              <w:right w:val="single" w:color="auto" w:sz="4" w:space="0"/>
            </w:tcBorders>
            <w:noWrap w:val="0"/>
            <w:vAlign w:val="center"/>
          </w:tcPr>
          <w:p w14:paraId="62BE8E0E">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人</w:t>
            </w:r>
          </w:p>
        </w:tc>
        <w:tc>
          <w:tcPr>
            <w:tcW w:w="1966" w:type="dxa"/>
            <w:tcBorders>
              <w:top w:val="nil"/>
              <w:left w:val="nil"/>
              <w:bottom w:val="single" w:color="auto" w:sz="4" w:space="0"/>
              <w:right w:val="single" w:color="auto" w:sz="4" w:space="0"/>
            </w:tcBorders>
            <w:noWrap w:val="0"/>
            <w:vAlign w:val="center"/>
          </w:tcPr>
          <w:p w14:paraId="5C195399">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300≤X＜1000</w:t>
            </w:r>
          </w:p>
        </w:tc>
        <w:tc>
          <w:tcPr>
            <w:tcW w:w="1743" w:type="dxa"/>
            <w:tcBorders>
              <w:top w:val="nil"/>
              <w:left w:val="nil"/>
              <w:bottom w:val="single" w:color="auto" w:sz="4" w:space="0"/>
              <w:right w:val="single" w:color="auto" w:sz="4" w:space="0"/>
            </w:tcBorders>
            <w:noWrap w:val="0"/>
            <w:vAlign w:val="center"/>
          </w:tcPr>
          <w:p w14:paraId="482F4B3F">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20≤X＜300</w:t>
            </w:r>
          </w:p>
        </w:tc>
        <w:tc>
          <w:tcPr>
            <w:tcW w:w="1142" w:type="dxa"/>
            <w:tcBorders>
              <w:top w:val="nil"/>
              <w:left w:val="nil"/>
              <w:bottom w:val="single" w:color="auto" w:sz="4" w:space="0"/>
              <w:right w:val="single" w:color="auto" w:sz="4" w:space="0"/>
            </w:tcBorders>
            <w:noWrap w:val="0"/>
            <w:vAlign w:val="center"/>
          </w:tcPr>
          <w:p w14:paraId="7E6F9B84">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X＜20</w:t>
            </w:r>
          </w:p>
        </w:tc>
      </w:tr>
      <w:tr w14:paraId="194A7DA2">
        <w:tblPrEx>
          <w:tblCellMar>
            <w:top w:w="0" w:type="dxa"/>
            <w:left w:w="108" w:type="dxa"/>
            <w:bottom w:w="0" w:type="dxa"/>
            <w:right w:w="108" w:type="dxa"/>
          </w:tblCellMar>
        </w:tblPrEx>
        <w:trPr>
          <w:trHeight w:val="225" w:hRule="atLeast"/>
          <w:jc w:val="center"/>
        </w:trPr>
        <w:tc>
          <w:tcPr>
            <w:tcW w:w="1904" w:type="dxa"/>
            <w:vMerge w:val="continue"/>
            <w:tcBorders>
              <w:top w:val="nil"/>
              <w:left w:val="single" w:color="auto" w:sz="4" w:space="0"/>
              <w:bottom w:val="single" w:color="auto" w:sz="4" w:space="0"/>
              <w:right w:val="single" w:color="auto" w:sz="4" w:space="0"/>
            </w:tcBorders>
            <w:noWrap w:val="0"/>
            <w:vAlign w:val="center"/>
          </w:tcPr>
          <w:p w14:paraId="1FF545EC">
            <w:pPr>
              <w:widowControl/>
              <w:jc w:val="left"/>
              <w:rPr>
                <w:rFonts w:hint="eastAsia" w:ascii="宋体" w:hAnsi="宋体" w:eastAsia="宋体" w:cs="宋体"/>
                <w:b/>
                <w:bCs/>
                <w:color w:val="auto"/>
                <w:kern w:val="0"/>
                <w:szCs w:val="21"/>
                <w:highlight w:val="none"/>
              </w:rPr>
            </w:pPr>
          </w:p>
        </w:tc>
        <w:tc>
          <w:tcPr>
            <w:tcW w:w="1384" w:type="dxa"/>
            <w:tcBorders>
              <w:top w:val="nil"/>
              <w:left w:val="nil"/>
              <w:bottom w:val="single" w:color="auto" w:sz="4" w:space="0"/>
              <w:right w:val="single" w:color="auto" w:sz="4" w:space="0"/>
            </w:tcBorders>
            <w:noWrap w:val="0"/>
            <w:vAlign w:val="center"/>
          </w:tcPr>
          <w:p w14:paraId="5568954B">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营业收入（Y）</w:t>
            </w:r>
          </w:p>
        </w:tc>
        <w:tc>
          <w:tcPr>
            <w:tcW w:w="913" w:type="dxa"/>
            <w:tcBorders>
              <w:top w:val="nil"/>
              <w:left w:val="nil"/>
              <w:bottom w:val="single" w:color="auto" w:sz="4" w:space="0"/>
              <w:right w:val="single" w:color="auto" w:sz="4" w:space="0"/>
            </w:tcBorders>
            <w:noWrap w:val="0"/>
            <w:vAlign w:val="center"/>
          </w:tcPr>
          <w:p w14:paraId="65FF30DD">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万元</w:t>
            </w:r>
          </w:p>
        </w:tc>
        <w:tc>
          <w:tcPr>
            <w:tcW w:w="1966" w:type="dxa"/>
            <w:tcBorders>
              <w:top w:val="nil"/>
              <w:left w:val="nil"/>
              <w:bottom w:val="single" w:color="auto" w:sz="4" w:space="0"/>
              <w:right w:val="single" w:color="auto" w:sz="4" w:space="0"/>
            </w:tcBorders>
            <w:noWrap w:val="0"/>
            <w:vAlign w:val="center"/>
          </w:tcPr>
          <w:p w14:paraId="060B9576">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2000≤Y＜40000</w:t>
            </w:r>
          </w:p>
        </w:tc>
        <w:tc>
          <w:tcPr>
            <w:tcW w:w="1743" w:type="dxa"/>
            <w:tcBorders>
              <w:top w:val="nil"/>
              <w:left w:val="nil"/>
              <w:bottom w:val="single" w:color="auto" w:sz="4" w:space="0"/>
              <w:right w:val="single" w:color="auto" w:sz="4" w:space="0"/>
            </w:tcBorders>
            <w:noWrap w:val="0"/>
            <w:vAlign w:val="center"/>
          </w:tcPr>
          <w:p w14:paraId="5AB9BEAC">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300≤Y＜2000</w:t>
            </w:r>
          </w:p>
        </w:tc>
        <w:tc>
          <w:tcPr>
            <w:tcW w:w="1142" w:type="dxa"/>
            <w:tcBorders>
              <w:top w:val="nil"/>
              <w:left w:val="nil"/>
              <w:bottom w:val="single" w:color="auto" w:sz="4" w:space="0"/>
              <w:right w:val="single" w:color="auto" w:sz="4" w:space="0"/>
            </w:tcBorders>
            <w:noWrap w:val="0"/>
            <w:vAlign w:val="center"/>
          </w:tcPr>
          <w:p w14:paraId="6A5EE766">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Y＜300</w:t>
            </w:r>
          </w:p>
        </w:tc>
      </w:tr>
      <w:tr w14:paraId="7D6DBCF9">
        <w:tblPrEx>
          <w:tblCellMar>
            <w:top w:w="0" w:type="dxa"/>
            <w:left w:w="108" w:type="dxa"/>
            <w:bottom w:w="0" w:type="dxa"/>
            <w:right w:w="108" w:type="dxa"/>
          </w:tblCellMar>
        </w:tblPrEx>
        <w:trPr>
          <w:trHeight w:val="225" w:hRule="atLeast"/>
          <w:jc w:val="center"/>
        </w:trPr>
        <w:tc>
          <w:tcPr>
            <w:tcW w:w="1904" w:type="dxa"/>
            <w:vMerge w:val="restart"/>
            <w:tcBorders>
              <w:top w:val="nil"/>
              <w:left w:val="single" w:color="auto" w:sz="4" w:space="0"/>
              <w:bottom w:val="single" w:color="auto" w:sz="4" w:space="0"/>
              <w:right w:val="single" w:color="auto" w:sz="4" w:space="0"/>
            </w:tcBorders>
            <w:noWrap w:val="0"/>
            <w:vAlign w:val="center"/>
          </w:tcPr>
          <w:p w14:paraId="254AB163">
            <w:pPr>
              <w:widowControl/>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建筑业</w:t>
            </w:r>
          </w:p>
        </w:tc>
        <w:tc>
          <w:tcPr>
            <w:tcW w:w="1384" w:type="dxa"/>
            <w:tcBorders>
              <w:top w:val="nil"/>
              <w:left w:val="nil"/>
              <w:bottom w:val="single" w:color="auto" w:sz="4" w:space="0"/>
              <w:right w:val="single" w:color="auto" w:sz="4" w:space="0"/>
            </w:tcBorders>
            <w:noWrap w:val="0"/>
            <w:vAlign w:val="center"/>
          </w:tcPr>
          <w:p w14:paraId="6D5D3504">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营业收入（Y）</w:t>
            </w:r>
          </w:p>
        </w:tc>
        <w:tc>
          <w:tcPr>
            <w:tcW w:w="913" w:type="dxa"/>
            <w:tcBorders>
              <w:top w:val="nil"/>
              <w:left w:val="nil"/>
              <w:bottom w:val="single" w:color="auto" w:sz="4" w:space="0"/>
              <w:right w:val="single" w:color="auto" w:sz="4" w:space="0"/>
            </w:tcBorders>
            <w:noWrap w:val="0"/>
            <w:vAlign w:val="center"/>
          </w:tcPr>
          <w:p w14:paraId="4497DAB1">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万元</w:t>
            </w:r>
          </w:p>
        </w:tc>
        <w:tc>
          <w:tcPr>
            <w:tcW w:w="1966" w:type="dxa"/>
            <w:tcBorders>
              <w:top w:val="nil"/>
              <w:left w:val="nil"/>
              <w:bottom w:val="single" w:color="auto" w:sz="4" w:space="0"/>
              <w:right w:val="single" w:color="auto" w:sz="4" w:space="0"/>
            </w:tcBorders>
            <w:noWrap w:val="0"/>
            <w:vAlign w:val="center"/>
          </w:tcPr>
          <w:p w14:paraId="2218555B">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6000≤Y＜80000</w:t>
            </w:r>
          </w:p>
        </w:tc>
        <w:tc>
          <w:tcPr>
            <w:tcW w:w="1743" w:type="dxa"/>
            <w:tcBorders>
              <w:top w:val="nil"/>
              <w:left w:val="nil"/>
              <w:bottom w:val="single" w:color="auto" w:sz="4" w:space="0"/>
              <w:right w:val="single" w:color="auto" w:sz="4" w:space="0"/>
            </w:tcBorders>
            <w:noWrap w:val="0"/>
            <w:vAlign w:val="center"/>
          </w:tcPr>
          <w:p w14:paraId="641A3241">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300≤Y＜6000</w:t>
            </w:r>
          </w:p>
        </w:tc>
        <w:tc>
          <w:tcPr>
            <w:tcW w:w="1142" w:type="dxa"/>
            <w:tcBorders>
              <w:top w:val="nil"/>
              <w:left w:val="nil"/>
              <w:bottom w:val="single" w:color="auto" w:sz="4" w:space="0"/>
              <w:right w:val="single" w:color="auto" w:sz="4" w:space="0"/>
            </w:tcBorders>
            <w:noWrap w:val="0"/>
            <w:vAlign w:val="center"/>
          </w:tcPr>
          <w:p w14:paraId="6610452D">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Y＜300</w:t>
            </w:r>
          </w:p>
        </w:tc>
      </w:tr>
      <w:tr w14:paraId="306E4AAF">
        <w:tblPrEx>
          <w:tblCellMar>
            <w:top w:w="0" w:type="dxa"/>
            <w:left w:w="108" w:type="dxa"/>
            <w:bottom w:w="0" w:type="dxa"/>
            <w:right w:w="108" w:type="dxa"/>
          </w:tblCellMar>
        </w:tblPrEx>
        <w:trPr>
          <w:trHeight w:val="225" w:hRule="atLeast"/>
          <w:jc w:val="center"/>
        </w:trPr>
        <w:tc>
          <w:tcPr>
            <w:tcW w:w="1904" w:type="dxa"/>
            <w:vMerge w:val="continue"/>
            <w:tcBorders>
              <w:top w:val="nil"/>
              <w:left w:val="single" w:color="auto" w:sz="4" w:space="0"/>
              <w:bottom w:val="single" w:color="auto" w:sz="4" w:space="0"/>
              <w:right w:val="single" w:color="auto" w:sz="4" w:space="0"/>
            </w:tcBorders>
            <w:noWrap w:val="0"/>
            <w:vAlign w:val="center"/>
          </w:tcPr>
          <w:p w14:paraId="3C2F21C2">
            <w:pPr>
              <w:widowControl/>
              <w:jc w:val="left"/>
              <w:rPr>
                <w:rFonts w:hint="eastAsia" w:ascii="宋体" w:hAnsi="宋体" w:eastAsia="宋体" w:cs="宋体"/>
                <w:b/>
                <w:bCs/>
                <w:color w:val="auto"/>
                <w:kern w:val="0"/>
                <w:szCs w:val="21"/>
                <w:highlight w:val="none"/>
              </w:rPr>
            </w:pPr>
          </w:p>
        </w:tc>
        <w:tc>
          <w:tcPr>
            <w:tcW w:w="1384" w:type="dxa"/>
            <w:tcBorders>
              <w:top w:val="nil"/>
              <w:left w:val="nil"/>
              <w:bottom w:val="single" w:color="auto" w:sz="4" w:space="0"/>
              <w:right w:val="single" w:color="auto" w:sz="4" w:space="0"/>
            </w:tcBorders>
            <w:noWrap w:val="0"/>
            <w:vAlign w:val="center"/>
          </w:tcPr>
          <w:p w14:paraId="6CACD708">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资产总额（Z）</w:t>
            </w:r>
          </w:p>
        </w:tc>
        <w:tc>
          <w:tcPr>
            <w:tcW w:w="913" w:type="dxa"/>
            <w:tcBorders>
              <w:top w:val="nil"/>
              <w:left w:val="nil"/>
              <w:bottom w:val="single" w:color="auto" w:sz="4" w:space="0"/>
              <w:right w:val="single" w:color="auto" w:sz="4" w:space="0"/>
            </w:tcBorders>
            <w:noWrap w:val="0"/>
            <w:vAlign w:val="center"/>
          </w:tcPr>
          <w:p w14:paraId="51FEF2D6">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万元</w:t>
            </w:r>
          </w:p>
        </w:tc>
        <w:tc>
          <w:tcPr>
            <w:tcW w:w="1966" w:type="dxa"/>
            <w:tcBorders>
              <w:top w:val="nil"/>
              <w:left w:val="nil"/>
              <w:bottom w:val="single" w:color="auto" w:sz="4" w:space="0"/>
              <w:right w:val="single" w:color="auto" w:sz="4" w:space="0"/>
            </w:tcBorders>
            <w:noWrap w:val="0"/>
            <w:vAlign w:val="center"/>
          </w:tcPr>
          <w:p w14:paraId="43100EFC">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5000≤Z＜80000</w:t>
            </w:r>
          </w:p>
        </w:tc>
        <w:tc>
          <w:tcPr>
            <w:tcW w:w="1743" w:type="dxa"/>
            <w:tcBorders>
              <w:top w:val="nil"/>
              <w:left w:val="nil"/>
              <w:bottom w:val="single" w:color="auto" w:sz="4" w:space="0"/>
              <w:right w:val="single" w:color="auto" w:sz="4" w:space="0"/>
            </w:tcBorders>
            <w:noWrap w:val="0"/>
            <w:vAlign w:val="center"/>
          </w:tcPr>
          <w:p w14:paraId="36AF01A7">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300≤Z＜5000</w:t>
            </w:r>
          </w:p>
        </w:tc>
        <w:tc>
          <w:tcPr>
            <w:tcW w:w="1142" w:type="dxa"/>
            <w:tcBorders>
              <w:top w:val="nil"/>
              <w:left w:val="nil"/>
              <w:bottom w:val="single" w:color="auto" w:sz="4" w:space="0"/>
              <w:right w:val="single" w:color="auto" w:sz="4" w:space="0"/>
            </w:tcBorders>
            <w:noWrap w:val="0"/>
            <w:vAlign w:val="center"/>
          </w:tcPr>
          <w:p w14:paraId="124C0943">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Z＜300</w:t>
            </w:r>
          </w:p>
        </w:tc>
      </w:tr>
      <w:tr w14:paraId="30EC03A9">
        <w:tblPrEx>
          <w:tblCellMar>
            <w:top w:w="0" w:type="dxa"/>
            <w:left w:w="108" w:type="dxa"/>
            <w:bottom w:w="0" w:type="dxa"/>
            <w:right w:w="108" w:type="dxa"/>
          </w:tblCellMar>
        </w:tblPrEx>
        <w:trPr>
          <w:trHeight w:val="225" w:hRule="atLeast"/>
          <w:jc w:val="center"/>
        </w:trPr>
        <w:tc>
          <w:tcPr>
            <w:tcW w:w="1904" w:type="dxa"/>
            <w:vMerge w:val="restart"/>
            <w:tcBorders>
              <w:top w:val="nil"/>
              <w:left w:val="single" w:color="auto" w:sz="4" w:space="0"/>
              <w:bottom w:val="single" w:color="auto" w:sz="4" w:space="0"/>
              <w:right w:val="single" w:color="auto" w:sz="4" w:space="0"/>
            </w:tcBorders>
            <w:noWrap w:val="0"/>
            <w:vAlign w:val="center"/>
          </w:tcPr>
          <w:p w14:paraId="06B3DD14">
            <w:pPr>
              <w:widowControl/>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批发业</w:t>
            </w:r>
          </w:p>
        </w:tc>
        <w:tc>
          <w:tcPr>
            <w:tcW w:w="1384" w:type="dxa"/>
            <w:tcBorders>
              <w:top w:val="nil"/>
              <w:left w:val="nil"/>
              <w:bottom w:val="single" w:color="auto" w:sz="4" w:space="0"/>
              <w:right w:val="single" w:color="auto" w:sz="4" w:space="0"/>
            </w:tcBorders>
            <w:noWrap w:val="0"/>
            <w:vAlign w:val="center"/>
          </w:tcPr>
          <w:p w14:paraId="0C16A2AE">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从业人员（X）</w:t>
            </w:r>
          </w:p>
        </w:tc>
        <w:tc>
          <w:tcPr>
            <w:tcW w:w="913" w:type="dxa"/>
            <w:tcBorders>
              <w:top w:val="nil"/>
              <w:left w:val="nil"/>
              <w:bottom w:val="single" w:color="auto" w:sz="4" w:space="0"/>
              <w:right w:val="single" w:color="auto" w:sz="4" w:space="0"/>
            </w:tcBorders>
            <w:noWrap w:val="0"/>
            <w:vAlign w:val="center"/>
          </w:tcPr>
          <w:p w14:paraId="26AD33D2">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人</w:t>
            </w:r>
          </w:p>
        </w:tc>
        <w:tc>
          <w:tcPr>
            <w:tcW w:w="1966" w:type="dxa"/>
            <w:tcBorders>
              <w:top w:val="nil"/>
              <w:left w:val="nil"/>
              <w:bottom w:val="single" w:color="auto" w:sz="4" w:space="0"/>
              <w:right w:val="single" w:color="auto" w:sz="4" w:space="0"/>
            </w:tcBorders>
            <w:noWrap w:val="0"/>
            <w:vAlign w:val="center"/>
          </w:tcPr>
          <w:p w14:paraId="4194F684">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20≤X＜200</w:t>
            </w:r>
          </w:p>
        </w:tc>
        <w:tc>
          <w:tcPr>
            <w:tcW w:w="1743" w:type="dxa"/>
            <w:tcBorders>
              <w:top w:val="nil"/>
              <w:left w:val="nil"/>
              <w:bottom w:val="single" w:color="auto" w:sz="4" w:space="0"/>
              <w:right w:val="single" w:color="auto" w:sz="4" w:space="0"/>
            </w:tcBorders>
            <w:noWrap w:val="0"/>
            <w:vAlign w:val="center"/>
          </w:tcPr>
          <w:p w14:paraId="0F89E3B6">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5≤X＜20</w:t>
            </w:r>
          </w:p>
        </w:tc>
        <w:tc>
          <w:tcPr>
            <w:tcW w:w="1142" w:type="dxa"/>
            <w:tcBorders>
              <w:top w:val="nil"/>
              <w:left w:val="nil"/>
              <w:bottom w:val="single" w:color="auto" w:sz="4" w:space="0"/>
              <w:right w:val="single" w:color="auto" w:sz="4" w:space="0"/>
            </w:tcBorders>
            <w:noWrap w:val="0"/>
            <w:vAlign w:val="center"/>
          </w:tcPr>
          <w:p w14:paraId="2787993C">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X＜5</w:t>
            </w:r>
          </w:p>
        </w:tc>
      </w:tr>
      <w:tr w14:paraId="05B28E35">
        <w:tblPrEx>
          <w:tblCellMar>
            <w:top w:w="0" w:type="dxa"/>
            <w:left w:w="108" w:type="dxa"/>
            <w:bottom w:w="0" w:type="dxa"/>
            <w:right w:w="108" w:type="dxa"/>
          </w:tblCellMar>
        </w:tblPrEx>
        <w:trPr>
          <w:trHeight w:val="225" w:hRule="atLeast"/>
          <w:jc w:val="center"/>
        </w:trPr>
        <w:tc>
          <w:tcPr>
            <w:tcW w:w="1904" w:type="dxa"/>
            <w:vMerge w:val="continue"/>
            <w:tcBorders>
              <w:top w:val="nil"/>
              <w:left w:val="single" w:color="auto" w:sz="4" w:space="0"/>
              <w:bottom w:val="single" w:color="auto" w:sz="4" w:space="0"/>
              <w:right w:val="single" w:color="auto" w:sz="4" w:space="0"/>
            </w:tcBorders>
            <w:noWrap w:val="0"/>
            <w:vAlign w:val="center"/>
          </w:tcPr>
          <w:p w14:paraId="01047E71">
            <w:pPr>
              <w:widowControl/>
              <w:jc w:val="left"/>
              <w:rPr>
                <w:rFonts w:hint="eastAsia" w:ascii="宋体" w:hAnsi="宋体" w:eastAsia="宋体" w:cs="宋体"/>
                <w:b/>
                <w:bCs/>
                <w:color w:val="auto"/>
                <w:kern w:val="0"/>
                <w:szCs w:val="21"/>
                <w:highlight w:val="none"/>
              </w:rPr>
            </w:pPr>
          </w:p>
        </w:tc>
        <w:tc>
          <w:tcPr>
            <w:tcW w:w="1384" w:type="dxa"/>
            <w:tcBorders>
              <w:top w:val="nil"/>
              <w:left w:val="nil"/>
              <w:bottom w:val="single" w:color="auto" w:sz="4" w:space="0"/>
              <w:right w:val="single" w:color="auto" w:sz="4" w:space="0"/>
            </w:tcBorders>
            <w:noWrap w:val="0"/>
            <w:vAlign w:val="center"/>
          </w:tcPr>
          <w:p w14:paraId="5831230D">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营业收入（Y）</w:t>
            </w:r>
          </w:p>
        </w:tc>
        <w:tc>
          <w:tcPr>
            <w:tcW w:w="913" w:type="dxa"/>
            <w:tcBorders>
              <w:top w:val="nil"/>
              <w:left w:val="nil"/>
              <w:bottom w:val="single" w:color="auto" w:sz="4" w:space="0"/>
              <w:right w:val="single" w:color="auto" w:sz="4" w:space="0"/>
            </w:tcBorders>
            <w:noWrap w:val="0"/>
            <w:vAlign w:val="center"/>
          </w:tcPr>
          <w:p w14:paraId="370E9CF9">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万元</w:t>
            </w:r>
          </w:p>
        </w:tc>
        <w:tc>
          <w:tcPr>
            <w:tcW w:w="1966" w:type="dxa"/>
            <w:tcBorders>
              <w:top w:val="nil"/>
              <w:left w:val="nil"/>
              <w:bottom w:val="single" w:color="auto" w:sz="4" w:space="0"/>
              <w:right w:val="single" w:color="auto" w:sz="4" w:space="0"/>
            </w:tcBorders>
            <w:noWrap w:val="0"/>
            <w:vAlign w:val="center"/>
          </w:tcPr>
          <w:p w14:paraId="71E28D7F">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5000≤Y＜40000</w:t>
            </w:r>
          </w:p>
        </w:tc>
        <w:tc>
          <w:tcPr>
            <w:tcW w:w="1743" w:type="dxa"/>
            <w:tcBorders>
              <w:top w:val="nil"/>
              <w:left w:val="nil"/>
              <w:bottom w:val="single" w:color="auto" w:sz="4" w:space="0"/>
              <w:right w:val="single" w:color="auto" w:sz="4" w:space="0"/>
            </w:tcBorders>
            <w:noWrap w:val="0"/>
            <w:vAlign w:val="center"/>
          </w:tcPr>
          <w:p w14:paraId="7B5897EC">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1000≤Y＜5000</w:t>
            </w:r>
          </w:p>
        </w:tc>
        <w:tc>
          <w:tcPr>
            <w:tcW w:w="1142" w:type="dxa"/>
            <w:tcBorders>
              <w:top w:val="nil"/>
              <w:left w:val="nil"/>
              <w:bottom w:val="single" w:color="auto" w:sz="4" w:space="0"/>
              <w:right w:val="single" w:color="auto" w:sz="4" w:space="0"/>
            </w:tcBorders>
            <w:noWrap w:val="0"/>
            <w:vAlign w:val="center"/>
          </w:tcPr>
          <w:p w14:paraId="5D13D14D">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Y＜1000</w:t>
            </w:r>
          </w:p>
        </w:tc>
      </w:tr>
      <w:tr w14:paraId="5F769CE0">
        <w:tblPrEx>
          <w:tblCellMar>
            <w:top w:w="0" w:type="dxa"/>
            <w:left w:w="108" w:type="dxa"/>
            <w:bottom w:w="0" w:type="dxa"/>
            <w:right w:w="108" w:type="dxa"/>
          </w:tblCellMar>
        </w:tblPrEx>
        <w:trPr>
          <w:trHeight w:val="225" w:hRule="atLeast"/>
          <w:jc w:val="center"/>
        </w:trPr>
        <w:tc>
          <w:tcPr>
            <w:tcW w:w="1904" w:type="dxa"/>
            <w:vMerge w:val="restart"/>
            <w:tcBorders>
              <w:top w:val="nil"/>
              <w:left w:val="single" w:color="auto" w:sz="4" w:space="0"/>
              <w:bottom w:val="single" w:color="auto" w:sz="4" w:space="0"/>
              <w:right w:val="single" w:color="auto" w:sz="4" w:space="0"/>
            </w:tcBorders>
            <w:noWrap w:val="0"/>
            <w:vAlign w:val="center"/>
          </w:tcPr>
          <w:p w14:paraId="3B47E561">
            <w:pPr>
              <w:widowControl/>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零售业</w:t>
            </w:r>
          </w:p>
        </w:tc>
        <w:tc>
          <w:tcPr>
            <w:tcW w:w="1384" w:type="dxa"/>
            <w:tcBorders>
              <w:top w:val="nil"/>
              <w:left w:val="nil"/>
              <w:bottom w:val="single" w:color="auto" w:sz="4" w:space="0"/>
              <w:right w:val="single" w:color="auto" w:sz="4" w:space="0"/>
            </w:tcBorders>
            <w:noWrap w:val="0"/>
            <w:vAlign w:val="center"/>
          </w:tcPr>
          <w:p w14:paraId="65D780FB">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从业人员（X）</w:t>
            </w:r>
          </w:p>
        </w:tc>
        <w:tc>
          <w:tcPr>
            <w:tcW w:w="913" w:type="dxa"/>
            <w:tcBorders>
              <w:top w:val="nil"/>
              <w:left w:val="nil"/>
              <w:bottom w:val="single" w:color="auto" w:sz="4" w:space="0"/>
              <w:right w:val="single" w:color="auto" w:sz="4" w:space="0"/>
            </w:tcBorders>
            <w:noWrap w:val="0"/>
            <w:vAlign w:val="center"/>
          </w:tcPr>
          <w:p w14:paraId="4618B5FB">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人</w:t>
            </w:r>
          </w:p>
        </w:tc>
        <w:tc>
          <w:tcPr>
            <w:tcW w:w="1966" w:type="dxa"/>
            <w:tcBorders>
              <w:top w:val="nil"/>
              <w:left w:val="nil"/>
              <w:bottom w:val="single" w:color="auto" w:sz="4" w:space="0"/>
              <w:right w:val="single" w:color="auto" w:sz="4" w:space="0"/>
            </w:tcBorders>
            <w:noWrap w:val="0"/>
            <w:vAlign w:val="center"/>
          </w:tcPr>
          <w:p w14:paraId="35B0F28F">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50≤X＜300</w:t>
            </w:r>
          </w:p>
        </w:tc>
        <w:tc>
          <w:tcPr>
            <w:tcW w:w="1743" w:type="dxa"/>
            <w:tcBorders>
              <w:top w:val="nil"/>
              <w:left w:val="nil"/>
              <w:bottom w:val="single" w:color="auto" w:sz="4" w:space="0"/>
              <w:right w:val="single" w:color="auto" w:sz="4" w:space="0"/>
            </w:tcBorders>
            <w:noWrap w:val="0"/>
            <w:vAlign w:val="center"/>
          </w:tcPr>
          <w:p w14:paraId="07DF00E1">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10≤X＜50</w:t>
            </w:r>
          </w:p>
        </w:tc>
        <w:tc>
          <w:tcPr>
            <w:tcW w:w="1142" w:type="dxa"/>
            <w:tcBorders>
              <w:top w:val="nil"/>
              <w:left w:val="nil"/>
              <w:bottom w:val="single" w:color="auto" w:sz="4" w:space="0"/>
              <w:right w:val="single" w:color="auto" w:sz="4" w:space="0"/>
            </w:tcBorders>
            <w:noWrap w:val="0"/>
            <w:vAlign w:val="center"/>
          </w:tcPr>
          <w:p w14:paraId="4AFA6C60">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X＜10</w:t>
            </w:r>
          </w:p>
        </w:tc>
      </w:tr>
      <w:tr w14:paraId="52AA8B93">
        <w:tblPrEx>
          <w:tblCellMar>
            <w:top w:w="0" w:type="dxa"/>
            <w:left w:w="108" w:type="dxa"/>
            <w:bottom w:w="0" w:type="dxa"/>
            <w:right w:w="108" w:type="dxa"/>
          </w:tblCellMar>
        </w:tblPrEx>
        <w:trPr>
          <w:trHeight w:val="225" w:hRule="atLeast"/>
          <w:jc w:val="center"/>
        </w:trPr>
        <w:tc>
          <w:tcPr>
            <w:tcW w:w="1904" w:type="dxa"/>
            <w:vMerge w:val="continue"/>
            <w:tcBorders>
              <w:top w:val="nil"/>
              <w:left w:val="single" w:color="auto" w:sz="4" w:space="0"/>
              <w:bottom w:val="single" w:color="auto" w:sz="4" w:space="0"/>
              <w:right w:val="single" w:color="auto" w:sz="4" w:space="0"/>
            </w:tcBorders>
            <w:noWrap w:val="0"/>
            <w:vAlign w:val="center"/>
          </w:tcPr>
          <w:p w14:paraId="1EB4578F">
            <w:pPr>
              <w:widowControl/>
              <w:jc w:val="left"/>
              <w:rPr>
                <w:rFonts w:hint="eastAsia" w:ascii="宋体" w:hAnsi="宋体" w:eastAsia="宋体" w:cs="宋体"/>
                <w:b/>
                <w:bCs/>
                <w:color w:val="auto"/>
                <w:kern w:val="0"/>
                <w:szCs w:val="21"/>
                <w:highlight w:val="none"/>
              </w:rPr>
            </w:pPr>
          </w:p>
        </w:tc>
        <w:tc>
          <w:tcPr>
            <w:tcW w:w="1384" w:type="dxa"/>
            <w:tcBorders>
              <w:top w:val="nil"/>
              <w:left w:val="nil"/>
              <w:bottom w:val="single" w:color="auto" w:sz="4" w:space="0"/>
              <w:right w:val="single" w:color="auto" w:sz="4" w:space="0"/>
            </w:tcBorders>
            <w:noWrap w:val="0"/>
            <w:vAlign w:val="center"/>
          </w:tcPr>
          <w:p w14:paraId="1084D238">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营业收入（Y）</w:t>
            </w:r>
          </w:p>
        </w:tc>
        <w:tc>
          <w:tcPr>
            <w:tcW w:w="913" w:type="dxa"/>
            <w:tcBorders>
              <w:top w:val="nil"/>
              <w:left w:val="nil"/>
              <w:bottom w:val="single" w:color="auto" w:sz="4" w:space="0"/>
              <w:right w:val="single" w:color="auto" w:sz="4" w:space="0"/>
            </w:tcBorders>
            <w:noWrap w:val="0"/>
            <w:vAlign w:val="center"/>
          </w:tcPr>
          <w:p w14:paraId="0FD534E4">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万元</w:t>
            </w:r>
          </w:p>
        </w:tc>
        <w:tc>
          <w:tcPr>
            <w:tcW w:w="1966" w:type="dxa"/>
            <w:tcBorders>
              <w:top w:val="nil"/>
              <w:left w:val="nil"/>
              <w:bottom w:val="single" w:color="auto" w:sz="4" w:space="0"/>
              <w:right w:val="single" w:color="auto" w:sz="4" w:space="0"/>
            </w:tcBorders>
            <w:noWrap w:val="0"/>
            <w:vAlign w:val="center"/>
          </w:tcPr>
          <w:p w14:paraId="43E5B953">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500≤Y＜20000</w:t>
            </w:r>
          </w:p>
        </w:tc>
        <w:tc>
          <w:tcPr>
            <w:tcW w:w="1743" w:type="dxa"/>
            <w:tcBorders>
              <w:top w:val="nil"/>
              <w:left w:val="nil"/>
              <w:bottom w:val="single" w:color="auto" w:sz="4" w:space="0"/>
              <w:right w:val="single" w:color="auto" w:sz="4" w:space="0"/>
            </w:tcBorders>
            <w:noWrap w:val="0"/>
            <w:vAlign w:val="center"/>
          </w:tcPr>
          <w:p w14:paraId="1BE79DDA">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100≤Y＜500</w:t>
            </w:r>
          </w:p>
        </w:tc>
        <w:tc>
          <w:tcPr>
            <w:tcW w:w="1142" w:type="dxa"/>
            <w:tcBorders>
              <w:top w:val="nil"/>
              <w:left w:val="nil"/>
              <w:bottom w:val="single" w:color="auto" w:sz="4" w:space="0"/>
              <w:right w:val="single" w:color="auto" w:sz="4" w:space="0"/>
            </w:tcBorders>
            <w:noWrap w:val="0"/>
            <w:vAlign w:val="center"/>
          </w:tcPr>
          <w:p w14:paraId="3715859D">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Y＜100</w:t>
            </w:r>
          </w:p>
        </w:tc>
      </w:tr>
      <w:tr w14:paraId="2538F20A">
        <w:tblPrEx>
          <w:tblCellMar>
            <w:top w:w="0" w:type="dxa"/>
            <w:left w:w="108" w:type="dxa"/>
            <w:bottom w:w="0" w:type="dxa"/>
            <w:right w:w="108" w:type="dxa"/>
          </w:tblCellMar>
        </w:tblPrEx>
        <w:trPr>
          <w:trHeight w:val="225" w:hRule="atLeast"/>
          <w:jc w:val="center"/>
        </w:trPr>
        <w:tc>
          <w:tcPr>
            <w:tcW w:w="1904" w:type="dxa"/>
            <w:vMerge w:val="restart"/>
            <w:tcBorders>
              <w:top w:val="nil"/>
              <w:left w:val="single" w:color="auto" w:sz="4" w:space="0"/>
              <w:bottom w:val="single" w:color="auto" w:sz="4" w:space="0"/>
              <w:right w:val="single" w:color="auto" w:sz="4" w:space="0"/>
            </w:tcBorders>
            <w:noWrap w:val="0"/>
            <w:vAlign w:val="center"/>
          </w:tcPr>
          <w:p w14:paraId="006F1305">
            <w:pPr>
              <w:widowControl/>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交通运输业</w:t>
            </w:r>
          </w:p>
        </w:tc>
        <w:tc>
          <w:tcPr>
            <w:tcW w:w="1384" w:type="dxa"/>
            <w:tcBorders>
              <w:top w:val="nil"/>
              <w:left w:val="nil"/>
              <w:bottom w:val="single" w:color="auto" w:sz="4" w:space="0"/>
              <w:right w:val="single" w:color="auto" w:sz="4" w:space="0"/>
            </w:tcBorders>
            <w:noWrap w:val="0"/>
            <w:vAlign w:val="center"/>
          </w:tcPr>
          <w:p w14:paraId="6A53821E">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从业人员（X）</w:t>
            </w:r>
          </w:p>
        </w:tc>
        <w:tc>
          <w:tcPr>
            <w:tcW w:w="913" w:type="dxa"/>
            <w:tcBorders>
              <w:top w:val="nil"/>
              <w:left w:val="nil"/>
              <w:bottom w:val="single" w:color="auto" w:sz="4" w:space="0"/>
              <w:right w:val="single" w:color="auto" w:sz="4" w:space="0"/>
            </w:tcBorders>
            <w:noWrap w:val="0"/>
            <w:vAlign w:val="center"/>
          </w:tcPr>
          <w:p w14:paraId="12751CE7">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人</w:t>
            </w:r>
          </w:p>
        </w:tc>
        <w:tc>
          <w:tcPr>
            <w:tcW w:w="1966" w:type="dxa"/>
            <w:tcBorders>
              <w:top w:val="nil"/>
              <w:left w:val="nil"/>
              <w:bottom w:val="single" w:color="auto" w:sz="4" w:space="0"/>
              <w:right w:val="single" w:color="auto" w:sz="4" w:space="0"/>
            </w:tcBorders>
            <w:noWrap w:val="0"/>
            <w:vAlign w:val="center"/>
          </w:tcPr>
          <w:p w14:paraId="405E68D1">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300≤X＜1000</w:t>
            </w:r>
          </w:p>
        </w:tc>
        <w:tc>
          <w:tcPr>
            <w:tcW w:w="1743" w:type="dxa"/>
            <w:tcBorders>
              <w:top w:val="nil"/>
              <w:left w:val="nil"/>
              <w:bottom w:val="single" w:color="auto" w:sz="4" w:space="0"/>
              <w:right w:val="single" w:color="auto" w:sz="4" w:space="0"/>
            </w:tcBorders>
            <w:noWrap w:val="0"/>
            <w:vAlign w:val="center"/>
          </w:tcPr>
          <w:p w14:paraId="40D58E27">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20≤X＜300</w:t>
            </w:r>
          </w:p>
        </w:tc>
        <w:tc>
          <w:tcPr>
            <w:tcW w:w="1142" w:type="dxa"/>
            <w:tcBorders>
              <w:top w:val="nil"/>
              <w:left w:val="nil"/>
              <w:bottom w:val="single" w:color="auto" w:sz="4" w:space="0"/>
              <w:right w:val="single" w:color="auto" w:sz="4" w:space="0"/>
            </w:tcBorders>
            <w:noWrap w:val="0"/>
            <w:vAlign w:val="center"/>
          </w:tcPr>
          <w:p w14:paraId="30F9734A">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X＜20</w:t>
            </w:r>
          </w:p>
        </w:tc>
      </w:tr>
      <w:tr w14:paraId="50EBDF2F">
        <w:tblPrEx>
          <w:tblCellMar>
            <w:top w:w="0" w:type="dxa"/>
            <w:left w:w="108" w:type="dxa"/>
            <w:bottom w:w="0" w:type="dxa"/>
            <w:right w:w="108" w:type="dxa"/>
          </w:tblCellMar>
        </w:tblPrEx>
        <w:trPr>
          <w:trHeight w:val="225" w:hRule="atLeast"/>
          <w:jc w:val="center"/>
        </w:trPr>
        <w:tc>
          <w:tcPr>
            <w:tcW w:w="1904" w:type="dxa"/>
            <w:vMerge w:val="continue"/>
            <w:tcBorders>
              <w:top w:val="nil"/>
              <w:left w:val="single" w:color="auto" w:sz="4" w:space="0"/>
              <w:bottom w:val="single" w:color="auto" w:sz="4" w:space="0"/>
              <w:right w:val="single" w:color="auto" w:sz="4" w:space="0"/>
            </w:tcBorders>
            <w:noWrap w:val="0"/>
            <w:vAlign w:val="center"/>
          </w:tcPr>
          <w:p w14:paraId="6E292B54">
            <w:pPr>
              <w:widowControl/>
              <w:jc w:val="left"/>
              <w:rPr>
                <w:rFonts w:hint="eastAsia" w:ascii="宋体" w:hAnsi="宋体" w:eastAsia="宋体" w:cs="宋体"/>
                <w:b/>
                <w:bCs/>
                <w:color w:val="auto"/>
                <w:kern w:val="0"/>
                <w:szCs w:val="21"/>
                <w:highlight w:val="none"/>
              </w:rPr>
            </w:pPr>
          </w:p>
        </w:tc>
        <w:tc>
          <w:tcPr>
            <w:tcW w:w="1384" w:type="dxa"/>
            <w:tcBorders>
              <w:top w:val="nil"/>
              <w:left w:val="nil"/>
              <w:bottom w:val="single" w:color="auto" w:sz="4" w:space="0"/>
              <w:right w:val="single" w:color="auto" w:sz="4" w:space="0"/>
            </w:tcBorders>
            <w:noWrap w:val="0"/>
            <w:vAlign w:val="center"/>
          </w:tcPr>
          <w:p w14:paraId="25A7B034">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营业收入（Y）</w:t>
            </w:r>
          </w:p>
        </w:tc>
        <w:tc>
          <w:tcPr>
            <w:tcW w:w="913" w:type="dxa"/>
            <w:tcBorders>
              <w:top w:val="nil"/>
              <w:left w:val="nil"/>
              <w:bottom w:val="single" w:color="auto" w:sz="4" w:space="0"/>
              <w:right w:val="single" w:color="auto" w:sz="4" w:space="0"/>
            </w:tcBorders>
            <w:noWrap w:val="0"/>
            <w:vAlign w:val="center"/>
          </w:tcPr>
          <w:p w14:paraId="3F0D16D7">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万元</w:t>
            </w:r>
          </w:p>
        </w:tc>
        <w:tc>
          <w:tcPr>
            <w:tcW w:w="1966" w:type="dxa"/>
            <w:tcBorders>
              <w:top w:val="nil"/>
              <w:left w:val="nil"/>
              <w:bottom w:val="single" w:color="auto" w:sz="4" w:space="0"/>
              <w:right w:val="single" w:color="auto" w:sz="4" w:space="0"/>
            </w:tcBorders>
            <w:noWrap w:val="0"/>
            <w:vAlign w:val="center"/>
          </w:tcPr>
          <w:p w14:paraId="41CDA466">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3000≤Y＜30000</w:t>
            </w:r>
          </w:p>
        </w:tc>
        <w:tc>
          <w:tcPr>
            <w:tcW w:w="1743" w:type="dxa"/>
            <w:tcBorders>
              <w:top w:val="nil"/>
              <w:left w:val="nil"/>
              <w:bottom w:val="single" w:color="auto" w:sz="4" w:space="0"/>
              <w:right w:val="single" w:color="auto" w:sz="4" w:space="0"/>
            </w:tcBorders>
            <w:noWrap w:val="0"/>
            <w:vAlign w:val="center"/>
          </w:tcPr>
          <w:p w14:paraId="64649CB4">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200≤Y＜3000</w:t>
            </w:r>
          </w:p>
        </w:tc>
        <w:tc>
          <w:tcPr>
            <w:tcW w:w="1142" w:type="dxa"/>
            <w:tcBorders>
              <w:top w:val="nil"/>
              <w:left w:val="nil"/>
              <w:bottom w:val="single" w:color="auto" w:sz="4" w:space="0"/>
              <w:right w:val="single" w:color="auto" w:sz="4" w:space="0"/>
            </w:tcBorders>
            <w:noWrap w:val="0"/>
            <w:vAlign w:val="center"/>
          </w:tcPr>
          <w:p w14:paraId="0ADDFDDF">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Y＜200</w:t>
            </w:r>
          </w:p>
        </w:tc>
      </w:tr>
      <w:tr w14:paraId="6DE6C26B">
        <w:tblPrEx>
          <w:tblCellMar>
            <w:top w:w="0" w:type="dxa"/>
            <w:left w:w="108" w:type="dxa"/>
            <w:bottom w:w="0" w:type="dxa"/>
            <w:right w:w="108" w:type="dxa"/>
          </w:tblCellMar>
        </w:tblPrEx>
        <w:trPr>
          <w:trHeight w:val="225" w:hRule="atLeast"/>
          <w:jc w:val="center"/>
        </w:trPr>
        <w:tc>
          <w:tcPr>
            <w:tcW w:w="1904" w:type="dxa"/>
            <w:vMerge w:val="restart"/>
            <w:tcBorders>
              <w:top w:val="nil"/>
              <w:left w:val="single" w:color="auto" w:sz="4" w:space="0"/>
              <w:bottom w:val="single" w:color="auto" w:sz="4" w:space="0"/>
              <w:right w:val="single" w:color="auto" w:sz="4" w:space="0"/>
            </w:tcBorders>
            <w:noWrap w:val="0"/>
            <w:vAlign w:val="center"/>
          </w:tcPr>
          <w:p w14:paraId="6ABB90C8">
            <w:pPr>
              <w:widowControl/>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仓储业</w:t>
            </w:r>
          </w:p>
        </w:tc>
        <w:tc>
          <w:tcPr>
            <w:tcW w:w="1384" w:type="dxa"/>
            <w:tcBorders>
              <w:top w:val="nil"/>
              <w:left w:val="nil"/>
              <w:bottom w:val="single" w:color="auto" w:sz="4" w:space="0"/>
              <w:right w:val="single" w:color="auto" w:sz="4" w:space="0"/>
            </w:tcBorders>
            <w:noWrap w:val="0"/>
            <w:vAlign w:val="center"/>
          </w:tcPr>
          <w:p w14:paraId="37341723">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从业人员（X）</w:t>
            </w:r>
          </w:p>
        </w:tc>
        <w:tc>
          <w:tcPr>
            <w:tcW w:w="913" w:type="dxa"/>
            <w:tcBorders>
              <w:top w:val="nil"/>
              <w:left w:val="nil"/>
              <w:bottom w:val="single" w:color="auto" w:sz="4" w:space="0"/>
              <w:right w:val="single" w:color="auto" w:sz="4" w:space="0"/>
            </w:tcBorders>
            <w:noWrap w:val="0"/>
            <w:vAlign w:val="center"/>
          </w:tcPr>
          <w:p w14:paraId="2731ECBD">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人</w:t>
            </w:r>
          </w:p>
        </w:tc>
        <w:tc>
          <w:tcPr>
            <w:tcW w:w="1966" w:type="dxa"/>
            <w:tcBorders>
              <w:top w:val="nil"/>
              <w:left w:val="nil"/>
              <w:bottom w:val="single" w:color="auto" w:sz="4" w:space="0"/>
              <w:right w:val="single" w:color="auto" w:sz="4" w:space="0"/>
            </w:tcBorders>
            <w:noWrap w:val="0"/>
            <w:vAlign w:val="center"/>
          </w:tcPr>
          <w:p w14:paraId="036E9706">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100≤X＜200</w:t>
            </w:r>
          </w:p>
        </w:tc>
        <w:tc>
          <w:tcPr>
            <w:tcW w:w="1743" w:type="dxa"/>
            <w:tcBorders>
              <w:top w:val="nil"/>
              <w:left w:val="nil"/>
              <w:bottom w:val="single" w:color="auto" w:sz="4" w:space="0"/>
              <w:right w:val="single" w:color="auto" w:sz="4" w:space="0"/>
            </w:tcBorders>
            <w:noWrap w:val="0"/>
            <w:vAlign w:val="center"/>
          </w:tcPr>
          <w:p w14:paraId="33031385">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20≤X＜100</w:t>
            </w:r>
          </w:p>
        </w:tc>
        <w:tc>
          <w:tcPr>
            <w:tcW w:w="1142" w:type="dxa"/>
            <w:tcBorders>
              <w:top w:val="nil"/>
              <w:left w:val="nil"/>
              <w:bottom w:val="single" w:color="auto" w:sz="4" w:space="0"/>
              <w:right w:val="single" w:color="auto" w:sz="4" w:space="0"/>
            </w:tcBorders>
            <w:noWrap w:val="0"/>
            <w:vAlign w:val="center"/>
          </w:tcPr>
          <w:p w14:paraId="76B31C85">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X＜20</w:t>
            </w:r>
          </w:p>
        </w:tc>
      </w:tr>
      <w:tr w14:paraId="15FF250A">
        <w:tblPrEx>
          <w:tblCellMar>
            <w:top w:w="0" w:type="dxa"/>
            <w:left w:w="108" w:type="dxa"/>
            <w:bottom w:w="0" w:type="dxa"/>
            <w:right w:w="108" w:type="dxa"/>
          </w:tblCellMar>
        </w:tblPrEx>
        <w:trPr>
          <w:trHeight w:val="225" w:hRule="atLeast"/>
          <w:jc w:val="center"/>
        </w:trPr>
        <w:tc>
          <w:tcPr>
            <w:tcW w:w="1904" w:type="dxa"/>
            <w:vMerge w:val="continue"/>
            <w:tcBorders>
              <w:top w:val="nil"/>
              <w:left w:val="single" w:color="auto" w:sz="4" w:space="0"/>
              <w:bottom w:val="single" w:color="auto" w:sz="4" w:space="0"/>
              <w:right w:val="single" w:color="auto" w:sz="4" w:space="0"/>
            </w:tcBorders>
            <w:noWrap w:val="0"/>
            <w:vAlign w:val="center"/>
          </w:tcPr>
          <w:p w14:paraId="575D93D3">
            <w:pPr>
              <w:widowControl/>
              <w:jc w:val="left"/>
              <w:rPr>
                <w:rFonts w:hint="eastAsia" w:ascii="宋体" w:hAnsi="宋体" w:eastAsia="宋体" w:cs="宋体"/>
                <w:b/>
                <w:bCs/>
                <w:color w:val="auto"/>
                <w:kern w:val="0"/>
                <w:szCs w:val="21"/>
                <w:highlight w:val="none"/>
              </w:rPr>
            </w:pPr>
          </w:p>
        </w:tc>
        <w:tc>
          <w:tcPr>
            <w:tcW w:w="1384" w:type="dxa"/>
            <w:tcBorders>
              <w:top w:val="nil"/>
              <w:left w:val="nil"/>
              <w:bottom w:val="single" w:color="auto" w:sz="4" w:space="0"/>
              <w:right w:val="single" w:color="auto" w:sz="4" w:space="0"/>
            </w:tcBorders>
            <w:noWrap w:val="0"/>
            <w:vAlign w:val="center"/>
          </w:tcPr>
          <w:p w14:paraId="4C8E80EC">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营业收入（Y）</w:t>
            </w:r>
          </w:p>
        </w:tc>
        <w:tc>
          <w:tcPr>
            <w:tcW w:w="913" w:type="dxa"/>
            <w:tcBorders>
              <w:top w:val="nil"/>
              <w:left w:val="nil"/>
              <w:bottom w:val="single" w:color="auto" w:sz="4" w:space="0"/>
              <w:right w:val="single" w:color="auto" w:sz="4" w:space="0"/>
            </w:tcBorders>
            <w:noWrap w:val="0"/>
            <w:vAlign w:val="center"/>
          </w:tcPr>
          <w:p w14:paraId="2669847C">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万元</w:t>
            </w:r>
          </w:p>
        </w:tc>
        <w:tc>
          <w:tcPr>
            <w:tcW w:w="1966" w:type="dxa"/>
            <w:tcBorders>
              <w:top w:val="nil"/>
              <w:left w:val="nil"/>
              <w:bottom w:val="single" w:color="auto" w:sz="4" w:space="0"/>
              <w:right w:val="single" w:color="auto" w:sz="4" w:space="0"/>
            </w:tcBorders>
            <w:noWrap w:val="0"/>
            <w:vAlign w:val="center"/>
          </w:tcPr>
          <w:p w14:paraId="61E24895">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1000≤Y＜30000</w:t>
            </w:r>
          </w:p>
        </w:tc>
        <w:tc>
          <w:tcPr>
            <w:tcW w:w="1743" w:type="dxa"/>
            <w:tcBorders>
              <w:top w:val="nil"/>
              <w:left w:val="nil"/>
              <w:bottom w:val="single" w:color="auto" w:sz="4" w:space="0"/>
              <w:right w:val="single" w:color="auto" w:sz="4" w:space="0"/>
            </w:tcBorders>
            <w:noWrap w:val="0"/>
            <w:vAlign w:val="center"/>
          </w:tcPr>
          <w:p w14:paraId="2F4AAC8B">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100≤Y＜1000</w:t>
            </w:r>
          </w:p>
        </w:tc>
        <w:tc>
          <w:tcPr>
            <w:tcW w:w="1142" w:type="dxa"/>
            <w:tcBorders>
              <w:top w:val="nil"/>
              <w:left w:val="nil"/>
              <w:bottom w:val="single" w:color="auto" w:sz="4" w:space="0"/>
              <w:right w:val="single" w:color="auto" w:sz="4" w:space="0"/>
            </w:tcBorders>
            <w:noWrap w:val="0"/>
            <w:vAlign w:val="center"/>
          </w:tcPr>
          <w:p w14:paraId="75D432F3">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Y＜100</w:t>
            </w:r>
          </w:p>
        </w:tc>
      </w:tr>
      <w:tr w14:paraId="4BB5453D">
        <w:tblPrEx>
          <w:tblCellMar>
            <w:top w:w="0" w:type="dxa"/>
            <w:left w:w="108" w:type="dxa"/>
            <w:bottom w:w="0" w:type="dxa"/>
            <w:right w:w="108" w:type="dxa"/>
          </w:tblCellMar>
        </w:tblPrEx>
        <w:trPr>
          <w:trHeight w:val="225" w:hRule="atLeast"/>
          <w:jc w:val="center"/>
        </w:trPr>
        <w:tc>
          <w:tcPr>
            <w:tcW w:w="1904" w:type="dxa"/>
            <w:vMerge w:val="restart"/>
            <w:tcBorders>
              <w:top w:val="nil"/>
              <w:left w:val="single" w:color="auto" w:sz="4" w:space="0"/>
              <w:bottom w:val="single" w:color="auto" w:sz="4" w:space="0"/>
              <w:right w:val="single" w:color="auto" w:sz="4" w:space="0"/>
            </w:tcBorders>
            <w:noWrap w:val="0"/>
            <w:vAlign w:val="center"/>
          </w:tcPr>
          <w:p w14:paraId="16C0C607">
            <w:pPr>
              <w:widowControl/>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邮政业</w:t>
            </w:r>
          </w:p>
        </w:tc>
        <w:tc>
          <w:tcPr>
            <w:tcW w:w="1384" w:type="dxa"/>
            <w:tcBorders>
              <w:top w:val="nil"/>
              <w:left w:val="nil"/>
              <w:bottom w:val="single" w:color="auto" w:sz="4" w:space="0"/>
              <w:right w:val="single" w:color="auto" w:sz="4" w:space="0"/>
            </w:tcBorders>
            <w:noWrap w:val="0"/>
            <w:vAlign w:val="center"/>
          </w:tcPr>
          <w:p w14:paraId="17FD5C4F">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从业人员（X）</w:t>
            </w:r>
          </w:p>
        </w:tc>
        <w:tc>
          <w:tcPr>
            <w:tcW w:w="913" w:type="dxa"/>
            <w:tcBorders>
              <w:top w:val="nil"/>
              <w:left w:val="nil"/>
              <w:bottom w:val="single" w:color="auto" w:sz="4" w:space="0"/>
              <w:right w:val="single" w:color="auto" w:sz="4" w:space="0"/>
            </w:tcBorders>
            <w:noWrap w:val="0"/>
            <w:vAlign w:val="center"/>
          </w:tcPr>
          <w:p w14:paraId="67CC41F7">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人</w:t>
            </w:r>
          </w:p>
        </w:tc>
        <w:tc>
          <w:tcPr>
            <w:tcW w:w="1966" w:type="dxa"/>
            <w:tcBorders>
              <w:top w:val="nil"/>
              <w:left w:val="nil"/>
              <w:bottom w:val="single" w:color="auto" w:sz="4" w:space="0"/>
              <w:right w:val="single" w:color="auto" w:sz="4" w:space="0"/>
            </w:tcBorders>
            <w:noWrap w:val="0"/>
            <w:vAlign w:val="center"/>
          </w:tcPr>
          <w:p w14:paraId="16D309FE">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300≤X＜1000</w:t>
            </w:r>
          </w:p>
        </w:tc>
        <w:tc>
          <w:tcPr>
            <w:tcW w:w="1743" w:type="dxa"/>
            <w:tcBorders>
              <w:top w:val="nil"/>
              <w:left w:val="nil"/>
              <w:bottom w:val="single" w:color="auto" w:sz="4" w:space="0"/>
              <w:right w:val="single" w:color="auto" w:sz="4" w:space="0"/>
            </w:tcBorders>
            <w:noWrap w:val="0"/>
            <w:vAlign w:val="center"/>
          </w:tcPr>
          <w:p w14:paraId="02C24CBA">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20≤X＜300</w:t>
            </w:r>
          </w:p>
        </w:tc>
        <w:tc>
          <w:tcPr>
            <w:tcW w:w="1142" w:type="dxa"/>
            <w:tcBorders>
              <w:top w:val="nil"/>
              <w:left w:val="nil"/>
              <w:bottom w:val="single" w:color="auto" w:sz="4" w:space="0"/>
              <w:right w:val="single" w:color="auto" w:sz="4" w:space="0"/>
            </w:tcBorders>
            <w:noWrap w:val="0"/>
            <w:vAlign w:val="center"/>
          </w:tcPr>
          <w:p w14:paraId="2DAE29A5">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X＜20</w:t>
            </w:r>
          </w:p>
        </w:tc>
      </w:tr>
      <w:tr w14:paraId="0728ED0E">
        <w:tblPrEx>
          <w:tblCellMar>
            <w:top w:w="0" w:type="dxa"/>
            <w:left w:w="108" w:type="dxa"/>
            <w:bottom w:w="0" w:type="dxa"/>
            <w:right w:w="108" w:type="dxa"/>
          </w:tblCellMar>
        </w:tblPrEx>
        <w:trPr>
          <w:trHeight w:val="225" w:hRule="atLeast"/>
          <w:jc w:val="center"/>
        </w:trPr>
        <w:tc>
          <w:tcPr>
            <w:tcW w:w="1904" w:type="dxa"/>
            <w:vMerge w:val="continue"/>
            <w:tcBorders>
              <w:top w:val="nil"/>
              <w:left w:val="single" w:color="auto" w:sz="4" w:space="0"/>
              <w:bottom w:val="single" w:color="auto" w:sz="4" w:space="0"/>
              <w:right w:val="single" w:color="auto" w:sz="4" w:space="0"/>
            </w:tcBorders>
            <w:noWrap w:val="0"/>
            <w:vAlign w:val="center"/>
          </w:tcPr>
          <w:p w14:paraId="3572BFE3">
            <w:pPr>
              <w:widowControl/>
              <w:jc w:val="left"/>
              <w:rPr>
                <w:rFonts w:hint="eastAsia" w:ascii="宋体" w:hAnsi="宋体" w:eastAsia="宋体" w:cs="宋体"/>
                <w:b/>
                <w:bCs/>
                <w:color w:val="auto"/>
                <w:kern w:val="0"/>
                <w:szCs w:val="21"/>
                <w:highlight w:val="none"/>
              </w:rPr>
            </w:pPr>
          </w:p>
        </w:tc>
        <w:tc>
          <w:tcPr>
            <w:tcW w:w="1384" w:type="dxa"/>
            <w:tcBorders>
              <w:top w:val="nil"/>
              <w:left w:val="nil"/>
              <w:bottom w:val="single" w:color="auto" w:sz="4" w:space="0"/>
              <w:right w:val="single" w:color="auto" w:sz="4" w:space="0"/>
            </w:tcBorders>
            <w:noWrap w:val="0"/>
            <w:vAlign w:val="center"/>
          </w:tcPr>
          <w:p w14:paraId="78C25F4A">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营业收入（Y）</w:t>
            </w:r>
          </w:p>
        </w:tc>
        <w:tc>
          <w:tcPr>
            <w:tcW w:w="913" w:type="dxa"/>
            <w:tcBorders>
              <w:top w:val="nil"/>
              <w:left w:val="nil"/>
              <w:bottom w:val="single" w:color="auto" w:sz="4" w:space="0"/>
              <w:right w:val="single" w:color="auto" w:sz="4" w:space="0"/>
            </w:tcBorders>
            <w:noWrap w:val="0"/>
            <w:vAlign w:val="center"/>
          </w:tcPr>
          <w:p w14:paraId="4137C625">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万元</w:t>
            </w:r>
          </w:p>
        </w:tc>
        <w:tc>
          <w:tcPr>
            <w:tcW w:w="1966" w:type="dxa"/>
            <w:tcBorders>
              <w:top w:val="nil"/>
              <w:left w:val="nil"/>
              <w:bottom w:val="single" w:color="auto" w:sz="4" w:space="0"/>
              <w:right w:val="single" w:color="auto" w:sz="4" w:space="0"/>
            </w:tcBorders>
            <w:noWrap w:val="0"/>
            <w:vAlign w:val="center"/>
          </w:tcPr>
          <w:p w14:paraId="7A5D6DD1">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2000≤Y＜30000</w:t>
            </w:r>
          </w:p>
        </w:tc>
        <w:tc>
          <w:tcPr>
            <w:tcW w:w="1743" w:type="dxa"/>
            <w:tcBorders>
              <w:top w:val="nil"/>
              <w:left w:val="nil"/>
              <w:bottom w:val="single" w:color="auto" w:sz="4" w:space="0"/>
              <w:right w:val="single" w:color="auto" w:sz="4" w:space="0"/>
            </w:tcBorders>
            <w:noWrap w:val="0"/>
            <w:vAlign w:val="center"/>
          </w:tcPr>
          <w:p w14:paraId="34E7570C">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100≤Y＜2000</w:t>
            </w:r>
          </w:p>
        </w:tc>
        <w:tc>
          <w:tcPr>
            <w:tcW w:w="1142" w:type="dxa"/>
            <w:tcBorders>
              <w:top w:val="nil"/>
              <w:left w:val="nil"/>
              <w:bottom w:val="single" w:color="auto" w:sz="4" w:space="0"/>
              <w:right w:val="single" w:color="auto" w:sz="4" w:space="0"/>
            </w:tcBorders>
            <w:noWrap w:val="0"/>
            <w:vAlign w:val="center"/>
          </w:tcPr>
          <w:p w14:paraId="2562E015">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Y＜100</w:t>
            </w:r>
          </w:p>
        </w:tc>
      </w:tr>
      <w:tr w14:paraId="18DCBA75">
        <w:tblPrEx>
          <w:tblCellMar>
            <w:top w:w="0" w:type="dxa"/>
            <w:left w:w="108" w:type="dxa"/>
            <w:bottom w:w="0" w:type="dxa"/>
            <w:right w:w="108" w:type="dxa"/>
          </w:tblCellMar>
        </w:tblPrEx>
        <w:trPr>
          <w:trHeight w:val="225" w:hRule="atLeast"/>
          <w:jc w:val="center"/>
        </w:trPr>
        <w:tc>
          <w:tcPr>
            <w:tcW w:w="1904" w:type="dxa"/>
            <w:vMerge w:val="restart"/>
            <w:tcBorders>
              <w:top w:val="nil"/>
              <w:left w:val="single" w:color="auto" w:sz="4" w:space="0"/>
              <w:bottom w:val="single" w:color="auto" w:sz="4" w:space="0"/>
              <w:right w:val="single" w:color="auto" w:sz="4" w:space="0"/>
            </w:tcBorders>
            <w:noWrap w:val="0"/>
            <w:vAlign w:val="center"/>
          </w:tcPr>
          <w:p w14:paraId="518D1E9F">
            <w:pPr>
              <w:widowControl/>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住宿业</w:t>
            </w:r>
          </w:p>
        </w:tc>
        <w:tc>
          <w:tcPr>
            <w:tcW w:w="1384" w:type="dxa"/>
            <w:tcBorders>
              <w:top w:val="nil"/>
              <w:left w:val="nil"/>
              <w:bottom w:val="single" w:color="auto" w:sz="4" w:space="0"/>
              <w:right w:val="single" w:color="auto" w:sz="4" w:space="0"/>
            </w:tcBorders>
            <w:noWrap w:val="0"/>
            <w:vAlign w:val="center"/>
          </w:tcPr>
          <w:p w14:paraId="1B869A1A">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从业人员（X）</w:t>
            </w:r>
          </w:p>
        </w:tc>
        <w:tc>
          <w:tcPr>
            <w:tcW w:w="913" w:type="dxa"/>
            <w:tcBorders>
              <w:top w:val="nil"/>
              <w:left w:val="nil"/>
              <w:bottom w:val="single" w:color="auto" w:sz="4" w:space="0"/>
              <w:right w:val="single" w:color="auto" w:sz="4" w:space="0"/>
            </w:tcBorders>
            <w:noWrap w:val="0"/>
            <w:vAlign w:val="center"/>
          </w:tcPr>
          <w:p w14:paraId="406A7364">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人</w:t>
            </w:r>
          </w:p>
        </w:tc>
        <w:tc>
          <w:tcPr>
            <w:tcW w:w="1966" w:type="dxa"/>
            <w:tcBorders>
              <w:top w:val="nil"/>
              <w:left w:val="nil"/>
              <w:bottom w:val="single" w:color="auto" w:sz="4" w:space="0"/>
              <w:right w:val="single" w:color="auto" w:sz="4" w:space="0"/>
            </w:tcBorders>
            <w:noWrap w:val="0"/>
            <w:vAlign w:val="center"/>
          </w:tcPr>
          <w:p w14:paraId="0F6462FA">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100≤X＜300</w:t>
            </w:r>
          </w:p>
        </w:tc>
        <w:tc>
          <w:tcPr>
            <w:tcW w:w="1743" w:type="dxa"/>
            <w:tcBorders>
              <w:top w:val="nil"/>
              <w:left w:val="nil"/>
              <w:bottom w:val="single" w:color="auto" w:sz="4" w:space="0"/>
              <w:right w:val="single" w:color="auto" w:sz="4" w:space="0"/>
            </w:tcBorders>
            <w:noWrap w:val="0"/>
            <w:vAlign w:val="center"/>
          </w:tcPr>
          <w:p w14:paraId="47336EF8">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10≤X＜100</w:t>
            </w:r>
          </w:p>
        </w:tc>
        <w:tc>
          <w:tcPr>
            <w:tcW w:w="1142" w:type="dxa"/>
            <w:tcBorders>
              <w:top w:val="nil"/>
              <w:left w:val="nil"/>
              <w:bottom w:val="single" w:color="auto" w:sz="4" w:space="0"/>
              <w:right w:val="single" w:color="auto" w:sz="4" w:space="0"/>
            </w:tcBorders>
            <w:noWrap w:val="0"/>
            <w:vAlign w:val="center"/>
          </w:tcPr>
          <w:p w14:paraId="633FC7EE">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X＜10</w:t>
            </w:r>
          </w:p>
        </w:tc>
      </w:tr>
      <w:tr w14:paraId="7F70B3AA">
        <w:tblPrEx>
          <w:tblCellMar>
            <w:top w:w="0" w:type="dxa"/>
            <w:left w:w="108" w:type="dxa"/>
            <w:bottom w:w="0" w:type="dxa"/>
            <w:right w:w="108" w:type="dxa"/>
          </w:tblCellMar>
        </w:tblPrEx>
        <w:trPr>
          <w:trHeight w:val="225" w:hRule="atLeast"/>
          <w:jc w:val="center"/>
        </w:trPr>
        <w:tc>
          <w:tcPr>
            <w:tcW w:w="1904" w:type="dxa"/>
            <w:vMerge w:val="continue"/>
            <w:tcBorders>
              <w:top w:val="nil"/>
              <w:left w:val="single" w:color="auto" w:sz="4" w:space="0"/>
              <w:bottom w:val="single" w:color="auto" w:sz="4" w:space="0"/>
              <w:right w:val="single" w:color="auto" w:sz="4" w:space="0"/>
            </w:tcBorders>
            <w:noWrap w:val="0"/>
            <w:vAlign w:val="center"/>
          </w:tcPr>
          <w:p w14:paraId="6AACC8C5">
            <w:pPr>
              <w:widowControl/>
              <w:jc w:val="left"/>
              <w:rPr>
                <w:rFonts w:hint="eastAsia" w:ascii="宋体" w:hAnsi="宋体" w:eastAsia="宋体" w:cs="宋体"/>
                <w:b/>
                <w:bCs/>
                <w:color w:val="auto"/>
                <w:kern w:val="0"/>
                <w:szCs w:val="21"/>
                <w:highlight w:val="none"/>
              </w:rPr>
            </w:pPr>
          </w:p>
        </w:tc>
        <w:tc>
          <w:tcPr>
            <w:tcW w:w="1384" w:type="dxa"/>
            <w:tcBorders>
              <w:top w:val="nil"/>
              <w:left w:val="nil"/>
              <w:bottom w:val="single" w:color="auto" w:sz="4" w:space="0"/>
              <w:right w:val="single" w:color="auto" w:sz="4" w:space="0"/>
            </w:tcBorders>
            <w:noWrap w:val="0"/>
            <w:vAlign w:val="center"/>
          </w:tcPr>
          <w:p w14:paraId="6F6F88AD">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营业收入（Y）</w:t>
            </w:r>
          </w:p>
        </w:tc>
        <w:tc>
          <w:tcPr>
            <w:tcW w:w="913" w:type="dxa"/>
            <w:tcBorders>
              <w:top w:val="nil"/>
              <w:left w:val="nil"/>
              <w:bottom w:val="single" w:color="auto" w:sz="4" w:space="0"/>
              <w:right w:val="single" w:color="auto" w:sz="4" w:space="0"/>
            </w:tcBorders>
            <w:noWrap w:val="0"/>
            <w:vAlign w:val="center"/>
          </w:tcPr>
          <w:p w14:paraId="3D3CD6C5">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万元</w:t>
            </w:r>
          </w:p>
        </w:tc>
        <w:tc>
          <w:tcPr>
            <w:tcW w:w="1966" w:type="dxa"/>
            <w:tcBorders>
              <w:top w:val="nil"/>
              <w:left w:val="nil"/>
              <w:bottom w:val="single" w:color="auto" w:sz="4" w:space="0"/>
              <w:right w:val="single" w:color="auto" w:sz="4" w:space="0"/>
            </w:tcBorders>
            <w:noWrap w:val="0"/>
            <w:vAlign w:val="center"/>
          </w:tcPr>
          <w:p w14:paraId="48E647C2">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2000≤Y＜10000</w:t>
            </w:r>
          </w:p>
        </w:tc>
        <w:tc>
          <w:tcPr>
            <w:tcW w:w="1743" w:type="dxa"/>
            <w:tcBorders>
              <w:top w:val="nil"/>
              <w:left w:val="nil"/>
              <w:bottom w:val="single" w:color="auto" w:sz="4" w:space="0"/>
              <w:right w:val="single" w:color="auto" w:sz="4" w:space="0"/>
            </w:tcBorders>
            <w:noWrap w:val="0"/>
            <w:vAlign w:val="center"/>
          </w:tcPr>
          <w:p w14:paraId="3CFE3070">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100≤Y＜2000</w:t>
            </w:r>
          </w:p>
        </w:tc>
        <w:tc>
          <w:tcPr>
            <w:tcW w:w="1142" w:type="dxa"/>
            <w:tcBorders>
              <w:top w:val="nil"/>
              <w:left w:val="nil"/>
              <w:bottom w:val="single" w:color="auto" w:sz="4" w:space="0"/>
              <w:right w:val="single" w:color="auto" w:sz="4" w:space="0"/>
            </w:tcBorders>
            <w:noWrap w:val="0"/>
            <w:vAlign w:val="center"/>
          </w:tcPr>
          <w:p w14:paraId="7A2D765D">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Y＜100</w:t>
            </w:r>
          </w:p>
        </w:tc>
      </w:tr>
      <w:tr w14:paraId="55A6DFA8">
        <w:tblPrEx>
          <w:tblCellMar>
            <w:top w:w="0" w:type="dxa"/>
            <w:left w:w="108" w:type="dxa"/>
            <w:bottom w:w="0" w:type="dxa"/>
            <w:right w:w="108" w:type="dxa"/>
          </w:tblCellMar>
        </w:tblPrEx>
        <w:trPr>
          <w:trHeight w:val="225" w:hRule="atLeast"/>
          <w:jc w:val="center"/>
        </w:trPr>
        <w:tc>
          <w:tcPr>
            <w:tcW w:w="1904" w:type="dxa"/>
            <w:vMerge w:val="restart"/>
            <w:tcBorders>
              <w:top w:val="nil"/>
              <w:left w:val="single" w:color="auto" w:sz="4" w:space="0"/>
              <w:bottom w:val="single" w:color="auto" w:sz="4" w:space="0"/>
              <w:right w:val="single" w:color="auto" w:sz="4" w:space="0"/>
            </w:tcBorders>
            <w:noWrap w:val="0"/>
            <w:vAlign w:val="center"/>
          </w:tcPr>
          <w:p w14:paraId="52909719">
            <w:pPr>
              <w:widowControl/>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餐饮业</w:t>
            </w:r>
          </w:p>
        </w:tc>
        <w:tc>
          <w:tcPr>
            <w:tcW w:w="1384" w:type="dxa"/>
            <w:tcBorders>
              <w:top w:val="nil"/>
              <w:left w:val="nil"/>
              <w:bottom w:val="single" w:color="auto" w:sz="4" w:space="0"/>
              <w:right w:val="single" w:color="auto" w:sz="4" w:space="0"/>
            </w:tcBorders>
            <w:noWrap w:val="0"/>
            <w:vAlign w:val="center"/>
          </w:tcPr>
          <w:p w14:paraId="2B06B6AD">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从业人员（X）</w:t>
            </w:r>
          </w:p>
        </w:tc>
        <w:tc>
          <w:tcPr>
            <w:tcW w:w="913" w:type="dxa"/>
            <w:tcBorders>
              <w:top w:val="nil"/>
              <w:left w:val="nil"/>
              <w:bottom w:val="single" w:color="auto" w:sz="4" w:space="0"/>
              <w:right w:val="single" w:color="auto" w:sz="4" w:space="0"/>
            </w:tcBorders>
            <w:noWrap w:val="0"/>
            <w:vAlign w:val="center"/>
          </w:tcPr>
          <w:p w14:paraId="4680DB0F">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人</w:t>
            </w:r>
          </w:p>
        </w:tc>
        <w:tc>
          <w:tcPr>
            <w:tcW w:w="1966" w:type="dxa"/>
            <w:tcBorders>
              <w:top w:val="nil"/>
              <w:left w:val="nil"/>
              <w:bottom w:val="single" w:color="auto" w:sz="4" w:space="0"/>
              <w:right w:val="single" w:color="auto" w:sz="4" w:space="0"/>
            </w:tcBorders>
            <w:noWrap w:val="0"/>
            <w:vAlign w:val="center"/>
          </w:tcPr>
          <w:p w14:paraId="33291069">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100≤X＜300</w:t>
            </w:r>
          </w:p>
        </w:tc>
        <w:tc>
          <w:tcPr>
            <w:tcW w:w="1743" w:type="dxa"/>
            <w:tcBorders>
              <w:top w:val="nil"/>
              <w:left w:val="nil"/>
              <w:bottom w:val="single" w:color="auto" w:sz="4" w:space="0"/>
              <w:right w:val="single" w:color="auto" w:sz="4" w:space="0"/>
            </w:tcBorders>
            <w:noWrap w:val="0"/>
            <w:vAlign w:val="center"/>
          </w:tcPr>
          <w:p w14:paraId="54682AD9">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10≤X＜100</w:t>
            </w:r>
          </w:p>
        </w:tc>
        <w:tc>
          <w:tcPr>
            <w:tcW w:w="1142" w:type="dxa"/>
            <w:tcBorders>
              <w:top w:val="nil"/>
              <w:left w:val="nil"/>
              <w:bottom w:val="single" w:color="auto" w:sz="4" w:space="0"/>
              <w:right w:val="single" w:color="auto" w:sz="4" w:space="0"/>
            </w:tcBorders>
            <w:noWrap w:val="0"/>
            <w:vAlign w:val="center"/>
          </w:tcPr>
          <w:p w14:paraId="7940C28B">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X＜10</w:t>
            </w:r>
          </w:p>
        </w:tc>
      </w:tr>
      <w:tr w14:paraId="2379FE27">
        <w:tblPrEx>
          <w:tblCellMar>
            <w:top w:w="0" w:type="dxa"/>
            <w:left w:w="108" w:type="dxa"/>
            <w:bottom w:w="0" w:type="dxa"/>
            <w:right w:w="108" w:type="dxa"/>
          </w:tblCellMar>
        </w:tblPrEx>
        <w:trPr>
          <w:trHeight w:val="225" w:hRule="atLeast"/>
          <w:jc w:val="center"/>
        </w:trPr>
        <w:tc>
          <w:tcPr>
            <w:tcW w:w="1904" w:type="dxa"/>
            <w:vMerge w:val="continue"/>
            <w:tcBorders>
              <w:top w:val="nil"/>
              <w:left w:val="single" w:color="auto" w:sz="4" w:space="0"/>
              <w:bottom w:val="single" w:color="auto" w:sz="4" w:space="0"/>
              <w:right w:val="single" w:color="auto" w:sz="4" w:space="0"/>
            </w:tcBorders>
            <w:noWrap w:val="0"/>
            <w:vAlign w:val="center"/>
          </w:tcPr>
          <w:p w14:paraId="33174598">
            <w:pPr>
              <w:widowControl/>
              <w:jc w:val="left"/>
              <w:rPr>
                <w:rFonts w:hint="eastAsia" w:ascii="宋体" w:hAnsi="宋体" w:eastAsia="宋体" w:cs="宋体"/>
                <w:b/>
                <w:bCs/>
                <w:color w:val="auto"/>
                <w:kern w:val="0"/>
                <w:szCs w:val="21"/>
                <w:highlight w:val="none"/>
              </w:rPr>
            </w:pPr>
          </w:p>
        </w:tc>
        <w:tc>
          <w:tcPr>
            <w:tcW w:w="1384" w:type="dxa"/>
            <w:tcBorders>
              <w:top w:val="nil"/>
              <w:left w:val="nil"/>
              <w:bottom w:val="single" w:color="auto" w:sz="4" w:space="0"/>
              <w:right w:val="single" w:color="auto" w:sz="4" w:space="0"/>
            </w:tcBorders>
            <w:noWrap w:val="0"/>
            <w:vAlign w:val="center"/>
          </w:tcPr>
          <w:p w14:paraId="20423D07">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营业收入（Y）</w:t>
            </w:r>
          </w:p>
        </w:tc>
        <w:tc>
          <w:tcPr>
            <w:tcW w:w="913" w:type="dxa"/>
            <w:tcBorders>
              <w:top w:val="nil"/>
              <w:left w:val="nil"/>
              <w:bottom w:val="single" w:color="auto" w:sz="4" w:space="0"/>
              <w:right w:val="single" w:color="auto" w:sz="4" w:space="0"/>
            </w:tcBorders>
            <w:noWrap w:val="0"/>
            <w:vAlign w:val="center"/>
          </w:tcPr>
          <w:p w14:paraId="5CF6D77A">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万元</w:t>
            </w:r>
          </w:p>
        </w:tc>
        <w:tc>
          <w:tcPr>
            <w:tcW w:w="1966" w:type="dxa"/>
            <w:tcBorders>
              <w:top w:val="nil"/>
              <w:left w:val="nil"/>
              <w:bottom w:val="single" w:color="auto" w:sz="4" w:space="0"/>
              <w:right w:val="single" w:color="auto" w:sz="4" w:space="0"/>
            </w:tcBorders>
            <w:noWrap w:val="0"/>
            <w:vAlign w:val="center"/>
          </w:tcPr>
          <w:p w14:paraId="353474BA">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2000≤Y＜10000</w:t>
            </w:r>
          </w:p>
        </w:tc>
        <w:tc>
          <w:tcPr>
            <w:tcW w:w="1743" w:type="dxa"/>
            <w:tcBorders>
              <w:top w:val="nil"/>
              <w:left w:val="nil"/>
              <w:bottom w:val="single" w:color="auto" w:sz="4" w:space="0"/>
              <w:right w:val="single" w:color="auto" w:sz="4" w:space="0"/>
            </w:tcBorders>
            <w:noWrap w:val="0"/>
            <w:vAlign w:val="center"/>
          </w:tcPr>
          <w:p w14:paraId="6BD9D8B2">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100≤Y＜2000</w:t>
            </w:r>
          </w:p>
        </w:tc>
        <w:tc>
          <w:tcPr>
            <w:tcW w:w="1142" w:type="dxa"/>
            <w:tcBorders>
              <w:top w:val="nil"/>
              <w:left w:val="nil"/>
              <w:bottom w:val="single" w:color="auto" w:sz="4" w:space="0"/>
              <w:right w:val="single" w:color="auto" w:sz="4" w:space="0"/>
            </w:tcBorders>
            <w:noWrap w:val="0"/>
            <w:vAlign w:val="center"/>
          </w:tcPr>
          <w:p w14:paraId="05791D13">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Y＜100</w:t>
            </w:r>
          </w:p>
        </w:tc>
      </w:tr>
      <w:tr w14:paraId="6A372109">
        <w:tblPrEx>
          <w:tblCellMar>
            <w:top w:w="0" w:type="dxa"/>
            <w:left w:w="108" w:type="dxa"/>
            <w:bottom w:w="0" w:type="dxa"/>
            <w:right w:w="108" w:type="dxa"/>
          </w:tblCellMar>
        </w:tblPrEx>
        <w:trPr>
          <w:trHeight w:val="225" w:hRule="atLeast"/>
          <w:jc w:val="center"/>
        </w:trPr>
        <w:tc>
          <w:tcPr>
            <w:tcW w:w="1904" w:type="dxa"/>
            <w:vMerge w:val="restart"/>
            <w:tcBorders>
              <w:top w:val="nil"/>
              <w:left w:val="single" w:color="auto" w:sz="4" w:space="0"/>
              <w:bottom w:val="single" w:color="auto" w:sz="4" w:space="0"/>
              <w:right w:val="single" w:color="auto" w:sz="4" w:space="0"/>
            </w:tcBorders>
            <w:noWrap w:val="0"/>
            <w:vAlign w:val="center"/>
          </w:tcPr>
          <w:p w14:paraId="018363FA">
            <w:pPr>
              <w:widowControl/>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信息传输业</w:t>
            </w:r>
          </w:p>
        </w:tc>
        <w:tc>
          <w:tcPr>
            <w:tcW w:w="1384" w:type="dxa"/>
            <w:tcBorders>
              <w:top w:val="nil"/>
              <w:left w:val="nil"/>
              <w:bottom w:val="single" w:color="auto" w:sz="4" w:space="0"/>
              <w:right w:val="single" w:color="auto" w:sz="4" w:space="0"/>
            </w:tcBorders>
            <w:noWrap w:val="0"/>
            <w:vAlign w:val="center"/>
          </w:tcPr>
          <w:p w14:paraId="39B2249F">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从业人员（X）</w:t>
            </w:r>
          </w:p>
        </w:tc>
        <w:tc>
          <w:tcPr>
            <w:tcW w:w="913" w:type="dxa"/>
            <w:tcBorders>
              <w:top w:val="nil"/>
              <w:left w:val="nil"/>
              <w:bottom w:val="single" w:color="auto" w:sz="4" w:space="0"/>
              <w:right w:val="single" w:color="auto" w:sz="4" w:space="0"/>
            </w:tcBorders>
            <w:noWrap w:val="0"/>
            <w:vAlign w:val="center"/>
          </w:tcPr>
          <w:p w14:paraId="2605608E">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人</w:t>
            </w:r>
          </w:p>
        </w:tc>
        <w:tc>
          <w:tcPr>
            <w:tcW w:w="1966" w:type="dxa"/>
            <w:tcBorders>
              <w:top w:val="nil"/>
              <w:left w:val="nil"/>
              <w:bottom w:val="single" w:color="auto" w:sz="4" w:space="0"/>
              <w:right w:val="single" w:color="auto" w:sz="4" w:space="0"/>
            </w:tcBorders>
            <w:noWrap w:val="0"/>
            <w:vAlign w:val="center"/>
          </w:tcPr>
          <w:p w14:paraId="73D376E2">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100≤X＜2000</w:t>
            </w:r>
          </w:p>
        </w:tc>
        <w:tc>
          <w:tcPr>
            <w:tcW w:w="1743" w:type="dxa"/>
            <w:tcBorders>
              <w:top w:val="nil"/>
              <w:left w:val="nil"/>
              <w:bottom w:val="single" w:color="auto" w:sz="4" w:space="0"/>
              <w:right w:val="single" w:color="auto" w:sz="4" w:space="0"/>
            </w:tcBorders>
            <w:noWrap w:val="0"/>
            <w:vAlign w:val="center"/>
          </w:tcPr>
          <w:p w14:paraId="2C050028">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10≤X＜100</w:t>
            </w:r>
          </w:p>
        </w:tc>
        <w:tc>
          <w:tcPr>
            <w:tcW w:w="1142" w:type="dxa"/>
            <w:tcBorders>
              <w:top w:val="nil"/>
              <w:left w:val="nil"/>
              <w:bottom w:val="single" w:color="auto" w:sz="4" w:space="0"/>
              <w:right w:val="single" w:color="auto" w:sz="4" w:space="0"/>
            </w:tcBorders>
            <w:noWrap w:val="0"/>
            <w:vAlign w:val="center"/>
          </w:tcPr>
          <w:p w14:paraId="7102A5A2">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X＜10</w:t>
            </w:r>
          </w:p>
        </w:tc>
      </w:tr>
      <w:tr w14:paraId="791B3BE3">
        <w:tblPrEx>
          <w:tblCellMar>
            <w:top w:w="0" w:type="dxa"/>
            <w:left w:w="108" w:type="dxa"/>
            <w:bottom w:w="0" w:type="dxa"/>
            <w:right w:w="108" w:type="dxa"/>
          </w:tblCellMar>
        </w:tblPrEx>
        <w:trPr>
          <w:trHeight w:val="225" w:hRule="atLeast"/>
          <w:jc w:val="center"/>
        </w:trPr>
        <w:tc>
          <w:tcPr>
            <w:tcW w:w="1904" w:type="dxa"/>
            <w:vMerge w:val="continue"/>
            <w:tcBorders>
              <w:top w:val="nil"/>
              <w:left w:val="single" w:color="auto" w:sz="4" w:space="0"/>
              <w:bottom w:val="single" w:color="auto" w:sz="4" w:space="0"/>
              <w:right w:val="single" w:color="auto" w:sz="4" w:space="0"/>
            </w:tcBorders>
            <w:noWrap w:val="0"/>
            <w:vAlign w:val="center"/>
          </w:tcPr>
          <w:p w14:paraId="15774FC0">
            <w:pPr>
              <w:widowControl/>
              <w:jc w:val="left"/>
              <w:rPr>
                <w:rFonts w:hint="eastAsia" w:ascii="宋体" w:hAnsi="宋体" w:eastAsia="宋体" w:cs="宋体"/>
                <w:b/>
                <w:bCs/>
                <w:color w:val="auto"/>
                <w:kern w:val="0"/>
                <w:szCs w:val="21"/>
                <w:highlight w:val="none"/>
              </w:rPr>
            </w:pPr>
          </w:p>
        </w:tc>
        <w:tc>
          <w:tcPr>
            <w:tcW w:w="1384" w:type="dxa"/>
            <w:tcBorders>
              <w:top w:val="nil"/>
              <w:left w:val="nil"/>
              <w:bottom w:val="single" w:color="auto" w:sz="4" w:space="0"/>
              <w:right w:val="single" w:color="auto" w:sz="4" w:space="0"/>
            </w:tcBorders>
            <w:noWrap w:val="0"/>
            <w:vAlign w:val="center"/>
          </w:tcPr>
          <w:p w14:paraId="5D7C58AA">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营业收入（Y）</w:t>
            </w:r>
          </w:p>
        </w:tc>
        <w:tc>
          <w:tcPr>
            <w:tcW w:w="913" w:type="dxa"/>
            <w:tcBorders>
              <w:top w:val="nil"/>
              <w:left w:val="nil"/>
              <w:bottom w:val="single" w:color="auto" w:sz="4" w:space="0"/>
              <w:right w:val="single" w:color="auto" w:sz="4" w:space="0"/>
            </w:tcBorders>
            <w:noWrap w:val="0"/>
            <w:vAlign w:val="center"/>
          </w:tcPr>
          <w:p w14:paraId="3B4E6032">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万元</w:t>
            </w:r>
          </w:p>
        </w:tc>
        <w:tc>
          <w:tcPr>
            <w:tcW w:w="1966" w:type="dxa"/>
            <w:tcBorders>
              <w:top w:val="nil"/>
              <w:left w:val="nil"/>
              <w:bottom w:val="single" w:color="auto" w:sz="4" w:space="0"/>
              <w:right w:val="single" w:color="auto" w:sz="4" w:space="0"/>
            </w:tcBorders>
            <w:noWrap w:val="0"/>
            <w:vAlign w:val="center"/>
          </w:tcPr>
          <w:p w14:paraId="720497F5">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1000≤Y＜100000</w:t>
            </w:r>
          </w:p>
        </w:tc>
        <w:tc>
          <w:tcPr>
            <w:tcW w:w="1743" w:type="dxa"/>
            <w:tcBorders>
              <w:top w:val="nil"/>
              <w:left w:val="nil"/>
              <w:bottom w:val="single" w:color="auto" w:sz="4" w:space="0"/>
              <w:right w:val="single" w:color="auto" w:sz="4" w:space="0"/>
            </w:tcBorders>
            <w:noWrap w:val="0"/>
            <w:vAlign w:val="center"/>
          </w:tcPr>
          <w:p w14:paraId="2E693797">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100≤Y＜1000</w:t>
            </w:r>
          </w:p>
        </w:tc>
        <w:tc>
          <w:tcPr>
            <w:tcW w:w="1142" w:type="dxa"/>
            <w:tcBorders>
              <w:top w:val="nil"/>
              <w:left w:val="nil"/>
              <w:bottom w:val="single" w:color="auto" w:sz="4" w:space="0"/>
              <w:right w:val="single" w:color="auto" w:sz="4" w:space="0"/>
            </w:tcBorders>
            <w:noWrap w:val="0"/>
            <w:vAlign w:val="center"/>
          </w:tcPr>
          <w:p w14:paraId="2C51B677">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Y＜100</w:t>
            </w:r>
          </w:p>
        </w:tc>
      </w:tr>
      <w:tr w14:paraId="08887E53">
        <w:tblPrEx>
          <w:tblCellMar>
            <w:top w:w="0" w:type="dxa"/>
            <w:left w:w="108" w:type="dxa"/>
            <w:bottom w:w="0" w:type="dxa"/>
            <w:right w:w="108" w:type="dxa"/>
          </w:tblCellMar>
        </w:tblPrEx>
        <w:trPr>
          <w:trHeight w:val="225" w:hRule="atLeast"/>
          <w:jc w:val="center"/>
        </w:trPr>
        <w:tc>
          <w:tcPr>
            <w:tcW w:w="1904" w:type="dxa"/>
            <w:vMerge w:val="restart"/>
            <w:tcBorders>
              <w:top w:val="nil"/>
              <w:left w:val="single" w:color="auto" w:sz="4" w:space="0"/>
              <w:bottom w:val="single" w:color="auto" w:sz="4" w:space="0"/>
              <w:right w:val="single" w:color="auto" w:sz="4" w:space="0"/>
            </w:tcBorders>
            <w:noWrap w:val="0"/>
            <w:vAlign w:val="center"/>
          </w:tcPr>
          <w:p w14:paraId="7392E9C1">
            <w:pPr>
              <w:widowControl/>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软件和信息技术服务业</w:t>
            </w:r>
          </w:p>
        </w:tc>
        <w:tc>
          <w:tcPr>
            <w:tcW w:w="1384" w:type="dxa"/>
            <w:tcBorders>
              <w:top w:val="nil"/>
              <w:left w:val="nil"/>
              <w:bottom w:val="single" w:color="auto" w:sz="4" w:space="0"/>
              <w:right w:val="single" w:color="auto" w:sz="4" w:space="0"/>
            </w:tcBorders>
            <w:noWrap w:val="0"/>
            <w:vAlign w:val="center"/>
          </w:tcPr>
          <w:p w14:paraId="1360A41A">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从业人员（X）</w:t>
            </w:r>
          </w:p>
        </w:tc>
        <w:tc>
          <w:tcPr>
            <w:tcW w:w="913" w:type="dxa"/>
            <w:tcBorders>
              <w:top w:val="nil"/>
              <w:left w:val="nil"/>
              <w:bottom w:val="single" w:color="auto" w:sz="4" w:space="0"/>
              <w:right w:val="single" w:color="auto" w:sz="4" w:space="0"/>
            </w:tcBorders>
            <w:noWrap w:val="0"/>
            <w:vAlign w:val="center"/>
          </w:tcPr>
          <w:p w14:paraId="7BAFDD22">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人</w:t>
            </w:r>
          </w:p>
        </w:tc>
        <w:tc>
          <w:tcPr>
            <w:tcW w:w="1966" w:type="dxa"/>
            <w:tcBorders>
              <w:top w:val="nil"/>
              <w:left w:val="nil"/>
              <w:bottom w:val="single" w:color="auto" w:sz="4" w:space="0"/>
              <w:right w:val="single" w:color="auto" w:sz="4" w:space="0"/>
            </w:tcBorders>
            <w:noWrap w:val="0"/>
            <w:vAlign w:val="center"/>
          </w:tcPr>
          <w:p w14:paraId="2D196C85">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100≤X＜300</w:t>
            </w:r>
          </w:p>
        </w:tc>
        <w:tc>
          <w:tcPr>
            <w:tcW w:w="1743" w:type="dxa"/>
            <w:tcBorders>
              <w:top w:val="nil"/>
              <w:left w:val="nil"/>
              <w:bottom w:val="single" w:color="auto" w:sz="4" w:space="0"/>
              <w:right w:val="single" w:color="auto" w:sz="4" w:space="0"/>
            </w:tcBorders>
            <w:noWrap w:val="0"/>
            <w:vAlign w:val="center"/>
          </w:tcPr>
          <w:p w14:paraId="38BB972F">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10≤X＜100</w:t>
            </w:r>
          </w:p>
        </w:tc>
        <w:tc>
          <w:tcPr>
            <w:tcW w:w="1142" w:type="dxa"/>
            <w:tcBorders>
              <w:top w:val="nil"/>
              <w:left w:val="nil"/>
              <w:bottom w:val="single" w:color="auto" w:sz="4" w:space="0"/>
              <w:right w:val="single" w:color="auto" w:sz="4" w:space="0"/>
            </w:tcBorders>
            <w:noWrap w:val="0"/>
            <w:vAlign w:val="center"/>
          </w:tcPr>
          <w:p w14:paraId="301E1388">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X＜10</w:t>
            </w:r>
          </w:p>
        </w:tc>
      </w:tr>
      <w:tr w14:paraId="79BCFEA6">
        <w:tblPrEx>
          <w:tblCellMar>
            <w:top w:w="0" w:type="dxa"/>
            <w:left w:w="108" w:type="dxa"/>
            <w:bottom w:w="0" w:type="dxa"/>
            <w:right w:w="108" w:type="dxa"/>
          </w:tblCellMar>
        </w:tblPrEx>
        <w:trPr>
          <w:trHeight w:val="225" w:hRule="atLeast"/>
          <w:jc w:val="center"/>
        </w:trPr>
        <w:tc>
          <w:tcPr>
            <w:tcW w:w="1904" w:type="dxa"/>
            <w:vMerge w:val="continue"/>
            <w:tcBorders>
              <w:top w:val="nil"/>
              <w:left w:val="single" w:color="auto" w:sz="4" w:space="0"/>
              <w:bottom w:val="single" w:color="auto" w:sz="4" w:space="0"/>
              <w:right w:val="single" w:color="auto" w:sz="4" w:space="0"/>
            </w:tcBorders>
            <w:noWrap w:val="0"/>
            <w:vAlign w:val="center"/>
          </w:tcPr>
          <w:p w14:paraId="7079581A">
            <w:pPr>
              <w:widowControl/>
              <w:jc w:val="left"/>
              <w:rPr>
                <w:rFonts w:hint="eastAsia" w:ascii="宋体" w:hAnsi="宋体" w:eastAsia="宋体" w:cs="宋体"/>
                <w:b/>
                <w:bCs/>
                <w:color w:val="auto"/>
                <w:kern w:val="0"/>
                <w:szCs w:val="21"/>
                <w:highlight w:val="none"/>
              </w:rPr>
            </w:pPr>
          </w:p>
        </w:tc>
        <w:tc>
          <w:tcPr>
            <w:tcW w:w="1384" w:type="dxa"/>
            <w:tcBorders>
              <w:top w:val="nil"/>
              <w:left w:val="nil"/>
              <w:bottom w:val="single" w:color="auto" w:sz="4" w:space="0"/>
              <w:right w:val="single" w:color="auto" w:sz="4" w:space="0"/>
            </w:tcBorders>
            <w:noWrap w:val="0"/>
            <w:vAlign w:val="center"/>
          </w:tcPr>
          <w:p w14:paraId="019B1699">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营业收入（Y）</w:t>
            </w:r>
          </w:p>
        </w:tc>
        <w:tc>
          <w:tcPr>
            <w:tcW w:w="913" w:type="dxa"/>
            <w:tcBorders>
              <w:top w:val="nil"/>
              <w:left w:val="nil"/>
              <w:bottom w:val="single" w:color="auto" w:sz="4" w:space="0"/>
              <w:right w:val="single" w:color="auto" w:sz="4" w:space="0"/>
            </w:tcBorders>
            <w:noWrap w:val="0"/>
            <w:vAlign w:val="center"/>
          </w:tcPr>
          <w:p w14:paraId="049809A9">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万元</w:t>
            </w:r>
          </w:p>
        </w:tc>
        <w:tc>
          <w:tcPr>
            <w:tcW w:w="1966" w:type="dxa"/>
            <w:tcBorders>
              <w:top w:val="nil"/>
              <w:left w:val="nil"/>
              <w:bottom w:val="single" w:color="auto" w:sz="4" w:space="0"/>
              <w:right w:val="single" w:color="auto" w:sz="4" w:space="0"/>
            </w:tcBorders>
            <w:noWrap w:val="0"/>
            <w:vAlign w:val="center"/>
          </w:tcPr>
          <w:p w14:paraId="74B4CAFD">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1000≤Y＜10000</w:t>
            </w:r>
          </w:p>
        </w:tc>
        <w:tc>
          <w:tcPr>
            <w:tcW w:w="1743" w:type="dxa"/>
            <w:tcBorders>
              <w:top w:val="nil"/>
              <w:left w:val="nil"/>
              <w:bottom w:val="single" w:color="auto" w:sz="4" w:space="0"/>
              <w:right w:val="single" w:color="auto" w:sz="4" w:space="0"/>
            </w:tcBorders>
            <w:noWrap w:val="0"/>
            <w:vAlign w:val="center"/>
          </w:tcPr>
          <w:p w14:paraId="36FF2C95">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50≤Y＜1000</w:t>
            </w:r>
          </w:p>
        </w:tc>
        <w:tc>
          <w:tcPr>
            <w:tcW w:w="1142" w:type="dxa"/>
            <w:tcBorders>
              <w:top w:val="nil"/>
              <w:left w:val="nil"/>
              <w:bottom w:val="single" w:color="auto" w:sz="4" w:space="0"/>
              <w:right w:val="single" w:color="auto" w:sz="4" w:space="0"/>
            </w:tcBorders>
            <w:noWrap w:val="0"/>
            <w:vAlign w:val="center"/>
          </w:tcPr>
          <w:p w14:paraId="66EE5499">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Y＜50</w:t>
            </w:r>
          </w:p>
        </w:tc>
      </w:tr>
      <w:tr w14:paraId="3CB5749F">
        <w:tblPrEx>
          <w:tblCellMar>
            <w:top w:w="0" w:type="dxa"/>
            <w:left w:w="108" w:type="dxa"/>
            <w:bottom w:w="0" w:type="dxa"/>
            <w:right w:w="108" w:type="dxa"/>
          </w:tblCellMar>
        </w:tblPrEx>
        <w:trPr>
          <w:trHeight w:val="225" w:hRule="atLeast"/>
          <w:jc w:val="center"/>
        </w:trPr>
        <w:tc>
          <w:tcPr>
            <w:tcW w:w="1904" w:type="dxa"/>
            <w:vMerge w:val="restart"/>
            <w:tcBorders>
              <w:top w:val="nil"/>
              <w:left w:val="single" w:color="auto" w:sz="4" w:space="0"/>
              <w:bottom w:val="single" w:color="auto" w:sz="4" w:space="0"/>
              <w:right w:val="single" w:color="auto" w:sz="4" w:space="0"/>
            </w:tcBorders>
            <w:noWrap w:val="0"/>
            <w:vAlign w:val="center"/>
          </w:tcPr>
          <w:p w14:paraId="74E7836E">
            <w:pPr>
              <w:widowControl/>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房地产开发经营</w:t>
            </w:r>
          </w:p>
        </w:tc>
        <w:tc>
          <w:tcPr>
            <w:tcW w:w="1384" w:type="dxa"/>
            <w:tcBorders>
              <w:top w:val="nil"/>
              <w:left w:val="nil"/>
              <w:bottom w:val="single" w:color="auto" w:sz="4" w:space="0"/>
              <w:right w:val="single" w:color="auto" w:sz="4" w:space="0"/>
            </w:tcBorders>
            <w:noWrap w:val="0"/>
            <w:vAlign w:val="center"/>
          </w:tcPr>
          <w:p w14:paraId="6E8C8754">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营业收入（Y）</w:t>
            </w:r>
          </w:p>
        </w:tc>
        <w:tc>
          <w:tcPr>
            <w:tcW w:w="913" w:type="dxa"/>
            <w:tcBorders>
              <w:top w:val="nil"/>
              <w:left w:val="nil"/>
              <w:bottom w:val="single" w:color="auto" w:sz="4" w:space="0"/>
              <w:right w:val="single" w:color="auto" w:sz="4" w:space="0"/>
            </w:tcBorders>
            <w:noWrap w:val="0"/>
            <w:vAlign w:val="center"/>
          </w:tcPr>
          <w:p w14:paraId="7B503FD1">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万元</w:t>
            </w:r>
          </w:p>
        </w:tc>
        <w:tc>
          <w:tcPr>
            <w:tcW w:w="1966" w:type="dxa"/>
            <w:tcBorders>
              <w:top w:val="nil"/>
              <w:left w:val="nil"/>
              <w:bottom w:val="single" w:color="auto" w:sz="4" w:space="0"/>
              <w:right w:val="single" w:color="auto" w:sz="4" w:space="0"/>
            </w:tcBorders>
            <w:noWrap w:val="0"/>
            <w:vAlign w:val="center"/>
          </w:tcPr>
          <w:p w14:paraId="5B62BCB7">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1000≤Y＜200000</w:t>
            </w:r>
          </w:p>
        </w:tc>
        <w:tc>
          <w:tcPr>
            <w:tcW w:w="1743" w:type="dxa"/>
            <w:tcBorders>
              <w:top w:val="nil"/>
              <w:left w:val="nil"/>
              <w:bottom w:val="single" w:color="auto" w:sz="4" w:space="0"/>
              <w:right w:val="single" w:color="auto" w:sz="4" w:space="0"/>
            </w:tcBorders>
            <w:noWrap w:val="0"/>
            <w:vAlign w:val="center"/>
          </w:tcPr>
          <w:p w14:paraId="7271D923">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100≤X＜1000</w:t>
            </w:r>
          </w:p>
        </w:tc>
        <w:tc>
          <w:tcPr>
            <w:tcW w:w="1142" w:type="dxa"/>
            <w:tcBorders>
              <w:top w:val="nil"/>
              <w:left w:val="nil"/>
              <w:bottom w:val="single" w:color="auto" w:sz="4" w:space="0"/>
              <w:right w:val="single" w:color="auto" w:sz="4" w:space="0"/>
            </w:tcBorders>
            <w:noWrap w:val="0"/>
            <w:vAlign w:val="center"/>
          </w:tcPr>
          <w:p w14:paraId="741051AA">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X＜100</w:t>
            </w:r>
          </w:p>
        </w:tc>
      </w:tr>
      <w:tr w14:paraId="307A888D">
        <w:tblPrEx>
          <w:tblCellMar>
            <w:top w:w="0" w:type="dxa"/>
            <w:left w:w="108" w:type="dxa"/>
            <w:bottom w:w="0" w:type="dxa"/>
            <w:right w:w="108" w:type="dxa"/>
          </w:tblCellMar>
        </w:tblPrEx>
        <w:trPr>
          <w:trHeight w:val="225" w:hRule="atLeast"/>
          <w:jc w:val="center"/>
        </w:trPr>
        <w:tc>
          <w:tcPr>
            <w:tcW w:w="1904" w:type="dxa"/>
            <w:vMerge w:val="continue"/>
            <w:tcBorders>
              <w:top w:val="nil"/>
              <w:left w:val="single" w:color="auto" w:sz="4" w:space="0"/>
              <w:bottom w:val="single" w:color="auto" w:sz="4" w:space="0"/>
              <w:right w:val="single" w:color="auto" w:sz="4" w:space="0"/>
            </w:tcBorders>
            <w:noWrap w:val="0"/>
            <w:vAlign w:val="center"/>
          </w:tcPr>
          <w:p w14:paraId="28433C7A">
            <w:pPr>
              <w:widowControl/>
              <w:jc w:val="left"/>
              <w:rPr>
                <w:rFonts w:hint="eastAsia" w:ascii="宋体" w:hAnsi="宋体" w:eastAsia="宋体" w:cs="宋体"/>
                <w:b/>
                <w:bCs/>
                <w:color w:val="auto"/>
                <w:kern w:val="0"/>
                <w:szCs w:val="21"/>
                <w:highlight w:val="none"/>
              </w:rPr>
            </w:pPr>
          </w:p>
        </w:tc>
        <w:tc>
          <w:tcPr>
            <w:tcW w:w="1384" w:type="dxa"/>
            <w:tcBorders>
              <w:top w:val="nil"/>
              <w:left w:val="nil"/>
              <w:bottom w:val="single" w:color="auto" w:sz="4" w:space="0"/>
              <w:right w:val="single" w:color="auto" w:sz="4" w:space="0"/>
            </w:tcBorders>
            <w:noWrap w:val="0"/>
            <w:vAlign w:val="center"/>
          </w:tcPr>
          <w:p w14:paraId="6800D3E3">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资产总额（Z）</w:t>
            </w:r>
          </w:p>
        </w:tc>
        <w:tc>
          <w:tcPr>
            <w:tcW w:w="913" w:type="dxa"/>
            <w:tcBorders>
              <w:top w:val="nil"/>
              <w:left w:val="nil"/>
              <w:bottom w:val="single" w:color="auto" w:sz="4" w:space="0"/>
              <w:right w:val="single" w:color="auto" w:sz="4" w:space="0"/>
            </w:tcBorders>
            <w:noWrap w:val="0"/>
            <w:vAlign w:val="center"/>
          </w:tcPr>
          <w:p w14:paraId="5B98FCFA">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万元</w:t>
            </w:r>
          </w:p>
        </w:tc>
        <w:tc>
          <w:tcPr>
            <w:tcW w:w="1966" w:type="dxa"/>
            <w:tcBorders>
              <w:top w:val="nil"/>
              <w:left w:val="nil"/>
              <w:bottom w:val="single" w:color="auto" w:sz="4" w:space="0"/>
              <w:right w:val="single" w:color="auto" w:sz="4" w:space="0"/>
            </w:tcBorders>
            <w:noWrap w:val="0"/>
            <w:vAlign w:val="center"/>
          </w:tcPr>
          <w:p w14:paraId="0BB03F9B">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5000≤Z＜10000</w:t>
            </w:r>
          </w:p>
        </w:tc>
        <w:tc>
          <w:tcPr>
            <w:tcW w:w="1743" w:type="dxa"/>
            <w:tcBorders>
              <w:top w:val="nil"/>
              <w:left w:val="nil"/>
              <w:bottom w:val="single" w:color="auto" w:sz="4" w:space="0"/>
              <w:right w:val="single" w:color="auto" w:sz="4" w:space="0"/>
            </w:tcBorders>
            <w:noWrap w:val="0"/>
            <w:vAlign w:val="center"/>
          </w:tcPr>
          <w:p w14:paraId="0EF96561">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2000≤Y＜5000</w:t>
            </w:r>
          </w:p>
        </w:tc>
        <w:tc>
          <w:tcPr>
            <w:tcW w:w="1142" w:type="dxa"/>
            <w:tcBorders>
              <w:top w:val="nil"/>
              <w:left w:val="nil"/>
              <w:bottom w:val="single" w:color="auto" w:sz="4" w:space="0"/>
              <w:right w:val="single" w:color="auto" w:sz="4" w:space="0"/>
            </w:tcBorders>
            <w:noWrap w:val="0"/>
            <w:vAlign w:val="center"/>
          </w:tcPr>
          <w:p w14:paraId="0C41F70B">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Y＜2000</w:t>
            </w:r>
          </w:p>
        </w:tc>
      </w:tr>
      <w:tr w14:paraId="2B105948">
        <w:tblPrEx>
          <w:tblCellMar>
            <w:top w:w="0" w:type="dxa"/>
            <w:left w:w="108" w:type="dxa"/>
            <w:bottom w:w="0" w:type="dxa"/>
            <w:right w:w="108" w:type="dxa"/>
          </w:tblCellMar>
        </w:tblPrEx>
        <w:trPr>
          <w:trHeight w:val="225" w:hRule="atLeast"/>
          <w:jc w:val="center"/>
        </w:trPr>
        <w:tc>
          <w:tcPr>
            <w:tcW w:w="1904" w:type="dxa"/>
            <w:vMerge w:val="restart"/>
            <w:tcBorders>
              <w:top w:val="nil"/>
              <w:left w:val="single" w:color="auto" w:sz="4" w:space="0"/>
              <w:bottom w:val="single" w:color="auto" w:sz="4" w:space="0"/>
              <w:right w:val="single" w:color="auto" w:sz="4" w:space="0"/>
            </w:tcBorders>
            <w:noWrap w:val="0"/>
            <w:vAlign w:val="center"/>
          </w:tcPr>
          <w:p w14:paraId="49B85DDD">
            <w:pPr>
              <w:widowControl/>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物业管理</w:t>
            </w:r>
          </w:p>
        </w:tc>
        <w:tc>
          <w:tcPr>
            <w:tcW w:w="1384" w:type="dxa"/>
            <w:tcBorders>
              <w:top w:val="nil"/>
              <w:left w:val="nil"/>
              <w:bottom w:val="single" w:color="auto" w:sz="4" w:space="0"/>
              <w:right w:val="single" w:color="auto" w:sz="4" w:space="0"/>
            </w:tcBorders>
            <w:noWrap w:val="0"/>
            <w:vAlign w:val="center"/>
          </w:tcPr>
          <w:p w14:paraId="11114588">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从业人员（X）</w:t>
            </w:r>
          </w:p>
        </w:tc>
        <w:tc>
          <w:tcPr>
            <w:tcW w:w="913" w:type="dxa"/>
            <w:tcBorders>
              <w:top w:val="nil"/>
              <w:left w:val="nil"/>
              <w:bottom w:val="single" w:color="auto" w:sz="4" w:space="0"/>
              <w:right w:val="single" w:color="auto" w:sz="4" w:space="0"/>
            </w:tcBorders>
            <w:noWrap w:val="0"/>
            <w:vAlign w:val="center"/>
          </w:tcPr>
          <w:p w14:paraId="2A865B07">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人</w:t>
            </w:r>
          </w:p>
        </w:tc>
        <w:tc>
          <w:tcPr>
            <w:tcW w:w="1966" w:type="dxa"/>
            <w:tcBorders>
              <w:top w:val="nil"/>
              <w:left w:val="nil"/>
              <w:bottom w:val="single" w:color="auto" w:sz="4" w:space="0"/>
              <w:right w:val="single" w:color="auto" w:sz="4" w:space="0"/>
            </w:tcBorders>
            <w:noWrap w:val="0"/>
            <w:vAlign w:val="center"/>
          </w:tcPr>
          <w:p w14:paraId="51BFE196">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300≤X＜1000</w:t>
            </w:r>
          </w:p>
        </w:tc>
        <w:tc>
          <w:tcPr>
            <w:tcW w:w="1743" w:type="dxa"/>
            <w:tcBorders>
              <w:top w:val="nil"/>
              <w:left w:val="nil"/>
              <w:bottom w:val="single" w:color="auto" w:sz="4" w:space="0"/>
              <w:right w:val="single" w:color="auto" w:sz="4" w:space="0"/>
            </w:tcBorders>
            <w:noWrap w:val="0"/>
            <w:vAlign w:val="center"/>
          </w:tcPr>
          <w:p w14:paraId="0D869D86">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100≤X＜300</w:t>
            </w:r>
          </w:p>
        </w:tc>
        <w:tc>
          <w:tcPr>
            <w:tcW w:w="1142" w:type="dxa"/>
            <w:tcBorders>
              <w:top w:val="nil"/>
              <w:left w:val="nil"/>
              <w:bottom w:val="single" w:color="auto" w:sz="4" w:space="0"/>
              <w:right w:val="single" w:color="auto" w:sz="4" w:space="0"/>
            </w:tcBorders>
            <w:noWrap w:val="0"/>
            <w:vAlign w:val="center"/>
          </w:tcPr>
          <w:p w14:paraId="1F7E5D2D">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X＜100</w:t>
            </w:r>
          </w:p>
        </w:tc>
      </w:tr>
      <w:tr w14:paraId="28515C64">
        <w:tblPrEx>
          <w:tblCellMar>
            <w:top w:w="0" w:type="dxa"/>
            <w:left w:w="108" w:type="dxa"/>
            <w:bottom w:w="0" w:type="dxa"/>
            <w:right w:w="108" w:type="dxa"/>
          </w:tblCellMar>
        </w:tblPrEx>
        <w:trPr>
          <w:trHeight w:val="225" w:hRule="atLeast"/>
          <w:jc w:val="center"/>
        </w:trPr>
        <w:tc>
          <w:tcPr>
            <w:tcW w:w="1904" w:type="dxa"/>
            <w:vMerge w:val="continue"/>
            <w:tcBorders>
              <w:top w:val="nil"/>
              <w:left w:val="single" w:color="auto" w:sz="4" w:space="0"/>
              <w:bottom w:val="single" w:color="auto" w:sz="4" w:space="0"/>
              <w:right w:val="single" w:color="auto" w:sz="4" w:space="0"/>
            </w:tcBorders>
            <w:noWrap w:val="0"/>
            <w:vAlign w:val="center"/>
          </w:tcPr>
          <w:p w14:paraId="0412E8A3">
            <w:pPr>
              <w:widowControl/>
              <w:jc w:val="left"/>
              <w:rPr>
                <w:rFonts w:hint="eastAsia" w:ascii="宋体" w:hAnsi="宋体" w:eastAsia="宋体" w:cs="宋体"/>
                <w:b/>
                <w:bCs/>
                <w:color w:val="auto"/>
                <w:kern w:val="0"/>
                <w:szCs w:val="21"/>
                <w:highlight w:val="none"/>
              </w:rPr>
            </w:pPr>
          </w:p>
        </w:tc>
        <w:tc>
          <w:tcPr>
            <w:tcW w:w="1384" w:type="dxa"/>
            <w:tcBorders>
              <w:top w:val="nil"/>
              <w:left w:val="nil"/>
              <w:bottom w:val="single" w:color="auto" w:sz="4" w:space="0"/>
              <w:right w:val="single" w:color="auto" w:sz="4" w:space="0"/>
            </w:tcBorders>
            <w:noWrap w:val="0"/>
            <w:vAlign w:val="center"/>
          </w:tcPr>
          <w:p w14:paraId="5A056DCF">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营业收入（Y）</w:t>
            </w:r>
          </w:p>
        </w:tc>
        <w:tc>
          <w:tcPr>
            <w:tcW w:w="913" w:type="dxa"/>
            <w:tcBorders>
              <w:top w:val="nil"/>
              <w:left w:val="nil"/>
              <w:bottom w:val="single" w:color="auto" w:sz="4" w:space="0"/>
              <w:right w:val="single" w:color="auto" w:sz="4" w:space="0"/>
            </w:tcBorders>
            <w:noWrap w:val="0"/>
            <w:vAlign w:val="center"/>
          </w:tcPr>
          <w:p w14:paraId="1F1BA02A">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万元</w:t>
            </w:r>
          </w:p>
        </w:tc>
        <w:tc>
          <w:tcPr>
            <w:tcW w:w="1966" w:type="dxa"/>
            <w:tcBorders>
              <w:top w:val="nil"/>
              <w:left w:val="nil"/>
              <w:bottom w:val="single" w:color="auto" w:sz="4" w:space="0"/>
              <w:right w:val="single" w:color="auto" w:sz="4" w:space="0"/>
            </w:tcBorders>
            <w:noWrap w:val="0"/>
            <w:vAlign w:val="center"/>
          </w:tcPr>
          <w:p w14:paraId="0A854469">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1000≤Y＜5000</w:t>
            </w:r>
          </w:p>
        </w:tc>
        <w:tc>
          <w:tcPr>
            <w:tcW w:w="1743" w:type="dxa"/>
            <w:tcBorders>
              <w:top w:val="nil"/>
              <w:left w:val="nil"/>
              <w:bottom w:val="single" w:color="auto" w:sz="4" w:space="0"/>
              <w:right w:val="single" w:color="auto" w:sz="4" w:space="0"/>
            </w:tcBorders>
            <w:noWrap w:val="0"/>
            <w:vAlign w:val="center"/>
          </w:tcPr>
          <w:p w14:paraId="74F11C87">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500≤Y＜1000</w:t>
            </w:r>
          </w:p>
        </w:tc>
        <w:tc>
          <w:tcPr>
            <w:tcW w:w="1142" w:type="dxa"/>
            <w:tcBorders>
              <w:top w:val="nil"/>
              <w:left w:val="nil"/>
              <w:bottom w:val="single" w:color="auto" w:sz="4" w:space="0"/>
              <w:right w:val="single" w:color="auto" w:sz="4" w:space="0"/>
            </w:tcBorders>
            <w:noWrap w:val="0"/>
            <w:vAlign w:val="center"/>
          </w:tcPr>
          <w:p w14:paraId="03BA79E3">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Y＜500</w:t>
            </w:r>
          </w:p>
        </w:tc>
      </w:tr>
      <w:tr w14:paraId="32932970">
        <w:tblPrEx>
          <w:tblCellMar>
            <w:top w:w="0" w:type="dxa"/>
            <w:left w:w="108" w:type="dxa"/>
            <w:bottom w:w="0" w:type="dxa"/>
            <w:right w:w="108" w:type="dxa"/>
          </w:tblCellMar>
        </w:tblPrEx>
        <w:trPr>
          <w:trHeight w:val="225" w:hRule="atLeast"/>
          <w:jc w:val="center"/>
        </w:trPr>
        <w:tc>
          <w:tcPr>
            <w:tcW w:w="1904" w:type="dxa"/>
            <w:vMerge w:val="restart"/>
            <w:tcBorders>
              <w:top w:val="nil"/>
              <w:left w:val="single" w:color="auto" w:sz="4" w:space="0"/>
              <w:bottom w:val="single" w:color="auto" w:sz="4" w:space="0"/>
              <w:right w:val="single" w:color="auto" w:sz="4" w:space="0"/>
            </w:tcBorders>
            <w:noWrap w:val="0"/>
            <w:vAlign w:val="center"/>
          </w:tcPr>
          <w:p w14:paraId="22AD7FF3">
            <w:pPr>
              <w:widowControl/>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租赁和商务服务业</w:t>
            </w:r>
          </w:p>
        </w:tc>
        <w:tc>
          <w:tcPr>
            <w:tcW w:w="1384" w:type="dxa"/>
            <w:tcBorders>
              <w:top w:val="nil"/>
              <w:left w:val="nil"/>
              <w:bottom w:val="single" w:color="auto" w:sz="4" w:space="0"/>
              <w:right w:val="single" w:color="auto" w:sz="4" w:space="0"/>
            </w:tcBorders>
            <w:noWrap w:val="0"/>
            <w:vAlign w:val="center"/>
          </w:tcPr>
          <w:p w14:paraId="1038E290">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从业人员（X）</w:t>
            </w:r>
          </w:p>
        </w:tc>
        <w:tc>
          <w:tcPr>
            <w:tcW w:w="913" w:type="dxa"/>
            <w:tcBorders>
              <w:top w:val="nil"/>
              <w:left w:val="nil"/>
              <w:bottom w:val="single" w:color="auto" w:sz="4" w:space="0"/>
              <w:right w:val="single" w:color="auto" w:sz="4" w:space="0"/>
            </w:tcBorders>
            <w:noWrap w:val="0"/>
            <w:vAlign w:val="center"/>
          </w:tcPr>
          <w:p w14:paraId="3D92C45B">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人</w:t>
            </w:r>
          </w:p>
        </w:tc>
        <w:tc>
          <w:tcPr>
            <w:tcW w:w="1966" w:type="dxa"/>
            <w:tcBorders>
              <w:top w:val="nil"/>
              <w:left w:val="nil"/>
              <w:bottom w:val="single" w:color="auto" w:sz="4" w:space="0"/>
              <w:right w:val="single" w:color="auto" w:sz="4" w:space="0"/>
            </w:tcBorders>
            <w:noWrap w:val="0"/>
            <w:vAlign w:val="center"/>
          </w:tcPr>
          <w:p w14:paraId="5A047C93">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100≤X＜300</w:t>
            </w:r>
          </w:p>
        </w:tc>
        <w:tc>
          <w:tcPr>
            <w:tcW w:w="1743" w:type="dxa"/>
            <w:tcBorders>
              <w:top w:val="nil"/>
              <w:left w:val="nil"/>
              <w:bottom w:val="single" w:color="auto" w:sz="4" w:space="0"/>
              <w:right w:val="single" w:color="auto" w:sz="4" w:space="0"/>
            </w:tcBorders>
            <w:noWrap w:val="0"/>
            <w:vAlign w:val="center"/>
          </w:tcPr>
          <w:p w14:paraId="0095BCB9">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10≤X＜100</w:t>
            </w:r>
          </w:p>
        </w:tc>
        <w:tc>
          <w:tcPr>
            <w:tcW w:w="1142" w:type="dxa"/>
            <w:tcBorders>
              <w:top w:val="nil"/>
              <w:left w:val="nil"/>
              <w:bottom w:val="single" w:color="auto" w:sz="4" w:space="0"/>
              <w:right w:val="single" w:color="auto" w:sz="4" w:space="0"/>
            </w:tcBorders>
            <w:noWrap w:val="0"/>
            <w:vAlign w:val="center"/>
          </w:tcPr>
          <w:p w14:paraId="64EF8EA2">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X＜10</w:t>
            </w:r>
          </w:p>
        </w:tc>
      </w:tr>
      <w:tr w14:paraId="654F2F3C">
        <w:tblPrEx>
          <w:tblCellMar>
            <w:top w:w="0" w:type="dxa"/>
            <w:left w:w="108" w:type="dxa"/>
            <w:bottom w:w="0" w:type="dxa"/>
            <w:right w:w="108" w:type="dxa"/>
          </w:tblCellMar>
        </w:tblPrEx>
        <w:trPr>
          <w:trHeight w:val="225" w:hRule="atLeast"/>
          <w:jc w:val="center"/>
        </w:trPr>
        <w:tc>
          <w:tcPr>
            <w:tcW w:w="1904" w:type="dxa"/>
            <w:vMerge w:val="continue"/>
            <w:tcBorders>
              <w:top w:val="nil"/>
              <w:left w:val="single" w:color="auto" w:sz="4" w:space="0"/>
              <w:bottom w:val="single" w:color="auto" w:sz="4" w:space="0"/>
              <w:right w:val="single" w:color="auto" w:sz="4" w:space="0"/>
            </w:tcBorders>
            <w:noWrap w:val="0"/>
            <w:vAlign w:val="center"/>
          </w:tcPr>
          <w:p w14:paraId="152C3BD0">
            <w:pPr>
              <w:widowControl/>
              <w:jc w:val="left"/>
              <w:rPr>
                <w:rFonts w:hint="eastAsia" w:ascii="宋体" w:hAnsi="宋体" w:eastAsia="宋体" w:cs="宋体"/>
                <w:b/>
                <w:bCs/>
                <w:color w:val="auto"/>
                <w:kern w:val="0"/>
                <w:szCs w:val="21"/>
                <w:highlight w:val="none"/>
              </w:rPr>
            </w:pPr>
          </w:p>
        </w:tc>
        <w:tc>
          <w:tcPr>
            <w:tcW w:w="1384" w:type="dxa"/>
            <w:tcBorders>
              <w:top w:val="nil"/>
              <w:left w:val="nil"/>
              <w:bottom w:val="single" w:color="auto" w:sz="4" w:space="0"/>
              <w:right w:val="single" w:color="auto" w:sz="4" w:space="0"/>
            </w:tcBorders>
            <w:noWrap w:val="0"/>
            <w:vAlign w:val="center"/>
          </w:tcPr>
          <w:p w14:paraId="18BF275E">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资产总额（Z）</w:t>
            </w:r>
          </w:p>
        </w:tc>
        <w:tc>
          <w:tcPr>
            <w:tcW w:w="913" w:type="dxa"/>
            <w:tcBorders>
              <w:top w:val="nil"/>
              <w:left w:val="nil"/>
              <w:bottom w:val="single" w:color="auto" w:sz="4" w:space="0"/>
              <w:right w:val="single" w:color="auto" w:sz="4" w:space="0"/>
            </w:tcBorders>
            <w:noWrap w:val="0"/>
            <w:vAlign w:val="center"/>
          </w:tcPr>
          <w:p w14:paraId="7E93F69A">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万元</w:t>
            </w:r>
          </w:p>
        </w:tc>
        <w:tc>
          <w:tcPr>
            <w:tcW w:w="1966" w:type="dxa"/>
            <w:tcBorders>
              <w:top w:val="nil"/>
              <w:left w:val="nil"/>
              <w:bottom w:val="single" w:color="auto" w:sz="4" w:space="0"/>
              <w:right w:val="single" w:color="auto" w:sz="4" w:space="0"/>
            </w:tcBorders>
            <w:noWrap w:val="0"/>
            <w:vAlign w:val="center"/>
          </w:tcPr>
          <w:p w14:paraId="0FE82532">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8000≤Z＜120000</w:t>
            </w:r>
          </w:p>
        </w:tc>
        <w:tc>
          <w:tcPr>
            <w:tcW w:w="1743" w:type="dxa"/>
            <w:tcBorders>
              <w:top w:val="nil"/>
              <w:left w:val="nil"/>
              <w:bottom w:val="single" w:color="auto" w:sz="4" w:space="0"/>
              <w:right w:val="single" w:color="auto" w:sz="4" w:space="0"/>
            </w:tcBorders>
            <w:noWrap w:val="0"/>
            <w:vAlign w:val="center"/>
          </w:tcPr>
          <w:p w14:paraId="78B31C13">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100≤Z＜8000</w:t>
            </w:r>
          </w:p>
        </w:tc>
        <w:tc>
          <w:tcPr>
            <w:tcW w:w="1142" w:type="dxa"/>
            <w:tcBorders>
              <w:top w:val="nil"/>
              <w:left w:val="nil"/>
              <w:bottom w:val="single" w:color="auto" w:sz="4" w:space="0"/>
              <w:right w:val="single" w:color="auto" w:sz="4" w:space="0"/>
            </w:tcBorders>
            <w:noWrap w:val="0"/>
            <w:vAlign w:val="center"/>
          </w:tcPr>
          <w:p w14:paraId="1672CE57">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Y＜100</w:t>
            </w:r>
          </w:p>
        </w:tc>
      </w:tr>
      <w:tr w14:paraId="507CA873">
        <w:tblPrEx>
          <w:tblCellMar>
            <w:top w:w="0" w:type="dxa"/>
            <w:left w:w="108" w:type="dxa"/>
            <w:bottom w:w="0" w:type="dxa"/>
            <w:right w:w="108" w:type="dxa"/>
          </w:tblCellMar>
        </w:tblPrEx>
        <w:trPr>
          <w:trHeight w:val="225" w:hRule="atLeast"/>
          <w:jc w:val="center"/>
        </w:trPr>
        <w:tc>
          <w:tcPr>
            <w:tcW w:w="1904" w:type="dxa"/>
            <w:tcBorders>
              <w:top w:val="nil"/>
              <w:left w:val="single" w:color="auto" w:sz="4" w:space="0"/>
              <w:bottom w:val="single" w:color="auto" w:sz="4" w:space="0"/>
              <w:right w:val="single" w:color="auto" w:sz="4" w:space="0"/>
            </w:tcBorders>
            <w:noWrap w:val="0"/>
            <w:vAlign w:val="center"/>
          </w:tcPr>
          <w:p w14:paraId="4D277447">
            <w:pPr>
              <w:widowControl/>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其他未列明行业</w:t>
            </w:r>
          </w:p>
        </w:tc>
        <w:tc>
          <w:tcPr>
            <w:tcW w:w="1384" w:type="dxa"/>
            <w:tcBorders>
              <w:top w:val="nil"/>
              <w:left w:val="nil"/>
              <w:bottom w:val="single" w:color="auto" w:sz="4" w:space="0"/>
              <w:right w:val="single" w:color="auto" w:sz="4" w:space="0"/>
            </w:tcBorders>
            <w:noWrap w:val="0"/>
            <w:vAlign w:val="center"/>
          </w:tcPr>
          <w:p w14:paraId="28893E2A">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从业人员（X）</w:t>
            </w:r>
          </w:p>
        </w:tc>
        <w:tc>
          <w:tcPr>
            <w:tcW w:w="913" w:type="dxa"/>
            <w:tcBorders>
              <w:top w:val="nil"/>
              <w:left w:val="nil"/>
              <w:bottom w:val="single" w:color="auto" w:sz="4" w:space="0"/>
              <w:right w:val="single" w:color="auto" w:sz="4" w:space="0"/>
            </w:tcBorders>
            <w:noWrap w:val="0"/>
            <w:vAlign w:val="center"/>
          </w:tcPr>
          <w:p w14:paraId="5BDB36C3">
            <w:pPr>
              <w:widowControl/>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人</w:t>
            </w:r>
          </w:p>
        </w:tc>
        <w:tc>
          <w:tcPr>
            <w:tcW w:w="1966" w:type="dxa"/>
            <w:tcBorders>
              <w:top w:val="nil"/>
              <w:left w:val="nil"/>
              <w:bottom w:val="single" w:color="auto" w:sz="4" w:space="0"/>
              <w:right w:val="single" w:color="auto" w:sz="4" w:space="0"/>
            </w:tcBorders>
            <w:noWrap w:val="0"/>
            <w:vAlign w:val="center"/>
          </w:tcPr>
          <w:p w14:paraId="6E4431E1">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100≤X＜300</w:t>
            </w:r>
          </w:p>
        </w:tc>
        <w:tc>
          <w:tcPr>
            <w:tcW w:w="1743" w:type="dxa"/>
            <w:tcBorders>
              <w:top w:val="nil"/>
              <w:left w:val="nil"/>
              <w:bottom w:val="single" w:color="auto" w:sz="4" w:space="0"/>
              <w:right w:val="single" w:color="auto" w:sz="4" w:space="0"/>
            </w:tcBorders>
            <w:noWrap w:val="0"/>
            <w:vAlign w:val="center"/>
          </w:tcPr>
          <w:p w14:paraId="32AD370B">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10≤X＜100</w:t>
            </w:r>
          </w:p>
        </w:tc>
        <w:tc>
          <w:tcPr>
            <w:tcW w:w="1142" w:type="dxa"/>
            <w:tcBorders>
              <w:top w:val="nil"/>
              <w:left w:val="nil"/>
              <w:bottom w:val="single" w:color="auto" w:sz="4" w:space="0"/>
              <w:right w:val="single" w:color="auto" w:sz="4" w:space="0"/>
            </w:tcBorders>
            <w:noWrap w:val="0"/>
            <w:vAlign w:val="center"/>
          </w:tcPr>
          <w:p w14:paraId="7947F8B3">
            <w:pPr>
              <w:widowControl/>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X＜10</w:t>
            </w:r>
          </w:p>
        </w:tc>
      </w:tr>
    </w:tbl>
    <w:p w14:paraId="00C2E89C">
      <w:pPr>
        <w:spacing w:line="360" w:lineRule="auto"/>
        <w:ind w:firstLine="525" w:firstLineChars="250"/>
        <w:rPr>
          <w:rFonts w:hint="eastAsia" w:ascii="宋体" w:hAnsi="宋体" w:eastAsia="宋体" w:cs="宋体"/>
          <w:color w:val="auto"/>
          <w:szCs w:val="21"/>
          <w:highlight w:val="none"/>
        </w:rPr>
      </w:pPr>
      <w:r>
        <w:rPr>
          <w:rFonts w:hint="eastAsia" w:ascii="宋体" w:hAnsi="宋体" w:eastAsia="宋体" w:cs="宋体"/>
          <w:color w:val="auto"/>
          <w:szCs w:val="21"/>
          <w:highlight w:val="none"/>
        </w:rPr>
        <w:t>说明：上述标准参照《关于印发中小企业划型标准规定的通知》（工信部联企业[2011]300号），大型、中型和小型企业须同时满足所列指标的下限，否则下划一档；微型企业只须满足所列指标中的一项即可。</w:t>
      </w:r>
    </w:p>
    <w:p w14:paraId="1536CBA0">
      <w:pPr>
        <w:spacing w:line="560" w:lineRule="exact"/>
        <w:ind w:firstLine="500" w:firstLineChars="250"/>
        <w:rPr>
          <w:rFonts w:hint="eastAsia" w:ascii="宋体" w:hAnsi="宋体" w:eastAsia="宋体" w:cs="宋体"/>
          <w:color w:val="auto"/>
          <w:kern w:val="0"/>
          <w:sz w:val="20"/>
          <w:szCs w:val="21"/>
          <w:highlight w:val="none"/>
        </w:rPr>
        <w:sectPr>
          <w:footerReference r:id="rId10" w:type="default"/>
          <w:pgSz w:w="11906" w:h="16838"/>
          <w:pgMar w:top="1134" w:right="1312" w:bottom="1424" w:left="1554" w:header="720" w:footer="720" w:gutter="0"/>
          <w:pgBorders>
            <w:top w:val="none" w:sz="0" w:space="0"/>
            <w:left w:val="none" w:sz="0" w:space="0"/>
            <w:bottom w:val="none" w:sz="0" w:space="0"/>
            <w:right w:val="none" w:sz="0" w:space="0"/>
          </w:pgBorders>
          <w:pgNumType w:fmt="decimal"/>
          <w:cols w:space="720" w:num="1"/>
          <w:docGrid w:type="lines" w:linePitch="331" w:charSpace="0"/>
        </w:sectPr>
      </w:pPr>
    </w:p>
    <w:p w14:paraId="3F4BC0B6">
      <w:pPr>
        <w:pStyle w:val="2"/>
        <w:jc w:val="center"/>
        <w:rPr>
          <w:rFonts w:hint="eastAsia"/>
          <w:color w:val="auto"/>
          <w:highlight w:val="none"/>
        </w:rPr>
      </w:pPr>
      <w:bookmarkStart w:id="10" w:name="_Toc170496362"/>
      <w:r>
        <w:rPr>
          <w:rFonts w:hint="eastAsia"/>
          <w:color w:val="auto"/>
          <w:highlight w:val="none"/>
        </w:rPr>
        <w:t>第三章 供应商须知</w:t>
      </w:r>
      <w:bookmarkEnd w:id="10"/>
    </w:p>
    <w:p w14:paraId="4DF0C011">
      <w:pPr>
        <w:spacing w:line="400" w:lineRule="exact"/>
        <w:jc w:val="center"/>
        <w:rPr>
          <w:rFonts w:hint="eastAsia" w:ascii="宋体" w:hAnsi="宋体"/>
          <w:b/>
          <w:color w:val="auto"/>
          <w:sz w:val="32"/>
          <w:szCs w:val="32"/>
          <w:highlight w:val="none"/>
        </w:rPr>
      </w:pPr>
      <w:r>
        <w:rPr>
          <w:rFonts w:hint="eastAsia" w:ascii="宋体" w:hAnsi="宋体"/>
          <w:b/>
          <w:color w:val="auto"/>
          <w:sz w:val="32"/>
          <w:szCs w:val="32"/>
          <w:highlight w:val="none"/>
        </w:rPr>
        <w:t>供应商须知前附表</w:t>
      </w:r>
    </w:p>
    <w:tbl>
      <w:tblPr>
        <w:tblStyle w:val="33"/>
        <w:tblW w:w="899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92"/>
        <w:gridCol w:w="8004"/>
      </w:tblGrid>
      <w:tr w14:paraId="1FBBAA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top"/>
          </w:tcPr>
          <w:p w14:paraId="34501A67">
            <w:pPr>
              <w:spacing w:line="360" w:lineRule="auto"/>
              <w:jc w:val="center"/>
              <w:rPr>
                <w:rFonts w:hint="eastAsia" w:ascii="宋体" w:hAnsi="宋体" w:cs="宋体"/>
                <w:b/>
                <w:color w:val="auto"/>
                <w:szCs w:val="21"/>
                <w:highlight w:val="none"/>
              </w:rPr>
            </w:pPr>
            <w:r>
              <w:rPr>
                <w:rFonts w:hint="eastAsia" w:ascii="宋体" w:hAnsi="宋体" w:cs="宋体"/>
                <w:b/>
                <w:color w:val="auto"/>
                <w:szCs w:val="21"/>
                <w:highlight w:val="none"/>
              </w:rPr>
              <w:t>条款号</w:t>
            </w:r>
          </w:p>
        </w:tc>
        <w:tc>
          <w:tcPr>
            <w:tcW w:w="8004" w:type="dxa"/>
            <w:noWrap w:val="0"/>
            <w:vAlign w:val="top"/>
          </w:tcPr>
          <w:p w14:paraId="6ADCA072">
            <w:pPr>
              <w:spacing w:line="360" w:lineRule="auto"/>
              <w:jc w:val="center"/>
              <w:rPr>
                <w:rFonts w:hint="eastAsia" w:ascii="宋体" w:hAnsi="宋体" w:cs="宋体"/>
                <w:b/>
                <w:color w:val="auto"/>
                <w:szCs w:val="21"/>
                <w:highlight w:val="none"/>
              </w:rPr>
            </w:pPr>
            <w:r>
              <w:rPr>
                <w:rFonts w:hint="eastAsia" w:ascii="宋体" w:hAnsi="宋体" w:cs="宋体"/>
                <w:b/>
                <w:color w:val="auto"/>
                <w:szCs w:val="21"/>
                <w:highlight w:val="none"/>
              </w:rPr>
              <w:t>内    容</w:t>
            </w:r>
          </w:p>
        </w:tc>
      </w:tr>
      <w:tr w14:paraId="5D73FE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1D47EFFE">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3</w:t>
            </w:r>
          </w:p>
        </w:tc>
        <w:tc>
          <w:tcPr>
            <w:tcW w:w="8004" w:type="dxa"/>
            <w:noWrap w:val="0"/>
            <w:vAlign w:val="center"/>
          </w:tcPr>
          <w:p w14:paraId="15C4BA63">
            <w:pPr>
              <w:spacing w:line="360" w:lineRule="auto"/>
              <w:rPr>
                <w:rFonts w:hint="eastAsia" w:ascii="宋体" w:hAnsi="宋体" w:cs="宋体"/>
                <w:color w:val="auto"/>
                <w:szCs w:val="21"/>
                <w:highlight w:val="none"/>
              </w:rPr>
            </w:pPr>
            <w:r>
              <w:rPr>
                <w:rFonts w:hint="eastAsia" w:ascii="宋体" w:hAnsi="宋体" w:cs="宋体"/>
                <w:bCs/>
                <w:color w:val="auto"/>
                <w:szCs w:val="21"/>
                <w:highlight w:val="none"/>
              </w:rPr>
              <w:t>供应商的资格条件</w:t>
            </w:r>
            <w:r>
              <w:rPr>
                <w:rFonts w:hint="eastAsia" w:ascii="宋体" w:hAnsi="宋体" w:cs="宋体"/>
                <w:color w:val="auto"/>
                <w:szCs w:val="21"/>
                <w:highlight w:val="none"/>
              </w:rPr>
              <w:t>：详见竞争性磋商公告</w:t>
            </w:r>
          </w:p>
        </w:tc>
      </w:tr>
      <w:tr w14:paraId="077C74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780679C1">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5.1</w:t>
            </w:r>
          </w:p>
        </w:tc>
        <w:tc>
          <w:tcPr>
            <w:tcW w:w="8004" w:type="dxa"/>
            <w:noWrap w:val="0"/>
            <w:vAlign w:val="center"/>
          </w:tcPr>
          <w:p w14:paraId="14DC0CF8">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是否接受联合体竞标：详见竞争性磋商公告</w:t>
            </w:r>
          </w:p>
        </w:tc>
      </w:tr>
      <w:tr w14:paraId="1B2369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2CE11DC9">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5</w:t>
            </w:r>
            <w:r>
              <w:rPr>
                <w:rFonts w:ascii="宋体" w:hAnsi="宋体" w:cs="宋体"/>
                <w:color w:val="auto"/>
                <w:szCs w:val="21"/>
                <w:highlight w:val="none"/>
              </w:rPr>
              <w:t>.2</w:t>
            </w:r>
          </w:p>
        </w:tc>
        <w:tc>
          <w:tcPr>
            <w:tcW w:w="8004" w:type="dxa"/>
            <w:noWrap w:val="0"/>
            <w:vAlign w:val="center"/>
          </w:tcPr>
          <w:p w14:paraId="6E44459B">
            <w:pPr>
              <w:spacing w:line="360" w:lineRule="auto"/>
              <w:rPr>
                <w:rFonts w:hint="eastAsia" w:ascii="宋体" w:hAnsi="宋体" w:eastAsia="宋体"/>
                <w:color w:val="auto"/>
                <w:szCs w:val="21"/>
                <w:highlight w:val="none"/>
                <w:lang w:eastAsia="zh-CN"/>
              </w:rPr>
            </w:pPr>
            <w:r>
              <w:rPr>
                <w:rFonts w:hint="eastAsia" w:ascii="宋体" w:hAnsi="宋体"/>
                <w:color w:val="auto"/>
                <w:szCs w:val="21"/>
                <w:highlight w:val="none"/>
              </w:rPr>
              <w:t>如接受联合体竞标，联合体竞标要求如下：无。</w:t>
            </w:r>
          </w:p>
        </w:tc>
      </w:tr>
      <w:tr w14:paraId="0D6167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60B13057">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6.2</w:t>
            </w:r>
          </w:p>
        </w:tc>
        <w:tc>
          <w:tcPr>
            <w:tcW w:w="8004" w:type="dxa"/>
            <w:noWrap w:val="0"/>
            <w:vAlign w:val="center"/>
          </w:tcPr>
          <w:p w14:paraId="695E075F">
            <w:pPr>
              <w:pStyle w:val="14"/>
              <w:spacing w:line="360" w:lineRule="auto"/>
              <w:rPr>
                <w:rFonts w:hint="eastAsia" w:ascii="宋体" w:hAnsi="宋体" w:eastAsia="宋体" w:cs="Times New Roman"/>
                <w:color w:val="auto"/>
                <w:kern w:val="2"/>
                <w:sz w:val="21"/>
                <w:szCs w:val="21"/>
                <w:highlight w:val="none"/>
                <w:lang w:val="en-US" w:eastAsia="zh-CN" w:bidi="ar"/>
              </w:rPr>
            </w:pPr>
            <w:r>
              <w:rPr>
                <w:rFonts w:hint="eastAsia" w:ascii="宋体" w:hAnsi="宋体" w:eastAsia="宋体" w:cs="Times New Roman"/>
                <w:color w:val="auto"/>
                <w:kern w:val="2"/>
                <w:sz w:val="21"/>
                <w:szCs w:val="21"/>
                <w:highlight w:val="none"/>
                <w:lang w:val="en-US" w:eastAsia="zh-CN" w:bidi="ar"/>
              </w:rPr>
              <w:t>1.本项目不允许转包。</w:t>
            </w:r>
          </w:p>
          <w:p w14:paraId="6396842A">
            <w:pPr>
              <w:pStyle w:val="14"/>
              <w:numPr>
                <w:ilvl w:val="-1"/>
                <w:numId w:val="0"/>
              </w:numPr>
              <w:spacing w:line="360" w:lineRule="auto"/>
              <w:rPr>
                <w:rFonts w:hint="eastAsia" w:ascii="宋体" w:hAnsi="宋体" w:eastAsia="宋体" w:cs="Times New Roman"/>
                <w:color w:val="auto"/>
                <w:kern w:val="2"/>
                <w:sz w:val="21"/>
                <w:szCs w:val="21"/>
                <w:highlight w:val="none"/>
                <w:lang w:val="en-US" w:eastAsia="zh-CN" w:bidi="ar"/>
              </w:rPr>
            </w:pPr>
            <w:r>
              <w:rPr>
                <w:rFonts w:hint="eastAsia" w:ascii="宋体" w:hAnsi="宋体" w:cs="Times New Roman"/>
                <w:color w:val="auto"/>
                <w:kern w:val="2"/>
                <w:sz w:val="21"/>
                <w:szCs w:val="21"/>
                <w:highlight w:val="none"/>
                <w:lang w:val="en-US" w:eastAsia="zh-CN" w:bidi="ar"/>
              </w:rPr>
              <w:t>2.</w:t>
            </w:r>
            <w:r>
              <w:rPr>
                <w:rFonts w:hint="eastAsia" w:ascii="宋体" w:hAnsi="宋体" w:eastAsia="宋体" w:cs="Times New Roman"/>
                <w:color w:val="auto"/>
                <w:kern w:val="2"/>
                <w:sz w:val="21"/>
                <w:szCs w:val="21"/>
                <w:highlight w:val="none"/>
                <w:lang w:val="en-US" w:eastAsia="zh-CN" w:bidi="ar"/>
              </w:rPr>
              <w:t>本项目</w:t>
            </w:r>
            <w:r>
              <w:rPr>
                <w:rFonts w:hint="eastAsia" w:ascii="宋体" w:hAnsi="宋体" w:cs="Times New Roman"/>
                <w:color w:val="auto"/>
                <w:kern w:val="2"/>
                <w:sz w:val="21"/>
                <w:szCs w:val="21"/>
                <w:highlight w:val="none"/>
                <w:lang w:val="en-US" w:eastAsia="zh-CN" w:bidi="ar"/>
              </w:rPr>
              <w:t>不</w:t>
            </w:r>
            <w:r>
              <w:rPr>
                <w:rFonts w:hint="eastAsia" w:ascii="宋体" w:hAnsi="宋体" w:eastAsia="宋体" w:cs="Times New Roman"/>
                <w:color w:val="auto"/>
                <w:kern w:val="2"/>
                <w:sz w:val="21"/>
                <w:szCs w:val="21"/>
                <w:highlight w:val="none"/>
                <w:lang w:val="en-US" w:eastAsia="zh-CN" w:bidi="ar"/>
              </w:rPr>
              <w:t>允许分包。</w:t>
            </w:r>
          </w:p>
        </w:tc>
      </w:tr>
      <w:tr w14:paraId="1D423F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25087FD9">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12.1.</w:t>
            </w:r>
            <w:r>
              <w:rPr>
                <w:rFonts w:ascii="宋体" w:hAnsi="宋体" w:cs="宋体"/>
                <w:color w:val="auto"/>
                <w:szCs w:val="21"/>
                <w:highlight w:val="none"/>
              </w:rPr>
              <w:t>1</w:t>
            </w:r>
          </w:p>
        </w:tc>
        <w:tc>
          <w:tcPr>
            <w:tcW w:w="8004" w:type="dxa"/>
            <w:noWrap w:val="0"/>
            <w:vAlign w:val="center"/>
          </w:tcPr>
          <w:p w14:paraId="40232536">
            <w:pPr>
              <w:snapToGrid w:val="0"/>
              <w:spacing w:line="360" w:lineRule="auto"/>
              <w:jc w:val="left"/>
              <w:rPr>
                <w:rFonts w:hint="eastAsia" w:ascii="宋体" w:hAnsi="宋体" w:cs="宋体"/>
                <w:b/>
                <w:color w:val="auto"/>
                <w:szCs w:val="21"/>
                <w:highlight w:val="none"/>
              </w:rPr>
            </w:pPr>
            <w:r>
              <w:rPr>
                <w:rFonts w:hint="eastAsia" w:ascii="宋体" w:hAnsi="宋体" w:cs="宋体"/>
                <w:b/>
                <w:color w:val="auto"/>
                <w:szCs w:val="21"/>
                <w:highlight w:val="none"/>
              </w:rPr>
              <w:t>资格证明文件</w:t>
            </w:r>
          </w:p>
          <w:p w14:paraId="02F639E6">
            <w:pPr>
              <w:snapToGrid w:val="0"/>
              <w:spacing w:line="360" w:lineRule="auto"/>
              <w:ind w:firstLine="420" w:firstLineChars="200"/>
              <w:jc w:val="left"/>
              <w:rPr>
                <w:rFonts w:ascii="宋体" w:hAnsi="宋体"/>
                <w:color w:val="000000"/>
                <w:szCs w:val="21"/>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w:t>
            </w:r>
            <w:r>
              <w:rPr>
                <w:rFonts w:hint="eastAsia" w:ascii="宋体" w:hAnsi="宋体"/>
                <w:color w:val="000000"/>
                <w:szCs w:val="21"/>
              </w:rPr>
              <w:t>供应商为法人或者其他组织的提供其营业执照等证明文件（如营业执照或者事业单位法人证书或者执业许可证等），供应商为自然人的提供其身份证复印件；（</w:t>
            </w:r>
            <w:r>
              <w:rPr>
                <w:rFonts w:hint="eastAsia" w:ascii="宋体" w:hAnsi="宋体"/>
                <w:b/>
                <w:color w:val="000000"/>
                <w:szCs w:val="21"/>
              </w:rPr>
              <w:t>必须提供，否则响应文件按无效响应处理</w:t>
            </w:r>
            <w:r>
              <w:rPr>
                <w:rFonts w:hint="eastAsia" w:ascii="宋体" w:hAnsi="宋体"/>
                <w:color w:val="000000"/>
                <w:szCs w:val="21"/>
              </w:rPr>
              <w:t>）</w:t>
            </w:r>
          </w:p>
          <w:p w14:paraId="28AA245A">
            <w:pPr>
              <w:snapToGrid w:val="0"/>
              <w:spacing w:line="360" w:lineRule="auto"/>
              <w:ind w:firstLine="420" w:firstLineChars="200"/>
              <w:jc w:val="left"/>
              <w:rPr>
                <w:rFonts w:ascii="宋体" w:hAnsi="宋体"/>
                <w:color w:val="000000"/>
                <w:szCs w:val="21"/>
              </w:rPr>
            </w:pPr>
            <w:r>
              <w:rPr>
                <w:rFonts w:hint="eastAsia" w:ascii="宋体" w:hAnsi="宋体"/>
                <w:color w:val="000000"/>
                <w:szCs w:val="21"/>
              </w:rPr>
              <w:t>2.供应商提供近半年内任意1个月依法缴纳税收的相关材料复印件；依法免税的供应商，必须提供相应文件证明其依法免税。从取得营业执照时间起到磋商文件提交截止时间为止不足要求月数的，只需提供从取得营业执照起的依法缴纳税收相应证明文件）；（</w:t>
            </w:r>
            <w:r>
              <w:rPr>
                <w:rFonts w:hint="eastAsia" w:ascii="宋体" w:hAnsi="宋体"/>
                <w:b/>
                <w:color w:val="000000"/>
                <w:szCs w:val="21"/>
              </w:rPr>
              <w:t>必须提供，否则作无效竞标处理</w:t>
            </w:r>
            <w:r>
              <w:rPr>
                <w:rFonts w:hint="eastAsia" w:ascii="宋体" w:hAnsi="宋体"/>
                <w:color w:val="000000"/>
                <w:szCs w:val="21"/>
              </w:rPr>
              <w:t>）</w:t>
            </w:r>
          </w:p>
          <w:p w14:paraId="095BFE32">
            <w:pPr>
              <w:snapToGrid w:val="0"/>
              <w:spacing w:line="360" w:lineRule="auto"/>
              <w:ind w:firstLine="420" w:firstLineChars="200"/>
              <w:jc w:val="left"/>
              <w:rPr>
                <w:rFonts w:ascii="宋体" w:hAnsi="宋体"/>
                <w:color w:val="000000"/>
                <w:szCs w:val="21"/>
              </w:rPr>
            </w:pPr>
            <w:r>
              <w:rPr>
                <w:rFonts w:hint="eastAsia" w:ascii="宋体" w:hAnsi="宋体"/>
                <w:color w:val="000000"/>
                <w:szCs w:val="21"/>
              </w:rPr>
              <w:t>3.供应商提供近半年内任意1个月依法缴纳社会保障资金的相关材料复印件；依法不需要缴纳社会保障资金的供应商，必须提供相应文件证明不需要缴纳社会保障资金。从取得营业执照时间起到响应文件提交截止时间为止不足要求月数的只需提供从取得营业执照起的依法缴纳社会保障资金的相应证明文件；（</w:t>
            </w:r>
            <w:r>
              <w:rPr>
                <w:rFonts w:hint="eastAsia" w:ascii="宋体" w:hAnsi="宋体"/>
                <w:b/>
                <w:color w:val="000000"/>
                <w:szCs w:val="21"/>
              </w:rPr>
              <w:t>必须提供，否则作无效竞标处理</w:t>
            </w:r>
            <w:r>
              <w:rPr>
                <w:rFonts w:hint="eastAsia" w:ascii="宋体" w:hAnsi="宋体"/>
                <w:color w:val="000000"/>
                <w:szCs w:val="21"/>
              </w:rPr>
              <w:t>）</w:t>
            </w:r>
          </w:p>
          <w:p w14:paraId="71B71E56">
            <w:pPr>
              <w:snapToGrid w:val="0"/>
              <w:spacing w:line="360" w:lineRule="auto"/>
              <w:ind w:firstLine="420" w:firstLineChars="200"/>
              <w:jc w:val="left"/>
              <w:rPr>
                <w:rFonts w:ascii="宋体" w:hAnsi="宋体"/>
                <w:color w:val="000000"/>
                <w:szCs w:val="21"/>
              </w:rPr>
            </w:pPr>
            <w:r>
              <w:rPr>
                <w:rFonts w:hint="eastAsia" w:ascii="宋体" w:hAnsi="宋体"/>
                <w:color w:val="000000"/>
                <w:szCs w:val="21"/>
              </w:rPr>
              <w:t>4.供应商财务报表复印件： 供应商财务报表复印件：①如提供经第三方会计师事务所审计的，必须是202</w:t>
            </w:r>
            <w:r>
              <w:rPr>
                <w:rFonts w:hint="eastAsia" w:ascii="宋体" w:hAnsi="宋体"/>
                <w:color w:val="000000"/>
                <w:szCs w:val="21"/>
                <w:lang w:val="en-US" w:eastAsia="zh-CN"/>
              </w:rPr>
              <w:t>5</w:t>
            </w:r>
            <w:r>
              <w:rPr>
                <w:rFonts w:hint="eastAsia" w:ascii="宋体" w:hAnsi="宋体"/>
                <w:color w:val="000000"/>
                <w:szCs w:val="21"/>
              </w:rPr>
              <w:t>年财务报告（财务报告至少包括三表及其附注）；②如提供供应商自行出具的202</w:t>
            </w:r>
            <w:r>
              <w:rPr>
                <w:rFonts w:hint="eastAsia" w:ascii="宋体" w:hAnsi="宋体"/>
                <w:color w:val="000000"/>
                <w:szCs w:val="21"/>
                <w:lang w:val="en-US" w:eastAsia="zh-CN"/>
              </w:rPr>
              <w:t>5</w:t>
            </w:r>
            <w:r>
              <w:rPr>
                <w:rFonts w:hint="eastAsia" w:ascii="宋体" w:hAnsi="宋体"/>
                <w:color w:val="000000"/>
                <w:szCs w:val="21"/>
              </w:rPr>
              <w:t>年度财务报表，财务报表必须至少包含资产负债表、利润表、现金流量表；③新成立不足一年的供应商应提供公司成立日之后次月起至响应文件递交截止月前的财务报表，且财务报表必须至少包含资产负债表、利润表、现金流量表。以上未按要求提供材料的，磋商小组将取消其磋商资格】，或供应商其开户银行出具的资信证明复印件（说明：供应商其开户银行出具的资信证明指：反映供应商资金结算无异常，无违规透支，无理拒付、无逾期（垫款）和欠息等不良记录，结算纪律良好的相关证明，并非指存款证明。如所提供该证明仅为存款数额信息的将作无效证明处理，并按磋商无效处理）；（</w:t>
            </w:r>
            <w:r>
              <w:rPr>
                <w:rFonts w:hint="eastAsia" w:ascii="宋体" w:hAnsi="宋体"/>
                <w:b/>
                <w:color w:val="000000"/>
                <w:szCs w:val="21"/>
              </w:rPr>
              <w:t>必须提供，否则作无效竞标处理</w:t>
            </w:r>
            <w:r>
              <w:rPr>
                <w:rFonts w:hint="eastAsia" w:ascii="宋体" w:hAnsi="宋体"/>
                <w:color w:val="000000"/>
                <w:szCs w:val="21"/>
              </w:rPr>
              <w:t>）</w:t>
            </w:r>
          </w:p>
          <w:p w14:paraId="07F658F4">
            <w:pPr>
              <w:snapToGrid w:val="0"/>
              <w:spacing w:line="360" w:lineRule="auto"/>
              <w:ind w:firstLine="420" w:firstLineChars="200"/>
              <w:jc w:val="left"/>
              <w:rPr>
                <w:rFonts w:hint="eastAsia" w:ascii="宋体" w:hAnsi="宋体"/>
                <w:color w:val="000000"/>
                <w:szCs w:val="21"/>
              </w:rPr>
            </w:pPr>
            <w:r>
              <w:rPr>
                <w:rFonts w:hint="eastAsia" w:ascii="宋体" w:hAnsi="宋体"/>
                <w:color w:val="000000"/>
                <w:szCs w:val="21"/>
              </w:rPr>
              <w:t>5.供应商直接控股、管理关系信息表；（</w:t>
            </w:r>
            <w:r>
              <w:rPr>
                <w:rFonts w:hint="eastAsia" w:ascii="宋体" w:hAnsi="宋体"/>
                <w:b/>
                <w:color w:val="000000"/>
                <w:szCs w:val="21"/>
              </w:rPr>
              <w:t>必须提供，否则响应文件按无效响应处理</w:t>
            </w:r>
            <w:r>
              <w:rPr>
                <w:rFonts w:hint="eastAsia" w:ascii="宋体" w:hAnsi="宋体"/>
                <w:color w:val="000000"/>
                <w:szCs w:val="21"/>
              </w:rPr>
              <w:t>）</w:t>
            </w:r>
          </w:p>
          <w:p w14:paraId="57C747F4">
            <w:pPr>
              <w:snapToGrid w:val="0"/>
              <w:spacing w:line="360" w:lineRule="auto"/>
              <w:ind w:firstLine="420" w:firstLineChars="200"/>
              <w:jc w:val="left"/>
              <w:rPr>
                <w:rFonts w:hint="eastAsia" w:ascii="宋体" w:hAnsi="宋体"/>
                <w:color w:val="000000"/>
                <w:szCs w:val="21"/>
              </w:rPr>
            </w:pPr>
            <w:r>
              <w:rPr>
                <w:rFonts w:hint="eastAsia" w:ascii="宋体" w:hAnsi="宋体"/>
                <w:color w:val="000000"/>
                <w:szCs w:val="21"/>
              </w:rPr>
              <w:t>6.资格声明函；（</w:t>
            </w:r>
            <w:r>
              <w:rPr>
                <w:rFonts w:hint="eastAsia" w:ascii="宋体" w:hAnsi="宋体"/>
                <w:b/>
                <w:color w:val="000000"/>
                <w:szCs w:val="21"/>
              </w:rPr>
              <w:t>必须提供，否则响应文件按无效响应处理</w:t>
            </w:r>
            <w:r>
              <w:rPr>
                <w:rFonts w:hint="eastAsia" w:ascii="宋体" w:hAnsi="宋体"/>
                <w:color w:val="000000"/>
                <w:szCs w:val="21"/>
              </w:rPr>
              <w:t>）</w:t>
            </w:r>
          </w:p>
          <w:p w14:paraId="7E64BB22">
            <w:pPr>
              <w:snapToGrid w:val="0"/>
              <w:spacing w:line="360" w:lineRule="auto"/>
              <w:ind w:firstLine="420" w:firstLineChars="200"/>
              <w:jc w:val="left"/>
              <w:rPr>
                <w:rFonts w:hint="eastAsia" w:ascii="宋体" w:hAnsi="宋体"/>
                <w:color w:val="000000"/>
                <w:szCs w:val="21"/>
                <w:highlight w:val="none"/>
              </w:rPr>
            </w:pPr>
            <w:r>
              <w:rPr>
                <w:rFonts w:hint="eastAsia" w:ascii="宋体" w:hAnsi="宋体"/>
                <w:color w:val="000000"/>
                <w:szCs w:val="21"/>
                <w:highlight w:val="none"/>
              </w:rPr>
              <w:t>7.落实政府采购政策需满足的资格要求</w:t>
            </w:r>
            <w:r>
              <w:rPr>
                <w:rFonts w:hint="eastAsia" w:ascii="宋体" w:hAnsi="宋体"/>
                <w:color w:val="000000"/>
                <w:szCs w:val="21"/>
                <w:highlight w:val="none"/>
                <w:lang w:eastAsia="zh-CN"/>
              </w:rPr>
              <w:t>：</w:t>
            </w:r>
            <w:r>
              <w:rPr>
                <w:rFonts w:hint="eastAsia" w:ascii="宋体" w:hAnsi="宋体"/>
                <w:color w:val="000000"/>
                <w:szCs w:val="21"/>
                <w:highlight w:val="none"/>
              </w:rPr>
              <w:t>中小企业声明函或者残疾人福利性单位声明函或者供应商属于监狱企业的证明材料（格式后附）；（</w:t>
            </w:r>
            <w:r>
              <w:rPr>
                <w:rFonts w:hint="eastAsia" w:ascii="宋体" w:hAnsi="宋体"/>
                <w:b/>
                <w:color w:val="000000"/>
                <w:szCs w:val="21"/>
                <w:highlight w:val="none"/>
              </w:rPr>
              <w:t>必须提供，否则响应文件按无效响应处理</w:t>
            </w:r>
            <w:r>
              <w:rPr>
                <w:rFonts w:hint="eastAsia" w:ascii="宋体" w:hAnsi="宋体"/>
                <w:color w:val="000000"/>
                <w:szCs w:val="21"/>
                <w:highlight w:val="none"/>
              </w:rPr>
              <w:t>）</w:t>
            </w:r>
          </w:p>
          <w:p w14:paraId="45636C02">
            <w:pPr>
              <w:snapToGrid w:val="0"/>
              <w:spacing w:line="360" w:lineRule="auto"/>
              <w:ind w:firstLine="420" w:firstLineChars="200"/>
              <w:jc w:val="left"/>
              <w:rPr>
                <w:rFonts w:hint="eastAsia" w:ascii="宋体" w:hAnsi="宋体"/>
                <w:color w:val="000000"/>
                <w:szCs w:val="21"/>
              </w:rPr>
            </w:pPr>
            <w:r>
              <w:rPr>
                <w:rFonts w:hint="eastAsia" w:ascii="宋体" w:hAnsi="宋体"/>
                <w:color w:val="000000"/>
                <w:szCs w:val="21"/>
              </w:rPr>
              <w:t>8.采购人或采购代理机构根据竞争性磋商公告对应的特定资格要求及特定条件设置供应商提供的资格证明材料</w:t>
            </w:r>
            <w:r>
              <w:rPr>
                <w:rFonts w:hint="eastAsia" w:ascii="宋体" w:hAnsi="宋体"/>
                <w:color w:val="000000"/>
                <w:szCs w:val="21"/>
                <w:lang w:eastAsia="zh-CN"/>
              </w:rPr>
              <w:t>：</w:t>
            </w:r>
            <w:r>
              <w:rPr>
                <w:rFonts w:hint="eastAsia" w:hAnsi="宋体" w:cs="宋体"/>
                <w:color w:val="000000"/>
                <w:kern w:val="2"/>
                <w:lang w:val="en-US" w:eastAsia="zh-CN"/>
              </w:rPr>
              <w:t>供应商为经销商时须提供有效的《食品经营许可证》。</w:t>
            </w:r>
            <w:r>
              <w:rPr>
                <w:rFonts w:hint="eastAsia" w:ascii="宋体" w:hAnsi="宋体"/>
                <w:color w:val="000000"/>
                <w:szCs w:val="21"/>
              </w:rPr>
              <w:t>；（</w:t>
            </w:r>
            <w:r>
              <w:rPr>
                <w:rFonts w:hint="eastAsia" w:ascii="宋体" w:hAnsi="宋体"/>
                <w:b/>
                <w:bCs/>
                <w:color w:val="000000"/>
                <w:szCs w:val="21"/>
              </w:rPr>
              <w:t>必</w:t>
            </w:r>
            <w:r>
              <w:rPr>
                <w:rFonts w:hint="eastAsia" w:ascii="宋体" w:hAnsi="宋体"/>
                <w:b/>
                <w:color w:val="000000"/>
                <w:szCs w:val="21"/>
              </w:rPr>
              <w:t>须提供，否则响应文件按无效响应处理</w:t>
            </w:r>
            <w:r>
              <w:rPr>
                <w:rFonts w:hint="eastAsia" w:ascii="宋体" w:hAnsi="宋体"/>
                <w:color w:val="000000"/>
                <w:szCs w:val="21"/>
              </w:rPr>
              <w:t>）</w:t>
            </w:r>
          </w:p>
          <w:p w14:paraId="3D5A3B17">
            <w:pPr>
              <w:snapToGrid w:val="0"/>
              <w:spacing w:line="360" w:lineRule="auto"/>
              <w:ind w:firstLine="420" w:firstLineChars="200"/>
              <w:jc w:val="left"/>
              <w:rPr>
                <w:rFonts w:hint="default" w:ascii="宋体" w:hAnsi="宋体" w:eastAsia="宋体"/>
                <w:color w:val="000000"/>
                <w:szCs w:val="21"/>
                <w:lang w:val="en-US" w:eastAsia="zh-CN"/>
              </w:rPr>
            </w:pPr>
            <w:r>
              <w:rPr>
                <w:rFonts w:hint="eastAsia" w:ascii="宋体" w:hAnsi="宋体"/>
                <w:color w:val="000000"/>
                <w:szCs w:val="21"/>
              </w:rPr>
              <w:t>9.</w:t>
            </w:r>
            <w:r>
              <w:rPr>
                <w:rFonts w:hint="eastAsia" w:ascii="宋体" w:hAnsi="宋体"/>
                <w:color w:val="000000"/>
                <w:szCs w:val="21"/>
                <w:lang w:val="en-US" w:eastAsia="zh-CN"/>
              </w:rPr>
              <w:t>磋商保证金缴纳证明；</w:t>
            </w:r>
            <w:r>
              <w:rPr>
                <w:rFonts w:hint="eastAsia" w:ascii="宋体" w:hAnsi="宋体"/>
                <w:color w:val="000000"/>
                <w:szCs w:val="21"/>
              </w:rPr>
              <w:t>（</w:t>
            </w:r>
            <w:r>
              <w:rPr>
                <w:rFonts w:hint="eastAsia" w:ascii="宋体" w:hAnsi="宋体"/>
                <w:b/>
                <w:bCs/>
                <w:color w:val="000000"/>
                <w:szCs w:val="21"/>
              </w:rPr>
              <w:t>必</w:t>
            </w:r>
            <w:r>
              <w:rPr>
                <w:rFonts w:hint="eastAsia" w:ascii="宋体" w:hAnsi="宋体"/>
                <w:b/>
                <w:color w:val="000000"/>
                <w:szCs w:val="21"/>
              </w:rPr>
              <w:t>须提供，否则响应文件按无效响应处理</w:t>
            </w:r>
            <w:r>
              <w:rPr>
                <w:rFonts w:hint="eastAsia" w:ascii="宋体" w:hAnsi="宋体"/>
                <w:color w:val="000000"/>
                <w:szCs w:val="21"/>
              </w:rPr>
              <w:t>）</w:t>
            </w:r>
          </w:p>
          <w:p w14:paraId="6C36F046">
            <w:pPr>
              <w:snapToGrid w:val="0"/>
              <w:spacing w:line="360" w:lineRule="auto"/>
              <w:ind w:firstLine="420" w:firstLineChars="200"/>
              <w:jc w:val="left"/>
              <w:rPr>
                <w:rFonts w:hint="eastAsia" w:ascii="宋体" w:hAnsi="宋体" w:eastAsia="宋体" w:cs="宋体"/>
                <w:b/>
                <w:color w:val="auto"/>
                <w:szCs w:val="21"/>
                <w:highlight w:val="none"/>
                <w:lang w:eastAsia="zh-CN"/>
              </w:rPr>
            </w:pPr>
            <w:r>
              <w:rPr>
                <w:rFonts w:hint="eastAsia" w:ascii="宋体" w:hAnsi="宋体"/>
                <w:color w:val="000000"/>
                <w:szCs w:val="21"/>
                <w:lang w:val="en-US" w:eastAsia="zh-CN"/>
              </w:rPr>
              <w:t>10.</w:t>
            </w:r>
            <w:r>
              <w:rPr>
                <w:rFonts w:hint="eastAsia" w:ascii="宋体" w:hAnsi="宋体"/>
                <w:color w:val="000000"/>
                <w:szCs w:val="21"/>
              </w:rPr>
              <w:t>除磋商文件规定必须提供以外，供应商认为需要提供的其他证明材料</w:t>
            </w:r>
            <w:r>
              <w:rPr>
                <w:rFonts w:hint="eastAsia" w:ascii="宋体" w:hAnsi="宋体" w:cs="宋体"/>
                <w:color w:val="auto"/>
                <w:szCs w:val="21"/>
                <w:highlight w:val="none"/>
                <w:lang w:eastAsia="zh-CN"/>
              </w:rPr>
              <w:t>。</w:t>
            </w:r>
          </w:p>
          <w:p w14:paraId="3274B5CF">
            <w:pPr>
              <w:snapToGrid w:val="0"/>
              <w:spacing w:line="360" w:lineRule="auto"/>
              <w:ind w:firstLine="422" w:firstLineChars="200"/>
              <w:jc w:val="left"/>
              <w:rPr>
                <w:rFonts w:hint="eastAsia" w:ascii="宋体" w:hAnsi="宋体" w:cs="宋体"/>
                <w:b/>
                <w:color w:val="auto"/>
                <w:szCs w:val="21"/>
                <w:highlight w:val="none"/>
              </w:rPr>
            </w:pPr>
            <w:r>
              <w:rPr>
                <w:rFonts w:hint="eastAsia" w:ascii="宋体" w:hAnsi="宋体" w:cs="宋体"/>
                <w:b/>
                <w:color w:val="auto"/>
                <w:szCs w:val="21"/>
                <w:highlight w:val="none"/>
              </w:rPr>
              <w:t>注：</w:t>
            </w:r>
          </w:p>
          <w:p w14:paraId="7792C7ED">
            <w:pPr>
              <w:snapToGrid w:val="0"/>
              <w:spacing w:line="360" w:lineRule="auto"/>
              <w:ind w:firstLine="413" w:firstLineChars="196"/>
              <w:jc w:val="left"/>
              <w:rPr>
                <w:rFonts w:hint="eastAsia" w:ascii="宋体" w:hAnsi="宋体" w:cs="宋体"/>
                <w:b/>
                <w:color w:val="auto"/>
                <w:szCs w:val="21"/>
                <w:highlight w:val="none"/>
              </w:rPr>
            </w:pPr>
            <w:r>
              <w:rPr>
                <w:rFonts w:hint="eastAsia" w:ascii="宋体" w:hAnsi="宋体" w:cs="宋体"/>
                <w:b/>
                <w:color w:val="auto"/>
                <w:szCs w:val="21"/>
                <w:highlight w:val="none"/>
              </w:rPr>
              <w:t>1</w:t>
            </w:r>
            <w:r>
              <w:rPr>
                <w:rFonts w:hint="eastAsia" w:ascii="宋体" w:hAnsi="宋体" w:cs="宋体"/>
                <w:b/>
                <w:color w:val="auto"/>
                <w:szCs w:val="21"/>
                <w:highlight w:val="none"/>
                <w:lang w:val="en-US" w:eastAsia="zh-CN"/>
              </w:rPr>
              <w:t>.</w:t>
            </w:r>
            <w:r>
              <w:rPr>
                <w:rFonts w:hint="eastAsia" w:ascii="宋体" w:hAnsi="宋体" w:cs="宋体"/>
                <w:b/>
                <w:color w:val="auto"/>
                <w:szCs w:val="21"/>
                <w:highlight w:val="none"/>
              </w:rPr>
              <w:t>以上标明“必须提供”的材料属于复印件的，必须加盖供应商公章，否则响应文件按无效响应处理。</w:t>
            </w:r>
          </w:p>
          <w:p w14:paraId="6A8EB002">
            <w:pPr>
              <w:snapToGrid w:val="0"/>
              <w:spacing w:line="360" w:lineRule="auto"/>
              <w:ind w:firstLine="422" w:firstLineChars="200"/>
              <w:jc w:val="left"/>
              <w:rPr>
                <w:rFonts w:hint="eastAsia" w:ascii="宋体" w:hAnsi="宋体" w:cs="宋体"/>
                <w:b/>
                <w:color w:val="auto"/>
                <w:szCs w:val="21"/>
                <w:highlight w:val="none"/>
              </w:rPr>
            </w:pPr>
            <w:r>
              <w:rPr>
                <w:rFonts w:hint="eastAsia" w:ascii="宋体" w:hAnsi="宋体" w:cs="宋体"/>
                <w:b/>
                <w:color w:val="auto"/>
                <w:szCs w:val="21"/>
                <w:highlight w:val="none"/>
              </w:rPr>
              <w:t>2</w:t>
            </w:r>
            <w:r>
              <w:rPr>
                <w:rFonts w:hint="eastAsia" w:ascii="宋体" w:hAnsi="宋体" w:cs="宋体"/>
                <w:b/>
                <w:color w:val="auto"/>
                <w:szCs w:val="21"/>
                <w:highlight w:val="none"/>
                <w:lang w:val="en-US" w:eastAsia="zh-CN"/>
              </w:rPr>
              <w:t>.</w:t>
            </w:r>
            <w:r>
              <w:rPr>
                <w:rFonts w:hint="eastAsia" w:ascii="宋体" w:hAnsi="宋体" w:cs="宋体"/>
                <w:b/>
                <w:color w:val="auto"/>
                <w:szCs w:val="21"/>
                <w:highlight w:val="none"/>
              </w:rPr>
              <w:t>竞标声明必须由法定代表人在规定签章处签字或者电子签名并加盖供应商公章，否则响应文件按无效响应处理。</w:t>
            </w:r>
          </w:p>
          <w:p w14:paraId="447D4DAA">
            <w:pPr>
              <w:snapToGrid w:val="0"/>
              <w:spacing w:line="360" w:lineRule="auto"/>
              <w:ind w:firstLine="422" w:firstLineChars="200"/>
              <w:jc w:val="left"/>
              <w:rPr>
                <w:rFonts w:hint="eastAsia" w:ascii="宋体" w:hAnsi="宋体" w:cs="宋体"/>
                <w:b/>
                <w:color w:val="auto"/>
                <w:szCs w:val="21"/>
                <w:highlight w:val="none"/>
              </w:rPr>
            </w:pPr>
            <w:r>
              <w:rPr>
                <w:rFonts w:hint="eastAsia" w:ascii="宋体" w:hAnsi="宋体" w:cs="宋体"/>
                <w:b/>
                <w:color w:val="auto"/>
                <w:szCs w:val="21"/>
                <w:highlight w:val="none"/>
              </w:rPr>
              <w:t>3</w:t>
            </w:r>
            <w:r>
              <w:rPr>
                <w:rFonts w:hint="eastAsia" w:ascii="宋体" w:hAnsi="宋体" w:cs="宋体"/>
                <w:b/>
                <w:color w:val="auto"/>
                <w:szCs w:val="21"/>
                <w:highlight w:val="none"/>
                <w:lang w:val="en-US" w:eastAsia="zh-CN"/>
              </w:rPr>
              <w:t>.</w:t>
            </w:r>
            <w:r>
              <w:rPr>
                <w:rFonts w:hint="eastAsia" w:ascii="宋体" w:hAnsi="宋体" w:cs="宋体"/>
                <w:b/>
                <w:color w:val="auto"/>
                <w:szCs w:val="21"/>
                <w:highlight w:val="none"/>
              </w:rPr>
              <w:t>供应商直接控股、管理关系信息表必须由法定代表人或者委托代理人在规定签章处签字或者电子签名并加盖供应商公章，否则响应文件按无效响应处理。</w:t>
            </w:r>
          </w:p>
          <w:p w14:paraId="3D90DEA2">
            <w:pPr>
              <w:pStyle w:val="14"/>
              <w:spacing w:line="360" w:lineRule="auto"/>
              <w:ind w:firstLine="422" w:firstLineChars="200"/>
              <w:rPr>
                <w:rFonts w:hint="eastAsia" w:ascii="宋体" w:hAnsi="宋体" w:cs="宋体"/>
                <w:b/>
                <w:color w:val="auto"/>
                <w:szCs w:val="21"/>
                <w:highlight w:val="none"/>
              </w:rPr>
            </w:pPr>
            <w:r>
              <w:rPr>
                <w:rFonts w:hint="eastAsia" w:ascii="宋体" w:hAnsi="宋体"/>
                <w:b/>
                <w:bCs/>
                <w:color w:val="auto"/>
                <w:szCs w:val="21"/>
                <w:highlight w:val="none"/>
                <w:lang w:val="en-US" w:eastAsia="zh-CN"/>
              </w:rPr>
              <w:t>4.</w:t>
            </w:r>
            <w:r>
              <w:rPr>
                <w:rFonts w:hint="eastAsia" w:ascii="宋体" w:hAnsi="宋体"/>
                <w:b/>
                <w:bCs/>
                <w:color w:val="auto"/>
                <w:szCs w:val="21"/>
                <w:highlight w:val="none"/>
              </w:rPr>
              <w:t>分公司参加竞标的，应当取得总公司授权</w:t>
            </w:r>
            <w:r>
              <w:rPr>
                <w:rFonts w:hint="eastAsia" w:ascii="宋体" w:hAnsi="宋体" w:cs="宋体"/>
                <w:b/>
                <w:color w:val="auto"/>
                <w:szCs w:val="21"/>
                <w:highlight w:val="none"/>
              </w:rPr>
              <w:t>，否则响应文件按无效响应处理。</w:t>
            </w:r>
          </w:p>
        </w:tc>
      </w:tr>
      <w:tr w14:paraId="598E95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0FBA2879">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12.</w:t>
            </w:r>
            <w:r>
              <w:rPr>
                <w:rFonts w:ascii="宋体" w:hAnsi="宋体" w:cs="宋体"/>
                <w:color w:val="auto"/>
                <w:szCs w:val="21"/>
                <w:highlight w:val="none"/>
              </w:rPr>
              <w:t>1</w:t>
            </w:r>
            <w:r>
              <w:rPr>
                <w:rFonts w:hint="eastAsia" w:ascii="宋体" w:hAnsi="宋体" w:cs="宋体"/>
                <w:color w:val="auto"/>
                <w:szCs w:val="21"/>
                <w:highlight w:val="none"/>
              </w:rPr>
              <w:t>.2</w:t>
            </w:r>
          </w:p>
        </w:tc>
        <w:tc>
          <w:tcPr>
            <w:tcW w:w="8004" w:type="dxa"/>
            <w:noWrap w:val="0"/>
            <w:vAlign w:val="center"/>
          </w:tcPr>
          <w:p w14:paraId="79175DBB">
            <w:pPr>
              <w:spacing w:line="360" w:lineRule="auto"/>
              <w:rPr>
                <w:rFonts w:hint="eastAsia" w:ascii="宋体" w:hAnsi="宋体" w:cs="宋体"/>
                <w:b/>
                <w:bCs/>
                <w:color w:val="auto"/>
                <w:szCs w:val="21"/>
                <w:highlight w:val="none"/>
              </w:rPr>
            </w:pPr>
            <w:r>
              <w:rPr>
                <w:rFonts w:hint="eastAsia" w:ascii="宋体" w:hAnsi="宋体" w:cs="宋体"/>
                <w:b/>
                <w:bCs/>
                <w:color w:val="auto"/>
                <w:szCs w:val="21"/>
                <w:highlight w:val="none"/>
              </w:rPr>
              <w:t>商务文件</w:t>
            </w:r>
          </w:p>
          <w:p w14:paraId="57B1D591">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无串通竞标行为的承诺函（格式后附）；（</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23A002E6">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法定代表人身份证明及法定代表人有效身份证正反面复印件（格式后附）；</w:t>
            </w:r>
            <w:r>
              <w:rPr>
                <w:rFonts w:hint="eastAsia" w:ascii="宋体" w:hAnsi="宋体" w:cs="宋体"/>
                <w:b/>
                <w:color w:val="auto"/>
                <w:szCs w:val="21"/>
                <w:highlight w:val="none"/>
              </w:rPr>
              <w:t>（除自然人竞标外必须提供，否则响应文件按无效响应处理）</w:t>
            </w:r>
          </w:p>
          <w:p w14:paraId="0633EB7D">
            <w:pPr>
              <w:spacing w:line="360" w:lineRule="auto"/>
              <w:rPr>
                <w:rFonts w:hint="eastAsia" w:ascii="宋体" w:hAnsi="宋体" w:cs="宋体"/>
                <w:b/>
                <w:color w:val="auto"/>
                <w:szCs w:val="21"/>
                <w:highlight w:val="none"/>
              </w:rPr>
            </w:pPr>
            <w:r>
              <w:rPr>
                <w:rFonts w:hint="eastAsia" w:ascii="宋体" w:hAnsi="宋体" w:cs="宋体"/>
                <w:color w:val="auto"/>
                <w:szCs w:val="21"/>
                <w:highlight w:val="none"/>
              </w:rPr>
              <w:t>3</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授权委托书及委托代理人有效身份证正反面复印件（格式后附）；（</w:t>
            </w:r>
            <w:r>
              <w:rPr>
                <w:rFonts w:hint="eastAsia" w:ascii="宋体" w:hAnsi="宋体" w:cs="宋体"/>
                <w:b/>
                <w:color w:val="auto"/>
                <w:szCs w:val="21"/>
                <w:highlight w:val="none"/>
              </w:rPr>
              <w:t>委托时必须提供，否则响应文件按无效响应处理</w:t>
            </w:r>
            <w:r>
              <w:rPr>
                <w:rFonts w:hint="eastAsia" w:ascii="宋体" w:hAnsi="宋体" w:cs="宋体"/>
                <w:color w:val="auto"/>
                <w:szCs w:val="21"/>
                <w:highlight w:val="none"/>
              </w:rPr>
              <w:t>）</w:t>
            </w:r>
          </w:p>
          <w:p w14:paraId="51E42908">
            <w:pPr>
              <w:spacing w:line="360" w:lineRule="auto"/>
              <w:rPr>
                <w:rFonts w:hint="eastAsia" w:ascii="宋体" w:hAnsi="宋体" w:cs="宋体"/>
                <w:color w:val="auto"/>
                <w:szCs w:val="21"/>
                <w:highlight w:val="none"/>
                <w:lang w:val="en-US" w:eastAsia="zh-CN"/>
              </w:rPr>
            </w:pPr>
            <w:r>
              <w:rPr>
                <w:rFonts w:hint="eastAsia" w:ascii="宋体" w:hAnsi="宋体" w:cs="宋体"/>
                <w:color w:val="auto"/>
                <w:szCs w:val="21"/>
                <w:highlight w:val="none"/>
              </w:rPr>
              <w:t>4</w:t>
            </w:r>
            <w:r>
              <w:rPr>
                <w:rFonts w:hint="eastAsia" w:ascii="宋体" w:hAnsi="宋体" w:cs="宋体"/>
                <w:color w:val="auto"/>
                <w:szCs w:val="21"/>
                <w:highlight w:val="none"/>
                <w:lang w:val="en-US" w:eastAsia="zh-CN"/>
              </w:rPr>
              <w:t>.</w:t>
            </w:r>
            <w:r>
              <w:rPr>
                <w:rFonts w:hint="eastAsia" w:ascii="宋体" w:hAnsi="宋体"/>
                <w:color w:val="000000"/>
                <w:szCs w:val="21"/>
              </w:rPr>
              <w:t>竞标人情况介绍；</w:t>
            </w:r>
          </w:p>
          <w:p w14:paraId="4377553B">
            <w:pPr>
              <w:spacing w:line="360" w:lineRule="auto"/>
              <w:rPr>
                <w:rFonts w:hint="eastAsia" w:ascii="宋体" w:hAnsi="宋体" w:cs="宋体"/>
                <w:color w:val="auto"/>
                <w:szCs w:val="21"/>
                <w:highlight w:val="none"/>
              </w:rPr>
            </w:pP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商务</w:t>
            </w:r>
            <w:r>
              <w:rPr>
                <w:rFonts w:hint="eastAsia" w:ascii="宋体" w:hAnsi="宋体" w:cs="宋体"/>
                <w:color w:val="auto"/>
                <w:szCs w:val="21"/>
                <w:highlight w:val="none"/>
                <w:lang w:val="en-US" w:eastAsia="zh-CN"/>
              </w:rPr>
              <w:t>条款</w:t>
            </w:r>
            <w:r>
              <w:rPr>
                <w:rFonts w:hint="eastAsia" w:ascii="宋体" w:hAnsi="宋体" w:cs="宋体"/>
                <w:color w:val="auto"/>
                <w:szCs w:val="21"/>
                <w:highlight w:val="none"/>
              </w:rPr>
              <w:t>偏离表（格式后附）；（</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12964F3D">
            <w:pPr>
              <w:spacing w:line="360" w:lineRule="auto"/>
              <w:rPr>
                <w:rFonts w:hint="eastAsia" w:ascii="宋体" w:hAnsi="宋体" w:cs="宋体"/>
                <w:color w:val="auto"/>
                <w:szCs w:val="21"/>
                <w:highlight w:val="none"/>
              </w:rPr>
            </w:pP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项目实施人员一览表（格式后附）；（</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33BE8131">
            <w:pPr>
              <w:snapToGrid w:val="0"/>
              <w:spacing w:line="360" w:lineRule="exact"/>
              <w:jc w:val="left"/>
              <w:rPr>
                <w:rFonts w:hint="eastAsia" w:ascii="宋体" w:hAnsi="宋体" w:cs="宋体"/>
                <w:szCs w:val="21"/>
                <w:highlight w:val="none"/>
                <w:lang w:eastAsia="zh-CN"/>
              </w:rPr>
            </w:pPr>
            <w:r>
              <w:rPr>
                <w:rFonts w:hint="eastAsia" w:ascii="宋体" w:hAnsi="宋体" w:cs="宋体"/>
                <w:color w:val="auto"/>
                <w:szCs w:val="21"/>
                <w:highlight w:val="none"/>
                <w:lang w:val="en-US" w:eastAsia="zh-CN"/>
              </w:rPr>
              <w:t>7.</w:t>
            </w:r>
            <w:r>
              <w:rPr>
                <w:rFonts w:hint="eastAsia" w:ascii="宋体" w:hAnsi="宋体" w:cs="宋体"/>
                <w:szCs w:val="21"/>
                <w:highlight w:val="none"/>
                <w:lang w:val="en-US" w:eastAsia="zh-CN"/>
              </w:rPr>
              <w:t>供应商</w:t>
            </w:r>
            <w:r>
              <w:rPr>
                <w:rFonts w:hint="eastAsia" w:ascii="宋体" w:hAnsi="宋体" w:cs="宋体"/>
                <w:szCs w:val="21"/>
                <w:highlight w:val="none"/>
              </w:rPr>
              <w:t>类似的业绩证明文件（如有</w:t>
            </w:r>
            <w:r>
              <w:rPr>
                <w:rFonts w:hint="eastAsia" w:ascii="宋体" w:hAnsi="宋体" w:cs="宋体"/>
                <w:szCs w:val="21"/>
                <w:highlight w:val="none"/>
                <w:lang w:eastAsia="zh-CN"/>
              </w:rPr>
              <w:t>，</w:t>
            </w:r>
            <w:r>
              <w:rPr>
                <w:rFonts w:hint="eastAsia" w:ascii="宋体" w:hAnsi="宋体" w:cs="宋体"/>
                <w:color w:val="auto"/>
                <w:szCs w:val="21"/>
                <w:highlight w:val="none"/>
              </w:rPr>
              <w:t>格式后附</w:t>
            </w:r>
            <w:r>
              <w:rPr>
                <w:rFonts w:hint="eastAsia" w:ascii="宋体" w:hAnsi="宋体" w:cs="宋体"/>
                <w:szCs w:val="21"/>
                <w:highlight w:val="none"/>
              </w:rPr>
              <w:t>）</w:t>
            </w:r>
            <w:r>
              <w:rPr>
                <w:rFonts w:hint="eastAsia" w:ascii="宋体" w:hAnsi="宋体" w:cs="宋体"/>
                <w:szCs w:val="21"/>
                <w:highlight w:val="none"/>
                <w:lang w:eastAsia="zh-CN"/>
              </w:rPr>
              <w:t>；</w:t>
            </w:r>
          </w:p>
          <w:p w14:paraId="5ABBD2C5">
            <w:pPr>
              <w:spacing w:line="360" w:lineRule="auto"/>
              <w:rPr>
                <w:rFonts w:hint="eastAsia" w:ascii="宋体" w:hAnsi="宋体" w:cs="宋体"/>
                <w:color w:val="auto"/>
                <w:szCs w:val="21"/>
                <w:highlight w:val="none"/>
              </w:rPr>
            </w:pP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对应采购需求的商务要求提供的其他文件资料（格式自拟）；</w:t>
            </w:r>
          </w:p>
          <w:p w14:paraId="734989F9">
            <w:pPr>
              <w:spacing w:line="360" w:lineRule="auto"/>
              <w:rPr>
                <w:rFonts w:hint="eastAsia" w:ascii="宋体" w:hAnsi="宋体" w:cs="宋体"/>
                <w:b/>
                <w:color w:val="auto"/>
                <w:szCs w:val="21"/>
                <w:highlight w:val="none"/>
              </w:rPr>
            </w:pP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供应商认为需要提供的其他有关资料。</w:t>
            </w:r>
          </w:p>
          <w:p w14:paraId="59DC2018">
            <w:pPr>
              <w:spacing w:line="360" w:lineRule="auto"/>
              <w:rPr>
                <w:rFonts w:hint="eastAsia" w:ascii="宋体" w:hAnsi="宋体" w:cs="宋体"/>
                <w:b/>
                <w:bCs/>
                <w:color w:val="auto"/>
                <w:szCs w:val="21"/>
                <w:highlight w:val="none"/>
              </w:rPr>
            </w:pPr>
            <w:r>
              <w:rPr>
                <w:rFonts w:hint="eastAsia" w:ascii="宋体" w:hAnsi="宋体" w:cs="宋体"/>
                <w:b/>
                <w:color w:val="auto"/>
                <w:szCs w:val="21"/>
                <w:highlight w:val="none"/>
              </w:rPr>
              <w:t>注：以上标明“必须提供”的材料属于复印件的，必须加盖供应商公章，否则响应文件按无效响应处理。</w:t>
            </w:r>
          </w:p>
        </w:tc>
      </w:tr>
      <w:tr w14:paraId="32048A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46CB4E31">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12.</w:t>
            </w:r>
            <w:r>
              <w:rPr>
                <w:rFonts w:ascii="宋体" w:hAnsi="宋体" w:cs="宋体"/>
                <w:color w:val="auto"/>
                <w:szCs w:val="21"/>
                <w:highlight w:val="none"/>
              </w:rPr>
              <w:t>1</w:t>
            </w:r>
            <w:r>
              <w:rPr>
                <w:rFonts w:hint="eastAsia" w:ascii="宋体" w:hAnsi="宋体" w:cs="宋体"/>
                <w:color w:val="auto"/>
                <w:szCs w:val="21"/>
                <w:highlight w:val="none"/>
              </w:rPr>
              <w:t>.3</w:t>
            </w:r>
          </w:p>
        </w:tc>
        <w:tc>
          <w:tcPr>
            <w:tcW w:w="8004" w:type="dxa"/>
            <w:noWrap w:val="0"/>
            <w:vAlign w:val="center"/>
          </w:tcPr>
          <w:p w14:paraId="2F0BE0CD">
            <w:pPr>
              <w:spacing w:line="360" w:lineRule="auto"/>
              <w:rPr>
                <w:rFonts w:hint="eastAsia" w:ascii="宋体" w:hAnsi="宋体" w:cs="宋体"/>
                <w:b/>
                <w:bCs/>
                <w:color w:val="auto"/>
                <w:szCs w:val="21"/>
                <w:highlight w:val="none"/>
              </w:rPr>
            </w:pPr>
            <w:r>
              <w:rPr>
                <w:rFonts w:hint="eastAsia" w:ascii="宋体" w:hAnsi="宋体" w:cs="宋体"/>
                <w:b/>
                <w:bCs/>
                <w:color w:val="auto"/>
                <w:szCs w:val="21"/>
                <w:highlight w:val="none"/>
              </w:rPr>
              <w:t>技术文件</w:t>
            </w:r>
          </w:p>
          <w:p w14:paraId="13FA30D1">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.服务</w:t>
            </w:r>
            <w:r>
              <w:rPr>
                <w:rFonts w:hint="eastAsia" w:ascii="宋体" w:hAnsi="宋体" w:cs="宋体"/>
                <w:color w:val="auto"/>
                <w:szCs w:val="21"/>
                <w:highlight w:val="none"/>
              </w:rPr>
              <w:t>要求偏离表（格式后附）；（</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1B8175F5">
            <w:pPr>
              <w:spacing w:line="360" w:lineRule="auto"/>
              <w:rPr>
                <w:rFonts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.服务</w:t>
            </w:r>
            <w:r>
              <w:rPr>
                <w:rFonts w:hint="eastAsia" w:ascii="宋体" w:hAnsi="宋体" w:cs="宋体"/>
                <w:color w:val="auto"/>
                <w:szCs w:val="21"/>
                <w:highlight w:val="none"/>
              </w:rPr>
              <w:t>方案（格式自拟）；</w:t>
            </w:r>
          </w:p>
          <w:p w14:paraId="3DF5372E">
            <w:pPr>
              <w:spacing w:line="360" w:lineRule="auto"/>
              <w:rPr>
                <w:rFonts w:hint="eastAsia" w:ascii="宋体" w:hAnsi="宋体" w:cs="宋体"/>
                <w:color w:val="auto"/>
                <w:szCs w:val="21"/>
                <w:highlight w:val="none"/>
              </w:rPr>
            </w:pP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对应采购需求的</w:t>
            </w:r>
            <w:r>
              <w:rPr>
                <w:rFonts w:hint="eastAsia" w:ascii="宋体" w:hAnsi="宋体" w:cs="宋体"/>
                <w:color w:val="auto"/>
                <w:szCs w:val="21"/>
                <w:highlight w:val="none"/>
                <w:lang w:val="en-US" w:eastAsia="zh-CN"/>
              </w:rPr>
              <w:t>服务</w:t>
            </w:r>
            <w:r>
              <w:rPr>
                <w:rFonts w:hint="eastAsia" w:ascii="宋体" w:hAnsi="宋体" w:cs="宋体"/>
                <w:color w:val="auto"/>
                <w:szCs w:val="21"/>
                <w:highlight w:val="none"/>
              </w:rPr>
              <w:t>要求提供的其他文件资料（格式自拟）；</w:t>
            </w:r>
          </w:p>
          <w:p w14:paraId="536C768A">
            <w:pPr>
              <w:spacing w:line="360" w:lineRule="auto"/>
              <w:rPr>
                <w:rFonts w:hint="eastAsia" w:ascii="宋体" w:hAnsi="宋体" w:cs="宋体"/>
                <w:b/>
                <w:color w:val="auto"/>
                <w:szCs w:val="21"/>
                <w:highlight w:val="none"/>
              </w:rPr>
            </w:pP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供应商认为需要提供的其他有关资料。</w:t>
            </w:r>
          </w:p>
          <w:p w14:paraId="68DFB76D">
            <w:pPr>
              <w:spacing w:line="360" w:lineRule="auto"/>
              <w:rPr>
                <w:rFonts w:hint="eastAsia" w:ascii="宋体" w:hAnsi="宋体" w:cs="宋体"/>
                <w:b/>
                <w:bCs/>
                <w:color w:val="auto"/>
                <w:szCs w:val="21"/>
                <w:highlight w:val="none"/>
              </w:rPr>
            </w:pPr>
            <w:r>
              <w:rPr>
                <w:rFonts w:hint="eastAsia" w:ascii="宋体" w:hAnsi="宋体" w:cs="宋体"/>
                <w:b/>
                <w:color w:val="auto"/>
                <w:szCs w:val="21"/>
                <w:highlight w:val="none"/>
              </w:rPr>
              <w:t>注：以上标明“必须提供”的材料属于复印件的，必须加盖供应商公章，否则响应文件按无效响应处理。</w:t>
            </w:r>
          </w:p>
        </w:tc>
      </w:tr>
      <w:tr w14:paraId="6E9B6E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2DF8428F">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12.</w:t>
            </w:r>
            <w:r>
              <w:rPr>
                <w:rFonts w:ascii="宋体" w:hAnsi="宋体" w:cs="宋体"/>
                <w:color w:val="auto"/>
                <w:szCs w:val="21"/>
                <w:highlight w:val="none"/>
              </w:rPr>
              <w:t>1</w:t>
            </w:r>
            <w:r>
              <w:rPr>
                <w:rFonts w:hint="eastAsia" w:ascii="宋体" w:hAnsi="宋体" w:cs="宋体"/>
                <w:color w:val="auto"/>
                <w:szCs w:val="21"/>
                <w:highlight w:val="none"/>
              </w:rPr>
              <w:t>.4</w:t>
            </w:r>
          </w:p>
        </w:tc>
        <w:tc>
          <w:tcPr>
            <w:tcW w:w="8004" w:type="dxa"/>
            <w:noWrap w:val="0"/>
            <w:vAlign w:val="center"/>
          </w:tcPr>
          <w:p w14:paraId="2FAE211C">
            <w:pPr>
              <w:spacing w:line="360" w:lineRule="auto"/>
              <w:rPr>
                <w:rFonts w:hint="eastAsia" w:ascii="宋体" w:hAnsi="宋体" w:cs="宋体"/>
                <w:b/>
                <w:bCs/>
                <w:color w:val="auto"/>
                <w:szCs w:val="21"/>
                <w:highlight w:val="none"/>
              </w:rPr>
            </w:pPr>
            <w:r>
              <w:rPr>
                <w:rFonts w:hint="eastAsia" w:ascii="宋体" w:hAnsi="宋体" w:cs="宋体"/>
                <w:b/>
                <w:bCs/>
                <w:color w:val="auto"/>
                <w:szCs w:val="21"/>
                <w:highlight w:val="none"/>
              </w:rPr>
              <w:t>报价文件</w:t>
            </w:r>
          </w:p>
          <w:p w14:paraId="63940392">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竞标报价表（格式后附）；</w:t>
            </w:r>
            <w:r>
              <w:rPr>
                <w:rFonts w:hint="eastAsia" w:ascii="宋体" w:hAnsi="宋体" w:cs="宋体"/>
                <w:b/>
                <w:color w:val="auto"/>
                <w:szCs w:val="21"/>
                <w:highlight w:val="none"/>
              </w:rPr>
              <w:t>（必须提供，否则响应文件按无效响应处理）</w:t>
            </w:r>
          </w:p>
          <w:p w14:paraId="0521E625">
            <w:pPr>
              <w:spacing w:line="360" w:lineRule="auto"/>
              <w:rPr>
                <w:rFonts w:hint="eastAsia" w:ascii="宋体" w:hAnsi="宋体" w:cs="宋体"/>
                <w:b/>
                <w:color w:val="auto"/>
                <w:szCs w:val="21"/>
                <w:highlight w:val="none"/>
              </w:rPr>
            </w:pP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供应商认为需要提供的其他有关资料。</w:t>
            </w:r>
          </w:p>
          <w:p w14:paraId="23BB44D0">
            <w:pPr>
              <w:snapToGrid w:val="0"/>
              <w:spacing w:line="360" w:lineRule="auto"/>
              <w:ind w:firstLine="422" w:firstLineChars="200"/>
              <w:jc w:val="left"/>
              <w:rPr>
                <w:rFonts w:hint="eastAsia" w:ascii="宋体" w:hAnsi="宋体" w:cs="宋体"/>
                <w:b/>
                <w:color w:val="auto"/>
                <w:szCs w:val="21"/>
                <w:highlight w:val="none"/>
              </w:rPr>
            </w:pPr>
            <w:r>
              <w:rPr>
                <w:rFonts w:hint="eastAsia" w:ascii="宋体" w:hAnsi="宋体" w:cs="宋体"/>
                <w:b/>
                <w:color w:val="auto"/>
                <w:szCs w:val="21"/>
                <w:highlight w:val="none"/>
              </w:rPr>
              <w:t>注：以上标明“必须提供”的材料属于复印件的，必须加盖供应商公章，否则响应文件按无效响应处理。</w:t>
            </w:r>
          </w:p>
        </w:tc>
      </w:tr>
      <w:tr w14:paraId="536D1B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7A2CC6AF">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15.2</w:t>
            </w:r>
          </w:p>
        </w:tc>
        <w:tc>
          <w:tcPr>
            <w:tcW w:w="8004" w:type="dxa"/>
            <w:noWrap w:val="0"/>
            <w:vAlign w:val="center"/>
          </w:tcPr>
          <w:p w14:paraId="19716ECE">
            <w:pPr>
              <w:snapToGrid w:val="0"/>
              <w:spacing w:line="360" w:lineRule="auto"/>
              <w:jc w:val="left"/>
              <w:rPr>
                <w:rFonts w:hint="eastAsia" w:ascii="宋体" w:hAnsi="宋体" w:cs="宋体"/>
                <w:color w:val="auto"/>
                <w:szCs w:val="21"/>
                <w:highlight w:val="none"/>
              </w:rPr>
            </w:pPr>
            <w:r>
              <w:rPr>
                <w:rFonts w:hint="eastAsia" w:ascii="宋体" w:hAnsi="宋体"/>
                <w:color w:val="auto"/>
                <w:szCs w:val="21"/>
                <w:highlight w:val="none"/>
              </w:rPr>
              <w:t>竞标报价是履行合同的最终价格，</w:t>
            </w:r>
            <w:r>
              <w:rPr>
                <w:rFonts w:hint="eastAsia" w:ascii="宋体" w:hAnsi="宋体" w:cs="宋体"/>
                <w:color w:val="auto"/>
                <w:szCs w:val="21"/>
                <w:highlight w:val="none"/>
              </w:rPr>
              <w:t>即满足全部采购需求所应提供的服务的价格；报价包括但不限于</w:t>
            </w:r>
            <w:r>
              <w:rPr>
                <w:rFonts w:hint="eastAsia" w:ascii="宋体" w:hAnsi="宋体" w:cs="宋体"/>
                <w:color w:val="auto"/>
                <w:szCs w:val="21"/>
                <w:highlight w:val="none"/>
                <w:lang w:eastAsia="zh-CN"/>
              </w:rPr>
              <w:t>：</w:t>
            </w:r>
            <w:r>
              <w:rPr>
                <w:rFonts w:hint="eastAsia" w:asciiTheme="minorEastAsia" w:hAnsiTheme="minorEastAsia" w:eastAsiaTheme="minorEastAsia" w:cstheme="minorEastAsia"/>
                <w:color w:val="auto"/>
                <w:sz w:val="21"/>
                <w:szCs w:val="21"/>
                <w:highlight w:val="none"/>
                <w:u w:val="none"/>
                <w:lang w:eastAsia="zh-CN"/>
              </w:rPr>
              <w:sym w:font="Wingdings" w:char="0081"/>
            </w:r>
            <w:r>
              <w:rPr>
                <w:rFonts w:hint="eastAsia" w:asciiTheme="minorEastAsia" w:hAnsiTheme="minorEastAsia" w:eastAsiaTheme="minorEastAsia" w:cstheme="minorEastAsia"/>
                <w:color w:val="auto"/>
                <w:sz w:val="21"/>
                <w:szCs w:val="21"/>
                <w:highlight w:val="none"/>
                <w:lang w:eastAsia="zh-CN"/>
              </w:rPr>
              <w:t>货</w:t>
            </w:r>
            <w:r>
              <w:rPr>
                <w:rFonts w:hint="eastAsia" w:ascii="宋体" w:hAnsi="宋体" w:cs="宋体"/>
                <w:color w:val="auto"/>
                <w:szCs w:val="21"/>
                <w:highlight w:val="none"/>
                <w:lang w:eastAsia="zh-CN"/>
              </w:rPr>
              <w:t>物、服务费用；②报价需包含必要的保险费用和各项税金费用；③报价需包含包装、运输、仓储、配送、搬运、深加工、检验检测、售后服务等相关费用。</w:t>
            </w:r>
          </w:p>
        </w:tc>
      </w:tr>
      <w:tr w14:paraId="6A8154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69882083">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16.</w:t>
            </w:r>
            <w:r>
              <w:rPr>
                <w:rFonts w:ascii="宋体" w:hAnsi="宋体" w:cs="宋体"/>
                <w:color w:val="auto"/>
                <w:szCs w:val="21"/>
                <w:highlight w:val="none"/>
              </w:rPr>
              <w:t>2</w:t>
            </w:r>
          </w:p>
        </w:tc>
        <w:tc>
          <w:tcPr>
            <w:tcW w:w="8004" w:type="dxa"/>
            <w:noWrap w:val="0"/>
            <w:vAlign w:val="center"/>
          </w:tcPr>
          <w:p w14:paraId="5BD2C145">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竞标有效期：响应文件提交截止之日起60天内。</w:t>
            </w:r>
          </w:p>
        </w:tc>
      </w:tr>
      <w:tr w14:paraId="5885F0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39F30D68">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17.1</w:t>
            </w:r>
          </w:p>
        </w:tc>
        <w:tc>
          <w:tcPr>
            <w:tcW w:w="8004" w:type="dxa"/>
            <w:noWrap w:val="0"/>
            <w:vAlign w:val="center"/>
          </w:tcPr>
          <w:p w14:paraId="348C7F65">
            <w:pPr>
              <w:spacing w:line="360" w:lineRule="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szCs w:val="21"/>
                <w:highlight w:val="none"/>
              </w:rPr>
              <w:t>本项目收取磋</w:t>
            </w:r>
            <w:r>
              <w:rPr>
                <w:rFonts w:hint="eastAsia" w:asciiTheme="minorEastAsia" w:hAnsiTheme="minorEastAsia" w:eastAsiaTheme="minorEastAsia" w:cstheme="minorEastAsia"/>
                <w:color w:val="auto"/>
                <w:sz w:val="21"/>
                <w:szCs w:val="21"/>
                <w:highlight w:val="none"/>
              </w:rPr>
              <w:t>商保证金，具体规定如下：</w:t>
            </w:r>
            <w:r>
              <w:rPr>
                <w:rFonts w:hint="eastAsia" w:asciiTheme="minorEastAsia" w:hAnsiTheme="minorEastAsia" w:eastAsiaTheme="minorEastAsia" w:cstheme="minorEastAsia"/>
                <w:b/>
                <w:bCs/>
                <w:color w:val="auto"/>
                <w:kern w:val="0"/>
                <w:sz w:val="21"/>
                <w:szCs w:val="21"/>
                <w:highlight w:val="none"/>
              </w:rPr>
              <w:t>磋商保证金人民币</w:t>
            </w:r>
            <w:r>
              <w:rPr>
                <w:rFonts w:hint="eastAsia" w:asciiTheme="minorEastAsia" w:hAnsiTheme="minorEastAsia" w:eastAsiaTheme="minorEastAsia" w:cstheme="minorEastAsia"/>
                <w:b/>
                <w:bCs/>
                <w:color w:val="auto"/>
                <w:kern w:val="0"/>
                <w:sz w:val="21"/>
                <w:szCs w:val="21"/>
                <w:highlight w:val="none"/>
                <w:u w:val="none"/>
                <w:lang w:val="en-US" w:eastAsia="zh-CN"/>
              </w:rPr>
              <w:t>20</w:t>
            </w:r>
            <w:r>
              <w:rPr>
                <w:rFonts w:hint="eastAsia" w:asciiTheme="minorEastAsia" w:hAnsiTheme="minorEastAsia" w:eastAsiaTheme="minorEastAsia" w:cstheme="minorEastAsia"/>
                <w:b/>
                <w:bCs/>
                <w:color w:val="auto"/>
                <w:kern w:val="0"/>
                <w:sz w:val="21"/>
                <w:szCs w:val="21"/>
                <w:highlight w:val="none"/>
                <w:u w:val="none"/>
              </w:rPr>
              <w:t>000.00元</w:t>
            </w:r>
            <w:r>
              <w:rPr>
                <w:rFonts w:hint="eastAsia" w:asciiTheme="minorEastAsia" w:hAnsiTheme="minorEastAsia" w:eastAsiaTheme="minorEastAsia" w:cstheme="minorEastAsia"/>
                <w:color w:val="auto"/>
                <w:kern w:val="0"/>
                <w:sz w:val="21"/>
                <w:szCs w:val="21"/>
                <w:highlight w:val="none"/>
              </w:rPr>
              <w:t>。</w:t>
            </w:r>
          </w:p>
          <w:p w14:paraId="1F1D005F">
            <w:pPr>
              <w:spacing w:line="360" w:lineRule="auto"/>
              <w:ind w:firstLine="420" w:firstLineChars="200"/>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auto"/>
                <w:kern w:val="0"/>
                <w:sz w:val="21"/>
                <w:szCs w:val="21"/>
                <w:highlight w:val="none"/>
              </w:rPr>
              <w:t>磋商保证金的交纳方式：</w:t>
            </w:r>
            <w:r>
              <w:rPr>
                <w:rFonts w:hint="eastAsia" w:asciiTheme="minorEastAsia" w:hAnsiTheme="minorEastAsia" w:eastAsiaTheme="minorEastAsia" w:cstheme="minorEastAsia"/>
                <w:color w:val="000000"/>
                <w:sz w:val="21"/>
                <w:szCs w:val="21"/>
              </w:rPr>
              <w:t>磋商保证金的缴纳方式：银行转账、支票、汇票、本票或者金融、保险、担保机构出具的保函，禁止采用现金方式。采用银行转账方式的，在首次响应文件提交截止时间前交至采购代理机构指定账户并且到账。</w:t>
            </w:r>
          </w:p>
          <w:p w14:paraId="7230925F">
            <w:pPr>
              <w:spacing w:line="360" w:lineRule="auto"/>
              <w:ind w:firstLine="420" w:firstLineChars="200"/>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开户名称：广西德元工程项目管理有限责任公司</w:t>
            </w:r>
          </w:p>
          <w:p w14:paraId="562FB3A7">
            <w:pPr>
              <w:spacing w:line="360" w:lineRule="auto"/>
              <w:ind w:firstLine="420" w:firstLineChars="200"/>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开户银行: 中国银行柳州市八一支行</w:t>
            </w:r>
          </w:p>
          <w:p w14:paraId="2C446ABB">
            <w:pPr>
              <w:spacing w:line="360" w:lineRule="auto"/>
              <w:ind w:firstLine="420" w:firstLineChars="200"/>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银行账号：6158  6557  4841</w:t>
            </w:r>
          </w:p>
          <w:p w14:paraId="3D752BCD">
            <w:pPr>
              <w:spacing w:line="360" w:lineRule="auto"/>
              <w:ind w:firstLine="420" w:firstLineChars="200"/>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用途/备注：</w:t>
            </w:r>
            <w:r>
              <w:rPr>
                <w:rFonts w:hint="eastAsia" w:asciiTheme="minorEastAsia" w:hAnsiTheme="minorEastAsia" w:eastAsiaTheme="minorEastAsia" w:cstheme="minorEastAsia"/>
                <w:color w:val="000000"/>
                <w:sz w:val="21"/>
                <w:szCs w:val="21"/>
                <w:lang w:val="en-US" w:eastAsia="zh-CN"/>
              </w:rPr>
              <w:t>食堂鸡蛋供应（重2）</w:t>
            </w:r>
            <w:r>
              <w:rPr>
                <w:rFonts w:hint="eastAsia" w:asciiTheme="minorEastAsia" w:hAnsiTheme="minorEastAsia" w:eastAsiaTheme="minorEastAsia" w:cstheme="minorEastAsia"/>
                <w:color w:val="000000"/>
                <w:sz w:val="21"/>
                <w:szCs w:val="21"/>
              </w:rPr>
              <w:t>保证金</w:t>
            </w:r>
          </w:p>
          <w:p w14:paraId="1D5DCE0A">
            <w:pPr>
              <w:spacing w:line="360" w:lineRule="auto"/>
              <w:ind w:firstLine="420" w:firstLineChars="20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000000"/>
                <w:sz w:val="21"/>
                <w:szCs w:val="21"/>
              </w:rPr>
              <w:t xml:space="preserve">采用支票、汇票、本票或者保函等方式的，在首次响应文件提交截止时间前，供应商必须提交密封的支票、汇票、本票或者保函原件。否则视为无效磋商保证金。 </w:t>
            </w:r>
          </w:p>
          <w:p w14:paraId="772A1196">
            <w:pPr>
              <w:snapToGrid w:val="0"/>
              <w:spacing w:line="360" w:lineRule="auto"/>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备注：</w:t>
            </w:r>
          </w:p>
          <w:p w14:paraId="24CB8C3E">
            <w:pPr>
              <w:snapToGrid w:val="0"/>
              <w:spacing w:line="360" w:lineRule="auto"/>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1</w:t>
            </w:r>
            <w:r>
              <w:rPr>
                <w:rFonts w:hint="eastAsia" w:asciiTheme="minorEastAsia" w:hAnsiTheme="minorEastAsia" w:eastAsiaTheme="minorEastAsia" w:cstheme="minorEastAsia"/>
                <w:b/>
                <w:color w:val="auto"/>
                <w:szCs w:val="21"/>
                <w:highlight w:val="none"/>
                <w:lang w:val="en-US" w:eastAsia="zh-CN"/>
              </w:rPr>
              <w:t>.</w:t>
            </w:r>
            <w:r>
              <w:rPr>
                <w:rFonts w:hint="eastAsia" w:asciiTheme="minorEastAsia" w:hAnsiTheme="minorEastAsia" w:eastAsiaTheme="minorEastAsia" w:cstheme="minorEastAsia"/>
                <w:b/>
                <w:color w:val="auto"/>
                <w:szCs w:val="21"/>
                <w:highlight w:val="none"/>
              </w:rPr>
              <w:t>磋商保证金在响应文件提交截止时间后提交的，或者不按规定交纳方式交纳的，或者未足额交纳的（包含保函额度不足的），视为无效磋商保证金。</w:t>
            </w:r>
          </w:p>
          <w:p w14:paraId="6073F410">
            <w:pPr>
              <w:snapToGrid w:val="0"/>
              <w:spacing w:line="360" w:lineRule="auto"/>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2</w:t>
            </w:r>
            <w:r>
              <w:rPr>
                <w:rFonts w:hint="eastAsia" w:asciiTheme="minorEastAsia" w:hAnsiTheme="minorEastAsia" w:eastAsiaTheme="minorEastAsia" w:cstheme="minorEastAsia"/>
                <w:b/>
                <w:color w:val="auto"/>
                <w:szCs w:val="21"/>
                <w:highlight w:val="none"/>
                <w:lang w:val="en-US" w:eastAsia="zh-CN"/>
              </w:rPr>
              <w:t>.</w:t>
            </w:r>
            <w:r>
              <w:rPr>
                <w:rFonts w:hint="eastAsia" w:asciiTheme="minorEastAsia" w:hAnsiTheme="minorEastAsia" w:eastAsiaTheme="minorEastAsia" w:cstheme="minorEastAsia"/>
                <w:b/>
                <w:color w:val="auto"/>
                <w:szCs w:val="21"/>
                <w:highlight w:val="none"/>
              </w:rPr>
              <w:t>供应商采用现钞方式或者从个人账户（自然人竞标除外）转出的磋商保证金，视为无效磋商保证金。</w:t>
            </w:r>
          </w:p>
          <w:p w14:paraId="46C2B5BD">
            <w:pPr>
              <w:snapToGrid w:val="0"/>
              <w:spacing w:line="360" w:lineRule="auto"/>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3</w:t>
            </w:r>
            <w:r>
              <w:rPr>
                <w:rFonts w:hint="eastAsia" w:asciiTheme="minorEastAsia" w:hAnsiTheme="minorEastAsia" w:eastAsiaTheme="minorEastAsia" w:cstheme="minorEastAsia"/>
                <w:b/>
                <w:color w:val="auto"/>
                <w:szCs w:val="21"/>
                <w:highlight w:val="none"/>
                <w:lang w:val="en-US" w:eastAsia="zh-CN"/>
              </w:rPr>
              <w:t>.</w:t>
            </w:r>
            <w:r>
              <w:rPr>
                <w:rFonts w:hint="eastAsia" w:asciiTheme="minorEastAsia" w:hAnsiTheme="minorEastAsia" w:eastAsiaTheme="minorEastAsia" w:cstheme="minorEastAsia"/>
                <w:b/>
                <w:color w:val="auto"/>
                <w:szCs w:val="21"/>
                <w:highlight w:val="none"/>
              </w:rPr>
              <w:t>支票、汇票或者本票出现无效或者背书情形的，视为无效磋商保证金。</w:t>
            </w:r>
          </w:p>
          <w:p w14:paraId="5B27E6DB">
            <w:pPr>
              <w:snapToGrid w:val="0"/>
              <w:spacing w:line="360" w:lineRule="auto"/>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4</w:t>
            </w:r>
            <w:r>
              <w:rPr>
                <w:rFonts w:hint="eastAsia" w:asciiTheme="minorEastAsia" w:hAnsiTheme="minorEastAsia" w:eastAsiaTheme="minorEastAsia" w:cstheme="minorEastAsia"/>
                <w:b/>
                <w:color w:val="auto"/>
                <w:szCs w:val="21"/>
                <w:highlight w:val="none"/>
                <w:lang w:val="en-US" w:eastAsia="zh-CN"/>
              </w:rPr>
              <w:t>.</w:t>
            </w:r>
            <w:r>
              <w:rPr>
                <w:rFonts w:hint="eastAsia" w:asciiTheme="minorEastAsia" w:hAnsiTheme="minorEastAsia" w:eastAsiaTheme="minorEastAsia" w:cstheme="minorEastAsia"/>
                <w:b/>
                <w:color w:val="auto"/>
                <w:szCs w:val="21"/>
                <w:highlight w:val="none"/>
              </w:rPr>
              <w:t>保函有效期低于竞标有效期的，视为无效磋商保证金。</w:t>
            </w:r>
          </w:p>
          <w:p w14:paraId="5648A6A8">
            <w:pPr>
              <w:snapToGrid w:val="0"/>
              <w:spacing w:line="360" w:lineRule="auto"/>
              <w:rPr>
                <w:rFonts w:hint="eastAsia" w:ascii="宋体" w:hAnsi="宋体" w:cs="宋体"/>
                <w:color w:val="auto"/>
                <w:szCs w:val="21"/>
                <w:highlight w:val="none"/>
              </w:rPr>
            </w:pPr>
            <w:r>
              <w:rPr>
                <w:rFonts w:hint="eastAsia" w:asciiTheme="minorEastAsia" w:hAnsiTheme="minorEastAsia" w:eastAsiaTheme="minorEastAsia" w:cstheme="minorEastAsia"/>
                <w:b/>
                <w:color w:val="auto"/>
                <w:szCs w:val="21"/>
                <w:highlight w:val="none"/>
              </w:rPr>
              <w:t>5</w:t>
            </w:r>
            <w:r>
              <w:rPr>
                <w:rFonts w:hint="eastAsia" w:asciiTheme="minorEastAsia" w:hAnsiTheme="minorEastAsia" w:eastAsiaTheme="minorEastAsia" w:cstheme="minorEastAsia"/>
                <w:b/>
                <w:color w:val="auto"/>
                <w:szCs w:val="21"/>
                <w:highlight w:val="none"/>
                <w:lang w:val="en-US" w:eastAsia="zh-CN"/>
              </w:rPr>
              <w:t>.</w:t>
            </w:r>
            <w:r>
              <w:rPr>
                <w:rFonts w:hint="eastAsia" w:asciiTheme="minorEastAsia" w:hAnsiTheme="minorEastAsia" w:eastAsiaTheme="minorEastAsia" w:cstheme="minorEastAsia"/>
                <w:b/>
                <w:color w:val="auto"/>
                <w:szCs w:val="21"/>
                <w:highlight w:val="none"/>
              </w:rPr>
              <w:t>采用金融、担保机构出具保函的，必须为无条件保函，否则视为无效磋商保证金。</w:t>
            </w:r>
          </w:p>
        </w:tc>
      </w:tr>
      <w:tr w14:paraId="37FDE3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9" w:hRule="atLeast"/>
          <w:jc w:val="center"/>
        </w:trPr>
        <w:tc>
          <w:tcPr>
            <w:tcW w:w="992" w:type="dxa"/>
            <w:noWrap w:val="0"/>
            <w:vAlign w:val="center"/>
          </w:tcPr>
          <w:p w14:paraId="0EC4BD07">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18.2</w:t>
            </w:r>
          </w:p>
        </w:tc>
        <w:tc>
          <w:tcPr>
            <w:tcW w:w="8004" w:type="dxa"/>
            <w:noWrap w:val="0"/>
            <w:vAlign w:val="center"/>
          </w:tcPr>
          <w:p w14:paraId="04FD58FE">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响应文件应按资格证明文件、报价</w:t>
            </w:r>
            <w:r>
              <w:rPr>
                <w:rFonts w:hint="eastAsia" w:ascii="宋体" w:hAnsi="宋体" w:cs="宋体"/>
                <w:color w:val="auto"/>
                <w:szCs w:val="21"/>
                <w:highlight w:val="none"/>
                <w:lang w:eastAsia="zh-CN"/>
              </w:rPr>
              <w:t>文件</w:t>
            </w:r>
            <w:r>
              <w:rPr>
                <w:rFonts w:hint="eastAsia" w:ascii="宋体" w:hAnsi="宋体" w:cs="宋体"/>
                <w:color w:val="auto"/>
                <w:szCs w:val="21"/>
                <w:highlight w:val="none"/>
              </w:rPr>
              <w:t>分别编制</w:t>
            </w:r>
            <w:r>
              <w:rPr>
                <w:rFonts w:hint="eastAsia" w:ascii="宋体" w:hAnsi="宋体" w:cs="宋体"/>
                <w:color w:val="auto"/>
                <w:szCs w:val="21"/>
                <w:highlight w:val="none"/>
                <w:lang w:eastAsia="zh-CN"/>
              </w:rPr>
              <w:t>，</w:t>
            </w:r>
            <w:r>
              <w:rPr>
                <w:rFonts w:hint="eastAsia" w:ascii="宋体" w:hAnsi="宋体" w:cs="宋体"/>
                <w:color w:val="auto"/>
                <w:szCs w:val="21"/>
                <w:highlight w:val="none"/>
              </w:rPr>
              <w:t>商务</w:t>
            </w:r>
            <w:r>
              <w:rPr>
                <w:rFonts w:hint="eastAsia" w:ascii="宋体" w:hAnsi="宋体" w:cs="宋体"/>
                <w:color w:val="auto"/>
                <w:szCs w:val="21"/>
                <w:highlight w:val="none"/>
                <w:lang w:eastAsia="zh-CN"/>
              </w:rPr>
              <w:t>文件、</w:t>
            </w:r>
            <w:r>
              <w:rPr>
                <w:rFonts w:hint="eastAsia" w:ascii="宋体" w:hAnsi="宋体" w:cs="宋体"/>
                <w:color w:val="auto"/>
                <w:szCs w:val="21"/>
                <w:highlight w:val="none"/>
              </w:rPr>
              <w:t>技术文件</w:t>
            </w:r>
            <w:r>
              <w:rPr>
                <w:rFonts w:hint="eastAsia" w:ascii="宋体" w:hAnsi="宋体" w:cs="宋体"/>
                <w:color w:val="auto"/>
                <w:szCs w:val="21"/>
                <w:highlight w:val="none"/>
                <w:lang w:val="en-US" w:eastAsia="zh-CN"/>
              </w:rPr>
              <w:t>合并</w:t>
            </w:r>
            <w:r>
              <w:rPr>
                <w:rFonts w:hint="eastAsia" w:ascii="宋体" w:hAnsi="宋体" w:cs="宋体"/>
                <w:color w:val="auto"/>
                <w:szCs w:val="21"/>
                <w:highlight w:val="none"/>
              </w:rPr>
              <w:t>编制，</w:t>
            </w:r>
            <w:r>
              <w:rPr>
                <w:rFonts w:hint="eastAsia" w:ascii="宋体" w:hAnsi="宋体" w:cs="宋体"/>
                <w:color w:val="auto"/>
                <w:szCs w:val="21"/>
                <w:highlight w:val="none"/>
                <w:lang w:bidi="ar"/>
              </w:rPr>
              <w:t>并按广西政府采购云平台的要求编制、加密、上传。</w:t>
            </w:r>
          </w:p>
        </w:tc>
      </w:tr>
      <w:tr w14:paraId="6ED7A1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7F973A31">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20.1</w:t>
            </w:r>
          </w:p>
        </w:tc>
        <w:tc>
          <w:tcPr>
            <w:tcW w:w="8004" w:type="dxa"/>
            <w:noWrap w:val="0"/>
            <w:vAlign w:val="center"/>
          </w:tcPr>
          <w:p w14:paraId="1A6BA417">
            <w:pPr>
              <w:spacing w:line="360" w:lineRule="auto"/>
              <w:contextualSpacing/>
              <w:rPr>
                <w:rFonts w:hint="eastAsia" w:ascii="宋体" w:hAnsi="宋体" w:cs="宋体"/>
                <w:color w:val="auto"/>
                <w:szCs w:val="21"/>
                <w:highlight w:val="none"/>
              </w:rPr>
            </w:pPr>
            <w:r>
              <w:rPr>
                <w:rFonts w:hint="eastAsia" w:ascii="宋体" w:hAnsi="宋体" w:cs="宋体"/>
                <w:color w:val="auto"/>
                <w:szCs w:val="21"/>
                <w:highlight w:val="none"/>
              </w:rPr>
              <w:t>响应文件提交截止时间：详见竞争性磋商公告。</w:t>
            </w:r>
          </w:p>
          <w:p w14:paraId="5393B843">
            <w:pPr>
              <w:spacing w:line="360" w:lineRule="auto"/>
              <w:contextualSpacing/>
              <w:rPr>
                <w:rFonts w:hint="eastAsia" w:ascii="宋体" w:hAnsi="宋体" w:cs="宋体"/>
                <w:color w:val="auto"/>
                <w:szCs w:val="21"/>
                <w:highlight w:val="none"/>
              </w:rPr>
            </w:pPr>
            <w:r>
              <w:rPr>
                <w:rFonts w:hint="eastAsia" w:ascii="宋体" w:hAnsi="宋体" w:cs="宋体"/>
                <w:color w:val="auto"/>
                <w:szCs w:val="21"/>
                <w:highlight w:val="none"/>
              </w:rPr>
              <w:t>响应文件提交地点：详见竞争性磋商公告。</w:t>
            </w:r>
          </w:p>
        </w:tc>
      </w:tr>
      <w:tr w14:paraId="78DFC7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3943F006">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24.1</w:t>
            </w:r>
          </w:p>
        </w:tc>
        <w:tc>
          <w:tcPr>
            <w:tcW w:w="8004" w:type="dxa"/>
            <w:noWrap w:val="0"/>
            <w:vAlign w:val="center"/>
          </w:tcPr>
          <w:p w14:paraId="293774B2">
            <w:pPr>
              <w:snapToGrid w:val="0"/>
              <w:spacing w:line="360" w:lineRule="auto"/>
              <w:rPr>
                <w:rFonts w:hint="eastAsia" w:ascii="宋体" w:hAnsi="宋体" w:cs="宋体"/>
                <w:color w:val="auto"/>
                <w:szCs w:val="21"/>
                <w:highlight w:val="none"/>
                <w:u w:val="single"/>
              </w:rPr>
            </w:pPr>
            <w:r>
              <w:rPr>
                <w:rFonts w:hint="eastAsia" w:ascii="宋体" w:hAnsi="宋体" w:cs="宋体"/>
                <w:color w:val="auto"/>
                <w:szCs w:val="21"/>
                <w:highlight w:val="none"/>
              </w:rPr>
              <w:t>磋商小组的人数：3人。</w:t>
            </w:r>
          </w:p>
        </w:tc>
      </w:tr>
      <w:tr w14:paraId="729734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38F50D31">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25.2</w:t>
            </w:r>
          </w:p>
        </w:tc>
        <w:tc>
          <w:tcPr>
            <w:tcW w:w="8004" w:type="dxa"/>
            <w:noWrap w:val="0"/>
            <w:vAlign w:val="center"/>
          </w:tcPr>
          <w:p w14:paraId="7B8FDDE8">
            <w:pPr>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采购代理机构将依托电子交易平台发起开始解密指令，</w:t>
            </w:r>
            <w:r>
              <w:rPr>
                <w:rFonts w:hint="eastAsia" w:ascii="宋体" w:hAnsi="宋体" w:cs="宋体"/>
                <w:b/>
                <w:color w:val="auto"/>
                <w:szCs w:val="21"/>
                <w:highlight w:val="none"/>
              </w:rPr>
              <w:t>供应商的法定代表人或其委托代理人须携带加密时所用的CA锁按平台提示和采购文件的规定登录到广西政府采购云平台电子开标大厅签到并在发起解密指令之时起30分钟内完成对电子响应文件在线解密。</w:t>
            </w:r>
            <w:r>
              <w:rPr>
                <w:rFonts w:hint="eastAsia" w:ascii="宋体" w:hAnsi="宋体"/>
                <w:b/>
                <w:bCs/>
                <w:color w:val="auto"/>
                <w:szCs w:val="21"/>
                <w:highlight w:val="none"/>
              </w:rPr>
              <w:t>响应文件未按时解密的，</w:t>
            </w:r>
            <w:r>
              <w:rPr>
                <w:rFonts w:hint="eastAsia" w:ascii="宋体" w:hAnsi="宋体" w:cs="宋体"/>
                <w:b/>
                <w:color w:val="auto"/>
                <w:szCs w:val="21"/>
                <w:highlight w:val="none"/>
              </w:rPr>
              <w:t>视为响应</w:t>
            </w:r>
            <w:r>
              <w:rPr>
                <w:rFonts w:hint="eastAsia" w:ascii="宋体" w:hAnsi="宋体"/>
                <w:b/>
                <w:bCs/>
                <w:color w:val="auto"/>
                <w:szCs w:val="21"/>
                <w:highlight w:val="none"/>
              </w:rPr>
              <w:t>文件无效。</w:t>
            </w:r>
          </w:p>
        </w:tc>
      </w:tr>
      <w:tr w14:paraId="07F929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88" w:hRule="atLeast"/>
          <w:jc w:val="center"/>
        </w:trPr>
        <w:tc>
          <w:tcPr>
            <w:tcW w:w="992" w:type="dxa"/>
            <w:vMerge w:val="restart"/>
            <w:noWrap w:val="0"/>
            <w:vAlign w:val="center"/>
          </w:tcPr>
          <w:p w14:paraId="64B2FBAD">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6</w:t>
            </w:r>
          </w:p>
        </w:tc>
        <w:tc>
          <w:tcPr>
            <w:tcW w:w="8004" w:type="dxa"/>
            <w:noWrap w:val="0"/>
            <w:vAlign w:val="center"/>
          </w:tcPr>
          <w:p w14:paraId="3385842B">
            <w:pPr>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商务</w:t>
            </w:r>
            <w:r>
              <w:rPr>
                <w:rFonts w:hint="eastAsia" w:ascii="宋体" w:hAnsi="宋体" w:cs="宋体"/>
                <w:color w:val="auto"/>
                <w:szCs w:val="21"/>
                <w:highlight w:val="none"/>
                <w:lang w:val="en-US" w:eastAsia="zh-CN"/>
              </w:rPr>
              <w:t>条款</w:t>
            </w:r>
            <w:r>
              <w:rPr>
                <w:rFonts w:hint="eastAsia" w:ascii="宋体" w:hAnsi="宋体" w:cs="宋体"/>
                <w:color w:val="auto"/>
                <w:szCs w:val="21"/>
                <w:highlight w:val="none"/>
              </w:rPr>
              <w:t>要求评审中允许负偏离的条款数为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0</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项。</w:t>
            </w:r>
          </w:p>
          <w:p w14:paraId="237D2F45">
            <w:pPr>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lang w:val="en-US" w:eastAsia="zh-CN"/>
              </w:rPr>
              <w:t>服务</w:t>
            </w:r>
            <w:r>
              <w:rPr>
                <w:rFonts w:hint="eastAsia" w:ascii="宋体" w:hAnsi="宋体" w:cs="宋体"/>
                <w:color w:val="auto"/>
                <w:szCs w:val="21"/>
                <w:highlight w:val="none"/>
              </w:rPr>
              <w:t>要求评审中允许负偏离的条款数为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0</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项。</w:t>
            </w:r>
          </w:p>
        </w:tc>
      </w:tr>
      <w:tr w14:paraId="6DB122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35" w:hRule="atLeast"/>
          <w:jc w:val="center"/>
        </w:trPr>
        <w:tc>
          <w:tcPr>
            <w:tcW w:w="992" w:type="dxa"/>
            <w:vMerge w:val="continue"/>
            <w:noWrap w:val="0"/>
            <w:vAlign w:val="center"/>
          </w:tcPr>
          <w:p w14:paraId="24575CE7">
            <w:pPr>
              <w:spacing w:line="360" w:lineRule="auto"/>
              <w:jc w:val="center"/>
              <w:rPr>
                <w:rFonts w:hint="eastAsia" w:ascii="宋体" w:hAnsi="宋体" w:cs="宋体"/>
                <w:color w:val="auto"/>
                <w:szCs w:val="21"/>
                <w:highlight w:val="none"/>
              </w:rPr>
            </w:pPr>
          </w:p>
        </w:tc>
        <w:tc>
          <w:tcPr>
            <w:tcW w:w="8004" w:type="dxa"/>
            <w:noWrap w:val="0"/>
            <w:vAlign w:val="center"/>
          </w:tcPr>
          <w:p w14:paraId="6B65AD54">
            <w:pPr>
              <w:pStyle w:val="14"/>
              <w:spacing w:line="360" w:lineRule="auto"/>
              <w:jc w:val="both"/>
              <w:rPr>
                <w:rFonts w:hint="eastAsia" w:ascii="宋体" w:hAnsi="宋体" w:cs="宋体"/>
                <w:color w:val="auto"/>
                <w:szCs w:val="21"/>
                <w:highlight w:val="none"/>
              </w:rPr>
            </w:pPr>
            <w:r>
              <w:rPr>
                <w:rFonts w:hint="eastAsia" w:ascii="宋体" w:hAnsi="宋体" w:cs="宋体"/>
                <w:color w:val="auto"/>
                <w:szCs w:val="21"/>
                <w:highlight w:val="none"/>
              </w:rPr>
              <w:t>磋商的顺序：按“广西政府采购云平台”系统</w:t>
            </w:r>
            <w:r>
              <w:rPr>
                <w:rFonts w:hint="eastAsia" w:ascii="宋体" w:hAnsi="宋体" w:cs="宋体"/>
                <w:color w:val="auto"/>
                <w:szCs w:val="21"/>
                <w:highlight w:val="none"/>
                <w:lang w:val="en-US" w:eastAsia="zh-CN"/>
              </w:rPr>
              <w:t>自动提取</w:t>
            </w:r>
            <w:r>
              <w:rPr>
                <w:rFonts w:hint="eastAsia" w:ascii="宋体" w:hAnsi="宋体" w:cs="宋体"/>
                <w:color w:val="auto"/>
                <w:szCs w:val="21"/>
                <w:highlight w:val="none"/>
              </w:rPr>
              <w:t>顺序。</w:t>
            </w:r>
          </w:p>
          <w:p w14:paraId="32515C53">
            <w:pPr>
              <w:pStyle w:val="14"/>
              <w:spacing w:line="360" w:lineRule="auto"/>
              <w:jc w:val="both"/>
              <w:rPr>
                <w:rFonts w:hint="eastAsia" w:ascii="宋体" w:hAnsi="宋体" w:cs="宋体"/>
                <w:b/>
                <w:color w:val="auto"/>
                <w:szCs w:val="21"/>
                <w:highlight w:val="none"/>
              </w:rPr>
            </w:pPr>
            <w:r>
              <w:rPr>
                <w:rFonts w:hint="eastAsia" w:ascii="宋体" w:hAnsi="宋体" w:cs="宋体"/>
                <w:b/>
                <w:color w:val="auto"/>
                <w:szCs w:val="21"/>
                <w:highlight w:val="none"/>
              </w:rPr>
              <w:t>符合磋商资格的供应商必须在接到磋商通知后规定时间内参加磋商，未在规定时间内参加磋商的视同放弃参加磋商权利，其响应文件按无效响应处理。</w:t>
            </w:r>
          </w:p>
        </w:tc>
      </w:tr>
      <w:tr w14:paraId="5A5DDE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49E709E4">
            <w:pPr>
              <w:spacing w:line="360" w:lineRule="auto"/>
              <w:jc w:val="center"/>
              <w:rPr>
                <w:rFonts w:hint="eastAsia" w:ascii="宋体" w:hAnsi="宋体" w:cs="宋体"/>
                <w:color w:val="auto"/>
                <w:szCs w:val="21"/>
                <w:highlight w:val="none"/>
              </w:rPr>
            </w:pPr>
            <w:r>
              <w:rPr>
                <w:rFonts w:ascii="宋体" w:hAnsi="宋体" w:cs="宋体"/>
                <w:color w:val="auto"/>
                <w:szCs w:val="21"/>
                <w:highlight w:val="none"/>
              </w:rPr>
              <w:t>28.1</w:t>
            </w:r>
          </w:p>
        </w:tc>
        <w:tc>
          <w:tcPr>
            <w:tcW w:w="8004" w:type="dxa"/>
            <w:noWrap w:val="0"/>
            <w:vAlign w:val="center"/>
          </w:tcPr>
          <w:p w14:paraId="7D6194D6">
            <w:pPr>
              <w:autoSpaceDE w:val="0"/>
              <w:autoSpaceDN w:val="0"/>
              <w:snapToGrid w:val="0"/>
              <w:spacing w:line="440" w:lineRule="exact"/>
              <w:textAlignment w:val="bottom"/>
              <w:rPr>
                <w:rFonts w:hint="eastAsia" w:ascii="宋体" w:hAnsi="宋体" w:cs="宋体"/>
                <w:color w:val="auto"/>
                <w:szCs w:val="21"/>
                <w:highlight w:val="none"/>
              </w:rPr>
            </w:pP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本项目收取履约保证金。</w:t>
            </w:r>
          </w:p>
          <w:p w14:paraId="4CC06E59">
            <w:pPr>
              <w:numPr>
                <w:ilvl w:val="-1"/>
                <w:numId w:val="0"/>
              </w:numPr>
              <w:autoSpaceDE w:val="0"/>
              <w:autoSpaceDN w:val="0"/>
              <w:snapToGrid w:val="0"/>
              <w:spacing w:line="440" w:lineRule="exact"/>
              <w:textAlignment w:val="bottom"/>
              <w:rPr>
                <w:rFonts w:hint="eastAsia" w:ascii="宋体" w:hAnsi="宋体" w:cs="宋体"/>
                <w:iCs/>
                <w:color w:val="auto"/>
                <w:szCs w:val="21"/>
                <w:highlight w:val="none"/>
              </w:rPr>
            </w:pPr>
            <w:r>
              <w:rPr>
                <w:rFonts w:hint="eastAsia" w:ascii="宋体" w:hAnsi="宋体" w:cs="宋体"/>
                <w:iCs/>
                <w:color w:val="auto"/>
                <w:szCs w:val="21"/>
                <w:highlight w:val="none"/>
              </w:rPr>
              <w:t>履约保证金金额：按</w:t>
            </w:r>
            <w:r>
              <w:rPr>
                <w:rFonts w:hint="eastAsia" w:asciiTheme="minorEastAsia" w:hAnsiTheme="minorEastAsia" w:eastAsiaTheme="minorEastAsia" w:cstheme="minorEastAsia"/>
                <w:sz w:val="21"/>
                <w:szCs w:val="21"/>
                <w:shd w:val="clear" w:color="auto" w:fill="FFFFFF"/>
                <w:lang w:val="en-US" w:eastAsia="zh-CN"/>
              </w:rPr>
              <w:t>合同</w:t>
            </w:r>
            <w:r>
              <w:rPr>
                <w:rFonts w:hint="eastAsia" w:asciiTheme="minorEastAsia" w:hAnsiTheme="minorEastAsia" w:eastAsiaTheme="minorEastAsia" w:cstheme="minorEastAsia"/>
                <w:sz w:val="21"/>
                <w:szCs w:val="21"/>
                <w:shd w:val="clear" w:color="auto" w:fill="FFFFFF"/>
              </w:rPr>
              <w:t>金额的</w:t>
            </w:r>
            <w:r>
              <w:rPr>
                <w:rFonts w:hint="eastAsia" w:asciiTheme="minorEastAsia" w:hAnsiTheme="minorEastAsia" w:eastAsiaTheme="minorEastAsia" w:cstheme="minorEastAsia"/>
                <w:sz w:val="21"/>
                <w:szCs w:val="21"/>
                <w:shd w:val="clear" w:color="auto" w:fill="FFFFFF"/>
                <w:lang w:val="en-US" w:eastAsia="zh-CN"/>
              </w:rPr>
              <w:t>2</w:t>
            </w:r>
            <w:r>
              <w:rPr>
                <w:rFonts w:hint="eastAsia" w:asciiTheme="minorEastAsia" w:hAnsiTheme="minorEastAsia" w:eastAsiaTheme="minorEastAsia" w:cstheme="minorEastAsia"/>
                <w:sz w:val="21"/>
                <w:szCs w:val="21"/>
                <w:shd w:val="clear" w:color="auto" w:fill="FFFFFF"/>
              </w:rPr>
              <w:t xml:space="preserve"> %</w:t>
            </w:r>
            <w:r>
              <w:rPr>
                <w:rFonts w:hint="eastAsia" w:asciiTheme="minorEastAsia" w:hAnsiTheme="minorEastAsia" w:eastAsiaTheme="minorEastAsia" w:cstheme="minorEastAsia"/>
                <w:sz w:val="21"/>
                <w:szCs w:val="21"/>
                <w:shd w:val="clear" w:color="auto" w:fill="FFFFFF"/>
                <w:lang w:eastAsia="zh-CN"/>
              </w:rPr>
              <w:t>（</w:t>
            </w:r>
            <w:r>
              <w:rPr>
                <w:rFonts w:hint="eastAsia" w:asciiTheme="minorEastAsia" w:hAnsiTheme="minorEastAsia" w:eastAsiaTheme="minorEastAsia" w:cstheme="minorEastAsia"/>
                <w:sz w:val="21"/>
                <w:szCs w:val="21"/>
                <w:shd w:val="clear" w:color="auto" w:fill="FFFFFF"/>
                <w:lang w:val="en-US" w:eastAsia="zh-CN"/>
              </w:rPr>
              <w:t>¥48000.00元</w:t>
            </w:r>
            <w:r>
              <w:rPr>
                <w:rFonts w:hint="eastAsia" w:asciiTheme="minorEastAsia" w:hAnsiTheme="minorEastAsia" w:eastAsiaTheme="minorEastAsia" w:cstheme="minorEastAsia"/>
                <w:sz w:val="21"/>
                <w:szCs w:val="21"/>
                <w:shd w:val="clear" w:color="auto" w:fill="FFFFFF"/>
                <w:lang w:eastAsia="zh-CN"/>
              </w:rPr>
              <w:t>）</w:t>
            </w:r>
            <w:r>
              <w:rPr>
                <w:rFonts w:hint="eastAsia" w:ascii="宋体" w:hAnsi="宋体" w:cs="宋体"/>
                <w:iCs/>
                <w:color w:val="auto"/>
                <w:szCs w:val="21"/>
                <w:highlight w:val="none"/>
              </w:rPr>
              <w:t>向采购人支付履约保证金，在合同签订前提交至指定账户或保函原件交至采购人保管。</w:t>
            </w:r>
          </w:p>
          <w:p w14:paraId="14F9412B">
            <w:pPr>
              <w:autoSpaceDE w:val="0"/>
              <w:autoSpaceDN w:val="0"/>
              <w:snapToGrid w:val="0"/>
              <w:spacing w:line="440" w:lineRule="exact"/>
              <w:textAlignment w:val="bottom"/>
              <w:rPr>
                <w:rFonts w:hint="eastAsia" w:ascii="宋体" w:hAnsi="宋体" w:cs="宋体"/>
                <w:iCs/>
                <w:color w:val="auto"/>
                <w:szCs w:val="21"/>
                <w:highlight w:val="none"/>
              </w:rPr>
            </w:pPr>
            <w:r>
              <w:rPr>
                <w:rFonts w:hint="eastAsia" w:ascii="宋体" w:hAnsi="宋体" w:cs="宋体"/>
                <w:iCs/>
                <w:color w:val="auto"/>
                <w:szCs w:val="21"/>
                <w:highlight w:val="none"/>
              </w:rPr>
              <w:t>（2）递交方式：以银行转账、支票、汇票、本票或者金融机构、担保机构出具的保函等非现金形式提交。</w:t>
            </w:r>
          </w:p>
          <w:p w14:paraId="0DAA4F2F">
            <w:pPr>
              <w:autoSpaceDE w:val="0"/>
              <w:autoSpaceDN w:val="0"/>
              <w:snapToGrid w:val="0"/>
              <w:spacing w:line="440" w:lineRule="exact"/>
              <w:textAlignment w:val="bottom"/>
              <w:rPr>
                <w:rFonts w:hint="eastAsia" w:ascii="宋体" w:hAnsi="宋体" w:cs="宋体"/>
                <w:iCs/>
                <w:color w:val="auto"/>
                <w:szCs w:val="21"/>
                <w:highlight w:val="none"/>
              </w:rPr>
            </w:pPr>
            <w:r>
              <w:rPr>
                <w:rFonts w:hint="eastAsia" w:ascii="宋体" w:hAnsi="宋体" w:cs="宋体"/>
                <w:iCs/>
                <w:color w:val="auto"/>
                <w:szCs w:val="21"/>
                <w:highlight w:val="none"/>
              </w:rPr>
              <w:t>（3）履约保证金退付方式、时间及条件：本项目服务期满，</w:t>
            </w:r>
            <w:r>
              <w:rPr>
                <w:rFonts w:hint="eastAsia" w:ascii="宋体" w:hAnsi="宋体" w:cs="宋体"/>
                <w:iCs/>
                <w:color w:val="auto"/>
                <w:szCs w:val="21"/>
                <w:highlight w:val="none"/>
                <w:lang w:eastAsia="zh-CN"/>
              </w:rPr>
              <w:t>成交供应商</w:t>
            </w:r>
            <w:r>
              <w:rPr>
                <w:rFonts w:hint="eastAsia" w:ascii="宋体" w:hAnsi="宋体" w:cs="宋体"/>
                <w:iCs/>
                <w:color w:val="auto"/>
                <w:szCs w:val="21"/>
                <w:highlight w:val="none"/>
              </w:rPr>
              <w:t>履行完服务义务且无违约情况下无息退付。由</w:t>
            </w:r>
            <w:r>
              <w:rPr>
                <w:rFonts w:hint="eastAsia" w:ascii="宋体" w:hAnsi="宋体" w:cs="宋体"/>
                <w:iCs/>
                <w:color w:val="auto"/>
                <w:szCs w:val="21"/>
                <w:highlight w:val="none"/>
                <w:lang w:eastAsia="zh-CN"/>
              </w:rPr>
              <w:t>成交供应商</w:t>
            </w:r>
            <w:r>
              <w:rPr>
                <w:rFonts w:hint="eastAsia" w:ascii="宋体" w:hAnsi="宋体" w:cs="宋体"/>
                <w:iCs/>
                <w:color w:val="auto"/>
                <w:szCs w:val="21"/>
                <w:highlight w:val="none"/>
              </w:rPr>
              <w:t>向履约保证金收取单位提供《广西壮族自治区政府采购项目合同验收书》（详见桂财采〔2015〕22号），保证金收取单位在收到合格材料后5个工作日内办理退还手续。</w:t>
            </w:r>
          </w:p>
          <w:p w14:paraId="6920F298">
            <w:pPr>
              <w:autoSpaceDE w:val="0"/>
              <w:autoSpaceDN w:val="0"/>
              <w:snapToGrid w:val="0"/>
              <w:spacing w:line="440" w:lineRule="exact"/>
              <w:textAlignment w:val="bottom"/>
              <w:rPr>
                <w:rFonts w:hint="eastAsia" w:ascii="宋体" w:hAnsi="宋体" w:cs="宋体"/>
                <w:iCs/>
                <w:color w:val="auto"/>
                <w:szCs w:val="21"/>
                <w:highlight w:val="none"/>
              </w:rPr>
            </w:pPr>
            <w:r>
              <w:rPr>
                <w:rFonts w:hint="eastAsia" w:ascii="宋体" w:hAnsi="宋体" w:cs="宋体"/>
                <w:iCs/>
                <w:color w:val="auto"/>
                <w:szCs w:val="21"/>
                <w:highlight w:val="none"/>
              </w:rPr>
              <w:t>履约保证金指定账户：</w:t>
            </w:r>
          </w:p>
          <w:p w14:paraId="5EBA37B6">
            <w:pPr>
              <w:autoSpaceDE w:val="0"/>
              <w:autoSpaceDN w:val="0"/>
              <w:snapToGrid w:val="0"/>
              <w:spacing w:line="440" w:lineRule="exact"/>
              <w:textAlignment w:val="bottom"/>
              <w:rPr>
                <w:rFonts w:hint="eastAsia" w:ascii="宋体" w:hAnsi="宋体" w:eastAsia="宋体" w:cs="宋体"/>
                <w:iCs/>
                <w:color w:val="auto"/>
                <w:szCs w:val="21"/>
                <w:highlight w:val="none"/>
              </w:rPr>
            </w:pPr>
            <w:r>
              <w:rPr>
                <w:rFonts w:hint="eastAsia" w:ascii="宋体" w:hAnsi="宋体" w:cs="宋体"/>
                <w:iCs/>
                <w:color w:val="auto"/>
                <w:szCs w:val="21"/>
                <w:highlight w:val="none"/>
              </w:rPr>
              <w:t>开户名称</w:t>
            </w:r>
            <w:r>
              <w:rPr>
                <w:rFonts w:hint="eastAsia" w:ascii="宋体" w:hAnsi="宋体" w:eastAsia="宋体" w:cs="宋体"/>
                <w:iCs/>
                <w:color w:val="auto"/>
                <w:szCs w:val="21"/>
                <w:highlight w:val="none"/>
              </w:rPr>
              <w:t>：广西医科大学第一附属医院</w:t>
            </w:r>
            <w:r>
              <w:rPr>
                <w:rFonts w:hint="eastAsia" w:ascii="宋体" w:hAnsi="宋体" w:eastAsia="宋体" w:cs="宋体"/>
                <w:iCs/>
                <w:color w:val="auto"/>
                <w:szCs w:val="21"/>
                <w:highlight w:val="none"/>
              </w:rPr>
              <w:tab/>
            </w:r>
          </w:p>
          <w:p w14:paraId="1893141D">
            <w:pPr>
              <w:autoSpaceDE w:val="0"/>
              <w:autoSpaceDN w:val="0"/>
              <w:snapToGrid w:val="0"/>
              <w:spacing w:line="440" w:lineRule="exact"/>
              <w:textAlignment w:val="bottom"/>
              <w:rPr>
                <w:rFonts w:hint="eastAsia" w:ascii="宋体" w:hAnsi="宋体" w:eastAsia="宋体" w:cs="宋体"/>
                <w:iCs/>
                <w:color w:val="auto"/>
                <w:szCs w:val="21"/>
                <w:highlight w:val="none"/>
              </w:rPr>
            </w:pPr>
            <w:r>
              <w:rPr>
                <w:rFonts w:hint="eastAsia" w:ascii="宋体" w:hAnsi="宋体" w:eastAsia="宋体" w:cs="宋体"/>
                <w:iCs/>
                <w:color w:val="auto"/>
                <w:szCs w:val="21"/>
                <w:highlight w:val="none"/>
              </w:rPr>
              <w:t>开户银行：45001604560050501061</w:t>
            </w:r>
          </w:p>
          <w:p w14:paraId="7A235475">
            <w:pPr>
              <w:autoSpaceDE w:val="0"/>
              <w:autoSpaceDN w:val="0"/>
              <w:snapToGrid w:val="0"/>
              <w:spacing w:line="440" w:lineRule="exact"/>
              <w:textAlignment w:val="bottom"/>
              <w:rPr>
                <w:rFonts w:hint="eastAsia" w:ascii="宋体" w:hAnsi="宋体" w:eastAsia="宋体" w:cs="宋体"/>
                <w:iCs/>
                <w:color w:val="auto"/>
                <w:szCs w:val="21"/>
                <w:highlight w:val="none"/>
              </w:rPr>
            </w:pPr>
            <w:r>
              <w:rPr>
                <w:rFonts w:hint="eastAsia" w:ascii="宋体" w:hAnsi="宋体" w:eastAsia="宋体" w:cs="宋体"/>
                <w:iCs/>
                <w:color w:val="auto"/>
                <w:szCs w:val="21"/>
                <w:highlight w:val="none"/>
              </w:rPr>
              <w:t xml:space="preserve">开户行：中国建设银行股份有限公司南宁医科大支行  </w:t>
            </w:r>
          </w:p>
          <w:p w14:paraId="359A4870">
            <w:pPr>
              <w:autoSpaceDE w:val="0"/>
              <w:autoSpaceDN w:val="0"/>
              <w:snapToGrid w:val="0"/>
              <w:spacing w:line="440" w:lineRule="exact"/>
              <w:textAlignment w:val="bottom"/>
              <w:rPr>
                <w:rFonts w:hint="eastAsia" w:ascii="宋体" w:hAnsi="宋体" w:cs="宋体"/>
                <w:b/>
                <w:iCs/>
                <w:color w:val="auto"/>
                <w:szCs w:val="21"/>
                <w:highlight w:val="none"/>
              </w:rPr>
            </w:pPr>
            <w:r>
              <w:rPr>
                <w:rFonts w:hint="eastAsia" w:ascii="宋体" w:hAnsi="宋体" w:cs="宋体"/>
                <w:b/>
                <w:iCs/>
                <w:color w:val="auto"/>
                <w:szCs w:val="21"/>
                <w:highlight w:val="none"/>
              </w:rPr>
              <w:t>备注：</w:t>
            </w:r>
          </w:p>
          <w:p w14:paraId="6DA79038">
            <w:pPr>
              <w:autoSpaceDE w:val="0"/>
              <w:autoSpaceDN w:val="0"/>
              <w:snapToGrid w:val="0"/>
              <w:spacing w:line="440" w:lineRule="exact"/>
              <w:textAlignment w:val="bottom"/>
              <w:rPr>
                <w:rFonts w:hint="eastAsia" w:ascii="宋体" w:hAnsi="宋体" w:cs="宋体"/>
                <w:b/>
                <w:iCs/>
                <w:color w:val="auto"/>
                <w:szCs w:val="21"/>
                <w:highlight w:val="none"/>
              </w:rPr>
            </w:pPr>
            <w:r>
              <w:rPr>
                <w:rFonts w:hint="eastAsia" w:ascii="宋体" w:hAnsi="宋体" w:cs="宋体"/>
                <w:b/>
                <w:iCs/>
                <w:color w:val="auto"/>
                <w:szCs w:val="21"/>
                <w:highlight w:val="none"/>
              </w:rPr>
              <w:t>1.根据《广西壮族自治区财政厅关于贯彻落实政府采购优化营商环境百日攻坚行动方案的通知》（桂财采〔2020〕49号）规定、</w:t>
            </w:r>
            <w:r>
              <w:rPr>
                <w:rFonts w:hint="eastAsia" w:ascii="宋体" w:hAnsi="宋体" w:cs="宋体"/>
                <w:b/>
                <w:iCs/>
                <w:color w:val="auto"/>
                <w:szCs w:val="21"/>
                <w:highlight w:val="none"/>
                <w:lang w:eastAsia="zh-CN"/>
              </w:rPr>
              <w:t>《</w:t>
            </w:r>
            <w:r>
              <w:rPr>
                <w:rFonts w:hint="eastAsia" w:ascii="宋体" w:hAnsi="宋体" w:cs="宋体"/>
                <w:b/>
                <w:iCs/>
                <w:color w:val="auto"/>
                <w:szCs w:val="21"/>
                <w:highlight w:val="none"/>
              </w:rPr>
              <w:t>广西壮族自治区财政厅关于规范政府采购货物和服务项目保证金管理的通知</w:t>
            </w:r>
            <w:r>
              <w:rPr>
                <w:rFonts w:hint="eastAsia" w:ascii="宋体" w:hAnsi="宋体" w:cs="宋体"/>
                <w:b/>
                <w:iCs/>
                <w:color w:val="auto"/>
                <w:szCs w:val="21"/>
                <w:highlight w:val="none"/>
                <w:lang w:eastAsia="zh-CN"/>
              </w:rPr>
              <w:t>》</w:t>
            </w:r>
            <w:r>
              <w:rPr>
                <w:rFonts w:hint="eastAsia" w:ascii="宋体" w:hAnsi="宋体" w:cs="宋体"/>
                <w:b/>
                <w:iCs/>
                <w:color w:val="auto"/>
                <w:szCs w:val="21"/>
                <w:highlight w:val="none"/>
              </w:rPr>
              <w:t>（桂财规〔2022〕8号 ）和《广西壮族自治区财政厅关于持续优化政府采购营商环境推动高质量发展的通知》（桂财采〔2024〕55 号），采购文件要求中标或者</w:t>
            </w:r>
            <w:r>
              <w:rPr>
                <w:rFonts w:hint="eastAsia" w:ascii="宋体" w:hAnsi="宋体" w:cs="宋体"/>
                <w:b/>
                <w:iCs/>
                <w:color w:val="auto"/>
                <w:szCs w:val="21"/>
                <w:highlight w:val="none"/>
                <w:lang w:eastAsia="zh-CN"/>
              </w:rPr>
              <w:t>成交供应商</w:t>
            </w:r>
            <w:r>
              <w:rPr>
                <w:rFonts w:hint="eastAsia" w:ascii="宋体" w:hAnsi="宋体" w:cs="宋体"/>
                <w:b/>
                <w:iCs/>
                <w:color w:val="auto"/>
                <w:szCs w:val="21"/>
                <w:highlight w:val="none"/>
              </w:rPr>
              <w:t>提交履约保证金的，履约保证金数额不得超过政府采购合同金额的5%，对中小企业收取的履约保证金数额不得超过政府采购合同金额的2%。采购人可根据供应商的资信等情况减免履约保证金。</w:t>
            </w:r>
          </w:p>
          <w:p w14:paraId="0A6772AD">
            <w:pPr>
              <w:autoSpaceDE w:val="0"/>
              <w:autoSpaceDN w:val="0"/>
              <w:snapToGrid w:val="0"/>
              <w:spacing w:line="440" w:lineRule="exact"/>
              <w:textAlignment w:val="bottom"/>
              <w:rPr>
                <w:rFonts w:hint="eastAsia" w:ascii="宋体" w:hAnsi="宋体" w:cs="宋体"/>
                <w:b/>
                <w:iCs/>
                <w:color w:val="auto"/>
                <w:szCs w:val="21"/>
                <w:highlight w:val="none"/>
              </w:rPr>
            </w:pPr>
            <w:r>
              <w:rPr>
                <w:rFonts w:hint="eastAsia" w:ascii="宋体" w:hAnsi="宋体" w:cs="宋体"/>
                <w:b/>
                <w:iCs/>
                <w:color w:val="auto"/>
                <w:szCs w:val="21"/>
                <w:highlight w:val="none"/>
              </w:rPr>
              <w:t>2.履约保证金不足额缴纳的（包含保函额度不足的），或者不按规定提交方式提交的，或者保函有效期低于合同履行期限（即合同中规定的当事人履行自己的义务，如交付标的物、价款或者报酬，履行劳务、完成工作的时间界限）的，不予签订合同。</w:t>
            </w:r>
          </w:p>
          <w:p w14:paraId="4EBC979E">
            <w:pPr>
              <w:autoSpaceDE w:val="0"/>
              <w:autoSpaceDN w:val="0"/>
              <w:snapToGrid w:val="0"/>
              <w:spacing w:line="440" w:lineRule="exact"/>
              <w:jc w:val="left"/>
              <w:textAlignment w:val="bottom"/>
              <w:rPr>
                <w:rFonts w:hint="eastAsia" w:ascii="宋体" w:hAnsi="宋体" w:cs="宋体"/>
                <w:color w:val="auto"/>
                <w:szCs w:val="21"/>
                <w:highlight w:val="none"/>
              </w:rPr>
            </w:pPr>
            <w:r>
              <w:rPr>
                <w:rFonts w:hint="eastAsia" w:ascii="宋体" w:hAnsi="宋体" w:cs="宋体"/>
                <w:b/>
                <w:iCs/>
                <w:color w:val="auto"/>
                <w:szCs w:val="21"/>
                <w:highlight w:val="none"/>
              </w:rPr>
              <w:t>3.采用银行、保险机构出具的保函的，必须为无条件保函，否则不予签订合同。</w:t>
            </w:r>
          </w:p>
        </w:tc>
      </w:tr>
      <w:tr w14:paraId="6A26FB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64B7551A">
            <w:pPr>
              <w:spacing w:line="360" w:lineRule="auto"/>
              <w:jc w:val="center"/>
              <w:rPr>
                <w:rFonts w:hint="eastAsia" w:ascii="宋体" w:hAnsi="宋体" w:cs="宋体"/>
                <w:color w:val="auto"/>
                <w:szCs w:val="21"/>
                <w:highlight w:val="none"/>
              </w:rPr>
            </w:pPr>
            <w:r>
              <w:rPr>
                <w:rFonts w:ascii="宋体" w:hAnsi="宋体" w:cs="宋体"/>
                <w:color w:val="auto"/>
                <w:szCs w:val="21"/>
                <w:highlight w:val="none"/>
              </w:rPr>
              <w:t>29.1</w:t>
            </w:r>
          </w:p>
        </w:tc>
        <w:tc>
          <w:tcPr>
            <w:tcW w:w="8004" w:type="dxa"/>
            <w:noWrap w:val="0"/>
            <w:vAlign w:val="center"/>
          </w:tcPr>
          <w:p w14:paraId="44EF2501">
            <w:pPr>
              <w:autoSpaceDE w:val="0"/>
              <w:autoSpaceDN w:val="0"/>
              <w:snapToGrid w:val="0"/>
              <w:spacing w:line="360" w:lineRule="auto"/>
              <w:textAlignment w:val="bottom"/>
              <w:rPr>
                <w:rFonts w:hint="eastAsia" w:ascii="宋体" w:hAnsi="宋体"/>
                <w:color w:val="auto"/>
                <w:szCs w:val="21"/>
                <w:highlight w:val="none"/>
              </w:rPr>
            </w:pPr>
            <w:r>
              <w:rPr>
                <w:rFonts w:hint="eastAsia" w:ascii="宋体" w:hAnsi="宋体"/>
                <w:color w:val="auto"/>
                <w:szCs w:val="21"/>
                <w:highlight w:val="none"/>
              </w:rPr>
              <w:t>签订合同携带的证明材料：</w:t>
            </w:r>
          </w:p>
          <w:p w14:paraId="51CBEF67">
            <w:pPr>
              <w:autoSpaceDE w:val="0"/>
              <w:autoSpaceDN w:val="0"/>
              <w:snapToGrid w:val="0"/>
              <w:spacing w:line="360" w:lineRule="auto"/>
              <w:textAlignment w:val="bottom"/>
              <w:rPr>
                <w:rFonts w:hint="eastAsia"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val="en-US" w:eastAsia="zh-CN"/>
              </w:rPr>
              <w:t>.</w:t>
            </w:r>
            <w:r>
              <w:rPr>
                <w:rFonts w:hint="eastAsia" w:ascii="宋体" w:hAnsi="宋体"/>
                <w:color w:val="auto"/>
                <w:szCs w:val="21"/>
                <w:highlight w:val="none"/>
              </w:rPr>
              <w:t>委托代理人负责签订合同的，须携带授权委托书及委托代理人身份证原件等其他资格证件。</w:t>
            </w:r>
          </w:p>
          <w:p w14:paraId="0645197C">
            <w:pPr>
              <w:snapToGrid w:val="0"/>
              <w:spacing w:line="360" w:lineRule="auto"/>
              <w:rPr>
                <w:rFonts w:hint="eastAsia" w:ascii="宋体" w:hAnsi="宋体"/>
                <w:color w:val="auto"/>
                <w:szCs w:val="21"/>
                <w:highlight w:val="none"/>
              </w:rPr>
            </w:pPr>
            <w:r>
              <w:rPr>
                <w:rFonts w:hint="eastAsia" w:ascii="宋体" w:hAnsi="宋体"/>
                <w:color w:val="auto"/>
                <w:szCs w:val="21"/>
                <w:highlight w:val="none"/>
              </w:rPr>
              <w:t>2</w:t>
            </w:r>
            <w:r>
              <w:rPr>
                <w:rFonts w:hint="eastAsia" w:ascii="宋体" w:hAnsi="宋体"/>
                <w:color w:val="auto"/>
                <w:szCs w:val="21"/>
                <w:highlight w:val="none"/>
                <w:lang w:val="en-US" w:eastAsia="zh-CN"/>
              </w:rPr>
              <w:t>.</w:t>
            </w:r>
            <w:r>
              <w:rPr>
                <w:rFonts w:hint="eastAsia" w:ascii="宋体" w:hAnsi="宋体"/>
                <w:color w:val="auto"/>
                <w:szCs w:val="21"/>
                <w:highlight w:val="none"/>
              </w:rPr>
              <w:t>法定代表人负责签订合同的，须携带法定代表人</w:t>
            </w:r>
            <w:r>
              <w:rPr>
                <w:rFonts w:ascii="宋体" w:hAnsi="宋体"/>
                <w:color w:val="auto"/>
                <w:szCs w:val="21"/>
                <w:highlight w:val="none"/>
              </w:rPr>
              <w:t>身份证明</w:t>
            </w:r>
            <w:r>
              <w:rPr>
                <w:rFonts w:hint="eastAsia" w:ascii="宋体" w:hAnsi="宋体"/>
                <w:color w:val="auto"/>
                <w:szCs w:val="21"/>
                <w:highlight w:val="none"/>
                <w:lang w:eastAsia="zh-CN"/>
              </w:rPr>
              <w:t>复印件等</w:t>
            </w:r>
            <w:r>
              <w:rPr>
                <w:rFonts w:hint="eastAsia" w:ascii="宋体" w:hAnsi="宋体"/>
                <w:color w:val="auto"/>
                <w:szCs w:val="21"/>
                <w:highlight w:val="none"/>
              </w:rPr>
              <w:t>证明材料。</w:t>
            </w:r>
          </w:p>
        </w:tc>
      </w:tr>
      <w:tr w14:paraId="17D5B8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0557A9F0">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3</w:t>
            </w:r>
            <w:r>
              <w:rPr>
                <w:rFonts w:ascii="宋体" w:hAnsi="宋体" w:cs="宋体"/>
                <w:color w:val="auto"/>
                <w:szCs w:val="21"/>
                <w:highlight w:val="none"/>
              </w:rPr>
              <w:t>1.2</w:t>
            </w:r>
          </w:p>
        </w:tc>
        <w:tc>
          <w:tcPr>
            <w:tcW w:w="8004" w:type="dxa"/>
            <w:noWrap w:val="0"/>
            <w:vAlign w:val="center"/>
          </w:tcPr>
          <w:p w14:paraId="66E6CCF2">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Theme="minorEastAsia" w:hAnsiTheme="minorEastAsia" w:eastAsiaTheme="minorEastAsia" w:cstheme="minorEastAsia"/>
                <w:color w:val="000000"/>
                <w:sz w:val="21"/>
                <w:szCs w:val="21"/>
                <w:highlight w:val="none"/>
              </w:rPr>
            </w:pPr>
            <w:r>
              <w:rPr>
                <w:rFonts w:hint="eastAsia" w:asciiTheme="minorEastAsia" w:hAnsiTheme="minorEastAsia" w:eastAsiaTheme="minorEastAsia" w:cstheme="minorEastAsia"/>
                <w:color w:val="000000"/>
                <w:sz w:val="21"/>
                <w:szCs w:val="21"/>
                <w:highlight w:val="none"/>
              </w:rPr>
              <w:t>（1）</w:t>
            </w:r>
            <w:r>
              <w:rPr>
                <w:rFonts w:hint="eastAsia" w:asciiTheme="minorEastAsia" w:hAnsiTheme="minorEastAsia" w:eastAsiaTheme="minorEastAsia" w:cstheme="minorEastAsia"/>
                <w:color w:val="000000"/>
                <w:sz w:val="21"/>
                <w:szCs w:val="21"/>
                <w:highlight w:val="none"/>
                <w:u w:val="single"/>
              </w:rPr>
              <w:t xml:space="preserve">广西德元工程项目管理有限责任公司  招标  </w:t>
            </w:r>
            <w:r>
              <w:rPr>
                <w:rFonts w:hint="eastAsia" w:asciiTheme="minorEastAsia" w:hAnsiTheme="minorEastAsia" w:eastAsiaTheme="minorEastAsia" w:cstheme="minorEastAsia"/>
                <w:color w:val="000000"/>
                <w:sz w:val="21"/>
                <w:szCs w:val="21"/>
                <w:highlight w:val="none"/>
              </w:rPr>
              <w:t>部门；</w:t>
            </w:r>
          </w:p>
          <w:p w14:paraId="1859B3AB">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Theme="minorEastAsia" w:hAnsiTheme="minorEastAsia" w:eastAsiaTheme="minorEastAsia" w:cstheme="minorEastAsia"/>
                <w:color w:val="000000"/>
                <w:sz w:val="21"/>
                <w:szCs w:val="21"/>
                <w:highlight w:val="none"/>
              </w:rPr>
            </w:pPr>
            <w:r>
              <w:rPr>
                <w:rFonts w:hint="eastAsia" w:asciiTheme="minorEastAsia" w:hAnsiTheme="minorEastAsia" w:eastAsiaTheme="minorEastAsia" w:cstheme="minorEastAsia"/>
                <w:color w:val="000000"/>
                <w:sz w:val="21"/>
                <w:szCs w:val="21"/>
                <w:highlight w:val="none"/>
              </w:rPr>
              <w:t>联系电话：0771-8028710</w:t>
            </w:r>
          </w:p>
          <w:p w14:paraId="256FF57B">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Theme="minorEastAsia" w:hAnsiTheme="minorEastAsia" w:eastAsiaTheme="minorEastAsia" w:cstheme="minorEastAsia"/>
                <w:color w:val="000000"/>
                <w:sz w:val="21"/>
                <w:szCs w:val="21"/>
                <w:highlight w:val="none"/>
              </w:rPr>
            </w:pPr>
            <w:r>
              <w:rPr>
                <w:rFonts w:hint="eastAsia" w:asciiTheme="minorEastAsia" w:hAnsiTheme="minorEastAsia" w:eastAsiaTheme="minorEastAsia" w:cstheme="minorEastAsia"/>
                <w:color w:val="000000"/>
                <w:sz w:val="21"/>
                <w:szCs w:val="21"/>
                <w:highlight w:val="none"/>
              </w:rPr>
              <w:t xml:space="preserve">通讯地址：南宁市良庆区凯旋路15号绿地中心七号楼八楼 </w:t>
            </w:r>
          </w:p>
          <w:p w14:paraId="524F844C">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Theme="minorEastAsia" w:hAnsiTheme="minorEastAsia" w:eastAsiaTheme="minorEastAsia" w:cstheme="minorEastAsia"/>
                <w:color w:val="000000"/>
                <w:sz w:val="21"/>
                <w:szCs w:val="21"/>
                <w:highlight w:val="none"/>
              </w:rPr>
            </w:pPr>
            <w:r>
              <w:rPr>
                <w:rFonts w:hint="eastAsia" w:asciiTheme="minorEastAsia" w:hAnsiTheme="minorEastAsia" w:eastAsiaTheme="minorEastAsia" w:cstheme="minorEastAsia"/>
                <w:color w:val="000000"/>
                <w:sz w:val="21"/>
                <w:szCs w:val="21"/>
                <w:highlight w:val="none"/>
              </w:rPr>
              <w:t>（2）</w:t>
            </w:r>
            <w:r>
              <w:rPr>
                <w:rFonts w:hint="eastAsia" w:asciiTheme="minorEastAsia" w:hAnsiTheme="minorEastAsia" w:eastAsiaTheme="minorEastAsia" w:cstheme="minorEastAsia"/>
                <w:color w:val="000000"/>
                <w:sz w:val="21"/>
                <w:szCs w:val="21"/>
                <w:highlight w:val="none"/>
                <w:u w:val="single"/>
                <w:lang w:eastAsia="zh-CN"/>
              </w:rPr>
              <w:t>广西医科大学第一附属医院，国</w:t>
            </w:r>
            <w:r>
              <w:rPr>
                <w:rFonts w:hint="eastAsia" w:asciiTheme="minorEastAsia" w:hAnsiTheme="minorEastAsia" w:eastAsiaTheme="minorEastAsia" w:cstheme="minorEastAsia"/>
                <w:color w:val="000000"/>
                <w:sz w:val="21"/>
                <w:szCs w:val="21"/>
                <w:highlight w:val="none"/>
                <w:u w:val="single"/>
                <w:lang w:val="en-US" w:eastAsia="zh-CN"/>
              </w:rPr>
              <w:t>有资产管理</w:t>
            </w:r>
            <w:r>
              <w:rPr>
                <w:rFonts w:hint="eastAsia" w:asciiTheme="minorEastAsia" w:hAnsiTheme="minorEastAsia" w:eastAsiaTheme="minorEastAsia" w:cstheme="minorEastAsia"/>
                <w:color w:val="000000"/>
                <w:sz w:val="21"/>
                <w:szCs w:val="21"/>
                <w:highlight w:val="none"/>
                <w:u w:val="single"/>
                <w:lang w:eastAsia="zh-CN"/>
              </w:rPr>
              <w:t>科</w:t>
            </w:r>
            <w:r>
              <w:rPr>
                <w:rFonts w:hint="eastAsia" w:asciiTheme="minorEastAsia" w:hAnsiTheme="minorEastAsia" w:eastAsiaTheme="minorEastAsia" w:cstheme="minorEastAsia"/>
                <w:color w:val="000000"/>
                <w:sz w:val="21"/>
                <w:szCs w:val="21"/>
                <w:highlight w:val="none"/>
                <w:u w:val="single"/>
              </w:rPr>
              <w:t xml:space="preserve">  </w:t>
            </w:r>
            <w:r>
              <w:rPr>
                <w:rFonts w:hint="eastAsia" w:asciiTheme="minorEastAsia" w:hAnsiTheme="minorEastAsia" w:eastAsiaTheme="minorEastAsia" w:cstheme="minorEastAsia"/>
                <w:color w:val="000000"/>
                <w:sz w:val="21"/>
                <w:szCs w:val="21"/>
                <w:highlight w:val="none"/>
              </w:rPr>
              <w:t>部门；</w:t>
            </w:r>
          </w:p>
          <w:p w14:paraId="5C8F066C">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Theme="minorEastAsia" w:hAnsiTheme="minorEastAsia" w:eastAsiaTheme="minorEastAsia" w:cstheme="minorEastAsia"/>
                <w:color w:val="000000"/>
                <w:sz w:val="21"/>
                <w:szCs w:val="21"/>
                <w:highlight w:val="none"/>
              </w:rPr>
            </w:pPr>
            <w:r>
              <w:rPr>
                <w:rFonts w:hint="eastAsia" w:asciiTheme="minorEastAsia" w:hAnsiTheme="minorEastAsia" w:eastAsiaTheme="minorEastAsia" w:cstheme="minorEastAsia"/>
                <w:color w:val="000000"/>
                <w:sz w:val="21"/>
                <w:szCs w:val="21"/>
                <w:highlight w:val="none"/>
              </w:rPr>
              <w:t>联系电话：0771-</w:t>
            </w:r>
            <w:r>
              <w:rPr>
                <w:rFonts w:hint="eastAsia" w:asciiTheme="minorEastAsia" w:hAnsiTheme="minorEastAsia" w:eastAsiaTheme="minorEastAsia" w:cstheme="minorEastAsia"/>
                <w:color w:val="000000"/>
                <w:sz w:val="21"/>
                <w:szCs w:val="21"/>
                <w:highlight w:val="none"/>
                <w:lang w:val="en-US" w:eastAsia="zh-CN"/>
              </w:rPr>
              <w:t>5634385</w:t>
            </w:r>
          </w:p>
          <w:p w14:paraId="2036C5A3">
            <w:pPr>
              <w:pStyle w:val="19"/>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hAnsi="宋体"/>
                <w:color w:val="auto"/>
                <w:sz w:val="21"/>
                <w:highlight w:val="none"/>
              </w:rPr>
            </w:pPr>
            <w:r>
              <w:rPr>
                <w:rFonts w:hint="eastAsia" w:asciiTheme="minorEastAsia" w:hAnsiTheme="minorEastAsia" w:eastAsiaTheme="minorEastAsia" w:cstheme="minorEastAsia"/>
                <w:color w:val="000000"/>
                <w:sz w:val="21"/>
                <w:szCs w:val="21"/>
                <w:highlight w:val="none"/>
              </w:rPr>
              <w:t xml:space="preserve">通讯地址：广西南宁市双拥路6号 </w:t>
            </w:r>
          </w:p>
        </w:tc>
      </w:tr>
      <w:tr w14:paraId="386DB9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8" w:hRule="atLeast"/>
          <w:jc w:val="center"/>
        </w:trPr>
        <w:tc>
          <w:tcPr>
            <w:tcW w:w="992" w:type="dxa"/>
            <w:noWrap w:val="0"/>
            <w:vAlign w:val="center"/>
          </w:tcPr>
          <w:p w14:paraId="6E852CEF">
            <w:pPr>
              <w:spacing w:line="360" w:lineRule="auto"/>
              <w:jc w:val="center"/>
              <w:rPr>
                <w:rFonts w:hint="eastAsia" w:ascii="宋体" w:hAnsi="宋体" w:cs="宋体"/>
                <w:color w:val="auto"/>
                <w:szCs w:val="21"/>
                <w:highlight w:val="none"/>
              </w:rPr>
            </w:pPr>
            <w:r>
              <w:rPr>
                <w:rFonts w:ascii="宋体" w:hAnsi="宋体" w:cs="宋体"/>
                <w:color w:val="auto"/>
                <w:szCs w:val="21"/>
                <w:highlight w:val="none"/>
              </w:rPr>
              <w:t>32.1</w:t>
            </w:r>
          </w:p>
        </w:tc>
        <w:tc>
          <w:tcPr>
            <w:tcW w:w="8004" w:type="dxa"/>
            <w:noWrap w:val="0"/>
            <w:vAlign w:val="center"/>
          </w:tcPr>
          <w:p w14:paraId="2A31602A">
            <w:pPr>
              <w:pStyle w:val="19"/>
              <w:snapToGrid w:val="0"/>
              <w:spacing w:line="360" w:lineRule="auto"/>
              <w:rPr>
                <w:rFonts w:hint="eastAsia" w:hAnsi="宋体" w:cs="宋体"/>
                <w:color w:val="auto"/>
                <w:sz w:val="21"/>
                <w:highlight w:val="none"/>
              </w:rPr>
            </w:pPr>
            <w:r>
              <w:rPr>
                <w:rFonts w:hint="eastAsia" w:hAnsi="宋体" w:cs="宋体"/>
                <w:color w:val="auto"/>
                <w:sz w:val="21"/>
                <w:highlight w:val="none"/>
              </w:rPr>
              <w:t>1</w:t>
            </w:r>
            <w:r>
              <w:rPr>
                <w:rFonts w:hint="eastAsia" w:hAnsi="宋体" w:cs="宋体"/>
                <w:color w:val="auto"/>
                <w:sz w:val="21"/>
                <w:highlight w:val="none"/>
                <w:lang w:val="en-US" w:eastAsia="zh-CN"/>
              </w:rPr>
              <w:t>.</w:t>
            </w:r>
            <w:r>
              <w:rPr>
                <w:rFonts w:hint="eastAsia" w:hAnsi="宋体" w:cs="宋体"/>
                <w:color w:val="auto"/>
                <w:sz w:val="21"/>
                <w:highlight w:val="none"/>
              </w:rPr>
              <w:t>采购代理服务费支付方式：本项目的招标代理服务费按以下收费标准向成交供应商收取</w:t>
            </w:r>
            <w:r>
              <w:rPr>
                <w:rFonts w:hint="eastAsia" w:hAnsi="宋体" w:cs="宋体"/>
                <w:color w:val="auto"/>
                <w:sz w:val="21"/>
                <w:highlight w:val="none"/>
                <w:lang w:eastAsia="zh-CN"/>
              </w:rPr>
              <w:t>，在</w:t>
            </w:r>
            <w:r>
              <w:rPr>
                <w:rFonts w:hint="eastAsia" w:hAnsi="宋体" w:cs="宋体"/>
                <w:color w:val="auto"/>
                <w:sz w:val="21"/>
                <w:highlight w:val="none"/>
              </w:rPr>
              <w:t>领取成交通知书前，成交供应商应向采购代理机构一次付清招标代理服务费。</w:t>
            </w:r>
          </w:p>
          <w:p w14:paraId="56A4DC3A">
            <w:pPr>
              <w:pStyle w:val="19"/>
              <w:snapToGrid w:val="0"/>
              <w:spacing w:line="360" w:lineRule="auto"/>
              <w:ind w:left="0" w:leftChars="0" w:firstLine="0" w:firstLineChars="0"/>
              <w:rPr>
                <w:rFonts w:hint="eastAsia" w:hAnsi="宋体" w:cs="宋体"/>
                <w:color w:val="auto"/>
                <w:sz w:val="21"/>
                <w:highlight w:val="none"/>
              </w:rPr>
            </w:pPr>
            <w:r>
              <w:rPr>
                <w:rFonts w:hint="eastAsia" w:hAnsi="宋体" w:cs="宋体"/>
                <w:color w:val="auto"/>
                <w:sz w:val="21"/>
                <w:highlight w:val="none"/>
              </w:rPr>
              <w:t>2</w:t>
            </w:r>
            <w:r>
              <w:rPr>
                <w:rFonts w:hint="eastAsia" w:hAnsi="宋体" w:cs="宋体"/>
                <w:color w:val="auto"/>
                <w:sz w:val="21"/>
                <w:highlight w:val="none"/>
                <w:lang w:val="en-US" w:eastAsia="zh-CN"/>
              </w:rPr>
              <w:t>.</w:t>
            </w:r>
            <w:r>
              <w:rPr>
                <w:rFonts w:hint="eastAsia" w:hAnsi="宋体" w:cs="宋体"/>
                <w:color w:val="auto"/>
                <w:sz w:val="21"/>
                <w:highlight w:val="none"/>
              </w:rPr>
              <w:t>采购代理服务费收取标准：以成交金额为计算基数，依据国家计委计价价格[2002]1980号文和发改价格[2011]534号文的收费标准下浮20%计取，无最低代理费用。</w:t>
            </w:r>
          </w:p>
          <w:p w14:paraId="35830D09">
            <w:pPr>
              <w:pStyle w:val="19"/>
              <w:snapToGrid w:val="0"/>
              <w:spacing w:line="360" w:lineRule="auto"/>
              <w:ind w:left="0" w:leftChars="0" w:firstLine="0" w:firstLineChars="0"/>
              <w:rPr>
                <w:rFonts w:hint="eastAsia" w:hAnsi="宋体" w:cs="宋体"/>
                <w:color w:val="auto"/>
                <w:sz w:val="21"/>
                <w:highlight w:val="none"/>
              </w:rPr>
            </w:pPr>
            <w:r>
              <w:rPr>
                <w:rFonts w:hint="eastAsia" w:hAnsi="宋体" w:cs="宋体"/>
                <w:color w:val="auto"/>
                <w:sz w:val="21"/>
                <w:highlight w:val="none"/>
              </w:rPr>
              <w:t>3.采购代理费缴纳账户：</w:t>
            </w:r>
          </w:p>
          <w:p w14:paraId="279E6E18">
            <w:pPr>
              <w:pStyle w:val="19"/>
              <w:snapToGrid w:val="0"/>
              <w:spacing w:line="360" w:lineRule="auto"/>
              <w:ind w:left="0" w:leftChars="0" w:firstLine="0" w:firstLineChars="0"/>
              <w:rPr>
                <w:rFonts w:hint="eastAsia" w:hAnsi="宋体" w:cs="宋体"/>
                <w:color w:val="auto"/>
                <w:sz w:val="21"/>
                <w:highlight w:val="none"/>
              </w:rPr>
            </w:pPr>
            <w:r>
              <w:rPr>
                <w:rFonts w:hint="eastAsia" w:hAnsi="宋体" w:cs="宋体"/>
                <w:color w:val="auto"/>
                <w:sz w:val="21"/>
                <w:highlight w:val="none"/>
              </w:rPr>
              <w:t>单位全称：广西德元工程项目管理有限责任公司北海分公司</w:t>
            </w:r>
          </w:p>
          <w:p w14:paraId="5D64231D">
            <w:pPr>
              <w:pStyle w:val="19"/>
              <w:snapToGrid w:val="0"/>
              <w:spacing w:line="360" w:lineRule="auto"/>
              <w:ind w:left="0" w:leftChars="0" w:firstLine="0" w:firstLineChars="0"/>
              <w:rPr>
                <w:rFonts w:hint="eastAsia" w:hAnsi="宋体" w:cs="宋体"/>
                <w:color w:val="auto"/>
                <w:sz w:val="21"/>
                <w:highlight w:val="none"/>
              </w:rPr>
            </w:pPr>
            <w:r>
              <w:rPr>
                <w:rFonts w:hint="eastAsia" w:hAnsi="宋体" w:cs="宋体"/>
                <w:color w:val="auto"/>
                <w:sz w:val="21"/>
                <w:highlight w:val="none"/>
              </w:rPr>
              <w:t>开 户 行：中国建设银行股份有限公司北海市北海大道支行</w:t>
            </w:r>
          </w:p>
          <w:p w14:paraId="464BEB7D">
            <w:pPr>
              <w:pStyle w:val="19"/>
              <w:snapToGrid w:val="0"/>
              <w:spacing w:line="360" w:lineRule="auto"/>
              <w:ind w:left="0" w:leftChars="0" w:firstLine="0" w:firstLineChars="0"/>
              <w:rPr>
                <w:rFonts w:hint="eastAsia" w:hAnsi="宋体" w:cs="宋体"/>
                <w:color w:val="auto"/>
                <w:sz w:val="21"/>
                <w:highlight w:val="none"/>
              </w:rPr>
            </w:pPr>
            <w:r>
              <w:rPr>
                <w:rFonts w:hint="eastAsia" w:hAnsi="宋体" w:cs="宋体"/>
                <w:color w:val="auto"/>
                <w:sz w:val="21"/>
                <w:highlight w:val="none"/>
              </w:rPr>
              <w:t>帐    号：4500 1655 1130 5070 3077</w:t>
            </w:r>
          </w:p>
        </w:tc>
      </w:tr>
      <w:tr w14:paraId="424A69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0" w:hRule="atLeast"/>
          <w:jc w:val="center"/>
        </w:trPr>
        <w:tc>
          <w:tcPr>
            <w:tcW w:w="992" w:type="dxa"/>
            <w:noWrap w:val="0"/>
            <w:vAlign w:val="center"/>
          </w:tcPr>
          <w:p w14:paraId="20E23F56">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3</w:t>
            </w:r>
            <w:r>
              <w:rPr>
                <w:rFonts w:ascii="宋体" w:hAnsi="宋体" w:cs="宋体"/>
                <w:color w:val="auto"/>
                <w:szCs w:val="21"/>
                <w:highlight w:val="none"/>
              </w:rPr>
              <w:t>3.1</w:t>
            </w:r>
          </w:p>
        </w:tc>
        <w:tc>
          <w:tcPr>
            <w:tcW w:w="8004" w:type="dxa"/>
            <w:noWrap w:val="0"/>
            <w:vAlign w:val="center"/>
          </w:tcPr>
          <w:p w14:paraId="5F7D989D">
            <w:pPr>
              <w:pStyle w:val="19"/>
              <w:snapToGrid w:val="0"/>
              <w:spacing w:line="360" w:lineRule="auto"/>
              <w:rPr>
                <w:rFonts w:hint="eastAsia" w:hAnsi="宋体" w:cs="宋体"/>
                <w:color w:val="auto"/>
                <w:kern w:val="2"/>
                <w:sz w:val="21"/>
                <w:highlight w:val="none"/>
              </w:rPr>
            </w:pPr>
            <w:r>
              <w:rPr>
                <w:rFonts w:hint="eastAsia" w:hAnsi="宋体"/>
                <w:color w:val="auto"/>
                <w:sz w:val="21"/>
                <w:highlight w:val="none"/>
              </w:rPr>
              <w:t>解释：</w:t>
            </w:r>
            <w:r>
              <w:rPr>
                <w:rFonts w:hAnsi="宋体"/>
                <w:color w:val="auto"/>
                <w:sz w:val="21"/>
                <w:highlight w:val="none"/>
              </w:rPr>
              <w:t>构成本</w:t>
            </w:r>
            <w:r>
              <w:rPr>
                <w:rFonts w:hint="eastAsia" w:hAnsi="宋体"/>
                <w:color w:val="auto"/>
                <w:sz w:val="21"/>
                <w:highlight w:val="none"/>
              </w:rPr>
              <w:t>磋商文件</w:t>
            </w:r>
            <w:r>
              <w:rPr>
                <w:rFonts w:hAnsi="宋体"/>
                <w:color w:val="auto"/>
                <w:sz w:val="21"/>
                <w:highlight w:val="none"/>
              </w:rPr>
              <w:t>的各个组成文件应互为解释，互为说明；除</w:t>
            </w:r>
            <w:r>
              <w:rPr>
                <w:rFonts w:hint="eastAsia" w:hAnsi="宋体"/>
                <w:color w:val="auto"/>
                <w:sz w:val="21"/>
                <w:highlight w:val="none"/>
              </w:rPr>
              <w:t>磋商文件</w:t>
            </w:r>
            <w:r>
              <w:rPr>
                <w:rFonts w:hAnsi="宋体"/>
                <w:color w:val="auto"/>
                <w:sz w:val="21"/>
                <w:highlight w:val="none"/>
              </w:rPr>
              <w:t>中有特别规定外，仅适用于</w:t>
            </w:r>
            <w:r>
              <w:rPr>
                <w:rFonts w:hint="eastAsia" w:hAnsi="宋体"/>
                <w:color w:val="auto"/>
                <w:sz w:val="21"/>
                <w:highlight w:val="none"/>
              </w:rPr>
              <w:t>竞标</w:t>
            </w:r>
            <w:r>
              <w:rPr>
                <w:rFonts w:hAnsi="宋体"/>
                <w:color w:val="auto"/>
                <w:sz w:val="21"/>
                <w:highlight w:val="none"/>
              </w:rPr>
              <w:t>阶段的规定，按</w:t>
            </w:r>
            <w:r>
              <w:rPr>
                <w:rFonts w:hint="eastAsia" w:hAnsi="宋体"/>
                <w:color w:val="auto"/>
                <w:sz w:val="21"/>
                <w:highlight w:val="none"/>
              </w:rPr>
              <w:t>更正公告（澄清公告）</w:t>
            </w:r>
            <w:r>
              <w:rPr>
                <w:rFonts w:hAnsi="宋体"/>
                <w:color w:val="auto"/>
                <w:sz w:val="21"/>
                <w:highlight w:val="none"/>
              </w:rPr>
              <w:t>、</w:t>
            </w:r>
            <w:r>
              <w:rPr>
                <w:rFonts w:hint="eastAsia" w:hAnsi="宋体"/>
                <w:color w:val="auto"/>
                <w:sz w:val="21"/>
                <w:highlight w:val="none"/>
              </w:rPr>
              <w:t>竞争性磋商</w:t>
            </w:r>
            <w:r>
              <w:rPr>
                <w:rFonts w:hAnsi="宋体"/>
                <w:color w:val="auto"/>
                <w:sz w:val="21"/>
                <w:highlight w:val="none"/>
              </w:rPr>
              <w:t>公告、</w:t>
            </w:r>
            <w:r>
              <w:rPr>
                <w:rFonts w:hint="eastAsia" w:hAnsi="宋体"/>
                <w:color w:val="auto"/>
                <w:sz w:val="21"/>
                <w:highlight w:val="none"/>
              </w:rPr>
              <w:t>供应商</w:t>
            </w:r>
            <w:r>
              <w:rPr>
                <w:rFonts w:hAnsi="宋体"/>
                <w:color w:val="auto"/>
                <w:sz w:val="21"/>
                <w:highlight w:val="none"/>
              </w:rPr>
              <w:t>须知</w:t>
            </w:r>
            <w:r>
              <w:rPr>
                <w:rFonts w:hint="eastAsia" w:hAnsi="宋体"/>
                <w:color w:val="auto"/>
                <w:sz w:val="21"/>
                <w:highlight w:val="none"/>
              </w:rPr>
              <w:t>、采购需求</w:t>
            </w:r>
            <w:r>
              <w:rPr>
                <w:rFonts w:hAnsi="宋体"/>
                <w:color w:val="auto"/>
                <w:sz w:val="21"/>
                <w:highlight w:val="none"/>
              </w:rPr>
              <w:t>、</w:t>
            </w:r>
            <w:r>
              <w:rPr>
                <w:rFonts w:hint="eastAsia" w:hAnsi="宋体"/>
                <w:color w:val="auto"/>
                <w:sz w:val="21"/>
                <w:highlight w:val="none"/>
              </w:rPr>
              <w:t>评审程序、评审方法和评审标准</w:t>
            </w:r>
            <w:r>
              <w:rPr>
                <w:rFonts w:hAnsi="宋体"/>
                <w:color w:val="auto"/>
                <w:sz w:val="21"/>
                <w:highlight w:val="none"/>
              </w:rPr>
              <w:t>、</w:t>
            </w:r>
            <w:r>
              <w:rPr>
                <w:rFonts w:hint="eastAsia" w:hAnsi="宋体"/>
                <w:color w:val="auto"/>
                <w:sz w:val="21"/>
                <w:highlight w:val="none"/>
              </w:rPr>
              <w:t>响应</w:t>
            </w:r>
            <w:r>
              <w:rPr>
                <w:rFonts w:hAnsi="宋体"/>
                <w:color w:val="auto"/>
                <w:sz w:val="21"/>
                <w:highlight w:val="none"/>
              </w:rPr>
              <w:t>文件格式</w:t>
            </w:r>
            <w:r>
              <w:rPr>
                <w:rFonts w:hint="eastAsia" w:hAnsi="宋体"/>
                <w:color w:val="auto"/>
                <w:sz w:val="21"/>
                <w:highlight w:val="none"/>
              </w:rPr>
              <w:t>、合同文本</w:t>
            </w:r>
            <w:r>
              <w:rPr>
                <w:rFonts w:hAnsi="宋体"/>
                <w:color w:val="auto"/>
                <w:sz w:val="21"/>
                <w:highlight w:val="none"/>
              </w:rPr>
              <w:t>的先后顺序解释；同一组成文件中就同一事项的规定或者约定不一致的，以编排顺序在后者为准；同一组成文件不同版本之间有不一致的，以形成时间在后者为准；</w:t>
            </w:r>
            <w:r>
              <w:rPr>
                <w:rFonts w:hint="eastAsia" w:hAnsi="宋体"/>
                <w:color w:val="auto"/>
                <w:sz w:val="21"/>
                <w:highlight w:val="none"/>
              </w:rPr>
              <w:t>更正公告（澄清公告）</w:t>
            </w:r>
            <w:r>
              <w:rPr>
                <w:rFonts w:hAnsi="宋体"/>
                <w:color w:val="auto"/>
                <w:sz w:val="21"/>
                <w:highlight w:val="none"/>
              </w:rPr>
              <w:t>与同步更新的</w:t>
            </w:r>
            <w:r>
              <w:rPr>
                <w:rFonts w:hint="eastAsia" w:hAnsi="宋体"/>
                <w:color w:val="auto"/>
                <w:sz w:val="21"/>
                <w:highlight w:val="none"/>
              </w:rPr>
              <w:t>磋商文件</w:t>
            </w:r>
            <w:r>
              <w:rPr>
                <w:rFonts w:hAnsi="宋体"/>
                <w:color w:val="auto"/>
                <w:sz w:val="21"/>
                <w:highlight w:val="none"/>
              </w:rPr>
              <w:t>不一致时以</w:t>
            </w:r>
            <w:r>
              <w:rPr>
                <w:rFonts w:hint="eastAsia" w:hAnsi="宋体"/>
                <w:color w:val="auto"/>
                <w:sz w:val="21"/>
                <w:highlight w:val="none"/>
              </w:rPr>
              <w:t>更正公告（澄清公告）</w:t>
            </w:r>
            <w:r>
              <w:rPr>
                <w:rFonts w:hAnsi="宋体"/>
                <w:color w:val="auto"/>
                <w:sz w:val="21"/>
                <w:highlight w:val="none"/>
              </w:rPr>
              <w:t>为准。按本款前述规定仍不能形成结论的，由</w:t>
            </w:r>
            <w:r>
              <w:rPr>
                <w:rFonts w:hint="eastAsia" w:hAnsi="宋体"/>
                <w:color w:val="auto"/>
                <w:sz w:val="21"/>
                <w:highlight w:val="none"/>
              </w:rPr>
              <w:t>采购</w:t>
            </w:r>
            <w:r>
              <w:rPr>
                <w:rFonts w:hAnsi="宋体"/>
                <w:color w:val="auto"/>
                <w:sz w:val="21"/>
                <w:highlight w:val="none"/>
              </w:rPr>
              <w:t>人</w:t>
            </w:r>
            <w:r>
              <w:rPr>
                <w:rFonts w:hint="eastAsia" w:hAnsi="宋体"/>
                <w:color w:val="auto"/>
                <w:sz w:val="21"/>
                <w:highlight w:val="none"/>
              </w:rPr>
              <w:t>或者采购代理机构</w:t>
            </w:r>
            <w:r>
              <w:rPr>
                <w:rFonts w:hAnsi="宋体"/>
                <w:color w:val="auto"/>
                <w:sz w:val="21"/>
                <w:highlight w:val="none"/>
              </w:rPr>
              <w:t>负责解释。</w:t>
            </w:r>
          </w:p>
        </w:tc>
      </w:tr>
      <w:tr w14:paraId="172984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44D4D2E5">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3</w:t>
            </w:r>
            <w:r>
              <w:rPr>
                <w:rFonts w:ascii="宋体" w:hAnsi="宋体" w:cs="宋体"/>
                <w:color w:val="auto"/>
                <w:szCs w:val="21"/>
                <w:highlight w:val="none"/>
              </w:rPr>
              <w:t>3.2</w:t>
            </w:r>
          </w:p>
        </w:tc>
        <w:tc>
          <w:tcPr>
            <w:tcW w:w="8004" w:type="dxa"/>
            <w:noWrap w:val="0"/>
            <w:vAlign w:val="center"/>
          </w:tcPr>
          <w:p w14:paraId="12851731">
            <w:pPr>
              <w:pStyle w:val="19"/>
              <w:snapToGrid w:val="0"/>
              <w:spacing w:line="360" w:lineRule="auto"/>
              <w:rPr>
                <w:rFonts w:hint="eastAsia" w:hAnsi="宋体" w:cs="宋体"/>
                <w:color w:val="auto"/>
                <w:sz w:val="21"/>
                <w:highlight w:val="none"/>
              </w:rPr>
            </w:pPr>
            <w:r>
              <w:rPr>
                <w:rFonts w:hint="eastAsia" w:hAnsi="宋体" w:cs="宋体"/>
                <w:color w:val="auto"/>
                <w:sz w:val="21"/>
                <w:highlight w:val="none"/>
              </w:rPr>
              <w:t>1</w:t>
            </w:r>
            <w:r>
              <w:rPr>
                <w:rFonts w:hint="eastAsia" w:hAnsi="宋体" w:cs="宋体"/>
                <w:color w:val="auto"/>
                <w:sz w:val="21"/>
                <w:highlight w:val="none"/>
                <w:lang w:val="en-US" w:eastAsia="zh-CN"/>
              </w:rPr>
              <w:t>.</w:t>
            </w:r>
            <w:r>
              <w:rPr>
                <w:rFonts w:hint="eastAsia" w:hAnsi="宋体" w:cs="宋体"/>
                <w:color w:val="auto"/>
                <w:sz w:val="21"/>
                <w:highlight w:val="none"/>
              </w:rPr>
              <w:t>本磋商文件中描述供应商的“公章”是指根据我国对公章的管理规定</w:t>
            </w:r>
            <w:r>
              <w:rPr>
                <w:rFonts w:hint="eastAsia" w:hAnsi="宋体" w:cs="宋体"/>
                <w:color w:val="auto"/>
                <w:sz w:val="21"/>
                <w:highlight w:val="none"/>
                <w:lang w:eastAsia="zh-CN"/>
              </w:rPr>
              <w:t>，使</w:t>
            </w:r>
            <w:r>
              <w:rPr>
                <w:rFonts w:hint="eastAsia" w:hAnsi="宋体" w:cs="宋体"/>
                <w:color w:val="auto"/>
                <w:sz w:val="21"/>
                <w:highlight w:val="none"/>
              </w:rPr>
              <w:t>用供应商法定主体行为名称制作的印章（含电子印章），除本磋商文件有特殊规定外，供应商的财务章、部门章、分公司章、工会章、合同章、竞标/投标专用章、业务专用章及银行的转账章、现金收讫章、现金付讫章等其他形式印章均不能代替公章。</w:t>
            </w:r>
          </w:p>
          <w:p w14:paraId="2482FE75">
            <w:pPr>
              <w:pStyle w:val="19"/>
              <w:snapToGrid w:val="0"/>
              <w:spacing w:line="360" w:lineRule="auto"/>
              <w:rPr>
                <w:rFonts w:hAnsi="宋体" w:cs="宋体"/>
                <w:color w:val="auto"/>
                <w:sz w:val="21"/>
                <w:highlight w:val="none"/>
              </w:rPr>
            </w:pPr>
            <w:r>
              <w:rPr>
                <w:rFonts w:hint="eastAsia" w:hAnsi="宋体" w:cs="宋体"/>
                <w:color w:val="auto"/>
                <w:sz w:val="21"/>
                <w:highlight w:val="none"/>
              </w:rPr>
              <w:t>2</w:t>
            </w:r>
            <w:r>
              <w:rPr>
                <w:rFonts w:hint="eastAsia" w:hAnsi="宋体" w:cs="宋体"/>
                <w:color w:val="auto"/>
                <w:sz w:val="21"/>
                <w:highlight w:val="none"/>
                <w:lang w:val="en-US" w:eastAsia="zh-CN"/>
              </w:rPr>
              <w:t>.</w:t>
            </w:r>
            <w:r>
              <w:rPr>
                <w:rFonts w:hint="eastAsia" w:hAnsi="宋体" w:cs="宋体"/>
                <w:color w:val="auto"/>
                <w:sz w:val="21"/>
                <w:highlight w:val="none"/>
              </w:rPr>
              <w:t>供应商为其他组织或者自然人时，本磋商文件规定的法定代表人指负责人或者自然人。本磋商文件所称负责人是指参加竞标的其他组织</w:t>
            </w:r>
            <w:r>
              <w:rPr>
                <w:rFonts w:hint="eastAsia" w:hAnsi="宋体" w:cs="宋体"/>
                <w:bCs/>
                <w:color w:val="auto"/>
                <w:sz w:val="21"/>
                <w:highlight w:val="none"/>
              </w:rPr>
              <w:t>营业执照或者执业许可证等证照上的</w:t>
            </w:r>
            <w:r>
              <w:rPr>
                <w:rFonts w:hint="eastAsia" w:hAnsi="宋体" w:cs="宋体"/>
                <w:color w:val="auto"/>
                <w:sz w:val="21"/>
                <w:highlight w:val="none"/>
              </w:rPr>
              <w:t>负责人，本磋商文件所称自然人指参与竞标的自然人本人，</w:t>
            </w:r>
            <w:r>
              <w:rPr>
                <w:rFonts w:hint="eastAsia" w:hAnsi="宋体" w:cs="宋体"/>
                <w:bCs/>
                <w:color w:val="auto"/>
                <w:sz w:val="21"/>
                <w:highlight w:val="none"/>
              </w:rPr>
              <w:t>且应具备独立承担民事责任能力，自然人应当为年满18岁以上成年人（十六周岁以上的未成年人，以自己的劳动收入为主要生活来源的，视为完全民事行为能力人）。</w:t>
            </w:r>
          </w:p>
          <w:p w14:paraId="3EF9DEC8">
            <w:pPr>
              <w:pStyle w:val="19"/>
              <w:snapToGrid w:val="0"/>
              <w:spacing w:line="360" w:lineRule="auto"/>
              <w:rPr>
                <w:rFonts w:hint="eastAsia" w:hAnsi="宋体" w:cs="宋体"/>
                <w:color w:val="auto"/>
                <w:sz w:val="21"/>
                <w:highlight w:val="none"/>
              </w:rPr>
            </w:pPr>
            <w:r>
              <w:rPr>
                <w:rFonts w:hAnsi="宋体" w:cs="宋体"/>
                <w:color w:val="auto"/>
                <w:sz w:val="21"/>
                <w:highlight w:val="none"/>
              </w:rPr>
              <w:t>3</w:t>
            </w:r>
            <w:r>
              <w:rPr>
                <w:rFonts w:hint="eastAsia" w:hAnsi="宋体" w:cs="宋体"/>
                <w:color w:val="auto"/>
                <w:sz w:val="21"/>
                <w:highlight w:val="none"/>
                <w:lang w:val="en-US" w:eastAsia="zh-CN"/>
              </w:rPr>
              <w:t>.</w:t>
            </w:r>
            <w:r>
              <w:rPr>
                <w:rFonts w:hint="eastAsia" w:hAnsi="宋体" w:cs="宋体"/>
                <w:color w:val="auto"/>
                <w:sz w:val="21"/>
                <w:highlight w:val="none"/>
              </w:rPr>
              <w:t>本磋商文件中描述供应商的“签字”是指供应商的法定代表人或者委托代理人在文件规定签署处签名（含电子签名）的行为，私章、印鉴等其他形式均不能代替签字。</w:t>
            </w:r>
          </w:p>
          <w:p w14:paraId="128864BD">
            <w:pPr>
              <w:pStyle w:val="19"/>
              <w:snapToGrid w:val="0"/>
              <w:spacing w:line="360" w:lineRule="auto"/>
              <w:rPr>
                <w:rFonts w:hAnsi="宋体" w:cs="宋体"/>
                <w:color w:val="auto"/>
                <w:sz w:val="21"/>
                <w:highlight w:val="none"/>
              </w:rPr>
            </w:pPr>
            <w:r>
              <w:rPr>
                <w:rFonts w:hAnsi="宋体" w:cs="宋体"/>
                <w:color w:val="auto"/>
                <w:sz w:val="21"/>
                <w:highlight w:val="none"/>
              </w:rPr>
              <w:t>4</w:t>
            </w:r>
            <w:r>
              <w:rPr>
                <w:rFonts w:hint="eastAsia" w:hAnsi="宋体" w:cs="宋体"/>
                <w:color w:val="auto"/>
                <w:sz w:val="21"/>
                <w:highlight w:val="none"/>
                <w:lang w:val="en-US" w:eastAsia="zh-CN"/>
              </w:rPr>
              <w:t>.</w:t>
            </w:r>
            <w:r>
              <w:rPr>
                <w:rFonts w:hint="eastAsia" w:hAnsi="宋体" w:cs="宋体"/>
                <w:color w:val="auto"/>
                <w:sz w:val="21"/>
                <w:highlight w:val="none"/>
              </w:rPr>
              <w:t>自然人竞标的，磋商文件规定盖公章处由自然人摁手指指印。</w:t>
            </w:r>
          </w:p>
          <w:p w14:paraId="069F24E7">
            <w:pPr>
              <w:pStyle w:val="19"/>
              <w:snapToGrid w:val="0"/>
              <w:spacing w:line="360" w:lineRule="auto"/>
              <w:rPr>
                <w:rFonts w:hint="eastAsia" w:hAnsi="宋体" w:cs="宋体"/>
                <w:color w:val="auto"/>
                <w:sz w:val="21"/>
                <w:highlight w:val="none"/>
              </w:rPr>
            </w:pPr>
            <w:r>
              <w:rPr>
                <w:rFonts w:hint="eastAsia" w:hAnsi="宋体" w:cs="宋体"/>
                <w:color w:val="auto"/>
                <w:sz w:val="21"/>
                <w:highlight w:val="none"/>
              </w:rPr>
              <w:t>5</w:t>
            </w:r>
            <w:r>
              <w:rPr>
                <w:rFonts w:hint="eastAsia" w:hAnsi="宋体" w:cs="宋体"/>
                <w:color w:val="auto"/>
                <w:sz w:val="21"/>
                <w:highlight w:val="none"/>
                <w:lang w:val="en-US" w:eastAsia="zh-CN"/>
              </w:rPr>
              <w:t>.</w:t>
            </w:r>
            <w:r>
              <w:rPr>
                <w:rFonts w:hint="eastAsia" w:hAnsi="宋体" w:cs="宋体"/>
                <w:color w:val="auto"/>
                <w:sz w:val="21"/>
                <w:highlight w:val="none"/>
              </w:rPr>
              <w:t>本磋商文件所称的“以上”“以下”“以内”“届满”，包括本数；所称的“不满”“超过”“以外”，不包括本数。</w:t>
            </w:r>
          </w:p>
        </w:tc>
      </w:tr>
      <w:tr w14:paraId="18090B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59861CE6">
            <w:pPr>
              <w:spacing w:line="360" w:lineRule="auto"/>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33.5</w:t>
            </w:r>
          </w:p>
        </w:tc>
        <w:tc>
          <w:tcPr>
            <w:tcW w:w="8004" w:type="dxa"/>
            <w:noWrap w:val="0"/>
            <w:vAlign w:val="center"/>
          </w:tcPr>
          <w:p w14:paraId="59790CA2">
            <w:pPr>
              <w:pStyle w:val="19"/>
              <w:snapToGrid w:val="0"/>
              <w:spacing w:line="36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支持本国产品</w:t>
            </w:r>
            <w:r>
              <w:rPr>
                <w:rFonts w:hint="eastAsia" w:ascii="宋体" w:hAnsi="宋体" w:eastAsia="宋体" w:cs="宋体"/>
                <w:color w:val="auto"/>
                <w:sz w:val="21"/>
                <w:szCs w:val="21"/>
                <w:highlight w:val="none"/>
                <w:lang w:val="en-US" w:eastAsia="zh-CN"/>
              </w:rPr>
              <w:t>说明：</w:t>
            </w:r>
          </w:p>
          <w:p w14:paraId="36A0C2A7">
            <w:pPr>
              <w:tabs>
                <w:tab w:val="left" w:pos="180"/>
                <w:tab w:val="left" w:pos="1620"/>
              </w:tabs>
              <w:spacing w:line="360" w:lineRule="auto"/>
              <w:rPr>
                <w:rFonts w:hint="eastAsia" w:ascii="宋体" w:hAnsi="宋体" w:eastAsia="宋体" w:cs="宋体"/>
                <w:color w:val="auto"/>
                <w:kern w:val="0"/>
                <w:sz w:val="21"/>
                <w:szCs w:val="21"/>
                <w:highlight w:val="none"/>
                <w:lang w:val="en-US" w:eastAsia="zh-CN" w:bidi="ar-SA"/>
              </w:rPr>
            </w:pPr>
            <w:r>
              <w:rPr>
                <w:rFonts w:hint="eastAsia" w:ascii="宋体" w:hAnsi="宋体" w:cs="宋体"/>
                <w:color w:val="auto"/>
                <w:kern w:val="0"/>
                <w:sz w:val="21"/>
                <w:szCs w:val="21"/>
                <w:highlight w:val="none"/>
                <w:lang w:val="en-US" w:eastAsia="zh-CN" w:bidi="ar-SA"/>
              </w:rPr>
              <w:t>□</w:t>
            </w:r>
            <w:r>
              <w:rPr>
                <w:rFonts w:hint="eastAsia" w:ascii="宋体" w:hAnsi="宋体" w:eastAsia="宋体" w:cs="宋体"/>
                <w:color w:val="auto"/>
                <w:kern w:val="0"/>
                <w:sz w:val="21"/>
                <w:szCs w:val="21"/>
                <w:highlight w:val="none"/>
                <w:lang w:val="en-US" w:eastAsia="zh-CN" w:bidi="ar-SA"/>
              </w:rPr>
              <w:t>适用，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7F46AF2C">
            <w:pPr>
              <w:spacing w:line="360" w:lineRule="auto"/>
              <w:rPr>
                <w:rFonts w:hint="eastAsia"/>
                <w:color w:val="auto"/>
                <w:highlight w:val="none"/>
              </w:rPr>
            </w:pPr>
            <w:r>
              <w:rPr>
                <w:rFonts w:hint="eastAsia" w:ascii="宋体" w:hAnsi="宋体" w:eastAsia="宋体" w:cs="宋体"/>
                <w:color w:val="auto"/>
                <w:kern w:val="0"/>
                <w:sz w:val="21"/>
                <w:szCs w:val="21"/>
                <w:highlight w:val="none"/>
                <w:lang w:val="en-US" w:eastAsia="zh-CN" w:bidi="ar-SA"/>
              </w:rPr>
              <w:t>☑不适用</w:t>
            </w:r>
          </w:p>
        </w:tc>
      </w:tr>
    </w:tbl>
    <w:p w14:paraId="44EADDA5">
      <w:pPr>
        <w:spacing w:line="400" w:lineRule="exact"/>
        <w:jc w:val="center"/>
        <w:rPr>
          <w:rFonts w:hint="eastAsia" w:ascii="宋体" w:hAnsi="宋体"/>
          <w:b/>
          <w:color w:val="auto"/>
          <w:sz w:val="32"/>
          <w:szCs w:val="32"/>
          <w:highlight w:val="none"/>
        </w:rPr>
      </w:pPr>
      <w:r>
        <w:rPr>
          <w:rFonts w:ascii="宋体" w:hAnsi="宋体"/>
          <w:b/>
          <w:color w:val="auto"/>
          <w:sz w:val="32"/>
          <w:szCs w:val="32"/>
          <w:highlight w:val="none"/>
        </w:rPr>
        <w:br w:type="page"/>
      </w:r>
      <w:r>
        <w:rPr>
          <w:rFonts w:hint="eastAsia" w:ascii="宋体" w:hAnsi="宋体"/>
          <w:b/>
          <w:color w:val="auto"/>
          <w:sz w:val="32"/>
          <w:szCs w:val="32"/>
          <w:highlight w:val="none"/>
        </w:rPr>
        <w:t>供应商须知正文</w:t>
      </w:r>
    </w:p>
    <w:p w14:paraId="7C480E21">
      <w:pPr>
        <w:spacing w:line="400" w:lineRule="exact"/>
        <w:jc w:val="center"/>
        <w:rPr>
          <w:rFonts w:hint="eastAsia" w:ascii="宋体" w:hAnsi="宋体"/>
          <w:b/>
          <w:color w:val="auto"/>
          <w:sz w:val="32"/>
          <w:szCs w:val="32"/>
          <w:highlight w:val="none"/>
        </w:rPr>
      </w:pPr>
    </w:p>
    <w:p w14:paraId="155ADAC6">
      <w:pPr>
        <w:spacing w:line="360" w:lineRule="auto"/>
        <w:jc w:val="center"/>
        <w:rPr>
          <w:rFonts w:hint="eastAsia" w:ascii="宋体" w:hAnsi="宋体"/>
          <w:color w:val="auto"/>
          <w:szCs w:val="21"/>
          <w:highlight w:val="none"/>
        </w:rPr>
      </w:pPr>
      <w:r>
        <w:rPr>
          <w:rFonts w:hint="eastAsia" w:ascii="宋体" w:hAnsi="宋体"/>
          <w:b/>
          <w:bCs/>
          <w:color w:val="auto"/>
          <w:sz w:val="32"/>
          <w:szCs w:val="32"/>
          <w:highlight w:val="none"/>
        </w:rPr>
        <w:t>一、总则</w:t>
      </w:r>
    </w:p>
    <w:p w14:paraId="4C5B77C3">
      <w:pPr>
        <w:spacing w:line="360" w:lineRule="auto"/>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1.适用范围</w:t>
      </w:r>
    </w:p>
    <w:p w14:paraId="0EF0B55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1.1本项目采购人、采购代理机构、供应商、磋商小组的相关行为均受《中华人民共和国政府采购法》《中华人民共和国政府采购法实施条例》</w:t>
      </w:r>
      <w:r>
        <w:rPr>
          <w:rFonts w:hint="eastAsia" w:ascii="宋体" w:hAnsi="宋体"/>
          <w:color w:val="auto"/>
          <w:szCs w:val="21"/>
          <w:highlight w:val="none"/>
        </w:rPr>
        <w:t>《政府采购竞争性磋商采购方式管理暂行办法》《财政部关于政府采购竞争性磋商采购方式管理暂行办法有关问题的补充通知》</w:t>
      </w:r>
      <w:r>
        <w:rPr>
          <w:rFonts w:hint="eastAsia" w:ascii="宋体" w:hAnsi="宋体" w:cs="宋体"/>
          <w:color w:val="auto"/>
          <w:szCs w:val="21"/>
          <w:highlight w:val="none"/>
        </w:rPr>
        <w:t>及本项目本级和上级财政部门政府采购有关规定的约束和保护。</w:t>
      </w:r>
    </w:p>
    <w:p w14:paraId="7E0E019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1.2</w:t>
      </w:r>
      <w:r>
        <w:rPr>
          <w:rFonts w:hint="eastAsia" w:ascii="宋体" w:hAnsi="宋体" w:cs="宋体"/>
          <w:color w:val="auto"/>
          <w:spacing w:val="-6"/>
          <w:szCs w:val="21"/>
          <w:highlight w:val="none"/>
        </w:rPr>
        <w:t>本竞争性磋商文件（以下简称磋商文件）适用于本项目的所有采购程序和环节（法律、法规另有规定的，从其规定）。</w:t>
      </w:r>
    </w:p>
    <w:p w14:paraId="1A6236B7">
      <w:pPr>
        <w:spacing w:line="360" w:lineRule="auto"/>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2.定义</w:t>
      </w:r>
    </w:p>
    <w:p w14:paraId="3CB087A3">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2.1“采购人”是指依法进行政府采购的国家机关、事业单位、团体组织。</w:t>
      </w:r>
    </w:p>
    <w:p w14:paraId="062344A5">
      <w:pPr>
        <w:spacing w:line="360" w:lineRule="auto"/>
        <w:ind w:firstLine="420" w:firstLineChars="200"/>
        <w:rPr>
          <w:rFonts w:hint="eastAsia" w:ascii="宋体" w:hAnsi="宋体" w:cs="宋体"/>
          <w:color w:val="auto"/>
          <w:szCs w:val="21"/>
          <w:highlight w:val="none"/>
          <w:u w:val="single"/>
        </w:rPr>
      </w:pPr>
      <w:r>
        <w:rPr>
          <w:rFonts w:hint="eastAsia" w:ascii="宋体" w:hAnsi="宋体" w:cs="宋体"/>
          <w:color w:val="auto"/>
          <w:szCs w:val="21"/>
          <w:highlight w:val="none"/>
        </w:rPr>
        <w:t>2.2“采购代理机构”是指政府采购集中采购机构和集中采购机构以外的采购代理机构。</w:t>
      </w:r>
    </w:p>
    <w:p w14:paraId="7803C47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2.3“供应商”是指向采购人提供货物、工程或者服务的法人、其他组织或者自然人。</w:t>
      </w:r>
    </w:p>
    <w:p w14:paraId="631C5391">
      <w:pPr>
        <w:spacing w:line="360" w:lineRule="auto"/>
        <w:ind w:firstLine="420" w:firstLineChars="200"/>
        <w:rPr>
          <w:rFonts w:hint="eastAsia" w:ascii="宋体" w:hAnsi="宋体" w:cs="宋体"/>
          <w:color w:val="auto"/>
          <w:szCs w:val="21"/>
          <w:highlight w:val="none"/>
        </w:rPr>
      </w:pPr>
      <w:r>
        <w:rPr>
          <w:rFonts w:hint="eastAsia" w:ascii="宋体" w:hAnsi="宋体"/>
          <w:color w:val="auto"/>
          <w:szCs w:val="21"/>
          <w:highlight w:val="none"/>
        </w:rPr>
        <w:t>2.4“服务”是指除货物和工程以外的其他政府采购对象。</w:t>
      </w:r>
    </w:p>
    <w:p w14:paraId="181D6DAF">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5</w:t>
      </w:r>
      <w:r>
        <w:rPr>
          <w:rFonts w:hint="eastAsia" w:ascii="宋体" w:hAnsi="宋体" w:cs="宋体"/>
          <w:color w:val="auto"/>
          <w:szCs w:val="21"/>
          <w:highlight w:val="none"/>
        </w:rPr>
        <w:t>“竞标”是指供应商按照本项目竞争性磋商公告或者邀请函规定的方式获取磋商文件、提交响应文件并希望获得标的的行为。</w:t>
      </w:r>
    </w:p>
    <w:p w14:paraId="7BD67304">
      <w:pPr>
        <w:spacing w:line="360" w:lineRule="auto"/>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2.6“书面形式”是指合同书、信件和数据电文（包括电报、电传、传真、电子数据交换和电子邮件）等可以有形地表现所载内容的形式。</w:t>
      </w:r>
    </w:p>
    <w:p w14:paraId="1600C1AE">
      <w:pPr>
        <w:spacing w:line="360" w:lineRule="auto"/>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2.7“响应文件”</w:t>
      </w:r>
      <w:r>
        <w:rPr>
          <w:rFonts w:hint="eastAsia" w:ascii="宋体" w:hAnsi="宋体" w:cs="宋体"/>
          <w:color w:val="auto"/>
          <w:spacing w:val="-6"/>
          <w:szCs w:val="21"/>
          <w:highlight w:val="none"/>
        </w:rPr>
        <w:t>是指：供应商根据本磋商文件要求，编制包含资格证明、报价商务技术等所有内容的文件。</w:t>
      </w:r>
    </w:p>
    <w:p w14:paraId="45FCBD21">
      <w:pPr>
        <w:spacing w:line="360" w:lineRule="auto"/>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2.8“实质性要求”是指磋商文件中已经指明不满足则响应文件按无效响应处理的条款，或者不能负偏离的条款，或者采购需求中带“▲”的条款。</w:t>
      </w:r>
    </w:p>
    <w:p w14:paraId="469FBB74">
      <w:pPr>
        <w:spacing w:line="360" w:lineRule="auto"/>
        <w:ind w:firstLine="420" w:firstLineChars="200"/>
        <w:contextualSpacing/>
        <w:rPr>
          <w:rFonts w:ascii="宋体" w:hAnsi="宋体" w:cs="宋体"/>
          <w:color w:val="auto"/>
          <w:szCs w:val="21"/>
          <w:highlight w:val="none"/>
        </w:rPr>
      </w:pPr>
      <w:r>
        <w:rPr>
          <w:rFonts w:hint="eastAsia" w:ascii="宋体" w:hAnsi="宋体" w:cs="宋体"/>
          <w:color w:val="auto"/>
          <w:szCs w:val="21"/>
          <w:highlight w:val="none"/>
        </w:rPr>
        <w:t>2.9“正偏离”，是指响应文件对磋商文件“采购需求”中有关条款作出的响应优于条款要求并有利于采购人的情形。</w:t>
      </w:r>
    </w:p>
    <w:p w14:paraId="701BD5BC">
      <w:pPr>
        <w:spacing w:line="360" w:lineRule="auto"/>
        <w:ind w:firstLine="420" w:firstLineChars="200"/>
        <w:contextualSpacing/>
        <w:rPr>
          <w:rFonts w:hint="eastAsia" w:ascii="宋体" w:hAnsi="宋体" w:cs="宋体"/>
          <w:color w:val="auto"/>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10“负偏离”，是指响应文件对磋商文件“采购需求”中有关条款作出的响应不满足条款要求，导致采购人要求不能得到满足的情形。</w:t>
      </w:r>
    </w:p>
    <w:p w14:paraId="32A7DA47">
      <w:pPr>
        <w:spacing w:line="360" w:lineRule="auto"/>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2.11“允许负偏离的条款”是指采购需求中的不属于“实质性要求”的条款。</w:t>
      </w:r>
    </w:p>
    <w:p w14:paraId="350BD2C0">
      <w:pPr>
        <w:spacing w:line="360" w:lineRule="auto"/>
        <w:ind w:firstLine="420" w:firstLineChars="200"/>
        <w:contextualSpacing/>
        <w:rPr>
          <w:rFonts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1</w:t>
      </w:r>
      <w:r>
        <w:rPr>
          <w:rFonts w:hint="eastAsia" w:ascii="宋体" w:hAnsi="宋体" w:cs="宋体"/>
          <w:color w:val="auto"/>
          <w:szCs w:val="21"/>
          <w:highlight w:val="none"/>
        </w:rPr>
        <w:t>2“首次报价”是指供应商提交的首次响应文件中的报价。</w:t>
      </w:r>
    </w:p>
    <w:p w14:paraId="028D26F1">
      <w:pPr>
        <w:spacing w:line="360" w:lineRule="auto"/>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3.供应商的资格条件</w:t>
      </w:r>
    </w:p>
    <w:p w14:paraId="5AA4A04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供应商的资格条件详见“供应商须知前附表”。</w:t>
      </w:r>
    </w:p>
    <w:p w14:paraId="3186BC01">
      <w:pPr>
        <w:spacing w:line="360" w:lineRule="auto"/>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4.竞标费用</w:t>
      </w:r>
    </w:p>
    <w:p w14:paraId="01BAB9E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供应商应承担参与本次采购活动有关的所有费用，包括但不限于获取磋商文件、勘查现场、编制和提交响应文件、参加磋商与应答、签订合同等，不论竞标结果如何，均应自行承担。</w:t>
      </w:r>
    </w:p>
    <w:p w14:paraId="71CAE3F3">
      <w:pPr>
        <w:spacing w:line="360" w:lineRule="auto"/>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5.联合体竞标</w:t>
      </w:r>
    </w:p>
    <w:p w14:paraId="5DADB523">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5.1本项目是否接受联合体竞标，详见“供应商须知前附表”。</w:t>
      </w:r>
    </w:p>
    <w:p w14:paraId="0EA55BE2">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5.2</w:t>
      </w:r>
      <w:r>
        <w:rPr>
          <w:rFonts w:hint="eastAsia" w:ascii="宋体" w:hAnsi="宋体"/>
          <w:color w:val="auto"/>
          <w:szCs w:val="21"/>
          <w:highlight w:val="none"/>
        </w:rPr>
        <w:t>如接受联合体竞标，</w:t>
      </w:r>
      <w:r>
        <w:rPr>
          <w:rFonts w:hint="eastAsia" w:ascii="宋体" w:hAnsi="宋体" w:cs="宋体"/>
          <w:color w:val="auto"/>
          <w:szCs w:val="21"/>
          <w:highlight w:val="none"/>
        </w:rPr>
        <w:t>联合体竞标要求详见“供应商须知前附表”。</w:t>
      </w:r>
    </w:p>
    <w:p w14:paraId="261F57D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5.3</w:t>
      </w:r>
      <w:bookmarkStart w:id="11" w:name="_Hlk66782192"/>
      <w:r>
        <w:rPr>
          <w:rFonts w:hint="eastAsia" w:ascii="宋体" w:hAnsi="宋体"/>
          <w:color w:val="auto"/>
          <w:szCs w:val="21"/>
          <w:highlight w:val="none"/>
        </w:rPr>
        <w:t>根据《政府采购促进中小企业发展管理办法》（财库〔2020〕46号）及《广西壮族自治区财政厅关于持续优化政府采购营商环境推动高质量发展的通知》（桂财采〔2024〕55号）的规定，接受大中型企业与小微企业组成联合体或者允许大中型企业向一家或者多家小微企业分包的采购项目，对于联合协议或者分包意向协议约定小微企业的合同份额占到合同总金额30%以上的，采购人、采购代理机构应当对联合体或者大中型企业的报价给予4%-6%的扣除，用扣除后的价格参加评审。</w:t>
      </w:r>
      <w:bookmarkEnd w:id="11"/>
    </w:p>
    <w:p w14:paraId="4146FC00">
      <w:pPr>
        <w:spacing w:line="360" w:lineRule="auto"/>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6.转包与分包</w:t>
      </w:r>
    </w:p>
    <w:p w14:paraId="077DD024">
      <w:pPr>
        <w:spacing w:line="360" w:lineRule="auto"/>
        <w:ind w:firstLine="420" w:firstLineChars="200"/>
        <w:rPr>
          <w:rFonts w:hint="eastAsia" w:ascii="宋体" w:hAnsi="宋体" w:cs="宋体"/>
          <w:color w:val="auto"/>
          <w:szCs w:val="21"/>
          <w:highlight w:val="none"/>
        </w:rPr>
      </w:pPr>
      <w:bookmarkStart w:id="12" w:name="_Toc254970673"/>
      <w:bookmarkStart w:id="13" w:name="_Toc254970532"/>
      <w:r>
        <w:rPr>
          <w:rFonts w:hint="eastAsia" w:ascii="宋体" w:hAnsi="宋体" w:cs="宋体"/>
          <w:color w:val="auto"/>
          <w:szCs w:val="21"/>
          <w:highlight w:val="none"/>
        </w:rPr>
        <w:t>6.1本项目不允许转包。</w:t>
      </w:r>
    </w:p>
    <w:p w14:paraId="351F771C">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6.2本项目是否允许分包详见“供应商须知前附表”。允许分包的非主体、非关键性工作，根据法律法规规定承担该工作需要行政许可的，如该工作由供应商自行承担，供应商应具备相应的行政许可，如供应商不具备相应的行政许可必须采用分包的方式，但分包供应商应具备相应行政许可。</w:t>
      </w:r>
    </w:p>
    <w:p w14:paraId="7F6193AF">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6.3供应商根据磋商文件的规定和采购项目的实际情况，拟在成交后将成交项目的非主体、非关键性工作分包的，应当在响应文件中载明分包承担主体，分包承担主体应当具备相应资质条件且不得再次分包。</w:t>
      </w:r>
    </w:p>
    <w:p w14:paraId="4BF5323D">
      <w:pPr>
        <w:spacing w:line="360" w:lineRule="auto"/>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7.特别说明</w:t>
      </w:r>
      <w:bookmarkEnd w:id="12"/>
      <w:bookmarkEnd w:id="13"/>
    </w:p>
    <w:p w14:paraId="269588CF">
      <w:pPr>
        <w:spacing w:line="360" w:lineRule="auto"/>
        <w:ind w:firstLine="420" w:firstLineChars="200"/>
        <w:rPr>
          <w:rFonts w:hint="eastAsia" w:ascii="宋体" w:hAnsi="宋体" w:cs="宋体"/>
          <w:color w:val="auto"/>
          <w:szCs w:val="21"/>
          <w:highlight w:val="none"/>
        </w:rPr>
      </w:pPr>
      <w:bookmarkStart w:id="14" w:name="_8.1提供相同品牌产品且通过资格审查、符合性审查的不同投标人参加同一合"/>
      <w:bookmarkEnd w:id="14"/>
      <w:r>
        <w:rPr>
          <w:rFonts w:hint="eastAsia" w:ascii="宋体" w:hAnsi="宋体" w:cs="宋体"/>
          <w:color w:val="auto"/>
          <w:szCs w:val="21"/>
          <w:highlight w:val="none"/>
        </w:rPr>
        <w:t>7.</w:t>
      </w:r>
      <w:r>
        <w:rPr>
          <w:rFonts w:ascii="宋体" w:hAnsi="宋体" w:cs="宋体"/>
          <w:color w:val="auto"/>
          <w:szCs w:val="21"/>
          <w:highlight w:val="none"/>
        </w:rPr>
        <w:t>1</w:t>
      </w:r>
      <w:bookmarkStart w:id="15" w:name="_Hlk65832145"/>
      <w:r>
        <w:rPr>
          <w:rFonts w:hint="eastAsia" w:ascii="宋体" w:hAnsi="宋体"/>
          <w:color w:val="auto"/>
          <w:szCs w:val="21"/>
          <w:highlight w:val="none"/>
        </w:rPr>
        <w:t xml:space="preserve">如果本磋商文件要求提供供应商或制造商的资格、信誉、荣誉、业绩与企业认证等材料的，资格、信誉、荣誉、业绩与企业认证等必须为供应商或者制造商所拥有或自身获得 </w:t>
      </w:r>
      <w:r>
        <w:rPr>
          <w:rFonts w:hint="eastAsia" w:ascii="宋体" w:hAnsi="宋体" w:cs="宋体"/>
          <w:color w:val="auto"/>
          <w:szCs w:val="21"/>
          <w:highlight w:val="none"/>
        </w:rPr>
        <w:t>。</w:t>
      </w:r>
    </w:p>
    <w:bookmarkEnd w:id="15"/>
    <w:p w14:paraId="78767A2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w:t>
      </w:r>
      <w:r>
        <w:rPr>
          <w:rFonts w:ascii="宋体" w:hAnsi="宋体" w:cs="宋体"/>
          <w:color w:val="auto"/>
          <w:szCs w:val="21"/>
          <w:highlight w:val="none"/>
        </w:rPr>
        <w:t>2</w:t>
      </w:r>
      <w:r>
        <w:rPr>
          <w:rFonts w:hint="eastAsia" w:ascii="宋体" w:hAnsi="宋体" w:cs="宋体"/>
          <w:color w:val="auto"/>
          <w:szCs w:val="21"/>
          <w:highlight w:val="none"/>
        </w:rPr>
        <w:t>供应商应仔细阅读磋商文件的所有内容，按照磋商文件的要求提交响应文件，并对所提供的全部资料的真实性承担法律责任。</w:t>
      </w:r>
    </w:p>
    <w:p w14:paraId="21CC25C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w:t>
      </w:r>
      <w:r>
        <w:rPr>
          <w:rFonts w:ascii="宋体" w:hAnsi="宋体" w:cs="宋体"/>
          <w:color w:val="auto"/>
          <w:szCs w:val="21"/>
          <w:highlight w:val="none"/>
        </w:rPr>
        <w:t>3</w:t>
      </w:r>
      <w:r>
        <w:rPr>
          <w:rFonts w:hint="eastAsia" w:ascii="宋体" w:hAnsi="宋体" w:cs="宋体"/>
          <w:color w:val="auto"/>
          <w:szCs w:val="21"/>
          <w:highlight w:val="none"/>
        </w:rPr>
        <w:t>供应商在竞标活动中提供任何疑似虚假材料，将报监管部门查处；签订合同后发现的，成交供应商须依法赔偿采购人，且民事赔偿并不免除违法供应商的行政与刑事责任。</w:t>
      </w:r>
    </w:p>
    <w:p w14:paraId="32F7A40F">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w:t>
      </w:r>
      <w:r>
        <w:rPr>
          <w:rFonts w:ascii="宋体" w:hAnsi="宋体" w:cs="宋体"/>
          <w:color w:val="auto"/>
          <w:szCs w:val="21"/>
          <w:highlight w:val="none"/>
        </w:rPr>
        <w:t>4</w:t>
      </w:r>
      <w:r>
        <w:rPr>
          <w:rFonts w:hint="eastAsia" w:ascii="宋体" w:hAnsi="宋体" w:cs="宋体"/>
          <w:color w:val="auto"/>
          <w:szCs w:val="21"/>
          <w:highlight w:val="none"/>
        </w:rPr>
        <w:t>在政府采购活动中，采购人员及相关人员与供应商有下列利害关系之一的，应当回避：</w:t>
      </w:r>
    </w:p>
    <w:p w14:paraId="49D083F2">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（1）参加采购活动前3年内与供应商存在劳动关系；</w:t>
      </w:r>
    </w:p>
    <w:p w14:paraId="3CAE542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（2）参加采购活动前3年内担任供应商的董事、监事；</w:t>
      </w:r>
    </w:p>
    <w:p w14:paraId="101D7E6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（3）参加采购活动前3年内是供应商的控股股东或者实际控制人；</w:t>
      </w:r>
    </w:p>
    <w:p w14:paraId="14F0EF33">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（4）与供应商的法定代表人或者负责人有夫妻、直系血亲、三代以内旁系血亲或者近姻亲关系；</w:t>
      </w:r>
    </w:p>
    <w:p w14:paraId="4C1C4FE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（5）与供应商有其他可能影响政府采购活动公平、公正进行的关系。</w:t>
      </w:r>
    </w:p>
    <w:p w14:paraId="28E611F7">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4FC44017">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w:t>
      </w:r>
      <w:r>
        <w:rPr>
          <w:rFonts w:ascii="宋体" w:hAnsi="宋体" w:cs="宋体"/>
          <w:color w:val="auto"/>
          <w:szCs w:val="21"/>
          <w:highlight w:val="none"/>
        </w:rPr>
        <w:t>5</w:t>
      </w:r>
      <w:r>
        <w:rPr>
          <w:rFonts w:hint="eastAsia" w:ascii="宋体" w:hAnsi="宋体" w:cs="宋体"/>
          <w:color w:val="auto"/>
          <w:szCs w:val="21"/>
          <w:highlight w:val="none"/>
        </w:rPr>
        <w:t>有下列情形之一的视为供应商相互串通竞标，响应文件将被视为无效：</w:t>
      </w:r>
    </w:p>
    <w:p w14:paraId="4E4FE78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（1）不同供应商的响应文件由同一单位或者个人编制；或者不同供应商报名的IP地址一致的；或者编制响应文件硬件设备CPU编号、硬盘编号、网卡地址一致的情况。</w:t>
      </w:r>
    </w:p>
    <w:p w14:paraId="7B560E6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（2）不同供应商委托同一单位或者个人办理竞标事宜；</w:t>
      </w:r>
    </w:p>
    <w:p w14:paraId="112E6D4C">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（3）不同的供应商的响应文件载明的项目管理员为同一个人；</w:t>
      </w:r>
    </w:p>
    <w:p w14:paraId="34CDD26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（4）不同供应商的响应文件异常一致或者报价呈规律性差异；</w:t>
      </w:r>
    </w:p>
    <w:p w14:paraId="5DEB662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（5）不同供应商的响应文件相互混装；</w:t>
      </w:r>
    </w:p>
    <w:p w14:paraId="17ACCA6D">
      <w:pPr>
        <w:tabs>
          <w:tab w:val="left" w:pos="6931"/>
        </w:tabs>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（6）不同供应商的磋商保证金从同一单位或者个人账户转出。</w:t>
      </w:r>
    </w:p>
    <w:p w14:paraId="3B49C35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w:t>
      </w:r>
      <w:r>
        <w:rPr>
          <w:rFonts w:ascii="宋体" w:hAnsi="宋体" w:cs="宋体"/>
          <w:color w:val="auto"/>
          <w:szCs w:val="21"/>
          <w:highlight w:val="none"/>
        </w:rPr>
        <w:t>6</w:t>
      </w:r>
      <w:r>
        <w:rPr>
          <w:rFonts w:hint="eastAsia" w:ascii="宋体" w:hAnsi="宋体" w:cs="宋体"/>
          <w:color w:val="auto"/>
          <w:szCs w:val="21"/>
          <w:highlight w:val="none"/>
        </w:rPr>
        <w:t>供应商有下列情形之一的，属于恶意串通行为，将报同级监督管理部门：</w:t>
      </w:r>
    </w:p>
    <w:p w14:paraId="7D206BAF">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（1）供应商直接或者间接从采购人或者采购代理机构处获得其他供应商的相关信息并修改其响应文件；</w:t>
      </w:r>
    </w:p>
    <w:p w14:paraId="60050CFB">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（2）供应商按照采购人或者采购代理机构的授意撤换、修改响应文件；</w:t>
      </w:r>
    </w:p>
    <w:p w14:paraId="68F651F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（3）供应商之间协商报价、技术方案等响应文件或者响应文件的实质性内容；</w:t>
      </w:r>
    </w:p>
    <w:p w14:paraId="624EB39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（4）属于同一集团、协会、商会等组织成员的供应商按照该组织要求协同参加政府采购活动；</w:t>
      </w:r>
    </w:p>
    <w:p w14:paraId="39B2C53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（5）供应商之间事先约定一致抬高或者压低报价，或者在政府采购活动中事先约定轮流以高价位或者低价位成交，或者事先约定由某一特定供应商成交，然后再参加竞标；</w:t>
      </w:r>
    </w:p>
    <w:p w14:paraId="6E33462B">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（6）供应商之间商定部分供应商放弃参加政府采购活动或者放弃成交；</w:t>
      </w:r>
    </w:p>
    <w:p w14:paraId="47105713">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（7）供应商与采购人或者采购代理机构之间、供应商相互之间，为谋求特定供应商成交或者排斥其他供应商的其他串通行为。</w:t>
      </w:r>
    </w:p>
    <w:p w14:paraId="5B88F7F5">
      <w:pPr>
        <w:spacing w:line="360" w:lineRule="auto"/>
        <w:ind w:left="1" w:firstLine="417" w:firstLineChars="199"/>
        <w:jc w:val="center"/>
        <w:rPr>
          <w:rFonts w:hint="eastAsia" w:ascii="宋体" w:hAnsi="宋体"/>
          <w:color w:val="auto"/>
          <w:highlight w:val="none"/>
        </w:rPr>
      </w:pPr>
      <w:bookmarkStart w:id="16" w:name="_Toc254970675"/>
      <w:bookmarkStart w:id="17" w:name="_Toc254970534"/>
    </w:p>
    <w:p w14:paraId="053E737F">
      <w:pPr>
        <w:spacing w:line="360" w:lineRule="auto"/>
        <w:jc w:val="center"/>
        <w:rPr>
          <w:rFonts w:hint="eastAsia" w:ascii="宋体" w:hAnsi="宋体"/>
          <w:b/>
          <w:bCs/>
          <w:color w:val="auto"/>
          <w:sz w:val="32"/>
          <w:szCs w:val="32"/>
          <w:highlight w:val="none"/>
        </w:rPr>
      </w:pPr>
      <w:r>
        <w:rPr>
          <w:rFonts w:hint="eastAsia" w:ascii="宋体" w:hAnsi="宋体"/>
          <w:b/>
          <w:bCs/>
          <w:color w:val="auto"/>
          <w:sz w:val="32"/>
          <w:szCs w:val="32"/>
          <w:highlight w:val="none"/>
        </w:rPr>
        <w:t>二、磋商文件</w:t>
      </w:r>
      <w:bookmarkEnd w:id="16"/>
      <w:bookmarkEnd w:id="17"/>
    </w:p>
    <w:p w14:paraId="32493405">
      <w:pPr>
        <w:spacing w:line="360" w:lineRule="auto"/>
        <w:ind w:firstLine="482" w:firstLineChars="200"/>
        <w:rPr>
          <w:rFonts w:hint="eastAsia" w:ascii="黑体" w:hAnsi="黑体" w:eastAsia="黑体" w:cs="宋体"/>
          <w:b/>
          <w:bCs/>
          <w:color w:val="auto"/>
          <w:sz w:val="24"/>
          <w:highlight w:val="none"/>
        </w:rPr>
      </w:pPr>
    </w:p>
    <w:p w14:paraId="125D999A">
      <w:pPr>
        <w:spacing w:line="360" w:lineRule="auto"/>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8.磋商文件的构成</w:t>
      </w:r>
    </w:p>
    <w:p w14:paraId="1985F941">
      <w:pPr>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（1）竞争性磋商公告；</w:t>
      </w:r>
    </w:p>
    <w:p w14:paraId="1B703709">
      <w:pPr>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（2）采购需求；</w:t>
      </w:r>
    </w:p>
    <w:p w14:paraId="52C806BB">
      <w:pPr>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（3）供应商须知；</w:t>
      </w:r>
    </w:p>
    <w:p w14:paraId="4DE142AD">
      <w:pPr>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（4）评审程序、评审方法和评审标准；</w:t>
      </w:r>
    </w:p>
    <w:p w14:paraId="58BC9A89">
      <w:pPr>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（5）响应文件格式；</w:t>
      </w:r>
    </w:p>
    <w:p w14:paraId="32B2E383">
      <w:pPr>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（6）合同文本。</w:t>
      </w:r>
    </w:p>
    <w:p w14:paraId="5EA61328">
      <w:pPr>
        <w:spacing w:line="360" w:lineRule="auto"/>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9.供应商的询问</w:t>
      </w:r>
    </w:p>
    <w:p w14:paraId="56CFA99A">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供应商应认真阅读磋商文件的采购需求，如供应商对磋商文件有疑问的，如要求采购人作出澄清或者修改的，供应商尽可能在</w:t>
      </w:r>
      <w:r>
        <w:rPr>
          <w:rFonts w:ascii="宋体" w:hAnsi="宋体"/>
          <w:color w:val="auto"/>
          <w:szCs w:val="21"/>
          <w:highlight w:val="none"/>
        </w:rPr>
        <w:t>提交首次响应文件截止之日前</w:t>
      </w:r>
      <w:r>
        <w:rPr>
          <w:rFonts w:hint="eastAsia" w:ascii="宋体" w:hAnsi="宋体"/>
          <w:color w:val="auto"/>
          <w:szCs w:val="21"/>
          <w:highlight w:val="none"/>
        </w:rPr>
        <w:t>，以纸质书面形式向</w:t>
      </w:r>
      <w:r>
        <w:rPr>
          <w:rFonts w:ascii="宋体" w:hAnsi="宋体"/>
          <w:color w:val="auto"/>
          <w:szCs w:val="21"/>
          <w:highlight w:val="none"/>
        </w:rPr>
        <w:t>采购人、采购代理机构</w:t>
      </w:r>
      <w:r>
        <w:rPr>
          <w:rFonts w:hint="eastAsia" w:ascii="宋体" w:hAnsi="宋体"/>
          <w:color w:val="auto"/>
          <w:szCs w:val="21"/>
          <w:highlight w:val="none"/>
        </w:rPr>
        <w:t>提出</w:t>
      </w:r>
      <w:r>
        <w:rPr>
          <w:rFonts w:hint="eastAsia" w:ascii="宋体" w:hAnsi="宋体" w:cs="宋体"/>
          <w:color w:val="auto"/>
          <w:szCs w:val="21"/>
          <w:highlight w:val="none"/>
        </w:rPr>
        <w:t>，否则，由此产生的后果由供应商自行负责。</w:t>
      </w:r>
    </w:p>
    <w:p w14:paraId="2B4B0377">
      <w:pPr>
        <w:spacing w:line="360" w:lineRule="auto"/>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10.磋商文件的澄清和修改</w:t>
      </w:r>
    </w:p>
    <w:p w14:paraId="08A7EF5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10.1提交首次响应文件截止之日前，采购人、采购代理机构或者磋商小组可以对已发出的磋商文件进行必要的澄清或者修改，澄清或者修改的内容作为磋商文件的组成部分。澄清或者修改将在原公告发布媒体上发布更正公告。澄清或者修改的内容可能影响响应文件编制的，采购人、采购代理机构应当在提交首次响应文件截止时间至少</w:t>
      </w:r>
      <w:r>
        <w:rPr>
          <w:rFonts w:ascii="宋体" w:hAnsi="宋体" w:cs="宋体"/>
          <w:color w:val="auto"/>
          <w:szCs w:val="21"/>
          <w:highlight w:val="none"/>
        </w:rPr>
        <w:t>5</w:t>
      </w:r>
      <w:r>
        <w:rPr>
          <w:rFonts w:hint="eastAsia" w:ascii="宋体" w:hAnsi="宋体" w:cs="宋体"/>
          <w:color w:val="auto"/>
          <w:szCs w:val="21"/>
          <w:highlight w:val="none"/>
        </w:rPr>
        <w:t>日前，在原公告发布媒体上发布更正公告；不足</w:t>
      </w:r>
      <w:r>
        <w:rPr>
          <w:rFonts w:ascii="宋体" w:hAnsi="宋体" w:cs="宋体"/>
          <w:color w:val="auto"/>
          <w:szCs w:val="21"/>
          <w:highlight w:val="none"/>
        </w:rPr>
        <w:t>5</w:t>
      </w:r>
      <w:r>
        <w:rPr>
          <w:rFonts w:hint="eastAsia" w:ascii="宋体" w:hAnsi="宋体" w:cs="宋体"/>
          <w:color w:val="auto"/>
          <w:szCs w:val="21"/>
          <w:highlight w:val="none"/>
        </w:rPr>
        <w:t>日的，采购人、采购代理机构应当顺延提交首次响应文件截止时间。</w:t>
      </w:r>
    </w:p>
    <w:p w14:paraId="6C46EA22">
      <w:pPr>
        <w:spacing w:line="360" w:lineRule="auto"/>
        <w:ind w:firstLine="420" w:firstLineChars="200"/>
        <w:rPr>
          <w:rFonts w:hint="eastAsia" w:ascii="宋体" w:hAnsi="宋体"/>
          <w:color w:val="auto"/>
          <w:szCs w:val="21"/>
          <w:highlight w:val="none"/>
        </w:rPr>
      </w:pPr>
      <w:r>
        <w:rPr>
          <w:rFonts w:hint="eastAsia" w:ascii="宋体" w:hAnsi="宋体" w:cs="宋体"/>
          <w:color w:val="auto"/>
          <w:szCs w:val="21"/>
          <w:highlight w:val="none"/>
        </w:rPr>
        <w:t>10.2采购人和采购代理机构可以视采购具体情况，变更首次响应文件提交截止时间和开启时间，</w:t>
      </w:r>
      <w:r>
        <w:rPr>
          <w:rFonts w:hint="eastAsia" w:ascii="宋体" w:hAnsi="宋体"/>
          <w:color w:val="auto"/>
          <w:szCs w:val="21"/>
          <w:highlight w:val="none"/>
        </w:rPr>
        <w:t>并在原公告发布媒体上发布更正公告。</w:t>
      </w:r>
    </w:p>
    <w:p w14:paraId="2C09C2B2">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10.3磋商文件</w:t>
      </w:r>
      <w:r>
        <w:rPr>
          <w:rFonts w:hint="eastAsia" w:ascii="宋体" w:hAnsi="宋体"/>
          <w:color w:val="auto"/>
          <w:szCs w:val="21"/>
          <w:highlight w:val="none"/>
        </w:rPr>
        <w:t>澄清、答复、修改、补充的内容为</w:t>
      </w:r>
      <w:r>
        <w:rPr>
          <w:rFonts w:hint="eastAsia" w:ascii="宋体" w:hAnsi="宋体" w:cs="宋体"/>
          <w:color w:val="auto"/>
          <w:szCs w:val="21"/>
          <w:highlight w:val="none"/>
        </w:rPr>
        <w:t>磋商文件</w:t>
      </w:r>
      <w:r>
        <w:rPr>
          <w:rFonts w:hint="eastAsia" w:ascii="宋体" w:hAnsi="宋体"/>
          <w:color w:val="auto"/>
          <w:szCs w:val="21"/>
          <w:highlight w:val="none"/>
        </w:rPr>
        <w:t>的组成部分。</w:t>
      </w:r>
      <w:r>
        <w:rPr>
          <w:rFonts w:hint="eastAsia" w:ascii="宋体" w:hAnsi="宋体"/>
          <w:b/>
          <w:color w:val="auto"/>
          <w:szCs w:val="21"/>
          <w:highlight w:val="none"/>
        </w:rPr>
        <w:t>当</w:t>
      </w:r>
      <w:r>
        <w:rPr>
          <w:rFonts w:hint="eastAsia" w:ascii="宋体" w:hAnsi="宋体" w:cs="宋体"/>
          <w:b/>
          <w:color w:val="auto"/>
          <w:szCs w:val="21"/>
          <w:highlight w:val="none"/>
        </w:rPr>
        <w:t>磋商文件</w:t>
      </w:r>
      <w:r>
        <w:rPr>
          <w:rFonts w:hint="eastAsia" w:ascii="宋体" w:hAnsi="宋体"/>
          <w:b/>
          <w:color w:val="auto"/>
          <w:szCs w:val="21"/>
          <w:highlight w:val="none"/>
        </w:rPr>
        <w:t>与</w:t>
      </w:r>
      <w:r>
        <w:rPr>
          <w:rFonts w:hint="eastAsia" w:ascii="宋体" w:hAnsi="宋体" w:cs="宋体"/>
          <w:b/>
          <w:color w:val="auto"/>
          <w:szCs w:val="21"/>
          <w:highlight w:val="none"/>
        </w:rPr>
        <w:t>磋商文件</w:t>
      </w:r>
      <w:r>
        <w:rPr>
          <w:rFonts w:hint="eastAsia" w:ascii="宋体" w:hAnsi="宋体"/>
          <w:b/>
          <w:color w:val="auto"/>
          <w:szCs w:val="21"/>
          <w:highlight w:val="none"/>
        </w:rPr>
        <w:t>的澄清、答复、修改、补充通知就同一内容的表述不一致时，以最后发出的文件为准。</w:t>
      </w:r>
    </w:p>
    <w:p w14:paraId="1610896B">
      <w:pPr>
        <w:spacing w:line="360" w:lineRule="auto"/>
        <w:ind w:firstLine="422" w:firstLineChars="200"/>
        <w:rPr>
          <w:rFonts w:hint="eastAsia" w:ascii="宋体" w:hAnsi="宋体"/>
          <w:b/>
          <w:color w:val="auto"/>
          <w:szCs w:val="21"/>
          <w:highlight w:val="none"/>
        </w:rPr>
      </w:pPr>
      <w:r>
        <w:rPr>
          <w:rFonts w:hint="eastAsia" w:ascii="宋体" w:hAnsi="宋体" w:cs="宋体"/>
          <w:b/>
          <w:color w:val="auto"/>
          <w:szCs w:val="21"/>
          <w:highlight w:val="none"/>
        </w:rPr>
        <w:t>10.4</w:t>
      </w:r>
      <w:r>
        <w:rPr>
          <w:rFonts w:hint="eastAsia" w:ascii="宋体" w:hAnsi="宋体"/>
          <w:b/>
          <w:color w:val="auto"/>
          <w:szCs w:val="21"/>
          <w:highlight w:val="none"/>
        </w:rPr>
        <w:t>响应文件未按磋商文件的澄清、修改后的内容编制的，其响应文件作无效响应处理。</w:t>
      </w:r>
    </w:p>
    <w:p w14:paraId="24B8ECDD">
      <w:pPr>
        <w:spacing w:line="400" w:lineRule="exact"/>
        <w:ind w:firstLine="422" w:firstLineChars="200"/>
        <w:rPr>
          <w:rFonts w:hint="eastAsia" w:ascii="宋体" w:hAnsi="宋体"/>
          <w:b/>
          <w:color w:val="auto"/>
          <w:szCs w:val="21"/>
          <w:highlight w:val="none"/>
        </w:rPr>
      </w:pPr>
    </w:p>
    <w:p w14:paraId="4BD35B40">
      <w:pPr>
        <w:spacing w:line="360" w:lineRule="auto"/>
        <w:jc w:val="center"/>
        <w:rPr>
          <w:rFonts w:hint="eastAsia" w:ascii="宋体" w:hAnsi="宋体"/>
          <w:b/>
          <w:bCs/>
          <w:color w:val="auto"/>
          <w:sz w:val="32"/>
          <w:szCs w:val="32"/>
          <w:highlight w:val="none"/>
        </w:rPr>
      </w:pPr>
      <w:r>
        <w:rPr>
          <w:rFonts w:hint="eastAsia" w:ascii="宋体" w:hAnsi="宋体"/>
          <w:b/>
          <w:bCs/>
          <w:color w:val="auto"/>
          <w:sz w:val="32"/>
          <w:szCs w:val="32"/>
          <w:highlight w:val="none"/>
        </w:rPr>
        <w:t>三、响应文件的编制</w:t>
      </w:r>
    </w:p>
    <w:p w14:paraId="5F023AD1">
      <w:pPr>
        <w:spacing w:line="360" w:lineRule="auto"/>
        <w:ind w:firstLine="482" w:firstLineChars="200"/>
        <w:rPr>
          <w:rFonts w:hint="eastAsia" w:ascii="黑体" w:hAnsi="黑体" w:eastAsia="黑体" w:cs="宋体"/>
          <w:b/>
          <w:bCs/>
          <w:color w:val="auto"/>
          <w:sz w:val="24"/>
          <w:highlight w:val="none"/>
        </w:rPr>
      </w:pPr>
    </w:p>
    <w:p w14:paraId="5C02DE0F">
      <w:pPr>
        <w:spacing w:line="360" w:lineRule="auto"/>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11.响应文件的编制原则</w:t>
      </w:r>
    </w:p>
    <w:p w14:paraId="0146E88B">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供应商必须按照磋商文件的要求编制响应文件，并对其提交的响应文件的真实性、合法性承担法律责任。响应文件必须对磋商文件作出实质性响应。</w:t>
      </w:r>
    </w:p>
    <w:p w14:paraId="23C2FA6E">
      <w:pPr>
        <w:spacing w:line="360" w:lineRule="auto"/>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12.响应文件的组成</w:t>
      </w:r>
    </w:p>
    <w:p w14:paraId="1113C443">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12.1响应文件由资格证明文件、</w:t>
      </w:r>
      <w:r>
        <w:rPr>
          <w:rFonts w:hint="eastAsia" w:ascii="宋体" w:hAnsi="宋体"/>
          <w:color w:val="auto"/>
          <w:szCs w:val="21"/>
          <w:highlight w:val="none"/>
        </w:rPr>
        <w:t>商务文件、技术文件、</w:t>
      </w:r>
      <w:r>
        <w:rPr>
          <w:rFonts w:hint="eastAsia" w:ascii="宋体" w:hAnsi="宋体" w:cs="宋体"/>
          <w:color w:val="auto"/>
          <w:szCs w:val="21"/>
          <w:highlight w:val="none"/>
        </w:rPr>
        <w:t>报价文件四部分组成。</w:t>
      </w:r>
    </w:p>
    <w:p w14:paraId="0B335840">
      <w:pPr>
        <w:spacing w:line="360" w:lineRule="auto"/>
        <w:ind w:left="840" w:leftChars="200" w:hanging="420" w:hangingChars="200"/>
        <w:rPr>
          <w:rFonts w:hint="eastAsia" w:ascii="宋体" w:hAnsi="宋体" w:cs="宋体"/>
          <w:color w:val="auto"/>
          <w:szCs w:val="21"/>
          <w:highlight w:val="none"/>
        </w:rPr>
      </w:pPr>
      <w:r>
        <w:rPr>
          <w:rFonts w:hint="eastAsia" w:ascii="宋体" w:hAnsi="宋体" w:cs="宋体"/>
          <w:color w:val="auto"/>
          <w:szCs w:val="21"/>
          <w:highlight w:val="none"/>
        </w:rPr>
        <w:t>1</w:t>
      </w:r>
      <w:r>
        <w:rPr>
          <w:rFonts w:ascii="宋体" w:hAnsi="宋体" w:cs="宋体"/>
          <w:color w:val="auto"/>
          <w:szCs w:val="21"/>
          <w:highlight w:val="none"/>
        </w:rPr>
        <w:t>2.1.1</w:t>
      </w:r>
      <w:r>
        <w:rPr>
          <w:rFonts w:hint="eastAsia" w:ascii="宋体" w:hAnsi="宋体" w:cs="宋体"/>
          <w:color w:val="auto"/>
          <w:szCs w:val="21"/>
          <w:highlight w:val="none"/>
        </w:rPr>
        <w:t>资格证明文件：详见须知前附表</w:t>
      </w:r>
    </w:p>
    <w:p w14:paraId="47B74EEA">
      <w:pPr>
        <w:spacing w:line="360" w:lineRule="auto"/>
        <w:ind w:left="840" w:leftChars="200" w:hanging="420" w:hangingChars="200"/>
        <w:rPr>
          <w:rFonts w:hint="eastAsia" w:ascii="宋体" w:hAnsi="宋体" w:cs="宋体"/>
          <w:color w:val="auto"/>
          <w:szCs w:val="21"/>
          <w:highlight w:val="none"/>
        </w:rPr>
      </w:pPr>
      <w:r>
        <w:rPr>
          <w:rFonts w:hint="eastAsia" w:ascii="宋体" w:hAnsi="宋体" w:cs="宋体"/>
          <w:color w:val="auto"/>
          <w:szCs w:val="21"/>
          <w:highlight w:val="none"/>
        </w:rPr>
        <w:t>1</w:t>
      </w:r>
      <w:r>
        <w:rPr>
          <w:rFonts w:ascii="宋体" w:hAnsi="宋体" w:cs="宋体"/>
          <w:color w:val="auto"/>
          <w:szCs w:val="21"/>
          <w:highlight w:val="none"/>
        </w:rPr>
        <w:t>2.1.</w:t>
      </w:r>
      <w:r>
        <w:rPr>
          <w:rFonts w:hint="eastAsia" w:ascii="宋体" w:hAnsi="宋体" w:cs="宋体"/>
          <w:color w:val="auto"/>
          <w:szCs w:val="21"/>
          <w:highlight w:val="none"/>
        </w:rPr>
        <w:t>2商务文件：详见须知前附表</w:t>
      </w:r>
    </w:p>
    <w:p w14:paraId="4A11FFCE">
      <w:pPr>
        <w:spacing w:line="360" w:lineRule="auto"/>
        <w:ind w:left="840" w:leftChars="200" w:hanging="420" w:hangingChars="200"/>
        <w:rPr>
          <w:rFonts w:hint="eastAsia" w:ascii="宋体" w:hAnsi="宋体" w:cs="宋体"/>
          <w:color w:val="auto"/>
          <w:szCs w:val="21"/>
          <w:highlight w:val="none"/>
        </w:rPr>
      </w:pPr>
      <w:r>
        <w:rPr>
          <w:rFonts w:hint="eastAsia" w:ascii="宋体" w:hAnsi="宋体" w:cs="宋体"/>
          <w:color w:val="auto"/>
          <w:szCs w:val="21"/>
          <w:highlight w:val="none"/>
        </w:rPr>
        <w:t>1</w:t>
      </w:r>
      <w:r>
        <w:rPr>
          <w:rFonts w:ascii="宋体" w:hAnsi="宋体" w:cs="宋体"/>
          <w:color w:val="auto"/>
          <w:szCs w:val="21"/>
          <w:highlight w:val="none"/>
        </w:rPr>
        <w:t>2.1.</w:t>
      </w:r>
      <w:r>
        <w:rPr>
          <w:rFonts w:hint="eastAsia" w:ascii="宋体" w:hAnsi="宋体" w:cs="宋体"/>
          <w:color w:val="auto"/>
          <w:szCs w:val="21"/>
          <w:highlight w:val="none"/>
        </w:rPr>
        <w:t>3技术文件：详见须知前附表</w:t>
      </w:r>
    </w:p>
    <w:p w14:paraId="3E112EFE">
      <w:pPr>
        <w:spacing w:line="360" w:lineRule="auto"/>
        <w:ind w:left="840" w:leftChars="200" w:hanging="420" w:hangingChars="200"/>
        <w:rPr>
          <w:rFonts w:hint="eastAsia" w:ascii="宋体" w:hAnsi="宋体" w:cs="宋体"/>
          <w:color w:val="auto"/>
          <w:szCs w:val="21"/>
          <w:highlight w:val="none"/>
        </w:rPr>
      </w:pPr>
      <w:r>
        <w:rPr>
          <w:rFonts w:hint="eastAsia" w:ascii="宋体" w:hAnsi="宋体" w:cs="宋体"/>
          <w:color w:val="auto"/>
          <w:szCs w:val="21"/>
          <w:highlight w:val="none"/>
        </w:rPr>
        <w:t>1</w:t>
      </w:r>
      <w:r>
        <w:rPr>
          <w:rFonts w:ascii="宋体" w:hAnsi="宋体" w:cs="宋体"/>
          <w:color w:val="auto"/>
          <w:szCs w:val="21"/>
          <w:highlight w:val="none"/>
        </w:rPr>
        <w:t>2.1.</w:t>
      </w:r>
      <w:r>
        <w:rPr>
          <w:rFonts w:hint="eastAsia" w:ascii="宋体" w:hAnsi="宋体" w:cs="宋体"/>
          <w:color w:val="auto"/>
          <w:szCs w:val="21"/>
          <w:highlight w:val="none"/>
        </w:rPr>
        <w:t>4报价文件：详见须知前附表</w:t>
      </w:r>
    </w:p>
    <w:p w14:paraId="34A85CDF">
      <w:pPr>
        <w:spacing w:line="360" w:lineRule="auto"/>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13.计量单位</w:t>
      </w:r>
    </w:p>
    <w:p w14:paraId="1AB3782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磋商文件已有明确规定的，使用磋商文件规定的计量单位；磋商文件没有规定的，应采用中华人民共和国法定计量单位，货币种类为人民币，否则视同未响应。</w:t>
      </w:r>
    </w:p>
    <w:p w14:paraId="0C4833D6">
      <w:pPr>
        <w:spacing w:line="360" w:lineRule="auto"/>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14.竞标的风险</w:t>
      </w:r>
    </w:p>
    <w:p w14:paraId="3E818F5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供应商没有按照磋商文件要求提供全部资料，或者供应商没有对磋商文件在各方面作出实质性响应可能导致其响应无效，是供应商应当考虑的风险。</w:t>
      </w:r>
    </w:p>
    <w:p w14:paraId="255C141D">
      <w:pPr>
        <w:spacing w:line="360" w:lineRule="auto"/>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15.竞标报价</w:t>
      </w:r>
    </w:p>
    <w:p w14:paraId="32F7EC47">
      <w:pPr>
        <w:tabs>
          <w:tab w:val="left" w:pos="2492"/>
        </w:tabs>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15.1竞标报价应按磋商文件中“竞标报价表”格式填写。</w:t>
      </w:r>
    </w:p>
    <w:p w14:paraId="5A62E370">
      <w:pPr>
        <w:tabs>
          <w:tab w:val="left" w:pos="2492"/>
        </w:tabs>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15.2竞标报价的内容见“供应商须知前附表”。</w:t>
      </w:r>
    </w:p>
    <w:p w14:paraId="69C61C7D">
      <w:pPr>
        <w:spacing w:line="360" w:lineRule="auto"/>
        <w:ind w:left="426" w:leftChars="203"/>
        <w:rPr>
          <w:rFonts w:hint="eastAsia" w:ascii="宋体" w:hAnsi="宋体" w:cs="宋体"/>
          <w:color w:val="auto"/>
          <w:szCs w:val="21"/>
          <w:highlight w:val="none"/>
        </w:rPr>
      </w:pPr>
      <w:r>
        <w:rPr>
          <w:rFonts w:hint="eastAsia" w:ascii="宋体" w:hAnsi="宋体" w:cs="宋体"/>
          <w:color w:val="auto"/>
          <w:szCs w:val="21"/>
          <w:highlight w:val="none"/>
        </w:rPr>
        <w:t>15.3竞标报价要求</w:t>
      </w:r>
    </w:p>
    <w:p w14:paraId="5FDFF137">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1</w:t>
      </w:r>
      <w:r>
        <w:rPr>
          <w:rFonts w:ascii="宋体" w:hAnsi="宋体" w:cs="宋体"/>
          <w:b/>
          <w:color w:val="auto"/>
          <w:szCs w:val="21"/>
          <w:highlight w:val="none"/>
        </w:rPr>
        <w:t>5.3.1</w:t>
      </w:r>
      <w:r>
        <w:rPr>
          <w:rFonts w:hint="eastAsia" w:ascii="宋体" w:hAnsi="宋体" w:cs="宋体"/>
          <w:b/>
          <w:color w:val="auto"/>
          <w:szCs w:val="21"/>
          <w:highlight w:val="none"/>
        </w:rPr>
        <w:t>供应商的竞标报价应符合以下要求，否则响应文件按无效响应处理：</w:t>
      </w:r>
    </w:p>
    <w:p w14:paraId="0570332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（1）供应商必须就“采购需求”中所竞标的每个分标的全部内容分别作完整唯一总价报价，不得存在漏项报价；</w:t>
      </w:r>
    </w:p>
    <w:p w14:paraId="05E0E2C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2</w:t>
      </w:r>
      <w:r>
        <w:rPr>
          <w:rFonts w:hint="eastAsia" w:ascii="宋体" w:hAnsi="宋体" w:cs="宋体"/>
          <w:color w:val="auto"/>
          <w:szCs w:val="21"/>
          <w:highlight w:val="none"/>
        </w:rPr>
        <w:t>）供应商必须就所竞标的分标的单项内容作唯一报价。</w:t>
      </w:r>
    </w:p>
    <w:p w14:paraId="337D45CF">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15.3.</w:t>
      </w:r>
      <w:r>
        <w:rPr>
          <w:rFonts w:ascii="宋体" w:hAnsi="宋体" w:cs="宋体"/>
          <w:color w:val="auto"/>
          <w:szCs w:val="21"/>
          <w:highlight w:val="none"/>
        </w:rPr>
        <w:t>2</w:t>
      </w:r>
      <w:r>
        <w:rPr>
          <w:rFonts w:hint="eastAsia" w:ascii="宋体" w:hAnsi="宋体" w:cs="宋体"/>
          <w:color w:val="auto"/>
          <w:szCs w:val="21"/>
          <w:highlight w:val="none"/>
        </w:rPr>
        <w:t>最后报价超过所竞标分标规定的采购预算金额或者最高限价的，其响应文件将按无效响应处理。</w:t>
      </w:r>
      <w:bookmarkStart w:id="18" w:name="_Hlk42592874"/>
    </w:p>
    <w:bookmarkEnd w:id="18"/>
    <w:p w14:paraId="3C4A00C8">
      <w:pPr>
        <w:spacing w:line="360" w:lineRule="auto"/>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16.竞标有效期</w:t>
      </w:r>
    </w:p>
    <w:p w14:paraId="4B9C8F83">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16.1竞标有效期是指为保证采购人有足够的时间在提交响应文件后完成评审、确定成交供应商、合同签订等工作而要求供应商提交的响应文件在一定时间内保持有效的期限。</w:t>
      </w:r>
    </w:p>
    <w:p w14:paraId="219CA82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16.2 竞标有效期应由供应商按“供应商须知前附表”规定的期限作出响应。</w:t>
      </w:r>
    </w:p>
    <w:p w14:paraId="4D48D65C">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16.3供应商的响应文件在竞标有效期内均保持有效。</w:t>
      </w:r>
    </w:p>
    <w:p w14:paraId="75348A07">
      <w:pPr>
        <w:spacing w:line="360" w:lineRule="auto"/>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17.磋商保证金</w:t>
      </w:r>
    </w:p>
    <w:p w14:paraId="36C7FF55">
      <w:pPr>
        <w:spacing w:line="360" w:lineRule="auto"/>
        <w:ind w:left="420" w:leftChars="200"/>
        <w:rPr>
          <w:rFonts w:hint="eastAsia" w:ascii="宋体" w:hAnsi="宋体" w:cs="宋体"/>
          <w:color w:val="auto"/>
          <w:szCs w:val="21"/>
          <w:highlight w:val="none"/>
        </w:rPr>
      </w:pPr>
      <w:r>
        <w:rPr>
          <w:rFonts w:hint="eastAsia" w:ascii="宋体" w:hAnsi="宋体" w:cs="宋体"/>
          <w:color w:val="auto"/>
          <w:szCs w:val="21"/>
          <w:highlight w:val="none"/>
        </w:rPr>
        <w:t>17.1</w:t>
      </w:r>
      <w:r>
        <w:rPr>
          <w:rFonts w:hint="eastAsia" w:ascii="宋体" w:hAnsi="宋体" w:cs="宋体"/>
          <w:color w:val="auto"/>
          <w:szCs w:val="21"/>
          <w:highlight w:val="none"/>
          <w:lang w:eastAsia="zh-CN"/>
        </w:rPr>
        <w:t>详见</w:t>
      </w:r>
      <w:r>
        <w:rPr>
          <w:rFonts w:hint="eastAsia" w:ascii="宋体" w:hAnsi="宋体" w:cs="宋体"/>
          <w:color w:val="auto"/>
          <w:szCs w:val="21"/>
          <w:highlight w:val="none"/>
        </w:rPr>
        <w:t>“供应商须知前附表”的规定。</w:t>
      </w:r>
    </w:p>
    <w:p w14:paraId="59BA1FB6">
      <w:pPr>
        <w:spacing w:line="360" w:lineRule="auto"/>
        <w:ind w:left="420" w:leftChars="200"/>
        <w:rPr>
          <w:rFonts w:hint="eastAsia" w:ascii="宋体" w:hAnsi="宋体" w:cs="宋体"/>
          <w:color w:val="auto"/>
          <w:szCs w:val="21"/>
          <w:highlight w:val="none"/>
        </w:rPr>
      </w:pPr>
      <w:r>
        <w:rPr>
          <w:rFonts w:hint="eastAsia" w:ascii="宋体" w:hAnsi="宋体" w:cs="宋体"/>
          <w:color w:val="auto"/>
          <w:szCs w:val="21"/>
          <w:highlight w:val="none"/>
        </w:rPr>
        <w:t>17.2磋商保证金的退还</w:t>
      </w:r>
    </w:p>
    <w:p w14:paraId="0D9A5506">
      <w:pPr>
        <w:spacing w:line="360" w:lineRule="auto"/>
        <w:ind w:firstLine="420" w:firstLineChars="200"/>
        <w:rPr>
          <w:rFonts w:hint="eastAsia" w:ascii="宋体" w:hAnsi="宋体" w:cs="宋体"/>
          <w:color w:val="auto"/>
          <w:szCs w:val="21"/>
          <w:highlight w:val="none"/>
        </w:rPr>
      </w:pPr>
      <w:bookmarkStart w:id="19" w:name="_Hlk66782243"/>
      <w:r>
        <w:rPr>
          <w:rFonts w:hint="eastAsia" w:ascii="宋体" w:hAnsi="宋体" w:cs="宋体"/>
          <w:color w:val="auto"/>
          <w:szCs w:val="21"/>
          <w:highlight w:val="none"/>
        </w:rPr>
        <w:t>未</w:t>
      </w:r>
      <w:r>
        <w:rPr>
          <w:rFonts w:hint="eastAsia" w:ascii="宋体" w:hAnsi="宋体" w:cs="宋体"/>
          <w:color w:val="auto"/>
          <w:spacing w:val="-6"/>
          <w:szCs w:val="21"/>
          <w:highlight w:val="none"/>
        </w:rPr>
        <w:t>成交供应商的磋商保证金自成交通知书发出之日起5个工作日内退还；</w:t>
      </w:r>
      <w:r>
        <w:rPr>
          <w:rFonts w:hint="eastAsia" w:ascii="宋体" w:hAnsi="宋体" w:cs="宋体"/>
          <w:color w:val="auto"/>
          <w:szCs w:val="21"/>
          <w:highlight w:val="none"/>
        </w:rPr>
        <w:t>成交供应商的磋商保证金自签订合同之日起5个工作日内退还。</w:t>
      </w:r>
      <w:bookmarkEnd w:id="19"/>
      <w:r>
        <w:rPr>
          <w:rFonts w:hint="eastAsia" w:ascii="宋体" w:hAnsi="宋体" w:cs="宋体"/>
          <w:color w:val="auto"/>
          <w:szCs w:val="21"/>
          <w:highlight w:val="none"/>
        </w:rPr>
        <w:t xml:space="preserve"> </w:t>
      </w:r>
    </w:p>
    <w:p w14:paraId="3031F676">
      <w:pPr>
        <w:spacing w:line="360" w:lineRule="auto"/>
        <w:ind w:left="420" w:leftChars="200"/>
        <w:rPr>
          <w:rFonts w:hint="eastAsia" w:ascii="宋体" w:hAnsi="宋体" w:cs="宋体"/>
          <w:color w:val="auto"/>
          <w:szCs w:val="21"/>
          <w:highlight w:val="none"/>
        </w:rPr>
      </w:pPr>
      <w:r>
        <w:rPr>
          <w:rFonts w:hint="eastAsia" w:ascii="宋体" w:hAnsi="宋体" w:cs="宋体"/>
          <w:color w:val="auto"/>
          <w:szCs w:val="21"/>
          <w:highlight w:val="none"/>
        </w:rPr>
        <w:t>17.3磋商保证金不计息。</w:t>
      </w:r>
    </w:p>
    <w:p w14:paraId="5DFFEF0A">
      <w:pPr>
        <w:spacing w:line="360" w:lineRule="auto"/>
        <w:ind w:left="420" w:leftChars="200"/>
        <w:rPr>
          <w:rFonts w:hint="eastAsia" w:ascii="宋体" w:hAnsi="宋体" w:cs="宋体"/>
          <w:color w:val="auto"/>
          <w:szCs w:val="21"/>
          <w:highlight w:val="none"/>
        </w:rPr>
      </w:pPr>
      <w:r>
        <w:rPr>
          <w:rFonts w:hint="eastAsia" w:ascii="宋体" w:hAnsi="宋体" w:cs="宋体"/>
          <w:color w:val="auto"/>
          <w:szCs w:val="21"/>
          <w:highlight w:val="none"/>
        </w:rPr>
        <w:t>17.4供应商有下列情形之一的，磋商保证金将不予退还：</w:t>
      </w:r>
    </w:p>
    <w:p w14:paraId="4A3EE11A">
      <w:pPr>
        <w:spacing w:line="360" w:lineRule="auto"/>
        <w:ind w:left="420" w:leftChars="200"/>
        <w:rPr>
          <w:rFonts w:hint="eastAsia" w:ascii="宋体" w:hAnsi="宋体" w:cs="宋体"/>
          <w:color w:val="auto"/>
          <w:szCs w:val="21"/>
          <w:highlight w:val="none"/>
        </w:rPr>
      </w:pPr>
      <w:r>
        <w:rPr>
          <w:rFonts w:hint="eastAsia" w:ascii="宋体" w:hAnsi="宋体" w:cs="宋体"/>
          <w:color w:val="auto"/>
          <w:szCs w:val="21"/>
          <w:highlight w:val="none"/>
        </w:rPr>
        <w:t>（1）供应商在提交首次响应文件截止时间后撤回响应文件的；</w:t>
      </w:r>
    </w:p>
    <w:p w14:paraId="4C921B15">
      <w:pPr>
        <w:spacing w:line="360" w:lineRule="auto"/>
        <w:ind w:left="420" w:leftChars="200"/>
        <w:rPr>
          <w:rFonts w:ascii="宋体" w:hAnsi="宋体" w:cs="宋体"/>
          <w:color w:val="auto"/>
          <w:szCs w:val="21"/>
          <w:highlight w:val="none"/>
        </w:rPr>
      </w:pPr>
      <w:r>
        <w:rPr>
          <w:rFonts w:hint="eastAsia" w:ascii="宋体" w:hAnsi="宋体"/>
          <w:color w:val="auto"/>
          <w:szCs w:val="21"/>
          <w:highlight w:val="none"/>
        </w:rPr>
        <w:t>（2）未按规定提交履约保证金的；</w:t>
      </w:r>
    </w:p>
    <w:p w14:paraId="7E9312CB">
      <w:pPr>
        <w:spacing w:line="360" w:lineRule="auto"/>
        <w:ind w:left="420" w:leftChars="200"/>
        <w:rPr>
          <w:rFonts w:hint="eastAsia" w:ascii="宋体" w:hAnsi="宋体" w:cs="宋体"/>
          <w:color w:val="auto"/>
          <w:szCs w:val="21"/>
          <w:highlight w:val="none"/>
        </w:rPr>
      </w:pPr>
      <w:r>
        <w:rPr>
          <w:rFonts w:hint="eastAsia" w:ascii="宋体" w:hAnsi="宋体" w:cs="宋体"/>
          <w:color w:val="auto"/>
          <w:szCs w:val="21"/>
          <w:highlight w:val="none"/>
        </w:rPr>
        <w:t>（3）供应商在响应文件中提供虚假材料的；</w:t>
      </w:r>
    </w:p>
    <w:p w14:paraId="40F7DFB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（4）除因不可抗力或者磋商文件认可的情形以外，成交供应商不与采购人签订合同的；</w:t>
      </w:r>
    </w:p>
    <w:p w14:paraId="0A67BC6F">
      <w:pPr>
        <w:spacing w:line="360" w:lineRule="auto"/>
        <w:ind w:left="420" w:leftChars="200"/>
        <w:rPr>
          <w:rFonts w:hint="eastAsia" w:ascii="宋体" w:hAnsi="宋体" w:cs="宋体"/>
          <w:color w:val="auto"/>
          <w:szCs w:val="21"/>
          <w:highlight w:val="none"/>
        </w:rPr>
      </w:pPr>
      <w:r>
        <w:rPr>
          <w:rFonts w:hint="eastAsia" w:ascii="宋体" w:hAnsi="宋体" w:cs="宋体"/>
          <w:color w:val="auto"/>
          <w:szCs w:val="21"/>
          <w:highlight w:val="none"/>
        </w:rPr>
        <w:t>（5）供应商与采购人、其他供应商或者采购代理机构恶意串通的；</w:t>
      </w:r>
    </w:p>
    <w:p w14:paraId="1B8D0799">
      <w:pPr>
        <w:spacing w:line="360" w:lineRule="auto"/>
        <w:ind w:left="420" w:leftChars="200"/>
        <w:rPr>
          <w:rFonts w:hint="eastAsia" w:ascii="宋体" w:hAnsi="宋体" w:cs="宋体"/>
          <w:color w:val="auto"/>
          <w:szCs w:val="21"/>
          <w:highlight w:val="none"/>
        </w:rPr>
      </w:pPr>
      <w:r>
        <w:rPr>
          <w:rFonts w:hint="eastAsia" w:ascii="宋体" w:hAnsi="宋体" w:cs="宋体"/>
          <w:color w:val="auto"/>
          <w:szCs w:val="21"/>
          <w:highlight w:val="none"/>
        </w:rPr>
        <w:t>（6）法律法规规定的其他情形。</w:t>
      </w:r>
    </w:p>
    <w:p w14:paraId="1B40A0B9">
      <w:pPr>
        <w:spacing w:line="360" w:lineRule="auto"/>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18.响应文件编制的要求</w:t>
      </w:r>
    </w:p>
    <w:p w14:paraId="22C720F3">
      <w:pPr>
        <w:spacing w:line="360" w:lineRule="auto"/>
        <w:ind w:firstLine="420" w:firstLineChars="200"/>
        <w:rPr>
          <w:rFonts w:hint="eastAsia" w:ascii="宋体" w:hAnsi="宋体" w:cs="宋体"/>
          <w:color w:val="auto"/>
          <w:spacing w:val="-6"/>
          <w:szCs w:val="21"/>
          <w:highlight w:val="none"/>
        </w:rPr>
      </w:pPr>
      <w:r>
        <w:rPr>
          <w:rFonts w:hint="eastAsia" w:ascii="宋体" w:hAnsi="宋体" w:cs="宋体"/>
          <w:color w:val="auto"/>
          <w:szCs w:val="21"/>
          <w:highlight w:val="none"/>
        </w:rPr>
        <w:t>18.1供应商应按本磋商文件规定的格式和顺序编制响应文件并标注页码，响应文件内容</w:t>
      </w:r>
      <w:r>
        <w:rPr>
          <w:rFonts w:hint="eastAsia" w:ascii="宋体" w:hAnsi="宋体" w:cs="宋体"/>
          <w:color w:val="auto"/>
          <w:spacing w:val="-6"/>
          <w:szCs w:val="21"/>
          <w:highlight w:val="none"/>
        </w:rPr>
        <w:t>不完整、编排混乱导致响应文件被误读、漏读或者查找不到相关内容的，</w:t>
      </w:r>
      <w:r>
        <w:rPr>
          <w:rFonts w:hint="eastAsia" w:ascii="宋体" w:hAnsi="宋体"/>
          <w:color w:val="auto"/>
          <w:szCs w:val="21"/>
          <w:highlight w:val="none"/>
        </w:rPr>
        <w:t>由此引发的</w:t>
      </w:r>
      <w:r>
        <w:rPr>
          <w:rFonts w:hint="eastAsia" w:ascii="宋体" w:hAnsi="宋体" w:cs="宋体"/>
          <w:color w:val="auto"/>
          <w:spacing w:val="-6"/>
          <w:szCs w:val="21"/>
          <w:highlight w:val="none"/>
        </w:rPr>
        <w:t>后果由供应商承担。</w:t>
      </w:r>
    </w:p>
    <w:p w14:paraId="6D41011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18.2响应文件应按资格证明文件、报价</w:t>
      </w:r>
      <w:r>
        <w:rPr>
          <w:rFonts w:hint="eastAsia" w:ascii="宋体" w:hAnsi="宋体" w:cs="宋体"/>
          <w:color w:val="auto"/>
          <w:szCs w:val="21"/>
          <w:highlight w:val="none"/>
          <w:lang w:val="en-US" w:eastAsia="zh-CN"/>
        </w:rPr>
        <w:t>文件</w:t>
      </w:r>
      <w:r>
        <w:rPr>
          <w:rFonts w:hint="eastAsia" w:ascii="宋体" w:hAnsi="宋体" w:cs="宋体"/>
          <w:color w:val="auto"/>
          <w:szCs w:val="21"/>
          <w:highlight w:val="none"/>
          <w:lang w:eastAsia="zh-CN"/>
        </w:rPr>
        <w:t>、</w:t>
      </w:r>
      <w:r>
        <w:rPr>
          <w:rFonts w:hint="eastAsia" w:ascii="宋体" w:hAnsi="宋体" w:cs="宋体"/>
          <w:color w:val="auto"/>
          <w:szCs w:val="21"/>
          <w:highlight w:val="none"/>
        </w:rPr>
        <w:t>商务</w:t>
      </w:r>
      <w:r>
        <w:rPr>
          <w:rFonts w:hint="eastAsia" w:ascii="宋体" w:hAnsi="宋体" w:cs="宋体"/>
          <w:color w:val="auto"/>
          <w:szCs w:val="21"/>
          <w:highlight w:val="none"/>
          <w:lang w:val="en-US" w:eastAsia="zh-CN"/>
        </w:rPr>
        <w:t>文件</w:t>
      </w:r>
      <w:r>
        <w:rPr>
          <w:rFonts w:hint="eastAsia" w:ascii="宋体" w:hAnsi="宋体" w:cs="宋体"/>
          <w:color w:val="auto"/>
          <w:szCs w:val="21"/>
          <w:highlight w:val="none"/>
        </w:rPr>
        <w:t>技术文件分别编制电子文件，</w:t>
      </w:r>
      <w:r>
        <w:rPr>
          <w:rFonts w:hint="eastAsia" w:ascii="宋体" w:hAnsi="宋体" w:cs="宋体"/>
          <w:color w:val="auto"/>
          <w:szCs w:val="21"/>
          <w:highlight w:val="none"/>
          <w:lang w:bidi="ar"/>
        </w:rPr>
        <w:t>并按广西政府采购云平台的要求编制、加密、上传。</w:t>
      </w:r>
    </w:p>
    <w:p w14:paraId="345BB71B">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18.</w:t>
      </w:r>
      <w:bookmarkStart w:id="20" w:name="_Hlk65832699"/>
      <w:r>
        <w:rPr>
          <w:rFonts w:hint="eastAsia" w:ascii="宋体" w:hAnsi="宋体" w:cs="宋体"/>
          <w:color w:val="auto"/>
          <w:szCs w:val="21"/>
          <w:highlight w:val="none"/>
        </w:rPr>
        <w:t>3</w:t>
      </w:r>
      <w:r>
        <w:rPr>
          <w:rFonts w:hint="eastAsia" w:ascii="宋体" w:hAnsi="宋体"/>
          <w:color w:val="auto"/>
          <w:szCs w:val="21"/>
          <w:highlight w:val="none"/>
        </w:rPr>
        <w:t>响应文件须由供应商在规定位置</w:t>
      </w:r>
      <w:r>
        <w:rPr>
          <w:rFonts w:hint="eastAsia" w:ascii="宋体" w:hAnsi="宋体"/>
          <w:color w:val="auto"/>
          <w:szCs w:val="21"/>
          <w:highlight w:val="none"/>
          <w:lang w:val="en-US" w:eastAsia="zh-CN"/>
        </w:rPr>
        <w:t>加</w:t>
      </w:r>
      <w:r>
        <w:rPr>
          <w:rFonts w:hint="eastAsia" w:ascii="宋体" w:hAnsi="宋体"/>
          <w:color w:val="auto"/>
          <w:szCs w:val="21"/>
          <w:highlight w:val="none"/>
        </w:rPr>
        <w:t>盖公章并签字</w:t>
      </w:r>
      <w:bookmarkStart w:id="21" w:name="_Hlk65832569"/>
      <w:r>
        <w:rPr>
          <w:rFonts w:hint="eastAsia" w:ascii="宋体" w:hAnsi="宋体"/>
          <w:color w:val="auto"/>
          <w:szCs w:val="21"/>
          <w:highlight w:val="none"/>
        </w:rPr>
        <w:t>（具体以供应商须知前附表或响应文件格式规定为准）</w:t>
      </w:r>
      <w:bookmarkEnd w:id="20"/>
      <w:bookmarkEnd w:id="21"/>
      <w:r>
        <w:rPr>
          <w:rFonts w:hint="eastAsia" w:ascii="宋体" w:hAnsi="宋体" w:cs="宋体"/>
          <w:color w:val="auto"/>
          <w:szCs w:val="21"/>
          <w:highlight w:val="none"/>
        </w:rPr>
        <w:t>，否则其响应文件按无效响应处理。</w:t>
      </w:r>
    </w:p>
    <w:p w14:paraId="2DC6DA87">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18.4响应文件成交注的供应商名称应与营业执照（事业单位法人证书、执业许可证、自然人身份证）及公章一致，否则其响应文件按无效响应处理。</w:t>
      </w:r>
    </w:p>
    <w:p w14:paraId="596ED98B">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18.5响应文件应尽量避免涂改、行间插字或者删除。如果出现上述情况，改动之处应由供应商的法定代表人或者其委托代理人签字或者加盖公章。响应文件因涂改、行间插字或者删除导致字迹潦草或者表达不清所引起的后果由供应商承担。</w:t>
      </w:r>
    </w:p>
    <w:p w14:paraId="455E06CE">
      <w:pPr>
        <w:spacing w:line="360" w:lineRule="auto"/>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19.响应文件的加密、解密</w:t>
      </w:r>
    </w:p>
    <w:p w14:paraId="7DADFE2F">
      <w:pPr>
        <w:spacing w:line="360" w:lineRule="auto"/>
        <w:ind w:firstLine="420" w:firstLineChars="200"/>
        <w:rPr>
          <w:rFonts w:hint="eastAsia" w:ascii="宋体" w:hAnsi="宋体" w:cs="宋体"/>
          <w:color w:val="auto"/>
          <w:szCs w:val="21"/>
          <w:highlight w:val="none"/>
        </w:rPr>
      </w:pPr>
      <w:r>
        <w:rPr>
          <w:rFonts w:hint="eastAsia" w:ascii="宋体" w:hAnsi="宋体"/>
          <w:color w:val="auto"/>
          <w:szCs w:val="21"/>
          <w:highlight w:val="none"/>
        </w:rPr>
        <w:t>19.1电子</w:t>
      </w:r>
      <w:r>
        <w:rPr>
          <w:rFonts w:hint="eastAsia" w:ascii="宋体" w:hAnsi="宋体" w:cs="宋体"/>
          <w:color w:val="auto"/>
          <w:szCs w:val="21"/>
          <w:highlight w:val="none"/>
        </w:rPr>
        <w:t>响应文件</w:t>
      </w:r>
      <w:r>
        <w:rPr>
          <w:rFonts w:hint="eastAsia" w:ascii="宋体" w:hAnsi="宋体"/>
          <w:color w:val="auto"/>
          <w:szCs w:val="21"/>
          <w:highlight w:val="none"/>
        </w:rPr>
        <w:t>编制完成后，供应商应按广西政府采购云平台的要求进行加密，并在规定时间内解密，否则，由此产生的后果由供应商自行负责。</w:t>
      </w:r>
    </w:p>
    <w:p w14:paraId="5626333D">
      <w:pPr>
        <w:spacing w:line="360" w:lineRule="auto"/>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20.响应文件的提交</w:t>
      </w:r>
    </w:p>
    <w:p w14:paraId="559AD515">
      <w:pPr>
        <w:keepNext w:val="0"/>
        <w:keepLines w:val="0"/>
        <w:pageBreakBefore w:val="0"/>
        <w:kinsoku/>
        <w:wordWrap w:val="0"/>
        <w:overflowPunct/>
        <w:topLinePunct w:val="0"/>
        <w:autoSpaceDE/>
        <w:autoSpaceDN/>
        <w:bidi w:val="0"/>
        <w:adjustRightInd/>
        <w:snapToGrid/>
        <w:spacing w:line="360" w:lineRule="auto"/>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20.1供应商必须在“供应商须知前附表”规定的时间和地点提交响应文件。</w:t>
      </w:r>
    </w:p>
    <w:p w14:paraId="5CE18A8D">
      <w:pPr>
        <w:keepNext w:val="0"/>
        <w:keepLines w:val="0"/>
        <w:pageBreakBefore w:val="0"/>
        <w:widowControl/>
        <w:kinsoku/>
        <w:wordWrap w:val="0"/>
        <w:overflowPunct/>
        <w:topLinePunct w:val="0"/>
        <w:autoSpaceDE/>
        <w:autoSpaceDN/>
        <w:bidi w:val="0"/>
        <w:adjustRightInd/>
        <w:snapToGrid/>
        <w:spacing w:line="360" w:lineRule="auto"/>
        <w:ind w:firstLine="420" w:firstLineChars="200"/>
        <w:textAlignment w:val="auto"/>
        <w:rPr>
          <w:rFonts w:hint="eastAsia" w:ascii="宋体" w:hAnsi="宋体" w:cs="宋体"/>
          <w:b/>
          <w:color w:val="auto"/>
          <w:szCs w:val="21"/>
          <w:highlight w:val="none"/>
          <w:lang w:bidi="ar"/>
        </w:rPr>
      </w:pPr>
      <w:r>
        <w:rPr>
          <w:rFonts w:hint="eastAsia" w:ascii="宋体" w:hAnsi="宋体" w:cs="宋体"/>
          <w:color w:val="auto"/>
          <w:szCs w:val="21"/>
          <w:highlight w:val="none"/>
        </w:rPr>
        <w:t>20.2</w:t>
      </w:r>
      <w:r>
        <w:rPr>
          <w:rFonts w:hint="eastAsia" w:ascii="宋体" w:hAnsi="宋体" w:cs="宋体"/>
          <w:color w:val="auto"/>
          <w:szCs w:val="21"/>
          <w:highlight w:val="none"/>
          <w:lang w:bidi="ar"/>
        </w:rPr>
        <w:t>本项目为全流程电子化政府采购项目，通过广西政府采购云平台（https://www.gcy.zfcg.gxzf.gov.cn）实行在线电子竞标，供应商应先安装“政采云电子交易客户端”（请自行前往广西政府采购云平台进行下载），并按照本项目竞争性磋商文件和广西政府采购云平台的要求编制、加密后在首次响应文件提交截止时间前通过网络上传至广西政府采购云平台，</w:t>
      </w:r>
      <w:r>
        <w:rPr>
          <w:rFonts w:hint="eastAsia" w:ascii="宋体" w:hAnsi="宋体" w:cs="宋体"/>
          <w:b/>
          <w:color w:val="auto"/>
          <w:szCs w:val="21"/>
          <w:highlight w:val="none"/>
          <w:lang w:bidi="ar"/>
        </w:rPr>
        <w:t>供应商在广西政府采购云平台提交电子版响应文件时，请填写参加远程开标活动经办人联系方式。</w:t>
      </w:r>
    </w:p>
    <w:p w14:paraId="40890C07">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20.3未在规定时间内上传或者未按广西政府采购云平台的要求编制、加密的电子响应文件，广西政府采购云平台将拒收。</w:t>
      </w:r>
    </w:p>
    <w:p w14:paraId="582AB885">
      <w:pPr>
        <w:pStyle w:val="7"/>
        <w:spacing w:line="360" w:lineRule="auto"/>
        <w:rPr>
          <w:rFonts w:hint="eastAsia" w:ascii="宋体" w:hAnsi="宋体" w:cs="宋体"/>
          <w:color w:val="auto"/>
          <w:szCs w:val="21"/>
          <w:highlight w:val="none"/>
        </w:rPr>
      </w:pPr>
      <w:r>
        <w:rPr>
          <w:rFonts w:hint="eastAsia" w:ascii="宋体" w:hAnsi="宋体"/>
          <w:color w:val="auto"/>
          <w:szCs w:val="21"/>
          <w:highlight w:val="none"/>
        </w:rPr>
        <w:t>20.4电子</w:t>
      </w:r>
      <w:r>
        <w:rPr>
          <w:rFonts w:hint="eastAsia" w:ascii="宋体" w:hAnsi="宋体" w:cs="宋体"/>
          <w:color w:val="auto"/>
          <w:szCs w:val="21"/>
          <w:highlight w:val="none"/>
        </w:rPr>
        <w:t>响应文件</w:t>
      </w:r>
      <w:r>
        <w:rPr>
          <w:rFonts w:hint="eastAsia" w:ascii="宋体" w:hAnsi="宋体"/>
          <w:color w:val="auto"/>
          <w:szCs w:val="21"/>
          <w:highlight w:val="none"/>
        </w:rPr>
        <w:t>提交方</w:t>
      </w:r>
      <w:r>
        <w:rPr>
          <w:rFonts w:hint="eastAsia" w:ascii="宋体" w:hAnsi="宋体"/>
          <w:bCs/>
          <w:color w:val="auto"/>
          <w:szCs w:val="21"/>
          <w:highlight w:val="none"/>
        </w:rPr>
        <w:t>式见“竞争性磋商公告”</w:t>
      </w:r>
      <w:r>
        <w:rPr>
          <w:rFonts w:hint="eastAsia" w:ascii="宋体" w:hAnsi="宋体"/>
          <w:color w:val="auto"/>
          <w:szCs w:val="21"/>
          <w:highlight w:val="none"/>
        </w:rPr>
        <w:t>中“四、响应文件提交”。</w:t>
      </w:r>
    </w:p>
    <w:p w14:paraId="79BC18E3">
      <w:pPr>
        <w:spacing w:line="360" w:lineRule="auto"/>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21.首次响应文件的补充、修改与撤回</w:t>
      </w:r>
    </w:p>
    <w:p w14:paraId="1CAC8650">
      <w:pPr>
        <w:spacing w:line="360" w:lineRule="auto"/>
        <w:ind w:firstLine="420" w:firstLineChars="200"/>
        <w:rPr>
          <w:rFonts w:hint="eastAsia" w:ascii="宋体" w:hAnsi="宋体" w:cs="宋体"/>
          <w:bCs/>
          <w:color w:val="auto"/>
          <w:szCs w:val="21"/>
          <w:highlight w:val="none"/>
          <w:lang w:bidi="ar"/>
        </w:rPr>
      </w:pPr>
      <w:r>
        <w:rPr>
          <w:rFonts w:hint="eastAsia" w:ascii="宋体" w:hAnsi="宋体" w:cs="宋体"/>
          <w:bCs/>
          <w:color w:val="auto"/>
          <w:szCs w:val="21"/>
          <w:highlight w:val="none"/>
          <w:lang w:bidi="ar"/>
        </w:rPr>
        <w:t>21.1供应商应当在首次响应文件提交截止时间前完成电子响应文件的上传、递交</w:t>
      </w:r>
      <w:r>
        <w:rPr>
          <w:rFonts w:hint="eastAsia" w:ascii="宋体" w:hAnsi="宋体" w:cs="宋体"/>
          <w:bCs/>
          <w:color w:val="auto"/>
          <w:szCs w:val="21"/>
          <w:highlight w:val="none"/>
          <w:lang w:eastAsia="zh-CN" w:bidi="ar"/>
        </w:rPr>
        <w:t>，在</w:t>
      </w:r>
      <w:r>
        <w:rPr>
          <w:rFonts w:hint="eastAsia" w:ascii="宋体" w:hAnsi="宋体" w:cs="宋体"/>
          <w:bCs/>
          <w:color w:val="auto"/>
          <w:szCs w:val="21"/>
          <w:highlight w:val="none"/>
          <w:lang w:bidi="ar"/>
        </w:rPr>
        <w:t>首次响应文件提交截止时间前可以补充、修改或者撤回响应文件。补充或者修改响应文件的，应当先行撤回原文件，补充、修改后重新上传、递交。首次响应文件提交截止时间前未完成上传、递交的，视为撤回响应文件。首次响应文件提交截止时间以后上传递交的响应文件，广西政府采购云平台将予以拒收。</w:t>
      </w:r>
    </w:p>
    <w:p w14:paraId="6A3157F3">
      <w:pPr>
        <w:spacing w:line="360" w:lineRule="auto"/>
        <w:ind w:firstLine="422" w:firstLineChars="200"/>
        <w:rPr>
          <w:rFonts w:ascii="宋体" w:hAnsi="宋体" w:cs="宋体"/>
          <w:b/>
          <w:bCs/>
          <w:color w:val="auto"/>
          <w:szCs w:val="21"/>
          <w:highlight w:val="none"/>
        </w:rPr>
      </w:pPr>
      <w:bookmarkStart w:id="22" w:name="_Hlk45702405"/>
      <w:r>
        <w:rPr>
          <w:rFonts w:hint="eastAsia" w:ascii="宋体" w:hAnsi="宋体" w:cs="宋体"/>
          <w:b/>
          <w:bCs/>
          <w:color w:val="auto"/>
          <w:szCs w:val="21"/>
          <w:highlight w:val="none"/>
        </w:rPr>
        <w:t>22.首次响应文件的退回</w:t>
      </w:r>
    </w:p>
    <w:p w14:paraId="142B5F9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22.1在首次响应文件提交截止时间止提交响应文件的供应商不足3家时，</w:t>
      </w:r>
      <w:r>
        <w:rPr>
          <w:rFonts w:hint="eastAsia" w:ascii="宋体" w:hAnsi="宋体"/>
          <w:color w:val="auto"/>
          <w:szCs w:val="21"/>
          <w:highlight w:val="none"/>
        </w:rPr>
        <w:t>采购代理机构将根据广西政府采购云平台的操作将电子版响应文件退回，</w:t>
      </w:r>
      <w:r>
        <w:rPr>
          <w:rFonts w:hint="eastAsia" w:ascii="宋体" w:hAnsi="宋体" w:cs="宋体"/>
          <w:color w:val="auto"/>
          <w:szCs w:val="21"/>
          <w:highlight w:val="none"/>
        </w:rPr>
        <w:t>除此之外采购人和采购代理机构对已提交的电子响应文件概不退回。</w:t>
      </w:r>
    </w:p>
    <w:p w14:paraId="4FE9C402">
      <w:pPr>
        <w:spacing w:line="360" w:lineRule="auto"/>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23.截止时间后的撤回</w:t>
      </w:r>
    </w:p>
    <w:p w14:paraId="55665CAF">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23.1供应商在首次响应文件提交截止时间后书面通知采购人、采购代理机构书面撤回响应文件的，将根据本须知正文17.4的规定不予退还其磋商保证金。</w:t>
      </w:r>
    </w:p>
    <w:bookmarkEnd w:id="22"/>
    <w:p w14:paraId="5276ABCD">
      <w:pPr>
        <w:spacing w:line="360" w:lineRule="auto"/>
        <w:rPr>
          <w:rFonts w:hint="eastAsia" w:ascii="宋体" w:hAnsi="宋体"/>
          <w:color w:val="auto"/>
          <w:szCs w:val="21"/>
          <w:highlight w:val="none"/>
        </w:rPr>
      </w:pPr>
    </w:p>
    <w:p w14:paraId="5AB2C361">
      <w:pPr>
        <w:spacing w:line="360" w:lineRule="auto"/>
        <w:jc w:val="center"/>
        <w:rPr>
          <w:rFonts w:hint="eastAsia" w:ascii="宋体" w:hAnsi="宋体"/>
          <w:b/>
          <w:bCs/>
          <w:color w:val="auto"/>
          <w:sz w:val="32"/>
          <w:szCs w:val="32"/>
          <w:highlight w:val="none"/>
        </w:rPr>
      </w:pPr>
      <w:r>
        <w:rPr>
          <w:rFonts w:hint="eastAsia" w:ascii="宋体" w:hAnsi="宋体"/>
          <w:b/>
          <w:bCs/>
          <w:color w:val="auto"/>
          <w:sz w:val="32"/>
          <w:szCs w:val="32"/>
          <w:highlight w:val="none"/>
        </w:rPr>
        <w:t>四、评审及磋商</w:t>
      </w:r>
    </w:p>
    <w:p w14:paraId="59EE0892">
      <w:pPr>
        <w:spacing w:line="360" w:lineRule="auto"/>
        <w:ind w:firstLine="482" w:firstLineChars="200"/>
        <w:rPr>
          <w:rFonts w:hint="eastAsia" w:ascii="黑体" w:hAnsi="黑体" w:eastAsia="黑体" w:cs="宋体"/>
          <w:b/>
          <w:bCs/>
          <w:color w:val="auto"/>
          <w:sz w:val="24"/>
          <w:highlight w:val="none"/>
        </w:rPr>
      </w:pPr>
    </w:p>
    <w:p w14:paraId="556A68BB">
      <w:pPr>
        <w:spacing w:line="360" w:lineRule="auto"/>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24.磋商小组成立</w:t>
      </w:r>
    </w:p>
    <w:p w14:paraId="15CD95B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24.1磋商小组由采购人代表和评审专家共3人以上单数组成，具体人数见“供应商须知前附表”，其中评审专家人数不得少于磋商小组成员总数的2/3。采购人代表不得以评审专家身份参加本部门或者本单位采购项目的评审。采购代理机构人员不得参加本机构代理的采购项目的评审。达到公开招标数额标准的货物或者服务采购项目，或者达到公开招标规模标准的政府采购工程，经批准采用竞争性磋商方式采购的，磋商小组由5人以上单数组成。</w:t>
      </w:r>
    </w:p>
    <w:p w14:paraId="49DED01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24.2评审专家应当从政府采购评审专家库内相关专业的专家名单中随机抽取。市场竞争不充分的科研项目，以及需要扶持的科技成果转化项目，以及情况特殊、通过随机方式难以确定合适的评审专家的项目，经主管预算单位同意，可以自行选定评审专家。技术复杂、专业性强的采购项目，评审专家中应当包含1名法律专家。</w:t>
      </w:r>
    </w:p>
    <w:p w14:paraId="4E64396C">
      <w:pPr>
        <w:spacing w:line="360" w:lineRule="auto"/>
        <w:ind w:firstLine="422" w:firstLineChars="200"/>
        <w:rPr>
          <w:rFonts w:ascii="宋体" w:hAnsi="宋体" w:cs="宋体"/>
          <w:b/>
          <w:bCs/>
          <w:color w:val="auto"/>
          <w:szCs w:val="21"/>
          <w:highlight w:val="none"/>
        </w:rPr>
      </w:pPr>
      <w:r>
        <w:rPr>
          <w:rFonts w:ascii="宋体" w:hAnsi="宋体" w:cs="宋体"/>
          <w:b/>
          <w:bCs/>
          <w:color w:val="auto"/>
          <w:szCs w:val="21"/>
          <w:highlight w:val="none"/>
        </w:rPr>
        <w:t>25.</w:t>
      </w:r>
      <w:r>
        <w:rPr>
          <w:rFonts w:hint="eastAsia" w:ascii="宋体" w:hAnsi="宋体" w:cs="宋体"/>
          <w:b/>
          <w:bCs/>
          <w:color w:val="auto"/>
          <w:szCs w:val="21"/>
          <w:highlight w:val="none"/>
        </w:rPr>
        <w:t>首次响应文件的开启</w:t>
      </w:r>
    </w:p>
    <w:p w14:paraId="1D4FC99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25.1首次响应文件由磋商小组或者采购代理机构在“供应商须知前附表”规定的时间开启。</w:t>
      </w:r>
    </w:p>
    <w:p w14:paraId="3E0AEB0E">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25.2响应文件解密：采购代理机构将在“供应商须知前附表”规定的时间通过电子交易平台组织响应文件开启，采购代理机构将依托电子交易平台发起开始解密指令，</w:t>
      </w:r>
      <w:r>
        <w:rPr>
          <w:rFonts w:hint="eastAsia" w:ascii="宋体" w:hAnsi="宋体" w:cs="宋体"/>
          <w:b/>
          <w:color w:val="auto"/>
          <w:szCs w:val="21"/>
          <w:highlight w:val="none"/>
        </w:rPr>
        <w:t>供应商的法定代表人或其委托代理人须携带加密时所用的CA锁按平台提示和采购文件的规定登录到广西政府采购云平台电子开标大厅签到并在发起解密指令之时起30分钟内完成对电子响应文件在线解密。</w:t>
      </w:r>
      <w:r>
        <w:rPr>
          <w:rFonts w:hint="eastAsia" w:ascii="宋体" w:hAnsi="宋体"/>
          <w:b/>
          <w:bCs/>
          <w:color w:val="auto"/>
          <w:szCs w:val="21"/>
          <w:highlight w:val="none"/>
        </w:rPr>
        <w:t>响应文件未按时解密的，</w:t>
      </w:r>
      <w:r>
        <w:rPr>
          <w:rFonts w:hint="eastAsia" w:ascii="宋体" w:hAnsi="宋体" w:cs="宋体"/>
          <w:b/>
          <w:color w:val="auto"/>
          <w:szCs w:val="21"/>
          <w:highlight w:val="none"/>
        </w:rPr>
        <w:t>视为响应</w:t>
      </w:r>
      <w:r>
        <w:rPr>
          <w:rFonts w:hint="eastAsia" w:ascii="宋体" w:hAnsi="宋体"/>
          <w:b/>
          <w:bCs/>
          <w:color w:val="auto"/>
          <w:szCs w:val="21"/>
          <w:highlight w:val="none"/>
        </w:rPr>
        <w:t>文件无效。</w:t>
      </w:r>
      <w:r>
        <w:rPr>
          <w:rFonts w:hint="eastAsia" w:ascii="宋体" w:hAnsi="宋体" w:cs="宋体"/>
          <w:color w:val="auto"/>
          <w:szCs w:val="21"/>
          <w:highlight w:val="none"/>
        </w:rPr>
        <w:t>（解密异常情况处理：详见本章26.2电子交易活动的中止。）</w:t>
      </w:r>
    </w:p>
    <w:p w14:paraId="54C5976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25.3成功解密响应文件的供应商不足3家的，不得磋商。</w:t>
      </w:r>
    </w:p>
    <w:p w14:paraId="7C33A092">
      <w:pPr>
        <w:spacing w:line="360" w:lineRule="auto"/>
        <w:ind w:firstLine="422" w:firstLineChars="200"/>
        <w:rPr>
          <w:rFonts w:hint="eastAsia" w:ascii="宋体" w:hAnsi="宋体" w:cs="宋体"/>
          <w:b/>
          <w:bCs/>
          <w:color w:val="auto"/>
          <w:szCs w:val="21"/>
          <w:highlight w:val="none"/>
        </w:rPr>
      </w:pPr>
      <w:r>
        <w:rPr>
          <w:rFonts w:ascii="宋体" w:hAnsi="宋体" w:cs="宋体"/>
          <w:b/>
          <w:bCs/>
          <w:color w:val="auto"/>
          <w:szCs w:val="21"/>
          <w:highlight w:val="none"/>
        </w:rPr>
        <w:t>26</w:t>
      </w:r>
      <w:r>
        <w:rPr>
          <w:rFonts w:hint="eastAsia" w:ascii="宋体" w:hAnsi="宋体" w:cs="宋体"/>
          <w:b/>
          <w:bCs/>
          <w:color w:val="auto"/>
          <w:szCs w:val="21"/>
          <w:highlight w:val="none"/>
        </w:rPr>
        <w:t>.评审程序、评审方法和评审标准</w:t>
      </w:r>
    </w:p>
    <w:p w14:paraId="54D0760B">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26.</w:t>
      </w:r>
      <w:r>
        <w:rPr>
          <w:rFonts w:hint="eastAsia" w:ascii="宋体" w:hAnsi="宋体" w:cs="宋体"/>
          <w:color w:val="auto"/>
          <w:szCs w:val="21"/>
          <w:highlight w:val="none"/>
        </w:rPr>
        <w:t>1磋商小组</w:t>
      </w:r>
      <w:r>
        <w:rPr>
          <w:rFonts w:ascii="宋体" w:hAnsi="宋体" w:cs="宋体"/>
          <w:color w:val="auto"/>
          <w:szCs w:val="21"/>
          <w:highlight w:val="none"/>
        </w:rPr>
        <w:t>按照</w:t>
      </w:r>
      <w:r>
        <w:rPr>
          <w:rFonts w:hint="eastAsia" w:ascii="宋体" w:hAnsi="宋体" w:cs="宋体"/>
          <w:color w:val="auto"/>
          <w:szCs w:val="21"/>
          <w:highlight w:val="none"/>
        </w:rPr>
        <w:t>“第四章 评审程序、评审方法和评审标准”</w:t>
      </w:r>
      <w:r>
        <w:rPr>
          <w:rFonts w:ascii="宋体" w:hAnsi="宋体" w:cs="宋体"/>
          <w:color w:val="auto"/>
          <w:szCs w:val="21"/>
          <w:highlight w:val="none"/>
        </w:rPr>
        <w:t>规定的方法、评审因素、标准和程序对</w:t>
      </w:r>
      <w:r>
        <w:rPr>
          <w:rFonts w:hint="eastAsia" w:ascii="宋体" w:hAnsi="宋体" w:cs="宋体"/>
          <w:color w:val="auto"/>
          <w:szCs w:val="21"/>
          <w:highlight w:val="none"/>
        </w:rPr>
        <w:t>响应</w:t>
      </w:r>
      <w:r>
        <w:rPr>
          <w:rFonts w:ascii="宋体" w:hAnsi="宋体" w:cs="宋体"/>
          <w:color w:val="auto"/>
          <w:szCs w:val="21"/>
          <w:highlight w:val="none"/>
        </w:rPr>
        <w:t>文件进行评审。</w:t>
      </w:r>
    </w:p>
    <w:p w14:paraId="0594A47F">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26.2电子交易活动的中止。采购过程中出现以下情形，导致电子交易平台无法正常运行，或者无法保证电子交易的公平、公正和安全时，采购机构可中止电子交易活动：</w:t>
      </w:r>
    </w:p>
    <w:p w14:paraId="175567AB">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（1）电子交易平台发生故障而无法登录访问的； </w:t>
      </w:r>
    </w:p>
    <w:p w14:paraId="7525D19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（2）电子交易平台应用或数据库出现错误，不能进行正常操作的；</w:t>
      </w:r>
    </w:p>
    <w:p w14:paraId="216B45A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（3）电子交易平台发现严重安全漏洞，有潜在泄密危险的；</w:t>
      </w:r>
    </w:p>
    <w:p w14:paraId="0737F84C">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（4）病毒发作导致不能进行正常操作的； </w:t>
      </w:r>
    </w:p>
    <w:p w14:paraId="31B3A35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（4）其他无法保证电子交易的公平、公正和安全的情况。</w:t>
      </w:r>
    </w:p>
    <w:p w14:paraId="11AA303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26.3出现以上情形，不影响采购公平、公正性的，采购代理机构可以待上述情形消除后继续组织电子交易活动；影响或可能影响采购公平、公正性的，经采购代理机构确认后，应当重新采购。</w:t>
      </w:r>
    </w:p>
    <w:p w14:paraId="19D5AC51">
      <w:pPr>
        <w:spacing w:line="360" w:lineRule="auto"/>
        <w:ind w:firstLine="422" w:firstLineChars="200"/>
        <w:rPr>
          <w:rFonts w:hint="eastAsia" w:ascii="宋体" w:hAnsi="宋体" w:cs="宋体"/>
          <w:b/>
          <w:bCs/>
          <w:color w:val="auto"/>
          <w:szCs w:val="21"/>
          <w:highlight w:val="none"/>
        </w:rPr>
      </w:pPr>
      <w:r>
        <w:rPr>
          <w:rFonts w:ascii="宋体" w:hAnsi="宋体" w:cs="宋体"/>
          <w:b/>
          <w:bCs/>
          <w:color w:val="auto"/>
          <w:szCs w:val="21"/>
          <w:highlight w:val="none"/>
        </w:rPr>
        <w:t>27</w:t>
      </w:r>
      <w:r>
        <w:rPr>
          <w:rFonts w:hint="eastAsia" w:ascii="宋体" w:hAnsi="宋体" w:cs="宋体"/>
          <w:b/>
          <w:bCs/>
          <w:color w:val="auto"/>
          <w:szCs w:val="21"/>
          <w:highlight w:val="none"/>
        </w:rPr>
        <w:t>.确定成交供应商及结果公告</w:t>
      </w:r>
    </w:p>
    <w:p w14:paraId="0C26415D">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27</w:t>
      </w:r>
      <w:r>
        <w:rPr>
          <w:rFonts w:hint="eastAsia" w:ascii="宋体" w:hAnsi="宋体" w:cs="宋体"/>
          <w:color w:val="auto"/>
          <w:szCs w:val="21"/>
          <w:highlight w:val="none"/>
        </w:rPr>
        <w:t>.1</w:t>
      </w:r>
      <w:r>
        <w:rPr>
          <w:rFonts w:hint="eastAsia" w:ascii="宋体" w:hAnsi="宋体" w:cs="宋体"/>
          <w:color w:val="auto"/>
          <w:kern w:val="0"/>
          <w:szCs w:val="21"/>
          <w:highlight w:val="none"/>
        </w:rPr>
        <w:t xml:space="preserve"> </w:t>
      </w:r>
      <w:r>
        <w:rPr>
          <w:rFonts w:hint="eastAsia" w:ascii="宋体" w:hAnsi="宋体" w:cs="宋体"/>
          <w:color w:val="auto"/>
          <w:szCs w:val="21"/>
          <w:highlight w:val="none"/>
        </w:rPr>
        <w:t>采购代理机构应当在评审结束后2个工作日内将评审报告送采购人确认。采购人应当在收到评审报告后5个工作日内，从评审报告提出的成交候选供应商中，按照排序由高到低的原则确定成交供应商，也可以书面授权磋商小组直接确定成交供应商。采购人逾期未确定成交供应商且不提出异议的，视为确定评审报告提出的排序第一的供应商为成交供应商。</w:t>
      </w:r>
    </w:p>
    <w:p w14:paraId="5B04E15C">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27</w:t>
      </w:r>
      <w:r>
        <w:rPr>
          <w:rFonts w:hint="eastAsia" w:ascii="宋体" w:hAnsi="宋体" w:cs="宋体"/>
          <w:color w:val="auto"/>
          <w:szCs w:val="21"/>
          <w:highlight w:val="none"/>
        </w:rPr>
        <w:t>.2采购代理机构应当在</w:t>
      </w:r>
      <w:r>
        <w:rPr>
          <w:rFonts w:hint="eastAsia" w:ascii="宋体" w:hAnsi="宋体" w:cs="宋体"/>
          <w:color w:val="auto"/>
          <w:kern w:val="0"/>
          <w:szCs w:val="21"/>
          <w:highlight w:val="none"/>
        </w:rPr>
        <w:t>成交</w:t>
      </w:r>
      <w:r>
        <w:rPr>
          <w:rFonts w:hint="eastAsia" w:ascii="宋体" w:hAnsi="宋体" w:cs="宋体"/>
          <w:color w:val="auto"/>
          <w:szCs w:val="21"/>
          <w:highlight w:val="none"/>
        </w:rPr>
        <w:t>供应商确定后2个工作日内，在省级以上财政部门指定的媒体上公告成交结果，同时向成交供应商发出成交通知书。</w:t>
      </w:r>
      <w:r>
        <w:rPr>
          <w:rFonts w:hint="eastAsia" w:ascii="宋体" w:hAnsi="宋体" w:cs="宋体"/>
          <w:b/>
          <w:color w:val="auto"/>
          <w:szCs w:val="21"/>
          <w:highlight w:val="none"/>
        </w:rPr>
        <w:t>采购人或者采购代理机构发出成交通知书前，应当对成交供应商信用进行查询，对列入失信被执行人、重大税收违法失信主体、政府采购严重违法失信行为记录名单及其他不符合《中华人民共和国政府采购法》第二十二条规定条件的供应商，取消其成交资格，并确定排名第二的成交候选人为成交供应商。</w:t>
      </w:r>
      <w:r>
        <w:rPr>
          <w:rFonts w:hint="eastAsia" w:ascii="宋体" w:hAnsi="宋体" w:cs="宋体"/>
          <w:color w:val="auto"/>
          <w:szCs w:val="21"/>
          <w:highlight w:val="none"/>
        </w:rPr>
        <w:t>排名第二的成交候选人因上述规定的同样原因被取消成交资格的，采购人可以确定排名第三的成交候选人为成交供应商，以此类推。以上信息查询记录及相关证据与磋商文件一并保存。</w:t>
      </w:r>
      <w:bookmarkStart w:id="23" w:name="_Hlk66782294"/>
      <w:r>
        <w:rPr>
          <w:rFonts w:hint="eastAsia" w:ascii="宋体" w:hAnsi="宋体" w:cs="Courier New"/>
          <w:color w:val="auto"/>
          <w:szCs w:val="21"/>
          <w:highlight w:val="none"/>
        </w:rPr>
        <w:t>成交供应商享受</w:t>
      </w:r>
      <w:r>
        <w:rPr>
          <w:rFonts w:hint="eastAsia" w:ascii="宋体" w:hAnsi="宋体"/>
          <w:color w:val="auto"/>
          <w:szCs w:val="21"/>
          <w:highlight w:val="none"/>
        </w:rPr>
        <w:t>《政府采购促进中小企业发展管理办法》（财库〔2020〕46号）及《广西壮族自治区财政厅关于持续优化政府采购营商环境推动高质量发展的通知》（桂财采〔2024〕55号）规定的中小企业扶持</w:t>
      </w:r>
      <w:r>
        <w:rPr>
          <w:rFonts w:hint="eastAsia" w:ascii="宋体" w:hAnsi="宋体" w:cs="Courier New"/>
          <w:color w:val="auto"/>
          <w:szCs w:val="21"/>
          <w:highlight w:val="none"/>
        </w:rPr>
        <w:t>政策的，采购人、采购代理机构应当随成交结果公开成交供应商的《中小企业声明函》。</w:t>
      </w:r>
      <w:bookmarkEnd w:id="23"/>
    </w:p>
    <w:p w14:paraId="53768A81">
      <w:pPr>
        <w:spacing w:line="360" w:lineRule="auto"/>
        <w:ind w:firstLine="420" w:firstLineChars="200"/>
        <w:rPr>
          <w:rFonts w:hint="eastAsia" w:ascii="宋体" w:hAnsi="宋体" w:cs="Courier New"/>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7.3</w:t>
      </w:r>
      <w:r>
        <w:rPr>
          <w:rFonts w:hint="eastAsia" w:ascii="宋体" w:hAnsi="宋体" w:cs="Courier New"/>
          <w:color w:val="auto"/>
          <w:szCs w:val="21"/>
          <w:highlight w:val="none"/>
        </w:rPr>
        <w:t>成交供应商拒绝签订政府采购合同（包括但不限于放弃成交、因不可抗力不能履行合同而放弃签订合同），采购人可以按照评审报告推荐的成交候选人名单排序，确定下一候选人为成交供应商，也可以重新开展政府采购活动。</w:t>
      </w:r>
      <w:r>
        <w:rPr>
          <w:rFonts w:ascii="宋体" w:hAnsi="宋体" w:cs="Courier New"/>
          <w:color w:val="auto"/>
          <w:szCs w:val="21"/>
          <w:highlight w:val="none"/>
        </w:rPr>
        <w:t>拒绝签订政府采购合同的成交供应商不得参加对该项目重新开展的采购活动。</w:t>
      </w:r>
    </w:p>
    <w:p w14:paraId="0F204A4F">
      <w:pPr>
        <w:spacing w:line="360" w:lineRule="auto"/>
        <w:ind w:firstLine="422" w:firstLineChars="200"/>
        <w:rPr>
          <w:rFonts w:hint="eastAsia" w:ascii="宋体" w:hAnsi="宋体" w:cs="宋体"/>
          <w:b/>
          <w:bCs/>
          <w:color w:val="auto"/>
          <w:szCs w:val="21"/>
          <w:highlight w:val="none"/>
        </w:rPr>
      </w:pPr>
      <w:r>
        <w:rPr>
          <w:rFonts w:ascii="宋体" w:hAnsi="宋体" w:cs="宋体"/>
          <w:b/>
          <w:bCs/>
          <w:color w:val="auto"/>
          <w:szCs w:val="21"/>
          <w:highlight w:val="none"/>
        </w:rPr>
        <w:t>28</w:t>
      </w:r>
      <w:r>
        <w:rPr>
          <w:rFonts w:hint="eastAsia" w:ascii="宋体" w:hAnsi="宋体" w:cs="宋体"/>
          <w:b/>
          <w:bCs/>
          <w:color w:val="auto"/>
          <w:szCs w:val="21"/>
          <w:highlight w:val="none"/>
        </w:rPr>
        <w:t>.履约保证金</w:t>
      </w:r>
    </w:p>
    <w:p w14:paraId="01B1B0F7">
      <w:pPr>
        <w:spacing w:line="360" w:lineRule="auto"/>
        <w:ind w:firstLine="424" w:firstLineChars="202"/>
        <w:rPr>
          <w:rFonts w:hint="eastAsia" w:ascii="宋体" w:hAnsi="宋体" w:cs="宋体"/>
          <w:color w:val="auto"/>
          <w:szCs w:val="21"/>
          <w:highlight w:val="none"/>
        </w:rPr>
      </w:pPr>
      <w:r>
        <w:rPr>
          <w:rFonts w:ascii="宋体" w:hAnsi="宋体" w:cs="宋体"/>
          <w:color w:val="auto"/>
          <w:szCs w:val="21"/>
          <w:highlight w:val="none"/>
        </w:rPr>
        <w:t>28</w:t>
      </w:r>
      <w:r>
        <w:rPr>
          <w:rFonts w:hint="eastAsia" w:ascii="宋体" w:hAnsi="宋体" w:cs="宋体"/>
          <w:color w:val="auto"/>
          <w:szCs w:val="21"/>
          <w:highlight w:val="none"/>
        </w:rPr>
        <w:t>.1</w:t>
      </w:r>
      <w:r>
        <w:rPr>
          <w:rFonts w:ascii="宋体" w:hAnsi="宋体" w:cs="宋体"/>
          <w:color w:val="auto"/>
          <w:szCs w:val="21"/>
          <w:highlight w:val="none"/>
        </w:rPr>
        <w:t xml:space="preserve"> </w:t>
      </w:r>
      <w:r>
        <w:rPr>
          <w:rFonts w:hint="eastAsia" w:ascii="宋体" w:hAnsi="宋体" w:cs="宋体"/>
          <w:color w:val="auto"/>
          <w:szCs w:val="21"/>
          <w:highlight w:val="none"/>
        </w:rPr>
        <w:t>履约保证金的金额、提交方式、退付的时间和条件详见“供应商须知前附表”。成交供应商未按规定提交履约保证金的，视为拒绝</w:t>
      </w:r>
      <w:r>
        <w:rPr>
          <w:rFonts w:ascii="宋体" w:hAnsi="宋体"/>
          <w:color w:val="auto"/>
          <w:szCs w:val="21"/>
          <w:highlight w:val="none"/>
        </w:rPr>
        <w:t>与采购人</w:t>
      </w:r>
      <w:r>
        <w:rPr>
          <w:rFonts w:hint="eastAsia" w:ascii="宋体" w:hAnsi="宋体" w:cs="宋体"/>
          <w:color w:val="auto"/>
          <w:szCs w:val="21"/>
          <w:highlight w:val="none"/>
        </w:rPr>
        <w:t>签订合同。</w:t>
      </w:r>
    </w:p>
    <w:p w14:paraId="03E1B2BE">
      <w:pPr>
        <w:spacing w:line="360" w:lineRule="auto"/>
        <w:ind w:firstLine="424" w:firstLineChars="202"/>
        <w:rPr>
          <w:rFonts w:hint="eastAsia" w:ascii="宋体" w:hAnsi="宋体" w:cs="宋体"/>
          <w:color w:val="auto"/>
          <w:szCs w:val="21"/>
          <w:highlight w:val="none"/>
        </w:rPr>
      </w:pPr>
      <w:r>
        <w:rPr>
          <w:rFonts w:ascii="宋体" w:hAnsi="宋体" w:cs="宋体"/>
          <w:color w:val="auto"/>
          <w:szCs w:val="21"/>
          <w:highlight w:val="none"/>
        </w:rPr>
        <w:t>28</w:t>
      </w:r>
      <w:r>
        <w:rPr>
          <w:rFonts w:hint="eastAsia" w:ascii="宋体" w:hAnsi="宋体" w:cs="宋体"/>
          <w:color w:val="auto"/>
          <w:szCs w:val="21"/>
          <w:highlight w:val="none"/>
        </w:rPr>
        <w:t>.2在履约保证金退还日期前，若成交供应商的开户名称、开户银行、</w:t>
      </w:r>
      <w:r>
        <w:rPr>
          <w:rFonts w:hint="eastAsia" w:ascii="宋体" w:hAnsi="宋体" w:cs="宋体"/>
          <w:color w:val="auto"/>
          <w:szCs w:val="21"/>
          <w:highlight w:val="none"/>
          <w:lang w:eastAsia="zh-CN"/>
        </w:rPr>
        <w:t>账号</w:t>
      </w:r>
      <w:r>
        <w:rPr>
          <w:rFonts w:hint="eastAsia" w:ascii="宋体" w:hAnsi="宋体" w:cs="宋体"/>
          <w:color w:val="auto"/>
          <w:szCs w:val="21"/>
          <w:highlight w:val="none"/>
        </w:rPr>
        <w:t>有变动的，请以书面形式通知履约保证金收取单位，否则由此产生的后果由成交供应商自行承担。</w:t>
      </w:r>
    </w:p>
    <w:p w14:paraId="0C9BC179">
      <w:pPr>
        <w:spacing w:line="360" w:lineRule="auto"/>
        <w:ind w:firstLine="422" w:firstLineChars="200"/>
        <w:rPr>
          <w:rFonts w:hint="eastAsia" w:ascii="宋体" w:hAnsi="宋体" w:cs="宋体"/>
          <w:b/>
          <w:bCs/>
          <w:color w:val="auto"/>
          <w:szCs w:val="21"/>
          <w:highlight w:val="none"/>
        </w:rPr>
      </w:pPr>
      <w:r>
        <w:rPr>
          <w:rFonts w:ascii="宋体" w:hAnsi="宋体" w:cs="宋体"/>
          <w:b/>
          <w:bCs/>
          <w:color w:val="auto"/>
          <w:szCs w:val="21"/>
          <w:highlight w:val="none"/>
        </w:rPr>
        <w:t>29</w:t>
      </w:r>
      <w:r>
        <w:rPr>
          <w:rFonts w:hint="eastAsia" w:ascii="宋体" w:hAnsi="宋体" w:cs="宋体"/>
          <w:b/>
          <w:bCs/>
          <w:color w:val="auto"/>
          <w:szCs w:val="21"/>
          <w:highlight w:val="none"/>
        </w:rPr>
        <w:t>.签订合同</w:t>
      </w:r>
    </w:p>
    <w:p w14:paraId="4699B50F">
      <w:pPr>
        <w:spacing w:line="360" w:lineRule="auto"/>
        <w:ind w:firstLine="424" w:firstLineChars="202"/>
        <w:rPr>
          <w:rFonts w:hint="eastAsia" w:ascii="宋体" w:hAnsi="宋体" w:cs="宋体"/>
          <w:color w:val="auto"/>
          <w:szCs w:val="21"/>
          <w:highlight w:val="none"/>
        </w:rPr>
      </w:pPr>
      <w:r>
        <w:rPr>
          <w:rFonts w:ascii="宋体" w:hAnsi="宋体" w:cs="宋体"/>
          <w:color w:val="auto"/>
          <w:szCs w:val="21"/>
          <w:highlight w:val="none"/>
        </w:rPr>
        <w:t>29.1</w:t>
      </w:r>
      <w:r>
        <w:rPr>
          <w:rFonts w:hint="eastAsia" w:ascii="宋体" w:hAnsi="宋体" w:cs="宋体"/>
          <w:color w:val="auto"/>
          <w:szCs w:val="21"/>
          <w:highlight w:val="none"/>
        </w:rPr>
        <w:t>成交供应商在收到成交通知书</w:t>
      </w:r>
      <w:r>
        <w:rPr>
          <w:rFonts w:hint="eastAsia" w:ascii="宋体" w:hAnsi="宋体"/>
          <w:color w:val="auto"/>
          <w:szCs w:val="21"/>
          <w:highlight w:val="none"/>
        </w:rPr>
        <w:t>（书面或电子）</w:t>
      </w:r>
      <w:r>
        <w:rPr>
          <w:rFonts w:hint="eastAsia" w:ascii="宋体" w:hAnsi="宋体" w:cs="宋体"/>
          <w:color w:val="auto"/>
          <w:szCs w:val="21"/>
          <w:highlight w:val="none"/>
        </w:rPr>
        <w:t>后，应当在签订合同时向采购人出示相关证明材料，具体内容详见“供应商须知前附表”，经采购人核验合格后方可签订合同</w:t>
      </w:r>
      <w:r>
        <w:rPr>
          <w:rFonts w:hint="eastAsia" w:ascii="宋体" w:hAnsi="宋体"/>
          <w:color w:val="auto"/>
          <w:szCs w:val="21"/>
          <w:highlight w:val="none"/>
        </w:rPr>
        <w:t>（书面或电子）</w:t>
      </w:r>
      <w:r>
        <w:rPr>
          <w:rFonts w:hint="eastAsia" w:ascii="宋体" w:hAnsi="宋体" w:cs="宋体"/>
          <w:color w:val="auto"/>
          <w:szCs w:val="21"/>
          <w:highlight w:val="none"/>
        </w:rPr>
        <w:t>。</w:t>
      </w:r>
      <w:r>
        <w:rPr>
          <w:rFonts w:hint="eastAsia" w:ascii="宋体" w:hAnsi="宋体"/>
          <w:color w:val="auto"/>
          <w:szCs w:val="21"/>
          <w:highlight w:val="none"/>
        </w:rPr>
        <w:t>如成交供应商为联合体的，</w:t>
      </w:r>
      <w:r>
        <w:rPr>
          <w:rFonts w:ascii="宋体" w:hAnsi="宋体"/>
          <w:color w:val="auto"/>
          <w:szCs w:val="21"/>
          <w:highlight w:val="none"/>
        </w:rPr>
        <w:t>联合体各方应当共同与采购人签订采购合同，就采购合同约定的事项对采购人承担连带责任。</w:t>
      </w:r>
    </w:p>
    <w:p w14:paraId="2BA0BE73">
      <w:pPr>
        <w:spacing w:line="360" w:lineRule="auto"/>
        <w:ind w:firstLine="424" w:firstLineChars="202"/>
        <w:rPr>
          <w:rFonts w:hint="eastAsia" w:ascii="宋体" w:hAnsi="宋体" w:cs="宋体"/>
          <w:color w:val="auto"/>
          <w:szCs w:val="21"/>
          <w:highlight w:val="none"/>
        </w:rPr>
      </w:pPr>
      <w:r>
        <w:rPr>
          <w:rFonts w:ascii="宋体" w:hAnsi="宋体" w:cs="宋体"/>
          <w:color w:val="auto"/>
          <w:szCs w:val="21"/>
          <w:highlight w:val="none"/>
        </w:rPr>
        <w:t>29</w:t>
      </w:r>
      <w:r>
        <w:rPr>
          <w:rFonts w:hint="eastAsia" w:ascii="宋体" w:hAnsi="宋体" w:cs="宋体"/>
          <w:color w:val="auto"/>
          <w:szCs w:val="21"/>
          <w:highlight w:val="none"/>
        </w:rPr>
        <w:t>.2签订合同时间：按成交通知书规定的时间与采购人签订政府采购合同</w:t>
      </w:r>
      <w:r>
        <w:rPr>
          <w:rFonts w:hint="eastAsia" w:ascii="宋体" w:hAnsi="宋体"/>
          <w:color w:val="auto"/>
          <w:szCs w:val="21"/>
          <w:highlight w:val="none"/>
        </w:rPr>
        <w:t>（最长不能超过25日）</w:t>
      </w:r>
      <w:r>
        <w:rPr>
          <w:rFonts w:hint="eastAsia" w:ascii="宋体" w:hAnsi="宋体" w:cs="宋体"/>
          <w:color w:val="auto"/>
          <w:szCs w:val="21"/>
          <w:highlight w:val="none"/>
        </w:rPr>
        <w:t>。</w:t>
      </w:r>
    </w:p>
    <w:p w14:paraId="70729449">
      <w:pPr>
        <w:spacing w:line="360" w:lineRule="auto"/>
        <w:ind w:firstLine="424" w:firstLineChars="202"/>
        <w:rPr>
          <w:rFonts w:hint="eastAsia" w:ascii="宋体" w:hAnsi="宋体" w:cs="宋体"/>
          <w:color w:val="auto"/>
          <w:szCs w:val="21"/>
          <w:highlight w:val="none"/>
        </w:rPr>
      </w:pPr>
      <w:r>
        <w:rPr>
          <w:rFonts w:ascii="宋体" w:hAnsi="宋体" w:cs="宋体"/>
          <w:color w:val="auto"/>
          <w:szCs w:val="21"/>
          <w:highlight w:val="none"/>
        </w:rPr>
        <w:t>29</w:t>
      </w:r>
      <w:r>
        <w:rPr>
          <w:rFonts w:hint="eastAsia" w:ascii="宋体" w:hAnsi="宋体" w:cs="宋体"/>
          <w:color w:val="auto"/>
          <w:szCs w:val="21"/>
          <w:highlight w:val="none"/>
        </w:rPr>
        <w:t>.3</w:t>
      </w:r>
      <w:r>
        <w:rPr>
          <w:rFonts w:hint="eastAsia" w:ascii="宋体" w:hAnsi="宋体"/>
          <w:color w:val="auto"/>
          <w:szCs w:val="21"/>
          <w:highlight w:val="none"/>
        </w:rPr>
        <w:t>成交供应商拒绝与采购人签订合同的，按照本须知正文第</w:t>
      </w:r>
      <w:r>
        <w:rPr>
          <w:rFonts w:ascii="宋体" w:hAnsi="宋体"/>
          <w:color w:val="auto"/>
          <w:szCs w:val="21"/>
          <w:highlight w:val="none"/>
        </w:rPr>
        <w:t>27.</w:t>
      </w:r>
      <w:r>
        <w:rPr>
          <w:rFonts w:hint="eastAsia" w:ascii="宋体" w:hAnsi="宋体"/>
          <w:color w:val="auto"/>
          <w:szCs w:val="21"/>
          <w:highlight w:val="none"/>
        </w:rPr>
        <w:t>3</w:t>
      </w:r>
      <w:r>
        <w:rPr>
          <w:rFonts w:ascii="宋体" w:hAnsi="宋体"/>
          <w:color w:val="auto"/>
          <w:szCs w:val="21"/>
          <w:highlight w:val="none"/>
        </w:rPr>
        <w:t>条的规定</w:t>
      </w:r>
      <w:r>
        <w:rPr>
          <w:rFonts w:hint="eastAsia" w:ascii="宋体" w:hAnsi="宋体"/>
          <w:color w:val="auto"/>
          <w:szCs w:val="21"/>
          <w:highlight w:val="none"/>
        </w:rPr>
        <w:t>执行</w:t>
      </w:r>
      <w:r>
        <w:rPr>
          <w:rFonts w:hint="eastAsia" w:ascii="宋体" w:hAnsi="宋体" w:cs="宋体"/>
          <w:color w:val="auto"/>
          <w:szCs w:val="21"/>
          <w:highlight w:val="none"/>
        </w:rPr>
        <w:t>。</w:t>
      </w:r>
    </w:p>
    <w:p w14:paraId="02B6766F">
      <w:pPr>
        <w:spacing w:line="360" w:lineRule="auto"/>
        <w:ind w:firstLine="422" w:firstLineChars="200"/>
        <w:rPr>
          <w:rFonts w:hint="eastAsia" w:ascii="宋体" w:hAnsi="宋体" w:cs="宋体"/>
          <w:b/>
          <w:bCs/>
          <w:color w:val="auto"/>
          <w:szCs w:val="21"/>
          <w:highlight w:val="none"/>
        </w:rPr>
      </w:pPr>
      <w:r>
        <w:rPr>
          <w:rFonts w:ascii="宋体" w:hAnsi="宋体" w:cs="宋体"/>
          <w:b/>
          <w:bCs/>
          <w:color w:val="auto"/>
          <w:szCs w:val="21"/>
          <w:highlight w:val="none"/>
        </w:rPr>
        <w:t>30</w:t>
      </w:r>
      <w:r>
        <w:rPr>
          <w:rFonts w:hint="eastAsia" w:ascii="宋体" w:hAnsi="宋体" w:cs="宋体"/>
          <w:b/>
          <w:bCs/>
          <w:color w:val="auto"/>
          <w:szCs w:val="21"/>
          <w:highlight w:val="none"/>
        </w:rPr>
        <w:t>.政府采购合同公告</w:t>
      </w:r>
    </w:p>
    <w:p w14:paraId="5740DA8C">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w:t>
      </w:r>
    </w:p>
    <w:p w14:paraId="017C83D1">
      <w:pPr>
        <w:spacing w:line="360" w:lineRule="auto"/>
        <w:ind w:firstLine="422" w:firstLineChars="200"/>
        <w:rPr>
          <w:rFonts w:hint="eastAsia" w:ascii="宋体" w:hAnsi="宋体" w:cs="宋体"/>
          <w:b/>
          <w:bCs/>
          <w:color w:val="auto"/>
          <w:szCs w:val="21"/>
          <w:highlight w:val="none"/>
        </w:rPr>
      </w:pPr>
      <w:r>
        <w:rPr>
          <w:rFonts w:ascii="宋体" w:hAnsi="宋体" w:cs="宋体"/>
          <w:b/>
          <w:bCs/>
          <w:color w:val="auto"/>
          <w:szCs w:val="21"/>
          <w:highlight w:val="none"/>
        </w:rPr>
        <w:t>31</w:t>
      </w:r>
      <w:r>
        <w:rPr>
          <w:rFonts w:hint="eastAsia" w:ascii="宋体" w:hAnsi="宋体" w:cs="宋体"/>
          <w:b/>
          <w:bCs/>
          <w:color w:val="auto"/>
          <w:szCs w:val="21"/>
          <w:highlight w:val="none"/>
        </w:rPr>
        <w:t>. 询问、质疑和投诉</w:t>
      </w:r>
    </w:p>
    <w:p w14:paraId="7D0EC98A">
      <w:pPr>
        <w:pStyle w:val="7"/>
        <w:spacing w:line="360" w:lineRule="auto"/>
        <w:rPr>
          <w:rFonts w:hint="eastAsia" w:ascii="宋体" w:hAnsi="宋体"/>
          <w:color w:val="auto"/>
          <w:szCs w:val="21"/>
          <w:highlight w:val="none"/>
        </w:rPr>
      </w:pPr>
      <w:r>
        <w:rPr>
          <w:rFonts w:hint="eastAsia" w:ascii="宋体" w:hAnsi="宋体" w:cs="宋体"/>
          <w:color w:val="auto"/>
          <w:szCs w:val="21"/>
          <w:highlight w:val="none"/>
        </w:rPr>
        <w:t>3</w:t>
      </w:r>
      <w:r>
        <w:rPr>
          <w:rFonts w:ascii="宋体" w:hAnsi="宋体" w:cs="宋体"/>
          <w:color w:val="auto"/>
          <w:szCs w:val="21"/>
          <w:highlight w:val="none"/>
        </w:rPr>
        <w:t>1</w:t>
      </w:r>
      <w:r>
        <w:rPr>
          <w:rFonts w:hint="eastAsia" w:ascii="宋体" w:hAnsi="宋体" w:cs="宋体"/>
          <w:color w:val="auto"/>
          <w:szCs w:val="21"/>
          <w:highlight w:val="none"/>
        </w:rPr>
        <w:t>.1供应商对政府采购活动事项有疑问的，可以向采购人、采购代理机构提出询问，采购人或者采购代理机构应当在3个工作日内对供应商依法提出的询问作出答复，</w:t>
      </w:r>
      <w:r>
        <w:rPr>
          <w:rFonts w:hint="eastAsia" w:ascii="宋体" w:hAnsi="宋体"/>
          <w:color w:val="auto"/>
          <w:szCs w:val="21"/>
          <w:highlight w:val="none"/>
        </w:rPr>
        <w:t>但答复的内容不得涉及商业秘密</w:t>
      </w:r>
      <w:r>
        <w:rPr>
          <w:rFonts w:hint="eastAsia" w:ascii="宋体" w:hAnsi="宋体" w:cs="宋体"/>
          <w:color w:val="auto"/>
          <w:szCs w:val="21"/>
          <w:highlight w:val="none"/>
        </w:rPr>
        <w:t>。</w:t>
      </w:r>
    </w:p>
    <w:p w14:paraId="24B7C39E">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w:t>
      </w:r>
      <w:r>
        <w:rPr>
          <w:rFonts w:ascii="宋体" w:hAnsi="宋体" w:cs="宋体"/>
          <w:color w:val="auto"/>
          <w:szCs w:val="21"/>
          <w:highlight w:val="none"/>
        </w:rPr>
        <w:t>1</w:t>
      </w:r>
      <w:r>
        <w:rPr>
          <w:rFonts w:hint="eastAsia" w:ascii="宋体" w:hAnsi="宋体" w:cs="宋体"/>
          <w:color w:val="auto"/>
          <w:szCs w:val="21"/>
          <w:highlight w:val="none"/>
        </w:rPr>
        <w:t>.2供应商认为磋商文件、采购过程或者成交结果使自己的合法权益受到损害的，应当在知道或者应知其权益受到损害之日起7个工作日内，以纸质书面形式向采购人、采购代理机构提出质疑，</w:t>
      </w:r>
      <w:r>
        <w:rPr>
          <w:rFonts w:ascii="宋体" w:hAnsi="宋体" w:cs="Arial"/>
          <w:color w:val="auto"/>
          <w:szCs w:val="21"/>
          <w:highlight w:val="none"/>
        </w:rPr>
        <w:t>接收质疑函的方式、联系部门、联系电话和通讯地址等信息</w:t>
      </w:r>
      <w:r>
        <w:rPr>
          <w:rFonts w:hint="eastAsia" w:ascii="宋体" w:hAnsi="宋体" w:cs="Arial"/>
          <w:color w:val="auto"/>
          <w:szCs w:val="21"/>
          <w:highlight w:val="none"/>
        </w:rPr>
        <w:t>详见</w:t>
      </w:r>
      <w:r>
        <w:rPr>
          <w:rFonts w:hint="eastAsia" w:ascii="宋体" w:hAnsi="宋体" w:cs="宋体"/>
          <w:color w:val="auto"/>
          <w:szCs w:val="21"/>
          <w:highlight w:val="none"/>
        </w:rPr>
        <w:t>“供应商须知前附表”。具体质疑起算时间如下：</w:t>
      </w:r>
    </w:p>
    <w:p w14:paraId="0F1B257B">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（1）对可以质疑的磋商文件提出质疑的，为收到磋商文件之日或者</w:t>
      </w:r>
      <w:r>
        <w:rPr>
          <w:rFonts w:hint="eastAsia" w:ascii="宋体" w:hAnsi="宋体"/>
          <w:color w:val="auto"/>
          <w:szCs w:val="21"/>
          <w:highlight w:val="none"/>
        </w:rPr>
        <w:t>竞争性磋商公告期限届满之日</w:t>
      </w:r>
      <w:r>
        <w:rPr>
          <w:rFonts w:hint="eastAsia" w:ascii="宋体" w:hAnsi="宋体" w:cs="宋体"/>
          <w:color w:val="auto"/>
          <w:szCs w:val="21"/>
          <w:highlight w:val="none"/>
        </w:rPr>
        <w:t>；</w:t>
      </w:r>
    </w:p>
    <w:p w14:paraId="26B8CE4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（2）对采购过程提出质疑的，为各采购程序环节结束之日；</w:t>
      </w:r>
    </w:p>
    <w:p w14:paraId="47F8E11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（3）对成交结果提出质疑的，为成交结果公告期限届满之日。</w:t>
      </w:r>
    </w:p>
    <w:p w14:paraId="0D5F365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w:t>
      </w:r>
      <w:r>
        <w:rPr>
          <w:rFonts w:ascii="宋体" w:hAnsi="宋体" w:cs="宋体"/>
          <w:color w:val="auto"/>
          <w:szCs w:val="21"/>
          <w:highlight w:val="none"/>
        </w:rPr>
        <w:t>1</w:t>
      </w:r>
      <w:r>
        <w:rPr>
          <w:rFonts w:hint="eastAsia" w:ascii="宋体" w:hAnsi="宋体" w:cs="宋体"/>
          <w:color w:val="auto"/>
          <w:szCs w:val="21"/>
          <w:highlight w:val="none"/>
        </w:rPr>
        <w:t>.3供应商提出的询问或者质疑超出采购人对采购代理机构委托授权范围的，采购代理机构应当告知供应商向采购人提出。政府采购评审专家应当配合采购人或者采购代理机构答复供应商的询问和质疑。</w:t>
      </w:r>
    </w:p>
    <w:p w14:paraId="4C48BFD7">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w:t>
      </w:r>
      <w:r>
        <w:rPr>
          <w:rFonts w:ascii="宋体" w:hAnsi="宋体" w:cs="宋体"/>
          <w:color w:val="auto"/>
          <w:szCs w:val="21"/>
          <w:highlight w:val="none"/>
        </w:rPr>
        <w:t>1</w:t>
      </w:r>
      <w:r>
        <w:rPr>
          <w:rFonts w:hint="eastAsia" w:ascii="宋体" w:hAnsi="宋体" w:cs="宋体"/>
          <w:color w:val="auto"/>
          <w:szCs w:val="21"/>
          <w:highlight w:val="none"/>
        </w:rPr>
        <w:t>.4 供应商提出质疑应当提交质疑函和必要的证明材料，针对同一采购程序环节的质疑必须在法定质疑期内一次性提出。质疑函应当包括下列内容</w:t>
      </w:r>
      <w:r>
        <w:rPr>
          <w:rFonts w:hint="eastAsia" w:ascii="宋体" w:hAnsi="宋体"/>
          <w:bCs/>
          <w:color w:val="auto"/>
          <w:szCs w:val="21"/>
          <w:highlight w:val="none"/>
        </w:rPr>
        <w:t>（质疑函格式后附）</w:t>
      </w:r>
      <w:r>
        <w:rPr>
          <w:rFonts w:hint="eastAsia" w:ascii="宋体" w:hAnsi="宋体" w:cs="宋体"/>
          <w:color w:val="auto"/>
          <w:szCs w:val="21"/>
          <w:highlight w:val="none"/>
        </w:rPr>
        <w:t>：</w:t>
      </w:r>
    </w:p>
    <w:p w14:paraId="652BFCAF">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（1）供应商的姓名或者名称、地址、邮编、联系人及联系电话；</w:t>
      </w:r>
    </w:p>
    <w:p w14:paraId="729C9A3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（2）质疑项目的名称、编号；</w:t>
      </w:r>
    </w:p>
    <w:p w14:paraId="2B12D77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（3）具体、明确的质疑事项和与质疑事项相关的请求；</w:t>
      </w:r>
    </w:p>
    <w:p w14:paraId="6E29136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（4）事实依据；</w:t>
      </w:r>
    </w:p>
    <w:p w14:paraId="72D78DAE">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（5）必要的法律依据；</w:t>
      </w:r>
    </w:p>
    <w:p w14:paraId="36096B7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（6）提出质疑的日期。</w:t>
      </w:r>
    </w:p>
    <w:p w14:paraId="3B90DE6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供应商为自然人的，应当由本人签字；供应商为法人或者其他组织的，应当由法定代表人、主要负责人，或者其委托代理人签字或者盖章，并加盖公章。</w:t>
      </w:r>
    </w:p>
    <w:p w14:paraId="0395F98C">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w:t>
      </w:r>
      <w:r>
        <w:rPr>
          <w:rFonts w:ascii="宋体" w:hAnsi="宋体" w:cs="宋体"/>
          <w:color w:val="auto"/>
          <w:szCs w:val="21"/>
          <w:highlight w:val="none"/>
        </w:rPr>
        <w:t>1.5</w:t>
      </w:r>
      <w:r>
        <w:rPr>
          <w:rFonts w:hint="eastAsia" w:ascii="宋体" w:hAnsi="宋体" w:cs="宋体"/>
          <w:color w:val="auto"/>
          <w:szCs w:val="21"/>
          <w:highlight w:val="none"/>
        </w:rPr>
        <w:t>采购人、采购代理机构认为供应商质疑不成立，或者成立但未对成交结果构成影响的，继续开展采购活动；认为供应商质疑成立且影响或者可能影响成交结果的，按照下列情况处理：</w:t>
      </w:r>
    </w:p>
    <w:p w14:paraId="58F420D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（1）对采购文件提出的质疑，依法通过澄清或者修改可以继续开展采购活动的，澄清或者修改采购文件后继续开展采购活动；否则应当修改采购文件后重新开展采购活动。</w:t>
      </w:r>
    </w:p>
    <w:p w14:paraId="7AE56D8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（2）对采购过程或者成交结果提出的质疑，合格供应商符合法定数量时，可以从合格的成交候选人中另行确定成交供应商的，应当依法另行确定成交供应商；否则应当重新开展采购活动。</w:t>
      </w:r>
    </w:p>
    <w:p w14:paraId="6A3C4FF3">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质疑答复导致成交结果改变的，采购人或者采购代理机构应当将有关情况书面报告本级财政部门。</w:t>
      </w:r>
    </w:p>
    <w:p w14:paraId="62A55C43">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31</w:t>
      </w:r>
      <w:r>
        <w:rPr>
          <w:rFonts w:hint="eastAsia" w:ascii="宋体" w:hAnsi="宋体" w:cs="宋体"/>
          <w:color w:val="auto"/>
          <w:szCs w:val="21"/>
          <w:highlight w:val="none"/>
        </w:rPr>
        <w:t>.</w:t>
      </w:r>
      <w:r>
        <w:rPr>
          <w:rFonts w:ascii="宋体" w:hAnsi="宋体" w:cs="宋体"/>
          <w:color w:val="auto"/>
          <w:szCs w:val="21"/>
          <w:highlight w:val="none"/>
        </w:rPr>
        <w:t>6</w:t>
      </w:r>
      <w:r>
        <w:rPr>
          <w:rFonts w:hint="eastAsia" w:ascii="宋体" w:hAnsi="宋体" w:cs="宋体"/>
          <w:color w:val="auto"/>
          <w:szCs w:val="21"/>
          <w:highlight w:val="none"/>
        </w:rPr>
        <w:t>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w:t>
      </w:r>
    </w:p>
    <w:p w14:paraId="3F149398">
      <w:pPr>
        <w:spacing w:line="360" w:lineRule="auto"/>
        <w:ind w:firstLine="422" w:firstLineChars="200"/>
        <w:rPr>
          <w:rFonts w:hint="eastAsia" w:ascii="宋体" w:hAnsi="宋体" w:cs="宋体"/>
          <w:b/>
          <w:bCs/>
          <w:color w:val="auto"/>
          <w:szCs w:val="21"/>
          <w:highlight w:val="none"/>
        </w:rPr>
      </w:pPr>
      <w:r>
        <w:rPr>
          <w:rFonts w:ascii="宋体" w:hAnsi="宋体" w:cs="宋体"/>
          <w:b/>
          <w:bCs/>
          <w:color w:val="auto"/>
          <w:szCs w:val="21"/>
          <w:highlight w:val="none"/>
        </w:rPr>
        <w:t>32</w:t>
      </w:r>
      <w:r>
        <w:rPr>
          <w:rFonts w:hint="eastAsia" w:ascii="宋体" w:hAnsi="宋体" w:cs="宋体"/>
          <w:b/>
          <w:bCs/>
          <w:color w:val="auto"/>
          <w:szCs w:val="21"/>
          <w:highlight w:val="none"/>
        </w:rPr>
        <w:t>.其他内容</w:t>
      </w:r>
    </w:p>
    <w:p w14:paraId="2DC274C6">
      <w:pPr>
        <w:tabs>
          <w:tab w:val="left" w:pos="2835"/>
        </w:tabs>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32</w:t>
      </w:r>
      <w:r>
        <w:rPr>
          <w:rFonts w:hint="eastAsia" w:ascii="宋体" w:hAnsi="宋体" w:cs="宋体"/>
          <w:color w:val="auto"/>
          <w:szCs w:val="21"/>
          <w:highlight w:val="none"/>
        </w:rPr>
        <w:t>.1采购代理服务费收取标准：采购代理服务费以成交金额为基准，依据国家计委计价价格[2002]1980号文和发改价格[2011]534号文的收费标准下浮20%计取，无最低代理费用。</w:t>
      </w:r>
    </w:p>
    <w:p w14:paraId="4CB6ADA4">
      <w:pPr>
        <w:tabs>
          <w:tab w:val="left" w:pos="2835"/>
        </w:tabs>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32.2</w:t>
      </w:r>
      <w:r>
        <w:rPr>
          <w:rFonts w:hint="eastAsia" w:ascii="宋体" w:hAnsi="宋体" w:cs="宋体"/>
          <w:color w:val="auto"/>
          <w:szCs w:val="21"/>
          <w:highlight w:val="none"/>
        </w:rPr>
        <w:t>代理服务费收费计算标准：</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72"/>
        <w:gridCol w:w="1659"/>
        <w:gridCol w:w="1532"/>
        <w:gridCol w:w="1546"/>
      </w:tblGrid>
      <w:tr w14:paraId="698FE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tcBorders>
              <w:tl2br w:val="single" w:color="auto" w:sz="4" w:space="0"/>
            </w:tcBorders>
            <w:noWrap w:val="0"/>
            <w:vAlign w:val="top"/>
          </w:tcPr>
          <w:p w14:paraId="40C7C27F">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               费率</w:t>
            </w:r>
          </w:p>
          <w:p w14:paraId="6816F4F4">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金额</w:t>
            </w:r>
          </w:p>
        </w:tc>
        <w:tc>
          <w:tcPr>
            <w:tcW w:w="1659" w:type="dxa"/>
            <w:noWrap w:val="0"/>
            <w:vAlign w:val="center"/>
          </w:tcPr>
          <w:p w14:paraId="339B2FEB">
            <w:pPr>
              <w:spacing w:line="360" w:lineRule="auto"/>
              <w:ind w:firstLine="105" w:firstLineChars="50"/>
              <w:jc w:val="center"/>
              <w:rPr>
                <w:rFonts w:hint="eastAsia" w:ascii="宋体" w:hAnsi="宋体" w:cs="宋体"/>
                <w:color w:val="auto"/>
                <w:szCs w:val="21"/>
                <w:highlight w:val="none"/>
              </w:rPr>
            </w:pPr>
            <w:r>
              <w:rPr>
                <w:rFonts w:hint="eastAsia" w:ascii="宋体" w:hAnsi="宋体" w:cs="宋体"/>
                <w:color w:val="auto"/>
                <w:szCs w:val="21"/>
                <w:highlight w:val="none"/>
              </w:rPr>
              <w:t>货物类</w:t>
            </w:r>
          </w:p>
        </w:tc>
        <w:tc>
          <w:tcPr>
            <w:tcW w:w="1532" w:type="dxa"/>
            <w:noWrap w:val="0"/>
            <w:vAlign w:val="center"/>
          </w:tcPr>
          <w:p w14:paraId="76C6C0A4">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服务类</w:t>
            </w:r>
          </w:p>
        </w:tc>
        <w:tc>
          <w:tcPr>
            <w:tcW w:w="1546" w:type="dxa"/>
            <w:noWrap w:val="0"/>
            <w:vAlign w:val="center"/>
          </w:tcPr>
          <w:p w14:paraId="52F77CCC">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工程类</w:t>
            </w:r>
          </w:p>
        </w:tc>
      </w:tr>
      <w:tr w14:paraId="7087D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noWrap w:val="0"/>
            <w:vAlign w:val="top"/>
          </w:tcPr>
          <w:p w14:paraId="33DB54E0">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100万元以下</w:t>
            </w:r>
          </w:p>
        </w:tc>
        <w:tc>
          <w:tcPr>
            <w:tcW w:w="1659" w:type="dxa"/>
            <w:noWrap w:val="0"/>
            <w:vAlign w:val="top"/>
          </w:tcPr>
          <w:p w14:paraId="519A5A1B">
            <w:pPr>
              <w:spacing w:line="360" w:lineRule="auto"/>
              <w:ind w:left="0" w:leftChars="0" w:firstLine="0" w:firstLineChars="0"/>
              <w:jc w:val="center"/>
              <w:rPr>
                <w:rFonts w:hint="eastAsia" w:ascii="宋体" w:hAnsi="宋体" w:cs="宋体"/>
                <w:color w:val="auto"/>
                <w:szCs w:val="21"/>
                <w:highlight w:val="none"/>
              </w:rPr>
            </w:pPr>
            <w:r>
              <w:rPr>
                <w:rFonts w:hint="eastAsia" w:ascii="宋体" w:hAnsi="宋体" w:cs="宋体"/>
                <w:color w:val="auto"/>
                <w:kern w:val="0"/>
                <w:szCs w:val="21"/>
                <w:highlight w:val="none"/>
              </w:rPr>
              <w:t>1.5%</w:t>
            </w:r>
          </w:p>
        </w:tc>
        <w:tc>
          <w:tcPr>
            <w:tcW w:w="1532" w:type="dxa"/>
            <w:noWrap w:val="0"/>
            <w:vAlign w:val="top"/>
          </w:tcPr>
          <w:p w14:paraId="7DC9EE62">
            <w:pPr>
              <w:spacing w:line="360" w:lineRule="auto"/>
              <w:ind w:left="0" w:leftChars="0" w:firstLine="0" w:firstLineChars="0"/>
              <w:jc w:val="center"/>
              <w:rPr>
                <w:rFonts w:hint="eastAsia" w:ascii="宋体" w:hAnsi="宋体" w:cs="宋体"/>
                <w:color w:val="auto"/>
                <w:szCs w:val="21"/>
                <w:highlight w:val="none"/>
              </w:rPr>
            </w:pPr>
            <w:r>
              <w:rPr>
                <w:rFonts w:hint="eastAsia" w:ascii="宋体" w:hAnsi="宋体" w:cs="宋体"/>
                <w:color w:val="auto"/>
                <w:kern w:val="0"/>
                <w:szCs w:val="21"/>
                <w:highlight w:val="none"/>
              </w:rPr>
              <w:t>1.5%</w:t>
            </w:r>
          </w:p>
        </w:tc>
        <w:tc>
          <w:tcPr>
            <w:tcW w:w="1546" w:type="dxa"/>
            <w:noWrap w:val="0"/>
            <w:vAlign w:val="top"/>
          </w:tcPr>
          <w:p w14:paraId="4D506815">
            <w:pPr>
              <w:spacing w:line="360" w:lineRule="auto"/>
              <w:ind w:left="0" w:leftChars="0" w:firstLine="0" w:firstLineChars="0"/>
              <w:jc w:val="center"/>
              <w:rPr>
                <w:rFonts w:hint="eastAsia" w:ascii="宋体" w:hAnsi="宋体" w:cs="宋体"/>
                <w:color w:val="auto"/>
                <w:szCs w:val="21"/>
                <w:highlight w:val="none"/>
              </w:rPr>
            </w:pPr>
            <w:r>
              <w:rPr>
                <w:rFonts w:hint="eastAsia" w:ascii="宋体" w:hAnsi="宋体" w:cs="宋体"/>
                <w:color w:val="auto"/>
                <w:kern w:val="0"/>
                <w:szCs w:val="21"/>
                <w:highlight w:val="none"/>
              </w:rPr>
              <w:t>1.0%</w:t>
            </w:r>
          </w:p>
        </w:tc>
      </w:tr>
      <w:tr w14:paraId="55669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noWrap w:val="0"/>
            <w:vAlign w:val="top"/>
          </w:tcPr>
          <w:p w14:paraId="14EE48E5">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100～500万元</w:t>
            </w:r>
          </w:p>
        </w:tc>
        <w:tc>
          <w:tcPr>
            <w:tcW w:w="1659" w:type="dxa"/>
            <w:noWrap w:val="0"/>
            <w:vAlign w:val="top"/>
          </w:tcPr>
          <w:p w14:paraId="5CBC4498">
            <w:pPr>
              <w:spacing w:line="360" w:lineRule="auto"/>
              <w:ind w:left="0" w:leftChars="0" w:firstLine="0" w:firstLineChars="0"/>
              <w:jc w:val="center"/>
              <w:rPr>
                <w:rFonts w:hint="eastAsia" w:ascii="宋体" w:hAnsi="宋体" w:cs="宋体"/>
                <w:color w:val="auto"/>
                <w:szCs w:val="21"/>
                <w:highlight w:val="none"/>
              </w:rPr>
            </w:pPr>
            <w:r>
              <w:rPr>
                <w:rFonts w:hint="eastAsia" w:ascii="宋体" w:hAnsi="宋体" w:cs="宋体"/>
                <w:color w:val="auto"/>
                <w:kern w:val="0"/>
                <w:szCs w:val="21"/>
                <w:highlight w:val="none"/>
              </w:rPr>
              <w:t>1.1%</w:t>
            </w:r>
          </w:p>
        </w:tc>
        <w:tc>
          <w:tcPr>
            <w:tcW w:w="1532" w:type="dxa"/>
            <w:noWrap w:val="0"/>
            <w:vAlign w:val="top"/>
          </w:tcPr>
          <w:p w14:paraId="5BB001E1">
            <w:pPr>
              <w:spacing w:line="360" w:lineRule="auto"/>
              <w:ind w:left="0" w:leftChars="0" w:firstLine="0" w:firstLineChars="0"/>
              <w:jc w:val="center"/>
              <w:rPr>
                <w:rFonts w:hint="eastAsia" w:ascii="宋体" w:hAnsi="宋体" w:cs="宋体"/>
                <w:color w:val="auto"/>
                <w:szCs w:val="21"/>
                <w:highlight w:val="none"/>
              </w:rPr>
            </w:pPr>
            <w:r>
              <w:rPr>
                <w:rFonts w:hint="eastAsia" w:ascii="宋体" w:hAnsi="宋体" w:cs="宋体"/>
                <w:color w:val="auto"/>
                <w:kern w:val="0"/>
                <w:szCs w:val="21"/>
                <w:highlight w:val="none"/>
              </w:rPr>
              <w:t>0.8%</w:t>
            </w:r>
          </w:p>
        </w:tc>
        <w:tc>
          <w:tcPr>
            <w:tcW w:w="1546" w:type="dxa"/>
            <w:noWrap w:val="0"/>
            <w:vAlign w:val="top"/>
          </w:tcPr>
          <w:p w14:paraId="3C58DB2B">
            <w:pPr>
              <w:spacing w:line="360" w:lineRule="auto"/>
              <w:ind w:left="0" w:leftChars="0" w:firstLine="0" w:firstLineChars="0"/>
              <w:jc w:val="center"/>
              <w:rPr>
                <w:rFonts w:hint="eastAsia" w:ascii="宋体" w:hAnsi="宋体" w:cs="宋体"/>
                <w:color w:val="auto"/>
                <w:szCs w:val="21"/>
                <w:highlight w:val="none"/>
              </w:rPr>
            </w:pPr>
            <w:r>
              <w:rPr>
                <w:rFonts w:hint="eastAsia" w:ascii="宋体" w:hAnsi="宋体" w:cs="宋体"/>
                <w:color w:val="auto"/>
                <w:kern w:val="0"/>
                <w:szCs w:val="21"/>
                <w:highlight w:val="none"/>
              </w:rPr>
              <w:t>0.7%</w:t>
            </w:r>
          </w:p>
        </w:tc>
      </w:tr>
      <w:tr w14:paraId="6D34A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noWrap w:val="0"/>
            <w:vAlign w:val="top"/>
          </w:tcPr>
          <w:p w14:paraId="44F8BB6D">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500～1000万元</w:t>
            </w:r>
          </w:p>
        </w:tc>
        <w:tc>
          <w:tcPr>
            <w:tcW w:w="1659" w:type="dxa"/>
            <w:noWrap w:val="0"/>
            <w:vAlign w:val="top"/>
          </w:tcPr>
          <w:p w14:paraId="300AFC63">
            <w:pPr>
              <w:spacing w:line="360" w:lineRule="auto"/>
              <w:ind w:left="0" w:leftChars="0" w:firstLine="0" w:firstLineChars="0"/>
              <w:jc w:val="center"/>
              <w:rPr>
                <w:rFonts w:hint="eastAsia" w:ascii="宋体" w:hAnsi="宋体" w:cs="宋体"/>
                <w:color w:val="auto"/>
                <w:szCs w:val="21"/>
                <w:highlight w:val="none"/>
              </w:rPr>
            </w:pPr>
            <w:r>
              <w:rPr>
                <w:rFonts w:hint="eastAsia" w:ascii="宋体" w:hAnsi="宋体" w:cs="宋体"/>
                <w:color w:val="auto"/>
                <w:kern w:val="0"/>
                <w:szCs w:val="21"/>
                <w:highlight w:val="none"/>
              </w:rPr>
              <w:t>0.8%</w:t>
            </w:r>
          </w:p>
        </w:tc>
        <w:tc>
          <w:tcPr>
            <w:tcW w:w="1532" w:type="dxa"/>
            <w:noWrap w:val="0"/>
            <w:vAlign w:val="top"/>
          </w:tcPr>
          <w:p w14:paraId="6EBFD8E5">
            <w:pPr>
              <w:spacing w:line="360" w:lineRule="auto"/>
              <w:ind w:left="0" w:leftChars="0" w:firstLine="0" w:firstLineChars="0"/>
              <w:jc w:val="center"/>
              <w:rPr>
                <w:rFonts w:hint="eastAsia" w:ascii="宋体" w:hAnsi="宋体" w:cs="宋体"/>
                <w:color w:val="auto"/>
                <w:szCs w:val="21"/>
                <w:highlight w:val="none"/>
              </w:rPr>
            </w:pPr>
            <w:r>
              <w:rPr>
                <w:rFonts w:hint="eastAsia" w:ascii="宋体" w:hAnsi="宋体" w:cs="宋体"/>
                <w:color w:val="auto"/>
                <w:kern w:val="0"/>
                <w:szCs w:val="21"/>
                <w:highlight w:val="none"/>
              </w:rPr>
              <w:t>0.45%</w:t>
            </w:r>
          </w:p>
        </w:tc>
        <w:tc>
          <w:tcPr>
            <w:tcW w:w="1546" w:type="dxa"/>
            <w:noWrap w:val="0"/>
            <w:vAlign w:val="top"/>
          </w:tcPr>
          <w:p w14:paraId="2F2079EF">
            <w:pPr>
              <w:spacing w:line="360" w:lineRule="auto"/>
              <w:ind w:left="0" w:leftChars="0" w:firstLine="0" w:firstLineChars="0"/>
              <w:jc w:val="center"/>
              <w:rPr>
                <w:rFonts w:hint="eastAsia" w:ascii="宋体" w:hAnsi="宋体" w:cs="宋体"/>
                <w:color w:val="auto"/>
                <w:szCs w:val="21"/>
                <w:highlight w:val="none"/>
              </w:rPr>
            </w:pPr>
            <w:r>
              <w:rPr>
                <w:rFonts w:hint="eastAsia" w:ascii="宋体" w:hAnsi="宋体" w:cs="宋体"/>
                <w:color w:val="auto"/>
                <w:kern w:val="0"/>
                <w:szCs w:val="21"/>
                <w:highlight w:val="none"/>
              </w:rPr>
              <w:t>0.55%</w:t>
            </w:r>
          </w:p>
        </w:tc>
      </w:tr>
      <w:tr w14:paraId="31292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noWrap w:val="0"/>
            <w:vAlign w:val="top"/>
          </w:tcPr>
          <w:p w14:paraId="68099A5B">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1000～5000万元</w:t>
            </w:r>
          </w:p>
        </w:tc>
        <w:tc>
          <w:tcPr>
            <w:tcW w:w="1659" w:type="dxa"/>
            <w:noWrap w:val="0"/>
            <w:vAlign w:val="top"/>
          </w:tcPr>
          <w:p w14:paraId="0FBBBA5F">
            <w:pPr>
              <w:spacing w:line="360" w:lineRule="auto"/>
              <w:ind w:left="0" w:leftChars="0" w:firstLine="0" w:firstLineChars="0"/>
              <w:jc w:val="center"/>
              <w:rPr>
                <w:rFonts w:hint="eastAsia" w:ascii="宋体" w:hAnsi="宋体" w:cs="宋体"/>
                <w:color w:val="auto"/>
                <w:szCs w:val="21"/>
                <w:highlight w:val="none"/>
              </w:rPr>
            </w:pPr>
            <w:r>
              <w:rPr>
                <w:rFonts w:hint="eastAsia" w:ascii="宋体" w:hAnsi="宋体" w:cs="宋体"/>
                <w:color w:val="auto"/>
                <w:kern w:val="0"/>
                <w:szCs w:val="21"/>
                <w:highlight w:val="none"/>
              </w:rPr>
              <w:t>0.5%</w:t>
            </w:r>
          </w:p>
        </w:tc>
        <w:tc>
          <w:tcPr>
            <w:tcW w:w="1532" w:type="dxa"/>
            <w:noWrap w:val="0"/>
            <w:vAlign w:val="top"/>
          </w:tcPr>
          <w:p w14:paraId="577C24FB">
            <w:pPr>
              <w:spacing w:line="360" w:lineRule="auto"/>
              <w:ind w:left="0" w:leftChars="0" w:firstLine="0" w:firstLineChars="0"/>
              <w:jc w:val="center"/>
              <w:rPr>
                <w:rFonts w:hint="eastAsia" w:ascii="宋体" w:hAnsi="宋体" w:cs="宋体"/>
                <w:color w:val="auto"/>
                <w:szCs w:val="21"/>
                <w:highlight w:val="none"/>
              </w:rPr>
            </w:pPr>
            <w:r>
              <w:rPr>
                <w:rFonts w:hint="eastAsia" w:ascii="宋体" w:hAnsi="宋体" w:cs="宋体"/>
                <w:color w:val="auto"/>
                <w:kern w:val="0"/>
                <w:szCs w:val="21"/>
                <w:highlight w:val="none"/>
              </w:rPr>
              <w:t>0.25%</w:t>
            </w:r>
          </w:p>
        </w:tc>
        <w:tc>
          <w:tcPr>
            <w:tcW w:w="1546" w:type="dxa"/>
            <w:noWrap w:val="0"/>
            <w:vAlign w:val="top"/>
          </w:tcPr>
          <w:p w14:paraId="75AC2D56">
            <w:pPr>
              <w:spacing w:line="360" w:lineRule="auto"/>
              <w:ind w:left="0" w:leftChars="0" w:firstLine="0" w:firstLineChars="0"/>
              <w:jc w:val="center"/>
              <w:rPr>
                <w:rFonts w:hint="eastAsia" w:ascii="宋体" w:hAnsi="宋体" w:cs="宋体"/>
                <w:color w:val="auto"/>
                <w:szCs w:val="21"/>
                <w:highlight w:val="none"/>
              </w:rPr>
            </w:pPr>
            <w:r>
              <w:rPr>
                <w:rFonts w:hint="eastAsia" w:ascii="宋体" w:hAnsi="宋体" w:cs="宋体"/>
                <w:color w:val="auto"/>
                <w:kern w:val="0"/>
                <w:szCs w:val="21"/>
                <w:highlight w:val="none"/>
              </w:rPr>
              <w:t>0.35%</w:t>
            </w:r>
          </w:p>
        </w:tc>
      </w:tr>
      <w:tr w14:paraId="1A036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noWrap w:val="0"/>
            <w:vAlign w:val="top"/>
          </w:tcPr>
          <w:p w14:paraId="136483E7">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5000万元～1亿元</w:t>
            </w:r>
          </w:p>
        </w:tc>
        <w:tc>
          <w:tcPr>
            <w:tcW w:w="1659" w:type="dxa"/>
            <w:noWrap w:val="0"/>
            <w:vAlign w:val="top"/>
          </w:tcPr>
          <w:p w14:paraId="6EEDE754">
            <w:pPr>
              <w:spacing w:line="360" w:lineRule="auto"/>
              <w:ind w:left="0" w:leftChars="0" w:firstLine="0" w:firstLineChars="0"/>
              <w:jc w:val="center"/>
              <w:rPr>
                <w:rFonts w:hint="eastAsia" w:ascii="宋体" w:hAnsi="宋体" w:cs="宋体"/>
                <w:color w:val="auto"/>
                <w:szCs w:val="21"/>
                <w:highlight w:val="none"/>
              </w:rPr>
            </w:pPr>
            <w:r>
              <w:rPr>
                <w:rFonts w:hint="eastAsia" w:ascii="宋体" w:hAnsi="宋体" w:cs="宋体"/>
                <w:color w:val="auto"/>
                <w:kern w:val="0"/>
                <w:szCs w:val="21"/>
                <w:highlight w:val="none"/>
              </w:rPr>
              <w:t>0.25%</w:t>
            </w:r>
          </w:p>
        </w:tc>
        <w:tc>
          <w:tcPr>
            <w:tcW w:w="1532" w:type="dxa"/>
            <w:noWrap w:val="0"/>
            <w:vAlign w:val="top"/>
          </w:tcPr>
          <w:p w14:paraId="524C1848">
            <w:pPr>
              <w:spacing w:line="360" w:lineRule="auto"/>
              <w:ind w:left="0" w:leftChars="0" w:firstLine="0" w:firstLineChars="0"/>
              <w:jc w:val="center"/>
              <w:rPr>
                <w:rFonts w:hint="eastAsia" w:ascii="宋体" w:hAnsi="宋体" w:cs="宋体"/>
                <w:color w:val="auto"/>
                <w:szCs w:val="21"/>
                <w:highlight w:val="none"/>
              </w:rPr>
            </w:pPr>
            <w:r>
              <w:rPr>
                <w:rFonts w:hint="eastAsia" w:ascii="宋体" w:hAnsi="宋体" w:cs="宋体"/>
                <w:color w:val="auto"/>
                <w:kern w:val="0"/>
                <w:szCs w:val="21"/>
                <w:highlight w:val="none"/>
              </w:rPr>
              <w:t>0.1%</w:t>
            </w:r>
          </w:p>
        </w:tc>
        <w:tc>
          <w:tcPr>
            <w:tcW w:w="1546" w:type="dxa"/>
            <w:noWrap w:val="0"/>
            <w:vAlign w:val="top"/>
          </w:tcPr>
          <w:p w14:paraId="50552007">
            <w:pPr>
              <w:spacing w:line="360" w:lineRule="auto"/>
              <w:ind w:left="0" w:leftChars="0" w:firstLine="0" w:firstLineChars="0"/>
              <w:jc w:val="center"/>
              <w:rPr>
                <w:rFonts w:hint="eastAsia" w:ascii="宋体" w:hAnsi="宋体" w:cs="宋体"/>
                <w:color w:val="auto"/>
                <w:szCs w:val="21"/>
                <w:highlight w:val="none"/>
              </w:rPr>
            </w:pPr>
            <w:r>
              <w:rPr>
                <w:rFonts w:hint="eastAsia" w:ascii="宋体" w:hAnsi="宋体" w:cs="宋体"/>
                <w:color w:val="auto"/>
                <w:kern w:val="0"/>
                <w:szCs w:val="21"/>
                <w:highlight w:val="none"/>
              </w:rPr>
              <w:t>0.2%</w:t>
            </w:r>
          </w:p>
        </w:tc>
      </w:tr>
      <w:tr w14:paraId="0D505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noWrap w:val="0"/>
            <w:vAlign w:val="top"/>
          </w:tcPr>
          <w:p w14:paraId="79597CD7">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1～5亿元</w:t>
            </w:r>
          </w:p>
        </w:tc>
        <w:tc>
          <w:tcPr>
            <w:tcW w:w="1659" w:type="dxa"/>
            <w:noWrap w:val="0"/>
            <w:vAlign w:val="top"/>
          </w:tcPr>
          <w:p w14:paraId="7928982D">
            <w:pPr>
              <w:spacing w:line="360" w:lineRule="auto"/>
              <w:ind w:left="0" w:leftChars="0" w:firstLine="0" w:firstLineChars="0"/>
              <w:jc w:val="center"/>
              <w:rPr>
                <w:rFonts w:hint="eastAsia" w:ascii="宋体" w:hAnsi="宋体" w:cs="宋体"/>
                <w:color w:val="auto"/>
                <w:szCs w:val="21"/>
                <w:highlight w:val="none"/>
              </w:rPr>
            </w:pPr>
            <w:r>
              <w:rPr>
                <w:rFonts w:hint="eastAsia" w:ascii="宋体" w:hAnsi="宋体" w:cs="宋体"/>
                <w:color w:val="auto"/>
                <w:szCs w:val="21"/>
                <w:highlight w:val="none"/>
              </w:rPr>
              <w:t>0.05%</w:t>
            </w:r>
          </w:p>
        </w:tc>
        <w:tc>
          <w:tcPr>
            <w:tcW w:w="1532" w:type="dxa"/>
            <w:noWrap w:val="0"/>
            <w:vAlign w:val="top"/>
          </w:tcPr>
          <w:p w14:paraId="19378E64">
            <w:pPr>
              <w:spacing w:line="360" w:lineRule="auto"/>
              <w:ind w:left="0" w:leftChars="0" w:firstLine="0" w:firstLineChars="0"/>
              <w:jc w:val="center"/>
              <w:rPr>
                <w:rFonts w:hint="eastAsia" w:ascii="宋体" w:hAnsi="宋体" w:cs="宋体"/>
                <w:color w:val="auto"/>
                <w:szCs w:val="21"/>
                <w:highlight w:val="none"/>
              </w:rPr>
            </w:pPr>
            <w:r>
              <w:rPr>
                <w:rFonts w:hint="eastAsia" w:ascii="宋体" w:hAnsi="宋体" w:cs="宋体"/>
                <w:color w:val="auto"/>
                <w:szCs w:val="21"/>
                <w:highlight w:val="none"/>
              </w:rPr>
              <w:t>0.05%</w:t>
            </w:r>
          </w:p>
        </w:tc>
        <w:tc>
          <w:tcPr>
            <w:tcW w:w="1546" w:type="dxa"/>
            <w:noWrap w:val="0"/>
            <w:vAlign w:val="top"/>
          </w:tcPr>
          <w:p w14:paraId="5F2EA819">
            <w:pPr>
              <w:spacing w:line="360" w:lineRule="auto"/>
              <w:ind w:left="0" w:leftChars="0" w:firstLine="0" w:firstLineChars="0"/>
              <w:jc w:val="center"/>
              <w:rPr>
                <w:rFonts w:hint="eastAsia" w:ascii="宋体" w:hAnsi="宋体" w:cs="宋体"/>
                <w:color w:val="auto"/>
                <w:szCs w:val="21"/>
                <w:highlight w:val="none"/>
              </w:rPr>
            </w:pPr>
            <w:r>
              <w:rPr>
                <w:rFonts w:hint="eastAsia" w:ascii="宋体" w:hAnsi="宋体" w:cs="宋体"/>
                <w:color w:val="auto"/>
                <w:szCs w:val="21"/>
                <w:highlight w:val="none"/>
              </w:rPr>
              <w:t>0.05%</w:t>
            </w:r>
          </w:p>
        </w:tc>
      </w:tr>
      <w:tr w14:paraId="7AB3C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noWrap w:val="0"/>
            <w:vAlign w:val="top"/>
          </w:tcPr>
          <w:p w14:paraId="263DFFA0">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5～10亿元</w:t>
            </w:r>
          </w:p>
        </w:tc>
        <w:tc>
          <w:tcPr>
            <w:tcW w:w="1659" w:type="dxa"/>
            <w:noWrap w:val="0"/>
            <w:vAlign w:val="top"/>
          </w:tcPr>
          <w:p w14:paraId="0149BE72">
            <w:pPr>
              <w:spacing w:line="360" w:lineRule="auto"/>
              <w:ind w:left="0" w:leftChars="0" w:firstLine="0" w:firstLineChars="0"/>
              <w:jc w:val="center"/>
              <w:rPr>
                <w:rFonts w:hint="eastAsia" w:ascii="宋体" w:hAnsi="宋体" w:cs="宋体"/>
                <w:color w:val="auto"/>
                <w:szCs w:val="21"/>
                <w:highlight w:val="none"/>
              </w:rPr>
            </w:pPr>
            <w:r>
              <w:rPr>
                <w:rFonts w:hint="eastAsia" w:ascii="宋体" w:hAnsi="宋体" w:cs="宋体"/>
                <w:color w:val="auto"/>
                <w:szCs w:val="21"/>
                <w:highlight w:val="none"/>
              </w:rPr>
              <w:t>0.035%</w:t>
            </w:r>
          </w:p>
        </w:tc>
        <w:tc>
          <w:tcPr>
            <w:tcW w:w="1532" w:type="dxa"/>
            <w:noWrap w:val="0"/>
            <w:vAlign w:val="top"/>
          </w:tcPr>
          <w:p w14:paraId="2F3DC702">
            <w:pPr>
              <w:spacing w:line="360" w:lineRule="auto"/>
              <w:ind w:left="0" w:leftChars="0" w:firstLine="0" w:firstLineChars="0"/>
              <w:jc w:val="center"/>
              <w:rPr>
                <w:rFonts w:hint="eastAsia" w:ascii="宋体" w:hAnsi="宋体" w:cs="宋体"/>
                <w:color w:val="auto"/>
                <w:szCs w:val="21"/>
                <w:highlight w:val="none"/>
              </w:rPr>
            </w:pPr>
            <w:r>
              <w:rPr>
                <w:rFonts w:hint="eastAsia" w:ascii="宋体" w:hAnsi="宋体" w:cs="宋体"/>
                <w:color w:val="auto"/>
                <w:szCs w:val="21"/>
                <w:highlight w:val="none"/>
              </w:rPr>
              <w:t>0.035%</w:t>
            </w:r>
          </w:p>
        </w:tc>
        <w:tc>
          <w:tcPr>
            <w:tcW w:w="1546" w:type="dxa"/>
            <w:noWrap w:val="0"/>
            <w:vAlign w:val="top"/>
          </w:tcPr>
          <w:p w14:paraId="01CBC8E2">
            <w:pPr>
              <w:spacing w:line="360" w:lineRule="auto"/>
              <w:ind w:left="0" w:leftChars="0" w:firstLine="0" w:firstLineChars="0"/>
              <w:jc w:val="center"/>
              <w:rPr>
                <w:rFonts w:hint="eastAsia" w:ascii="宋体" w:hAnsi="宋体" w:cs="宋体"/>
                <w:color w:val="auto"/>
                <w:szCs w:val="21"/>
                <w:highlight w:val="none"/>
              </w:rPr>
            </w:pPr>
            <w:r>
              <w:rPr>
                <w:rFonts w:hint="eastAsia" w:ascii="宋体" w:hAnsi="宋体" w:cs="宋体"/>
                <w:color w:val="auto"/>
                <w:szCs w:val="21"/>
                <w:highlight w:val="none"/>
              </w:rPr>
              <w:t>0.035%</w:t>
            </w:r>
          </w:p>
        </w:tc>
      </w:tr>
      <w:tr w14:paraId="54224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noWrap w:val="0"/>
            <w:vAlign w:val="top"/>
          </w:tcPr>
          <w:p w14:paraId="31F5F041">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10～50亿元</w:t>
            </w:r>
          </w:p>
        </w:tc>
        <w:tc>
          <w:tcPr>
            <w:tcW w:w="1659" w:type="dxa"/>
            <w:noWrap w:val="0"/>
            <w:vAlign w:val="top"/>
          </w:tcPr>
          <w:p w14:paraId="6FDF06F8">
            <w:pPr>
              <w:spacing w:line="360" w:lineRule="auto"/>
              <w:ind w:left="0" w:leftChars="0" w:firstLine="0" w:firstLineChars="0"/>
              <w:jc w:val="center"/>
              <w:rPr>
                <w:rFonts w:hint="eastAsia" w:ascii="宋体" w:hAnsi="宋体" w:cs="宋体"/>
                <w:color w:val="auto"/>
                <w:szCs w:val="21"/>
                <w:highlight w:val="none"/>
              </w:rPr>
            </w:pPr>
            <w:r>
              <w:rPr>
                <w:rFonts w:hint="eastAsia" w:ascii="宋体" w:hAnsi="宋体" w:cs="宋体"/>
                <w:color w:val="auto"/>
                <w:szCs w:val="21"/>
                <w:highlight w:val="none"/>
              </w:rPr>
              <w:t>0.008%</w:t>
            </w:r>
          </w:p>
        </w:tc>
        <w:tc>
          <w:tcPr>
            <w:tcW w:w="1532" w:type="dxa"/>
            <w:noWrap w:val="0"/>
            <w:vAlign w:val="top"/>
          </w:tcPr>
          <w:p w14:paraId="509B7E75">
            <w:pPr>
              <w:spacing w:line="360" w:lineRule="auto"/>
              <w:ind w:left="0" w:leftChars="0" w:firstLine="0" w:firstLineChars="0"/>
              <w:jc w:val="center"/>
              <w:rPr>
                <w:rFonts w:hint="eastAsia" w:ascii="宋体" w:hAnsi="宋体" w:cs="宋体"/>
                <w:color w:val="auto"/>
                <w:szCs w:val="21"/>
                <w:highlight w:val="none"/>
              </w:rPr>
            </w:pPr>
            <w:r>
              <w:rPr>
                <w:rFonts w:hint="eastAsia" w:ascii="宋体" w:hAnsi="宋体" w:cs="宋体"/>
                <w:color w:val="auto"/>
                <w:szCs w:val="21"/>
                <w:highlight w:val="none"/>
              </w:rPr>
              <w:t>0.008%</w:t>
            </w:r>
          </w:p>
        </w:tc>
        <w:tc>
          <w:tcPr>
            <w:tcW w:w="1546" w:type="dxa"/>
            <w:noWrap w:val="0"/>
            <w:vAlign w:val="top"/>
          </w:tcPr>
          <w:p w14:paraId="4D31F604">
            <w:pPr>
              <w:spacing w:line="360" w:lineRule="auto"/>
              <w:ind w:left="0" w:leftChars="0" w:firstLine="0" w:firstLineChars="0"/>
              <w:jc w:val="center"/>
              <w:rPr>
                <w:rFonts w:hint="eastAsia" w:ascii="宋体" w:hAnsi="宋体" w:cs="宋体"/>
                <w:color w:val="auto"/>
                <w:szCs w:val="21"/>
                <w:highlight w:val="none"/>
              </w:rPr>
            </w:pPr>
            <w:r>
              <w:rPr>
                <w:rFonts w:hint="eastAsia" w:ascii="宋体" w:hAnsi="宋体" w:cs="宋体"/>
                <w:color w:val="auto"/>
                <w:szCs w:val="21"/>
                <w:highlight w:val="none"/>
              </w:rPr>
              <w:t>0.008%</w:t>
            </w:r>
          </w:p>
        </w:tc>
      </w:tr>
      <w:tr w14:paraId="087B0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noWrap w:val="0"/>
            <w:vAlign w:val="top"/>
          </w:tcPr>
          <w:p w14:paraId="74CA45E6">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50～100亿元</w:t>
            </w:r>
          </w:p>
        </w:tc>
        <w:tc>
          <w:tcPr>
            <w:tcW w:w="1659" w:type="dxa"/>
            <w:noWrap w:val="0"/>
            <w:vAlign w:val="top"/>
          </w:tcPr>
          <w:p w14:paraId="73277968">
            <w:pPr>
              <w:spacing w:line="360" w:lineRule="auto"/>
              <w:ind w:left="0" w:leftChars="0" w:firstLine="0" w:firstLineChars="0"/>
              <w:jc w:val="center"/>
              <w:rPr>
                <w:rFonts w:hint="eastAsia" w:ascii="宋体" w:hAnsi="宋体" w:cs="宋体"/>
                <w:color w:val="auto"/>
                <w:szCs w:val="21"/>
                <w:highlight w:val="none"/>
              </w:rPr>
            </w:pPr>
            <w:r>
              <w:rPr>
                <w:rFonts w:hint="eastAsia" w:ascii="宋体" w:hAnsi="宋体" w:cs="宋体"/>
                <w:color w:val="auto"/>
                <w:szCs w:val="21"/>
                <w:highlight w:val="none"/>
              </w:rPr>
              <w:t>0.006%</w:t>
            </w:r>
          </w:p>
        </w:tc>
        <w:tc>
          <w:tcPr>
            <w:tcW w:w="1532" w:type="dxa"/>
            <w:noWrap w:val="0"/>
            <w:vAlign w:val="top"/>
          </w:tcPr>
          <w:p w14:paraId="6D6BE8BC">
            <w:pPr>
              <w:spacing w:line="360" w:lineRule="auto"/>
              <w:ind w:left="0" w:leftChars="0" w:firstLine="0" w:firstLineChars="0"/>
              <w:jc w:val="center"/>
              <w:rPr>
                <w:rFonts w:hint="eastAsia" w:ascii="宋体" w:hAnsi="宋体" w:cs="宋体"/>
                <w:color w:val="auto"/>
                <w:szCs w:val="21"/>
                <w:highlight w:val="none"/>
              </w:rPr>
            </w:pPr>
            <w:r>
              <w:rPr>
                <w:rFonts w:hint="eastAsia" w:ascii="宋体" w:hAnsi="宋体" w:cs="宋体"/>
                <w:color w:val="auto"/>
                <w:szCs w:val="21"/>
                <w:highlight w:val="none"/>
              </w:rPr>
              <w:t>0.006%</w:t>
            </w:r>
          </w:p>
        </w:tc>
        <w:tc>
          <w:tcPr>
            <w:tcW w:w="1546" w:type="dxa"/>
            <w:noWrap w:val="0"/>
            <w:vAlign w:val="top"/>
          </w:tcPr>
          <w:p w14:paraId="343FCC0B">
            <w:pPr>
              <w:spacing w:line="360" w:lineRule="auto"/>
              <w:ind w:left="0" w:leftChars="0" w:firstLine="0" w:firstLineChars="0"/>
              <w:jc w:val="center"/>
              <w:rPr>
                <w:rFonts w:hint="eastAsia" w:ascii="宋体" w:hAnsi="宋体" w:cs="宋体"/>
                <w:color w:val="auto"/>
                <w:szCs w:val="21"/>
                <w:highlight w:val="none"/>
              </w:rPr>
            </w:pPr>
            <w:r>
              <w:rPr>
                <w:rFonts w:hint="eastAsia" w:ascii="宋体" w:hAnsi="宋体" w:cs="宋体"/>
                <w:color w:val="auto"/>
                <w:szCs w:val="21"/>
                <w:highlight w:val="none"/>
              </w:rPr>
              <w:t>0.006%</w:t>
            </w:r>
          </w:p>
        </w:tc>
      </w:tr>
      <w:tr w14:paraId="60395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noWrap w:val="0"/>
            <w:vAlign w:val="top"/>
          </w:tcPr>
          <w:p w14:paraId="0E14BEF3">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100亿以上</w:t>
            </w:r>
          </w:p>
        </w:tc>
        <w:tc>
          <w:tcPr>
            <w:tcW w:w="1659" w:type="dxa"/>
            <w:noWrap w:val="0"/>
            <w:vAlign w:val="top"/>
          </w:tcPr>
          <w:p w14:paraId="5697EA92">
            <w:pPr>
              <w:spacing w:line="360" w:lineRule="auto"/>
              <w:ind w:left="0" w:leftChars="0" w:firstLine="0" w:firstLineChars="0"/>
              <w:jc w:val="center"/>
              <w:rPr>
                <w:rFonts w:hint="eastAsia" w:ascii="宋体" w:hAnsi="宋体" w:cs="宋体"/>
                <w:color w:val="auto"/>
                <w:szCs w:val="21"/>
                <w:highlight w:val="none"/>
              </w:rPr>
            </w:pPr>
            <w:r>
              <w:rPr>
                <w:rFonts w:hint="eastAsia" w:ascii="宋体" w:hAnsi="宋体" w:cs="宋体"/>
                <w:color w:val="auto"/>
                <w:szCs w:val="21"/>
                <w:highlight w:val="none"/>
              </w:rPr>
              <w:t>0.004%</w:t>
            </w:r>
          </w:p>
        </w:tc>
        <w:tc>
          <w:tcPr>
            <w:tcW w:w="1532" w:type="dxa"/>
            <w:noWrap w:val="0"/>
            <w:vAlign w:val="top"/>
          </w:tcPr>
          <w:p w14:paraId="00B9D695">
            <w:pPr>
              <w:spacing w:line="360" w:lineRule="auto"/>
              <w:ind w:left="0" w:leftChars="0" w:firstLine="0" w:firstLineChars="0"/>
              <w:jc w:val="center"/>
              <w:rPr>
                <w:rFonts w:hint="eastAsia" w:ascii="宋体" w:hAnsi="宋体" w:cs="宋体"/>
                <w:color w:val="auto"/>
                <w:szCs w:val="21"/>
                <w:highlight w:val="none"/>
              </w:rPr>
            </w:pPr>
            <w:r>
              <w:rPr>
                <w:rFonts w:hint="eastAsia" w:ascii="宋体" w:hAnsi="宋体" w:cs="宋体"/>
                <w:color w:val="auto"/>
                <w:szCs w:val="21"/>
                <w:highlight w:val="none"/>
              </w:rPr>
              <w:t>0.004%</w:t>
            </w:r>
          </w:p>
        </w:tc>
        <w:tc>
          <w:tcPr>
            <w:tcW w:w="1546" w:type="dxa"/>
            <w:noWrap w:val="0"/>
            <w:vAlign w:val="top"/>
          </w:tcPr>
          <w:p w14:paraId="7A46DAE8">
            <w:pPr>
              <w:spacing w:line="360" w:lineRule="auto"/>
              <w:ind w:left="0" w:leftChars="0" w:firstLine="0" w:firstLineChars="0"/>
              <w:jc w:val="center"/>
              <w:rPr>
                <w:rFonts w:hint="eastAsia" w:ascii="宋体" w:hAnsi="宋体" w:cs="宋体"/>
                <w:color w:val="auto"/>
                <w:szCs w:val="21"/>
                <w:highlight w:val="none"/>
              </w:rPr>
            </w:pPr>
            <w:r>
              <w:rPr>
                <w:rFonts w:hint="eastAsia" w:ascii="宋体" w:hAnsi="宋体" w:cs="宋体"/>
                <w:color w:val="auto"/>
                <w:szCs w:val="21"/>
                <w:highlight w:val="none"/>
              </w:rPr>
              <w:t>0.004%</w:t>
            </w:r>
          </w:p>
        </w:tc>
      </w:tr>
    </w:tbl>
    <w:p w14:paraId="1460ED6E">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注：</w:t>
      </w:r>
    </w:p>
    <w:p w14:paraId="61DAC4C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w:t>
      </w:r>
      <w:r>
        <w:rPr>
          <w:rFonts w:ascii="宋体" w:hAnsi="宋体" w:cs="宋体"/>
          <w:color w:val="auto"/>
          <w:szCs w:val="21"/>
          <w:highlight w:val="none"/>
        </w:rPr>
        <w:t>按本表费率计算的收费为</w:t>
      </w:r>
      <w:r>
        <w:rPr>
          <w:rFonts w:hint="eastAsia" w:ascii="宋体" w:hAnsi="宋体" w:cs="宋体"/>
          <w:color w:val="auto"/>
          <w:szCs w:val="21"/>
          <w:highlight w:val="none"/>
        </w:rPr>
        <w:t>采购</w:t>
      </w:r>
      <w:r>
        <w:rPr>
          <w:rFonts w:ascii="宋体" w:hAnsi="宋体" w:cs="宋体"/>
          <w:color w:val="auto"/>
          <w:szCs w:val="21"/>
          <w:highlight w:val="none"/>
        </w:rPr>
        <w:t>代理的收费基准价格</w:t>
      </w:r>
      <w:r>
        <w:rPr>
          <w:rFonts w:hint="eastAsia" w:ascii="宋体" w:hAnsi="宋体" w:cs="宋体"/>
          <w:color w:val="auto"/>
          <w:szCs w:val="21"/>
          <w:highlight w:val="none"/>
        </w:rPr>
        <w:t>；</w:t>
      </w:r>
    </w:p>
    <w:p w14:paraId="4216F52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（2）采购</w:t>
      </w:r>
      <w:r>
        <w:rPr>
          <w:rFonts w:ascii="宋体" w:hAnsi="宋体" w:cs="宋体"/>
          <w:color w:val="auto"/>
          <w:szCs w:val="21"/>
          <w:highlight w:val="none"/>
        </w:rPr>
        <w:t>代理收费按差额定率累进法计算。</w:t>
      </w:r>
    </w:p>
    <w:p w14:paraId="3FA455F2">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例如：某</w:t>
      </w:r>
      <w:r>
        <w:rPr>
          <w:rFonts w:hint="eastAsia" w:ascii="宋体" w:hAnsi="宋体" w:cs="宋体"/>
          <w:color w:val="auto"/>
          <w:szCs w:val="21"/>
          <w:highlight w:val="none"/>
        </w:rPr>
        <w:t>服务采购</w:t>
      </w:r>
      <w:r>
        <w:rPr>
          <w:rFonts w:ascii="宋体" w:hAnsi="宋体" w:cs="宋体"/>
          <w:color w:val="auto"/>
          <w:szCs w:val="21"/>
          <w:highlight w:val="none"/>
        </w:rPr>
        <w:t>代理业务</w:t>
      </w:r>
      <w:r>
        <w:rPr>
          <w:rFonts w:hint="eastAsia" w:ascii="宋体" w:hAnsi="宋体" w:cs="宋体"/>
          <w:color w:val="auto"/>
          <w:szCs w:val="21"/>
          <w:highlight w:val="none"/>
        </w:rPr>
        <w:t>成交</w:t>
      </w:r>
      <w:r>
        <w:rPr>
          <w:rFonts w:ascii="宋体" w:hAnsi="宋体" w:cs="宋体"/>
          <w:color w:val="auto"/>
          <w:szCs w:val="21"/>
          <w:highlight w:val="none"/>
        </w:rPr>
        <w:t>金额</w:t>
      </w:r>
      <w:r>
        <w:rPr>
          <w:rFonts w:hint="eastAsia" w:ascii="宋体" w:hAnsi="宋体" w:cs="宋体"/>
          <w:color w:val="auto"/>
          <w:szCs w:val="21"/>
          <w:highlight w:val="none"/>
        </w:rPr>
        <w:t>或者暂定价</w:t>
      </w:r>
      <w:r>
        <w:rPr>
          <w:rFonts w:ascii="宋体" w:hAnsi="宋体" w:cs="宋体"/>
          <w:color w:val="auto"/>
          <w:szCs w:val="21"/>
          <w:highlight w:val="none"/>
        </w:rPr>
        <w:t>为1</w:t>
      </w:r>
      <w:r>
        <w:rPr>
          <w:rFonts w:hint="eastAsia" w:ascii="宋体" w:hAnsi="宋体" w:cs="宋体"/>
          <w:color w:val="auto"/>
          <w:szCs w:val="21"/>
          <w:highlight w:val="none"/>
          <w:lang w:val="en-US" w:eastAsia="zh-CN"/>
        </w:rPr>
        <w:t>0</w:t>
      </w:r>
      <w:r>
        <w:rPr>
          <w:rFonts w:ascii="宋体" w:hAnsi="宋体" w:cs="宋体"/>
          <w:color w:val="auto"/>
          <w:szCs w:val="21"/>
          <w:highlight w:val="none"/>
        </w:rPr>
        <w:t>0万元，计算</w:t>
      </w:r>
      <w:r>
        <w:rPr>
          <w:rFonts w:hint="eastAsia" w:ascii="宋体" w:hAnsi="宋体" w:cs="宋体"/>
          <w:color w:val="auto"/>
          <w:szCs w:val="21"/>
          <w:highlight w:val="none"/>
        </w:rPr>
        <w:t>采购</w:t>
      </w:r>
      <w:r>
        <w:rPr>
          <w:rFonts w:ascii="宋体" w:hAnsi="宋体" w:cs="宋体"/>
          <w:color w:val="auto"/>
          <w:szCs w:val="21"/>
          <w:highlight w:val="none"/>
        </w:rPr>
        <w:t>代理收费额如下：</w:t>
      </w:r>
    </w:p>
    <w:p w14:paraId="122BEE40">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100万元×l.5%×</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1-20%</w:t>
      </w:r>
      <w:r>
        <w:rPr>
          <w:rFonts w:hint="eastAsia" w:ascii="宋体" w:hAnsi="宋体" w:cs="宋体"/>
          <w:color w:val="auto"/>
          <w:szCs w:val="21"/>
          <w:highlight w:val="none"/>
          <w:lang w:eastAsia="zh-CN"/>
        </w:rPr>
        <w:t>）</w:t>
      </w:r>
      <w:r>
        <w:rPr>
          <w:rFonts w:ascii="宋体" w:hAnsi="宋体" w:cs="宋体"/>
          <w:color w:val="auto"/>
          <w:szCs w:val="21"/>
          <w:highlight w:val="none"/>
        </w:rPr>
        <w:t>＝1.</w:t>
      </w:r>
      <w:r>
        <w:rPr>
          <w:rFonts w:hint="eastAsia" w:ascii="宋体" w:hAnsi="宋体" w:cs="宋体"/>
          <w:color w:val="auto"/>
          <w:szCs w:val="21"/>
          <w:highlight w:val="none"/>
          <w:lang w:val="en-US" w:eastAsia="zh-CN"/>
        </w:rPr>
        <w:t>2</w:t>
      </w:r>
      <w:r>
        <w:rPr>
          <w:rFonts w:ascii="宋体" w:hAnsi="宋体" w:cs="宋体"/>
          <w:color w:val="auto"/>
          <w:szCs w:val="21"/>
          <w:highlight w:val="none"/>
        </w:rPr>
        <w:t>万元</w:t>
      </w:r>
    </w:p>
    <w:p w14:paraId="5F2B65CD">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合计收费＝1.</w:t>
      </w:r>
      <w:r>
        <w:rPr>
          <w:rFonts w:hint="eastAsia" w:ascii="宋体" w:hAnsi="宋体" w:cs="宋体"/>
          <w:color w:val="auto"/>
          <w:szCs w:val="21"/>
          <w:highlight w:val="none"/>
          <w:lang w:val="en-US" w:eastAsia="zh-CN"/>
        </w:rPr>
        <w:t>2</w:t>
      </w:r>
      <w:r>
        <w:rPr>
          <w:rFonts w:ascii="宋体" w:hAnsi="宋体" w:cs="宋体"/>
          <w:color w:val="auto"/>
          <w:szCs w:val="21"/>
          <w:highlight w:val="none"/>
        </w:rPr>
        <w:t>万元</w:t>
      </w:r>
    </w:p>
    <w:p w14:paraId="10062213">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 xml:space="preserve">32.3 </w:t>
      </w:r>
      <w:r>
        <w:rPr>
          <w:rFonts w:hint="eastAsia" w:ascii="宋体" w:hAnsi="宋体" w:cs="宋体"/>
          <w:color w:val="auto"/>
          <w:szCs w:val="21"/>
          <w:highlight w:val="none"/>
        </w:rPr>
        <w:t>代理服务费交纳</w:t>
      </w:r>
      <w:r>
        <w:rPr>
          <w:rFonts w:hint="eastAsia" w:ascii="宋体" w:hAnsi="宋体" w:cs="宋体"/>
          <w:color w:val="auto"/>
          <w:szCs w:val="21"/>
          <w:highlight w:val="none"/>
          <w:lang w:eastAsia="zh-CN"/>
        </w:rPr>
        <w:t>银行账号</w:t>
      </w:r>
      <w:r>
        <w:rPr>
          <w:rFonts w:ascii="宋体" w:hAnsi="宋体" w:cs="宋体"/>
          <w:color w:val="auto"/>
          <w:szCs w:val="21"/>
          <w:highlight w:val="none"/>
        </w:rPr>
        <w:t>信息</w:t>
      </w:r>
    </w:p>
    <w:p w14:paraId="08C9FDDF">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账户名称：中国建设银行股份有限公司北海市北海大道支行 </w:t>
      </w:r>
    </w:p>
    <w:p w14:paraId="3D363A6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银行账号：广西德元工程项目管理有限责任公司北海分公司</w:t>
      </w:r>
    </w:p>
    <w:p w14:paraId="29C9202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开户行行号：4500 1655 1130 5070 3077</w:t>
      </w:r>
    </w:p>
    <w:p w14:paraId="2D4998DD">
      <w:pPr>
        <w:spacing w:line="360" w:lineRule="auto"/>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3</w:t>
      </w:r>
      <w:r>
        <w:rPr>
          <w:rFonts w:ascii="宋体" w:hAnsi="宋体" w:cs="宋体"/>
          <w:b/>
          <w:bCs/>
          <w:color w:val="auto"/>
          <w:szCs w:val="21"/>
          <w:highlight w:val="none"/>
        </w:rPr>
        <w:t>3.需要补充的其他内容</w:t>
      </w:r>
    </w:p>
    <w:p w14:paraId="06E616B1">
      <w:pPr>
        <w:pStyle w:val="19"/>
        <w:spacing w:line="360" w:lineRule="auto"/>
        <w:ind w:firstLine="420" w:firstLineChars="200"/>
        <w:textAlignment w:val="center"/>
        <w:rPr>
          <w:rFonts w:hint="eastAsia" w:hAnsi="宋体" w:cs="宋体"/>
          <w:color w:val="auto"/>
          <w:kern w:val="2"/>
          <w:sz w:val="21"/>
          <w:highlight w:val="none"/>
        </w:rPr>
      </w:pPr>
      <w:r>
        <w:rPr>
          <w:rFonts w:hint="eastAsia" w:hAnsi="宋体" w:cs="宋体"/>
          <w:color w:val="auto"/>
          <w:kern w:val="2"/>
          <w:sz w:val="21"/>
          <w:highlight w:val="none"/>
        </w:rPr>
        <w:t>3</w:t>
      </w:r>
      <w:r>
        <w:rPr>
          <w:rFonts w:hAnsi="宋体" w:cs="宋体"/>
          <w:color w:val="auto"/>
          <w:kern w:val="2"/>
          <w:sz w:val="21"/>
          <w:highlight w:val="none"/>
        </w:rPr>
        <w:t>3.1</w:t>
      </w:r>
      <w:r>
        <w:rPr>
          <w:rFonts w:hint="eastAsia" w:hAnsi="宋体" w:cs="宋体"/>
          <w:color w:val="auto"/>
          <w:kern w:val="2"/>
          <w:sz w:val="21"/>
          <w:highlight w:val="none"/>
        </w:rPr>
        <w:t>本磋商文件解释规则详见“供应商须知前附表”。</w:t>
      </w:r>
    </w:p>
    <w:p w14:paraId="3566A7AF">
      <w:pPr>
        <w:pStyle w:val="19"/>
        <w:spacing w:line="360" w:lineRule="auto"/>
        <w:ind w:firstLine="420" w:firstLineChars="200"/>
        <w:textAlignment w:val="center"/>
        <w:rPr>
          <w:rFonts w:hAnsi="宋体" w:cs="宋体"/>
          <w:color w:val="auto"/>
          <w:kern w:val="2"/>
          <w:sz w:val="21"/>
          <w:highlight w:val="none"/>
        </w:rPr>
      </w:pPr>
      <w:r>
        <w:rPr>
          <w:rFonts w:hAnsi="宋体" w:cs="宋体"/>
          <w:color w:val="auto"/>
          <w:kern w:val="2"/>
          <w:sz w:val="21"/>
          <w:highlight w:val="none"/>
        </w:rPr>
        <w:t>33.2</w:t>
      </w:r>
      <w:r>
        <w:rPr>
          <w:rFonts w:hint="eastAsia" w:hAnsi="宋体" w:cs="宋体"/>
          <w:color w:val="auto"/>
          <w:kern w:val="2"/>
          <w:sz w:val="21"/>
          <w:highlight w:val="none"/>
        </w:rPr>
        <w:t xml:space="preserve"> 其他事项详见“供应商须知前附表”。</w:t>
      </w:r>
    </w:p>
    <w:p w14:paraId="4050FA66">
      <w:pPr>
        <w:pStyle w:val="19"/>
        <w:spacing w:line="360" w:lineRule="auto"/>
        <w:ind w:firstLine="420" w:firstLineChars="200"/>
        <w:textAlignment w:val="center"/>
        <w:rPr>
          <w:rFonts w:hint="eastAsia" w:hAnsi="宋体" w:cs="宋体"/>
          <w:color w:val="auto"/>
          <w:kern w:val="2"/>
          <w:sz w:val="21"/>
          <w:highlight w:val="none"/>
        </w:rPr>
      </w:pPr>
      <w:r>
        <w:rPr>
          <w:rFonts w:hint="eastAsia" w:hAnsi="宋体" w:cs="宋体"/>
          <w:color w:val="auto"/>
          <w:kern w:val="2"/>
          <w:sz w:val="21"/>
          <w:highlight w:val="none"/>
        </w:rPr>
        <w:t>3</w:t>
      </w:r>
      <w:r>
        <w:rPr>
          <w:rFonts w:hAnsi="宋体" w:cs="宋体"/>
          <w:color w:val="auto"/>
          <w:kern w:val="2"/>
          <w:sz w:val="21"/>
          <w:highlight w:val="none"/>
        </w:rPr>
        <w:t>3.3</w:t>
      </w:r>
      <w:r>
        <w:rPr>
          <w:rFonts w:hint="eastAsia" w:hAnsi="宋体" w:cs="宋体"/>
          <w:color w:val="auto"/>
          <w:kern w:val="2"/>
          <w:sz w:val="21"/>
          <w:highlight w:val="none"/>
        </w:rPr>
        <w:t>本磋商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磋商文件规定的中小企业扶持政策：</w:t>
      </w:r>
    </w:p>
    <w:p w14:paraId="032D8D16">
      <w:pPr>
        <w:pStyle w:val="19"/>
        <w:spacing w:line="360" w:lineRule="auto"/>
        <w:ind w:firstLine="420" w:firstLineChars="200"/>
        <w:contextualSpacing/>
        <w:rPr>
          <w:rFonts w:hint="eastAsia" w:hAnsi="宋体"/>
          <w:color w:val="auto"/>
          <w:sz w:val="21"/>
          <w:highlight w:val="none"/>
        </w:rPr>
      </w:pPr>
      <w:r>
        <w:rPr>
          <w:rFonts w:hint="eastAsia" w:hAnsi="宋体"/>
          <w:color w:val="auto"/>
          <w:sz w:val="21"/>
          <w:highlight w:val="none"/>
        </w:rPr>
        <w:t>（1）在货物采购项目中，货物由中小企业制造，即货物由中小企业生产且使用该中小企业商号或者注册商标，不对其中涉及的工程承建商和服务的承接商作出要求；</w:t>
      </w:r>
    </w:p>
    <w:p w14:paraId="51A074E8">
      <w:pPr>
        <w:pStyle w:val="19"/>
        <w:spacing w:line="360" w:lineRule="auto"/>
        <w:ind w:firstLine="420" w:firstLineChars="200"/>
        <w:contextualSpacing/>
        <w:rPr>
          <w:rFonts w:hint="eastAsia" w:hAnsi="宋体"/>
          <w:color w:val="auto"/>
          <w:sz w:val="21"/>
          <w:highlight w:val="none"/>
        </w:rPr>
      </w:pPr>
      <w:r>
        <w:rPr>
          <w:rFonts w:hint="eastAsia" w:hAnsi="宋体"/>
          <w:color w:val="auto"/>
          <w:sz w:val="21"/>
          <w:highlight w:val="none"/>
        </w:rPr>
        <w:t>（2）在工程采购项目中，工程由中小企业承建，即工程施工单位为中小企业，不对其中涉及的货物的制造商和服务的承接商作出要求；</w:t>
      </w:r>
    </w:p>
    <w:p w14:paraId="73EEA172">
      <w:pPr>
        <w:pStyle w:val="19"/>
        <w:spacing w:line="360" w:lineRule="auto"/>
        <w:ind w:firstLine="420" w:firstLineChars="200"/>
        <w:contextualSpacing/>
        <w:rPr>
          <w:rFonts w:hint="eastAsia" w:ascii="宋体" w:hAnsi="宋体" w:eastAsia="宋体" w:cs="Times New Roman"/>
          <w:color w:val="auto"/>
          <w:sz w:val="21"/>
          <w:highlight w:val="none"/>
        </w:rPr>
      </w:pPr>
      <w:r>
        <w:rPr>
          <w:rFonts w:hint="eastAsia" w:ascii="宋体" w:hAnsi="宋体" w:eastAsia="宋体" w:cs="Times New Roman"/>
          <w:color w:val="auto"/>
          <w:sz w:val="21"/>
          <w:highlight w:val="none"/>
        </w:rPr>
        <w:t>（3）在服务采购项目中，服务由中小企业承接，即提供服务的人员为中小企业依照《中华人民共和国劳动合同法》订立劳动合同的从业人员，不对其中涉及的货物的制造商和工程承建商作出要求。</w:t>
      </w:r>
    </w:p>
    <w:p w14:paraId="64FE04C0">
      <w:pPr>
        <w:pStyle w:val="19"/>
        <w:spacing w:line="360" w:lineRule="auto"/>
        <w:ind w:firstLine="420" w:firstLineChars="200"/>
        <w:contextualSpacing/>
        <w:rPr>
          <w:rFonts w:hint="eastAsia" w:ascii="宋体" w:hAnsi="宋体" w:eastAsia="宋体" w:cs="Times New Roman"/>
          <w:color w:val="auto"/>
          <w:sz w:val="21"/>
          <w:highlight w:val="none"/>
        </w:rPr>
      </w:pPr>
      <w:r>
        <w:rPr>
          <w:rFonts w:hint="eastAsia" w:ascii="宋体" w:hAnsi="宋体" w:eastAsia="宋体" w:cs="Times New Roman"/>
          <w:color w:val="auto"/>
          <w:sz w:val="21"/>
          <w:highlight w:val="none"/>
        </w:rPr>
        <w:t>在货物采购项目中，供应商提供的货物既有中小企业制造货物，也有大型企业制造货物的，不享受本磋商文件规定的中小企业扶持政策。以联合体形式参加政府采购活动，联合体各方均为中小企业的，联合体视同中小企业。其中，联合体各方均为小微企业的，联合体视同小微企业。</w:t>
      </w:r>
    </w:p>
    <w:p w14:paraId="2884A509">
      <w:pPr>
        <w:pStyle w:val="19"/>
        <w:spacing w:line="360" w:lineRule="auto"/>
        <w:ind w:firstLine="420" w:firstLineChars="200"/>
        <w:contextualSpacing/>
        <w:rPr>
          <w:rFonts w:hint="eastAsia" w:ascii="宋体" w:hAnsi="宋体" w:eastAsia="宋体" w:cs="Times New Roman"/>
          <w:color w:val="auto"/>
          <w:sz w:val="21"/>
          <w:highlight w:val="none"/>
        </w:rPr>
      </w:pPr>
      <w:r>
        <w:rPr>
          <w:rFonts w:hint="eastAsia" w:ascii="宋体" w:hAnsi="宋体" w:eastAsia="宋体" w:cs="Times New Roman"/>
          <w:color w:val="auto"/>
          <w:sz w:val="21"/>
          <w:highlight w:val="none"/>
        </w:rPr>
        <w:t>依据本磋商文件规定享受扶持政策获得政府采购合同的，小微企业不得将合同分包给大中型企业，中型企业不得将合同分包给大型企业。</w:t>
      </w:r>
    </w:p>
    <w:p w14:paraId="206F366D">
      <w:pPr>
        <w:widowControl w:val="0"/>
        <w:spacing w:line="360" w:lineRule="auto"/>
        <w:ind w:firstLine="420" w:firstLineChars="200"/>
        <w:jc w:val="both"/>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34.4依据《国务院办公厅关于在政府采购中实施本国产品标准及相关政策的通知》（国办发〔2025〕34 号）及《财政部和工业和信息化部关于贯彻落实</w:t>
      </w:r>
      <w:r>
        <w:rPr>
          <w:rFonts w:hint="eastAsia" w:ascii="宋体" w:hAnsi="宋体" w:cs="宋体"/>
          <w:color w:val="auto"/>
          <w:kern w:val="0"/>
          <w:sz w:val="21"/>
          <w:szCs w:val="21"/>
          <w:highlight w:val="none"/>
          <w:lang w:val="en-US" w:eastAsia="zh-CN" w:bidi="ar-SA"/>
        </w:rPr>
        <w:t>〈</w:t>
      </w:r>
      <w:r>
        <w:rPr>
          <w:rFonts w:hint="eastAsia" w:ascii="宋体" w:hAnsi="宋体" w:eastAsia="宋体" w:cs="宋体"/>
          <w:color w:val="auto"/>
          <w:kern w:val="0"/>
          <w:sz w:val="21"/>
          <w:szCs w:val="21"/>
          <w:highlight w:val="none"/>
          <w:lang w:val="en-US" w:eastAsia="zh-CN" w:bidi="ar-SA"/>
        </w:rPr>
        <w:t>国务院办公厅关于在政府采购中实施本国产品标准及相关政策的通知</w:t>
      </w:r>
      <w:r>
        <w:rPr>
          <w:rFonts w:hint="eastAsia" w:ascii="宋体" w:hAnsi="宋体" w:cs="宋体"/>
          <w:color w:val="auto"/>
          <w:kern w:val="0"/>
          <w:sz w:val="21"/>
          <w:szCs w:val="21"/>
          <w:highlight w:val="none"/>
          <w:lang w:val="en-US" w:eastAsia="zh-CN" w:bidi="ar-SA"/>
        </w:rPr>
        <w:t>〉</w:t>
      </w:r>
      <w:r>
        <w:rPr>
          <w:rFonts w:hint="eastAsia" w:ascii="宋体" w:hAnsi="宋体" w:eastAsia="宋体" w:cs="宋体"/>
          <w:color w:val="auto"/>
          <w:kern w:val="0"/>
          <w:sz w:val="21"/>
          <w:szCs w:val="21"/>
          <w:highlight w:val="none"/>
          <w:lang w:val="en-US" w:eastAsia="zh-CN" w:bidi="ar-SA"/>
        </w:rPr>
        <w:t xml:space="preserve">的意见》（财库〔2025〕30 号）等相关规定，对本国产品的支持政策。 </w:t>
      </w:r>
    </w:p>
    <w:p w14:paraId="3C974B81">
      <w:pPr>
        <w:widowControl w:val="0"/>
        <w:spacing w:line="360" w:lineRule="auto"/>
        <w:ind w:firstLine="420" w:firstLineChars="200"/>
        <w:jc w:val="both"/>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（1）本国产品标准的适用范围 </w:t>
      </w:r>
    </w:p>
    <w:p w14:paraId="119D121D">
      <w:pPr>
        <w:widowControl w:val="0"/>
        <w:spacing w:line="360" w:lineRule="auto"/>
        <w:ind w:firstLine="420" w:firstLineChars="200"/>
        <w:jc w:val="both"/>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 </w:t>
      </w:r>
    </w:p>
    <w:p w14:paraId="49C15BC6">
      <w:pPr>
        <w:widowControl w:val="0"/>
        <w:spacing w:line="360" w:lineRule="auto"/>
        <w:ind w:firstLine="420" w:firstLineChars="200"/>
        <w:jc w:val="both"/>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（2）对本国产品的支持政策 </w:t>
      </w:r>
    </w:p>
    <w:p w14:paraId="21638B41">
      <w:pPr>
        <w:spacing w:line="360" w:lineRule="auto"/>
        <w:ind w:firstLine="420" w:firstLineChars="200"/>
        <w:jc w:val="both"/>
        <w:rPr>
          <w:rFonts w:hint="eastAsia" w:ascii="宋体" w:hAnsi="宋体" w:eastAsia="宋体" w:cs="Times New Roman"/>
          <w:color w:val="auto"/>
          <w:szCs w:val="20"/>
          <w:highlight w:val="none"/>
        </w:rPr>
      </w:pPr>
      <w:r>
        <w:rPr>
          <w:rFonts w:hint="eastAsia" w:ascii="宋体" w:hAnsi="宋体" w:eastAsia="宋体" w:cs="Times New Roman"/>
          <w:color w:val="auto"/>
          <w:szCs w:val="20"/>
          <w:highlight w:val="none"/>
          <w:lang w:val="en-US" w:eastAsia="zh-CN"/>
        </w:rPr>
        <w:t xml:space="preserve">政府采购活动中既有本国产品又有非本国产品参与竞争的，依法对本国产品给予价格评审优惠，对本国产品的报价给予 </w:t>
      </w:r>
      <w:r>
        <w:rPr>
          <w:rFonts w:hint="eastAsia" w:ascii="宋体" w:hAnsi="宋体" w:cs="Times New Roman"/>
          <w:color w:val="auto"/>
          <w:szCs w:val="20"/>
          <w:highlight w:val="none"/>
          <w:lang w:val="en-US" w:eastAsia="zh-CN"/>
        </w:rPr>
        <w:t>2</w:t>
      </w:r>
      <w:r>
        <w:rPr>
          <w:rFonts w:hint="eastAsia" w:ascii="宋体" w:hAnsi="宋体" w:eastAsia="宋体" w:cs="Times New Roman"/>
          <w:color w:val="auto"/>
          <w:szCs w:val="20"/>
          <w:highlight w:val="none"/>
          <w:lang w:val="en-US" w:eastAsia="zh-CN"/>
        </w:rPr>
        <w:t>0%的价格扣除，用扣除后的价格参与评审。</w:t>
      </w:r>
    </w:p>
    <w:p w14:paraId="394C4577">
      <w:pPr>
        <w:spacing w:line="360" w:lineRule="auto"/>
        <w:ind w:firstLine="420" w:firstLineChars="200"/>
        <w:rPr>
          <w:rFonts w:hint="eastAsia" w:ascii="宋体" w:hAnsi="宋体" w:eastAsia="宋体" w:cs="Times New Roman"/>
          <w:color w:val="auto"/>
          <w:szCs w:val="20"/>
          <w:highlight w:val="none"/>
        </w:rPr>
      </w:pPr>
      <w:r>
        <w:rPr>
          <w:rFonts w:hint="eastAsia" w:ascii="宋体" w:hAnsi="宋体" w:eastAsia="宋体" w:cs="Times New Roman"/>
          <w:color w:val="auto"/>
          <w:szCs w:val="20"/>
          <w:highlight w:val="none"/>
          <w:lang w:val="en-US" w:eastAsia="zh-CN"/>
        </w:rPr>
        <w:t xml:space="preserve">当采购项目或者采购包中含有多种产品，供应商为该采购项目或者采购包提供的符合本国产品标准的产品成本之和占该供应商提供的全部产品成本之和的比例达到 80%以上时，依法对该供应商提供的全部产品给予价格评审优惠，即对该供应商提供的全部产品的总报价给予 20%的价格扣除，用扣除后的价格参与评审。 </w:t>
      </w:r>
    </w:p>
    <w:p w14:paraId="3463E0EC">
      <w:pPr>
        <w:spacing w:line="360" w:lineRule="auto"/>
        <w:ind w:firstLine="420" w:firstLineChars="200"/>
        <w:rPr>
          <w:rFonts w:hint="eastAsia" w:ascii="宋体" w:hAnsi="宋体" w:eastAsia="宋体" w:cs="Times New Roman"/>
          <w:color w:val="auto"/>
          <w:szCs w:val="20"/>
          <w:highlight w:val="none"/>
          <w:lang w:val="en-US" w:eastAsia="zh-CN"/>
        </w:rPr>
      </w:pPr>
      <w:r>
        <w:rPr>
          <w:rFonts w:hint="eastAsia" w:ascii="宋体" w:hAnsi="宋体" w:eastAsia="宋体" w:cs="Times New Roman"/>
          <w:color w:val="auto"/>
          <w:szCs w:val="20"/>
          <w:highlight w:val="none"/>
          <w:lang w:val="en-US" w:eastAsia="zh-CN"/>
        </w:rPr>
        <w:t>（3）本国产品应当符合以下条件：</w:t>
      </w:r>
    </w:p>
    <w:p w14:paraId="01CDB36D">
      <w:pPr>
        <w:spacing w:line="360" w:lineRule="auto"/>
        <w:ind w:firstLine="420" w:firstLineChars="200"/>
        <w:rPr>
          <w:rFonts w:hint="eastAsia" w:ascii="宋体" w:hAnsi="宋体" w:eastAsia="宋体" w:cs="Times New Roman"/>
          <w:color w:val="auto"/>
          <w:szCs w:val="20"/>
          <w:highlight w:val="none"/>
          <w:lang w:val="en-US" w:eastAsia="zh-CN"/>
        </w:rPr>
      </w:pPr>
      <w:r>
        <w:rPr>
          <w:rFonts w:hint="eastAsia" w:ascii="宋体" w:hAnsi="宋体" w:cs="Times New Roman"/>
          <w:color w:val="auto"/>
          <w:szCs w:val="20"/>
          <w:highlight w:val="none"/>
          <w:lang w:val="en-US" w:eastAsia="zh-CN"/>
        </w:rPr>
        <w:t>①</w:t>
      </w:r>
      <w:r>
        <w:rPr>
          <w:rFonts w:hint="eastAsia" w:ascii="宋体" w:hAnsi="宋体" w:eastAsia="宋体" w:cs="Times New Roman"/>
          <w:color w:val="auto"/>
          <w:szCs w:val="20"/>
          <w:highlight w:val="none"/>
          <w:lang w:val="en-US" w:eastAsia="zh-CN"/>
        </w:rPr>
        <w:t>在中国境内生产</w:t>
      </w:r>
    </w:p>
    <w:p w14:paraId="4ECAED92">
      <w:pPr>
        <w:spacing w:line="360" w:lineRule="auto"/>
        <w:ind w:firstLine="420" w:firstLineChars="200"/>
        <w:rPr>
          <w:rFonts w:hint="eastAsia" w:ascii="宋体" w:hAnsi="宋体" w:eastAsia="宋体" w:cs="Times New Roman"/>
          <w:color w:val="auto"/>
          <w:szCs w:val="20"/>
          <w:highlight w:val="none"/>
          <w:lang w:val="en-US" w:eastAsia="zh-CN"/>
        </w:rPr>
      </w:pPr>
      <w:r>
        <w:rPr>
          <w:rFonts w:hint="eastAsia" w:ascii="宋体" w:hAnsi="宋体" w:eastAsia="宋体" w:cs="Times New Roman"/>
          <w:color w:val="auto"/>
          <w:szCs w:val="20"/>
          <w:highlight w:val="none"/>
          <w:lang w:val="en-US" w:eastAsia="zh-CN"/>
        </w:rPr>
        <w:t>产品应当在中国境内生产，即在中华人民共和国关境内实现从原材料、组件到产品的属性改变。</w:t>
      </w:r>
    </w:p>
    <w:p w14:paraId="5925E463">
      <w:pPr>
        <w:spacing w:line="360" w:lineRule="auto"/>
        <w:ind w:firstLine="420" w:firstLineChars="200"/>
        <w:rPr>
          <w:rFonts w:hint="eastAsia" w:ascii="宋体" w:hAnsi="宋体" w:eastAsia="宋体" w:cs="Times New Roman"/>
          <w:color w:val="auto"/>
          <w:szCs w:val="20"/>
          <w:highlight w:val="none"/>
          <w:lang w:val="en-US" w:eastAsia="zh-CN"/>
        </w:rPr>
      </w:pPr>
      <w:r>
        <w:rPr>
          <w:rFonts w:hint="eastAsia" w:ascii="宋体" w:hAnsi="宋体" w:eastAsia="宋体" w:cs="Times New Roman"/>
          <w:color w:val="auto"/>
          <w:szCs w:val="20"/>
          <w:highlight w:val="none"/>
          <w:lang w:val="en-US" w:eastAsia="zh-CN"/>
        </w:rPr>
        <w:t>属性改变是指经过制造、加工或者组装等工序，产生完全不同于原材料、组件的新产品，并具有新的名称和特征（用途）。属性改变不包括以下细微操作：</w:t>
      </w:r>
    </w:p>
    <w:p w14:paraId="657E8C32">
      <w:pPr>
        <w:spacing w:line="360" w:lineRule="auto"/>
        <w:ind w:firstLine="420" w:firstLineChars="200"/>
        <w:rPr>
          <w:rFonts w:hint="eastAsia" w:ascii="宋体" w:hAnsi="宋体" w:eastAsia="宋体" w:cs="Times New Roman"/>
          <w:color w:val="auto"/>
          <w:szCs w:val="20"/>
          <w:highlight w:val="none"/>
          <w:lang w:val="en-US" w:eastAsia="zh-CN"/>
        </w:rPr>
      </w:pPr>
      <w:r>
        <w:rPr>
          <w:rFonts w:hint="eastAsia" w:ascii="宋体" w:hAnsi="宋体" w:cs="Times New Roman"/>
          <w:color w:val="auto"/>
          <w:szCs w:val="20"/>
          <w:highlight w:val="none"/>
          <w:lang w:val="en-US" w:eastAsia="zh-CN"/>
        </w:rPr>
        <w:t>a</w:t>
      </w:r>
      <w:r>
        <w:rPr>
          <w:rFonts w:hint="eastAsia" w:ascii="宋体" w:hAnsi="宋体" w:eastAsia="宋体" w:cs="Times New Roman"/>
          <w:color w:val="auto"/>
          <w:szCs w:val="20"/>
          <w:highlight w:val="none"/>
          <w:lang w:val="en-US" w:eastAsia="zh-CN"/>
        </w:rPr>
        <w:t>.为确保产品在运输或者储存期间保持某种状态而进行的操作；</w:t>
      </w:r>
    </w:p>
    <w:p w14:paraId="361AE491">
      <w:pPr>
        <w:spacing w:line="360" w:lineRule="auto"/>
        <w:ind w:firstLine="420" w:firstLineChars="200"/>
        <w:rPr>
          <w:rFonts w:hint="eastAsia" w:ascii="宋体" w:hAnsi="宋体" w:eastAsia="宋体" w:cs="Times New Roman"/>
          <w:color w:val="auto"/>
          <w:szCs w:val="20"/>
          <w:highlight w:val="none"/>
          <w:lang w:val="en-US" w:eastAsia="zh-CN"/>
        </w:rPr>
      </w:pPr>
      <w:r>
        <w:rPr>
          <w:rFonts w:hint="eastAsia" w:ascii="宋体" w:hAnsi="宋体" w:cs="Times New Roman"/>
          <w:color w:val="auto"/>
          <w:szCs w:val="20"/>
          <w:highlight w:val="none"/>
          <w:lang w:val="en-US" w:eastAsia="zh-CN"/>
        </w:rPr>
        <w:t>b</w:t>
      </w:r>
      <w:r>
        <w:rPr>
          <w:rFonts w:hint="eastAsia" w:ascii="宋体" w:hAnsi="宋体" w:eastAsia="宋体" w:cs="Times New Roman"/>
          <w:color w:val="auto"/>
          <w:szCs w:val="20"/>
          <w:highlight w:val="none"/>
          <w:lang w:val="en-US" w:eastAsia="zh-CN"/>
        </w:rPr>
        <w:t>.为产品运输或者销售进行的包装或者展示；</w:t>
      </w:r>
    </w:p>
    <w:p w14:paraId="5622310D">
      <w:pPr>
        <w:spacing w:line="360" w:lineRule="auto"/>
        <w:ind w:firstLine="420" w:firstLineChars="200"/>
        <w:rPr>
          <w:rFonts w:hint="eastAsia" w:ascii="宋体" w:hAnsi="宋体" w:eastAsia="宋体" w:cs="Times New Roman"/>
          <w:color w:val="auto"/>
          <w:szCs w:val="20"/>
          <w:highlight w:val="none"/>
          <w:lang w:val="en-US" w:eastAsia="zh-CN"/>
        </w:rPr>
      </w:pPr>
      <w:r>
        <w:rPr>
          <w:rFonts w:hint="eastAsia" w:ascii="宋体" w:hAnsi="宋体" w:cs="Times New Roman"/>
          <w:color w:val="auto"/>
          <w:szCs w:val="20"/>
          <w:highlight w:val="none"/>
          <w:lang w:val="en-US" w:eastAsia="zh-CN"/>
        </w:rPr>
        <w:t>c</w:t>
      </w:r>
      <w:r>
        <w:rPr>
          <w:rFonts w:hint="eastAsia" w:ascii="宋体" w:hAnsi="宋体" w:eastAsia="宋体" w:cs="Times New Roman"/>
          <w:color w:val="auto"/>
          <w:szCs w:val="20"/>
          <w:highlight w:val="none"/>
          <w:lang w:val="en-US" w:eastAsia="zh-CN"/>
        </w:rPr>
        <w:t>.在产品或者其包装上粘贴或者印刷品牌、标志、标识以及其他用于区别的标记；</w:t>
      </w:r>
    </w:p>
    <w:p w14:paraId="46BCEABF">
      <w:pPr>
        <w:spacing w:line="360" w:lineRule="auto"/>
        <w:ind w:firstLine="420" w:firstLineChars="200"/>
        <w:rPr>
          <w:rFonts w:hint="eastAsia" w:ascii="宋体" w:hAnsi="宋体" w:eastAsia="宋体" w:cs="Times New Roman"/>
          <w:color w:val="auto"/>
          <w:szCs w:val="20"/>
          <w:highlight w:val="none"/>
          <w:lang w:val="en-US" w:eastAsia="zh-CN"/>
        </w:rPr>
      </w:pPr>
      <w:r>
        <w:rPr>
          <w:rFonts w:hint="eastAsia" w:ascii="宋体" w:hAnsi="宋体" w:cs="Times New Roman"/>
          <w:color w:val="auto"/>
          <w:szCs w:val="20"/>
          <w:highlight w:val="none"/>
          <w:lang w:val="en-US" w:eastAsia="zh-CN"/>
        </w:rPr>
        <w:t>d</w:t>
      </w:r>
      <w:r>
        <w:rPr>
          <w:rFonts w:hint="eastAsia" w:ascii="宋体" w:hAnsi="宋体" w:eastAsia="宋体" w:cs="Times New Roman"/>
          <w:color w:val="auto"/>
          <w:szCs w:val="20"/>
          <w:highlight w:val="none"/>
          <w:lang w:val="en-US" w:eastAsia="zh-CN"/>
        </w:rPr>
        <w:t>.简单的上漆、磨光和分装；</w:t>
      </w:r>
    </w:p>
    <w:p w14:paraId="1447CE19">
      <w:pPr>
        <w:spacing w:line="360" w:lineRule="auto"/>
        <w:ind w:firstLine="420" w:firstLineChars="200"/>
        <w:rPr>
          <w:rFonts w:hint="eastAsia" w:ascii="宋体" w:hAnsi="宋体" w:eastAsia="宋体" w:cs="Times New Roman"/>
          <w:color w:val="auto"/>
          <w:szCs w:val="20"/>
          <w:highlight w:val="none"/>
          <w:lang w:val="en-US" w:eastAsia="zh-CN"/>
        </w:rPr>
      </w:pPr>
      <w:r>
        <w:rPr>
          <w:rFonts w:hint="eastAsia" w:ascii="宋体" w:hAnsi="宋体" w:cs="Times New Roman"/>
          <w:color w:val="auto"/>
          <w:szCs w:val="20"/>
          <w:highlight w:val="none"/>
          <w:lang w:val="en-US" w:eastAsia="zh-CN"/>
        </w:rPr>
        <w:t>e</w:t>
      </w:r>
      <w:r>
        <w:rPr>
          <w:rFonts w:hint="eastAsia" w:ascii="宋体" w:hAnsi="宋体" w:eastAsia="宋体" w:cs="Times New Roman"/>
          <w:color w:val="auto"/>
          <w:szCs w:val="20"/>
          <w:highlight w:val="none"/>
          <w:lang w:val="en-US" w:eastAsia="zh-CN"/>
        </w:rPr>
        <w:t>.其他不属于属性改变的情形。</w:t>
      </w:r>
    </w:p>
    <w:p w14:paraId="567A9DA1">
      <w:pPr>
        <w:spacing w:line="360" w:lineRule="auto"/>
        <w:ind w:firstLine="420" w:firstLineChars="200"/>
        <w:rPr>
          <w:rFonts w:hint="eastAsia" w:ascii="宋体" w:hAnsi="宋体" w:eastAsia="宋体" w:cs="Times New Roman"/>
          <w:color w:val="auto"/>
          <w:szCs w:val="20"/>
          <w:highlight w:val="none"/>
          <w:lang w:val="en-US" w:eastAsia="zh-CN"/>
        </w:rPr>
      </w:pPr>
      <w:r>
        <w:rPr>
          <w:rFonts w:hint="eastAsia" w:ascii="宋体" w:hAnsi="宋体" w:cs="Times New Roman"/>
          <w:color w:val="auto"/>
          <w:szCs w:val="20"/>
          <w:highlight w:val="none"/>
          <w:lang w:val="en-US" w:eastAsia="zh-CN"/>
        </w:rPr>
        <w:t>②</w:t>
      </w:r>
      <w:r>
        <w:rPr>
          <w:rFonts w:hint="eastAsia" w:ascii="宋体" w:hAnsi="宋体" w:eastAsia="宋体" w:cs="Times New Roman"/>
          <w:color w:val="auto"/>
          <w:szCs w:val="20"/>
          <w:highlight w:val="none"/>
          <w:lang w:val="en-US" w:eastAsia="zh-CN"/>
        </w:rPr>
        <w:t>在中国境内生产的组件成本占比达到规定比例</w:t>
      </w:r>
    </w:p>
    <w:p w14:paraId="56DB0C86">
      <w:pPr>
        <w:spacing w:line="360" w:lineRule="auto"/>
        <w:ind w:firstLine="420" w:firstLineChars="200"/>
        <w:rPr>
          <w:rFonts w:hint="eastAsia" w:ascii="宋体" w:hAnsi="宋体" w:eastAsia="宋体" w:cs="Times New Roman"/>
          <w:color w:val="auto"/>
          <w:szCs w:val="20"/>
          <w:highlight w:val="none"/>
          <w:lang w:val="en-US" w:eastAsia="zh-CN"/>
        </w:rPr>
      </w:pPr>
      <w:r>
        <w:rPr>
          <w:rFonts w:hint="eastAsia" w:ascii="宋体" w:hAnsi="宋体" w:eastAsia="宋体" w:cs="Times New Roman"/>
          <w:color w:val="auto"/>
          <w:szCs w:val="20"/>
          <w:highlight w:val="none"/>
          <w:lang w:val="en-US" w:eastAsia="zh-CN"/>
        </w:rPr>
        <w:t>产品在中国境内生产的组件成本占比应当达到规定比例，计算公式为：</w:t>
      </w:r>
    </w:p>
    <w:p w14:paraId="5A31CE7A">
      <w:pPr>
        <w:spacing w:line="360" w:lineRule="auto"/>
        <w:rPr>
          <w:rFonts w:hint="eastAsia" w:ascii="宋体" w:hAnsi="宋体" w:eastAsia="宋体" w:cs="Times New Roman"/>
          <w:color w:val="auto"/>
          <w:szCs w:val="20"/>
          <w:highlight w:val="none"/>
          <w:lang w:val="en-US" w:eastAsia="zh-CN"/>
        </w:rPr>
      </w:pPr>
      <w:r>
        <w:rPr>
          <w:rFonts w:hint="eastAsia" w:ascii="宋体" w:hAnsi="宋体" w:eastAsia="宋体" w:cs="Times New Roman"/>
          <w:color w:val="auto"/>
          <w:szCs w:val="20"/>
          <w:highlight w:val="none"/>
          <w:lang w:val="en-US" w:eastAsia="zh-CN"/>
        </w:rPr>
        <w:t xml:space="preserve">         </w:t>
      </w:r>
      <w:r>
        <w:rPr>
          <w:rFonts w:hint="eastAsia" w:ascii="宋体" w:hAnsi="宋体" w:eastAsia="宋体" w:cs="Times New Roman"/>
          <w:color w:val="auto"/>
          <w:szCs w:val="20"/>
          <w:highlight w:val="none"/>
          <w:lang w:val="en-US" w:eastAsia="zh-CN"/>
        </w:rPr>
        <w:drawing>
          <wp:inline distT="0" distB="0" distL="114300" distR="114300">
            <wp:extent cx="2733675" cy="390525"/>
            <wp:effectExtent l="0" t="0" r="9525" b="9525"/>
            <wp:docPr id="8"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 descr="IMG_256"/>
                    <pic:cNvPicPr>
                      <a:picLocks noChangeAspect="1"/>
                    </pic:cNvPicPr>
                  </pic:nvPicPr>
                  <pic:blipFill>
                    <a:blip r:embed="rId17"/>
                    <a:stretch>
                      <a:fillRect/>
                    </a:stretch>
                  </pic:blipFill>
                  <pic:spPr>
                    <a:xfrm>
                      <a:off x="0" y="0"/>
                      <a:ext cx="2733675" cy="390525"/>
                    </a:xfrm>
                    <a:prstGeom prst="rect">
                      <a:avLst/>
                    </a:prstGeom>
                    <a:noFill/>
                    <a:ln w="9525">
                      <a:noFill/>
                    </a:ln>
                  </pic:spPr>
                </pic:pic>
              </a:graphicData>
            </a:graphic>
          </wp:inline>
        </w:drawing>
      </w:r>
    </w:p>
    <w:p w14:paraId="5966EDA1">
      <w:pPr>
        <w:spacing w:line="360" w:lineRule="auto"/>
        <w:ind w:firstLine="420" w:firstLineChars="200"/>
        <w:rPr>
          <w:rFonts w:hint="eastAsia" w:ascii="宋体" w:hAnsi="宋体" w:eastAsia="宋体" w:cs="Times New Roman"/>
          <w:color w:val="auto"/>
          <w:szCs w:val="20"/>
          <w:highlight w:val="none"/>
          <w:lang w:val="en-US" w:eastAsia="zh-CN"/>
        </w:rPr>
      </w:pPr>
      <w:r>
        <w:rPr>
          <w:rFonts w:hint="eastAsia" w:ascii="宋体" w:hAnsi="宋体" w:eastAsia="宋体" w:cs="Times New Roman"/>
          <w:color w:val="auto"/>
          <w:szCs w:val="20"/>
          <w:highlight w:val="none"/>
          <w:lang w:val="en-US" w:eastAsia="zh-CN"/>
        </w:rPr>
        <w:t>财政部会同有关行业主管部门，分产品确定在中国境内生产的组件成本占比应当达到的规定比例。在分产品的中国境内生产的组件成本占比相关要求实施前，符合34.4第</w:t>
      </w:r>
      <w:r>
        <w:rPr>
          <w:rFonts w:hint="eastAsia" w:ascii="宋体" w:hAnsi="宋体" w:cs="Times New Roman"/>
          <w:color w:val="auto"/>
          <w:szCs w:val="20"/>
          <w:highlight w:val="none"/>
          <w:lang w:val="en-US" w:eastAsia="zh-CN"/>
        </w:rPr>
        <w:t>①</w:t>
      </w:r>
      <w:r>
        <w:rPr>
          <w:rFonts w:hint="eastAsia" w:ascii="宋体" w:hAnsi="宋体" w:eastAsia="宋体" w:cs="Times New Roman"/>
          <w:color w:val="auto"/>
          <w:szCs w:val="20"/>
          <w:highlight w:val="none"/>
          <w:lang w:val="en-US" w:eastAsia="zh-CN"/>
        </w:rPr>
        <w:t>项条件的产品在政府采购活动中视同本国产品。</w:t>
      </w:r>
    </w:p>
    <w:p w14:paraId="738C4970">
      <w:pPr>
        <w:spacing w:line="360" w:lineRule="auto"/>
        <w:ind w:firstLine="420" w:firstLineChars="200"/>
        <w:rPr>
          <w:rFonts w:hint="eastAsia" w:ascii="宋体" w:hAnsi="宋体" w:eastAsia="宋体" w:cs="Times New Roman"/>
          <w:color w:val="auto"/>
          <w:szCs w:val="20"/>
          <w:highlight w:val="none"/>
          <w:lang w:val="en-US" w:eastAsia="zh-CN"/>
        </w:rPr>
      </w:pPr>
      <w:r>
        <w:rPr>
          <w:rFonts w:hint="eastAsia" w:ascii="宋体" w:hAnsi="宋体" w:cs="Times New Roman"/>
          <w:color w:val="auto"/>
          <w:szCs w:val="20"/>
          <w:highlight w:val="none"/>
          <w:lang w:val="en-US" w:eastAsia="zh-CN"/>
        </w:rPr>
        <w:t>③</w:t>
      </w:r>
      <w:r>
        <w:rPr>
          <w:rFonts w:hint="eastAsia" w:ascii="宋体" w:hAnsi="宋体" w:eastAsia="宋体" w:cs="Times New Roman"/>
          <w:color w:val="auto"/>
          <w:szCs w:val="20"/>
          <w:highlight w:val="none"/>
          <w:lang w:val="en-US" w:eastAsia="zh-CN"/>
        </w:rPr>
        <w:t>特定产品的关键组件、关键工序符合相关要求</w:t>
      </w:r>
    </w:p>
    <w:p w14:paraId="65BFA6E8">
      <w:pPr>
        <w:spacing w:line="360" w:lineRule="auto"/>
        <w:ind w:firstLine="420" w:firstLineChars="200"/>
        <w:rPr>
          <w:rFonts w:hint="eastAsia" w:ascii="宋体" w:hAnsi="宋体" w:eastAsia="宋体" w:cs="Times New Roman"/>
          <w:color w:val="auto"/>
          <w:szCs w:val="20"/>
          <w:highlight w:val="none"/>
        </w:rPr>
      </w:pPr>
      <w:r>
        <w:rPr>
          <w:rFonts w:hint="eastAsia" w:ascii="宋体" w:hAnsi="宋体" w:eastAsia="宋体" w:cs="Times New Roman"/>
          <w:color w:val="auto"/>
          <w:szCs w:val="20"/>
          <w:highlight w:val="none"/>
          <w:lang w:val="en-US" w:eastAsia="zh-CN"/>
        </w:rPr>
        <w:t>对特定产品，在符合34.4第</w:t>
      </w:r>
      <w:r>
        <w:rPr>
          <w:rFonts w:hint="eastAsia" w:ascii="宋体" w:hAnsi="宋体" w:cs="Times New Roman"/>
          <w:color w:val="auto"/>
          <w:szCs w:val="20"/>
          <w:highlight w:val="none"/>
          <w:lang w:val="en-US" w:eastAsia="zh-CN"/>
        </w:rPr>
        <w:t>①</w:t>
      </w:r>
      <w:r>
        <w:rPr>
          <w:rFonts w:hint="eastAsia" w:ascii="宋体" w:hAnsi="宋体" w:eastAsia="宋体" w:cs="Times New Roman"/>
          <w:color w:val="auto"/>
          <w:szCs w:val="20"/>
          <w:highlight w:val="none"/>
          <w:lang w:val="en-US" w:eastAsia="zh-CN"/>
        </w:rPr>
        <w:t>项和第</w:t>
      </w:r>
      <w:r>
        <w:rPr>
          <w:rFonts w:hint="eastAsia" w:ascii="宋体" w:hAnsi="宋体" w:cs="Times New Roman"/>
          <w:color w:val="auto"/>
          <w:szCs w:val="20"/>
          <w:highlight w:val="none"/>
          <w:lang w:val="en-US" w:eastAsia="zh-CN"/>
        </w:rPr>
        <w:t>②</w:t>
      </w:r>
      <w:r>
        <w:rPr>
          <w:rFonts w:hint="eastAsia" w:ascii="宋体" w:hAnsi="宋体" w:eastAsia="宋体" w:cs="Times New Roman"/>
          <w:color w:val="auto"/>
          <w:szCs w:val="20"/>
          <w:highlight w:val="none"/>
          <w:lang w:val="en-US" w:eastAsia="zh-CN"/>
        </w:rPr>
        <w:t>项条件的基础上，应当符合财政部会同有关行业主管部门确定的其关键组件、关键工序在中国境内生产、完成等要求。</w:t>
      </w:r>
    </w:p>
    <w:p w14:paraId="1C9B04F1">
      <w:pPr>
        <w:spacing w:line="360" w:lineRule="auto"/>
        <w:ind w:firstLine="420" w:firstLineChars="200"/>
        <w:rPr>
          <w:rFonts w:hint="eastAsia" w:ascii="宋体" w:hAnsi="宋体" w:eastAsia="宋体" w:cs="Times New Roman"/>
          <w:color w:val="auto"/>
          <w:szCs w:val="20"/>
          <w:highlight w:val="none"/>
        </w:rPr>
      </w:pPr>
      <w:r>
        <w:rPr>
          <w:rFonts w:hint="eastAsia" w:ascii="宋体" w:hAnsi="宋体" w:eastAsia="宋体" w:cs="Times New Roman"/>
          <w:color w:val="auto"/>
          <w:szCs w:val="20"/>
          <w:highlight w:val="none"/>
          <w:lang w:val="en-US" w:eastAsia="zh-CN"/>
        </w:rPr>
        <w:t xml:space="preserve">（4）认真审查有关证明文件。 </w:t>
      </w:r>
    </w:p>
    <w:p w14:paraId="02930E8A">
      <w:pPr>
        <w:spacing w:line="360" w:lineRule="auto"/>
        <w:ind w:firstLine="420" w:firstLineChars="200"/>
        <w:rPr>
          <w:rFonts w:hint="eastAsia" w:ascii="宋体" w:hAnsi="宋体" w:eastAsia="宋体" w:cs="Times New Roman"/>
          <w:color w:val="auto"/>
          <w:szCs w:val="20"/>
          <w:highlight w:val="none"/>
          <w:lang w:val="en-US" w:eastAsia="zh-CN"/>
        </w:rPr>
      </w:pPr>
      <w:r>
        <w:rPr>
          <w:rFonts w:hint="eastAsia" w:ascii="宋体" w:hAnsi="宋体" w:eastAsia="宋体" w:cs="Times New Roman"/>
          <w:color w:val="auto"/>
          <w:szCs w:val="20"/>
          <w:highlight w:val="none"/>
          <w:lang w:val="en-US" w:eastAsia="zh-CN"/>
        </w:rPr>
        <w:t>采购人应当在采购文件中明确对供应商所出具的《关于符合本国产品标准的声明函》（以下简称《声明函》）的完整性、准确性进行审查的要求，评审中发现《声明函》内容含义不明确、同类事项与投标（响应）文件表述不一致或者有明显文字错误等情况的，应当以书面形式要求供应商作出必要的澄清、说明或者补正。经澄清、说明或者补正的《声明函》仍然不符合《通知》规定要求的，供应商提供的相关产品视为不符合本国产品标准。</w:t>
      </w:r>
    </w:p>
    <w:p w14:paraId="48680421">
      <w:pPr>
        <w:rPr>
          <w:rFonts w:hint="eastAsia" w:ascii="宋体" w:hAnsi="宋体" w:eastAsia="宋体" w:cs="宋体"/>
          <w:color w:val="auto"/>
          <w:kern w:val="0"/>
          <w:sz w:val="32"/>
          <w:szCs w:val="32"/>
          <w:highlight w:val="none"/>
        </w:rPr>
      </w:pPr>
      <w:r>
        <w:rPr>
          <w:rFonts w:hint="eastAsia" w:ascii="宋体" w:hAnsi="宋体" w:eastAsia="宋体" w:cs="宋体"/>
          <w:color w:val="auto"/>
          <w:kern w:val="0"/>
          <w:sz w:val="32"/>
          <w:szCs w:val="32"/>
          <w:highlight w:val="none"/>
        </w:rPr>
        <w:br w:type="page"/>
      </w:r>
    </w:p>
    <w:p w14:paraId="75FF2DE4">
      <w:pPr>
        <w:snapToGrid w:val="0"/>
        <w:rPr>
          <w:rFonts w:hint="eastAsia" w:ascii="宋体" w:hAnsi="宋体" w:eastAsia="宋体" w:cs="宋体"/>
          <w:color w:val="auto"/>
          <w:kern w:val="0"/>
          <w:sz w:val="32"/>
          <w:szCs w:val="32"/>
          <w:highlight w:val="none"/>
        </w:rPr>
      </w:pPr>
      <w:r>
        <w:rPr>
          <w:rFonts w:hint="eastAsia" w:ascii="宋体" w:hAnsi="宋体" w:eastAsia="宋体" w:cs="宋体"/>
          <w:color w:val="auto"/>
          <w:kern w:val="0"/>
          <w:sz w:val="32"/>
          <w:szCs w:val="32"/>
          <w:highlight w:val="none"/>
        </w:rPr>
        <w:t>附件1：</w:t>
      </w:r>
    </w:p>
    <w:p w14:paraId="1700C7A2">
      <w:pPr>
        <w:widowControl/>
        <w:shd w:val="clear" w:color="auto" w:fill="FFFFFF"/>
        <w:spacing w:line="480" w:lineRule="atLeast"/>
        <w:jc w:val="center"/>
        <w:rPr>
          <w:rFonts w:ascii="宋体" w:hAnsi="宋体" w:cs="宋体"/>
          <w:b/>
          <w:bCs/>
          <w:color w:val="auto"/>
          <w:kern w:val="0"/>
          <w:sz w:val="28"/>
          <w:szCs w:val="28"/>
          <w:highlight w:val="none"/>
        </w:rPr>
      </w:pPr>
      <w:r>
        <w:rPr>
          <w:rFonts w:hint="eastAsia" w:ascii="宋体" w:hAnsi="宋体" w:cs="宋体"/>
          <w:b/>
          <w:bCs/>
          <w:color w:val="auto"/>
          <w:kern w:val="0"/>
          <w:sz w:val="28"/>
          <w:szCs w:val="28"/>
          <w:highlight w:val="none"/>
          <w:lang w:val="en-US" w:eastAsia="zh-CN"/>
        </w:rPr>
        <w:t>政府</w:t>
      </w:r>
      <w:r>
        <w:rPr>
          <w:rFonts w:hint="eastAsia" w:ascii="宋体" w:hAnsi="宋体" w:cs="宋体"/>
          <w:b/>
          <w:bCs/>
          <w:color w:val="auto"/>
          <w:kern w:val="0"/>
          <w:sz w:val="28"/>
          <w:szCs w:val="28"/>
          <w:highlight w:val="none"/>
        </w:rPr>
        <w:t>采购项目合同验收书（格式）</w:t>
      </w:r>
    </w:p>
    <w:p w14:paraId="3E4CB839">
      <w:pPr>
        <w:widowControl/>
        <w:shd w:val="clear" w:color="auto" w:fill="FFFFFF"/>
        <w:snapToGrid w:val="0"/>
        <w:spacing w:line="320" w:lineRule="atLeast"/>
        <w:ind w:firstLine="480"/>
        <w:jc w:val="left"/>
        <w:rPr>
          <w:rFonts w:ascii="宋体" w:hAnsi="宋体" w:cs="宋体"/>
          <w:color w:val="auto"/>
          <w:kern w:val="0"/>
          <w:szCs w:val="21"/>
          <w:highlight w:val="none"/>
        </w:rPr>
      </w:pPr>
    </w:p>
    <w:p w14:paraId="05775F85">
      <w:pPr>
        <w:widowControl/>
        <w:shd w:val="clear" w:color="auto" w:fill="FFFFFF"/>
        <w:snapToGrid w:val="0"/>
        <w:spacing w:line="320" w:lineRule="atLeast"/>
        <w:ind w:firstLine="480"/>
        <w:jc w:val="left"/>
        <w:rPr>
          <w:rFonts w:ascii="宋体" w:hAnsi="宋体" w:cs="宋体"/>
          <w:color w:val="auto"/>
          <w:kern w:val="0"/>
          <w:szCs w:val="21"/>
          <w:highlight w:val="none"/>
        </w:rPr>
      </w:pPr>
      <w:r>
        <w:rPr>
          <w:rFonts w:hint="eastAsia" w:ascii="宋体" w:hAnsi="宋体" w:cs="宋体"/>
          <w:color w:val="auto"/>
          <w:kern w:val="0"/>
          <w:szCs w:val="21"/>
          <w:highlight w:val="none"/>
        </w:rPr>
        <w:t>根据</w:t>
      </w:r>
      <w:r>
        <w:rPr>
          <w:rFonts w:hint="eastAsia" w:ascii="宋体" w:hAnsi="宋体" w:cs="宋体"/>
          <w:color w:val="auto"/>
          <w:kern w:val="0"/>
          <w:szCs w:val="21"/>
          <w:highlight w:val="none"/>
          <w:lang w:val="en-US" w:eastAsia="zh-CN"/>
        </w:rPr>
        <w:t>政府</w:t>
      </w:r>
      <w:r>
        <w:rPr>
          <w:rFonts w:hint="eastAsia" w:ascii="宋体" w:hAnsi="宋体" w:cs="宋体"/>
          <w:color w:val="auto"/>
          <w:kern w:val="0"/>
          <w:szCs w:val="21"/>
          <w:highlight w:val="none"/>
        </w:rPr>
        <w:t>采购项目（</w:t>
      </w:r>
      <w:r>
        <w:rPr>
          <w:rFonts w:hint="eastAsia" w:ascii="宋体" w:hAnsi="宋体" w:cs="宋体"/>
          <w:color w:val="auto"/>
          <w:kern w:val="0"/>
          <w:szCs w:val="21"/>
          <w:highlight w:val="none"/>
          <w:u w:val="single"/>
        </w:rPr>
        <w:t>采购合同编号：</w:t>
      </w:r>
      <w:r>
        <w:rPr>
          <w:rFonts w:hint="eastAsia" w:ascii="宋体" w:hAnsi="宋体" w:cs="宋体"/>
          <w:color w:val="auto"/>
          <w:kern w:val="0"/>
          <w:szCs w:val="21"/>
          <w:highlight w:val="none"/>
          <w:u w:val="single"/>
        </w:rPr>
        <w:softHyphen/>
      </w:r>
      <w:r>
        <w:rPr>
          <w:rFonts w:hint="eastAsia" w:ascii="宋体" w:hAnsi="宋体" w:cs="宋体"/>
          <w:color w:val="auto"/>
          <w:kern w:val="0"/>
          <w:szCs w:val="21"/>
          <w:highlight w:val="none"/>
          <w:u w:val="single"/>
        </w:rPr>
        <w:t>   </w:t>
      </w:r>
      <w:r>
        <w:rPr>
          <w:rFonts w:hint="eastAsia" w:ascii="宋体" w:hAnsi="宋体" w:cs="宋体"/>
          <w:color w:val="auto"/>
          <w:kern w:val="0"/>
          <w:szCs w:val="21"/>
          <w:highlight w:val="none"/>
        </w:rPr>
        <w:t>）的约定，我单位对（</w:t>
      </w:r>
      <w:r>
        <w:rPr>
          <w:rFonts w:hint="eastAsia" w:ascii="宋体" w:hAnsi="宋体" w:cs="宋体"/>
          <w:color w:val="auto"/>
          <w:kern w:val="0"/>
          <w:szCs w:val="21"/>
          <w:highlight w:val="none"/>
          <w:u w:val="single"/>
        </w:rPr>
        <w:t xml:space="preserve"> 项目名称   </w:t>
      </w:r>
      <w:r>
        <w:rPr>
          <w:rFonts w:hint="eastAsia" w:ascii="宋体" w:hAnsi="宋体" w:cs="宋体"/>
          <w:color w:val="auto"/>
          <w:kern w:val="0"/>
          <w:szCs w:val="21"/>
          <w:highlight w:val="none"/>
        </w:rPr>
        <w:t>）采购项目中标（或成交）供应商（</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u w:val="single"/>
          <w:lang w:val="en-US" w:eastAsia="zh-CN"/>
        </w:rPr>
        <w:t>供应商</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）提供的货物（或工程、服务）进行了验收，验收情况如下：</w:t>
      </w:r>
    </w:p>
    <w:tbl>
      <w:tblPr>
        <w:tblStyle w:val="33"/>
        <w:tblW w:w="8642" w:type="dxa"/>
        <w:jc w:val="center"/>
        <w:tblLayout w:type="fixed"/>
        <w:tblCellMar>
          <w:top w:w="0" w:type="dxa"/>
          <w:left w:w="0" w:type="dxa"/>
          <w:bottom w:w="0" w:type="dxa"/>
          <w:right w:w="0" w:type="dxa"/>
        </w:tblCellMar>
      </w:tblPr>
      <w:tblGrid>
        <w:gridCol w:w="1578"/>
        <w:gridCol w:w="1681"/>
        <w:gridCol w:w="664"/>
        <w:gridCol w:w="2017"/>
        <w:gridCol w:w="186"/>
        <w:gridCol w:w="720"/>
        <w:gridCol w:w="1796"/>
      </w:tblGrid>
      <w:tr w14:paraId="1C938E27">
        <w:tblPrEx>
          <w:tblCellMar>
            <w:top w:w="0" w:type="dxa"/>
            <w:left w:w="0" w:type="dxa"/>
            <w:bottom w:w="0" w:type="dxa"/>
            <w:right w:w="0" w:type="dxa"/>
          </w:tblCellMar>
        </w:tblPrEx>
        <w:trPr>
          <w:trHeight w:val="497" w:hRule="atLeast"/>
          <w:jc w:val="center"/>
        </w:trPr>
        <w:tc>
          <w:tcPr>
            <w:tcW w:w="3259" w:type="dxa"/>
            <w:gridSpan w:val="2"/>
            <w:tcBorders>
              <w:top w:val="single" w:color="auto" w:sz="8" w:space="0"/>
              <w:left w:val="single" w:color="auto" w:sz="8" w:space="0"/>
              <w:bottom w:val="single" w:color="auto" w:sz="8" w:space="0"/>
              <w:right w:val="single" w:color="auto" w:sz="8" w:space="0"/>
            </w:tcBorders>
            <w:noWrap w:val="0"/>
            <w:vAlign w:val="center"/>
          </w:tcPr>
          <w:p w14:paraId="3541C68E">
            <w:pPr>
              <w:widowControl/>
              <w:snapToGrid w:val="0"/>
              <w:spacing w:before="100" w:beforeAutospacing="1" w:after="100" w:afterAutospacing="1" w:line="320" w:lineRule="atLeast"/>
              <w:ind w:firstLine="5"/>
              <w:jc w:val="center"/>
              <w:rPr>
                <w:rFonts w:ascii="宋体" w:hAnsi="宋体" w:cs="宋体"/>
                <w:color w:val="auto"/>
                <w:kern w:val="0"/>
                <w:szCs w:val="21"/>
                <w:highlight w:val="none"/>
              </w:rPr>
            </w:pPr>
            <w:r>
              <w:rPr>
                <w:rFonts w:hint="eastAsia" w:ascii="宋体" w:hAnsi="宋体" w:cs="宋体"/>
                <w:color w:val="auto"/>
                <w:kern w:val="0"/>
                <w:szCs w:val="21"/>
                <w:highlight w:val="none"/>
              </w:rPr>
              <w:t>验收方式：</w:t>
            </w:r>
          </w:p>
        </w:tc>
        <w:tc>
          <w:tcPr>
            <w:tcW w:w="5383" w:type="dxa"/>
            <w:gridSpan w:val="5"/>
            <w:tcBorders>
              <w:top w:val="single" w:color="auto" w:sz="8" w:space="0"/>
              <w:left w:val="nil"/>
              <w:bottom w:val="single" w:color="auto" w:sz="8" w:space="0"/>
              <w:right w:val="single" w:color="auto" w:sz="8" w:space="0"/>
            </w:tcBorders>
            <w:noWrap w:val="0"/>
            <w:vAlign w:val="center"/>
          </w:tcPr>
          <w:p w14:paraId="74EFBB35">
            <w:pPr>
              <w:widowControl/>
              <w:snapToGrid w:val="0"/>
              <w:spacing w:before="100" w:beforeAutospacing="1" w:after="100" w:afterAutospacing="1" w:line="320" w:lineRule="atLeast"/>
              <w:ind w:firstLine="480"/>
              <w:jc w:val="center"/>
              <w:rPr>
                <w:rFonts w:ascii="宋体" w:hAnsi="宋体" w:cs="宋体"/>
                <w:color w:val="auto"/>
                <w:kern w:val="0"/>
                <w:szCs w:val="21"/>
                <w:highlight w:val="none"/>
              </w:rPr>
            </w:pPr>
            <w:r>
              <w:rPr>
                <w:rFonts w:hint="eastAsia" w:ascii="宋体" w:hAnsi="宋体" w:cs="宋体"/>
                <w:color w:val="auto"/>
                <w:kern w:val="0"/>
                <w:szCs w:val="21"/>
                <w:highlight w:val="none"/>
              </w:rPr>
              <w:t>□自行验收        □委托验收</w:t>
            </w:r>
          </w:p>
        </w:tc>
      </w:tr>
      <w:tr w14:paraId="4151AB8D">
        <w:tblPrEx>
          <w:tblCellMar>
            <w:top w:w="0" w:type="dxa"/>
            <w:left w:w="0" w:type="dxa"/>
            <w:bottom w:w="0" w:type="dxa"/>
            <w:right w:w="0" w:type="dxa"/>
          </w:tblCellMar>
        </w:tblPrEx>
        <w:trPr>
          <w:trHeight w:val="622" w:hRule="atLeast"/>
          <w:jc w:val="center"/>
        </w:trPr>
        <w:tc>
          <w:tcPr>
            <w:tcW w:w="1578" w:type="dxa"/>
            <w:tcBorders>
              <w:top w:val="nil"/>
              <w:left w:val="single" w:color="auto" w:sz="8" w:space="0"/>
              <w:bottom w:val="single" w:color="auto" w:sz="8" w:space="0"/>
              <w:right w:val="single" w:color="auto" w:sz="8" w:space="0"/>
            </w:tcBorders>
            <w:noWrap w:val="0"/>
            <w:vAlign w:val="center"/>
          </w:tcPr>
          <w:p w14:paraId="0034B4BC">
            <w:pPr>
              <w:widowControl/>
              <w:snapToGrid w:val="0"/>
              <w:spacing w:before="100" w:beforeAutospacing="1" w:after="100" w:afterAutospacing="1" w:line="320" w:lineRule="atLeast"/>
              <w:ind w:firstLine="2"/>
              <w:jc w:val="center"/>
              <w:rPr>
                <w:rFonts w:ascii="宋体" w:hAnsi="宋体" w:cs="宋体"/>
                <w:color w:val="auto"/>
                <w:kern w:val="0"/>
                <w:szCs w:val="21"/>
                <w:highlight w:val="none"/>
              </w:rPr>
            </w:pPr>
            <w:r>
              <w:rPr>
                <w:rFonts w:hint="eastAsia" w:ascii="宋体" w:hAnsi="宋体" w:cs="宋体"/>
                <w:color w:val="auto"/>
                <w:kern w:val="0"/>
                <w:szCs w:val="21"/>
                <w:highlight w:val="none"/>
              </w:rPr>
              <w:t>序号</w:t>
            </w:r>
          </w:p>
        </w:tc>
        <w:tc>
          <w:tcPr>
            <w:tcW w:w="1681" w:type="dxa"/>
            <w:tcBorders>
              <w:top w:val="nil"/>
              <w:left w:val="nil"/>
              <w:bottom w:val="single" w:color="auto" w:sz="8" w:space="0"/>
              <w:right w:val="single" w:color="auto" w:sz="8" w:space="0"/>
            </w:tcBorders>
            <w:noWrap w:val="0"/>
            <w:vAlign w:val="center"/>
          </w:tcPr>
          <w:p w14:paraId="25E21F3B">
            <w:pPr>
              <w:widowControl/>
              <w:snapToGrid w:val="0"/>
              <w:spacing w:before="100" w:beforeAutospacing="1" w:after="100" w:afterAutospacing="1" w:line="320" w:lineRule="atLeast"/>
              <w:ind w:firstLine="2"/>
              <w:jc w:val="center"/>
              <w:rPr>
                <w:rFonts w:ascii="宋体" w:hAnsi="宋体" w:cs="宋体"/>
                <w:color w:val="auto"/>
                <w:kern w:val="0"/>
                <w:szCs w:val="21"/>
                <w:highlight w:val="none"/>
              </w:rPr>
            </w:pPr>
            <w:r>
              <w:rPr>
                <w:rFonts w:hint="eastAsia" w:ascii="宋体" w:hAnsi="宋体" w:cs="宋体"/>
                <w:color w:val="auto"/>
                <w:kern w:val="0"/>
                <w:szCs w:val="21"/>
                <w:highlight w:val="none"/>
              </w:rPr>
              <w:t>名 称</w:t>
            </w:r>
          </w:p>
        </w:tc>
        <w:tc>
          <w:tcPr>
            <w:tcW w:w="2681" w:type="dxa"/>
            <w:gridSpan w:val="2"/>
            <w:tcBorders>
              <w:top w:val="nil"/>
              <w:left w:val="nil"/>
              <w:bottom w:val="single" w:color="auto" w:sz="8" w:space="0"/>
              <w:right w:val="single" w:color="auto" w:sz="8" w:space="0"/>
            </w:tcBorders>
            <w:noWrap w:val="0"/>
            <w:vAlign w:val="center"/>
          </w:tcPr>
          <w:p w14:paraId="2592E8C8">
            <w:pPr>
              <w:widowControl/>
              <w:snapToGrid w:val="0"/>
              <w:spacing w:before="100" w:beforeAutospacing="1" w:after="100" w:afterAutospacing="1" w:line="320" w:lineRule="atLeast"/>
              <w:ind w:firstLine="2"/>
              <w:jc w:val="center"/>
              <w:rPr>
                <w:rFonts w:ascii="宋体" w:hAnsi="宋体" w:cs="宋体"/>
                <w:color w:val="auto"/>
                <w:kern w:val="0"/>
                <w:szCs w:val="21"/>
                <w:highlight w:val="none"/>
              </w:rPr>
            </w:pPr>
            <w:r>
              <w:rPr>
                <w:rFonts w:hint="eastAsia" w:ascii="宋体" w:hAnsi="宋体" w:cs="宋体"/>
                <w:color w:val="auto"/>
                <w:kern w:val="0"/>
                <w:szCs w:val="21"/>
                <w:highlight w:val="none"/>
              </w:rPr>
              <w:t>货物型号规格、标准及配置等（或服务内容、标准）</w:t>
            </w:r>
          </w:p>
        </w:tc>
        <w:tc>
          <w:tcPr>
            <w:tcW w:w="906" w:type="dxa"/>
            <w:gridSpan w:val="2"/>
            <w:tcBorders>
              <w:top w:val="nil"/>
              <w:left w:val="nil"/>
              <w:bottom w:val="single" w:color="auto" w:sz="8" w:space="0"/>
              <w:right w:val="single" w:color="auto" w:sz="8" w:space="0"/>
            </w:tcBorders>
            <w:noWrap w:val="0"/>
            <w:vAlign w:val="center"/>
          </w:tcPr>
          <w:p w14:paraId="62E57609">
            <w:pPr>
              <w:widowControl/>
              <w:snapToGrid w:val="0"/>
              <w:spacing w:before="100" w:beforeAutospacing="1" w:after="100" w:afterAutospacing="1" w:line="320" w:lineRule="atLeast"/>
              <w:jc w:val="center"/>
              <w:rPr>
                <w:rFonts w:ascii="宋体" w:hAnsi="宋体" w:cs="宋体"/>
                <w:color w:val="auto"/>
                <w:kern w:val="0"/>
                <w:szCs w:val="21"/>
                <w:highlight w:val="none"/>
              </w:rPr>
            </w:pPr>
            <w:r>
              <w:rPr>
                <w:rFonts w:hint="eastAsia" w:ascii="宋体" w:hAnsi="宋体" w:cs="宋体"/>
                <w:color w:val="auto"/>
                <w:kern w:val="0"/>
                <w:szCs w:val="21"/>
                <w:highlight w:val="none"/>
              </w:rPr>
              <w:t>数量</w:t>
            </w:r>
          </w:p>
        </w:tc>
        <w:tc>
          <w:tcPr>
            <w:tcW w:w="1796" w:type="dxa"/>
            <w:tcBorders>
              <w:top w:val="nil"/>
              <w:left w:val="nil"/>
              <w:bottom w:val="single" w:color="auto" w:sz="8" w:space="0"/>
              <w:right w:val="single" w:color="auto" w:sz="8" w:space="0"/>
            </w:tcBorders>
            <w:noWrap w:val="0"/>
            <w:vAlign w:val="center"/>
          </w:tcPr>
          <w:p w14:paraId="018F6711">
            <w:pPr>
              <w:widowControl/>
              <w:snapToGrid w:val="0"/>
              <w:spacing w:before="100" w:beforeAutospacing="1" w:after="100" w:afterAutospacing="1" w:line="320" w:lineRule="atLeast"/>
              <w:ind w:firstLine="2"/>
              <w:jc w:val="center"/>
              <w:rPr>
                <w:rFonts w:ascii="宋体" w:hAnsi="宋体" w:cs="宋体"/>
                <w:color w:val="auto"/>
                <w:kern w:val="0"/>
                <w:szCs w:val="21"/>
                <w:highlight w:val="none"/>
              </w:rPr>
            </w:pPr>
            <w:r>
              <w:rPr>
                <w:rFonts w:hint="eastAsia" w:ascii="宋体" w:hAnsi="宋体" w:cs="宋体"/>
                <w:color w:val="auto"/>
                <w:kern w:val="0"/>
                <w:szCs w:val="21"/>
                <w:highlight w:val="none"/>
              </w:rPr>
              <w:t>金 额</w:t>
            </w:r>
          </w:p>
        </w:tc>
      </w:tr>
      <w:tr w14:paraId="5D7BE60B">
        <w:tblPrEx>
          <w:tblCellMar>
            <w:top w:w="0" w:type="dxa"/>
            <w:left w:w="0" w:type="dxa"/>
            <w:bottom w:w="0" w:type="dxa"/>
            <w:right w:w="0" w:type="dxa"/>
          </w:tblCellMar>
        </w:tblPrEx>
        <w:trPr>
          <w:trHeight w:val="487" w:hRule="atLeast"/>
          <w:jc w:val="center"/>
        </w:trPr>
        <w:tc>
          <w:tcPr>
            <w:tcW w:w="1578" w:type="dxa"/>
            <w:tcBorders>
              <w:top w:val="nil"/>
              <w:left w:val="single" w:color="auto" w:sz="8" w:space="0"/>
              <w:bottom w:val="single" w:color="auto" w:sz="8" w:space="0"/>
              <w:right w:val="single" w:color="auto" w:sz="8" w:space="0"/>
            </w:tcBorders>
            <w:noWrap w:val="0"/>
            <w:vAlign w:val="center"/>
          </w:tcPr>
          <w:p w14:paraId="5C20E3A2">
            <w:pPr>
              <w:widowControl/>
              <w:snapToGrid w:val="0"/>
              <w:spacing w:before="100" w:beforeAutospacing="1" w:after="100" w:afterAutospacing="1" w:line="320" w:lineRule="atLeast"/>
              <w:ind w:firstLine="5"/>
              <w:jc w:val="left"/>
              <w:rPr>
                <w:rFonts w:ascii="宋体" w:hAnsi="宋体" w:cs="宋体"/>
                <w:color w:val="auto"/>
                <w:kern w:val="0"/>
                <w:szCs w:val="21"/>
                <w:highlight w:val="none"/>
              </w:rPr>
            </w:pPr>
            <w:r>
              <w:rPr>
                <w:rFonts w:hint="eastAsia" w:ascii="宋体" w:hAnsi="宋体" w:cs="宋体"/>
                <w:color w:val="auto"/>
                <w:kern w:val="0"/>
                <w:szCs w:val="21"/>
                <w:highlight w:val="none"/>
              </w:rPr>
              <w:t> </w:t>
            </w:r>
          </w:p>
        </w:tc>
        <w:tc>
          <w:tcPr>
            <w:tcW w:w="1681" w:type="dxa"/>
            <w:tcBorders>
              <w:top w:val="nil"/>
              <w:left w:val="nil"/>
              <w:bottom w:val="single" w:color="auto" w:sz="8" w:space="0"/>
              <w:right w:val="single" w:color="auto" w:sz="8" w:space="0"/>
            </w:tcBorders>
            <w:noWrap w:val="0"/>
            <w:vAlign w:val="center"/>
          </w:tcPr>
          <w:p w14:paraId="3FC95CE4">
            <w:pPr>
              <w:widowControl/>
              <w:snapToGrid w:val="0"/>
              <w:spacing w:before="100" w:beforeAutospacing="1" w:after="100" w:afterAutospacing="1" w:line="320" w:lineRule="atLeast"/>
              <w:ind w:firstLine="480"/>
              <w:jc w:val="left"/>
              <w:rPr>
                <w:rFonts w:ascii="宋体" w:hAnsi="宋体" w:cs="宋体"/>
                <w:color w:val="auto"/>
                <w:kern w:val="0"/>
                <w:szCs w:val="21"/>
                <w:highlight w:val="none"/>
              </w:rPr>
            </w:pPr>
            <w:r>
              <w:rPr>
                <w:rFonts w:hint="eastAsia" w:ascii="宋体" w:hAnsi="宋体" w:cs="宋体"/>
                <w:color w:val="auto"/>
                <w:kern w:val="0"/>
                <w:szCs w:val="21"/>
                <w:highlight w:val="none"/>
              </w:rPr>
              <w:t> </w:t>
            </w:r>
          </w:p>
        </w:tc>
        <w:tc>
          <w:tcPr>
            <w:tcW w:w="2681" w:type="dxa"/>
            <w:gridSpan w:val="2"/>
            <w:tcBorders>
              <w:top w:val="nil"/>
              <w:left w:val="nil"/>
              <w:bottom w:val="single" w:color="auto" w:sz="8" w:space="0"/>
              <w:right w:val="single" w:color="auto" w:sz="8" w:space="0"/>
            </w:tcBorders>
            <w:noWrap w:val="0"/>
            <w:vAlign w:val="center"/>
          </w:tcPr>
          <w:p w14:paraId="04597344">
            <w:pPr>
              <w:widowControl/>
              <w:snapToGrid w:val="0"/>
              <w:spacing w:before="100" w:beforeAutospacing="1" w:after="100" w:afterAutospacing="1" w:line="320" w:lineRule="atLeast"/>
              <w:ind w:firstLine="480"/>
              <w:jc w:val="left"/>
              <w:rPr>
                <w:rFonts w:ascii="宋体" w:hAnsi="宋体" w:cs="宋体"/>
                <w:color w:val="auto"/>
                <w:kern w:val="0"/>
                <w:szCs w:val="21"/>
                <w:highlight w:val="none"/>
              </w:rPr>
            </w:pPr>
            <w:r>
              <w:rPr>
                <w:rFonts w:hint="eastAsia" w:ascii="宋体" w:hAnsi="宋体" w:cs="宋体"/>
                <w:color w:val="auto"/>
                <w:kern w:val="0"/>
                <w:szCs w:val="21"/>
                <w:highlight w:val="none"/>
              </w:rPr>
              <w:t> </w:t>
            </w:r>
          </w:p>
        </w:tc>
        <w:tc>
          <w:tcPr>
            <w:tcW w:w="906" w:type="dxa"/>
            <w:gridSpan w:val="2"/>
            <w:tcBorders>
              <w:top w:val="nil"/>
              <w:left w:val="nil"/>
              <w:bottom w:val="single" w:color="auto" w:sz="8" w:space="0"/>
              <w:right w:val="single" w:color="auto" w:sz="8" w:space="0"/>
            </w:tcBorders>
            <w:noWrap w:val="0"/>
            <w:vAlign w:val="center"/>
          </w:tcPr>
          <w:p w14:paraId="4BE92845">
            <w:pPr>
              <w:widowControl/>
              <w:snapToGrid w:val="0"/>
              <w:spacing w:before="100" w:beforeAutospacing="1" w:after="100" w:afterAutospacing="1" w:line="320" w:lineRule="atLeast"/>
              <w:ind w:firstLine="480"/>
              <w:jc w:val="left"/>
              <w:rPr>
                <w:rFonts w:ascii="宋体" w:hAnsi="宋体" w:cs="宋体"/>
                <w:color w:val="auto"/>
                <w:kern w:val="0"/>
                <w:szCs w:val="21"/>
                <w:highlight w:val="none"/>
              </w:rPr>
            </w:pPr>
            <w:r>
              <w:rPr>
                <w:rFonts w:hint="eastAsia" w:ascii="宋体" w:hAnsi="宋体" w:cs="宋体"/>
                <w:color w:val="auto"/>
                <w:kern w:val="0"/>
                <w:szCs w:val="21"/>
                <w:highlight w:val="none"/>
              </w:rPr>
              <w:t> </w:t>
            </w:r>
          </w:p>
        </w:tc>
        <w:tc>
          <w:tcPr>
            <w:tcW w:w="1796" w:type="dxa"/>
            <w:tcBorders>
              <w:top w:val="nil"/>
              <w:left w:val="nil"/>
              <w:bottom w:val="single" w:color="auto" w:sz="8" w:space="0"/>
              <w:right w:val="single" w:color="auto" w:sz="8" w:space="0"/>
            </w:tcBorders>
            <w:noWrap w:val="0"/>
            <w:vAlign w:val="center"/>
          </w:tcPr>
          <w:p w14:paraId="063C1DDC">
            <w:pPr>
              <w:widowControl/>
              <w:snapToGrid w:val="0"/>
              <w:spacing w:before="100" w:beforeAutospacing="1" w:after="100" w:afterAutospacing="1" w:line="320" w:lineRule="atLeast"/>
              <w:ind w:firstLine="480"/>
              <w:jc w:val="left"/>
              <w:rPr>
                <w:rFonts w:ascii="宋体" w:hAnsi="宋体" w:cs="宋体"/>
                <w:color w:val="auto"/>
                <w:kern w:val="0"/>
                <w:szCs w:val="21"/>
                <w:highlight w:val="none"/>
              </w:rPr>
            </w:pPr>
            <w:r>
              <w:rPr>
                <w:rFonts w:hint="eastAsia" w:ascii="宋体" w:hAnsi="宋体" w:cs="宋体"/>
                <w:color w:val="auto"/>
                <w:kern w:val="0"/>
                <w:szCs w:val="21"/>
                <w:highlight w:val="none"/>
              </w:rPr>
              <w:t> </w:t>
            </w:r>
          </w:p>
        </w:tc>
      </w:tr>
      <w:tr w14:paraId="383D3F7E">
        <w:tblPrEx>
          <w:tblCellMar>
            <w:top w:w="0" w:type="dxa"/>
            <w:left w:w="0" w:type="dxa"/>
            <w:bottom w:w="0" w:type="dxa"/>
            <w:right w:w="0" w:type="dxa"/>
          </w:tblCellMar>
        </w:tblPrEx>
        <w:trPr>
          <w:trHeight w:val="487" w:hRule="atLeast"/>
          <w:jc w:val="center"/>
        </w:trPr>
        <w:tc>
          <w:tcPr>
            <w:tcW w:w="1578" w:type="dxa"/>
            <w:tcBorders>
              <w:top w:val="nil"/>
              <w:left w:val="single" w:color="auto" w:sz="8" w:space="0"/>
              <w:bottom w:val="single" w:color="auto" w:sz="8" w:space="0"/>
              <w:right w:val="single" w:color="auto" w:sz="8" w:space="0"/>
            </w:tcBorders>
            <w:noWrap w:val="0"/>
            <w:vAlign w:val="center"/>
          </w:tcPr>
          <w:p w14:paraId="3C7CA259">
            <w:pPr>
              <w:widowControl/>
              <w:snapToGrid w:val="0"/>
              <w:spacing w:before="100" w:beforeAutospacing="1" w:after="100" w:afterAutospacing="1" w:line="320" w:lineRule="atLeast"/>
              <w:ind w:firstLine="480"/>
              <w:jc w:val="left"/>
              <w:rPr>
                <w:rFonts w:ascii="宋体" w:hAnsi="宋体" w:cs="宋体"/>
                <w:color w:val="auto"/>
                <w:kern w:val="0"/>
                <w:szCs w:val="21"/>
                <w:highlight w:val="none"/>
              </w:rPr>
            </w:pPr>
            <w:r>
              <w:rPr>
                <w:rFonts w:hint="eastAsia" w:ascii="宋体" w:hAnsi="宋体" w:cs="宋体"/>
                <w:color w:val="auto"/>
                <w:kern w:val="0"/>
                <w:szCs w:val="21"/>
                <w:highlight w:val="none"/>
              </w:rPr>
              <w:t> </w:t>
            </w:r>
          </w:p>
        </w:tc>
        <w:tc>
          <w:tcPr>
            <w:tcW w:w="1681" w:type="dxa"/>
            <w:tcBorders>
              <w:top w:val="nil"/>
              <w:left w:val="nil"/>
              <w:bottom w:val="single" w:color="auto" w:sz="8" w:space="0"/>
              <w:right w:val="single" w:color="auto" w:sz="8" w:space="0"/>
            </w:tcBorders>
            <w:noWrap w:val="0"/>
            <w:vAlign w:val="center"/>
          </w:tcPr>
          <w:p w14:paraId="0CF9842E">
            <w:pPr>
              <w:widowControl/>
              <w:snapToGrid w:val="0"/>
              <w:spacing w:before="100" w:beforeAutospacing="1" w:after="100" w:afterAutospacing="1" w:line="320" w:lineRule="atLeast"/>
              <w:ind w:firstLine="480"/>
              <w:jc w:val="left"/>
              <w:rPr>
                <w:rFonts w:ascii="宋体" w:hAnsi="宋体" w:cs="宋体"/>
                <w:color w:val="auto"/>
                <w:kern w:val="0"/>
                <w:szCs w:val="21"/>
                <w:highlight w:val="none"/>
              </w:rPr>
            </w:pPr>
            <w:r>
              <w:rPr>
                <w:rFonts w:hint="eastAsia" w:ascii="宋体" w:hAnsi="宋体" w:cs="宋体"/>
                <w:color w:val="auto"/>
                <w:kern w:val="0"/>
                <w:szCs w:val="21"/>
                <w:highlight w:val="none"/>
              </w:rPr>
              <w:t> </w:t>
            </w:r>
          </w:p>
        </w:tc>
        <w:tc>
          <w:tcPr>
            <w:tcW w:w="2681" w:type="dxa"/>
            <w:gridSpan w:val="2"/>
            <w:tcBorders>
              <w:top w:val="nil"/>
              <w:left w:val="nil"/>
              <w:bottom w:val="single" w:color="auto" w:sz="8" w:space="0"/>
              <w:right w:val="single" w:color="auto" w:sz="8" w:space="0"/>
            </w:tcBorders>
            <w:noWrap w:val="0"/>
            <w:vAlign w:val="center"/>
          </w:tcPr>
          <w:p w14:paraId="6C30216F">
            <w:pPr>
              <w:widowControl/>
              <w:snapToGrid w:val="0"/>
              <w:spacing w:before="100" w:beforeAutospacing="1" w:after="100" w:afterAutospacing="1" w:line="320" w:lineRule="atLeast"/>
              <w:ind w:firstLine="480"/>
              <w:jc w:val="left"/>
              <w:rPr>
                <w:rFonts w:ascii="宋体" w:hAnsi="宋体" w:cs="宋体"/>
                <w:color w:val="auto"/>
                <w:kern w:val="0"/>
                <w:szCs w:val="21"/>
                <w:highlight w:val="none"/>
              </w:rPr>
            </w:pPr>
            <w:r>
              <w:rPr>
                <w:rFonts w:hint="eastAsia" w:ascii="宋体" w:hAnsi="宋体" w:cs="宋体"/>
                <w:color w:val="auto"/>
                <w:kern w:val="0"/>
                <w:szCs w:val="21"/>
                <w:highlight w:val="none"/>
              </w:rPr>
              <w:t> </w:t>
            </w:r>
          </w:p>
        </w:tc>
        <w:tc>
          <w:tcPr>
            <w:tcW w:w="906" w:type="dxa"/>
            <w:gridSpan w:val="2"/>
            <w:tcBorders>
              <w:top w:val="nil"/>
              <w:left w:val="nil"/>
              <w:bottom w:val="single" w:color="auto" w:sz="8" w:space="0"/>
              <w:right w:val="single" w:color="auto" w:sz="8" w:space="0"/>
            </w:tcBorders>
            <w:noWrap w:val="0"/>
            <w:vAlign w:val="center"/>
          </w:tcPr>
          <w:p w14:paraId="5F3A26A6">
            <w:pPr>
              <w:widowControl/>
              <w:snapToGrid w:val="0"/>
              <w:spacing w:before="100" w:beforeAutospacing="1" w:after="100" w:afterAutospacing="1" w:line="320" w:lineRule="atLeast"/>
              <w:ind w:firstLine="480"/>
              <w:jc w:val="left"/>
              <w:rPr>
                <w:rFonts w:ascii="宋体" w:hAnsi="宋体" w:cs="宋体"/>
                <w:color w:val="auto"/>
                <w:kern w:val="0"/>
                <w:szCs w:val="21"/>
                <w:highlight w:val="none"/>
              </w:rPr>
            </w:pPr>
            <w:r>
              <w:rPr>
                <w:rFonts w:hint="eastAsia" w:ascii="宋体" w:hAnsi="宋体" w:cs="宋体"/>
                <w:color w:val="auto"/>
                <w:kern w:val="0"/>
                <w:szCs w:val="21"/>
                <w:highlight w:val="none"/>
              </w:rPr>
              <w:t> </w:t>
            </w:r>
          </w:p>
        </w:tc>
        <w:tc>
          <w:tcPr>
            <w:tcW w:w="1796" w:type="dxa"/>
            <w:tcBorders>
              <w:top w:val="nil"/>
              <w:left w:val="nil"/>
              <w:bottom w:val="single" w:color="auto" w:sz="8" w:space="0"/>
              <w:right w:val="single" w:color="auto" w:sz="8" w:space="0"/>
            </w:tcBorders>
            <w:noWrap w:val="0"/>
            <w:vAlign w:val="center"/>
          </w:tcPr>
          <w:p w14:paraId="2DE72E2E">
            <w:pPr>
              <w:widowControl/>
              <w:snapToGrid w:val="0"/>
              <w:spacing w:before="100" w:beforeAutospacing="1" w:after="100" w:afterAutospacing="1" w:line="320" w:lineRule="atLeast"/>
              <w:ind w:firstLine="480"/>
              <w:jc w:val="left"/>
              <w:rPr>
                <w:rFonts w:ascii="宋体" w:hAnsi="宋体" w:cs="宋体"/>
                <w:color w:val="auto"/>
                <w:kern w:val="0"/>
                <w:szCs w:val="21"/>
                <w:highlight w:val="none"/>
              </w:rPr>
            </w:pPr>
            <w:r>
              <w:rPr>
                <w:rFonts w:hint="eastAsia" w:ascii="宋体" w:hAnsi="宋体" w:cs="宋体"/>
                <w:color w:val="auto"/>
                <w:kern w:val="0"/>
                <w:szCs w:val="21"/>
                <w:highlight w:val="none"/>
              </w:rPr>
              <w:t> </w:t>
            </w:r>
          </w:p>
        </w:tc>
      </w:tr>
      <w:tr w14:paraId="04976703">
        <w:tblPrEx>
          <w:tblCellMar>
            <w:top w:w="0" w:type="dxa"/>
            <w:left w:w="0" w:type="dxa"/>
            <w:bottom w:w="0" w:type="dxa"/>
            <w:right w:w="0" w:type="dxa"/>
          </w:tblCellMar>
        </w:tblPrEx>
        <w:trPr>
          <w:trHeight w:val="487" w:hRule="atLeast"/>
          <w:jc w:val="center"/>
        </w:trPr>
        <w:tc>
          <w:tcPr>
            <w:tcW w:w="1578" w:type="dxa"/>
            <w:tcBorders>
              <w:top w:val="nil"/>
              <w:left w:val="single" w:color="auto" w:sz="8" w:space="0"/>
              <w:bottom w:val="single" w:color="auto" w:sz="8" w:space="0"/>
              <w:right w:val="single" w:color="auto" w:sz="8" w:space="0"/>
            </w:tcBorders>
            <w:noWrap w:val="0"/>
            <w:vAlign w:val="center"/>
          </w:tcPr>
          <w:p w14:paraId="51996721">
            <w:pPr>
              <w:widowControl/>
              <w:snapToGrid w:val="0"/>
              <w:spacing w:before="100" w:beforeAutospacing="1" w:after="100" w:afterAutospacing="1" w:line="320" w:lineRule="atLeast"/>
              <w:ind w:firstLine="480"/>
              <w:jc w:val="left"/>
              <w:rPr>
                <w:rFonts w:ascii="宋体" w:hAnsi="宋体" w:cs="宋体"/>
                <w:color w:val="auto"/>
                <w:kern w:val="0"/>
                <w:szCs w:val="21"/>
                <w:highlight w:val="none"/>
              </w:rPr>
            </w:pPr>
            <w:r>
              <w:rPr>
                <w:rFonts w:hint="eastAsia" w:ascii="宋体" w:hAnsi="宋体" w:cs="宋体"/>
                <w:color w:val="auto"/>
                <w:kern w:val="0"/>
                <w:szCs w:val="21"/>
                <w:highlight w:val="none"/>
              </w:rPr>
              <w:t> </w:t>
            </w:r>
          </w:p>
        </w:tc>
        <w:tc>
          <w:tcPr>
            <w:tcW w:w="1681" w:type="dxa"/>
            <w:tcBorders>
              <w:top w:val="nil"/>
              <w:left w:val="nil"/>
              <w:bottom w:val="single" w:color="auto" w:sz="8" w:space="0"/>
              <w:right w:val="single" w:color="auto" w:sz="8" w:space="0"/>
            </w:tcBorders>
            <w:noWrap w:val="0"/>
            <w:vAlign w:val="center"/>
          </w:tcPr>
          <w:p w14:paraId="3A071047">
            <w:pPr>
              <w:widowControl/>
              <w:snapToGrid w:val="0"/>
              <w:spacing w:before="100" w:beforeAutospacing="1" w:after="100" w:afterAutospacing="1" w:line="320" w:lineRule="atLeast"/>
              <w:ind w:firstLine="480"/>
              <w:jc w:val="left"/>
              <w:rPr>
                <w:rFonts w:ascii="宋体" w:hAnsi="宋体" w:cs="宋体"/>
                <w:color w:val="auto"/>
                <w:kern w:val="0"/>
                <w:szCs w:val="21"/>
                <w:highlight w:val="none"/>
              </w:rPr>
            </w:pPr>
            <w:r>
              <w:rPr>
                <w:rFonts w:hint="eastAsia" w:ascii="宋体" w:hAnsi="宋体" w:cs="宋体"/>
                <w:color w:val="auto"/>
                <w:kern w:val="0"/>
                <w:szCs w:val="21"/>
                <w:highlight w:val="none"/>
              </w:rPr>
              <w:t> </w:t>
            </w:r>
          </w:p>
        </w:tc>
        <w:tc>
          <w:tcPr>
            <w:tcW w:w="2681" w:type="dxa"/>
            <w:gridSpan w:val="2"/>
            <w:tcBorders>
              <w:top w:val="nil"/>
              <w:left w:val="nil"/>
              <w:bottom w:val="single" w:color="auto" w:sz="8" w:space="0"/>
              <w:right w:val="single" w:color="auto" w:sz="8" w:space="0"/>
            </w:tcBorders>
            <w:noWrap w:val="0"/>
            <w:vAlign w:val="center"/>
          </w:tcPr>
          <w:p w14:paraId="21C8D196">
            <w:pPr>
              <w:widowControl/>
              <w:snapToGrid w:val="0"/>
              <w:spacing w:before="100" w:beforeAutospacing="1" w:after="100" w:afterAutospacing="1" w:line="320" w:lineRule="atLeast"/>
              <w:ind w:firstLine="480"/>
              <w:jc w:val="left"/>
              <w:rPr>
                <w:rFonts w:ascii="宋体" w:hAnsi="宋体" w:cs="宋体"/>
                <w:color w:val="auto"/>
                <w:kern w:val="0"/>
                <w:szCs w:val="21"/>
                <w:highlight w:val="none"/>
              </w:rPr>
            </w:pPr>
            <w:r>
              <w:rPr>
                <w:rFonts w:hint="eastAsia" w:ascii="宋体" w:hAnsi="宋体" w:cs="宋体"/>
                <w:color w:val="auto"/>
                <w:kern w:val="0"/>
                <w:szCs w:val="21"/>
                <w:highlight w:val="none"/>
              </w:rPr>
              <w:t> </w:t>
            </w:r>
          </w:p>
        </w:tc>
        <w:tc>
          <w:tcPr>
            <w:tcW w:w="906" w:type="dxa"/>
            <w:gridSpan w:val="2"/>
            <w:tcBorders>
              <w:top w:val="nil"/>
              <w:left w:val="nil"/>
              <w:bottom w:val="single" w:color="auto" w:sz="8" w:space="0"/>
              <w:right w:val="single" w:color="auto" w:sz="8" w:space="0"/>
            </w:tcBorders>
            <w:noWrap w:val="0"/>
            <w:vAlign w:val="center"/>
          </w:tcPr>
          <w:p w14:paraId="7B79552D">
            <w:pPr>
              <w:widowControl/>
              <w:snapToGrid w:val="0"/>
              <w:spacing w:before="100" w:beforeAutospacing="1" w:after="100" w:afterAutospacing="1" w:line="320" w:lineRule="atLeast"/>
              <w:ind w:firstLine="480"/>
              <w:jc w:val="left"/>
              <w:rPr>
                <w:rFonts w:ascii="宋体" w:hAnsi="宋体" w:cs="宋体"/>
                <w:color w:val="auto"/>
                <w:kern w:val="0"/>
                <w:szCs w:val="21"/>
                <w:highlight w:val="none"/>
              </w:rPr>
            </w:pPr>
            <w:r>
              <w:rPr>
                <w:rFonts w:hint="eastAsia" w:ascii="宋体" w:hAnsi="宋体" w:cs="宋体"/>
                <w:color w:val="auto"/>
                <w:kern w:val="0"/>
                <w:szCs w:val="21"/>
                <w:highlight w:val="none"/>
              </w:rPr>
              <w:t> </w:t>
            </w:r>
          </w:p>
        </w:tc>
        <w:tc>
          <w:tcPr>
            <w:tcW w:w="1796" w:type="dxa"/>
            <w:tcBorders>
              <w:top w:val="nil"/>
              <w:left w:val="nil"/>
              <w:bottom w:val="single" w:color="auto" w:sz="8" w:space="0"/>
              <w:right w:val="single" w:color="auto" w:sz="8" w:space="0"/>
            </w:tcBorders>
            <w:noWrap w:val="0"/>
            <w:vAlign w:val="center"/>
          </w:tcPr>
          <w:p w14:paraId="5E1E988E">
            <w:pPr>
              <w:widowControl/>
              <w:snapToGrid w:val="0"/>
              <w:spacing w:before="100" w:beforeAutospacing="1" w:after="100" w:afterAutospacing="1" w:line="320" w:lineRule="atLeast"/>
              <w:ind w:firstLine="480"/>
              <w:jc w:val="left"/>
              <w:rPr>
                <w:rFonts w:ascii="宋体" w:hAnsi="宋体" w:cs="宋体"/>
                <w:color w:val="auto"/>
                <w:kern w:val="0"/>
                <w:szCs w:val="21"/>
                <w:highlight w:val="none"/>
              </w:rPr>
            </w:pPr>
            <w:r>
              <w:rPr>
                <w:rFonts w:hint="eastAsia" w:ascii="宋体" w:hAnsi="宋体" w:cs="宋体"/>
                <w:color w:val="auto"/>
                <w:kern w:val="0"/>
                <w:szCs w:val="21"/>
                <w:highlight w:val="none"/>
              </w:rPr>
              <w:t> </w:t>
            </w:r>
          </w:p>
        </w:tc>
      </w:tr>
      <w:tr w14:paraId="132F2258">
        <w:tblPrEx>
          <w:tblCellMar>
            <w:top w:w="0" w:type="dxa"/>
            <w:left w:w="0" w:type="dxa"/>
            <w:bottom w:w="0" w:type="dxa"/>
            <w:right w:w="0" w:type="dxa"/>
          </w:tblCellMar>
        </w:tblPrEx>
        <w:trPr>
          <w:trHeight w:val="487" w:hRule="atLeast"/>
          <w:jc w:val="center"/>
        </w:trPr>
        <w:tc>
          <w:tcPr>
            <w:tcW w:w="5940" w:type="dxa"/>
            <w:gridSpan w:val="4"/>
            <w:tcBorders>
              <w:top w:val="nil"/>
              <w:left w:val="single" w:color="auto" w:sz="8" w:space="0"/>
              <w:bottom w:val="single" w:color="auto" w:sz="8" w:space="0"/>
              <w:right w:val="single" w:color="auto" w:sz="8" w:space="0"/>
            </w:tcBorders>
            <w:noWrap w:val="0"/>
            <w:vAlign w:val="center"/>
          </w:tcPr>
          <w:p w14:paraId="20F05969">
            <w:pPr>
              <w:widowControl/>
              <w:snapToGrid w:val="0"/>
              <w:spacing w:before="100" w:beforeAutospacing="1" w:after="100" w:afterAutospacing="1" w:line="320" w:lineRule="atLeast"/>
              <w:ind w:firstLine="5"/>
              <w:jc w:val="center"/>
              <w:rPr>
                <w:rFonts w:ascii="宋体" w:hAnsi="宋体" w:cs="宋体"/>
                <w:color w:val="auto"/>
                <w:kern w:val="0"/>
                <w:szCs w:val="21"/>
                <w:highlight w:val="none"/>
              </w:rPr>
            </w:pPr>
            <w:r>
              <w:rPr>
                <w:rFonts w:hint="eastAsia" w:ascii="宋体" w:hAnsi="宋体" w:cs="宋体"/>
                <w:color w:val="auto"/>
                <w:kern w:val="0"/>
                <w:szCs w:val="21"/>
                <w:highlight w:val="none"/>
              </w:rPr>
              <w:t>合       计</w:t>
            </w:r>
          </w:p>
        </w:tc>
        <w:tc>
          <w:tcPr>
            <w:tcW w:w="906" w:type="dxa"/>
            <w:gridSpan w:val="2"/>
            <w:tcBorders>
              <w:top w:val="nil"/>
              <w:left w:val="nil"/>
              <w:bottom w:val="single" w:color="auto" w:sz="8" w:space="0"/>
              <w:right w:val="single" w:color="auto" w:sz="8" w:space="0"/>
            </w:tcBorders>
            <w:noWrap w:val="0"/>
            <w:vAlign w:val="center"/>
          </w:tcPr>
          <w:p w14:paraId="5136F91A">
            <w:pPr>
              <w:widowControl/>
              <w:snapToGrid w:val="0"/>
              <w:spacing w:before="100" w:beforeAutospacing="1" w:after="100" w:afterAutospacing="1" w:line="320" w:lineRule="atLeast"/>
              <w:ind w:firstLine="480"/>
              <w:jc w:val="left"/>
              <w:rPr>
                <w:rFonts w:ascii="宋体" w:hAnsi="宋体" w:cs="宋体"/>
                <w:color w:val="auto"/>
                <w:kern w:val="0"/>
                <w:szCs w:val="21"/>
                <w:highlight w:val="none"/>
              </w:rPr>
            </w:pPr>
            <w:r>
              <w:rPr>
                <w:rFonts w:hint="eastAsia" w:ascii="宋体" w:hAnsi="宋体" w:cs="宋体"/>
                <w:color w:val="auto"/>
                <w:kern w:val="0"/>
                <w:szCs w:val="21"/>
                <w:highlight w:val="none"/>
              </w:rPr>
              <w:t> </w:t>
            </w:r>
          </w:p>
        </w:tc>
        <w:tc>
          <w:tcPr>
            <w:tcW w:w="1796" w:type="dxa"/>
            <w:tcBorders>
              <w:top w:val="nil"/>
              <w:left w:val="nil"/>
              <w:bottom w:val="single" w:color="auto" w:sz="8" w:space="0"/>
              <w:right w:val="single" w:color="auto" w:sz="8" w:space="0"/>
            </w:tcBorders>
            <w:noWrap w:val="0"/>
            <w:vAlign w:val="center"/>
          </w:tcPr>
          <w:p w14:paraId="325B04DD">
            <w:pPr>
              <w:widowControl/>
              <w:snapToGrid w:val="0"/>
              <w:spacing w:before="100" w:beforeAutospacing="1" w:after="100" w:afterAutospacing="1" w:line="320" w:lineRule="atLeast"/>
              <w:ind w:firstLine="480"/>
              <w:jc w:val="left"/>
              <w:rPr>
                <w:rFonts w:ascii="宋体" w:hAnsi="宋体" w:cs="宋体"/>
                <w:color w:val="auto"/>
                <w:kern w:val="0"/>
                <w:szCs w:val="21"/>
                <w:highlight w:val="none"/>
              </w:rPr>
            </w:pPr>
            <w:r>
              <w:rPr>
                <w:rFonts w:hint="eastAsia" w:ascii="宋体" w:hAnsi="宋体" w:cs="宋体"/>
                <w:color w:val="auto"/>
                <w:kern w:val="0"/>
                <w:szCs w:val="21"/>
                <w:highlight w:val="none"/>
              </w:rPr>
              <w:t> </w:t>
            </w:r>
          </w:p>
        </w:tc>
      </w:tr>
      <w:tr w14:paraId="37E3AA35">
        <w:tblPrEx>
          <w:tblCellMar>
            <w:top w:w="0" w:type="dxa"/>
            <w:left w:w="0" w:type="dxa"/>
            <w:bottom w:w="0" w:type="dxa"/>
            <w:right w:w="0" w:type="dxa"/>
          </w:tblCellMar>
        </w:tblPrEx>
        <w:trPr>
          <w:trHeight w:val="641" w:hRule="atLeast"/>
          <w:jc w:val="center"/>
        </w:trPr>
        <w:tc>
          <w:tcPr>
            <w:tcW w:w="8642" w:type="dxa"/>
            <w:gridSpan w:val="7"/>
            <w:tcBorders>
              <w:top w:val="nil"/>
              <w:left w:val="single" w:color="auto" w:sz="8" w:space="0"/>
              <w:bottom w:val="single" w:color="auto" w:sz="8" w:space="0"/>
              <w:right w:val="single" w:color="auto" w:sz="8" w:space="0"/>
            </w:tcBorders>
            <w:noWrap w:val="0"/>
            <w:vAlign w:val="center"/>
          </w:tcPr>
          <w:p w14:paraId="247A8C71">
            <w:pPr>
              <w:widowControl/>
              <w:snapToGrid w:val="0"/>
              <w:spacing w:before="100" w:beforeAutospacing="1" w:after="100" w:afterAutospacing="1" w:line="320" w:lineRule="atLeast"/>
              <w:ind w:firstLine="2"/>
              <w:jc w:val="left"/>
              <w:rPr>
                <w:rFonts w:ascii="宋体" w:hAnsi="宋体" w:cs="宋体"/>
                <w:color w:val="auto"/>
                <w:kern w:val="0"/>
                <w:szCs w:val="21"/>
                <w:highlight w:val="none"/>
              </w:rPr>
            </w:pPr>
            <w:r>
              <w:rPr>
                <w:rFonts w:hint="eastAsia" w:ascii="宋体" w:hAnsi="宋体" w:cs="宋体"/>
                <w:color w:val="auto"/>
                <w:kern w:val="0"/>
                <w:szCs w:val="21"/>
                <w:highlight w:val="none"/>
              </w:rPr>
              <w:t>合计大写金额：  仟   佰   拾   万   仟   佰   拾   元</w:t>
            </w:r>
          </w:p>
        </w:tc>
      </w:tr>
      <w:tr w14:paraId="1410303D">
        <w:tblPrEx>
          <w:tblCellMar>
            <w:top w:w="0" w:type="dxa"/>
            <w:left w:w="0" w:type="dxa"/>
            <w:bottom w:w="0" w:type="dxa"/>
            <w:right w:w="0" w:type="dxa"/>
          </w:tblCellMar>
        </w:tblPrEx>
        <w:trPr>
          <w:trHeight w:val="641" w:hRule="atLeast"/>
          <w:jc w:val="center"/>
        </w:trPr>
        <w:tc>
          <w:tcPr>
            <w:tcW w:w="1578" w:type="dxa"/>
            <w:tcBorders>
              <w:top w:val="nil"/>
              <w:left w:val="single" w:color="auto" w:sz="8" w:space="0"/>
              <w:bottom w:val="single" w:color="auto" w:sz="8" w:space="0"/>
              <w:right w:val="single" w:color="auto" w:sz="8" w:space="0"/>
            </w:tcBorders>
            <w:noWrap w:val="0"/>
            <w:vAlign w:val="center"/>
          </w:tcPr>
          <w:p w14:paraId="4AB4E51B">
            <w:pPr>
              <w:widowControl/>
              <w:snapToGrid w:val="0"/>
              <w:spacing w:before="100" w:beforeAutospacing="1" w:after="100" w:afterAutospacing="1" w:line="320" w:lineRule="atLeast"/>
              <w:ind w:firstLine="2"/>
              <w:jc w:val="left"/>
              <w:rPr>
                <w:rFonts w:ascii="宋体" w:hAnsi="宋体" w:cs="宋体"/>
                <w:color w:val="auto"/>
                <w:kern w:val="0"/>
                <w:szCs w:val="21"/>
                <w:highlight w:val="none"/>
              </w:rPr>
            </w:pPr>
            <w:r>
              <w:rPr>
                <w:rFonts w:hint="eastAsia" w:ascii="宋体" w:hAnsi="宋体" w:cs="宋体"/>
                <w:color w:val="auto"/>
                <w:kern w:val="0"/>
                <w:szCs w:val="21"/>
                <w:highlight w:val="none"/>
              </w:rPr>
              <w:t>实际供货日期</w:t>
            </w:r>
          </w:p>
        </w:tc>
        <w:tc>
          <w:tcPr>
            <w:tcW w:w="2345" w:type="dxa"/>
            <w:gridSpan w:val="2"/>
            <w:tcBorders>
              <w:top w:val="nil"/>
              <w:left w:val="nil"/>
              <w:bottom w:val="single" w:color="auto" w:sz="8" w:space="0"/>
              <w:right w:val="single" w:color="auto" w:sz="8" w:space="0"/>
            </w:tcBorders>
            <w:noWrap w:val="0"/>
            <w:vAlign w:val="center"/>
          </w:tcPr>
          <w:p w14:paraId="4316ABF0">
            <w:pPr>
              <w:widowControl/>
              <w:snapToGrid w:val="0"/>
              <w:spacing w:before="100" w:beforeAutospacing="1" w:after="100" w:afterAutospacing="1" w:line="320" w:lineRule="atLeast"/>
              <w:ind w:firstLine="480"/>
              <w:jc w:val="left"/>
              <w:rPr>
                <w:rFonts w:ascii="宋体" w:hAnsi="宋体" w:cs="宋体"/>
                <w:color w:val="auto"/>
                <w:kern w:val="0"/>
                <w:szCs w:val="21"/>
                <w:highlight w:val="none"/>
              </w:rPr>
            </w:pPr>
            <w:r>
              <w:rPr>
                <w:rFonts w:hint="eastAsia" w:ascii="宋体" w:hAnsi="宋体" w:cs="宋体"/>
                <w:color w:val="auto"/>
                <w:kern w:val="0"/>
                <w:szCs w:val="21"/>
                <w:highlight w:val="none"/>
              </w:rPr>
              <w:t> </w:t>
            </w:r>
          </w:p>
        </w:tc>
        <w:tc>
          <w:tcPr>
            <w:tcW w:w="2203" w:type="dxa"/>
            <w:gridSpan w:val="2"/>
            <w:tcBorders>
              <w:top w:val="nil"/>
              <w:left w:val="nil"/>
              <w:bottom w:val="single" w:color="auto" w:sz="8" w:space="0"/>
              <w:right w:val="single" w:color="auto" w:sz="8" w:space="0"/>
            </w:tcBorders>
            <w:noWrap w:val="0"/>
            <w:vAlign w:val="center"/>
          </w:tcPr>
          <w:p w14:paraId="73DF6D4A">
            <w:pPr>
              <w:widowControl/>
              <w:snapToGrid w:val="0"/>
              <w:spacing w:before="100" w:beforeAutospacing="1" w:after="100" w:afterAutospacing="1" w:line="320" w:lineRule="atLeast"/>
              <w:ind w:firstLine="46"/>
              <w:jc w:val="center"/>
              <w:rPr>
                <w:rFonts w:ascii="宋体" w:hAnsi="宋体" w:cs="宋体"/>
                <w:color w:val="auto"/>
                <w:kern w:val="0"/>
                <w:szCs w:val="21"/>
                <w:highlight w:val="none"/>
              </w:rPr>
            </w:pPr>
            <w:r>
              <w:rPr>
                <w:rFonts w:hint="eastAsia" w:ascii="宋体" w:hAnsi="宋体" w:cs="宋体"/>
                <w:color w:val="auto"/>
                <w:kern w:val="0"/>
                <w:szCs w:val="21"/>
                <w:highlight w:val="none"/>
              </w:rPr>
              <w:t>合同交货验收日期</w:t>
            </w:r>
          </w:p>
        </w:tc>
        <w:tc>
          <w:tcPr>
            <w:tcW w:w="2516" w:type="dxa"/>
            <w:gridSpan w:val="2"/>
            <w:tcBorders>
              <w:top w:val="nil"/>
              <w:left w:val="nil"/>
              <w:bottom w:val="single" w:color="auto" w:sz="8" w:space="0"/>
              <w:right w:val="single" w:color="auto" w:sz="8" w:space="0"/>
            </w:tcBorders>
            <w:noWrap w:val="0"/>
            <w:vAlign w:val="center"/>
          </w:tcPr>
          <w:p w14:paraId="777FC125">
            <w:pPr>
              <w:widowControl/>
              <w:snapToGrid w:val="0"/>
              <w:spacing w:before="100" w:beforeAutospacing="1" w:after="100" w:afterAutospacing="1" w:line="320" w:lineRule="atLeast"/>
              <w:ind w:firstLine="480"/>
              <w:jc w:val="left"/>
              <w:rPr>
                <w:rFonts w:ascii="宋体" w:hAnsi="宋体" w:cs="宋体"/>
                <w:color w:val="auto"/>
                <w:kern w:val="0"/>
                <w:szCs w:val="21"/>
                <w:highlight w:val="none"/>
              </w:rPr>
            </w:pPr>
            <w:r>
              <w:rPr>
                <w:rFonts w:hint="eastAsia" w:ascii="宋体" w:hAnsi="宋体" w:cs="宋体"/>
                <w:color w:val="auto"/>
                <w:kern w:val="0"/>
                <w:szCs w:val="21"/>
                <w:highlight w:val="none"/>
              </w:rPr>
              <w:t> </w:t>
            </w:r>
          </w:p>
        </w:tc>
      </w:tr>
      <w:tr w14:paraId="5731BB84">
        <w:tblPrEx>
          <w:tblCellMar>
            <w:top w:w="0" w:type="dxa"/>
            <w:left w:w="0" w:type="dxa"/>
            <w:bottom w:w="0" w:type="dxa"/>
            <w:right w:w="0" w:type="dxa"/>
          </w:tblCellMar>
        </w:tblPrEx>
        <w:trPr>
          <w:trHeight w:val="394" w:hRule="atLeast"/>
          <w:jc w:val="center"/>
        </w:trPr>
        <w:tc>
          <w:tcPr>
            <w:tcW w:w="1578" w:type="dxa"/>
            <w:tcBorders>
              <w:top w:val="nil"/>
              <w:left w:val="single" w:color="auto" w:sz="8" w:space="0"/>
              <w:bottom w:val="single" w:color="auto" w:sz="8" w:space="0"/>
              <w:right w:val="single" w:color="auto" w:sz="8" w:space="0"/>
            </w:tcBorders>
            <w:noWrap w:val="0"/>
            <w:vAlign w:val="center"/>
          </w:tcPr>
          <w:p w14:paraId="2EAE5692">
            <w:pPr>
              <w:widowControl/>
              <w:snapToGrid w:val="0"/>
              <w:spacing w:before="100" w:beforeAutospacing="1" w:after="100" w:afterAutospacing="1" w:line="320" w:lineRule="atLeast"/>
              <w:ind w:firstLine="480"/>
              <w:jc w:val="left"/>
              <w:rPr>
                <w:rFonts w:ascii="宋体" w:hAnsi="宋体" w:cs="宋体"/>
                <w:color w:val="auto"/>
                <w:kern w:val="0"/>
                <w:szCs w:val="21"/>
                <w:highlight w:val="none"/>
              </w:rPr>
            </w:pPr>
            <w:r>
              <w:rPr>
                <w:rFonts w:hint="eastAsia" w:ascii="宋体" w:hAnsi="宋体" w:cs="宋体"/>
                <w:color w:val="auto"/>
                <w:kern w:val="0"/>
                <w:szCs w:val="21"/>
                <w:highlight w:val="none"/>
              </w:rPr>
              <w:t> </w:t>
            </w:r>
          </w:p>
        </w:tc>
        <w:tc>
          <w:tcPr>
            <w:tcW w:w="2345" w:type="dxa"/>
            <w:gridSpan w:val="2"/>
            <w:tcBorders>
              <w:top w:val="nil"/>
              <w:left w:val="nil"/>
              <w:bottom w:val="single" w:color="auto" w:sz="8" w:space="0"/>
              <w:right w:val="single" w:color="auto" w:sz="8" w:space="0"/>
            </w:tcBorders>
            <w:noWrap w:val="0"/>
            <w:vAlign w:val="center"/>
          </w:tcPr>
          <w:p w14:paraId="42433435">
            <w:pPr>
              <w:widowControl/>
              <w:snapToGrid w:val="0"/>
              <w:spacing w:before="100" w:beforeAutospacing="1" w:after="100" w:afterAutospacing="1" w:line="320" w:lineRule="atLeast"/>
              <w:ind w:firstLine="480"/>
              <w:jc w:val="left"/>
              <w:rPr>
                <w:rFonts w:ascii="宋体" w:hAnsi="宋体" w:cs="宋体"/>
                <w:color w:val="auto"/>
                <w:kern w:val="0"/>
                <w:szCs w:val="21"/>
                <w:highlight w:val="none"/>
              </w:rPr>
            </w:pPr>
            <w:r>
              <w:rPr>
                <w:rFonts w:hint="eastAsia" w:ascii="宋体" w:hAnsi="宋体" w:cs="宋体"/>
                <w:color w:val="auto"/>
                <w:kern w:val="0"/>
                <w:szCs w:val="21"/>
                <w:highlight w:val="none"/>
              </w:rPr>
              <w:t> </w:t>
            </w:r>
          </w:p>
        </w:tc>
        <w:tc>
          <w:tcPr>
            <w:tcW w:w="2203" w:type="dxa"/>
            <w:gridSpan w:val="2"/>
            <w:tcBorders>
              <w:top w:val="nil"/>
              <w:left w:val="nil"/>
              <w:bottom w:val="single" w:color="auto" w:sz="8" w:space="0"/>
              <w:right w:val="single" w:color="auto" w:sz="8" w:space="0"/>
            </w:tcBorders>
            <w:noWrap w:val="0"/>
            <w:vAlign w:val="center"/>
          </w:tcPr>
          <w:p w14:paraId="6ED02A57">
            <w:pPr>
              <w:widowControl/>
              <w:snapToGrid w:val="0"/>
              <w:spacing w:before="100" w:beforeAutospacing="1" w:after="100" w:afterAutospacing="1" w:line="320" w:lineRule="atLeast"/>
              <w:ind w:firstLine="480"/>
              <w:jc w:val="left"/>
              <w:rPr>
                <w:rFonts w:ascii="宋体" w:hAnsi="宋体" w:cs="宋体"/>
                <w:color w:val="auto"/>
                <w:kern w:val="0"/>
                <w:szCs w:val="21"/>
                <w:highlight w:val="none"/>
              </w:rPr>
            </w:pPr>
            <w:r>
              <w:rPr>
                <w:rFonts w:hint="eastAsia" w:ascii="宋体" w:hAnsi="宋体" w:cs="宋体"/>
                <w:color w:val="auto"/>
                <w:kern w:val="0"/>
                <w:szCs w:val="21"/>
                <w:highlight w:val="none"/>
              </w:rPr>
              <w:t> </w:t>
            </w:r>
          </w:p>
        </w:tc>
        <w:tc>
          <w:tcPr>
            <w:tcW w:w="2516" w:type="dxa"/>
            <w:gridSpan w:val="2"/>
            <w:tcBorders>
              <w:top w:val="nil"/>
              <w:left w:val="nil"/>
              <w:bottom w:val="single" w:color="auto" w:sz="8" w:space="0"/>
              <w:right w:val="single" w:color="auto" w:sz="8" w:space="0"/>
            </w:tcBorders>
            <w:noWrap w:val="0"/>
            <w:vAlign w:val="center"/>
          </w:tcPr>
          <w:p w14:paraId="6F576F68">
            <w:pPr>
              <w:widowControl/>
              <w:snapToGrid w:val="0"/>
              <w:spacing w:before="100" w:beforeAutospacing="1" w:after="100" w:afterAutospacing="1" w:line="320" w:lineRule="atLeast"/>
              <w:ind w:firstLine="480"/>
              <w:jc w:val="left"/>
              <w:rPr>
                <w:rFonts w:ascii="宋体" w:hAnsi="宋体" w:cs="宋体"/>
                <w:color w:val="auto"/>
                <w:kern w:val="0"/>
                <w:szCs w:val="21"/>
                <w:highlight w:val="none"/>
              </w:rPr>
            </w:pPr>
            <w:r>
              <w:rPr>
                <w:rFonts w:hint="eastAsia" w:ascii="宋体" w:hAnsi="宋体" w:cs="宋体"/>
                <w:color w:val="auto"/>
                <w:kern w:val="0"/>
                <w:szCs w:val="21"/>
                <w:highlight w:val="none"/>
              </w:rPr>
              <w:t> </w:t>
            </w:r>
          </w:p>
        </w:tc>
      </w:tr>
      <w:tr w14:paraId="4D4BE6C5">
        <w:tblPrEx>
          <w:tblCellMar>
            <w:top w:w="0" w:type="dxa"/>
            <w:left w:w="0" w:type="dxa"/>
            <w:bottom w:w="0" w:type="dxa"/>
            <w:right w:w="0" w:type="dxa"/>
          </w:tblCellMar>
        </w:tblPrEx>
        <w:trPr>
          <w:trHeight w:val="693" w:hRule="atLeast"/>
          <w:jc w:val="center"/>
        </w:trPr>
        <w:tc>
          <w:tcPr>
            <w:tcW w:w="1578"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65BB75AA">
            <w:pPr>
              <w:widowControl/>
              <w:snapToGrid w:val="0"/>
              <w:spacing w:before="100" w:beforeAutospacing="1" w:after="100" w:afterAutospacing="1" w:line="320" w:lineRule="atLeast"/>
              <w:jc w:val="left"/>
              <w:rPr>
                <w:rFonts w:ascii="宋体" w:hAnsi="宋体" w:cs="宋体"/>
                <w:color w:val="auto"/>
                <w:kern w:val="0"/>
                <w:szCs w:val="21"/>
                <w:highlight w:val="none"/>
              </w:rPr>
            </w:pPr>
            <w:r>
              <w:rPr>
                <w:rFonts w:hint="eastAsia" w:ascii="宋体" w:hAnsi="宋体" w:cs="宋体"/>
                <w:color w:val="auto"/>
                <w:kern w:val="0"/>
                <w:szCs w:val="21"/>
                <w:highlight w:val="none"/>
              </w:rPr>
              <w:t>验收具体内容</w:t>
            </w:r>
          </w:p>
        </w:tc>
        <w:tc>
          <w:tcPr>
            <w:tcW w:w="7064" w:type="dxa"/>
            <w:gridSpan w:val="6"/>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372869EC">
            <w:pPr>
              <w:widowControl/>
              <w:snapToGrid w:val="0"/>
              <w:spacing w:before="100" w:beforeAutospacing="1" w:after="100" w:afterAutospacing="1" w:line="320" w:lineRule="atLeast"/>
              <w:jc w:val="left"/>
              <w:rPr>
                <w:rFonts w:ascii="宋体" w:hAnsi="宋体" w:cs="宋体"/>
                <w:color w:val="auto"/>
                <w:kern w:val="0"/>
                <w:szCs w:val="21"/>
                <w:highlight w:val="none"/>
              </w:rPr>
            </w:pPr>
            <w:r>
              <w:rPr>
                <w:rFonts w:hint="eastAsia" w:ascii="宋体" w:hAnsi="宋体" w:cs="宋体"/>
                <w:color w:val="auto"/>
                <w:kern w:val="0"/>
                <w:szCs w:val="21"/>
                <w:highlight w:val="none"/>
              </w:rPr>
              <w:t>（应按</w:t>
            </w:r>
            <w:r>
              <w:rPr>
                <w:rFonts w:hint="eastAsia" w:ascii="宋体" w:hAnsi="宋体" w:cs="宋体"/>
                <w:color w:val="auto"/>
                <w:kern w:val="0"/>
                <w:szCs w:val="21"/>
                <w:highlight w:val="none"/>
                <w:lang w:val="en-US" w:eastAsia="zh-CN"/>
              </w:rPr>
              <w:t>政府</w:t>
            </w:r>
            <w:r>
              <w:rPr>
                <w:rFonts w:hint="eastAsia" w:ascii="宋体" w:hAnsi="宋体" w:cs="宋体"/>
                <w:color w:val="auto"/>
                <w:kern w:val="0"/>
                <w:szCs w:val="21"/>
                <w:highlight w:val="none"/>
              </w:rPr>
              <w:t>采购合同、采购文件、响应文件及验收方案等进行验收；并核对中标或者成交供应商在安装调试等方面是否违反合同约定或服务规范要求、提供的质量保证证明材料是否齐全、应有的配件及附件是否达到合同约定等。可附件)</w:t>
            </w:r>
          </w:p>
        </w:tc>
      </w:tr>
      <w:tr w14:paraId="0B23F95D">
        <w:tblPrEx>
          <w:tblCellMar>
            <w:top w:w="0" w:type="dxa"/>
            <w:left w:w="0" w:type="dxa"/>
            <w:bottom w:w="0" w:type="dxa"/>
            <w:right w:w="0" w:type="dxa"/>
          </w:tblCellMar>
        </w:tblPrEx>
        <w:trPr>
          <w:trHeight w:val="1281" w:hRule="atLeast"/>
          <w:jc w:val="center"/>
        </w:trPr>
        <w:tc>
          <w:tcPr>
            <w:tcW w:w="1578" w:type="dxa"/>
            <w:vMerge w:val="restart"/>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0583C15E">
            <w:pPr>
              <w:widowControl/>
              <w:spacing w:before="100" w:beforeAutospacing="1" w:after="100" w:afterAutospacing="1" w:line="320" w:lineRule="atLeast"/>
              <w:jc w:val="left"/>
              <w:rPr>
                <w:rFonts w:ascii="宋体" w:hAnsi="宋体" w:cs="宋体"/>
                <w:color w:val="auto"/>
                <w:kern w:val="0"/>
                <w:szCs w:val="21"/>
                <w:highlight w:val="none"/>
              </w:rPr>
            </w:pPr>
            <w:r>
              <w:rPr>
                <w:rFonts w:hint="eastAsia" w:ascii="宋体" w:hAnsi="宋体" w:cs="宋体"/>
                <w:color w:val="auto"/>
                <w:kern w:val="0"/>
                <w:szCs w:val="21"/>
                <w:highlight w:val="none"/>
              </w:rPr>
              <w:t>验收小组意见</w:t>
            </w:r>
          </w:p>
        </w:tc>
        <w:tc>
          <w:tcPr>
            <w:tcW w:w="7064" w:type="dxa"/>
            <w:gridSpan w:val="6"/>
            <w:tcBorders>
              <w:top w:val="nil"/>
              <w:left w:val="nil"/>
              <w:bottom w:val="single" w:color="auto" w:sz="8" w:space="0"/>
              <w:right w:val="single" w:color="auto" w:sz="8" w:space="0"/>
            </w:tcBorders>
            <w:noWrap w:val="0"/>
            <w:vAlign w:val="center"/>
          </w:tcPr>
          <w:p w14:paraId="5D00A35B">
            <w:pPr>
              <w:widowControl/>
              <w:spacing w:before="100" w:beforeAutospacing="1" w:after="100" w:afterAutospacing="1" w:line="320" w:lineRule="atLeast"/>
              <w:jc w:val="left"/>
              <w:rPr>
                <w:rFonts w:ascii="宋体" w:hAnsi="宋体" w:cs="宋体"/>
                <w:color w:val="auto"/>
                <w:kern w:val="0"/>
                <w:szCs w:val="21"/>
                <w:highlight w:val="none"/>
              </w:rPr>
            </w:pPr>
            <w:r>
              <w:rPr>
                <w:rFonts w:hint="eastAsia" w:ascii="宋体" w:hAnsi="宋体" w:cs="宋体"/>
                <w:color w:val="auto"/>
                <w:kern w:val="0"/>
                <w:szCs w:val="21"/>
                <w:highlight w:val="none"/>
              </w:rPr>
              <w:t> 验收结论性意见：</w:t>
            </w:r>
          </w:p>
          <w:p w14:paraId="35B3900C">
            <w:pPr>
              <w:widowControl/>
              <w:spacing w:before="100" w:beforeAutospacing="1" w:after="100" w:afterAutospacing="1" w:line="320" w:lineRule="atLeast"/>
              <w:jc w:val="left"/>
              <w:rPr>
                <w:rFonts w:ascii="宋体" w:hAnsi="宋体" w:cs="宋体"/>
                <w:color w:val="auto"/>
                <w:kern w:val="0"/>
                <w:szCs w:val="21"/>
                <w:highlight w:val="none"/>
              </w:rPr>
            </w:pPr>
            <w:r>
              <w:rPr>
                <w:rFonts w:hint="eastAsia" w:ascii="宋体" w:hAnsi="宋体" w:cs="宋体"/>
                <w:color w:val="auto"/>
                <w:kern w:val="0"/>
                <w:szCs w:val="21"/>
                <w:highlight w:val="none"/>
              </w:rPr>
              <w:t> </w:t>
            </w:r>
          </w:p>
        </w:tc>
      </w:tr>
      <w:tr w14:paraId="00BC9667">
        <w:tblPrEx>
          <w:tblCellMar>
            <w:top w:w="0" w:type="dxa"/>
            <w:left w:w="0" w:type="dxa"/>
            <w:bottom w:w="0" w:type="dxa"/>
            <w:right w:w="0" w:type="dxa"/>
          </w:tblCellMar>
        </w:tblPrEx>
        <w:trPr>
          <w:trHeight w:val="607" w:hRule="atLeast"/>
          <w:jc w:val="center"/>
        </w:trPr>
        <w:tc>
          <w:tcPr>
            <w:tcW w:w="1578" w:type="dxa"/>
            <w:vMerge w:val="continue"/>
            <w:tcBorders>
              <w:top w:val="nil"/>
              <w:left w:val="single" w:color="auto" w:sz="8" w:space="0"/>
              <w:bottom w:val="single" w:color="auto" w:sz="8" w:space="0"/>
              <w:right w:val="single" w:color="auto" w:sz="8" w:space="0"/>
            </w:tcBorders>
            <w:noWrap w:val="0"/>
            <w:vAlign w:val="center"/>
          </w:tcPr>
          <w:p w14:paraId="3D5326E3">
            <w:pPr>
              <w:widowControl/>
              <w:jc w:val="left"/>
              <w:rPr>
                <w:rFonts w:ascii="宋体" w:hAnsi="宋体" w:cs="宋体"/>
                <w:color w:val="auto"/>
                <w:kern w:val="0"/>
                <w:szCs w:val="21"/>
                <w:highlight w:val="none"/>
              </w:rPr>
            </w:pPr>
          </w:p>
        </w:tc>
        <w:tc>
          <w:tcPr>
            <w:tcW w:w="7064" w:type="dxa"/>
            <w:gridSpan w:val="6"/>
            <w:tcBorders>
              <w:top w:val="nil"/>
              <w:left w:val="nil"/>
              <w:bottom w:val="single" w:color="auto" w:sz="8" w:space="0"/>
              <w:right w:val="single" w:color="auto" w:sz="8" w:space="0"/>
            </w:tcBorders>
            <w:noWrap w:val="0"/>
            <w:vAlign w:val="center"/>
          </w:tcPr>
          <w:p w14:paraId="4CBA1DDB">
            <w:pPr>
              <w:widowControl/>
              <w:spacing w:before="100" w:beforeAutospacing="1" w:after="100" w:afterAutospacing="1" w:line="320" w:lineRule="atLeast"/>
              <w:ind w:firstLine="96"/>
              <w:jc w:val="left"/>
              <w:rPr>
                <w:rFonts w:ascii="宋体" w:hAnsi="宋体" w:cs="宋体"/>
                <w:color w:val="auto"/>
                <w:kern w:val="0"/>
                <w:szCs w:val="21"/>
                <w:highlight w:val="none"/>
              </w:rPr>
            </w:pPr>
            <w:r>
              <w:rPr>
                <w:rFonts w:hint="eastAsia" w:ascii="宋体" w:hAnsi="宋体" w:cs="宋体"/>
                <w:color w:val="auto"/>
                <w:kern w:val="0"/>
                <w:szCs w:val="21"/>
                <w:highlight w:val="none"/>
              </w:rPr>
              <w:t>有异议的意见和说明理由：</w:t>
            </w:r>
          </w:p>
          <w:p w14:paraId="33128B44">
            <w:pPr>
              <w:widowControl/>
              <w:spacing w:before="100" w:beforeAutospacing="1" w:after="100" w:afterAutospacing="1" w:line="320" w:lineRule="atLeast"/>
              <w:jc w:val="left"/>
              <w:rPr>
                <w:rFonts w:ascii="宋体" w:hAnsi="宋体" w:cs="宋体"/>
                <w:color w:val="auto"/>
                <w:kern w:val="0"/>
                <w:szCs w:val="21"/>
                <w:highlight w:val="none"/>
              </w:rPr>
            </w:pPr>
            <w:r>
              <w:rPr>
                <w:rFonts w:hint="eastAsia" w:ascii="宋体" w:hAnsi="宋体" w:cs="宋体"/>
                <w:color w:val="auto"/>
                <w:kern w:val="0"/>
                <w:szCs w:val="21"/>
                <w:highlight w:val="none"/>
              </w:rPr>
              <w:t>                                      签字：</w:t>
            </w:r>
          </w:p>
        </w:tc>
      </w:tr>
      <w:tr w14:paraId="22C8CB14">
        <w:tblPrEx>
          <w:tblCellMar>
            <w:top w:w="0" w:type="dxa"/>
            <w:left w:w="0" w:type="dxa"/>
            <w:bottom w:w="0" w:type="dxa"/>
            <w:right w:w="0" w:type="dxa"/>
          </w:tblCellMar>
        </w:tblPrEx>
        <w:trPr>
          <w:trHeight w:val="507" w:hRule="atLeast"/>
          <w:jc w:val="center"/>
        </w:trPr>
        <w:tc>
          <w:tcPr>
            <w:tcW w:w="8642" w:type="dxa"/>
            <w:gridSpan w:val="7"/>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53906E4F">
            <w:pPr>
              <w:widowControl/>
              <w:spacing w:before="100" w:beforeAutospacing="1" w:after="100" w:afterAutospacing="1" w:line="320" w:lineRule="atLeast"/>
              <w:jc w:val="left"/>
              <w:rPr>
                <w:rFonts w:ascii="宋体" w:hAnsi="宋体" w:cs="宋体"/>
                <w:color w:val="auto"/>
                <w:kern w:val="0"/>
                <w:szCs w:val="21"/>
                <w:highlight w:val="none"/>
              </w:rPr>
            </w:pPr>
            <w:r>
              <w:rPr>
                <w:rFonts w:hint="eastAsia" w:ascii="宋体" w:hAnsi="宋体" w:cs="宋体"/>
                <w:color w:val="auto"/>
                <w:kern w:val="0"/>
                <w:szCs w:val="21"/>
                <w:highlight w:val="none"/>
              </w:rPr>
              <w:t>验收小组成员签字：</w:t>
            </w:r>
          </w:p>
        </w:tc>
      </w:tr>
      <w:tr w14:paraId="09C71FA5">
        <w:tblPrEx>
          <w:tblCellMar>
            <w:top w:w="0" w:type="dxa"/>
            <w:left w:w="0" w:type="dxa"/>
            <w:bottom w:w="0" w:type="dxa"/>
            <w:right w:w="0" w:type="dxa"/>
          </w:tblCellMar>
        </w:tblPrEx>
        <w:trPr>
          <w:trHeight w:val="736" w:hRule="atLeast"/>
          <w:jc w:val="center"/>
        </w:trPr>
        <w:tc>
          <w:tcPr>
            <w:tcW w:w="8642" w:type="dxa"/>
            <w:gridSpan w:val="7"/>
            <w:tcBorders>
              <w:top w:val="nil"/>
              <w:left w:val="single" w:color="auto" w:sz="8" w:space="0"/>
              <w:bottom w:val="single" w:color="auto" w:sz="4" w:space="0"/>
              <w:right w:val="single" w:color="auto" w:sz="8" w:space="0"/>
            </w:tcBorders>
            <w:noWrap w:val="0"/>
            <w:tcMar>
              <w:top w:w="0" w:type="dxa"/>
              <w:left w:w="108" w:type="dxa"/>
              <w:bottom w:w="0" w:type="dxa"/>
              <w:right w:w="108" w:type="dxa"/>
            </w:tcMar>
            <w:vAlign w:val="center"/>
          </w:tcPr>
          <w:p w14:paraId="07EBDA0A">
            <w:pPr>
              <w:widowControl/>
              <w:spacing w:before="100" w:beforeAutospacing="1" w:after="100" w:afterAutospacing="1" w:line="320" w:lineRule="atLeast"/>
              <w:jc w:val="left"/>
              <w:rPr>
                <w:rFonts w:ascii="宋体" w:hAnsi="宋体" w:cs="宋体"/>
                <w:color w:val="auto"/>
                <w:kern w:val="0"/>
                <w:szCs w:val="21"/>
                <w:highlight w:val="none"/>
              </w:rPr>
            </w:pPr>
            <w:r>
              <w:rPr>
                <w:rFonts w:hint="eastAsia" w:ascii="宋体" w:hAnsi="宋体" w:cs="宋体"/>
                <w:color w:val="auto"/>
                <w:kern w:val="0"/>
                <w:szCs w:val="21"/>
                <w:highlight w:val="none"/>
              </w:rPr>
              <w:t>监督人员或其他相关人员签字：</w:t>
            </w:r>
          </w:p>
          <w:p w14:paraId="79438C96">
            <w:pPr>
              <w:widowControl/>
              <w:spacing w:before="100" w:beforeAutospacing="1" w:after="100" w:afterAutospacing="1" w:line="320" w:lineRule="atLeast"/>
              <w:ind w:firstLine="74"/>
              <w:jc w:val="left"/>
              <w:rPr>
                <w:rFonts w:ascii="宋体" w:hAnsi="宋体" w:cs="宋体"/>
                <w:color w:val="auto"/>
                <w:kern w:val="0"/>
                <w:szCs w:val="21"/>
                <w:highlight w:val="none"/>
              </w:rPr>
            </w:pPr>
            <w:r>
              <w:rPr>
                <w:rFonts w:hint="eastAsia" w:ascii="宋体" w:hAnsi="宋体" w:cs="宋体"/>
                <w:color w:val="auto"/>
                <w:kern w:val="0"/>
                <w:szCs w:val="21"/>
                <w:highlight w:val="none"/>
              </w:rPr>
              <w:t>或受邀机构的意见（盖章）：</w:t>
            </w:r>
          </w:p>
        </w:tc>
      </w:tr>
      <w:tr w14:paraId="2ABD9D49">
        <w:tblPrEx>
          <w:tblCellMar>
            <w:top w:w="0" w:type="dxa"/>
            <w:left w:w="0" w:type="dxa"/>
            <w:bottom w:w="0" w:type="dxa"/>
            <w:right w:w="0" w:type="dxa"/>
          </w:tblCellMar>
        </w:tblPrEx>
        <w:trPr>
          <w:trHeight w:val="758" w:hRule="atLeast"/>
          <w:jc w:val="center"/>
        </w:trPr>
        <w:tc>
          <w:tcPr>
            <w:tcW w:w="3923" w:type="dxa"/>
            <w:gridSpan w:val="3"/>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3E9578C2">
            <w:pPr>
              <w:widowControl/>
              <w:spacing w:before="100" w:beforeAutospacing="1" w:after="100" w:afterAutospacing="1" w:line="320" w:lineRule="atLeast"/>
              <w:ind w:right="-223" w:rightChars="-106"/>
              <w:jc w:val="left"/>
              <w:rPr>
                <w:rFonts w:ascii="宋体" w:hAnsi="宋体" w:cs="宋体"/>
                <w:color w:val="auto"/>
                <w:kern w:val="0"/>
                <w:szCs w:val="21"/>
                <w:highlight w:val="none"/>
              </w:rPr>
            </w:pPr>
            <w:r>
              <w:rPr>
                <w:rFonts w:hint="eastAsia" w:ascii="宋体" w:hAnsi="宋体" w:cs="宋体"/>
                <w:color w:val="auto"/>
                <w:kern w:val="0"/>
                <w:szCs w:val="21"/>
                <w:highlight w:val="none"/>
              </w:rPr>
              <w:t>中标或者成交供应商负责人签字或盖章：</w:t>
            </w:r>
          </w:p>
          <w:p w14:paraId="5C1DF400">
            <w:pPr>
              <w:widowControl/>
              <w:spacing w:before="100" w:beforeAutospacing="1" w:after="100" w:afterAutospacing="1" w:line="320" w:lineRule="atLeast"/>
              <w:jc w:val="left"/>
              <w:rPr>
                <w:rFonts w:ascii="宋体" w:hAnsi="宋体" w:cs="宋体"/>
                <w:color w:val="auto"/>
                <w:kern w:val="0"/>
                <w:szCs w:val="21"/>
                <w:highlight w:val="none"/>
              </w:rPr>
            </w:pPr>
            <w:r>
              <w:rPr>
                <w:rFonts w:hint="eastAsia" w:ascii="宋体" w:hAnsi="宋体" w:cs="宋体"/>
                <w:color w:val="auto"/>
                <w:kern w:val="0"/>
                <w:szCs w:val="21"/>
                <w:highlight w:val="none"/>
              </w:rPr>
              <w:t>联系电话：        年 月 日</w:t>
            </w:r>
          </w:p>
        </w:tc>
        <w:tc>
          <w:tcPr>
            <w:tcW w:w="4719" w:type="dxa"/>
            <w:gridSpan w:val="4"/>
            <w:tcBorders>
              <w:top w:val="single" w:color="auto" w:sz="4" w:space="0"/>
              <w:left w:val="single" w:color="auto" w:sz="4" w:space="0"/>
              <w:bottom w:val="single" w:color="auto" w:sz="4" w:space="0"/>
              <w:right w:val="single" w:color="auto" w:sz="4" w:space="0"/>
            </w:tcBorders>
            <w:noWrap w:val="0"/>
            <w:vAlign w:val="center"/>
          </w:tcPr>
          <w:p w14:paraId="4BA0660D">
            <w:pPr>
              <w:widowControl/>
              <w:spacing w:before="100" w:beforeAutospacing="1" w:after="100" w:afterAutospacing="1" w:line="320" w:lineRule="atLeast"/>
              <w:jc w:val="left"/>
              <w:rPr>
                <w:rFonts w:ascii="宋体" w:hAnsi="宋体" w:cs="宋体"/>
                <w:color w:val="auto"/>
                <w:kern w:val="0"/>
                <w:szCs w:val="21"/>
                <w:highlight w:val="none"/>
              </w:rPr>
            </w:pPr>
            <w:r>
              <w:rPr>
                <w:rFonts w:hint="eastAsia" w:ascii="宋体" w:hAnsi="宋体" w:cs="宋体"/>
                <w:color w:val="auto"/>
                <w:kern w:val="0"/>
                <w:szCs w:val="21"/>
                <w:highlight w:val="none"/>
              </w:rPr>
              <w:t> 采购人或受托机构的意见（盖章）：</w:t>
            </w:r>
          </w:p>
          <w:p w14:paraId="0B4D4C37">
            <w:pPr>
              <w:widowControl/>
              <w:spacing w:before="100" w:beforeAutospacing="1" w:after="100" w:afterAutospacing="1" w:line="320" w:lineRule="atLeast"/>
              <w:ind w:firstLine="210" w:firstLineChars="100"/>
              <w:jc w:val="left"/>
              <w:rPr>
                <w:rFonts w:ascii="宋体" w:hAnsi="宋体" w:cs="宋体"/>
                <w:color w:val="auto"/>
                <w:kern w:val="0"/>
                <w:szCs w:val="21"/>
                <w:highlight w:val="none"/>
              </w:rPr>
            </w:pPr>
            <w:r>
              <w:rPr>
                <w:rFonts w:hint="eastAsia" w:ascii="宋体" w:hAnsi="宋体" w:cs="宋体"/>
                <w:color w:val="auto"/>
                <w:kern w:val="0"/>
                <w:szCs w:val="21"/>
                <w:highlight w:val="none"/>
              </w:rPr>
              <w:t>联系电话：        年  月  日</w:t>
            </w:r>
          </w:p>
        </w:tc>
      </w:tr>
    </w:tbl>
    <w:p w14:paraId="72FD3311">
      <w:pPr>
        <w:spacing w:line="360" w:lineRule="auto"/>
        <w:ind w:firstLine="420" w:firstLineChars="200"/>
        <w:rPr>
          <w:rFonts w:hint="eastAsia" w:ascii="宋体" w:hAnsi="宋体" w:eastAsia="宋体" w:cs="Times New Roman"/>
          <w:color w:val="auto"/>
          <w:szCs w:val="20"/>
          <w:highlight w:val="none"/>
          <w:lang w:val="en-US" w:eastAsia="zh-CN"/>
        </w:rPr>
      </w:pPr>
    </w:p>
    <w:p w14:paraId="70D40B0D">
      <w:pPr>
        <w:pStyle w:val="2"/>
        <w:jc w:val="center"/>
        <w:rPr>
          <w:rFonts w:hint="eastAsia"/>
          <w:color w:val="auto"/>
          <w:highlight w:val="none"/>
        </w:rPr>
      </w:pPr>
      <w:bookmarkStart w:id="24" w:name="_Toc170496363"/>
      <w:r>
        <w:rPr>
          <w:rFonts w:hint="eastAsia"/>
          <w:color w:val="auto"/>
          <w:highlight w:val="none"/>
        </w:rPr>
        <w:t>第四章 评审程序、评审方法和评审标准</w:t>
      </w:r>
      <w:bookmarkEnd w:id="24"/>
    </w:p>
    <w:p w14:paraId="5437787E">
      <w:pPr>
        <w:spacing w:line="360" w:lineRule="auto"/>
        <w:jc w:val="center"/>
        <w:rPr>
          <w:rFonts w:hint="eastAsia" w:ascii="宋体" w:hAnsi="宋体"/>
          <w:b/>
          <w:color w:val="auto"/>
          <w:sz w:val="32"/>
          <w:szCs w:val="32"/>
          <w:highlight w:val="none"/>
        </w:rPr>
      </w:pPr>
      <w:r>
        <w:rPr>
          <w:rFonts w:hint="eastAsia" w:ascii="宋体" w:hAnsi="宋体"/>
          <w:b/>
          <w:color w:val="auto"/>
          <w:sz w:val="32"/>
          <w:szCs w:val="32"/>
          <w:highlight w:val="none"/>
        </w:rPr>
        <w:t>一、评审程序和评审方法</w:t>
      </w:r>
    </w:p>
    <w:p w14:paraId="7F852BEC">
      <w:pPr>
        <w:spacing w:line="360" w:lineRule="auto"/>
        <w:ind w:firstLine="422" w:firstLineChars="200"/>
        <w:rPr>
          <w:rFonts w:hint="eastAsia" w:ascii="宋体" w:hAnsi="宋体" w:cs="宋体"/>
          <w:b/>
          <w:bCs/>
          <w:color w:val="auto"/>
          <w:szCs w:val="21"/>
          <w:highlight w:val="none"/>
        </w:rPr>
      </w:pPr>
      <w:r>
        <w:rPr>
          <w:rFonts w:ascii="宋体" w:hAnsi="宋体" w:cs="宋体"/>
          <w:b/>
          <w:bCs/>
          <w:color w:val="auto"/>
          <w:szCs w:val="21"/>
          <w:highlight w:val="none"/>
        </w:rPr>
        <w:t>1</w:t>
      </w:r>
      <w:r>
        <w:rPr>
          <w:rFonts w:hint="eastAsia" w:ascii="宋体" w:hAnsi="宋体" w:cs="宋体"/>
          <w:b/>
          <w:bCs/>
          <w:color w:val="auto"/>
          <w:szCs w:val="21"/>
          <w:highlight w:val="none"/>
        </w:rPr>
        <w:t>.资格审查</w:t>
      </w:r>
    </w:p>
    <w:p w14:paraId="65E32416">
      <w:pPr>
        <w:snapToGrid w:val="0"/>
        <w:spacing w:line="360" w:lineRule="auto"/>
        <w:ind w:firstLine="420" w:firstLineChars="200"/>
        <w:rPr>
          <w:rFonts w:ascii="宋体" w:hAnsi="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.1</w:t>
      </w:r>
      <w:r>
        <w:rPr>
          <w:rFonts w:hint="eastAsia" w:ascii="宋体" w:hAnsi="宋体"/>
          <w:color w:val="auto"/>
          <w:szCs w:val="21"/>
          <w:highlight w:val="none"/>
        </w:rPr>
        <w:t>响应文件开启后，磋商小组依法对供应商的资格证明文件进行审查。</w:t>
      </w:r>
    </w:p>
    <w:p w14:paraId="2AB539AE">
      <w:pPr>
        <w:snapToGrid w:val="0"/>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（1）查询渠道：</w:t>
      </w:r>
      <w:r>
        <w:rPr>
          <w:rFonts w:ascii="宋体" w:hAnsi="宋体" w:cs="宋体"/>
          <w:color w:val="auto"/>
          <w:szCs w:val="21"/>
          <w:highlight w:val="none"/>
        </w:rPr>
        <w:t>“信用中国”网站（www.creditchina.gov.cn）、中国政府采购网（</w:t>
      </w:r>
      <w:r>
        <w:rPr>
          <w:rFonts w:ascii="宋体" w:hAnsi="宋体" w:cs="宋体"/>
          <w:color w:val="auto"/>
          <w:szCs w:val="21"/>
          <w:highlight w:val="none"/>
        </w:rPr>
        <w:fldChar w:fldCharType="begin"/>
      </w:r>
      <w:r>
        <w:rPr>
          <w:rFonts w:ascii="宋体" w:hAnsi="宋体" w:cs="宋体"/>
          <w:color w:val="auto"/>
          <w:szCs w:val="21"/>
          <w:highlight w:val="none"/>
        </w:rPr>
        <w:instrText xml:space="preserve"> HYPERLINK "http://www.ccgp.gov.cn" </w:instrText>
      </w:r>
      <w:r>
        <w:rPr>
          <w:rFonts w:ascii="宋体" w:hAnsi="宋体" w:cs="宋体"/>
          <w:color w:val="auto"/>
          <w:szCs w:val="21"/>
          <w:highlight w:val="none"/>
        </w:rPr>
        <w:fldChar w:fldCharType="separate"/>
      </w:r>
      <w:r>
        <w:rPr>
          <w:rFonts w:ascii="宋体" w:hAnsi="宋体" w:cs="宋体"/>
          <w:color w:val="auto"/>
          <w:szCs w:val="21"/>
          <w:highlight w:val="none"/>
        </w:rPr>
        <w:t>www.ccgp.gov.cn</w:t>
      </w:r>
      <w:r>
        <w:rPr>
          <w:rFonts w:ascii="宋体" w:hAnsi="宋体" w:cs="宋体"/>
          <w:color w:val="auto"/>
          <w:szCs w:val="21"/>
          <w:highlight w:val="none"/>
        </w:rPr>
        <w:fldChar w:fldCharType="end"/>
      </w:r>
      <w:r>
        <w:rPr>
          <w:rFonts w:ascii="宋体" w:hAnsi="宋体" w:cs="宋体"/>
          <w:color w:val="auto"/>
          <w:szCs w:val="21"/>
          <w:highlight w:val="none"/>
        </w:rPr>
        <w:t>）</w:t>
      </w:r>
    </w:p>
    <w:p w14:paraId="76573B6E">
      <w:pPr>
        <w:snapToGrid w:val="0"/>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（2）信用查询截止时点：</w:t>
      </w:r>
      <w:r>
        <w:rPr>
          <w:rFonts w:ascii="宋体" w:hAnsi="宋体" w:cs="宋体"/>
          <w:color w:val="auto"/>
          <w:szCs w:val="21"/>
          <w:highlight w:val="none"/>
        </w:rPr>
        <w:t>资格审查结束前</w:t>
      </w:r>
    </w:p>
    <w:p w14:paraId="703992BD">
      <w:pPr>
        <w:snapToGrid w:val="0"/>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（3）查询记录和证据留存方式：将查询网站中的查询记录截图并作为评审资料保存。</w:t>
      </w:r>
    </w:p>
    <w:p w14:paraId="6BC1E7A1">
      <w:pPr>
        <w:snapToGrid w:val="0"/>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（4）信用信息使用规则：根据财政部《关于在政府采购活动中查询及使用信用记录有关问题的通知》（财库〔2016〕125号）的规定，对在“信用中国”网站</w:t>
      </w:r>
      <w:r>
        <w:rPr>
          <w:rFonts w:hint="eastAsia" w:ascii="宋体" w:hAnsi="宋体" w:cs="宋体"/>
          <w:color w:val="auto"/>
          <w:szCs w:val="21"/>
          <w:highlight w:val="none"/>
          <w:lang w:eastAsia="zh-CN"/>
        </w:rPr>
        <w:t>（</w:t>
      </w:r>
      <w:r>
        <w:rPr>
          <w:rFonts w:hint="eastAsia" w:ascii="宋体" w:hAnsi="宋体" w:cs="宋体"/>
          <w:color w:val="auto"/>
          <w:szCs w:val="21"/>
          <w:highlight w:val="none"/>
        </w:rPr>
        <w:t>www.creditchina.gov.cn</w:t>
      </w:r>
      <w:r>
        <w:rPr>
          <w:rFonts w:hint="eastAsia" w:ascii="宋体" w:hAnsi="宋体" w:cs="宋体"/>
          <w:color w:val="auto"/>
          <w:szCs w:val="21"/>
          <w:highlight w:val="none"/>
          <w:lang w:eastAsia="zh-CN"/>
        </w:rPr>
        <w:t>）</w:t>
      </w:r>
      <w:r>
        <w:rPr>
          <w:rFonts w:hint="eastAsia" w:ascii="宋体" w:hAnsi="宋体" w:cs="宋体"/>
          <w:color w:val="auto"/>
          <w:szCs w:val="21"/>
          <w:highlight w:val="none"/>
        </w:rPr>
        <w:t xml:space="preserve"> 、中国政府采购网</w:t>
      </w:r>
      <w:r>
        <w:rPr>
          <w:rFonts w:hint="eastAsia" w:ascii="宋体" w:hAnsi="宋体" w:cs="宋体"/>
          <w:color w:val="auto"/>
          <w:szCs w:val="21"/>
          <w:highlight w:val="none"/>
          <w:lang w:eastAsia="zh-CN"/>
        </w:rPr>
        <w:t>（</w:t>
      </w:r>
      <w:r>
        <w:rPr>
          <w:rFonts w:hint="eastAsia" w:ascii="宋体" w:hAnsi="宋体" w:cs="宋体"/>
          <w:color w:val="auto"/>
          <w:szCs w:val="21"/>
          <w:highlight w:val="none"/>
        </w:rPr>
        <w:t>www.ccgp.gov.cn</w:t>
      </w:r>
      <w:r>
        <w:rPr>
          <w:rFonts w:hint="eastAsia" w:ascii="宋体" w:hAnsi="宋体" w:cs="宋体"/>
          <w:color w:val="auto"/>
          <w:szCs w:val="21"/>
          <w:highlight w:val="none"/>
          <w:lang w:eastAsia="zh-CN"/>
        </w:rPr>
        <w:t>）</w:t>
      </w:r>
      <w:r>
        <w:rPr>
          <w:rFonts w:hint="eastAsia" w:ascii="宋体" w:hAnsi="宋体" w:cs="宋体"/>
          <w:color w:val="auto"/>
          <w:szCs w:val="21"/>
          <w:highlight w:val="none"/>
        </w:rPr>
        <w:t>被列入失信被执行人、重大税收违法失信主体、政府采购严重违法失信行为记录名单及其他不符合《中华人民共和国政府采购法》第二十二条规定条件的供应商，不得参与政府采购活动。</w:t>
      </w:r>
    </w:p>
    <w:p w14:paraId="518BEAB4">
      <w:pPr>
        <w:snapToGrid w:val="0"/>
        <w:spacing w:line="360" w:lineRule="auto"/>
        <w:ind w:firstLine="420" w:firstLineChars="200"/>
        <w:jc w:val="left"/>
        <w:rPr>
          <w:rFonts w:hint="eastAsia"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.2资格审查标准为本磋商文件中载明对供应商资格要求的条件。资格审查采用合格制，凡符合磋商文件规定的供应商资格要求的响应文件均通过资格审查。</w:t>
      </w:r>
    </w:p>
    <w:p w14:paraId="139BDAFC">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.3供应商有下列情形之一的，资格审查不通过，其响应文件按无效响应处理：</w:t>
      </w:r>
    </w:p>
    <w:p w14:paraId="0D15056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1</w:t>
      </w:r>
      <w:r>
        <w:rPr>
          <w:rFonts w:hint="eastAsia" w:ascii="宋体" w:hAnsi="宋体" w:cs="宋体"/>
          <w:color w:val="auto"/>
          <w:szCs w:val="21"/>
          <w:highlight w:val="none"/>
        </w:rPr>
        <w:t>）不具备磋商文件中规定的资格要求的；</w:t>
      </w:r>
    </w:p>
    <w:p w14:paraId="3AB34D3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（2）响应文件的资格证明文件缺少任一项“供应商须知前附表”资格证明文件规定的“必须提供”的文件资料的；</w:t>
      </w:r>
    </w:p>
    <w:p w14:paraId="3889083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（3）响应文件中的资格证明文件出现任一项不符合“供应商须知前附表”资格证明文件规定的“必须提供”的文件资料要求或者无效的；</w:t>
      </w:r>
    </w:p>
    <w:p w14:paraId="0108D27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（4）同一合同项下的不同供应商，单位负责人为同一人或者存在直接控股、管理关系的；为本项目提供过整体设计、规范编制或者项目管理、监理、检测等服务的供应商，再参加该采购项目的其他采购活动的。</w:t>
      </w:r>
    </w:p>
    <w:p w14:paraId="356EC0B4">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.4通过资格审查的合格供应商不足3家的，不得进入符合性审查环节，</w:t>
      </w:r>
      <w:r>
        <w:rPr>
          <w:rFonts w:hint="eastAsia" w:ascii="宋体" w:hAnsi="宋体"/>
          <w:color w:val="auto"/>
          <w:szCs w:val="21"/>
          <w:highlight w:val="none"/>
        </w:rPr>
        <w:t>采购人或者采购代理机构应当重新开展采购活动。</w:t>
      </w:r>
    </w:p>
    <w:p w14:paraId="2CC83DC0">
      <w:pPr>
        <w:spacing w:line="360" w:lineRule="auto"/>
        <w:ind w:firstLine="422" w:firstLineChars="200"/>
        <w:rPr>
          <w:rFonts w:hint="eastAsia" w:ascii="宋体" w:hAnsi="宋体" w:cs="宋体"/>
          <w:b/>
          <w:bCs/>
          <w:color w:val="auto"/>
          <w:szCs w:val="21"/>
          <w:highlight w:val="none"/>
        </w:rPr>
      </w:pPr>
      <w:r>
        <w:rPr>
          <w:rFonts w:ascii="宋体" w:hAnsi="宋体" w:cs="宋体"/>
          <w:b/>
          <w:bCs/>
          <w:color w:val="auto"/>
          <w:szCs w:val="21"/>
          <w:highlight w:val="none"/>
        </w:rPr>
        <w:t>2</w:t>
      </w:r>
      <w:r>
        <w:rPr>
          <w:rFonts w:hint="eastAsia" w:ascii="宋体" w:hAnsi="宋体" w:cs="宋体"/>
          <w:b/>
          <w:bCs/>
          <w:color w:val="auto"/>
          <w:szCs w:val="21"/>
          <w:highlight w:val="none"/>
        </w:rPr>
        <w:t>.符合性审查</w:t>
      </w:r>
    </w:p>
    <w:p w14:paraId="26651656">
      <w:pPr>
        <w:spacing w:line="360" w:lineRule="auto"/>
        <w:ind w:firstLine="420" w:firstLineChars="200"/>
        <w:rPr>
          <w:rFonts w:hint="eastAsia" w:ascii="宋体" w:hAnsi="宋体" w:cs="宋体"/>
          <w:color w:val="auto"/>
          <w:szCs w:val="21"/>
          <w:highlight w:val="none"/>
        </w:rPr>
      </w:pPr>
      <w:bookmarkStart w:id="25" w:name="_Hlk42528882"/>
      <w:r>
        <w:rPr>
          <w:rFonts w:ascii="宋体" w:hAnsi="宋体" w:cs="宋体"/>
          <w:color w:val="auto"/>
          <w:szCs w:val="21"/>
          <w:highlight w:val="none"/>
        </w:rPr>
        <w:t>2.1</w:t>
      </w:r>
      <w:r>
        <w:rPr>
          <w:rFonts w:hint="eastAsia" w:ascii="宋体" w:hAnsi="宋体" w:cs="宋体"/>
          <w:color w:val="auto"/>
          <w:szCs w:val="21"/>
          <w:highlight w:val="none"/>
        </w:rPr>
        <w:t>由磋商小组对</w:t>
      </w:r>
      <w:r>
        <w:rPr>
          <w:rFonts w:hint="eastAsia" w:ascii="宋体" w:hAnsi="宋体"/>
          <w:color w:val="auto"/>
          <w:szCs w:val="21"/>
          <w:highlight w:val="none"/>
        </w:rPr>
        <w:t>资格审查的合格供应商</w:t>
      </w:r>
      <w:r>
        <w:rPr>
          <w:rFonts w:hint="eastAsia" w:ascii="宋体" w:hAnsi="宋体" w:cs="宋体"/>
          <w:color w:val="auto"/>
          <w:szCs w:val="21"/>
          <w:highlight w:val="none"/>
        </w:rPr>
        <w:t>的响应文件的竞标报价、商务、技术等实质性要求进行符合性审查，以确定其是否满足磋商文件的实质性要求。</w:t>
      </w:r>
    </w:p>
    <w:bookmarkEnd w:id="25"/>
    <w:p w14:paraId="26839CD0">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2.2</w:t>
      </w:r>
      <w:r>
        <w:rPr>
          <w:rFonts w:hint="eastAsia" w:ascii="宋体" w:hAnsi="宋体" w:cs="宋体"/>
          <w:color w:val="auto"/>
          <w:szCs w:val="21"/>
          <w:highlight w:val="none"/>
        </w:rPr>
        <w:t>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0989341C">
      <w:pPr>
        <w:spacing w:line="360" w:lineRule="auto"/>
        <w:ind w:firstLine="420" w:firstLineChars="200"/>
        <w:rPr>
          <w:rFonts w:ascii="宋体" w:hAnsi="宋体" w:cs="宋体"/>
          <w:color w:val="auto"/>
          <w:spacing w:val="-6"/>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w:t>
      </w:r>
      <w:r>
        <w:rPr>
          <w:rFonts w:ascii="宋体" w:hAnsi="宋体" w:cs="宋体"/>
          <w:color w:val="auto"/>
          <w:szCs w:val="21"/>
          <w:highlight w:val="none"/>
        </w:rPr>
        <w:t>3</w:t>
      </w:r>
      <w:r>
        <w:rPr>
          <w:rFonts w:hint="eastAsia" w:ascii="宋体" w:hAnsi="宋体" w:cs="宋体"/>
          <w:color w:val="auto"/>
          <w:szCs w:val="21"/>
          <w:highlight w:val="none"/>
        </w:rPr>
        <w:t>磋商小组要求供应商澄清、说明或者更正响应文件应当以电子澄清函形式作出。供应商的澄清、说明或者更正应当以电子回函形式按照磋商小组的要求作出明确的澄清、说明或者更正，未按磋商小组的要求作出明确澄清、说明或者更正的供应商的响应文件将按照有利于采购人的原则由磋商小组进行判定。供应商的澄清、说明或者更正必须由法定代表人或者其授权代表签字或加盖供应商公章</w:t>
      </w:r>
      <w:r>
        <w:rPr>
          <w:rFonts w:hint="eastAsia" w:ascii="宋体" w:hAnsi="宋体" w:cs="宋体"/>
          <w:color w:val="auto"/>
          <w:spacing w:val="-6"/>
          <w:szCs w:val="21"/>
          <w:highlight w:val="none"/>
        </w:rPr>
        <w:t>。供应商为自然人的，必须由本人签字并附身份证明。</w:t>
      </w:r>
    </w:p>
    <w:p w14:paraId="557BE875">
      <w:pPr>
        <w:spacing w:line="360" w:lineRule="auto"/>
        <w:ind w:firstLine="396" w:firstLineChars="200"/>
        <w:rPr>
          <w:rFonts w:hint="eastAsia" w:ascii="宋体" w:hAnsi="宋体" w:cs="宋体"/>
          <w:color w:val="auto"/>
          <w:szCs w:val="21"/>
          <w:highlight w:val="none"/>
        </w:rPr>
      </w:pPr>
      <w:r>
        <w:rPr>
          <w:rFonts w:ascii="宋体" w:hAnsi="宋体" w:cs="宋体"/>
          <w:color w:val="auto"/>
          <w:spacing w:val="-6"/>
          <w:szCs w:val="21"/>
          <w:highlight w:val="none"/>
        </w:rPr>
        <w:t>2.4</w:t>
      </w:r>
      <w:r>
        <w:rPr>
          <w:rFonts w:hint="eastAsia" w:ascii="宋体" w:hAnsi="宋体" w:cs="宋体"/>
          <w:color w:val="auto"/>
          <w:szCs w:val="21"/>
          <w:highlight w:val="none"/>
        </w:rPr>
        <w:t>首次响应文件报价出现前后不一致的，按照下列规定修正：</w:t>
      </w:r>
    </w:p>
    <w:p w14:paraId="5E2D9993">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（1）响应文件中报价表内容与响应文件中</w:t>
      </w:r>
      <w:r>
        <w:rPr>
          <w:rFonts w:hint="eastAsia" w:ascii="宋体" w:hAnsi="宋体" w:cs="宋体"/>
          <w:color w:val="auto"/>
          <w:szCs w:val="21"/>
          <w:highlight w:val="none"/>
          <w:lang w:eastAsia="zh-CN"/>
        </w:rPr>
        <w:t>响应</w:t>
      </w:r>
      <w:r>
        <w:rPr>
          <w:rFonts w:hint="eastAsia" w:ascii="宋体" w:hAnsi="宋体" w:cs="宋体"/>
          <w:color w:val="auto"/>
          <w:szCs w:val="21"/>
          <w:highlight w:val="none"/>
        </w:rPr>
        <w:t>内容不一致的，以报价表为准；</w:t>
      </w:r>
    </w:p>
    <w:p w14:paraId="7E8365D2">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（2）大写金额和小写金额不一致的，以大写金额为准；</w:t>
      </w:r>
    </w:p>
    <w:p w14:paraId="6FC4D23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（3）单价金额小数点或者百分比有明显错位的，以报价表的总价为准，并修改单价；</w:t>
      </w:r>
    </w:p>
    <w:p w14:paraId="51F74B2F">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（4）总价金额与按单价汇总金额不一致的，以单价金额计算结果为准。</w:t>
      </w:r>
    </w:p>
    <w:p w14:paraId="11A765AB">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同时出现两种以上不一致的，按照以上（1）</w:t>
      </w:r>
      <w:r>
        <w:rPr>
          <w:rFonts w:hint="eastAsia" w:ascii="宋体" w:hAnsi="宋体" w:cs="宋体"/>
          <w:color w:val="auto"/>
          <w:szCs w:val="21"/>
          <w:highlight w:val="none"/>
          <w:lang w:eastAsia="zh-CN"/>
        </w:rPr>
        <w:t>－</w:t>
      </w:r>
      <w:r>
        <w:rPr>
          <w:rFonts w:hint="eastAsia" w:ascii="宋体" w:hAnsi="宋体" w:cs="宋体"/>
          <w:color w:val="auto"/>
          <w:szCs w:val="21"/>
          <w:highlight w:val="none"/>
        </w:rPr>
        <w:t>（4）规定的顺序逐条进行修正。修正后的报价经供应商确认后产生约束力，供应商不确认的，其响应文件按无效响应处理。</w:t>
      </w:r>
    </w:p>
    <w:p w14:paraId="4894BEF4">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w:t>
      </w:r>
      <w:r>
        <w:rPr>
          <w:rFonts w:ascii="宋体" w:hAnsi="宋体" w:cs="宋体"/>
          <w:color w:val="auto"/>
          <w:szCs w:val="21"/>
          <w:highlight w:val="none"/>
        </w:rPr>
        <w:t>5</w:t>
      </w:r>
      <w:r>
        <w:rPr>
          <w:rFonts w:hint="eastAsia" w:ascii="宋体" w:hAnsi="宋体" w:cs="宋体"/>
          <w:color w:val="auto"/>
          <w:szCs w:val="21"/>
          <w:highlight w:val="none"/>
        </w:rPr>
        <w:t>商务技术报价评审</w:t>
      </w:r>
    </w:p>
    <w:p w14:paraId="2798C29E">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在评审时，如发现下列情形之一的，将被视为响应文件无效响应处理：</w:t>
      </w:r>
    </w:p>
    <w:p w14:paraId="749872A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（1）商务技术评审</w:t>
      </w:r>
    </w:p>
    <w:p w14:paraId="5CCD586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1）响应文件未按磋商文件要求签署、盖章；</w:t>
      </w:r>
    </w:p>
    <w:p w14:paraId="0D6EB7D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2）委托代理人未能出具有效身份证或者出具的身份证与授权委托书中的信息不符的；</w:t>
      </w:r>
    </w:p>
    <w:p w14:paraId="3753B62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3）提交的磋商保证金无效的或者未按照磋商文件的规定提交磋商保证金；</w:t>
      </w:r>
    </w:p>
    <w:p w14:paraId="2CEC47D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4）响应文件中的报价商务技术文件出现任一项不符合“供应商须知前附表”中“必须提供”或者“委托时必须提供”文件资料要求的规定或者提供的报价商务技术文件无效。</w:t>
      </w:r>
    </w:p>
    <w:p w14:paraId="39A71DBF">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5）商务条款</w:t>
      </w:r>
      <w:r>
        <w:rPr>
          <w:rFonts w:hint="eastAsia" w:ascii="宋体" w:hAnsi="宋体" w:cs="宋体"/>
          <w:color w:val="auto"/>
          <w:szCs w:val="21"/>
          <w:highlight w:val="none"/>
          <w:lang w:val="en-US" w:eastAsia="zh-CN"/>
        </w:rPr>
        <w:t>中标</w:t>
      </w:r>
      <w:r>
        <w:rPr>
          <w:rFonts w:hint="eastAsia" w:ascii="宋体" w:hAnsi="宋体" w:cs="宋体"/>
          <w:color w:val="auto"/>
          <w:szCs w:val="21"/>
          <w:highlight w:val="none"/>
        </w:rPr>
        <w:t>“▲”的条款发生负偏离或者允许负偏离的条款数超过“供应商须知前附表”规定项数的；</w:t>
      </w:r>
    </w:p>
    <w:p w14:paraId="15FF297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6）未对竞标有效期作出响应或者响应文件承诺的竞标有效期不满足磋商文件要求；</w:t>
      </w:r>
    </w:p>
    <w:p w14:paraId="76EAFA0C">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7）响应文件的实质性内容未使用中文表述、使用计量单位不符合磋商文件要求；</w:t>
      </w:r>
    </w:p>
    <w:p w14:paraId="4230B6C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8）响应文件中的文件资料因填写不齐全或者内容虚假或者出现其他情形而导致被磋商小组认定无效；</w:t>
      </w:r>
    </w:p>
    <w:p w14:paraId="2B8E561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9）响应文件含有采购人不能接受的附加条件；</w:t>
      </w:r>
    </w:p>
    <w:p w14:paraId="039F026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10）属于“供应商须知正文”第7.</w:t>
      </w:r>
      <w:r>
        <w:rPr>
          <w:rFonts w:ascii="宋体" w:hAnsi="宋体" w:cs="宋体"/>
          <w:color w:val="auto"/>
          <w:szCs w:val="21"/>
          <w:highlight w:val="none"/>
        </w:rPr>
        <w:t>5</w:t>
      </w:r>
      <w:r>
        <w:rPr>
          <w:rFonts w:hint="eastAsia" w:ascii="宋体" w:hAnsi="宋体" w:cs="宋体"/>
          <w:color w:val="auto"/>
          <w:szCs w:val="21"/>
          <w:highlight w:val="none"/>
        </w:rPr>
        <w:t>条情形；</w:t>
      </w:r>
    </w:p>
    <w:p w14:paraId="765F8A2E">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服务</w:t>
      </w:r>
      <w:r>
        <w:rPr>
          <w:rFonts w:hint="eastAsia" w:ascii="宋体" w:hAnsi="宋体" w:cs="宋体"/>
          <w:color w:val="auto"/>
          <w:szCs w:val="21"/>
          <w:highlight w:val="none"/>
        </w:rPr>
        <w:t>要求</w:t>
      </w:r>
      <w:r>
        <w:rPr>
          <w:rFonts w:hint="eastAsia" w:ascii="宋体" w:hAnsi="宋体" w:cs="宋体"/>
          <w:color w:val="auto"/>
          <w:szCs w:val="21"/>
          <w:highlight w:val="none"/>
          <w:lang w:val="en-US" w:eastAsia="zh-CN"/>
        </w:rPr>
        <w:t>中标</w:t>
      </w:r>
      <w:r>
        <w:rPr>
          <w:rFonts w:hint="eastAsia" w:ascii="宋体" w:hAnsi="宋体" w:cs="宋体"/>
          <w:color w:val="auto"/>
          <w:szCs w:val="21"/>
          <w:highlight w:val="none"/>
        </w:rPr>
        <w:t>“▲”的条款发生负偏离或允许负偏离的条款数超过“供应商须知前附表”规定项数的；</w:t>
      </w:r>
    </w:p>
    <w:p w14:paraId="0B073619">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2）虚假竞标，或者出现其他情形而导致被磋商小组认定无效；</w:t>
      </w:r>
    </w:p>
    <w:p w14:paraId="30C4BA5C">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3）</w:t>
      </w:r>
      <w:bookmarkStart w:id="26" w:name="_Hlk71704147"/>
      <w:r>
        <w:rPr>
          <w:rFonts w:hint="eastAsia" w:ascii="宋体" w:hAnsi="宋体" w:cs="宋体"/>
          <w:color w:val="auto"/>
          <w:szCs w:val="21"/>
          <w:highlight w:val="none"/>
        </w:rPr>
        <w:t>磋商文件未载明允许提供备选（替代）竞标方案或明确不允许提供备选（替代）竞标方案时，供应商提供了备选（替代）竞标方案的；</w:t>
      </w:r>
      <w:bookmarkEnd w:id="26"/>
    </w:p>
    <w:p w14:paraId="2ADB2461">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4）响应文件标注的项目名称或者项目编号与磋商文件标注的项目名称或者项目编号不一致的；</w:t>
      </w:r>
    </w:p>
    <w:p w14:paraId="3123762B">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15）</w:t>
      </w:r>
      <w:r>
        <w:rPr>
          <w:rFonts w:hint="eastAsia" w:ascii="宋体" w:hAnsi="宋体"/>
          <w:color w:val="auto"/>
          <w:szCs w:val="21"/>
          <w:highlight w:val="none"/>
        </w:rPr>
        <w:t>竞争性磋商文件明确不允许分包，响应文件拟分包的；</w:t>
      </w:r>
    </w:p>
    <w:p w14:paraId="55C505A6">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6）未响应磋商文件实质性要求；</w:t>
      </w:r>
    </w:p>
    <w:p w14:paraId="285D10E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17）法律、法规和磋商文件规定的其他无效情形。</w:t>
      </w:r>
    </w:p>
    <w:p w14:paraId="4AFE8D4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2</w:t>
      </w:r>
      <w:r>
        <w:rPr>
          <w:rFonts w:hint="eastAsia" w:ascii="宋体" w:hAnsi="宋体" w:cs="宋体"/>
          <w:color w:val="auto"/>
          <w:szCs w:val="21"/>
          <w:highlight w:val="none"/>
        </w:rPr>
        <w:t>）报价评审</w:t>
      </w:r>
    </w:p>
    <w:p w14:paraId="3AD0A5E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1）响应文件未提供“供应商须知前附表” 报价商务技术文件中规定的“竞标报价表”；</w:t>
      </w:r>
    </w:p>
    <w:p w14:paraId="261AAE4E">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2）未采用人民币报价或者未按照磋商文件标明的币种报价；</w:t>
      </w:r>
    </w:p>
    <w:p w14:paraId="66013F7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供应商未就所竞标分标进行报价或者存在漏项报价；供应商未就所竞标分标的单项内容作唯一报价；供应商未就所竞标分标的全部内容作完整唯一总价报价；供应商响应文件中存在有选择、有条件报价的（磋商文件允许有备选方案或者其他约定的除外）；</w:t>
      </w:r>
    </w:p>
    <w:p w14:paraId="2C840BF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4）最后报价超过所竞标分标规定的采购预算金额或者最高限价的（如本项目公布了最高限价）；</w:t>
      </w:r>
    </w:p>
    <w:p w14:paraId="74D61CE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5）修正后的报价，供应商不确认的；或者经供应商确认修正后的最后报价超过所竞标分标规定的采购预算金额或者最高限价（如本项目公布了最高限价）；</w:t>
      </w:r>
    </w:p>
    <w:p w14:paraId="71309687">
      <w:pPr>
        <w:spacing w:line="360" w:lineRule="auto"/>
        <w:ind w:firstLine="420" w:firstLineChars="200"/>
        <w:rPr>
          <w:rFonts w:hint="eastAsia" w:ascii="宋体" w:hAnsi="宋体"/>
          <w:color w:val="auto"/>
          <w:szCs w:val="21"/>
          <w:highlight w:val="none"/>
        </w:rPr>
      </w:pPr>
      <w:r>
        <w:rPr>
          <w:rFonts w:hint="eastAsia" w:ascii="宋体" w:hAnsi="宋体" w:cs="宋体"/>
          <w:color w:val="auto"/>
          <w:szCs w:val="21"/>
          <w:highlight w:val="none"/>
        </w:rPr>
        <w:t>6）</w:t>
      </w:r>
      <w:r>
        <w:rPr>
          <w:rFonts w:hint="eastAsia" w:ascii="宋体" w:hAnsi="宋体"/>
          <w:color w:val="auto"/>
          <w:szCs w:val="21"/>
          <w:highlight w:val="none"/>
        </w:rPr>
        <w:t>响应文件响应的标的数量及单位与</w:t>
      </w:r>
      <w:r>
        <w:rPr>
          <w:rFonts w:hint="eastAsia" w:ascii="宋体" w:hAnsi="宋体"/>
          <w:color w:val="auto"/>
          <w:szCs w:val="21"/>
          <w:highlight w:val="none"/>
          <w:lang w:eastAsia="zh-CN"/>
        </w:rPr>
        <w:t>竞争性磋商文件</w:t>
      </w:r>
      <w:r>
        <w:rPr>
          <w:rFonts w:hint="eastAsia" w:ascii="宋体" w:hAnsi="宋体"/>
          <w:color w:val="auto"/>
          <w:szCs w:val="21"/>
          <w:highlight w:val="none"/>
        </w:rPr>
        <w:t>要求实质性不一致的。</w:t>
      </w:r>
    </w:p>
    <w:p w14:paraId="0FE5AC1A">
      <w:pPr>
        <w:spacing w:line="360" w:lineRule="auto"/>
        <w:ind w:firstLine="420" w:firstLineChars="200"/>
        <w:rPr>
          <w:rFonts w:hint="eastAsia" w:ascii="宋体" w:hAnsi="宋体" w:cs="宋体"/>
          <w:color w:val="auto"/>
          <w:szCs w:val="21"/>
          <w:highlight w:val="none"/>
          <w:lang w:eastAsia="zh-CN"/>
        </w:rPr>
      </w:pPr>
      <w:r>
        <w:rPr>
          <w:rFonts w:hint="eastAsia" w:ascii="宋体" w:hAnsi="宋体" w:eastAsia="宋体" w:cs="宋体"/>
          <w:color w:val="auto"/>
          <w:szCs w:val="21"/>
          <w:highlight w:val="none"/>
        </w:rPr>
        <w:t>7）异常低价审查</w:t>
      </w:r>
      <w:r>
        <w:rPr>
          <w:rFonts w:hint="eastAsia" w:ascii="宋体" w:hAnsi="宋体" w:cs="宋体"/>
          <w:color w:val="auto"/>
          <w:szCs w:val="21"/>
          <w:highlight w:val="none"/>
          <w:lang w:eastAsia="zh-CN"/>
        </w:rPr>
        <w:t>：</w:t>
      </w:r>
    </w:p>
    <w:p w14:paraId="59EC6ED0">
      <w:pPr>
        <w:shd w:val="clear" w:color="auto" w:fill="auto"/>
        <w:spacing w:line="360" w:lineRule="auto"/>
        <w:ind w:firstLine="422" w:firstLineChars="200"/>
        <w:rPr>
          <w:rFonts w:hint="eastAsia" w:ascii="宋体" w:hAnsi="宋体" w:cs="宋体"/>
          <w:b/>
          <w:bCs/>
          <w:color w:val="auto"/>
          <w:szCs w:val="21"/>
          <w:highlight w:val="none"/>
          <w:lang w:val="en-US" w:eastAsia="zh-CN"/>
        </w:rPr>
      </w:pPr>
      <w:r>
        <w:rPr>
          <w:rFonts w:hint="eastAsia" w:ascii="宋体" w:hAnsi="宋体" w:cs="宋体"/>
          <w:b/>
          <w:bCs/>
          <w:color w:val="auto"/>
          <w:szCs w:val="21"/>
          <w:highlight w:val="none"/>
          <w:lang w:val="en-US" w:eastAsia="zh-CN"/>
        </w:rPr>
        <w:t>依据规定《财政部关于推动解决政府采购异常低价问题的通知》（财库〔2026〕2号）规定，政府采购评审中出现以下异常低价情形，磋商小组应当启动异常低价投标审查程序：</w:t>
      </w:r>
    </w:p>
    <w:p w14:paraId="567EB860">
      <w:pPr>
        <w:shd w:val="clear" w:color="auto" w:fill="auto"/>
        <w:spacing w:line="360" w:lineRule="auto"/>
        <w:ind w:firstLine="422" w:firstLineChars="200"/>
        <w:rPr>
          <w:rFonts w:hint="eastAsia" w:ascii="宋体" w:hAnsi="宋体" w:cs="宋体"/>
          <w:b/>
          <w:bCs/>
          <w:color w:val="auto"/>
          <w:szCs w:val="21"/>
          <w:highlight w:val="none"/>
          <w:lang w:val="en-US" w:eastAsia="zh-CN"/>
        </w:rPr>
      </w:pPr>
      <w:r>
        <w:rPr>
          <w:rFonts w:hint="eastAsia" w:ascii="宋体" w:hAnsi="宋体" w:cs="宋体"/>
          <w:b/>
          <w:bCs/>
          <w:color w:val="auto"/>
          <w:szCs w:val="21"/>
          <w:highlight w:val="none"/>
          <w:lang w:val="en-US" w:eastAsia="zh-CN"/>
        </w:rPr>
        <w:t>（1）磋商报价低于全部通过符合性审查供应商磋商报价平均值65％的；</w:t>
      </w:r>
    </w:p>
    <w:p w14:paraId="722E0DFE">
      <w:pPr>
        <w:shd w:val="clear" w:color="auto" w:fill="auto"/>
        <w:spacing w:line="360" w:lineRule="auto"/>
        <w:ind w:firstLine="422" w:firstLineChars="200"/>
        <w:rPr>
          <w:rFonts w:hint="eastAsia" w:ascii="宋体" w:hAnsi="宋体" w:cs="宋体"/>
          <w:b/>
          <w:bCs/>
          <w:color w:val="auto"/>
          <w:szCs w:val="21"/>
          <w:highlight w:val="none"/>
          <w:lang w:val="en-US" w:eastAsia="zh-CN"/>
        </w:rPr>
      </w:pPr>
      <w:r>
        <w:rPr>
          <w:rFonts w:hint="eastAsia" w:ascii="宋体" w:hAnsi="宋体" w:cs="宋体"/>
          <w:b/>
          <w:bCs/>
          <w:color w:val="auto"/>
          <w:szCs w:val="21"/>
          <w:highlight w:val="none"/>
          <w:lang w:val="en-US" w:eastAsia="zh-CN"/>
        </w:rPr>
        <w:t>（2）磋商报价低于通过符合性审查的次低报价供应商磋商报价65％的；</w:t>
      </w:r>
    </w:p>
    <w:p w14:paraId="5DCBAC9C">
      <w:pPr>
        <w:shd w:val="clear" w:color="auto" w:fill="auto"/>
        <w:spacing w:line="360" w:lineRule="auto"/>
        <w:ind w:firstLine="422" w:firstLineChars="200"/>
        <w:rPr>
          <w:rFonts w:hint="eastAsia" w:ascii="宋体" w:hAnsi="宋体" w:cs="宋体"/>
          <w:b/>
          <w:bCs/>
          <w:color w:val="auto"/>
          <w:szCs w:val="21"/>
          <w:highlight w:val="none"/>
          <w:lang w:val="en-US" w:eastAsia="zh-CN"/>
        </w:rPr>
      </w:pPr>
      <w:r>
        <w:rPr>
          <w:rFonts w:hint="eastAsia" w:ascii="宋体" w:hAnsi="宋体" w:cs="宋体"/>
          <w:b/>
          <w:bCs/>
          <w:color w:val="auto"/>
          <w:szCs w:val="21"/>
          <w:highlight w:val="none"/>
          <w:lang w:val="en-US" w:eastAsia="zh-CN"/>
        </w:rPr>
        <w:t>（3）响应报价低于采购项目最高限价65％的；</w:t>
      </w:r>
    </w:p>
    <w:p w14:paraId="18E04C68">
      <w:pPr>
        <w:shd w:val="clear" w:color="auto" w:fill="auto"/>
        <w:spacing w:line="360" w:lineRule="auto"/>
        <w:ind w:firstLine="422" w:firstLineChars="200"/>
        <w:rPr>
          <w:rFonts w:hint="eastAsia" w:ascii="宋体" w:hAnsi="宋体" w:cs="宋体"/>
          <w:b/>
          <w:bCs/>
          <w:color w:val="auto"/>
          <w:szCs w:val="21"/>
          <w:highlight w:val="none"/>
          <w:lang w:val="en-US" w:eastAsia="zh-CN"/>
        </w:rPr>
      </w:pPr>
      <w:r>
        <w:rPr>
          <w:rFonts w:hint="eastAsia" w:ascii="宋体" w:hAnsi="宋体" w:cs="宋体"/>
          <w:b/>
          <w:bCs/>
          <w:color w:val="auto"/>
          <w:szCs w:val="21"/>
          <w:highlight w:val="none"/>
          <w:lang w:val="en-US" w:eastAsia="zh-CN"/>
        </w:rPr>
        <w:t>（4）磋商小组基于专业判断，认为供应商报价过低，有可能影响产品质量或者不能诚信履约的其他情形。相关法律法规对供应商报价有规定的，从其规定；</w:t>
      </w:r>
    </w:p>
    <w:p w14:paraId="50E042BE">
      <w:pPr>
        <w:shd w:val="clear" w:color="auto" w:fill="auto"/>
        <w:spacing w:line="360" w:lineRule="auto"/>
        <w:ind w:firstLine="422" w:firstLineChars="200"/>
        <w:rPr>
          <w:rFonts w:hint="eastAsia" w:ascii="宋体" w:hAnsi="宋体" w:cs="宋体"/>
          <w:b/>
          <w:bCs/>
          <w:color w:val="auto"/>
          <w:szCs w:val="21"/>
          <w:highlight w:val="none"/>
          <w:lang w:val="en-US" w:eastAsia="zh-CN"/>
        </w:rPr>
      </w:pPr>
      <w:r>
        <w:rPr>
          <w:rFonts w:hint="eastAsia" w:ascii="宋体" w:hAnsi="宋体" w:cs="宋体"/>
          <w:b/>
          <w:bCs/>
          <w:color w:val="auto"/>
          <w:szCs w:val="21"/>
          <w:highlight w:val="none"/>
          <w:lang w:val="en-US" w:eastAsia="zh-CN"/>
        </w:rPr>
        <w:t>（5）相关法律法规对供应商报价有规定的，从其规定。</w:t>
      </w:r>
    </w:p>
    <w:p w14:paraId="7212B70A">
      <w:pPr>
        <w:shd w:val="clear" w:color="auto" w:fill="auto"/>
        <w:spacing w:line="360" w:lineRule="auto"/>
        <w:ind w:firstLine="422" w:firstLineChars="200"/>
        <w:rPr>
          <w:rFonts w:hint="eastAsia" w:ascii="宋体" w:hAnsi="宋体" w:cs="宋体"/>
          <w:b/>
          <w:bCs/>
          <w:color w:val="auto"/>
          <w:szCs w:val="21"/>
          <w:highlight w:val="none"/>
          <w:lang w:val="en-US" w:eastAsia="zh-CN"/>
        </w:rPr>
      </w:pPr>
      <w:r>
        <w:rPr>
          <w:rFonts w:hint="eastAsia" w:ascii="宋体" w:hAnsi="宋体" w:cs="宋体"/>
          <w:b/>
          <w:bCs/>
          <w:color w:val="auto"/>
          <w:szCs w:val="21"/>
          <w:highlight w:val="none"/>
          <w:lang w:val="en-US" w:eastAsia="zh-CN"/>
        </w:rPr>
        <w:t>磋商小组启动异常低价响应审查后，属于前述第1项至第4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其中，属于第（3）项情形，供应商已随响应文件一并提交相关书面说明及必要的证明材料的，在评审现场可不再重复提交。</w:t>
      </w:r>
    </w:p>
    <w:p w14:paraId="71D3249F">
      <w:pPr>
        <w:shd w:val="clear" w:color="auto" w:fill="auto"/>
        <w:spacing w:line="360" w:lineRule="auto"/>
        <w:ind w:firstLine="422" w:firstLineChars="200"/>
        <w:rPr>
          <w:rFonts w:hint="eastAsia" w:ascii="宋体" w:hAnsi="宋体" w:cs="宋体"/>
          <w:b/>
          <w:bCs/>
          <w:color w:val="auto"/>
          <w:szCs w:val="21"/>
          <w:highlight w:val="none"/>
          <w:lang w:val="en-US" w:eastAsia="zh-CN"/>
        </w:rPr>
      </w:pPr>
      <w:r>
        <w:rPr>
          <w:rFonts w:hint="eastAsia" w:ascii="宋体" w:hAnsi="宋体" w:cs="宋体"/>
          <w:b/>
          <w:bCs/>
          <w:color w:val="auto"/>
          <w:szCs w:val="21"/>
          <w:highlight w:val="none"/>
          <w:lang w:val="en-US" w:eastAsia="zh-CN"/>
        </w:rPr>
        <w:t>磋商小组依据专业经验，参考同类项目成交价格、类似产品市场价格水平、行业人工费用标准、国家有关部门指导行业协会发布的行业平均成本等情况，对报价合理性进行判断。响应供应商不能提供书面说明、证明材料，或者提供的书面说明、证明材料不能证明其报价合理性的，磋商小组应当将其作为无效响应处理。</w:t>
      </w:r>
    </w:p>
    <w:p w14:paraId="1E68B36E">
      <w:pPr>
        <w:shd w:val="clear" w:color="auto" w:fill="auto"/>
        <w:spacing w:line="360" w:lineRule="auto"/>
        <w:ind w:firstLine="422" w:firstLineChars="200"/>
        <w:rPr>
          <w:rFonts w:hint="eastAsia" w:ascii="宋体" w:hAnsi="宋体" w:cs="宋体"/>
          <w:b/>
          <w:bCs/>
          <w:color w:val="auto"/>
          <w:szCs w:val="21"/>
          <w:highlight w:val="none"/>
          <w:lang w:val="en-US" w:eastAsia="zh-CN"/>
        </w:rPr>
      </w:pPr>
      <w:r>
        <w:rPr>
          <w:rFonts w:hint="eastAsia" w:ascii="宋体" w:hAnsi="宋体" w:cs="宋体"/>
          <w:b/>
          <w:bCs/>
          <w:color w:val="auto"/>
          <w:szCs w:val="21"/>
          <w:highlight w:val="none"/>
          <w:lang w:val="en-US" w:eastAsia="zh-CN"/>
        </w:rPr>
        <w:t>评审组织：采购人、采购代理机构应当为磋商小组在评审现场及时获取同类项目中标(成交)价格、类似产品市场价格水平、行业人工费用标准、国家有关部门指导行业协会发布的行业平均成本等相关信息资料提供便利。磋商小组借助互联网等渠道查询相关信息的，应当严格遵守评审工作纪律，不得实施影响评审公正的行为。</w:t>
      </w:r>
    </w:p>
    <w:p w14:paraId="18956281">
      <w:pPr>
        <w:shd w:val="clear" w:color="auto" w:fill="auto"/>
        <w:spacing w:line="360" w:lineRule="auto"/>
        <w:ind w:firstLine="422" w:firstLineChars="200"/>
        <w:rPr>
          <w:rFonts w:hint="default" w:ascii="宋体" w:hAnsi="宋体" w:eastAsia="宋体" w:cs="宋体"/>
          <w:b/>
          <w:bCs/>
          <w:color w:val="auto"/>
          <w:szCs w:val="21"/>
          <w:highlight w:val="none"/>
          <w:lang w:val="en-US" w:eastAsia="zh-CN"/>
        </w:rPr>
      </w:pPr>
      <w:r>
        <w:rPr>
          <w:rFonts w:hint="eastAsia" w:ascii="宋体" w:hAnsi="宋体" w:cs="宋体"/>
          <w:b/>
          <w:bCs/>
          <w:color w:val="auto"/>
          <w:szCs w:val="21"/>
          <w:highlight w:val="none"/>
          <w:lang w:val="en-US" w:eastAsia="zh-CN"/>
        </w:rPr>
        <w:t>记录及归档：异常低价投标审查的启动原因、审查意见和审查结果应当在评审报告中记录，并随供应商提供的相关书面说明及证明材料，以及磋商小组有关互联网浏览、查询历史一并归档。</w:t>
      </w:r>
    </w:p>
    <w:p w14:paraId="5A34F8CF">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2.6</w:t>
      </w:r>
      <w:r>
        <w:rPr>
          <w:rFonts w:hint="eastAsia" w:ascii="宋体" w:hAnsi="宋体" w:cs="宋体"/>
          <w:color w:val="auto"/>
          <w:szCs w:val="21"/>
          <w:highlight w:val="none"/>
        </w:rPr>
        <w:t>磋商小组对响应文件进行评审，未实质性响应磋商文件的响应文件按无效响应处理，磋商小组应当将资格和符合性不通过的情况告知有关供应商。磋商小组从符合磋商文件规定的相应资格条件的供应商名单中确定不少于3家的供应商参加磋商。</w:t>
      </w:r>
    </w:p>
    <w:p w14:paraId="3F62EE75">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2.7</w:t>
      </w:r>
      <w:r>
        <w:rPr>
          <w:rFonts w:hint="eastAsia" w:ascii="宋体" w:hAnsi="宋体" w:cs="宋体"/>
          <w:color w:val="auto"/>
          <w:szCs w:val="21"/>
          <w:highlight w:val="none"/>
        </w:rPr>
        <w:t>非政府购买服务项目，通过符合性审查的合格供应商不足3家的，不得进入磋商环节，采购人或者采购代理机构应当重新开展采购活动。政府购买服务项目，按《财政部关于政府采购竞争性磋商采购方式管理暂行办法有关问题的补充通知》（财库〔2015〕124号）规定，采购过程中通过符合性审查的供应商（社会资本）只有2家的，磋商采购活动可以继续进行</w:t>
      </w:r>
      <w:r>
        <w:rPr>
          <w:rFonts w:hint="eastAsia" w:ascii="宋体" w:hAnsi="宋体"/>
          <w:color w:val="auto"/>
          <w:szCs w:val="21"/>
          <w:highlight w:val="none"/>
        </w:rPr>
        <w:t>。</w:t>
      </w:r>
    </w:p>
    <w:p w14:paraId="5456EB68">
      <w:pPr>
        <w:spacing w:line="360" w:lineRule="auto"/>
        <w:ind w:firstLine="422" w:firstLineChars="200"/>
        <w:rPr>
          <w:rFonts w:ascii="宋体" w:hAnsi="宋体" w:cs="宋体"/>
          <w:b/>
          <w:bCs/>
          <w:color w:val="auto"/>
          <w:szCs w:val="21"/>
          <w:highlight w:val="none"/>
        </w:rPr>
      </w:pPr>
      <w:r>
        <w:rPr>
          <w:rFonts w:ascii="宋体" w:hAnsi="宋体" w:cs="宋体"/>
          <w:b/>
          <w:bCs/>
          <w:color w:val="auto"/>
          <w:szCs w:val="21"/>
          <w:highlight w:val="none"/>
        </w:rPr>
        <w:t>3</w:t>
      </w:r>
      <w:r>
        <w:rPr>
          <w:rFonts w:hint="eastAsia" w:ascii="宋体" w:hAnsi="宋体" w:cs="宋体"/>
          <w:b/>
          <w:bCs/>
          <w:color w:val="auto"/>
          <w:szCs w:val="21"/>
          <w:highlight w:val="none"/>
        </w:rPr>
        <w:t>.磋商程序</w:t>
      </w:r>
    </w:p>
    <w:p w14:paraId="15845D5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kern w:val="0"/>
          <w:szCs w:val="21"/>
          <w:highlight w:val="none"/>
        </w:rPr>
        <w:t>3</w:t>
      </w:r>
      <w:r>
        <w:rPr>
          <w:rFonts w:ascii="宋体" w:hAnsi="宋体" w:cs="宋体"/>
          <w:color w:val="auto"/>
          <w:kern w:val="0"/>
          <w:szCs w:val="21"/>
          <w:highlight w:val="none"/>
        </w:rPr>
        <w:t>.1</w:t>
      </w:r>
      <w:r>
        <w:rPr>
          <w:rFonts w:hint="eastAsia" w:ascii="宋体" w:hAnsi="宋体" w:cs="宋体"/>
          <w:color w:val="auto"/>
          <w:kern w:val="0"/>
          <w:szCs w:val="21"/>
          <w:highlight w:val="none"/>
        </w:rPr>
        <w:t>磋商小组按照“供应商须知前附表”确定的</w:t>
      </w:r>
      <w:r>
        <w:rPr>
          <w:rFonts w:hint="eastAsia" w:ascii="宋体" w:hAnsi="宋体" w:cs="宋体"/>
          <w:color w:val="auto"/>
          <w:szCs w:val="21"/>
          <w:highlight w:val="none"/>
        </w:rPr>
        <w:t>顺序，集中与单一供应商分别进行磋商，并给予所有参加磋商的供应商平等的磋商机会。符合磋商资格的供应商必须在接到磋商通知后规定时间内参加磋商，未在规定时间内参加磋商的视同放弃参加磋商权利，其响应文件按无效响应处理。</w:t>
      </w:r>
    </w:p>
    <w:p w14:paraId="521982A1">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3.2</w:t>
      </w:r>
      <w:r>
        <w:rPr>
          <w:rFonts w:hint="eastAsia" w:ascii="宋体" w:hAnsi="宋体" w:cs="宋体"/>
          <w:color w:val="auto"/>
          <w:szCs w:val="21"/>
          <w:highlight w:val="none"/>
        </w:rPr>
        <w:t>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w:t>
      </w:r>
    </w:p>
    <w:p w14:paraId="681A8704">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3.3</w:t>
      </w:r>
      <w:r>
        <w:rPr>
          <w:rFonts w:hint="eastAsia" w:ascii="宋体" w:hAnsi="宋体" w:cs="宋体"/>
          <w:color w:val="auto"/>
          <w:szCs w:val="21"/>
          <w:highlight w:val="none"/>
        </w:rPr>
        <w:t>对磋商文件作出的实质性变动是磋商文件的有效组成部分，由磋商小组及时以电子磋商记录形式同时通知所有参加磋商的供应商。</w:t>
      </w:r>
    </w:p>
    <w:p w14:paraId="1003C40D">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3.4</w:t>
      </w:r>
      <w:r>
        <w:rPr>
          <w:rFonts w:hint="eastAsia" w:ascii="宋体" w:hAnsi="宋体" w:cs="宋体"/>
          <w:color w:val="auto"/>
          <w:szCs w:val="21"/>
          <w:highlight w:val="none"/>
        </w:rPr>
        <w:t>供应商必须按照磋商文件的变动情况和磋商小组的要求以电子回函的形式重新提交响应文件，并由其法定代表人或者授权代表签字或者加盖供应商公章。供应商为自然人的，必须由本人签字并附身份证明。参加磋商的供应商未在规定时间内以电子回函的形式重新提交响应文件的，视同退出磋商。</w:t>
      </w:r>
    </w:p>
    <w:p w14:paraId="79B81643">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3.5</w:t>
      </w:r>
      <w:r>
        <w:rPr>
          <w:rFonts w:hint="eastAsia" w:ascii="宋体" w:hAnsi="宋体" w:cs="宋体"/>
          <w:color w:val="auto"/>
          <w:szCs w:val="21"/>
          <w:highlight w:val="none"/>
        </w:rPr>
        <w:t>磋商中，</w:t>
      </w:r>
      <w:r>
        <w:rPr>
          <w:rFonts w:hint="eastAsia" w:ascii="宋体" w:hAnsi="宋体" w:cs="宋体"/>
          <w:color w:val="auto"/>
          <w:spacing w:val="-6"/>
          <w:szCs w:val="21"/>
          <w:highlight w:val="none"/>
        </w:rPr>
        <w:t>磋商的任何一方不得透露与磋商有关的其他供应商的技术资料、价格和其他信息。</w:t>
      </w:r>
    </w:p>
    <w:p w14:paraId="7FC5725D">
      <w:pPr>
        <w:tabs>
          <w:tab w:val="left" w:pos="2835"/>
        </w:tabs>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w:t>
      </w:r>
      <w:r>
        <w:rPr>
          <w:rFonts w:ascii="宋体" w:hAnsi="宋体" w:cs="宋体"/>
          <w:color w:val="auto"/>
          <w:szCs w:val="21"/>
          <w:highlight w:val="none"/>
        </w:rPr>
        <w:t>.</w:t>
      </w:r>
      <w:r>
        <w:rPr>
          <w:rFonts w:hint="eastAsia" w:ascii="宋体" w:hAnsi="宋体" w:cs="宋体"/>
          <w:color w:val="auto"/>
          <w:szCs w:val="21"/>
          <w:highlight w:val="none"/>
        </w:rPr>
        <w:t>6</w:t>
      </w:r>
      <w:r>
        <w:rPr>
          <w:rFonts w:hint="eastAsia" w:ascii="宋体" w:hAnsi="宋体"/>
          <w:color w:val="auto"/>
          <w:szCs w:val="21"/>
          <w:highlight w:val="none"/>
        </w:rPr>
        <w:t>对磋商过程提交的响应文件进行有效性、完整性和响应程度审查，通过审查的合格供应商不足3家的，采购人或者采购代理机构应当重新开展采购活动。</w:t>
      </w:r>
    </w:p>
    <w:p w14:paraId="4DB017C7">
      <w:pPr>
        <w:widowControl/>
        <w:tabs>
          <w:tab w:val="left" w:pos="540"/>
        </w:tabs>
        <w:spacing w:line="360" w:lineRule="auto"/>
        <w:ind w:firstLine="420" w:firstLineChars="200"/>
        <w:jc w:val="left"/>
        <w:rPr>
          <w:rFonts w:hint="eastAsia" w:ascii="宋体" w:hAnsi="宋体" w:cs="宋体"/>
          <w:color w:val="auto"/>
          <w:szCs w:val="21"/>
          <w:highlight w:val="none"/>
        </w:rPr>
      </w:pPr>
      <w:r>
        <w:rPr>
          <w:rFonts w:ascii="宋体" w:hAnsi="宋体" w:cs="宋体"/>
          <w:color w:val="auto"/>
          <w:szCs w:val="21"/>
          <w:highlight w:val="none"/>
        </w:rPr>
        <w:t>3.</w:t>
      </w:r>
      <w:r>
        <w:rPr>
          <w:rFonts w:hint="eastAsia" w:ascii="宋体" w:hAnsi="宋体" w:cs="宋体"/>
          <w:color w:val="auto"/>
          <w:szCs w:val="21"/>
          <w:highlight w:val="none"/>
        </w:rPr>
        <w:t>7</w:t>
      </w:r>
      <w:r>
        <w:rPr>
          <w:rFonts w:ascii="宋体" w:hAnsi="宋体"/>
          <w:color w:val="auto"/>
          <w:szCs w:val="21"/>
          <w:highlight w:val="none"/>
        </w:rPr>
        <w:t>根据《财政部关于政府采购竞争性磋商采购方式管理暂行办法有关问题的补充通知》（财库〔2015〕124号）的规定，采用竞争性磋商采购方式采购的政府购买服务项目（含政府和社会资本合作项目），在采购过程中符合要求的供应商（社会资本）只有2家的，竞争性磋商采购活动可以继续进行。采购过程中符合要求的供应商（社会资本）只有1家的，采购人（项目实施机构）或者采购代理机构应当终止竞争性磋商采购活动，发布项目终止公告并说明原因，重新开展采购活动。</w:t>
      </w:r>
    </w:p>
    <w:p w14:paraId="36A31D6B">
      <w:pPr>
        <w:spacing w:line="360" w:lineRule="auto"/>
        <w:ind w:firstLine="422" w:firstLineChars="200"/>
        <w:rPr>
          <w:rFonts w:ascii="宋体" w:hAnsi="宋体" w:cs="宋体"/>
          <w:color w:val="auto"/>
          <w:szCs w:val="21"/>
          <w:highlight w:val="none"/>
        </w:rPr>
      </w:pPr>
      <w:r>
        <w:rPr>
          <w:rFonts w:ascii="宋体" w:hAnsi="宋体" w:cs="宋体"/>
          <w:b/>
          <w:bCs/>
          <w:color w:val="auto"/>
          <w:szCs w:val="21"/>
          <w:highlight w:val="none"/>
        </w:rPr>
        <w:t>4.</w:t>
      </w:r>
      <w:r>
        <w:rPr>
          <w:rFonts w:hint="eastAsia" w:ascii="宋体" w:hAnsi="宋体" w:cs="宋体"/>
          <w:b/>
          <w:bCs/>
          <w:color w:val="auto"/>
          <w:szCs w:val="21"/>
          <w:highlight w:val="none"/>
        </w:rPr>
        <w:t xml:space="preserve"> 最后报价</w:t>
      </w:r>
    </w:p>
    <w:p w14:paraId="548713A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w:t>
      </w:r>
      <w:r>
        <w:rPr>
          <w:rFonts w:ascii="宋体" w:hAnsi="宋体" w:cs="宋体"/>
          <w:color w:val="auto"/>
          <w:szCs w:val="21"/>
          <w:highlight w:val="none"/>
        </w:rPr>
        <w:t>.1</w:t>
      </w:r>
      <w:r>
        <w:rPr>
          <w:rFonts w:hint="eastAsia" w:ascii="宋体" w:hAnsi="宋体" w:cs="宋体"/>
          <w:color w:val="auto"/>
          <w:szCs w:val="21"/>
          <w:highlight w:val="none"/>
        </w:rPr>
        <w:t>磋商文件能够详细列明采购标的的技术、服务要求的，磋商结束后，由磋商小组要求所有继续参加磋商的供应商在规定时间内以电子文件形式提交最后报价，除本章第2.7、3.7、</w:t>
      </w:r>
      <w:r>
        <w:rPr>
          <w:rFonts w:ascii="宋体" w:hAnsi="宋体" w:cs="宋体"/>
          <w:color w:val="auto"/>
          <w:szCs w:val="21"/>
          <w:highlight w:val="none"/>
        </w:rPr>
        <w:t>4.3</w:t>
      </w:r>
      <w:r>
        <w:rPr>
          <w:rFonts w:hint="eastAsia" w:ascii="宋体" w:hAnsi="宋体" w:cs="宋体"/>
          <w:color w:val="auto"/>
          <w:szCs w:val="21"/>
          <w:highlight w:val="none"/>
        </w:rPr>
        <w:t>条外，提交最后报价的供应商不得少于3家，否则必须重新采购。</w:t>
      </w:r>
    </w:p>
    <w:p w14:paraId="7CE5321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w:t>
      </w:r>
      <w:r>
        <w:rPr>
          <w:rFonts w:ascii="宋体" w:hAnsi="宋体" w:cs="宋体"/>
          <w:color w:val="auto"/>
          <w:szCs w:val="21"/>
          <w:highlight w:val="none"/>
        </w:rPr>
        <w:t>.2</w:t>
      </w:r>
      <w:r>
        <w:rPr>
          <w:rFonts w:hint="eastAsia" w:ascii="宋体" w:hAnsi="宋体" w:cs="宋体"/>
          <w:color w:val="auto"/>
          <w:szCs w:val="21"/>
          <w:highlight w:val="none"/>
        </w:rPr>
        <w:t>磋商文件不能详细列明采购标的的技术、服务要求，需经磋商由供应商提供最后设计方案或者解决方案的，磋商结束后，由磋商小组按照少数服从多数的原则投票推荐3家以上供应商的设计方案或者解决方案，并要求其在规定时间内以电子文件形式提交最后报价。</w:t>
      </w:r>
    </w:p>
    <w:p w14:paraId="06DD68D8">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4.3</w:t>
      </w:r>
      <w:r>
        <w:rPr>
          <w:rFonts w:hint="eastAsia" w:ascii="宋体" w:hAnsi="宋体" w:cs="宋体"/>
          <w:color w:val="auto"/>
          <w:szCs w:val="21"/>
          <w:highlight w:val="none"/>
        </w:rPr>
        <w:t>最后报价是供应商响应文件的有效组成部分。符合《政府采购竞争性磋商采购方式管理暂行办法》（财库〔2014〕214号）第三条第四项“市场竞争不充分的科研项目，以及需要扶持的科技成果转化项目”和</w:t>
      </w:r>
      <w:r>
        <w:rPr>
          <w:rFonts w:ascii="宋体" w:hAnsi="宋体"/>
          <w:color w:val="auto"/>
          <w:szCs w:val="21"/>
          <w:highlight w:val="none"/>
        </w:rPr>
        <w:t>本章第</w:t>
      </w:r>
      <w:r>
        <w:rPr>
          <w:rFonts w:hint="eastAsia" w:ascii="宋体" w:hAnsi="宋体"/>
          <w:color w:val="auto"/>
          <w:szCs w:val="21"/>
          <w:highlight w:val="none"/>
        </w:rPr>
        <w:t>3.7</w:t>
      </w:r>
      <w:r>
        <w:rPr>
          <w:rFonts w:ascii="宋体" w:hAnsi="宋体"/>
          <w:color w:val="auto"/>
          <w:szCs w:val="21"/>
          <w:highlight w:val="none"/>
        </w:rPr>
        <w:t>条情形的，</w:t>
      </w:r>
      <w:r>
        <w:rPr>
          <w:rFonts w:hint="eastAsia" w:ascii="宋体" w:hAnsi="宋体" w:cs="宋体"/>
          <w:color w:val="auto"/>
          <w:szCs w:val="21"/>
          <w:highlight w:val="none"/>
        </w:rPr>
        <w:t>提交最后报价的供应商可以为2家。</w:t>
      </w:r>
    </w:p>
    <w:p w14:paraId="28657976">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4.4</w:t>
      </w:r>
      <w:r>
        <w:rPr>
          <w:rFonts w:hint="eastAsia" w:ascii="宋体" w:hAnsi="宋体" w:cs="宋体"/>
          <w:color w:val="auto"/>
          <w:szCs w:val="21"/>
          <w:highlight w:val="none"/>
        </w:rPr>
        <w:t>已经提交响应文件的供应商，在提交最后报价之前，可以根据磋商情况退出磋商，退出磋商的供应商的响应文件按无效响应处理。采购人、采购代理机构将退还退出磋商的供应商的保证金。</w:t>
      </w:r>
    </w:p>
    <w:p w14:paraId="1304C653">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4.5</w:t>
      </w:r>
      <w:r>
        <w:rPr>
          <w:rFonts w:hint="eastAsia" w:ascii="宋体" w:hAnsi="宋体" w:cs="宋体"/>
          <w:color w:val="auto"/>
          <w:szCs w:val="21"/>
          <w:highlight w:val="none"/>
        </w:rPr>
        <w:t>供应商未在规定时间内提交最后报价的，视同退出磋商。</w:t>
      </w:r>
    </w:p>
    <w:p w14:paraId="484B9307">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4.6</w:t>
      </w:r>
      <w:r>
        <w:rPr>
          <w:rFonts w:hint="eastAsia" w:ascii="宋体" w:hAnsi="宋体" w:cs="宋体"/>
          <w:color w:val="auto"/>
          <w:szCs w:val="21"/>
          <w:highlight w:val="none"/>
        </w:rPr>
        <w:t>磋商小组收齐某一分标最后报价后或达到规定时间后统一开启，磋商小组对最后报价进行有效性、完整性和响应程度的审查。</w:t>
      </w:r>
    </w:p>
    <w:p w14:paraId="0CB132F6">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4.7</w:t>
      </w:r>
      <w:r>
        <w:rPr>
          <w:rFonts w:hint="eastAsia" w:ascii="宋体" w:hAnsi="宋体" w:cs="宋体"/>
          <w:color w:val="auto"/>
          <w:szCs w:val="21"/>
          <w:highlight w:val="none"/>
        </w:rPr>
        <w:t>响应文件最后报价出现前后不一致的，按照本章第</w:t>
      </w:r>
      <w:r>
        <w:rPr>
          <w:rFonts w:ascii="宋体" w:hAnsi="宋体" w:cs="宋体"/>
          <w:color w:val="auto"/>
          <w:szCs w:val="21"/>
          <w:highlight w:val="none"/>
        </w:rPr>
        <w:t>2.4</w:t>
      </w:r>
      <w:r>
        <w:rPr>
          <w:rFonts w:hint="eastAsia" w:ascii="宋体" w:hAnsi="宋体" w:cs="宋体"/>
          <w:color w:val="auto"/>
          <w:szCs w:val="21"/>
          <w:highlight w:val="none"/>
        </w:rPr>
        <w:t>条的规定修正。</w:t>
      </w:r>
    </w:p>
    <w:p w14:paraId="39B6BDE2">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4.8</w:t>
      </w:r>
      <w:r>
        <w:rPr>
          <w:rFonts w:hint="eastAsia" w:ascii="宋体" w:hAnsi="宋体" w:cs="宋体"/>
          <w:color w:val="auto"/>
          <w:szCs w:val="21"/>
          <w:highlight w:val="none"/>
        </w:rPr>
        <w:t>经供应商确认修正后的最后报价作为评审及签订合同的依据。</w:t>
      </w:r>
    </w:p>
    <w:p w14:paraId="4DC3F5F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w:t>
      </w:r>
      <w:r>
        <w:rPr>
          <w:rFonts w:ascii="宋体" w:hAnsi="宋体" w:cs="宋体"/>
          <w:color w:val="auto"/>
          <w:szCs w:val="21"/>
          <w:highlight w:val="none"/>
        </w:rPr>
        <w:t>9</w:t>
      </w:r>
      <w:r>
        <w:rPr>
          <w:rFonts w:hint="eastAsia" w:ascii="宋体" w:hAnsi="宋体" w:cs="宋体"/>
          <w:color w:val="auto"/>
          <w:szCs w:val="21"/>
          <w:highlight w:val="none"/>
        </w:rPr>
        <w:t>供应商出现最后报价按无效响应处理或者响应文件按无效响应处理时</w:t>
      </w:r>
      <w:r>
        <w:rPr>
          <w:rFonts w:hint="eastAsia" w:ascii="宋体" w:hAnsi="宋体"/>
          <w:color w:val="auto"/>
          <w:szCs w:val="21"/>
          <w:highlight w:val="none"/>
        </w:rPr>
        <w:t>，磋商小组应当告知有关供应商</w:t>
      </w:r>
      <w:r>
        <w:rPr>
          <w:rFonts w:hint="eastAsia" w:ascii="宋体" w:hAnsi="宋体" w:cs="宋体"/>
          <w:color w:val="auto"/>
          <w:szCs w:val="21"/>
          <w:highlight w:val="none"/>
        </w:rPr>
        <w:t>。</w:t>
      </w:r>
    </w:p>
    <w:p w14:paraId="5F3848CE">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w:t>
      </w:r>
      <w:r>
        <w:rPr>
          <w:rFonts w:ascii="宋体" w:hAnsi="宋体" w:cs="宋体"/>
          <w:color w:val="auto"/>
          <w:szCs w:val="21"/>
          <w:highlight w:val="none"/>
        </w:rPr>
        <w:t>.10</w:t>
      </w:r>
      <w:r>
        <w:rPr>
          <w:rFonts w:hint="eastAsia" w:ascii="宋体" w:hAnsi="宋体" w:cs="宋体"/>
          <w:color w:val="auto"/>
          <w:szCs w:val="21"/>
          <w:highlight w:val="none"/>
        </w:rPr>
        <w:t>最后报价结束后，磋商小组不得再与供应商进行任何形式的商谈。</w:t>
      </w:r>
    </w:p>
    <w:p w14:paraId="70148A7E">
      <w:pPr>
        <w:spacing w:line="360" w:lineRule="auto"/>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5</w:t>
      </w:r>
      <w:r>
        <w:rPr>
          <w:rFonts w:ascii="宋体" w:hAnsi="宋体" w:cs="宋体"/>
          <w:b/>
          <w:bCs/>
          <w:color w:val="auto"/>
          <w:szCs w:val="21"/>
          <w:highlight w:val="none"/>
        </w:rPr>
        <w:t>.</w:t>
      </w:r>
      <w:r>
        <w:rPr>
          <w:rFonts w:hint="eastAsia" w:ascii="宋体" w:hAnsi="宋体" w:cs="宋体"/>
          <w:b/>
          <w:bCs/>
          <w:color w:val="auto"/>
          <w:szCs w:val="21"/>
          <w:highlight w:val="none"/>
        </w:rPr>
        <w:t>比较与评价</w:t>
      </w:r>
    </w:p>
    <w:p w14:paraId="3900FA00">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5.1</w:t>
      </w:r>
      <w:r>
        <w:rPr>
          <w:rFonts w:hint="eastAsia" w:ascii="宋体" w:hAnsi="宋体" w:cs="宋体"/>
          <w:color w:val="auto"/>
          <w:szCs w:val="21"/>
          <w:highlight w:val="none"/>
        </w:rPr>
        <w:t>评审方法：综合评分法。</w:t>
      </w:r>
    </w:p>
    <w:p w14:paraId="1E636766">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5.2</w:t>
      </w:r>
      <w:r>
        <w:rPr>
          <w:rFonts w:hint="eastAsia" w:ascii="宋体" w:hAnsi="宋体" w:cs="宋体"/>
          <w:color w:val="auto"/>
          <w:szCs w:val="21"/>
          <w:highlight w:val="none"/>
        </w:rPr>
        <w:t>经磋商确定最终采购需求和提交最后报价的供应商后，由磋商小组采用综合评分法对提交最后报价的供应商的响应文件和最后报价进行综合评分。</w:t>
      </w:r>
    </w:p>
    <w:p w14:paraId="0FF724A5">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5.3</w:t>
      </w:r>
      <w:r>
        <w:rPr>
          <w:rFonts w:hint="eastAsia" w:ascii="宋体" w:hAnsi="宋体" w:cs="宋体"/>
          <w:color w:val="auto"/>
          <w:szCs w:val="21"/>
          <w:highlight w:val="none"/>
        </w:rPr>
        <w:t>评审时，磋商小组各成员应当独立对每个有效响应的文件进行评价、打分，然后汇总每个供应商每项评分因素的得分。</w:t>
      </w:r>
    </w:p>
    <w:p w14:paraId="09DD41DE">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（1）磋商小组按照磋商文件中规定的评审标准计算各供应商的报价得分。项目评审过程中，不得去掉最后报价中的最高报价和最低报价。</w:t>
      </w:r>
    </w:p>
    <w:p w14:paraId="6611A22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（2）各供应商的得分为磋商小组所有成员的有效评分的算术平均数。</w:t>
      </w:r>
    </w:p>
    <w:p w14:paraId="1C7DBE0F">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5.4</w:t>
      </w:r>
      <w:r>
        <w:rPr>
          <w:rFonts w:hint="eastAsia" w:ascii="宋体" w:hAnsi="宋体" w:cs="宋体"/>
          <w:color w:val="auto"/>
          <w:szCs w:val="21"/>
          <w:highlight w:val="none"/>
        </w:rPr>
        <w:t>评审价为供应商的最后报价进行政策性扣除后的价格，评审价只是作为评审时使用。最终成交供应商的成交金额等于最后报价（如有修正，以确认修正后的最后报价为准）。</w:t>
      </w:r>
    </w:p>
    <w:p w14:paraId="35576849">
      <w:pPr>
        <w:spacing w:line="360" w:lineRule="auto"/>
        <w:ind w:firstLine="420" w:firstLineChars="200"/>
        <w:rPr>
          <w:rFonts w:hint="eastAsia" w:ascii="宋体" w:hAnsi="宋体"/>
          <w:color w:val="auto"/>
          <w:kern w:val="0"/>
          <w:szCs w:val="21"/>
          <w:highlight w:val="none"/>
        </w:rPr>
      </w:pPr>
      <w:r>
        <w:rPr>
          <w:rFonts w:ascii="宋体" w:hAnsi="宋体" w:cs="宋体"/>
          <w:color w:val="auto"/>
          <w:szCs w:val="21"/>
          <w:highlight w:val="none"/>
        </w:rPr>
        <w:t>5.5</w:t>
      </w:r>
      <w:r>
        <w:rPr>
          <w:rFonts w:hint="eastAsia" w:ascii="宋体" w:hAnsi="宋体" w:cs="宋体"/>
          <w:color w:val="auto"/>
          <w:szCs w:val="21"/>
          <w:highlight w:val="none"/>
        </w:rPr>
        <w:t>由磋商小组根据综合评分情况，按照评审得分由高到低顺序推荐3名以上成交候选供应商，并编写评</w:t>
      </w:r>
      <w:r>
        <w:rPr>
          <w:rFonts w:hint="eastAsia" w:ascii="宋体" w:hAnsi="宋体"/>
          <w:color w:val="auto"/>
          <w:kern w:val="0"/>
          <w:szCs w:val="21"/>
          <w:highlight w:val="none"/>
        </w:rPr>
        <w:t>审报告。符合本章第</w:t>
      </w:r>
      <w:r>
        <w:rPr>
          <w:rFonts w:hint="eastAsia" w:ascii="宋体" w:hAnsi="宋体" w:cs="宋体"/>
          <w:color w:val="auto"/>
          <w:szCs w:val="21"/>
          <w:highlight w:val="none"/>
        </w:rPr>
        <w:t>2.7、3.7、</w:t>
      </w:r>
      <w:r>
        <w:rPr>
          <w:rFonts w:ascii="宋体" w:hAnsi="宋体" w:cs="宋体"/>
          <w:color w:val="auto"/>
          <w:szCs w:val="21"/>
          <w:highlight w:val="none"/>
        </w:rPr>
        <w:t>4.3</w:t>
      </w:r>
      <w:r>
        <w:rPr>
          <w:rFonts w:hint="eastAsia" w:ascii="宋体" w:hAnsi="宋体"/>
          <w:color w:val="auto"/>
          <w:kern w:val="0"/>
          <w:szCs w:val="21"/>
          <w:highlight w:val="none"/>
        </w:rPr>
        <w:t>条情形的，可以推荐2家成交候选供应商。评审得分相同的，按照最后报价由低到高的顺序推荐。评审得分且最后报价相同的，按照技术指标优劣顺序推荐。</w:t>
      </w:r>
    </w:p>
    <w:p w14:paraId="24CBBE2D">
      <w:pPr>
        <w:spacing w:line="360" w:lineRule="auto"/>
        <w:ind w:firstLine="420" w:firstLineChars="200"/>
        <w:rPr>
          <w:rFonts w:hint="eastAsia" w:ascii="宋体" w:hAnsi="宋体" w:cs="宋体"/>
          <w:color w:val="auto"/>
          <w:szCs w:val="21"/>
          <w:highlight w:val="none"/>
        </w:rPr>
      </w:pPr>
      <w:r>
        <w:rPr>
          <w:rFonts w:ascii="宋体" w:hAnsi="宋体"/>
          <w:color w:val="auto"/>
          <w:kern w:val="0"/>
          <w:szCs w:val="21"/>
          <w:highlight w:val="none"/>
        </w:rPr>
        <w:t>5.6</w:t>
      </w:r>
      <w:r>
        <w:rPr>
          <w:rFonts w:hint="eastAsia" w:ascii="宋体" w:hAnsi="宋体"/>
          <w:color w:val="auto"/>
          <w:kern w:val="0"/>
          <w:szCs w:val="21"/>
          <w:highlight w:val="none"/>
        </w:rPr>
        <w:t>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41B8CED8">
      <w:pPr>
        <w:spacing w:line="360" w:lineRule="auto"/>
        <w:rPr>
          <w:rFonts w:ascii="宋体" w:hAnsi="宋体"/>
          <w:b/>
          <w:color w:val="auto"/>
          <w:szCs w:val="21"/>
          <w:highlight w:val="none"/>
        </w:rPr>
      </w:pPr>
      <w:r>
        <w:rPr>
          <w:rFonts w:ascii="宋体" w:hAnsi="宋体"/>
          <w:b/>
          <w:color w:val="auto"/>
          <w:sz w:val="32"/>
          <w:szCs w:val="32"/>
          <w:highlight w:val="none"/>
        </w:rPr>
        <w:br w:type="page"/>
      </w:r>
      <w:r>
        <w:rPr>
          <w:rFonts w:hint="eastAsia" w:ascii="宋体" w:hAnsi="宋体"/>
          <w:b/>
          <w:color w:val="auto"/>
          <w:szCs w:val="21"/>
          <w:highlight w:val="none"/>
        </w:rPr>
        <w:t>6.评审标准</w:t>
      </w:r>
    </w:p>
    <w:p w14:paraId="621649E7">
      <w:pPr>
        <w:spacing w:line="360" w:lineRule="auto"/>
        <w:ind w:firstLine="420" w:firstLineChars="200"/>
        <w:rPr>
          <w:rFonts w:hint="eastAsia" w:ascii="宋体" w:hAnsi="宋体" w:eastAsia="宋体" w:cs="Times New Roman"/>
          <w:bCs/>
          <w:color w:val="auto"/>
          <w:szCs w:val="21"/>
          <w:highlight w:val="none"/>
        </w:rPr>
      </w:pPr>
      <w:r>
        <w:rPr>
          <w:rFonts w:hint="eastAsia" w:ascii="宋体" w:hAnsi="宋体" w:eastAsia="宋体" w:cs="Times New Roman"/>
          <w:bCs/>
          <w:color w:val="auto"/>
          <w:szCs w:val="21"/>
          <w:highlight w:val="none"/>
        </w:rPr>
        <w:t>6.1评审依据：磋商小组将以磋商响应文件为评审依据，对供应商的报价、技术、商务等方面内容按百分制打分。（计分方法按四舍五入取至百分位）</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20"/>
        <w:gridCol w:w="1262"/>
        <w:gridCol w:w="1399"/>
        <w:gridCol w:w="5962"/>
      </w:tblGrid>
      <w:tr w14:paraId="2AC28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tblHeader/>
          <w:jc w:val="center"/>
        </w:trPr>
        <w:tc>
          <w:tcPr>
            <w:tcW w:w="1782" w:type="dxa"/>
            <w:gridSpan w:val="2"/>
            <w:noWrap w:val="0"/>
            <w:vAlign w:val="center"/>
          </w:tcPr>
          <w:p w14:paraId="6B15E93B">
            <w:pPr>
              <w:keepNext w:val="0"/>
              <w:keepLines w:val="0"/>
              <w:pageBreakBefore w:val="0"/>
              <w:kinsoku/>
              <w:wordWrap/>
              <w:overflowPunct/>
              <w:topLinePunct w:val="0"/>
              <w:autoSpaceDE/>
              <w:autoSpaceDN/>
              <w:bidi w:val="0"/>
              <w:adjustRightInd w:val="0"/>
              <w:spacing w:line="400" w:lineRule="exact"/>
              <w:jc w:val="center"/>
              <w:textAlignment w:val="baseline"/>
              <w:rPr>
                <w:rFonts w:hint="eastAsia" w:asciiTheme="minorEastAsia" w:hAnsiTheme="minorEastAsia" w:eastAsiaTheme="minorEastAsia" w:cstheme="minorEastAsia"/>
                <w:b/>
                <w:sz w:val="21"/>
                <w:szCs w:val="21"/>
              </w:rPr>
            </w:pPr>
            <w:bookmarkStart w:id="27" w:name="PO_TDCUS_ITEM_SM_TABLE_1"/>
            <w:r>
              <w:rPr>
                <w:rFonts w:hint="eastAsia" w:asciiTheme="minorEastAsia" w:hAnsiTheme="minorEastAsia" w:eastAsiaTheme="minorEastAsia" w:cstheme="minorEastAsia"/>
                <w:b/>
                <w:sz w:val="21"/>
                <w:szCs w:val="21"/>
              </w:rPr>
              <w:t>序号</w:t>
            </w:r>
          </w:p>
        </w:tc>
        <w:tc>
          <w:tcPr>
            <w:tcW w:w="1399" w:type="dxa"/>
            <w:noWrap w:val="0"/>
            <w:vAlign w:val="center"/>
          </w:tcPr>
          <w:p w14:paraId="1A289FF2">
            <w:pPr>
              <w:keepNext w:val="0"/>
              <w:keepLines w:val="0"/>
              <w:pageBreakBefore w:val="0"/>
              <w:kinsoku/>
              <w:wordWrap/>
              <w:overflowPunct/>
              <w:topLinePunct w:val="0"/>
              <w:autoSpaceDE/>
              <w:autoSpaceDN/>
              <w:bidi w:val="0"/>
              <w:adjustRightInd w:val="0"/>
              <w:spacing w:line="400" w:lineRule="exact"/>
              <w:jc w:val="center"/>
              <w:textAlignment w:val="baseline"/>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评审因素</w:t>
            </w:r>
          </w:p>
        </w:tc>
        <w:tc>
          <w:tcPr>
            <w:tcW w:w="5962" w:type="dxa"/>
            <w:noWrap w:val="0"/>
            <w:vAlign w:val="center"/>
          </w:tcPr>
          <w:p w14:paraId="6DB1BAD4">
            <w:pPr>
              <w:keepNext w:val="0"/>
              <w:keepLines w:val="0"/>
              <w:pageBreakBefore w:val="0"/>
              <w:kinsoku/>
              <w:wordWrap/>
              <w:overflowPunct/>
              <w:topLinePunct w:val="0"/>
              <w:autoSpaceDE/>
              <w:autoSpaceDN/>
              <w:bidi w:val="0"/>
              <w:adjustRightInd w:val="0"/>
              <w:spacing w:line="400" w:lineRule="exact"/>
              <w:jc w:val="center"/>
              <w:textAlignment w:val="baseline"/>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评标标准</w:t>
            </w:r>
          </w:p>
        </w:tc>
      </w:tr>
      <w:tr w14:paraId="7B7BD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0" w:hRule="atLeast"/>
          <w:jc w:val="center"/>
        </w:trPr>
        <w:tc>
          <w:tcPr>
            <w:tcW w:w="520" w:type="dxa"/>
            <w:noWrap w:val="0"/>
            <w:vAlign w:val="center"/>
          </w:tcPr>
          <w:p w14:paraId="3C76CA6E">
            <w:pPr>
              <w:keepNext w:val="0"/>
              <w:keepLines w:val="0"/>
              <w:pageBreakBefore w:val="0"/>
              <w:kinsoku/>
              <w:wordWrap/>
              <w:overflowPunct/>
              <w:topLinePunct w:val="0"/>
              <w:autoSpaceDE/>
              <w:autoSpaceDN/>
              <w:bidi w:val="0"/>
              <w:adjustRightInd w:val="0"/>
              <w:spacing w:line="400" w:lineRule="exact"/>
              <w:jc w:val="center"/>
              <w:textAlignment w:val="baseline"/>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w:t>
            </w:r>
          </w:p>
        </w:tc>
        <w:tc>
          <w:tcPr>
            <w:tcW w:w="1262" w:type="dxa"/>
            <w:noWrap w:val="0"/>
            <w:vAlign w:val="center"/>
          </w:tcPr>
          <w:p w14:paraId="28DBEA32">
            <w:pPr>
              <w:keepNext w:val="0"/>
              <w:keepLines w:val="0"/>
              <w:pageBreakBefore w:val="0"/>
              <w:kinsoku/>
              <w:wordWrap/>
              <w:overflowPunct/>
              <w:topLinePunct w:val="0"/>
              <w:autoSpaceDE/>
              <w:autoSpaceDN/>
              <w:bidi w:val="0"/>
              <w:adjustRightInd w:val="0"/>
              <w:spacing w:line="400" w:lineRule="exact"/>
              <w:jc w:val="center"/>
              <w:textAlignment w:val="baseline"/>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价格分</w:t>
            </w:r>
          </w:p>
          <w:p w14:paraId="6E2EA507">
            <w:pPr>
              <w:keepNext w:val="0"/>
              <w:keepLines w:val="0"/>
              <w:pageBreakBefore w:val="0"/>
              <w:kinsoku/>
              <w:wordWrap/>
              <w:overflowPunct/>
              <w:topLinePunct w:val="0"/>
              <w:autoSpaceDE/>
              <w:autoSpaceDN/>
              <w:bidi w:val="0"/>
              <w:adjustRightInd w:val="0"/>
              <w:spacing w:line="400" w:lineRule="exact"/>
              <w:jc w:val="center"/>
              <w:textAlignment w:val="baseline"/>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（满分</w:t>
            </w:r>
            <w:r>
              <w:rPr>
                <w:rFonts w:hint="eastAsia" w:asciiTheme="minorEastAsia" w:hAnsiTheme="minorEastAsia" w:eastAsiaTheme="minorEastAsia" w:cstheme="minorEastAsia"/>
                <w:bCs/>
                <w:sz w:val="21"/>
                <w:szCs w:val="21"/>
                <w:lang w:val="en-US" w:eastAsia="zh-CN"/>
              </w:rPr>
              <w:t>20</w:t>
            </w:r>
            <w:r>
              <w:rPr>
                <w:rFonts w:hint="eastAsia" w:asciiTheme="minorEastAsia" w:hAnsiTheme="minorEastAsia" w:eastAsiaTheme="minorEastAsia" w:cstheme="minorEastAsia"/>
                <w:bCs/>
                <w:sz w:val="21"/>
                <w:szCs w:val="21"/>
              </w:rPr>
              <w:t>分）</w:t>
            </w:r>
          </w:p>
        </w:tc>
        <w:tc>
          <w:tcPr>
            <w:tcW w:w="1399" w:type="dxa"/>
            <w:noWrap w:val="0"/>
            <w:vAlign w:val="center"/>
          </w:tcPr>
          <w:p w14:paraId="306B74CA">
            <w:pPr>
              <w:keepNext w:val="0"/>
              <w:keepLines w:val="0"/>
              <w:pageBreakBefore w:val="0"/>
              <w:kinsoku/>
              <w:wordWrap/>
              <w:overflowPunct/>
              <w:topLinePunct w:val="0"/>
              <w:autoSpaceDE/>
              <w:autoSpaceDN/>
              <w:bidi w:val="0"/>
              <w:adjustRightInd w:val="0"/>
              <w:spacing w:line="400" w:lineRule="exact"/>
              <w:jc w:val="center"/>
              <w:textAlignment w:val="baseline"/>
              <w:rPr>
                <w:rFonts w:hint="eastAsia" w:asciiTheme="minorEastAsia" w:hAnsiTheme="minorEastAsia" w:eastAsiaTheme="minorEastAsia" w:cstheme="minorEastAsia"/>
                <w:bCs/>
                <w:sz w:val="21"/>
                <w:szCs w:val="21"/>
                <w:lang w:val="en-US" w:eastAsia="zh-CN"/>
              </w:rPr>
            </w:pPr>
            <w:r>
              <w:rPr>
                <w:rFonts w:hint="eastAsia" w:asciiTheme="minorEastAsia" w:hAnsiTheme="minorEastAsia" w:eastAsiaTheme="minorEastAsia" w:cstheme="minorEastAsia"/>
                <w:bCs/>
                <w:sz w:val="21"/>
                <w:szCs w:val="21"/>
                <w:lang w:val="en-US" w:eastAsia="zh-CN"/>
              </w:rPr>
              <w:t>磋商报价</w:t>
            </w:r>
            <w:r>
              <w:rPr>
                <w:rFonts w:hint="eastAsia" w:asciiTheme="minorEastAsia" w:hAnsiTheme="minorEastAsia" w:eastAsiaTheme="minorEastAsia" w:cstheme="minorEastAsia"/>
                <w:bCs/>
                <w:sz w:val="21"/>
                <w:szCs w:val="21"/>
              </w:rPr>
              <w:t>（满分</w:t>
            </w:r>
            <w:r>
              <w:rPr>
                <w:rFonts w:hint="eastAsia" w:asciiTheme="minorEastAsia" w:hAnsiTheme="minorEastAsia" w:eastAsiaTheme="minorEastAsia" w:cstheme="minorEastAsia"/>
                <w:bCs/>
                <w:sz w:val="21"/>
                <w:szCs w:val="21"/>
                <w:lang w:val="en-US" w:eastAsia="zh-CN"/>
              </w:rPr>
              <w:t>20</w:t>
            </w:r>
            <w:r>
              <w:rPr>
                <w:rFonts w:hint="eastAsia" w:asciiTheme="minorEastAsia" w:hAnsiTheme="minorEastAsia" w:eastAsiaTheme="minorEastAsia" w:cstheme="minorEastAsia"/>
                <w:bCs/>
                <w:sz w:val="21"/>
                <w:szCs w:val="21"/>
              </w:rPr>
              <w:t>分）</w:t>
            </w:r>
          </w:p>
        </w:tc>
        <w:tc>
          <w:tcPr>
            <w:tcW w:w="5962" w:type="dxa"/>
            <w:noWrap w:val="0"/>
            <w:vAlign w:val="center"/>
          </w:tcPr>
          <w:p w14:paraId="43318DE3">
            <w:pPr>
              <w:pStyle w:val="19"/>
              <w:keepNext w:val="0"/>
              <w:keepLines w:val="0"/>
              <w:pageBreakBefore w:val="0"/>
              <w:kinsoku/>
              <w:wordWrap/>
              <w:overflowPunct/>
              <w:topLinePunct w:val="0"/>
              <w:autoSpaceDE/>
              <w:autoSpaceDN/>
              <w:bidi w:val="0"/>
              <w:spacing w:line="400" w:lineRule="exact"/>
              <w:ind w:firstLine="420" w:firstLineChars="200"/>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1.政府采购政策扣除</w:t>
            </w:r>
          </w:p>
          <w:p w14:paraId="7EC09449">
            <w:pPr>
              <w:pStyle w:val="19"/>
              <w:keepNext w:val="0"/>
              <w:keepLines w:val="0"/>
              <w:pageBreakBefore w:val="0"/>
              <w:kinsoku/>
              <w:wordWrap/>
              <w:overflowPunct/>
              <w:topLinePunct w:val="0"/>
              <w:autoSpaceDE/>
              <w:autoSpaceDN/>
              <w:bidi w:val="0"/>
              <w:spacing w:line="400" w:lineRule="exact"/>
              <w:ind w:firstLine="420" w:firstLineChars="200"/>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本项目为专门面向中小微企业，不需要执行政策扣除。</w:t>
            </w:r>
          </w:p>
          <w:p w14:paraId="075ADCF8">
            <w:pPr>
              <w:pStyle w:val="19"/>
              <w:keepNext w:val="0"/>
              <w:keepLines w:val="0"/>
              <w:pageBreakBefore w:val="0"/>
              <w:kinsoku/>
              <w:wordWrap/>
              <w:overflowPunct/>
              <w:topLinePunct w:val="0"/>
              <w:autoSpaceDE/>
              <w:autoSpaceDN/>
              <w:bidi w:val="0"/>
              <w:spacing w:line="400" w:lineRule="exact"/>
              <w:ind w:firstLine="420" w:firstLineChars="200"/>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2.报价分</w:t>
            </w:r>
          </w:p>
          <w:p w14:paraId="1F8E29E1">
            <w:pPr>
              <w:pStyle w:val="19"/>
              <w:keepNext w:val="0"/>
              <w:keepLines w:val="0"/>
              <w:pageBreakBefore w:val="0"/>
              <w:kinsoku/>
              <w:wordWrap/>
              <w:overflowPunct/>
              <w:topLinePunct w:val="0"/>
              <w:autoSpaceDE/>
              <w:autoSpaceDN/>
              <w:bidi w:val="0"/>
              <w:spacing w:line="400" w:lineRule="exact"/>
              <w:ind w:firstLine="420" w:firstLineChars="200"/>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（1）本项目报价采用浮动率报价方式，有效报价范围为：浮动率</w:t>
            </w:r>
            <w:r>
              <w:rPr>
                <w:rFonts w:hint="eastAsia" w:asciiTheme="minorEastAsia" w:hAnsiTheme="minorEastAsia" w:eastAsiaTheme="minorEastAsia" w:cstheme="minorEastAsia"/>
                <w:bCs/>
                <w:sz w:val="21"/>
                <w:szCs w:val="21"/>
                <w:lang w:val="en-US" w:eastAsia="zh-CN"/>
              </w:rPr>
              <w:t>0</w:t>
            </w:r>
            <w:r>
              <w:rPr>
                <w:rFonts w:hint="eastAsia" w:asciiTheme="minorEastAsia" w:hAnsiTheme="minorEastAsia" w:eastAsiaTheme="minorEastAsia" w:cstheme="minorEastAsia"/>
                <w:bCs/>
                <w:sz w:val="21"/>
                <w:szCs w:val="21"/>
              </w:rPr>
              <w:t>≤X≤35%。</w:t>
            </w:r>
          </w:p>
          <w:p w14:paraId="65CB6661">
            <w:pPr>
              <w:pStyle w:val="19"/>
              <w:keepNext w:val="0"/>
              <w:keepLines w:val="0"/>
              <w:pageBreakBefore w:val="0"/>
              <w:kinsoku/>
              <w:wordWrap/>
              <w:overflowPunct/>
              <w:topLinePunct w:val="0"/>
              <w:autoSpaceDE/>
              <w:autoSpaceDN/>
              <w:bidi w:val="0"/>
              <w:spacing w:line="400" w:lineRule="exact"/>
              <w:ind w:firstLine="420" w:firstLineChars="200"/>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（2）即满足磋商文件要求且浮动率最</w:t>
            </w:r>
            <w:r>
              <w:rPr>
                <w:rFonts w:hint="eastAsia" w:asciiTheme="minorEastAsia" w:hAnsiTheme="minorEastAsia" w:eastAsiaTheme="minorEastAsia" w:cstheme="minorEastAsia"/>
                <w:bCs/>
                <w:sz w:val="21"/>
                <w:szCs w:val="21"/>
                <w:lang w:val="en-US" w:eastAsia="zh-CN"/>
              </w:rPr>
              <w:t>低</w:t>
            </w:r>
            <w:r>
              <w:rPr>
                <w:rFonts w:hint="eastAsia" w:asciiTheme="minorEastAsia" w:hAnsiTheme="minorEastAsia" w:eastAsiaTheme="minorEastAsia" w:cstheme="minorEastAsia"/>
                <w:bCs/>
                <w:sz w:val="21"/>
                <w:szCs w:val="21"/>
              </w:rPr>
              <w:t>的供应商的价格为磋商基准价，其价格分为满分。</w:t>
            </w:r>
          </w:p>
          <w:p w14:paraId="211DF1F3">
            <w:pPr>
              <w:pStyle w:val="19"/>
              <w:keepNext w:val="0"/>
              <w:keepLines w:val="0"/>
              <w:pageBreakBefore w:val="0"/>
              <w:kinsoku/>
              <w:wordWrap/>
              <w:overflowPunct/>
              <w:topLinePunct w:val="0"/>
              <w:autoSpaceDE/>
              <w:autoSpaceDN/>
              <w:bidi w:val="0"/>
              <w:spacing w:line="400" w:lineRule="exact"/>
              <w:ind w:firstLine="420" w:firstLineChars="200"/>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（3）其他供应商的价格分统一按照下列公式计算：</w:t>
            </w:r>
          </w:p>
          <w:p w14:paraId="574B73CC">
            <w:pPr>
              <w:pStyle w:val="19"/>
              <w:keepNext w:val="0"/>
              <w:keepLines w:val="0"/>
              <w:pageBreakBefore w:val="0"/>
              <w:kinsoku/>
              <w:wordWrap/>
              <w:overflowPunct/>
              <w:topLinePunct w:val="0"/>
              <w:autoSpaceDE/>
              <w:autoSpaceDN/>
              <w:bidi w:val="0"/>
              <w:spacing w:line="400" w:lineRule="exact"/>
              <w:ind w:firstLine="420" w:firstLineChars="200"/>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磋商报价得分=（磋商基准价</w:t>
            </w:r>
            <w:r>
              <w:rPr>
                <w:rFonts w:hint="eastAsia" w:asciiTheme="minorEastAsia" w:hAnsiTheme="minorEastAsia" w:eastAsiaTheme="minorEastAsia" w:cstheme="minorEastAsia"/>
                <w:bCs/>
                <w:sz w:val="21"/>
                <w:szCs w:val="21"/>
                <w:lang w:val="en-US" w:eastAsia="zh-CN"/>
              </w:rPr>
              <w:t>/</w:t>
            </w:r>
            <w:r>
              <w:rPr>
                <w:rFonts w:hint="eastAsia" w:asciiTheme="minorEastAsia" w:hAnsiTheme="minorEastAsia" w:eastAsiaTheme="minorEastAsia" w:cstheme="minorEastAsia"/>
                <w:bCs/>
                <w:sz w:val="21"/>
                <w:szCs w:val="21"/>
              </w:rPr>
              <w:t>最后磋商报价）×</w:t>
            </w:r>
            <w:r>
              <w:rPr>
                <w:rFonts w:hint="eastAsia" w:asciiTheme="minorEastAsia" w:hAnsiTheme="minorEastAsia" w:eastAsiaTheme="minorEastAsia" w:cstheme="minorEastAsia"/>
                <w:bCs/>
                <w:sz w:val="21"/>
                <w:szCs w:val="21"/>
                <w:lang w:val="en-US" w:eastAsia="zh-CN"/>
              </w:rPr>
              <w:t>2</w:t>
            </w:r>
            <w:r>
              <w:rPr>
                <w:rFonts w:hint="eastAsia" w:asciiTheme="minorEastAsia" w:hAnsiTheme="minorEastAsia" w:eastAsiaTheme="minorEastAsia" w:cstheme="minorEastAsia"/>
                <w:bCs/>
                <w:sz w:val="21"/>
                <w:szCs w:val="21"/>
              </w:rPr>
              <w:t>0分。</w:t>
            </w:r>
          </w:p>
        </w:tc>
      </w:tr>
      <w:tr w14:paraId="2A899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jc w:val="center"/>
        </w:trPr>
        <w:tc>
          <w:tcPr>
            <w:tcW w:w="520" w:type="dxa"/>
            <w:vMerge w:val="restart"/>
            <w:noWrap w:val="0"/>
            <w:vAlign w:val="center"/>
          </w:tcPr>
          <w:p w14:paraId="46C46246">
            <w:pPr>
              <w:keepNext w:val="0"/>
              <w:keepLines w:val="0"/>
              <w:pageBreakBefore w:val="0"/>
              <w:kinsoku/>
              <w:wordWrap/>
              <w:overflowPunct/>
              <w:topLinePunct w:val="0"/>
              <w:autoSpaceDE/>
              <w:autoSpaceDN/>
              <w:bidi w:val="0"/>
              <w:adjustRightInd w:val="0"/>
              <w:snapToGrid w:val="0"/>
              <w:spacing w:line="400" w:lineRule="exact"/>
              <w:jc w:val="center"/>
              <w:textAlignment w:val="baseline"/>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w:t>
            </w:r>
          </w:p>
        </w:tc>
        <w:tc>
          <w:tcPr>
            <w:tcW w:w="1262" w:type="dxa"/>
            <w:vMerge w:val="restart"/>
            <w:noWrap w:val="0"/>
            <w:vAlign w:val="center"/>
          </w:tcPr>
          <w:p w14:paraId="68FF4B2F">
            <w:pPr>
              <w:keepNext w:val="0"/>
              <w:keepLines w:val="0"/>
              <w:pageBreakBefore w:val="0"/>
              <w:kinsoku/>
              <w:wordWrap/>
              <w:overflowPunct/>
              <w:topLinePunct w:val="0"/>
              <w:autoSpaceDE/>
              <w:autoSpaceDN/>
              <w:bidi w:val="0"/>
              <w:adjustRightInd w:val="0"/>
              <w:snapToGrid w:val="0"/>
              <w:spacing w:line="400" w:lineRule="exact"/>
              <w:ind w:left="-105" w:leftChars="-50" w:right="-105" w:rightChars="-50"/>
              <w:jc w:val="center"/>
              <w:textAlignment w:val="baseline"/>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技术分</w:t>
            </w:r>
          </w:p>
          <w:p w14:paraId="7C2823FE">
            <w:pPr>
              <w:keepNext w:val="0"/>
              <w:keepLines w:val="0"/>
              <w:pageBreakBefore w:val="0"/>
              <w:kinsoku/>
              <w:wordWrap/>
              <w:overflowPunct/>
              <w:topLinePunct w:val="0"/>
              <w:autoSpaceDE/>
              <w:autoSpaceDN/>
              <w:bidi w:val="0"/>
              <w:adjustRightInd w:val="0"/>
              <w:snapToGrid w:val="0"/>
              <w:spacing w:line="400" w:lineRule="exact"/>
              <w:ind w:left="-105" w:leftChars="-50" w:right="-105" w:rightChars="-50"/>
              <w:jc w:val="center"/>
              <w:textAlignment w:val="baseline"/>
              <w:rPr>
                <w:rFonts w:hint="eastAsia" w:asciiTheme="minorEastAsia" w:hAnsiTheme="minorEastAsia" w:eastAsiaTheme="minorEastAsia" w:cstheme="minorEastAsia"/>
                <w:spacing w:val="-18"/>
                <w:sz w:val="21"/>
                <w:szCs w:val="21"/>
              </w:rPr>
            </w:pPr>
            <w:r>
              <w:rPr>
                <w:rFonts w:hint="eastAsia" w:asciiTheme="minorEastAsia" w:hAnsiTheme="minorEastAsia" w:eastAsiaTheme="minorEastAsia" w:cstheme="minorEastAsia"/>
                <w:bCs/>
                <w:sz w:val="21"/>
                <w:szCs w:val="21"/>
              </w:rPr>
              <w:t>（</w:t>
            </w:r>
            <w:r>
              <w:rPr>
                <w:rFonts w:hint="eastAsia" w:asciiTheme="minorEastAsia" w:hAnsiTheme="minorEastAsia" w:eastAsiaTheme="minorEastAsia" w:cstheme="minorEastAsia"/>
                <w:sz w:val="21"/>
                <w:szCs w:val="21"/>
              </w:rPr>
              <w:t>满分</w:t>
            </w:r>
            <w:r>
              <w:rPr>
                <w:rFonts w:hint="eastAsia" w:asciiTheme="minorEastAsia" w:hAnsiTheme="minorEastAsia" w:eastAsiaTheme="minorEastAsia" w:cstheme="minorEastAsia"/>
                <w:sz w:val="21"/>
                <w:szCs w:val="21"/>
                <w:lang w:val="en-US" w:eastAsia="zh-CN"/>
              </w:rPr>
              <w:t>59</w:t>
            </w:r>
            <w:r>
              <w:rPr>
                <w:rFonts w:hint="eastAsia" w:asciiTheme="minorEastAsia" w:hAnsiTheme="minorEastAsia" w:eastAsiaTheme="minorEastAsia" w:cstheme="minorEastAsia"/>
                <w:sz w:val="21"/>
                <w:szCs w:val="21"/>
              </w:rPr>
              <w:t>分</w:t>
            </w:r>
            <w:r>
              <w:rPr>
                <w:rFonts w:hint="eastAsia" w:asciiTheme="minorEastAsia" w:hAnsiTheme="minorEastAsia" w:eastAsiaTheme="minorEastAsia" w:cstheme="minorEastAsia"/>
                <w:bCs/>
                <w:sz w:val="21"/>
                <w:szCs w:val="21"/>
              </w:rPr>
              <w:t>）</w:t>
            </w:r>
          </w:p>
        </w:tc>
        <w:tc>
          <w:tcPr>
            <w:tcW w:w="1399" w:type="dxa"/>
            <w:noWrap w:val="0"/>
            <w:vAlign w:val="center"/>
          </w:tcPr>
          <w:p w14:paraId="360F7C72">
            <w:pPr>
              <w:keepNext w:val="0"/>
              <w:keepLines w:val="0"/>
              <w:pageBreakBefore w:val="0"/>
              <w:widowControl/>
              <w:kinsoku/>
              <w:wordWrap/>
              <w:overflowPunct/>
              <w:topLinePunct w:val="0"/>
              <w:autoSpaceDE/>
              <w:autoSpaceDN/>
              <w:bidi w:val="0"/>
              <w:snapToGrid w:val="0"/>
              <w:spacing w:line="40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sz w:val="21"/>
                <w:szCs w:val="21"/>
              </w:rPr>
              <w:t>2.1实施组织方案（满分</w:t>
            </w:r>
            <w:r>
              <w:rPr>
                <w:rFonts w:hint="eastAsia" w:asciiTheme="minorEastAsia" w:hAnsiTheme="minorEastAsia" w:eastAsiaTheme="minorEastAsia" w:cstheme="minorEastAsia"/>
                <w:color w:val="000000"/>
                <w:sz w:val="21"/>
                <w:szCs w:val="21"/>
                <w:lang w:val="en-US" w:eastAsia="zh-CN"/>
              </w:rPr>
              <w:t>20</w:t>
            </w:r>
            <w:r>
              <w:rPr>
                <w:rFonts w:hint="eastAsia" w:asciiTheme="minorEastAsia" w:hAnsiTheme="minorEastAsia" w:eastAsiaTheme="minorEastAsia" w:cstheme="minorEastAsia"/>
                <w:color w:val="000000"/>
                <w:sz w:val="21"/>
                <w:szCs w:val="21"/>
              </w:rPr>
              <w:t>分）</w:t>
            </w:r>
          </w:p>
        </w:tc>
        <w:tc>
          <w:tcPr>
            <w:tcW w:w="5962" w:type="dxa"/>
            <w:noWrap w:val="0"/>
            <w:vAlign w:val="center"/>
          </w:tcPr>
          <w:p w14:paraId="7F08D39C">
            <w:pPr>
              <w:keepNext w:val="0"/>
              <w:keepLines w:val="0"/>
              <w:pageBreakBefore w:val="0"/>
              <w:tabs>
                <w:tab w:val="left" w:pos="180"/>
                <w:tab w:val="left" w:pos="1620"/>
              </w:tabs>
              <w:kinsoku/>
              <w:wordWrap/>
              <w:overflowPunct/>
              <w:topLinePunct w:val="0"/>
              <w:autoSpaceDE/>
              <w:autoSpaceDN/>
              <w:bidi w:val="0"/>
              <w:spacing w:line="400" w:lineRule="exact"/>
              <w:ind w:left="0" w:leftChars="0" w:firstLine="420" w:firstLineChars="200"/>
              <w:jc w:val="both"/>
              <w:rPr>
                <w:rFonts w:hint="eastAsia" w:asciiTheme="minorEastAsia" w:hAnsiTheme="minorEastAsia" w:eastAsiaTheme="minorEastAsia" w:cstheme="minorEastAsia"/>
                <w:color w:val="auto"/>
                <w:kern w:val="0"/>
                <w:sz w:val="21"/>
                <w:szCs w:val="21"/>
                <w:highlight w:val="none"/>
                <w:lang w:eastAsia="zh-CN"/>
              </w:rPr>
            </w:pPr>
            <w:r>
              <w:rPr>
                <w:rFonts w:hint="eastAsia" w:asciiTheme="minorEastAsia" w:hAnsiTheme="minorEastAsia" w:eastAsiaTheme="minorEastAsia" w:cstheme="minorEastAsia"/>
                <w:color w:val="auto"/>
                <w:kern w:val="0"/>
                <w:sz w:val="21"/>
                <w:szCs w:val="21"/>
                <w:highlight w:val="none"/>
              </w:rPr>
              <w:t>一档（</w:t>
            </w:r>
            <w:r>
              <w:rPr>
                <w:rFonts w:hint="eastAsia" w:asciiTheme="minorEastAsia" w:hAnsiTheme="minorEastAsia" w:eastAsiaTheme="minorEastAsia" w:cstheme="minorEastAsia"/>
                <w:color w:val="auto"/>
                <w:kern w:val="0"/>
                <w:sz w:val="21"/>
                <w:szCs w:val="21"/>
                <w:highlight w:val="none"/>
                <w:lang w:val="en-US" w:eastAsia="zh-CN"/>
              </w:rPr>
              <w:t>5</w:t>
            </w:r>
            <w:r>
              <w:rPr>
                <w:rFonts w:hint="eastAsia" w:asciiTheme="minorEastAsia" w:hAnsiTheme="minorEastAsia" w:eastAsiaTheme="minorEastAsia" w:cstheme="minorEastAsia"/>
                <w:color w:val="auto"/>
                <w:kern w:val="0"/>
                <w:sz w:val="21"/>
                <w:szCs w:val="21"/>
                <w:highlight w:val="none"/>
              </w:rPr>
              <w:t>分）：</w:t>
            </w:r>
            <w:r>
              <w:rPr>
                <w:rFonts w:hint="eastAsia" w:asciiTheme="minorEastAsia" w:hAnsiTheme="minorEastAsia" w:eastAsiaTheme="minorEastAsia" w:cstheme="minorEastAsia"/>
                <w:color w:val="auto"/>
                <w:kern w:val="0"/>
                <w:sz w:val="21"/>
                <w:szCs w:val="21"/>
                <w:highlight w:val="none"/>
                <w:lang w:val="en-US" w:eastAsia="zh-CN"/>
              </w:rPr>
              <w:t>方案</w:t>
            </w:r>
            <w:r>
              <w:rPr>
                <w:rFonts w:hint="eastAsia" w:asciiTheme="minorEastAsia" w:hAnsiTheme="minorEastAsia" w:eastAsiaTheme="minorEastAsia" w:cstheme="minorEastAsia"/>
                <w:color w:val="auto"/>
                <w:kern w:val="0"/>
                <w:sz w:val="21"/>
                <w:szCs w:val="21"/>
                <w:highlight w:val="none"/>
              </w:rPr>
              <w:t>对项目需求及采购人单位性质、职能、特点有一定了解</w:t>
            </w:r>
            <w:r>
              <w:rPr>
                <w:rFonts w:hint="eastAsia" w:asciiTheme="minorEastAsia" w:hAnsiTheme="minorEastAsia" w:eastAsiaTheme="minorEastAsia" w:cstheme="minorEastAsia"/>
                <w:color w:val="auto"/>
                <w:kern w:val="0"/>
                <w:sz w:val="21"/>
                <w:szCs w:val="21"/>
                <w:highlight w:val="none"/>
                <w:lang w:val="en-US" w:eastAsia="zh-CN"/>
              </w:rPr>
              <w:t>并有针对性</w:t>
            </w:r>
            <w:r>
              <w:rPr>
                <w:rFonts w:hint="eastAsia" w:asciiTheme="minorEastAsia" w:hAnsiTheme="minorEastAsia" w:eastAsiaTheme="minorEastAsia" w:cstheme="minorEastAsia"/>
                <w:color w:val="auto"/>
                <w:kern w:val="0"/>
                <w:sz w:val="21"/>
                <w:szCs w:val="21"/>
                <w:highlight w:val="none"/>
              </w:rPr>
              <w:t>，方案包含有</w:t>
            </w:r>
            <w:r>
              <w:rPr>
                <w:rFonts w:hint="eastAsia" w:asciiTheme="minorEastAsia" w:hAnsiTheme="minorEastAsia" w:eastAsiaTheme="minorEastAsia" w:cstheme="minorEastAsia"/>
                <w:color w:val="auto"/>
                <w:kern w:val="0"/>
                <w:sz w:val="21"/>
                <w:szCs w:val="21"/>
                <w:highlight w:val="none"/>
                <w:lang w:val="en-US" w:eastAsia="zh-CN"/>
              </w:rPr>
              <w:t>基本的</w:t>
            </w:r>
            <w:r>
              <w:rPr>
                <w:rFonts w:hint="eastAsia" w:asciiTheme="minorEastAsia" w:hAnsiTheme="minorEastAsia" w:eastAsiaTheme="minorEastAsia" w:cstheme="minorEastAsia"/>
                <w:color w:val="auto"/>
                <w:kern w:val="0"/>
                <w:sz w:val="21"/>
                <w:szCs w:val="21"/>
                <w:highlight w:val="none"/>
              </w:rPr>
              <w:t>供货流程</w:t>
            </w:r>
            <w:r>
              <w:rPr>
                <w:rFonts w:hint="eastAsia" w:asciiTheme="minorEastAsia" w:hAnsiTheme="minorEastAsia" w:eastAsiaTheme="minorEastAsia" w:cstheme="minorEastAsia"/>
                <w:color w:val="auto"/>
                <w:kern w:val="0"/>
                <w:sz w:val="21"/>
                <w:szCs w:val="21"/>
                <w:highlight w:val="none"/>
                <w:lang w:val="en-US" w:eastAsia="zh-CN"/>
              </w:rPr>
              <w:t>和</w:t>
            </w:r>
            <w:r>
              <w:rPr>
                <w:rFonts w:hint="eastAsia" w:asciiTheme="minorEastAsia" w:hAnsiTheme="minorEastAsia" w:eastAsiaTheme="minorEastAsia" w:cstheme="minorEastAsia"/>
                <w:color w:val="auto"/>
                <w:kern w:val="0"/>
                <w:sz w:val="21"/>
                <w:szCs w:val="21"/>
                <w:highlight w:val="none"/>
              </w:rPr>
              <w:t>供货措施，</w:t>
            </w:r>
            <w:r>
              <w:rPr>
                <w:rFonts w:hint="eastAsia" w:ascii="宋体" w:hAnsi="宋体"/>
                <w:color w:val="auto"/>
                <w:szCs w:val="21"/>
              </w:rPr>
              <w:t>配送供货时间安排合理</w:t>
            </w:r>
            <w:r>
              <w:rPr>
                <w:rFonts w:hint="eastAsia" w:ascii="宋体" w:hAnsi="宋体"/>
                <w:color w:val="auto"/>
                <w:szCs w:val="21"/>
                <w:lang w:eastAsia="zh-CN"/>
              </w:rPr>
              <w:t>，</w:t>
            </w:r>
            <w:r>
              <w:rPr>
                <w:rFonts w:hint="eastAsia" w:ascii="宋体" w:hAnsi="宋体"/>
                <w:color w:val="auto"/>
                <w:szCs w:val="21"/>
              </w:rPr>
              <w:t>并有</w:t>
            </w:r>
            <w:r>
              <w:rPr>
                <w:rFonts w:hint="eastAsia" w:ascii="宋体" w:hAnsi="宋体"/>
                <w:color w:val="auto"/>
                <w:szCs w:val="21"/>
                <w:lang w:val="en-US" w:eastAsia="zh-CN"/>
              </w:rPr>
              <w:t>基本的</w:t>
            </w:r>
            <w:r>
              <w:rPr>
                <w:rFonts w:hint="eastAsia" w:ascii="宋体" w:hAnsi="宋体"/>
                <w:color w:val="auto"/>
                <w:szCs w:val="21"/>
              </w:rPr>
              <w:t>实施步骤</w:t>
            </w:r>
            <w:r>
              <w:rPr>
                <w:rFonts w:hint="eastAsia" w:ascii="宋体" w:hAnsi="宋体"/>
                <w:color w:val="auto"/>
                <w:szCs w:val="21"/>
                <w:lang w:eastAsia="zh-CN"/>
              </w:rPr>
              <w:t>，</w:t>
            </w:r>
            <w:r>
              <w:rPr>
                <w:rFonts w:hint="eastAsia" w:ascii="宋体" w:hAnsi="宋体"/>
                <w:color w:val="auto"/>
                <w:szCs w:val="21"/>
              </w:rPr>
              <w:t>配送服务方案基本满足要求</w:t>
            </w:r>
            <w:r>
              <w:rPr>
                <w:rFonts w:hint="eastAsia" w:ascii="宋体" w:hAnsi="宋体"/>
                <w:color w:val="auto"/>
                <w:szCs w:val="21"/>
                <w:lang w:eastAsia="zh-CN"/>
              </w:rPr>
              <w:t>；</w:t>
            </w:r>
            <w:r>
              <w:rPr>
                <w:rFonts w:hint="eastAsia" w:ascii="宋体" w:hAnsi="宋体"/>
                <w:color w:val="auto"/>
                <w:szCs w:val="21"/>
                <w:lang w:val="en-US" w:eastAsia="zh-CN"/>
              </w:rPr>
              <w:t>配送运输有基础的要求可以基本保证食材卫生、新鲜，但不具体；对供货鸡蛋仅有基础介绍，未说明鸡蛋相关安全卫生认证；有基础的鸡蛋货源或养殖基地介绍，介绍阐述浅显，无场地实景照片佐证或养殖环境肮脏较差；有生产及运输所需设备介绍但简单不具体；有基础的</w:t>
            </w:r>
            <w:r>
              <w:rPr>
                <w:rFonts w:hint="eastAsia" w:ascii="宋体" w:hAnsi="宋体"/>
                <w:color w:val="auto"/>
                <w:szCs w:val="21"/>
              </w:rPr>
              <w:t>管理制度</w:t>
            </w:r>
            <w:r>
              <w:rPr>
                <w:rFonts w:hint="eastAsia" w:ascii="宋体" w:hAnsi="宋体"/>
                <w:color w:val="auto"/>
                <w:szCs w:val="21"/>
                <w:lang w:val="en-US" w:eastAsia="zh-CN"/>
              </w:rPr>
              <w:t>但不详细具体</w:t>
            </w:r>
            <w:r>
              <w:rPr>
                <w:rFonts w:hint="eastAsia" w:ascii="宋体" w:hAnsi="宋体"/>
                <w:color w:val="auto"/>
                <w:szCs w:val="21"/>
                <w:lang w:eastAsia="zh-CN"/>
              </w:rPr>
              <w:t>；</w:t>
            </w:r>
            <w:r>
              <w:rPr>
                <w:rFonts w:hint="eastAsia" w:ascii="宋体" w:hAnsi="宋体"/>
                <w:color w:val="auto"/>
                <w:szCs w:val="21"/>
                <w:lang w:val="en-US" w:eastAsia="zh-CN"/>
              </w:rPr>
              <w:t>有基本的食品安全管控和产品质检体系但不完备；有基础的</w:t>
            </w:r>
            <w:r>
              <w:rPr>
                <w:rFonts w:hint="eastAsia" w:ascii="宋体" w:hAnsi="宋体" w:eastAsia="宋体" w:cs="宋体"/>
                <w:bCs/>
                <w:color w:val="000000"/>
                <w:sz w:val="21"/>
                <w:szCs w:val="21"/>
              </w:rPr>
              <w:t>组织架构设置与人员管理</w:t>
            </w:r>
            <w:r>
              <w:rPr>
                <w:rFonts w:hint="eastAsia" w:ascii="宋体" w:hAnsi="宋体" w:eastAsia="宋体" w:cs="宋体"/>
                <w:bCs/>
                <w:color w:val="000000"/>
                <w:sz w:val="21"/>
                <w:szCs w:val="21"/>
                <w:lang w:val="en-US" w:eastAsia="zh-CN"/>
              </w:rPr>
              <w:t>未详细说明</w:t>
            </w:r>
            <w:r>
              <w:rPr>
                <w:rFonts w:hint="eastAsia" w:ascii="宋体" w:hAnsi="宋体" w:eastAsia="宋体" w:cs="宋体"/>
                <w:bCs/>
                <w:color w:val="000000"/>
                <w:sz w:val="21"/>
                <w:szCs w:val="21"/>
                <w:lang w:eastAsia="zh-CN"/>
              </w:rPr>
              <w:t>。</w:t>
            </w:r>
            <w:r>
              <w:rPr>
                <w:rFonts w:hint="eastAsia" w:ascii="宋体" w:hAnsi="宋体" w:eastAsia="宋体" w:cs="宋体"/>
                <w:bCs/>
                <w:color w:val="000000"/>
                <w:sz w:val="21"/>
                <w:szCs w:val="21"/>
                <w:lang w:val="en-US" w:eastAsia="zh-CN"/>
              </w:rPr>
              <w:t>方案基本满足采购人需求，</w:t>
            </w:r>
            <w:r>
              <w:rPr>
                <w:rFonts w:hint="eastAsia" w:asciiTheme="minorEastAsia" w:hAnsiTheme="minorEastAsia" w:eastAsiaTheme="minorEastAsia" w:cstheme="minorEastAsia"/>
                <w:color w:val="auto"/>
                <w:kern w:val="0"/>
                <w:sz w:val="21"/>
                <w:szCs w:val="21"/>
                <w:highlight w:val="none"/>
              </w:rPr>
              <w:t>但整体方案缺乏针对性</w:t>
            </w:r>
            <w:r>
              <w:rPr>
                <w:rFonts w:hint="eastAsia" w:asciiTheme="minorEastAsia" w:hAnsiTheme="minorEastAsia" w:eastAsiaTheme="minorEastAsia" w:cstheme="minorEastAsia"/>
                <w:color w:val="auto"/>
                <w:kern w:val="0"/>
                <w:sz w:val="21"/>
                <w:szCs w:val="21"/>
                <w:highlight w:val="none"/>
                <w:lang w:eastAsia="zh-CN"/>
              </w:rPr>
              <w:t>，</w:t>
            </w:r>
            <w:r>
              <w:rPr>
                <w:rFonts w:hint="eastAsia" w:asciiTheme="minorEastAsia" w:hAnsiTheme="minorEastAsia" w:eastAsiaTheme="minorEastAsia" w:cstheme="minorEastAsia"/>
                <w:color w:val="auto"/>
                <w:kern w:val="0"/>
                <w:sz w:val="21"/>
                <w:szCs w:val="21"/>
                <w:highlight w:val="none"/>
                <w:lang w:val="en-US" w:eastAsia="zh-CN"/>
              </w:rPr>
              <w:t>不深入不完整</w:t>
            </w:r>
            <w:r>
              <w:rPr>
                <w:rFonts w:hint="eastAsia" w:asciiTheme="minorEastAsia" w:hAnsiTheme="minorEastAsia" w:eastAsiaTheme="minorEastAsia" w:cstheme="minorEastAsia"/>
                <w:color w:val="auto"/>
                <w:kern w:val="0"/>
                <w:sz w:val="21"/>
                <w:szCs w:val="21"/>
                <w:highlight w:val="none"/>
                <w:lang w:eastAsia="zh-CN"/>
              </w:rPr>
              <w:t>。</w:t>
            </w:r>
          </w:p>
          <w:p w14:paraId="4DFFE563">
            <w:pPr>
              <w:keepNext w:val="0"/>
              <w:keepLines w:val="0"/>
              <w:widowControl/>
              <w:suppressLineNumbers w:val="0"/>
              <w:spacing w:line="400" w:lineRule="exact"/>
              <w:ind w:firstLine="420" w:firstLineChars="200"/>
              <w:jc w:val="left"/>
              <w:rPr>
                <w:b w:val="0"/>
                <w:bCs/>
                <w:szCs w:val="21"/>
              </w:rPr>
            </w:pPr>
            <w:r>
              <w:rPr>
                <w:rStyle w:val="36"/>
                <w:rFonts w:ascii="宋体" w:hAnsi="宋体" w:eastAsia="宋体" w:cs="宋体"/>
                <w:b w:val="0"/>
                <w:bCs/>
                <w:kern w:val="0"/>
                <w:sz w:val="21"/>
                <w:szCs w:val="21"/>
                <w:lang w:val="en-US" w:eastAsia="zh-CN" w:bidi="ar"/>
              </w:rPr>
              <w:t>二档（</w:t>
            </w:r>
            <w:r>
              <w:rPr>
                <w:rStyle w:val="36"/>
                <w:rFonts w:hint="eastAsia" w:ascii="宋体" w:hAnsi="宋体" w:cs="宋体"/>
                <w:b w:val="0"/>
                <w:bCs/>
                <w:kern w:val="0"/>
                <w:sz w:val="21"/>
                <w:szCs w:val="21"/>
                <w:lang w:val="en-US" w:eastAsia="zh-CN" w:bidi="ar"/>
              </w:rPr>
              <w:t>10</w:t>
            </w:r>
            <w:r>
              <w:rPr>
                <w:rStyle w:val="36"/>
                <w:rFonts w:ascii="宋体" w:hAnsi="宋体" w:eastAsia="宋体" w:cs="宋体"/>
                <w:b w:val="0"/>
                <w:bCs/>
                <w:kern w:val="0"/>
                <w:sz w:val="21"/>
                <w:szCs w:val="21"/>
                <w:lang w:val="en-US" w:eastAsia="zh-CN" w:bidi="ar"/>
              </w:rPr>
              <w:t>分）</w:t>
            </w:r>
            <w:r>
              <w:rPr>
                <w:rFonts w:ascii="宋体" w:hAnsi="宋体" w:eastAsia="宋体" w:cs="宋体"/>
                <w:b w:val="0"/>
                <w:bCs/>
                <w:kern w:val="0"/>
                <w:sz w:val="21"/>
                <w:szCs w:val="21"/>
                <w:lang w:val="en-US" w:eastAsia="zh-CN" w:bidi="ar"/>
              </w:rPr>
              <w:t>：</w:t>
            </w:r>
            <w:r>
              <w:rPr>
                <w:rFonts w:hint="eastAsia" w:asciiTheme="minorEastAsia" w:hAnsiTheme="minorEastAsia" w:eastAsiaTheme="minorEastAsia" w:cstheme="minorEastAsia"/>
                <w:color w:val="auto"/>
                <w:kern w:val="0"/>
                <w:sz w:val="21"/>
                <w:szCs w:val="21"/>
                <w:highlight w:val="none"/>
                <w:lang w:eastAsia="zh-CN"/>
              </w:rPr>
              <w:t>在</w:t>
            </w:r>
            <w:r>
              <w:rPr>
                <w:rFonts w:hint="eastAsia" w:asciiTheme="minorEastAsia" w:hAnsiTheme="minorEastAsia" w:eastAsiaTheme="minorEastAsia" w:cstheme="minorEastAsia"/>
                <w:color w:val="auto"/>
                <w:kern w:val="0"/>
                <w:sz w:val="21"/>
                <w:szCs w:val="21"/>
                <w:highlight w:val="none"/>
                <w:lang w:val="en-US" w:eastAsia="zh-CN"/>
              </w:rPr>
              <w:t>一档的基础上，</w:t>
            </w:r>
            <w:r>
              <w:rPr>
                <w:rFonts w:ascii="宋体" w:hAnsi="宋体" w:eastAsia="宋体" w:cs="宋体"/>
                <w:b w:val="0"/>
                <w:bCs/>
                <w:kern w:val="0"/>
                <w:sz w:val="21"/>
                <w:szCs w:val="21"/>
                <w:lang w:val="en-US" w:eastAsia="zh-CN" w:bidi="ar"/>
              </w:rPr>
              <w:t>能结合采购人实际需求及单位特点编制方案，项目针对性较强。方案具备完整的供货流程、供货保障措施，明确采购、装卸、全流程配送管控措施，配送时间、运输安排合理，实施步骤清晰，可基本保障配送服务落地。对供货鸡蛋优势有说明，简述鸡蛋核心营养成分</w:t>
            </w:r>
            <w:r>
              <w:rPr>
                <w:rFonts w:hint="eastAsia" w:ascii="宋体" w:hAnsi="宋体" w:cs="宋体"/>
                <w:b w:val="0"/>
                <w:bCs/>
                <w:kern w:val="0"/>
                <w:sz w:val="21"/>
                <w:szCs w:val="21"/>
                <w:lang w:val="en-US" w:eastAsia="zh-CN" w:bidi="ar"/>
              </w:rPr>
              <w:t>及</w:t>
            </w:r>
            <w:r>
              <w:rPr>
                <w:rFonts w:ascii="宋体" w:hAnsi="宋体" w:eastAsia="宋体" w:cs="宋体"/>
                <w:b w:val="0"/>
                <w:bCs/>
                <w:kern w:val="0"/>
                <w:sz w:val="21"/>
                <w:szCs w:val="21"/>
                <w:lang w:val="en-US" w:eastAsia="zh-CN" w:bidi="ar"/>
              </w:rPr>
              <w:t>具备基础食品安全相关合规认证，品质安全有基本保障</w:t>
            </w:r>
            <w:r>
              <w:rPr>
                <w:rFonts w:hint="eastAsia" w:ascii="宋体" w:hAnsi="宋体" w:cs="宋体"/>
                <w:b w:val="0"/>
                <w:bCs/>
                <w:kern w:val="0"/>
                <w:sz w:val="21"/>
                <w:szCs w:val="21"/>
                <w:lang w:val="en-US" w:eastAsia="zh-CN" w:bidi="ar"/>
              </w:rPr>
              <w:t>；</w:t>
            </w:r>
            <w:r>
              <w:rPr>
                <w:rFonts w:ascii="宋体" w:hAnsi="宋体" w:eastAsia="宋体" w:cs="宋体"/>
                <w:b w:val="0"/>
                <w:bCs/>
                <w:kern w:val="0"/>
                <w:sz w:val="21"/>
                <w:szCs w:val="21"/>
                <w:lang w:val="en-US" w:eastAsia="zh-CN" w:bidi="ar"/>
              </w:rPr>
              <w:t>对鸡蛋货源、合作养殖基地情况有清晰介绍，养殖环境规范整洁，可提供场地实景照片佐证；对生产、运输专用设备配置有明确说明，设备可满足项目供货需求。具备完善的项目管理制度、基础食品安全管控及产品质检体系，内容较为具体规范；设置合理的项目组织架构，明确岗位配置及基础人员管理要求。整体方案内容较完整、贴合项目需求，各项保障措施规范可行。</w:t>
            </w:r>
          </w:p>
          <w:p w14:paraId="7F965026">
            <w:pPr>
              <w:keepNext w:val="0"/>
              <w:keepLines w:val="0"/>
              <w:pageBreakBefore w:val="0"/>
              <w:widowControl/>
              <w:kinsoku/>
              <w:wordWrap/>
              <w:overflowPunct/>
              <w:topLinePunct w:val="0"/>
              <w:autoSpaceDE/>
              <w:autoSpaceDN/>
              <w:bidi w:val="0"/>
              <w:spacing w:line="400" w:lineRule="exact"/>
              <w:ind w:left="0" w:leftChars="0" w:firstLine="420" w:firstLineChars="200"/>
              <w:jc w:val="left"/>
              <w:rPr>
                <w:rFonts w:ascii="宋体" w:hAnsi="宋体" w:eastAsia="宋体" w:cs="宋体"/>
                <w:b w:val="0"/>
                <w:bCs/>
                <w:kern w:val="0"/>
                <w:sz w:val="21"/>
                <w:szCs w:val="21"/>
                <w:lang w:val="en-US" w:eastAsia="zh-CN" w:bidi="ar"/>
              </w:rPr>
            </w:pPr>
            <w:r>
              <w:rPr>
                <w:rStyle w:val="36"/>
                <w:rFonts w:ascii="宋体" w:hAnsi="宋体" w:eastAsia="宋体" w:cs="宋体"/>
                <w:b w:val="0"/>
                <w:bCs/>
                <w:kern w:val="0"/>
                <w:sz w:val="21"/>
                <w:szCs w:val="21"/>
                <w:lang w:val="en-US" w:eastAsia="zh-CN" w:bidi="ar"/>
              </w:rPr>
              <w:t>三档（1</w:t>
            </w:r>
            <w:r>
              <w:rPr>
                <w:rStyle w:val="36"/>
                <w:rFonts w:hint="eastAsia" w:ascii="宋体" w:hAnsi="宋体" w:cs="宋体"/>
                <w:b w:val="0"/>
                <w:bCs/>
                <w:kern w:val="0"/>
                <w:sz w:val="21"/>
                <w:szCs w:val="21"/>
                <w:lang w:val="en-US" w:eastAsia="zh-CN" w:bidi="ar"/>
              </w:rPr>
              <w:t>5</w:t>
            </w:r>
            <w:r>
              <w:rPr>
                <w:rStyle w:val="36"/>
                <w:rFonts w:ascii="宋体" w:hAnsi="宋体" w:eastAsia="宋体" w:cs="宋体"/>
                <w:b w:val="0"/>
                <w:bCs/>
                <w:kern w:val="0"/>
                <w:sz w:val="21"/>
                <w:szCs w:val="21"/>
                <w:lang w:val="en-US" w:eastAsia="zh-CN" w:bidi="ar"/>
              </w:rPr>
              <w:t>分）</w:t>
            </w:r>
            <w:r>
              <w:rPr>
                <w:rFonts w:ascii="宋体" w:hAnsi="宋体" w:eastAsia="宋体" w:cs="宋体"/>
                <w:b w:val="0"/>
                <w:bCs/>
                <w:kern w:val="0"/>
                <w:sz w:val="21"/>
                <w:szCs w:val="21"/>
                <w:lang w:val="en-US" w:eastAsia="zh-CN" w:bidi="ar"/>
              </w:rPr>
              <w:t>：</w:t>
            </w:r>
            <w:r>
              <w:rPr>
                <w:rFonts w:hint="eastAsia" w:asciiTheme="minorEastAsia" w:hAnsiTheme="minorEastAsia" w:eastAsiaTheme="minorEastAsia" w:cstheme="minorEastAsia"/>
                <w:color w:val="auto"/>
                <w:kern w:val="0"/>
                <w:sz w:val="21"/>
                <w:szCs w:val="21"/>
                <w:highlight w:val="none"/>
                <w:lang w:eastAsia="zh-CN"/>
              </w:rPr>
              <w:t>在</w:t>
            </w:r>
            <w:r>
              <w:rPr>
                <w:rFonts w:hint="eastAsia" w:asciiTheme="minorEastAsia" w:hAnsiTheme="minorEastAsia" w:eastAsiaTheme="minorEastAsia" w:cstheme="minorEastAsia"/>
                <w:color w:val="auto"/>
                <w:kern w:val="0"/>
                <w:sz w:val="21"/>
                <w:szCs w:val="21"/>
                <w:highlight w:val="none"/>
                <w:lang w:val="en-US" w:eastAsia="zh-CN"/>
              </w:rPr>
              <w:t>二档的基础上，</w:t>
            </w:r>
            <w:r>
              <w:rPr>
                <w:rFonts w:ascii="宋体" w:hAnsi="宋体" w:eastAsia="宋体" w:cs="宋体"/>
                <w:b w:val="0"/>
                <w:bCs/>
                <w:kern w:val="0"/>
                <w:sz w:val="21"/>
                <w:szCs w:val="21"/>
                <w:lang w:val="en-US" w:eastAsia="zh-CN" w:bidi="ar"/>
              </w:rPr>
              <w:t>精准贴合采购人实际需求及单位运营特点，实施方案详实、针对性强。方案完整涵盖标准化供货流程、专项供货保障措施，细化采购、装卸、分拣、配送全流程管控内容，提供规范完整的供货流程图；科学制定配送计划，明确供货时效、优选运输路线、错峰配送等专项规划，实施步骤清晰具体，可行性高。</w:t>
            </w:r>
            <w:r>
              <w:rPr>
                <w:rFonts w:hint="eastAsia" w:ascii="宋体" w:hAnsi="宋体" w:eastAsia="宋体" w:cs="宋体"/>
                <w:b w:val="0"/>
                <w:bCs/>
                <w:kern w:val="0"/>
                <w:sz w:val="21"/>
                <w:szCs w:val="21"/>
                <w:lang w:val="en-US" w:eastAsia="zh-CN" w:bidi="ar"/>
              </w:rPr>
              <w:t>详细介绍供货鸡蛋的核心优势及营养物质，产品具备正规食品安全、品质检测等相关认证</w:t>
            </w:r>
            <w:r>
              <w:rPr>
                <w:rFonts w:hint="eastAsia" w:ascii="宋体" w:hAnsi="宋体" w:cs="宋体"/>
                <w:b w:val="0"/>
                <w:bCs/>
                <w:kern w:val="0"/>
                <w:sz w:val="21"/>
                <w:szCs w:val="21"/>
                <w:lang w:val="en-US" w:eastAsia="zh-CN" w:bidi="ar"/>
              </w:rPr>
              <w:t>；</w:t>
            </w:r>
            <w:r>
              <w:rPr>
                <w:rFonts w:ascii="宋体" w:hAnsi="宋体" w:eastAsia="宋体" w:cs="宋体"/>
                <w:b w:val="0"/>
                <w:bCs/>
                <w:kern w:val="0"/>
                <w:sz w:val="21"/>
                <w:szCs w:val="21"/>
                <w:lang w:val="en-US" w:eastAsia="zh-CN" w:bidi="ar"/>
              </w:rPr>
              <w:t>详细介绍优质稳定的鸡蛋货源及合规养殖基地资质、产能优势，养殖环境干净规范、标准化程度高，场地实景佐证资料齐全；详细列明生产、冷链运输、保鲜配套设备配置及设备运维保障措施，硬件条件充足。具备细化、可落地的项目管理制度、全流程食品安全管控制度及完善的产品质检体系，覆盖进货查验、在库保管、出库核验、运输保鲜全环节；组织架构搭建完整，岗位职责清晰，人员管理、岗前培训、日常管控机制完善。整体方案体系完整、逻辑清晰，完全满足项目常态化供货及食品安全保障需求。</w:t>
            </w:r>
          </w:p>
          <w:p w14:paraId="2537A936">
            <w:pPr>
              <w:keepNext w:val="0"/>
              <w:keepLines w:val="0"/>
              <w:pageBreakBefore w:val="0"/>
              <w:widowControl/>
              <w:kinsoku/>
              <w:wordWrap/>
              <w:overflowPunct/>
              <w:topLinePunct w:val="0"/>
              <w:autoSpaceDE/>
              <w:autoSpaceDN/>
              <w:bidi w:val="0"/>
              <w:spacing w:line="400" w:lineRule="exact"/>
              <w:ind w:left="0" w:leftChars="0" w:firstLine="420" w:firstLineChars="200"/>
              <w:jc w:val="left"/>
              <w:rPr>
                <w:rFonts w:hint="eastAsia" w:asciiTheme="minorEastAsia" w:hAnsiTheme="minorEastAsia" w:eastAsiaTheme="minorEastAsia" w:cstheme="minorEastAsia"/>
                <w:color w:val="auto"/>
                <w:kern w:val="0"/>
                <w:sz w:val="21"/>
                <w:szCs w:val="21"/>
                <w:highlight w:val="none"/>
              </w:rPr>
            </w:pPr>
            <w:r>
              <w:rPr>
                <w:rStyle w:val="36"/>
                <w:rFonts w:ascii="宋体" w:hAnsi="宋体" w:eastAsia="宋体" w:cs="宋体"/>
                <w:b w:val="0"/>
                <w:bCs/>
                <w:kern w:val="0"/>
                <w:sz w:val="21"/>
                <w:szCs w:val="21"/>
                <w:lang w:val="en-US" w:eastAsia="zh-CN" w:bidi="ar"/>
              </w:rPr>
              <w:t>四档（</w:t>
            </w:r>
            <w:r>
              <w:rPr>
                <w:rStyle w:val="36"/>
                <w:rFonts w:hint="eastAsia" w:ascii="宋体" w:hAnsi="宋体" w:cs="宋体"/>
                <w:b w:val="0"/>
                <w:bCs/>
                <w:kern w:val="0"/>
                <w:sz w:val="21"/>
                <w:szCs w:val="21"/>
                <w:lang w:val="en-US" w:eastAsia="zh-CN" w:bidi="ar"/>
              </w:rPr>
              <w:t>20</w:t>
            </w:r>
            <w:r>
              <w:rPr>
                <w:rStyle w:val="36"/>
                <w:rFonts w:ascii="宋体" w:hAnsi="宋体" w:eastAsia="宋体" w:cs="宋体"/>
                <w:b w:val="0"/>
                <w:bCs/>
                <w:kern w:val="0"/>
                <w:sz w:val="21"/>
                <w:szCs w:val="21"/>
                <w:lang w:val="en-US" w:eastAsia="zh-CN" w:bidi="ar"/>
              </w:rPr>
              <w:t>分）</w:t>
            </w:r>
            <w:r>
              <w:rPr>
                <w:rFonts w:ascii="宋体" w:hAnsi="宋体" w:eastAsia="宋体" w:cs="宋体"/>
                <w:b w:val="0"/>
                <w:bCs/>
                <w:kern w:val="0"/>
                <w:sz w:val="21"/>
                <w:szCs w:val="21"/>
                <w:lang w:val="en-US" w:eastAsia="zh-CN" w:bidi="ar"/>
              </w:rPr>
              <w:t>：</w:t>
            </w:r>
            <w:r>
              <w:rPr>
                <w:rFonts w:hint="eastAsia" w:asciiTheme="minorEastAsia" w:hAnsiTheme="minorEastAsia" w:eastAsiaTheme="minorEastAsia" w:cstheme="minorEastAsia"/>
                <w:color w:val="auto"/>
                <w:kern w:val="0"/>
                <w:sz w:val="21"/>
                <w:szCs w:val="21"/>
                <w:highlight w:val="none"/>
                <w:lang w:eastAsia="zh-CN"/>
              </w:rPr>
              <w:t>在</w:t>
            </w:r>
            <w:r>
              <w:rPr>
                <w:rFonts w:hint="eastAsia" w:asciiTheme="minorEastAsia" w:hAnsiTheme="minorEastAsia" w:eastAsiaTheme="minorEastAsia" w:cstheme="minorEastAsia"/>
                <w:color w:val="auto"/>
                <w:kern w:val="0"/>
                <w:sz w:val="21"/>
                <w:szCs w:val="21"/>
                <w:highlight w:val="none"/>
                <w:lang w:val="en-US" w:eastAsia="zh-CN"/>
              </w:rPr>
              <w:t>三档的基础上，</w:t>
            </w:r>
            <w:r>
              <w:rPr>
                <w:rFonts w:ascii="宋体" w:hAnsi="宋体" w:eastAsia="宋体" w:cs="宋体"/>
                <w:b w:val="0"/>
                <w:bCs/>
                <w:kern w:val="0"/>
                <w:sz w:val="21"/>
                <w:szCs w:val="21"/>
                <w:lang w:val="en-US" w:eastAsia="zh-CN" w:bidi="ar"/>
              </w:rPr>
              <w:t>深度贴合采购人单位属性及项目核心需求，方案详尽完善、科学规范、可操作性极强，具备精细化、常态化服务优势。方案涵盖标准化、规范化、闭环式供货全流程，采购、装卸、分拣、保鲜、配送、交付各环节措施细化到位，供货流程图规范清晰；配送计划科学精准，对供货时效、最优运输路线、保鲜配送、应急补供等做专项细化规划，同步明确项目实施进度安排。</w:t>
            </w:r>
            <w:r>
              <w:rPr>
                <w:rFonts w:hint="eastAsia" w:ascii="宋体" w:hAnsi="宋体" w:eastAsia="宋体" w:cs="宋体"/>
                <w:b w:val="0"/>
                <w:bCs/>
                <w:kern w:val="0"/>
                <w:sz w:val="21"/>
                <w:szCs w:val="21"/>
                <w:lang w:val="en-US" w:eastAsia="zh-CN" w:bidi="ar"/>
              </w:rPr>
              <w:t>所供鸡蛋品质优质、营养丰富，含高活性优质蛋白、多种微量元素，营养价值高，鸡蛋全程符合国家食品安全标准，拥有食品检测合格、无公害等多项权威认证；</w:t>
            </w:r>
            <w:r>
              <w:rPr>
                <w:rFonts w:ascii="宋体" w:hAnsi="宋体" w:eastAsia="宋体" w:cs="宋体"/>
                <w:b w:val="0"/>
                <w:bCs/>
                <w:kern w:val="0"/>
                <w:sz w:val="21"/>
                <w:szCs w:val="21"/>
                <w:lang w:val="en-US" w:eastAsia="zh-CN" w:bidi="ar"/>
              </w:rPr>
              <w:t>拥有自有或长期战略合作的规模化养殖基地，货源储备充足、产能稳定、溯源可查，养殖环境标准化、无害化、合规化，场地实景、养殖资质、溯源资料齐全；配齐专业养殖、分拣、清洗、保鲜、冷链运输全套设备，详细说明设备规格、运维、消杀、保鲜保障机制，硬件保障能力突出。建立健全全套标准化项目管理制度、全链条食品安全管控体系及标准化产品质检机制，明确批次送检、日常抽检、质量把关、问题溯源、不合格产品处置等全流程措施。项目组织架构健全、人员配置充足，岗位职责、工作准则、员工行为规范、岗前培训、绩效考核、应急值守等人员管理制度详尽完善。同时充分预判供货延误、食材损耗、</w:t>
            </w:r>
            <w:r>
              <w:rPr>
                <w:rFonts w:hint="eastAsia" w:ascii="宋体" w:hAnsi="宋体" w:eastAsia="宋体" w:cs="宋体"/>
                <w:b w:val="0"/>
                <w:bCs/>
                <w:kern w:val="0"/>
                <w:sz w:val="21"/>
                <w:szCs w:val="21"/>
                <w:lang w:val="en-US" w:eastAsia="zh-CN" w:bidi="ar"/>
              </w:rPr>
              <w:t>突发公共事件应急处置</w:t>
            </w:r>
            <w:r>
              <w:rPr>
                <w:rFonts w:ascii="宋体" w:hAnsi="宋体" w:eastAsia="宋体" w:cs="宋体"/>
                <w:b w:val="0"/>
                <w:bCs/>
                <w:kern w:val="0"/>
                <w:sz w:val="21"/>
                <w:szCs w:val="21"/>
                <w:lang w:val="en-US" w:eastAsia="zh-CN" w:bidi="ar"/>
              </w:rPr>
              <w:t>、食品安全风险等各类隐患，制定详实可行的风险应对预案及应急保障措施，实现从货源养殖、分拣加工、冷链运输到现场交付的全流程精细化管控，服务意识强、保障能力突出，可全方位保障鸡蛋供货稳定、卫生安全、新鲜达标，完全满足且优于项目实际供货需求。</w:t>
            </w:r>
          </w:p>
          <w:p w14:paraId="155ABCE2">
            <w:pPr>
              <w:keepNext w:val="0"/>
              <w:keepLines w:val="0"/>
              <w:pageBreakBefore w:val="0"/>
              <w:kinsoku/>
              <w:wordWrap/>
              <w:overflowPunct/>
              <w:topLinePunct w:val="0"/>
              <w:autoSpaceDE/>
              <w:autoSpaceDN/>
              <w:bidi w:val="0"/>
              <w:spacing w:line="400" w:lineRule="exact"/>
              <w:ind w:firstLine="422"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
                <w:bCs w:val="0"/>
                <w:color w:val="auto"/>
                <w:sz w:val="21"/>
                <w:szCs w:val="21"/>
                <w:highlight w:val="none"/>
              </w:rPr>
              <w:t>注：实施组织方案未达到最低档（一档）要求的，得0分。</w:t>
            </w:r>
          </w:p>
        </w:tc>
      </w:tr>
      <w:tr w14:paraId="6E9EA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520" w:type="dxa"/>
            <w:vMerge w:val="continue"/>
            <w:noWrap w:val="0"/>
            <w:vAlign w:val="center"/>
          </w:tcPr>
          <w:p w14:paraId="40075B41">
            <w:pPr>
              <w:keepNext w:val="0"/>
              <w:keepLines w:val="0"/>
              <w:pageBreakBefore w:val="0"/>
              <w:kinsoku/>
              <w:wordWrap/>
              <w:overflowPunct/>
              <w:topLinePunct w:val="0"/>
              <w:autoSpaceDE/>
              <w:autoSpaceDN/>
              <w:bidi w:val="0"/>
              <w:adjustRightInd w:val="0"/>
              <w:snapToGrid w:val="0"/>
              <w:spacing w:line="400" w:lineRule="exact"/>
              <w:jc w:val="center"/>
              <w:textAlignment w:val="baseline"/>
              <w:rPr>
                <w:rFonts w:hint="eastAsia" w:asciiTheme="minorEastAsia" w:hAnsiTheme="minorEastAsia" w:eastAsiaTheme="minorEastAsia" w:cstheme="minorEastAsia"/>
                <w:sz w:val="21"/>
                <w:szCs w:val="21"/>
              </w:rPr>
            </w:pPr>
          </w:p>
        </w:tc>
        <w:tc>
          <w:tcPr>
            <w:tcW w:w="1262" w:type="dxa"/>
            <w:vMerge w:val="continue"/>
            <w:noWrap w:val="0"/>
            <w:vAlign w:val="center"/>
          </w:tcPr>
          <w:p w14:paraId="024F9726">
            <w:pPr>
              <w:keepNext w:val="0"/>
              <w:keepLines w:val="0"/>
              <w:pageBreakBefore w:val="0"/>
              <w:kinsoku/>
              <w:wordWrap/>
              <w:overflowPunct/>
              <w:topLinePunct w:val="0"/>
              <w:autoSpaceDE/>
              <w:autoSpaceDN/>
              <w:bidi w:val="0"/>
              <w:adjustRightInd w:val="0"/>
              <w:snapToGrid w:val="0"/>
              <w:spacing w:line="400" w:lineRule="exact"/>
              <w:ind w:left="-105" w:leftChars="-50" w:right="-105" w:rightChars="-50"/>
              <w:jc w:val="center"/>
              <w:textAlignment w:val="baseline"/>
              <w:rPr>
                <w:rFonts w:hint="eastAsia" w:asciiTheme="minorEastAsia" w:hAnsiTheme="minorEastAsia" w:eastAsiaTheme="minorEastAsia" w:cstheme="minorEastAsia"/>
                <w:spacing w:val="-18"/>
                <w:sz w:val="21"/>
                <w:szCs w:val="21"/>
              </w:rPr>
            </w:pPr>
          </w:p>
        </w:tc>
        <w:tc>
          <w:tcPr>
            <w:tcW w:w="1399" w:type="dxa"/>
            <w:noWrap w:val="0"/>
            <w:vAlign w:val="center"/>
          </w:tcPr>
          <w:p w14:paraId="1669C6DB">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rPr>
                <w:rFonts w:hint="default"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2.2食材质量保障方案（满分15分）</w:t>
            </w:r>
          </w:p>
          <w:p w14:paraId="7ABE0F43">
            <w:pPr>
              <w:keepNext w:val="0"/>
              <w:keepLines w:val="0"/>
              <w:pageBreakBefore w:val="0"/>
              <w:tabs>
                <w:tab w:val="left" w:pos="180"/>
                <w:tab w:val="left" w:pos="1620"/>
              </w:tabs>
              <w:kinsoku/>
              <w:wordWrap/>
              <w:overflowPunct/>
              <w:topLinePunct w:val="0"/>
              <w:autoSpaceDE/>
              <w:autoSpaceDN/>
              <w:bidi w:val="0"/>
              <w:spacing w:line="400" w:lineRule="exact"/>
              <w:jc w:val="center"/>
              <w:rPr>
                <w:rFonts w:hint="eastAsia" w:asciiTheme="minorEastAsia" w:hAnsiTheme="minorEastAsia" w:eastAsiaTheme="minorEastAsia" w:cstheme="minorEastAsia"/>
                <w:sz w:val="21"/>
                <w:szCs w:val="21"/>
              </w:rPr>
            </w:pPr>
          </w:p>
        </w:tc>
        <w:tc>
          <w:tcPr>
            <w:tcW w:w="5962" w:type="dxa"/>
            <w:noWrap w:val="0"/>
            <w:vAlign w:val="top"/>
          </w:tcPr>
          <w:p w14:paraId="0FD5B0E5">
            <w:pPr>
              <w:keepNext w:val="0"/>
              <w:keepLines w:val="0"/>
              <w:pageBreakBefore w:val="0"/>
              <w:tabs>
                <w:tab w:val="left" w:pos="180"/>
                <w:tab w:val="left" w:pos="1620"/>
              </w:tabs>
              <w:kinsoku/>
              <w:wordWrap/>
              <w:overflowPunct/>
              <w:topLinePunct w:val="0"/>
              <w:autoSpaceDE/>
              <w:autoSpaceDN/>
              <w:bidi w:val="0"/>
              <w:spacing w:line="400" w:lineRule="exact"/>
              <w:ind w:left="0" w:leftChars="0" w:firstLine="420" w:firstLineChars="200"/>
              <w:jc w:val="both"/>
              <w:rPr>
                <w:rFonts w:hint="eastAsia" w:asciiTheme="minorEastAsia" w:hAnsiTheme="minorEastAsia" w:eastAsiaTheme="minorEastAsia" w:cstheme="minorEastAsia"/>
                <w:color w:val="auto"/>
                <w:kern w:val="0"/>
                <w:sz w:val="21"/>
                <w:szCs w:val="21"/>
                <w:highlight w:val="none"/>
                <w:lang w:eastAsia="zh-CN"/>
              </w:rPr>
            </w:pPr>
            <w:r>
              <w:rPr>
                <w:rFonts w:hint="eastAsia" w:asciiTheme="minorEastAsia" w:hAnsiTheme="minorEastAsia" w:eastAsiaTheme="minorEastAsia" w:cstheme="minorEastAsia"/>
                <w:color w:val="auto"/>
                <w:kern w:val="0"/>
                <w:sz w:val="21"/>
                <w:szCs w:val="21"/>
                <w:highlight w:val="none"/>
              </w:rPr>
              <w:t>一档（3分）：食材质量保障方案简单，食材控制管理措施、</w:t>
            </w:r>
            <w:r>
              <w:rPr>
                <w:rFonts w:hint="eastAsia" w:asciiTheme="minorEastAsia" w:hAnsiTheme="minorEastAsia" w:eastAsiaTheme="minorEastAsia" w:cstheme="minorEastAsia"/>
                <w:color w:val="auto"/>
                <w:kern w:val="0"/>
                <w:sz w:val="21"/>
                <w:szCs w:val="21"/>
                <w:highlight w:val="none"/>
                <w:lang w:val="en-US" w:eastAsia="zh-CN"/>
              </w:rPr>
              <w:t>食品安全检测、</w:t>
            </w:r>
            <w:r>
              <w:rPr>
                <w:rFonts w:hint="eastAsia" w:asciiTheme="minorEastAsia" w:hAnsiTheme="minorEastAsia" w:eastAsiaTheme="minorEastAsia" w:cstheme="minorEastAsia"/>
                <w:color w:val="auto"/>
                <w:kern w:val="0"/>
                <w:sz w:val="21"/>
                <w:szCs w:val="21"/>
                <w:highlight w:val="none"/>
              </w:rPr>
              <w:t>食材质量标准、可追溯食材来源、检验检疫措施描述片面；方案基本满足</w:t>
            </w:r>
            <w:r>
              <w:rPr>
                <w:rFonts w:hint="eastAsia" w:asciiTheme="minorEastAsia" w:hAnsiTheme="minorEastAsia" w:eastAsiaTheme="minorEastAsia" w:cstheme="minorEastAsia"/>
                <w:color w:val="auto"/>
                <w:kern w:val="0"/>
                <w:sz w:val="21"/>
                <w:szCs w:val="21"/>
                <w:highlight w:val="none"/>
                <w:lang w:eastAsia="zh-CN"/>
              </w:rPr>
              <w:t>采购需求。</w:t>
            </w:r>
          </w:p>
          <w:p w14:paraId="3EB62AAC">
            <w:pPr>
              <w:keepNext w:val="0"/>
              <w:keepLines w:val="0"/>
              <w:pageBreakBefore w:val="0"/>
              <w:tabs>
                <w:tab w:val="left" w:pos="180"/>
                <w:tab w:val="left" w:pos="1620"/>
              </w:tabs>
              <w:kinsoku/>
              <w:wordWrap/>
              <w:overflowPunct/>
              <w:topLinePunct w:val="0"/>
              <w:autoSpaceDE/>
              <w:autoSpaceDN/>
              <w:bidi w:val="0"/>
              <w:spacing w:line="400" w:lineRule="exact"/>
              <w:ind w:left="0" w:leftChars="0" w:firstLine="420" w:firstLineChars="200"/>
              <w:jc w:val="both"/>
              <w:rPr>
                <w:rFonts w:hint="eastAsia" w:asciiTheme="minorEastAsia" w:hAnsiTheme="minorEastAsia" w:eastAsiaTheme="minorEastAsia" w:cstheme="minorEastAsia"/>
                <w:color w:val="auto"/>
                <w:kern w:val="0"/>
                <w:sz w:val="21"/>
                <w:szCs w:val="21"/>
                <w:highlight w:val="none"/>
                <w:lang w:eastAsia="zh-CN"/>
              </w:rPr>
            </w:pPr>
            <w:r>
              <w:rPr>
                <w:rFonts w:hint="eastAsia" w:asciiTheme="minorEastAsia" w:hAnsiTheme="minorEastAsia" w:eastAsiaTheme="minorEastAsia" w:cstheme="minorEastAsia"/>
                <w:color w:val="auto"/>
                <w:kern w:val="0"/>
                <w:sz w:val="21"/>
                <w:szCs w:val="21"/>
                <w:highlight w:val="none"/>
              </w:rPr>
              <w:t>二档（</w:t>
            </w:r>
            <w:r>
              <w:rPr>
                <w:rFonts w:hint="eastAsia" w:asciiTheme="minorEastAsia" w:hAnsiTheme="minorEastAsia" w:eastAsiaTheme="minorEastAsia" w:cstheme="minorEastAsia"/>
                <w:color w:val="auto"/>
                <w:kern w:val="0"/>
                <w:sz w:val="21"/>
                <w:szCs w:val="21"/>
                <w:highlight w:val="none"/>
                <w:lang w:val="en-US" w:eastAsia="zh-CN"/>
              </w:rPr>
              <w:t>7</w:t>
            </w:r>
            <w:r>
              <w:rPr>
                <w:rFonts w:hint="eastAsia" w:asciiTheme="minorEastAsia" w:hAnsiTheme="minorEastAsia" w:eastAsiaTheme="minorEastAsia" w:cstheme="minorEastAsia"/>
                <w:color w:val="auto"/>
                <w:kern w:val="0"/>
                <w:sz w:val="21"/>
                <w:szCs w:val="21"/>
                <w:highlight w:val="none"/>
              </w:rPr>
              <w:t>分）：</w:t>
            </w:r>
            <w:r>
              <w:rPr>
                <w:rFonts w:hint="eastAsia" w:asciiTheme="minorEastAsia" w:hAnsiTheme="minorEastAsia" w:eastAsiaTheme="minorEastAsia" w:cstheme="minorEastAsia"/>
                <w:color w:val="auto"/>
                <w:kern w:val="0"/>
                <w:sz w:val="21"/>
                <w:szCs w:val="21"/>
                <w:highlight w:val="none"/>
                <w:lang w:eastAsia="zh-CN"/>
              </w:rPr>
              <w:t>在</w:t>
            </w:r>
            <w:r>
              <w:rPr>
                <w:rFonts w:hint="eastAsia" w:asciiTheme="minorEastAsia" w:hAnsiTheme="minorEastAsia" w:eastAsiaTheme="minorEastAsia" w:cstheme="minorEastAsia"/>
                <w:color w:val="auto"/>
                <w:kern w:val="0"/>
                <w:sz w:val="21"/>
                <w:szCs w:val="21"/>
                <w:highlight w:val="none"/>
                <w:lang w:val="en-US" w:eastAsia="zh-CN"/>
              </w:rPr>
              <w:t>一档的基础上，</w:t>
            </w:r>
            <w:r>
              <w:rPr>
                <w:rFonts w:hint="eastAsia" w:asciiTheme="minorEastAsia" w:hAnsiTheme="minorEastAsia" w:eastAsiaTheme="minorEastAsia" w:cstheme="minorEastAsia"/>
                <w:color w:val="auto"/>
                <w:kern w:val="0"/>
                <w:sz w:val="21"/>
                <w:szCs w:val="21"/>
                <w:highlight w:val="none"/>
              </w:rPr>
              <w:t>食材质量保障方案能根据项目实际情况进行制定，进货采购渠道、食材控制管理措施有针对性但不突出，食材质量标准、</w:t>
            </w:r>
            <w:r>
              <w:rPr>
                <w:rFonts w:hint="eastAsia" w:asciiTheme="minorEastAsia" w:hAnsiTheme="minorEastAsia" w:eastAsiaTheme="minorEastAsia" w:cstheme="minorEastAsia"/>
                <w:color w:val="auto"/>
                <w:kern w:val="0"/>
                <w:sz w:val="21"/>
                <w:szCs w:val="21"/>
                <w:highlight w:val="none"/>
                <w:lang w:val="en-US" w:eastAsia="zh-CN"/>
              </w:rPr>
              <w:t>食品安全检测安排、检测项目、送检方式描述较清晰详细、</w:t>
            </w:r>
            <w:r>
              <w:rPr>
                <w:rFonts w:hint="eastAsia" w:asciiTheme="minorEastAsia" w:hAnsiTheme="minorEastAsia" w:eastAsiaTheme="minorEastAsia" w:cstheme="minorEastAsia"/>
                <w:color w:val="auto"/>
                <w:kern w:val="0"/>
                <w:sz w:val="21"/>
                <w:szCs w:val="21"/>
                <w:highlight w:val="none"/>
              </w:rPr>
              <w:t>可追溯食材来源描述较清晰、详细，检验检疫措施较全面；方案满足</w:t>
            </w:r>
            <w:r>
              <w:rPr>
                <w:rFonts w:hint="eastAsia" w:asciiTheme="minorEastAsia" w:hAnsiTheme="minorEastAsia" w:eastAsiaTheme="minorEastAsia" w:cstheme="minorEastAsia"/>
                <w:color w:val="auto"/>
                <w:kern w:val="0"/>
                <w:sz w:val="21"/>
                <w:szCs w:val="21"/>
                <w:highlight w:val="none"/>
                <w:lang w:eastAsia="zh-CN"/>
              </w:rPr>
              <w:t>采购需求。</w:t>
            </w:r>
          </w:p>
          <w:p w14:paraId="1F0396C9">
            <w:pPr>
              <w:keepNext w:val="0"/>
              <w:keepLines w:val="0"/>
              <w:pageBreakBefore w:val="0"/>
              <w:tabs>
                <w:tab w:val="left" w:pos="180"/>
                <w:tab w:val="left" w:pos="1620"/>
              </w:tabs>
              <w:kinsoku/>
              <w:wordWrap/>
              <w:overflowPunct/>
              <w:topLinePunct w:val="0"/>
              <w:autoSpaceDE/>
              <w:autoSpaceDN/>
              <w:bidi w:val="0"/>
              <w:spacing w:line="400" w:lineRule="exact"/>
              <w:ind w:left="0" w:leftChars="0" w:firstLine="420" w:firstLineChars="200"/>
              <w:jc w:val="both"/>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三档（</w:t>
            </w:r>
            <w:r>
              <w:rPr>
                <w:rFonts w:hint="eastAsia" w:asciiTheme="minorEastAsia" w:hAnsiTheme="minorEastAsia" w:eastAsiaTheme="minorEastAsia" w:cstheme="minorEastAsia"/>
                <w:color w:val="auto"/>
                <w:kern w:val="0"/>
                <w:sz w:val="21"/>
                <w:szCs w:val="21"/>
                <w:highlight w:val="none"/>
                <w:lang w:val="en-US" w:eastAsia="zh-CN"/>
              </w:rPr>
              <w:t>11</w:t>
            </w:r>
            <w:r>
              <w:rPr>
                <w:rFonts w:hint="eastAsia" w:asciiTheme="minorEastAsia" w:hAnsiTheme="minorEastAsia" w:eastAsiaTheme="minorEastAsia" w:cstheme="minorEastAsia"/>
                <w:color w:val="auto"/>
                <w:kern w:val="0"/>
                <w:sz w:val="21"/>
                <w:szCs w:val="21"/>
                <w:highlight w:val="none"/>
              </w:rPr>
              <w:t>分）：</w:t>
            </w:r>
            <w:r>
              <w:rPr>
                <w:rFonts w:hint="eastAsia" w:asciiTheme="minorEastAsia" w:hAnsiTheme="minorEastAsia" w:eastAsiaTheme="minorEastAsia" w:cstheme="minorEastAsia"/>
                <w:color w:val="auto"/>
                <w:kern w:val="0"/>
                <w:sz w:val="21"/>
                <w:szCs w:val="21"/>
                <w:highlight w:val="none"/>
                <w:lang w:eastAsia="zh-CN"/>
              </w:rPr>
              <w:t>在</w:t>
            </w:r>
            <w:r>
              <w:rPr>
                <w:rFonts w:hint="eastAsia" w:asciiTheme="minorEastAsia" w:hAnsiTheme="minorEastAsia" w:eastAsiaTheme="minorEastAsia" w:cstheme="minorEastAsia"/>
                <w:color w:val="auto"/>
                <w:kern w:val="0"/>
                <w:sz w:val="21"/>
                <w:szCs w:val="21"/>
                <w:highlight w:val="none"/>
                <w:lang w:val="en-US" w:eastAsia="zh-CN"/>
              </w:rPr>
              <w:t>二档的基础上，</w:t>
            </w:r>
            <w:r>
              <w:rPr>
                <w:rFonts w:hint="eastAsia" w:asciiTheme="minorEastAsia" w:hAnsiTheme="minorEastAsia" w:eastAsiaTheme="minorEastAsia" w:cstheme="minorEastAsia"/>
                <w:color w:val="auto"/>
                <w:kern w:val="0"/>
                <w:sz w:val="21"/>
                <w:szCs w:val="21"/>
                <w:highlight w:val="none"/>
              </w:rPr>
              <w:t>食材质量保障方案根据较详细，具有较完整相对固定的进货采购渠道、食材控制管理措施、食材质量标准、食品安全检测体系完善，明确常态化送检、批次检测、抽检要求，检验工作配有具体实施步骤与管控要求；追溯食材来源、检验检疫措施较全面且均具有针对性，检验工作有较具体的实施步骤和要求；方案完全满足</w:t>
            </w:r>
            <w:r>
              <w:rPr>
                <w:rFonts w:hint="eastAsia" w:asciiTheme="minorEastAsia" w:hAnsiTheme="minorEastAsia" w:eastAsiaTheme="minorEastAsia" w:cstheme="minorEastAsia"/>
                <w:color w:val="auto"/>
                <w:kern w:val="0"/>
                <w:sz w:val="21"/>
                <w:szCs w:val="21"/>
                <w:highlight w:val="none"/>
                <w:lang w:eastAsia="zh-CN"/>
              </w:rPr>
              <w:t>采购需求</w:t>
            </w:r>
            <w:r>
              <w:rPr>
                <w:rFonts w:hint="eastAsia" w:asciiTheme="minorEastAsia" w:hAnsiTheme="minorEastAsia" w:eastAsiaTheme="minorEastAsia" w:cstheme="minorEastAsia"/>
                <w:color w:val="auto"/>
                <w:kern w:val="0"/>
                <w:sz w:val="21"/>
                <w:szCs w:val="21"/>
                <w:highlight w:val="none"/>
              </w:rPr>
              <w:t>。</w:t>
            </w:r>
          </w:p>
          <w:p w14:paraId="3E3D4015">
            <w:pPr>
              <w:keepNext w:val="0"/>
              <w:keepLines w:val="0"/>
              <w:pageBreakBefore w:val="0"/>
              <w:tabs>
                <w:tab w:val="left" w:pos="180"/>
                <w:tab w:val="left" w:pos="1620"/>
              </w:tabs>
              <w:kinsoku/>
              <w:wordWrap/>
              <w:overflowPunct/>
              <w:topLinePunct w:val="0"/>
              <w:autoSpaceDE/>
              <w:autoSpaceDN/>
              <w:bidi w:val="0"/>
              <w:spacing w:line="400" w:lineRule="exact"/>
              <w:ind w:left="0" w:leftChars="0" w:firstLine="420" w:firstLineChars="200"/>
              <w:jc w:val="both"/>
              <w:rPr>
                <w:rFonts w:hint="default" w:asciiTheme="minorEastAsia" w:hAnsiTheme="minorEastAsia" w:eastAsiaTheme="minorEastAsia" w:cstheme="minorEastAsia"/>
                <w:color w:val="auto"/>
                <w:kern w:val="0"/>
                <w:sz w:val="21"/>
                <w:szCs w:val="21"/>
                <w:highlight w:val="none"/>
                <w:lang w:val="en-US" w:eastAsia="zh-CN"/>
              </w:rPr>
            </w:pPr>
            <w:r>
              <w:rPr>
                <w:rFonts w:hint="eastAsia" w:asciiTheme="minorEastAsia" w:hAnsiTheme="minorEastAsia" w:eastAsiaTheme="minorEastAsia" w:cstheme="minorEastAsia"/>
                <w:color w:val="auto"/>
                <w:kern w:val="0"/>
                <w:sz w:val="21"/>
                <w:szCs w:val="21"/>
                <w:highlight w:val="none"/>
              </w:rPr>
              <w:t>四档（1</w:t>
            </w:r>
            <w:r>
              <w:rPr>
                <w:rFonts w:hint="eastAsia" w:asciiTheme="minorEastAsia" w:hAnsiTheme="minorEastAsia" w:eastAsiaTheme="minorEastAsia" w:cstheme="minorEastAsia"/>
                <w:color w:val="auto"/>
                <w:kern w:val="0"/>
                <w:sz w:val="21"/>
                <w:szCs w:val="21"/>
                <w:highlight w:val="none"/>
                <w:lang w:val="en-US" w:eastAsia="zh-CN"/>
              </w:rPr>
              <w:t>5</w:t>
            </w:r>
            <w:r>
              <w:rPr>
                <w:rFonts w:hint="eastAsia" w:asciiTheme="minorEastAsia" w:hAnsiTheme="minorEastAsia" w:eastAsiaTheme="minorEastAsia" w:cstheme="minorEastAsia"/>
                <w:color w:val="auto"/>
                <w:kern w:val="0"/>
                <w:sz w:val="21"/>
                <w:szCs w:val="21"/>
                <w:highlight w:val="none"/>
              </w:rPr>
              <w:t>分）：</w:t>
            </w:r>
            <w:r>
              <w:rPr>
                <w:rFonts w:hint="eastAsia" w:asciiTheme="minorEastAsia" w:hAnsiTheme="minorEastAsia" w:eastAsiaTheme="minorEastAsia" w:cstheme="minorEastAsia"/>
                <w:color w:val="auto"/>
                <w:kern w:val="0"/>
                <w:sz w:val="21"/>
                <w:szCs w:val="21"/>
                <w:highlight w:val="none"/>
                <w:lang w:eastAsia="zh-CN"/>
              </w:rPr>
              <w:t>在</w:t>
            </w:r>
            <w:r>
              <w:rPr>
                <w:rFonts w:hint="eastAsia" w:asciiTheme="minorEastAsia" w:hAnsiTheme="minorEastAsia" w:eastAsiaTheme="minorEastAsia" w:cstheme="minorEastAsia"/>
                <w:color w:val="auto"/>
                <w:kern w:val="0"/>
                <w:sz w:val="21"/>
                <w:szCs w:val="21"/>
                <w:highlight w:val="none"/>
                <w:lang w:val="en-US" w:eastAsia="zh-CN"/>
              </w:rPr>
              <w:t>三档的基础上，</w:t>
            </w:r>
            <w:r>
              <w:rPr>
                <w:rFonts w:hint="eastAsia" w:asciiTheme="minorEastAsia" w:hAnsiTheme="minorEastAsia" w:eastAsiaTheme="minorEastAsia" w:cstheme="minorEastAsia"/>
                <w:color w:val="auto"/>
                <w:kern w:val="0"/>
                <w:sz w:val="21"/>
                <w:szCs w:val="21"/>
                <w:highlight w:val="none"/>
              </w:rPr>
              <w:t>食材质量保障方案详细、完善、科学合理，可行性强，对进货采购渠道有固定货源且货源稳定充足，有部分食材的加工清洗设备，食材控制管理措施完善，从选择食品原料货源到运输，质量安全保证措施有针对性和服务特点，追溯方式描述清晰详细；检验检疫措施详细、全面，承诺如何有效的对食材质量进行严格把关，</w:t>
            </w:r>
            <w:r>
              <w:rPr>
                <w:rFonts w:hint="eastAsia" w:asciiTheme="minorEastAsia" w:hAnsiTheme="minorEastAsia" w:eastAsiaTheme="minorEastAsia" w:cstheme="minorEastAsia"/>
                <w:color w:val="auto"/>
                <w:kern w:val="0"/>
                <w:sz w:val="21"/>
                <w:szCs w:val="21"/>
                <w:highlight w:val="none"/>
                <w:lang w:val="en-US" w:eastAsia="zh-CN"/>
              </w:rPr>
              <w:t>质量管控全流程标准化。</w:t>
            </w:r>
            <w:r>
              <w:rPr>
                <w:rFonts w:hint="eastAsia" w:asciiTheme="minorEastAsia" w:hAnsiTheme="minorEastAsia" w:eastAsiaTheme="minorEastAsia" w:cstheme="minorEastAsia"/>
                <w:color w:val="auto"/>
                <w:kern w:val="0"/>
                <w:szCs w:val="21"/>
                <w:highlight w:val="none"/>
              </w:rPr>
              <w:t>每个批次产品具备完整可查的溯源信息</w:t>
            </w:r>
            <w:r>
              <w:rPr>
                <w:rFonts w:hint="eastAsia" w:asciiTheme="minorEastAsia" w:hAnsiTheme="minorEastAsia" w:eastAsiaTheme="minorEastAsia" w:cstheme="minorEastAsia"/>
                <w:color w:val="auto"/>
                <w:kern w:val="0"/>
                <w:szCs w:val="21"/>
                <w:highlight w:val="none"/>
                <w:lang w:eastAsia="zh-CN"/>
              </w:rPr>
              <w:t>，</w:t>
            </w:r>
            <w:r>
              <w:rPr>
                <w:rFonts w:hint="eastAsia" w:asciiTheme="minorEastAsia" w:hAnsiTheme="minorEastAsia" w:eastAsiaTheme="minorEastAsia" w:cstheme="minorEastAsia"/>
                <w:color w:val="auto"/>
                <w:kern w:val="0"/>
                <w:sz w:val="21"/>
                <w:szCs w:val="21"/>
                <w:highlight w:val="none"/>
                <w:lang w:val="en-US" w:eastAsia="zh-CN"/>
              </w:rPr>
              <w:t>食品安全检测、检验检疫措施详实全面，明确全流程检测管控标准、人员职责与把关机制，承诺严格落实检测要求，质量管控全流程标准化，</w:t>
            </w:r>
            <w:r>
              <w:rPr>
                <w:rFonts w:hint="eastAsia" w:asciiTheme="minorEastAsia" w:hAnsiTheme="minorEastAsia" w:eastAsiaTheme="minorEastAsia" w:cstheme="minorEastAsia"/>
                <w:color w:val="auto"/>
                <w:kern w:val="0"/>
                <w:sz w:val="21"/>
                <w:szCs w:val="21"/>
                <w:highlight w:val="none"/>
              </w:rPr>
              <w:t>从而保证食品质量安全性。</w:t>
            </w:r>
          </w:p>
          <w:p w14:paraId="505DE1CA">
            <w:pPr>
              <w:keepNext w:val="0"/>
              <w:keepLines w:val="0"/>
              <w:pageBreakBefore w:val="0"/>
              <w:kinsoku/>
              <w:wordWrap/>
              <w:overflowPunct/>
              <w:topLinePunct w:val="0"/>
              <w:autoSpaceDE/>
              <w:autoSpaceDN/>
              <w:bidi w:val="0"/>
              <w:spacing w:line="400" w:lineRule="exact"/>
              <w:ind w:firstLine="422"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
                <w:bCs w:val="0"/>
                <w:color w:val="auto"/>
                <w:sz w:val="21"/>
                <w:szCs w:val="21"/>
                <w:highlight w:val="none"/>
              </w:rPr>
              <w:t>注：食材质量保障方案未达到最低档（一档）要求的，得0分。</w:t>
            </w:r>
          </w:p>
        </w:tc>
      </w:tr>
      <w:tr w14:paraId="743AD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520" w:type="dxa"/>
            <w:vMerge w:val="continue"/>
            <w:noWrap w:val="0"/>
            <w:vAlign w:val="center"/>
          </w:tcPr>
          <w:p w14:paraId="1D0F17C3">
            <w:pPr>
              <w:keepNext w:val="0"/>
              <w:keepLines w:val="0"/>
              <w:pageBreakBefore w:val="0"/>
              <w:kinsoku/>
              <w:wordWrap/>
              <w:overflowPunct/>
              <w:topLinePunct w:val="0"/>
              <w:autoSpaceDE/>
              <w:autoSpaceDN/>
              <w:bidi w:val="0"/>
              <w:adjustRightInd w:val="0"/>
              <w:snapToGrid w:val="0"/>
              <w:spacing w:line="400" w:lineRule="exact"/>
              <w:jc w:val="center"/>
              <w:textAlignment w:val="baseline"/>
              <w:rPr>
                <w:rFonts w:hint="eastAsia" w:asciiTheme="minorEastAsia" w:hAnsiTheme="minorEastAsia" w:eastAsiaTheme="minorEastAsia" w:cstheme="minorEastAsia"/>
                <w:sz w:val="21"/>
                <w:szCs w:val="21"/>
              </w:rPr>
            </w:pPr>
          </w:p>
        </w:tc>
        <w:tc>
          <w:tcPr>
            <w:tcW w:w="1262" w:type="dxa"/>
            <w:vMerge w:val="continue"/>
            <w:noWrap w:val="0"/>
            <w:vAlign w:val="center"/>
          </w:tcPr>
          <w:p w14:paraId="39B858A5">
            <w:pPr>
              <w:keepNext w:val="0"/>
              <w:keepLines w:val="0"/>
              <w:pageBreakBefore w:val="0"/>
              <w:kinsoku/>
              <w:wordWrap/>
              <w:overflowPunct/>
              <w:topLinePunct w:val="0"/>
              <w:autoSpaceDE/>
              <w:autoSpaceDN/>
              <w:bidi w:val="0"/>
              <w:adjustRightInd w:val="0"/>
              <w:snapToGrid w:val="0"/>
              <w:spacing w:line="400" w:lineRule="exact"/>
              <w:ind w:left="-105" w:leftChars="-50" w:right="-105" w:rightChars="-50"/>
              <w:jc w:val="center"/>
              <w:textAlignment w:val="baseline"/>
              <w:rPr>
                <w:rFonts w:hint="eastAsia" w:asciiTheme="minorEastAsia" w:hAnsiTheme="minorEastAsia" w:eastAsiaTheme="minorEastAsia" w:cstheme="minorEastAsia"/>
                <w:spacing w:val="-18"/>
                <w:sz w:val="21"/>
                <w:szCs w:val="21"/>
              </w:rPr>
            </w:pPr>
          </w:p>
        </w:tc>
        <w:tc>
          <w:tcPr>
            <w:tcW w:w="1399" w:type="dxa"/>
            <w:noWrap w:val="0"/>
            <w:vAlign w:val="center"/>
          </w:tcPr>
          <w:p w14:paraId="7544EFCF">
            <w:pPr>
              <w:keepNext w:val="0"/>
              <w:keepLines w:val="0"/>
              <w:pageBreakBefore w:val="0"/>
              <w:tabs>
                <w:tab w:val="left" w:pos="180"/>
                <w:tab w:val="left" w:pos="1620"/>
              </w:tabs>
              <w:kinsoku/>
              <w:wordWrap/>
              <w:overflowPunct/>
              <w:topLinePunct w:val="0"/>
              <w:autoSpaceDE/>
              <w:autoSpaceDN/>
              <w:bidi w:val="0"/>
              <w:spacing w:line="40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auto"/>
                <w:kern w:val="0"/>
                <w:sz w:val="21"/>
                <w:szCs w:val="21"/>
                <w:highlight w:val="none"/>
                <w:lang w:val="en-US" w:eastAsia="zh-CN"/>
              </w:rPr>
              <w:t>2.3</w:t>
            </w:r>
            <w:r>
              <w:rPr>
                <w:rFonts w:hint="eastAsia" w:asciiTheme="minorEastAsia" w:hAnsiTheme="minorEastAsia" w:eastAsiaTheme="minorEastAsia" w:cstheme="minorEastAsia"/>
                <w:color w:val="auto"/>
                <w:kern w:val="0"/>
                <w:sz w:val="21"/>
                <w:szCs w:val="21"/>
                <w:highlight w:val="none"/>
              </w:rPr>
              <w:t>食品安全事件应急处理方案（满分</w:t>
            </w:r>
            <w:r>
              <w:rPr>
                <w:rFonts w:hint="eastAsia" w:asciiTheme="minorEastAsia" w:hAnsiTheme="minorEastAsia" w:eastAsiaTheme="minorEastAsia" w:cstheme="minorEastAsia"/>
                <w:color w:val="auto"/>
                <w:kern w:val="0"/>
                <w:sz w:val="21"/>
                <w:szCs w:val="21"/>
                <w:highlight w:val="none"/>
                <w:lang w:val="en-US" w:eastAsia="zh-CN"/>
              </w:rPr>
              <w:t>12</w:t>
            </w:r>
            <w:r>
              <w:rPr>
                <w:rFonts w:hint="eastAsia" w:asciiTheme="minorEastAsia" w:hAnsiTheme="minorEastAsia" w:eastAsiaTheme="minorEastAsia" w:cstheme="minorEastAsia"/>
                <w:color w:val="auto"/>
                <w:kern w:val="0"/>
                <w:sz w:val="21"/>
                <w:szCs w:val="21"/>
                <w:highlight w:val="none"/>
              </w:rPr>
              <w:t>分）</w:t>
            </w:r>
          </w:p>
        </w:tc>
        <w:tc>
          <w:tcPr>
            <w:tcW w:w="5962" w:type="dxa"/>
            <w:noWrap w:val="0"/>
            <w:vAlign w:val="center"/>
          </w:tcPr>
          <w:p w14:paraId="5A77AF93">
            <w:pPr>
              <w:keepNext w:val="0"/>
              <w:keepLines w:val="0"/>
              <w:pageBreakBefore w:val="0"/>
              <w:tabs>
                <w:tab w:val="left" w:pos="180"/>
                <w:tab w:val="left" w:pos="1620"/>
              </w:tabs>
              <w:kinsoku/>
              <w:wordWrap/>
              <w:overflowPunct/>
              <w:topLinePunct w:val="0"/>
              <w:autoSpaceDE/>
              <w:autoSpaceDN/>
              <w:bidi w:val="0"/>
              <w:spacing w:line="400" w:lineRule="exact"/>
              <w:ind w:left="0" w:leftChars="0" w:firstLine="420" w:firstLineChars="200"/>
              <w:jc w:val="both"/>
              <w:rPr>
                <w:rFonts w:hint="eastAsia" w:asciiTheme="minorEastAsia" w:hAnsiTheme="minorEastAsia" w:eastAsiaTheme="minorEastAsia" w:cstheme="minorEastAsia"/>
                <w:color w:val="auto"/>
                <w:kern w:val="0"/>
                <w:sz w:val="21"/>
                <w:szCs w:val="21"/>
                <w:highlight w:val="none"/>
                <w:lang w:val="en-US" w:eastAsia="zh-CN"/>
              </w:rPr>
            </w:pPr>
            <w:r>
              <w:rPr>
                <w:rFonts w:hint="eastAsia" w:asciiTheme="minorEastAsia" w:hAnsiTheme="minorEastAsia" w:eastAsiaTheme="minorEastAsia" w:cstheme="minorEastAsia"/>
                <w:color w:val="auto"/>
                <w:kern w:val="0"/>
                <w:sz w:val="21"/>
                <w:szCs w:val="21"/>
                <w:highlight w:val="none"/>
                <w:lang w:eastAsia="zh-TW"/>
              </w:rPr>
              <w:t>一档（</w:t>
            </w:r>
            <w:r>
              <w:rPr>
                <w:rFonts w:hint="eastAsia" w:asciiTheme="minorEastAsia" w:hAnsiTheme="minorEastAsia" w:eastAsiaTheme="minorEastAsia" w:cstheme="minorEastAsia"/>
                <w:color w:val="auto"/>
                <w:kern w:val="0"/>
                <w:sz w:val="21"/>
                <w:szCs w:val="21"/>
                <w:highlight w:val="none"/>
                <w:lang w:val="en-US" w:eastAsia="zh-CN"/>
              </w:rPr>
              <w:t>2</w:t>
            </w:r>
            <w:r>
              <w:rPr>
                <w:rFonts w:hint="eastAsia" w:asciiTheme="minorEastAsia" w:hAnsiTheme="minorEastAsia" w:eastAsiaTheme="minorEastAsia" w:cstheme="minorEastAsia"/>
                <w:color w:val="auto"/>
                <w:kern w:val="0"/>
                <w:sz w:val="21"/>
                <w:szCs w:val="21"/>
                <w:highlight w:val="none"/>
                <w:lang w:eastAsia="zh-TW"/>
              </w:rPr>
              <w:t>分）</w:t>
            </w:r>
            <w:r>
              <w:rPr>
                <w:rFonts w:hint="eastAsia" w:asciiTheme="minorEastAsia" w:hAnsiTheme="minorEastAsia" w:eastAsiaTheme="minorEastAsia" w:cstheme="minorEastAsia"/>
                <w:color w:val="auto"/>
                <w:kern w:val="0"/>
                <w:sz w:val="21"/>
                <w:szCs w:val="21"/>
                <w:highlight w:val="none"/>
                <w:lang w:eastAsia="zh-CN"/>
              </w:rPr>
              <w:t>：</w:t>
            </w:r>
            <w:r>
              <w:rPr>
                <w:rFonts w:hint="eastAsia" w:asciiTheme="minorEastAsia" w:hAnsiTheme="minorEastAsia" w:eastAsiaTheme="minorEastAsia" w:cstheme="minorEastAsia"/>
                <w:color w:val="auto"/>
                <w:kern w:val="0"/>
                <w:sz w:val="21"/>
                <w:szCs w:val="21"/>
                <w:highlight w:val="none"/>
                <w:lang w:val="en-US" w:eastAsia="zh-CN"/>
              </w:rPr>
              <w:t>供应商</w:t>
            </w:r>
            <w:r>
              <w:rPr>
                <w:rFonts w:hint="eastAsia" w:asciiTheme="minorEastAsia" w:hAnsiTheme="minorEastAsia" w:eastAsiaTheme="minorEastAsia" w:cstheme="minorEastAsia"/>
                <w:color w:val="auto"/>
                <w:kern w:val="0"/>
                <w:sz w:val="21"/>
                <w:szCs w:val="21"/>
                <w:highlight w:val="none"/>
                <w:lang w:eastAsia="zh-TW"/>
              </w:rPr>
              <w:t>设置有简单的食品安全应急处理组织机构</w:t>
            </w:r>
            <w:r>
              <w:rPr>
                <w:rFonts w:hint="eastAsia" w:asciiTheme="minorEastAsia" w:hAnsiTheme="minorEastAsia" w:eastAsiaTheme="minorEastAsia" w:cstheme="minorEastAsia"/>
                <w:color w:val="auto"/>
                <w:kern w:val="0"/>
                <w:sz w:val="21"/>
                <w:szCs w:val="21"/>
                <w:highlight w:val="none"/>
                <w:lang w:eastAsia="zh-CN"/>
              </w:rPr>
              <w:t>，</w:t>
            </w:r>
            <w:r>
              <w:rPr>
                <w:rFonts w:hint="eastAsia" w:asciiTheme="minorEastAsia" w:hAnsiTheme="minorEastAsia" w:eastAsiaTheme="minorEastAsia" w:cstheme="minorEastAsia"/>
                <w:color w:val="auto"/>
                <w:kern w:val="0"/>
                <w:sz w:val="21"/>
                <w:szCs w:val="21"/>
                <w:highlight w:val="none"/>
                <w:lang w:val="en-US" w:eastAsia="zh-CN"/>
              </w:rPr>
              <w:t>但</w:t>
            </w:r>
            <w:r>
              <w:rPr>
                <w:rFonts w:hint="eastAsia" w:asciiTheme="minorEastAsia" w:hAnsiTheme="minorEastAsia" w:eastAsiaTheme="minorEastAsia" w:cstheme="minorEastAsia"/>
                <w:color w:val="auto"/>
                <w:kern w:val="0"/>
                <w:sz w:val="21"/>
                <w:szCs w:val="21"/>
                <w:highlight w:val="none"/>
                <w:lang w:eastAsia="zh-TW"/>
              </w:rPr>
              <w:t>职责不清晰，食品质量安全信息的收集不够准确、不够完善，食品安全防范措施的落实不到位，</w:t>
            </w:r>
            <w:r>
              <w:rPr>
                <w:rFonts w:hint="eastAsia" w:asciiTheme="minorEastAsia" w:hAnsiTheme="minorEastAsia" w:eastAsiaTheme="minorEastAsia" w:cstheme="minorEastAsia"/>
                <w:color w:val="auto"/>
                <w:kern w:val="0"/>
                <w:sz w:val="21"/>
                <w:szCs w:val="21"/>
                <w:highlight w:val="none"/>
                <w:lang w:val="en-US" w:eastAsia="zh-CN"/>
              </w:rPr>
              <w:t>针对</w:t>
            </w:r>
            <w:r>
              <w:rPr>
                <w:rFonts w:hint="eastAsia" w:asciiTheme="minorEastAsia" w:hAnsiTheme="minorEastAsia" w:eastAsiaTheme="minorEastAsia" w:cstheme="minorEastAsia"/>
                <w:color w:val="auto"/>
                <w:kern w:val="0"/>
                <w:sz w:val="21"/>
                <w:szCs w:val="21"/>
                <w:highlight w:val="none"/>
                <w:lang w:eastAsia="zh-TW"/>
              </w:rPr>
              <w:t>生产、销售过程中可能发生的紧急情况处置措施不够及时</w:t>
            </w:r>
            <w:r>
              <w:rPr>
                <w:rFonts w:hint="eastAsia" w:asciiTheme="minorEastAsia" w:hAnsiTheme="minorEastAsia" w:eastAsiaTheme="minorEastAsia" w:cstheme="minorEastAsia"/>
                <w:color w:val="auto"/>
                <w:kern w:val="0"/>
                <w:sz w:val="21"/>
                <w:szCs w:val="21"/>
                <w:highlight w:val="none"/>
                <w:lang w:eastAsia="zh-CN"/>
              </w:rPr>
              <w:t>。</w:t>
            </w:r>
          </w:p>
          <w:p w14:paraId="74E262BC">
            <w:pPr>
              <w:keepNext w:val="0"/>
              <w:keepLines w:val="0"/>
              <w:pageBreakBefore w:val="0"/>
              <w:tabs>
                <w:tab w:val="left" w:pos="180"/>
                <w:tab w:val="left" w:pos="1620"/>
              </w:tabs>
              <w:kinsoku/>
              <w:wordWrap/>
              <w:overflowPunct/>
              <w:topLinePunct w:val="0"/>
              <w:autoSpaceDE/>
              <w:autoSpaceDN/>
              <w:bidi w:val="0"/>
              <w:spacing w:line="400" w:lineRule="exact"/>
              <w:ind w:left="0" w:leftChars="0" w:firstLine="420" w:firstLineChars="200"/>
              <w:jc w:val="both"/>
              <w:rPr>
                <w:rFonts w:hint="eastAsia" w:asciiTheme="minorEastAsia" w:hAnsiTheme="minorEastAsia" w:eastAsiaTheme="minorEastAsia" w:cstheme="minorEastAsia"/>
                <w:color w:val="auto"/>
                <w:kern w:val="0"/>
                <w:sz w:val="21"/>
                <w:szCs w:val="21"/>
                <w:highlight w:val="none"/>
                <w:lang w:val="en-US" w:eastAsia="zh-CN"/>
              </w:rPr>
            </w:pPr>
            <w:r>
              <w:rPr>
                <w:rFonts w:hint="eastAsia" w:asciiTheme="minorEastAsia" w:hAnsiTheme="minorEastAsia" w:eastAsiaTheme="minorEastAsia" w:cstheme="minorEastAsia"/>
                <w:color w:val="auto"/>
                <w:kern w:val="0"/>
                <w:sz w:val="21"/>
                <w:szCs w:val="21"/>
                <w:highlight w:val="none"/>
                <w:lang w:eastAsia="zh-TW"/>
              </w:rPr>
              <w:t>二档（</w:t>
            </w:r>
            <w:r>
              <w:rPr>
                <w:rFonts w:hint="eastAsia" w:asciiTheme="minorEastAsia" w:hAnsiTheme="minorEastAsia" w:eastAsiaTheme="minorEastAsia" w:cstheme="minorEastAsia"/>
                <w:color w:val="auto"/>
                <w:kern w:val="0"/>
                <w:sz w:val="21"/>
                <w:szCs w:val="21"/>
                <w:highlight w:val="none"/>
                <w:lang w:val="en-US" w:eastAsia="zh-CN"/>
              </w:rPr>
              <w:t>7</w:t>
            </w:r>
            <w:r>
              <w:rPr>
                <w:rFonts w:hint="eastAsia" w:asciiTheme="minorEastAsia" w:hAnsiTheme="minorEastAsia" w:eastAsiaTheme="minorEastAsia" w:cstheme="minorEastAsia"/>
                <w:color w:val="auto"/>
                <w:kern w:val="0"/>
                <w:sz w:val="21"/>
                <w:szCs w:val="21"/>
                <w:highlight w:val="none"/>
                <w:lang w:eastAsia="zh-TW"/>
              </w:rPr>
              <w:t>分）</w:t>
            </w:r>
            <w:r>
              <w:rPr>
                <w:rFonts w:hint="eastAsia" w:asciiTheme="minorEastAsia" w:hAnsiTheme="minorEastAsia" w:eastAsiaTheme="minorEastAsia" w:cstheme="minorEastAsia"/>
                <w:color w:val="auto"/>
                <w:kern w:val="0"/>
                <w:sz w:val="21"/>
                <w:szCs w:val="21"/>
                <w:highlight w:val="none"/>
                <w:lang w:eastAsia="zh-CN"/>
              </w:rPr>
              <w:t>：在</w:t>
            </w:r>
            <w:r>
              <w:rPr>
                <w:rFonts w:hint="eastAsia" w:asciiTheme="minorEastAsia" w:hAnsiTheme="minorEastAsia" w:eastAsiaTheme="minorEastAsia" w:cstheme="minorEastAsia"/>
                <w:color w:val="auto"/>
                <w:kern w:val="0"/>
                <w:sz w:val="21"/>
                <w:szCs w:val="21"/>
                <w:highlight w:val="none"/>
                <w:lang w:val="en-US" w:eastAsia="zh-CN"/>
              </w:rPr>
              <w:t>一档的基础上，供应商</w:t>
            </w:r>
            <w:r>
              <w:rPr>
                <w:rFonts w:hint="eastAsia" w:asciiTheme="minorEastAsia" w:hAnsiTheme="minorEastAsia" w:eastAsiaTheme="minorEastAsia" w:cstheme="minorEastAsia"/>
                <w:color w:val="auto"/>
                <w:kern w:val="0"/>
                <w:sz w:val="21"/>
                <w:szCs w:val="21"/>
                <w:highlight w:val="none"/>
                <w:lang w:eastAsia="zh-TW"/>
              </w:rPr>
              <w:t>设置</w:t>
            </w:r>
            <w:r>
              <w:rPr>
                <w:rFonts w:hint="eastAsia" w:asciiTheme="minorEastAsia" w:hAnsiTheme="minorEastAsia" w:eastAsiaTheme="minorEastAsia" w:cstheme="minorEastAsia"/>
                <w:color w:val="auto"/>
                <w:kern w:val="0"/>
                <w:sz w:val="21"/>
                <w:szCs w:val="21"/>
                <w:highlight w:val="none"/>
                <w:lang w:val="en-US" w:eastAsia="zh-CN"/>
              </w:rPr>
              <w:t>有</w:t>
            </w:r>
            <w:r>
              <w:rPr>
                <w:rFonts w:hint="eastAsia" w:asciiTheme="minorEastAsia" w:hAnsiTheme="minorEastAsia" w:eastAsiaTheme="minorEastAsia" w:cstheme="minorEastAsia"/>
                <w:color w:val="auto"/>
                <w:kern w:val="0"/>
                <w:sz w:val="21"/>
                <w:szCs w:val="21"/>
                <w:highlight w:val="none"/>
                <w:lang w:eastAsia="zh-TW"/>
              </w:rPr>
              <w:t>较完善的食品安全应急处理组织机构</w:t>
            </w:r>
            <w:r>
              <w:rPr>
                <w:rFonts w:hint="eastAsia" w:asciiTheme="minorEastAsia" w:hAnsiTheme="minorEastAsia" w:eastAsiaTheme="minorEastAsia" w:cstheme="minorEastAsia"/>
                <w:color w:val="auto"/>
                <w:kern w:val="0"/>
                <w:sz w:val="21"/>
                <w:szCs w:val="21"/>
                <w:highlight w:val="none"/>
                <w:lang w:eastAsia="zh-CN"/>
              </w:rPr>
              <w:t>，</w:t>
            </w:r>
            <w:r>
              <w:rPr>
                <w:rFonts w:hint="eastAsia" w:asciiTheme="minorEastAsia" w:hAnsiTheme="minorEastAsia" w:eastAsiaTheme="minorEastAsia" w:cstheme="minorEastAsia"/>
                <w:color w:val="auto"/>
                <w:kern w:val="0"/>
                <w:sz w:val="21"/>
                <w:szCs w:val="21"/>
                <w:highlight w:val="none"/>
                <w:lang w:eastAsia="zh-TW"/>
              </w:rPr>
              <w:t>食品质量安全信息的收集较准确、完善，食品安全防范措施的落实较合理，</w:t>
            </w:r>
            <w:r>
              <w:rPr>
                <w:rFonts w:hint="eastAsia" w:asciiTheme="minorEastAsia" w:hAnsiTheme="minorEastAsia" w:eastAsiaTheme="minorEastAsia" w:cstheme="minorEastAsia"/>
                <w:color w:val="auto"/>
                <w:kern w:val="0"/>
                <w:sz w:val="21"/>
                <w:szCs w:val="21"/>
                <w:highlight w:val="none"/>
                <w:lang w:val="en-US" w:eastAsia="zh-CN"/>
              </w:rPr>
              <w:t>针对</w:t>
            </w:r>
            <w:r>
              <w:rPr>
                <w:rFonts w:hint="eastAsia" w:asciiTheme="minorEastAsia" w:hAnsiTheme="minorEastAsia" w:eastAsiaTheme="minorEastAsia" w:cstheme="minorEastAsia"/>
                <w:color w:val="auto"/>
                <w:kern w:val="0"/>
                <w:sz w:val="21"/>
                <w:szCs w:val="21"/>
                <w:highlight w:val="none"/>
                <w:lang w:eastAsia="zh-TW"/>
              </w:rPr>
              <w:t>生产、销售过程中可能发生的紧急情况处置措施较及时</w:t>
            </w:r>
            <w:r>
              <w:rPr>
                <w:rFonts w:hint="eastAsia" w:asciiTheme="minorEastAsia" w:hAnsiTheme="minorEastAsia" w:eastAsiaTheme="minorEastAsia" w:cstheme="minorEastAsia"/>
                <w:color w:val="auto"/>
                <w:kern w:val="0"/>
                <w:sz w:val="21"/>
                <w:szCs w:val="21"/>
                <w:highlight w:val="none"/>
                <w:lang w:eastAsia="zh-CN"/>
              </w:rPr>
              <w:t>。</w:t>
            </w:r>
          </w:p>
          <w:p w14:paraId="726EAC00">
            <w:pPr>
              <w:keepNext w:val="0"/>
              <w:keepLines w:val="0"/>
              <w:pageBreakBefore w:val="0"/>
              <w:tabs>
                <w:tab w:val="left" w:pos="180"/>
                <w:tab w:val="left" w:pos="1620"/>
              </w:tabs>
              <w:kinsoku/>
              <w:wordWrap/>
              <w:overflowPunct/>
              <w:topLinePunct w:val="0"/>
              <w:autoSpaceDE/>
              <w:autoSpaceDN/>
              <w:bidi w:val="0"/>
              <w:spacing w:line="400" w:lineRule="exact"/>
              <w:ind w:left="0" w:leftChars="0" w:firstLine="420" w:firstLineChars="200"/>
              <w:jc w:val="both"/>
              <w:rPr>
                <w:rFonts w:hint="eastAsia" w:asciiTheme="minorEastAsia" w:hAnsiTheme="minorEastAsia" w:eastAsiaTheme="minorEastAsia" w:cstheme="minorEastAsia"/>
                <w:color w:val="auto"/>
                <w:kern w:val="0"/>
                <w:sz w:val="21"/>
                <w:szCs w:val="21"/>
                <w:highlight w:val="none"/>
                <w:lang w:eastAsia="zh-TW"/>
              </w:rPr>
            </w:pPr>
            <w:r>
              <w:rPr>
                <w:rFonts w:hint="eastAsia" w:asciiTheme="minorEastAsia" w:hAnsiTheme="minorEastAsia" w:eastAsiaTheme="minorEastAsia" w:cstheme="minorEastAsia"/>
                <w:color w:val="auto"/>
                <w:kern w:val="0"/>
                <w:sz w:val="21"/>
                <w:szCs w:val="21"/>
                <w:highlight w:val="none"/>
                <w:lang w:eastAsia="zh-TW"/>
              </w:rPr>
              <w:t>三档（</w:t>
            </w:r>
            <w:r>
              <w:rPr>
                <w:rFonts w:hint="eastAsia" w:asciiTheme="minorEastAsia" w:hAnsiTheme="minorEastAsia" w:eastAsiaTheme="minorEastAsia" w:cstheme="minorEastAsia"/>
                <w:color w:val="auto"/>
                <w:kern w:val="0"/>
                <w:sz w:val="21"/>
                <w:szCs w:val="21"/>
                <w:highlight w:val="none"/>
                <w:lang w:val="en-US" w:eastAsia="zh-CN"/>
              </w:rPr>
              <w:t>12</w:t>
            </w:r>
            <w:r>
              <w:rPr>
                <w:rFonts w:hint="eastAsia" w:asciiTheme="minorEastAsia" w:hAnsiTheme="minorEastAsia" w:eastAsiaTheme="minorEastAsia" w:cstheme="minorEastAsia"/>
                <w:color w:val="auto"/>
                <w:kern w:val="0"/>
                <w:sz w:val="21"/>
                <w:szCs w:val="21"/>
                <w:highlight w:val="none"/>
                <w:lang w:eastAsia="zh-TW"/>
              </w:rPr>
              <w:t>分）</w:t>
            </w:r>
            <w:r>
              <w:rPr>
                <w:rFonts w:hint="eastAsia" w:asciiTheme="minorEastAsia" w:hAnsiTheme="minorEastAsia" w:eastAsiaTheme="minorEastAsia" w:cstheme="minorEastAsia"/>
                <w:color w:val="auto"/>
                <w:kern w:val="0"/>
                <w:sz w:val="21"/>
                <w:szCs w:val="21"/>
                <w:highlight w:val="none"/>
                <w:lang w:eastAsia="zh-CN"/>
              </w:rPr>
              <w:t>：在</w:t>
            </w:r>
            <w:r>
              <w:rPr>
                <w:rFonts w:hint="eastAsia" w:asciiTheme="minorEastAsia" w:hAnsiTheme="minorEastAsia" w:eastAsiaTheme="minorEastAsia" w:cstheme="minorEastAsia"/>
                <w:color w:val="auto"/>
                <w:kern w:val="0"/>
                <w:sz w:val="21"/>
                <w:szCs w:val="21"/>
                <w:highlight w:val="none"/>
                <w:lang w:val="en-US" w:eastAsia="zh-CN"/>
              </w:rPr>
              <w:t>二档的基础上，供应商</w:t>
            </w:r>
            <w:r>
              <w:rPr>
                <w:rFonts w:hint="eastAsia" w:asciiTheme="minorEastAsia" w:hAnsiTheme="minorEastAsia" w:eastAsiaTheme="minorEastAsia" w:cstheme="minorEastAsia"/>
                <w:color w:val="auto"/>
                <w:kern w:val="0"/>
                <w:sz w:val="21"/>
                <w:szCs w:val="21"/>
                <w:highlight w:val="none"/>
                <w:lang w:eastAsia="zh-TW"/>
              </w:rPr>
              <w:t>设置有完善的食品安全应急处理组织机构，职责分明，食品质量安全信息的收集完善，食品安全防范措施的落实到位，</w:t>
            </w:r>
            <w:r>
              <w:rPr>
                <w:rFonts w:hint="eastAsia" w:asciiTheme="minorEastAsia" w:hAnsiTheme="minorEastAsia" w:eastAsiaTheme="minorEastAsia" w:cstheme="minorEastAsia"/>
                <w:color w:val="auto"/>
                <w:kern w:val="0"/>
                <w:sz w:val="21"/>
                <w:szCs w:val="21"/>
                <w:highlight w:val="none"/>
                <w:lang w:val="en-US" w:eastAsia="zh-CN"/>
              </w:rPr>
              <w:t>针对</w:t>
            </w:r>
            <w:r>
              <w:rPr>
                <w:rFonts w:hint="eastAsia" w:asciiTheme="minorEastAsia" w:hAnsiTheme="minorEastAsia" w:eastAsiaTheme="minorEastAsia" w:cstheme="minorEastAsia"/>
                <w:color w:val="auto"/>
                <w:kern w:val="0"/>
                <w:sz w:val="21"/>
                <w:szCs w:val="21"/>
                <w:highlight w:val="none"/>
                <w:lang w:eastAsia="zh-TW"/>
              </w:rPr>
              <w:t>生产、销售过程中可能发生的紧急情况处置措施及时</w:t>
            </w:r>
            <w:r>
              <w:rPr>
                <w:rFonts w:hint="eastAsia" w:asciiTheme="minorEastAsia" w:hAnsiTheme="minorEastAsia" w:eastAsiaTheme="minorEastAsia" w:cstheme="minorEastAsia"/>
                <w:color w:val="auto"/>
                <w:kern w:val="0"/>
                <w:sz w:val="21"/>
                <w:szCs w:val="21"/>
                <w:highlight w:val="none"/>
                <w:lang w:val="en-US" w:eastAsia="zh-CN"/>
              </w:rPr>
              <w:t>迅速</w:t>
            </w:r>
            <w:r>
              <w:rPr>
                <w:rFonts w:hint="eastAsia" w:asciiTheme="minorEastAsia" w:hAnsiTheme="minorEastAsia" w:eastAsiaTheme="minorEastAsia" w:cstheme="minorEastAsia"/>
                <w:color w:val="auto"/>
                <w:kern w:val="0"/>
                <w:sz w:val="21"/>
                <w:szCs w:val="21"/>
                <w:highlight w:val="none"/>
                <w:lang w:eastAsia="zh-TW"/>
              </w:rPr>
              <w:t>，符合工作实际需要，当接到采购人应急需求时，能承诺在1</w:t>
            </w:r>
            <w:r>
              <w:rPr>
                <w:rFonts w:hint="eastAsia" w:asciiTheme="minorEastAsia" w:hAnsiTheme="minorEastAsia" w:eastAsiaTheme="minorEastAsia" w:cstheme="minorEastAsia"/>
                <w:color w:val="auto"/>
                <w:kern w:val="0"/>
                <w:sz w:val="21"/>
                <w:szCs w:val="21"/>
                <w:highlight w:val="none"/>
                <w:lang w:val="en-US" w:eastAsia="zh-CN"/>
              </w:rPr>
              <w:t>.5</w:t>
            </w:r>
            <w:r>
              <w:rPr>
                <w:rFonts w:hint="eastAsia" w:asciiTheme="minorEastAsia" w:hAnsiTheme="minorEastAsia" w:eastAsiaTheme="minorEastAsia" w:cstheme="minorEastAsia"/>
                <w:color w:val="auto"/>
                <w:kern w:val="0"/>
                <w:sz w:val="21"/>
                <w:szCs w:val="21"/>
                <w:highlight w:val="none"/>
                <w:lang w:eastAsia="zh-TW"/>
              </w:rPr>
              <w:t>小时内响应解决完成。</w:t>
            </w:r>
          </w:p>
          <w:p w14:paraId="545540F7">
            <w:pPr>
              <w:keepNext w:val="0"/>
              <w:keepLines w:val="0"/>
              <w:pageBreakBefore w:val="0"/>
              <w:kinsoku/>
              <w:wordWrap/>
              <w:overflowPunct/>
              <w:topLinePunct w:val="0"/>
              <w:autoSpaceDE/>
              <w:autoSpaceDN/>
              <w:bidi w:val="0"/>
              <w:spacing w:line="400" w:lineRule="exact"/>
              <w:ind w:firstLine="422" w:firstLineChars="200"/>
              <w:rPr>
                <w:rFonts w:hint="eastAsia" w:asciiTheme="minorEastAsia" w:hAnsiTheme="minorEastAsia" w:eastAsiaTheme="minorEastAsia" w:cstheme="minorEastAsia"/>
                <w:sz w:val="21"/>
                <w:szCs w:val="21"/>
                <w:highlight w:val="none"/>
                <w:lang w:eastAsia="zh-CN"/>
              </w:rPr>
            </w:pPr>
            <w:r>
              <w:rPr>
                <w:rFonts w:hint="eastAsia" w:asciiTheme="minorEastAsia" w:hAnsiTheme="minorEastAsia" w:eastAsiaTheme="minorEastAsia" w:cstheme="minorEastAsia"/>
                <w:b/>
                <w:bCs w:val="0"/>
                <w:color w:val="auto"/>
                <w:sz w:val="21"/>
                <w:szCs w:val="21"/>
                <w:highlight w:val="none"/>
              </w:rPr>
              <w:t>注：食品安全事件应急处理方案未达到最低档（一档）要求的，得0分。</w:t>
            </w:r>
          </w:p>
        </w:tc>
      </w:tr>
      <w:tr w14:paraId="5FD94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520" w:type="dxa"/>
            <w:noWrap w:val="0"/>
            <w:vAlign w:val="center"/>
          </w:tcPr>
          <w:p w14:paraId="45A9E75A">
            <w:pPr>
              <w:keepNext w:val="0"/>
              <w:keepLines w:val="0"/>
              <w:pageBreakBefore w:val="0"/>
              <w:kinsoku/>
              <w:wordWrap/>
              <w:overflowPunct/>
              <w:topLinePunct w:val="0"/>
              <w:autoSpaceDE/>
              <w:autoSpaceDN/>
              <w:bidi w:val="0"/>
              <w:adjustRightInd w:val="0"/>
              <w:snapToGrid w:val="0"/>
              <w:spacing w:line="400" w:lineRule="exact"/>
              <w:jc w:val="center"/>
              <w:textAlignment w:val="baseline"/>
              <w:rPr>
                <w:rFonts w:hint="eastAsia" w:asciiTheme="minorEastAsia" w:hAnsiTheme="minorEastAsia" w:eastAsiaTheme="minorEastAsia" w:cstheme="minorEastAsia"/>
                <w:sz w:val="21"/>
                <w:szCs w:val="21"/>
              </w:rPr>
            </w:pPr>
          </w:p>
        </w:tc>
        <w:tc>
          <w:tcPr>
            <w:tcW w:w="1262" w:type="dxa"/>
            <w:noWrap w:val="0"/>
            <w:vAlign w:val="center"/>
          </w:tcPr>
          <w:p w14:paraId="1855DF95">
            <w:pPr>
              <w:keepNext w:val="0"/>
              <w:keepLines w:val="0"/>
              <w:pageBreakBefore w:val="0"/>
              <w:kinsoku/>
              <w:wordWrap/>
              <w:overflowPunct/>
              <w:topLinePunct w:val="0"/>
              <w:autoSpaceDE/>
              <w:autoSpaceDN/>
              <w:bidi w:val="0"/>
              <w:adjustRightInd w:val="0"/>
              <w:snapToGrid w:val="0"/>
              <w:spacing w:line="400" w:lineRule="exact"/>
              <w:ind w:left="-105" w:leftChars="-50" w:right="-105" w:rightChars="-50"/>
              <w:jc w:val="center"/>
              <w:textAlignment w:val="baseline"/>
              <w:rPr>
                <w:rFonts w:hint="eastAsia" w:asciiTheme="minorEastAsia" w:hAnsiTheme="minorEastAsia" w:eastAsiaTheme="minorEastAsia" w:cstheme="minorEastAsia"/>
                <w:spacing w:val="-18"/>
                <w:sz w:val="21"/>
                <w:szCs w:val="21"/>
              </w:rPr>
            </w:pPr>
          </w:p>
        </w:tc>
        <w:tc>
          <w:tcPr>
            <w:tcW w:w="1399" w:type="dxa"/>
            <w:noWrap w:val="0"/>
            <w:vAlign w:val="center"/>
          </w:tcPr>
          <w:p w14:paraId="503DA4A6">
            <w:pPr>
              <w:keepNext w:val="0"/>
              <w:keepLines w:val="0"/>
              <w:pageBreakBefore w:val="0"/>
              <w:tabs>
                <w:tab w:val="left" w:pos="180"/>
                <w:tab w:val="left" w:pos="1620"/>
              </w:tabs>
              <w:kinsoku/>
              <w:wordWrap/>
              <w:overflowPunct/>
              <w:topLinePunct w:val="0"/>
              <w:autoSpaceDE/>
              <w:autoSpaceDN/>
              <w:bidi w:val="0"/>
              <w:spacing w:line="400" w:lineRule="exact"/>
              <w:jc w:val="center"/>
              <w:rPr>
                <w:rFonts w:hint="eastAsia" w:asciiTheme="minorEastAsia" w:hAnsiTheme="minorEastAsia" w:eastAsiaTheme="minorEastAsia" w:cstheme="minorEastAsia"/>
                <w:color w:val="auto"/>
                <w:kern w:val="0"/>
                <w:sz w:val="21"/>
                <w:szCs w:val="21"/>
                <w:highlight w:val="none"/>
                <w:lang w:val="en-US" w:eastAsia="zh-CN"/>
              </w:rPr>
            </w:pPr>
            <w:r>
              <w:rPr>
                <w:rFonts w:hint="eastAsia" w:asciiTheme="minorEastAsia" w:hAnsiTheme="minorEastAsia" w:eastAsiaTheme="minorEastAsia" w:cstheme="minorEastAsia"/>
                <w:color w:val="auto"/>
                <w:kern w:val="0"/>
                <w:sz w:val="21"/>
                <w:szCs w:val="21"/>
                <w:highlight w:val="none"/>
                <w:lang w:val="en-US" w:eastAsia="zh-CN"/>
              </w:rPr>
              <w:t>2.4</w:t>
            </w:r>
            <w:r>
              <w:rPr>
                <w:rFonts w:hint="eastAsia" w:asciiTheme="minorEastAsia" w:hAnsiTheme="minorEastAsia" w:eastAsiaTheme="minorEastAsia" w:cstheme="minorEastAsia"/>
                <w:color w:val="auto"/>
                <w:kern w:val="0"/>
                <w:sz w:val="21"/>
                <w:szCs w:val="21"/>
                <w:highlight w:val="none"/>
                <w:lang w:eastAsia="zh-TW"/>
              </w:rPr>
              <w:t>售后服务方案</w:t>
            </w:r>
            <w:r>
              <w:rPr>
                <w:rFonts w:hint="eastAsia" w:asciiTheme="minorEastAsia" w:hAnsiTheme="minorEastAsia" w:eastAsiaTheme="minorEastAsia" w:cstheme="minorEastAsia"/>
                <w:color w:val="auto"/>
                <w:kern w:val="0"/>
                <w:sz w:val="21"/>
                <w:szCs w:val="21"/>
                <w:highlight w:val="none"/>
              </w:rPr>
              <w:t>（满分</w:t>
            </w:r>
            <w:r>
              <w:rPr>
                <w:rFonts w:hint="eastAsia" w:asciiTheme="minorEastAsia" w:hAnsiTheme="minorEastAsia" w:eastAsiaTheme="minorEastAsia" w:cstheme="minorEastAsia"/>
                <w:color w:val="auto"/>
                <w:kern w:val="0"/>
                <w:sz w:val="21"/>
                <w:szCs w:val="21"/>
                <w:highlight w:val="none"/>
                <w:lang w:val="en-US" w:eastAsia="zh-CN"/>
              </w:rPr>
              <w:t>12</w:t>
            </w:r>
            <w:r>
              <w:rPr>
                <w:rFonts w:hint="eastAsia" w:asciiTheme="minorEastAsia" w:hAnsiTheme="minorEastAsia" w:eastAsiaTheme="minorEastAsia" w:cstheme="minorEastAsia"/>
                <w:color w:val="auto"/>
                <w:kern w:val="0"/>
                <w:sz w:val="21"/>
                <w:szCs w:val="21"/>
                <w:highlight w:val="none"/>
              </w:rPr>
              <w:t>分）</w:t>
            </w:r>
          </w:p>
        </w:tc>
        <w:tc>
          <w:tcPr>
            <w:tcW w:w="5962" w:type="dxa"/>
            <w:noWrap w:val="0"/>
            <w:vAlign w:val="center"/>
          </w:tcPr>
          <w:p w14:paraId="39835C60">
            <w:pPr>
              <w:pStyle w:val="81"/>
              <w:keepNext w:val="0"/>
              <w:keepLines w:val="0"/>
              <w:pageBreakBefore w:val="0"/>
              <w:kinsoku/>
              <w:wordWrap/>
              <w:overflowPunct/>
              <w:topLinePunct w:val="0"/>
              <w:autoSpaceDE/>
              <w:autoSpaceDN/>
              <w:bidi w:val="0"/>
              <w:spacing w:line="400" w:lineRule="exact"/>
              <w:ind w:firstLine="420" w:firstLineChars="200"/>
              <w:jc w:val="left"/>
              <w:textAlignment w:val="baseline"/>
              <w:rPr>
                <w:rFonts w:hint="eastAsia" w:asciiTheme="minorEastAsia" w:hAnsiTheme="minorEastAsia" w:eastAsiaTheme="minorEastAsia" w:cstheme="minorEastAsia"/>
                <w:bCs/>
                <w:color w:val="auto"/>
                <w:kern w:val="0"/>
                <w:sz w:val="21"/>
                <w:szCs w:val="21"/>
                <w:highlight w:val="none"/>
                <w:lang w:eastAsia="zh-CN"/>
              </w:rPr>
            </w:pPr>
            <w:r>
              <w:rPr>
                <w:rFonts w:hint="eastAsia" w:asciiTheme="minorEastAsia" w:hAnsiTheme="minorEastAsia" w:eastAsiaTheme="minorEastAsia" w:cstheme="minorEastAsia"/>
                <w:bCs/>
                <w:color w:val="auto"/>
                <w:kern w:val="0"/>
                <w:sz w:val="21"/>
                <w:szCs w:val="21"/>
                <w:highlight w:val="none"/>
                <w:lang w:eastAsia="zh-TW"/>
              </w:rPr>
              <w:t>一档（</w:t>
            </w:r>
            <w:r>
              <w:rPr>
                <w:rFonts w:hint="eastAsia" w:asciiTheme="minorEastAsia" w:hAnsiTheme="minorEastAsia" w:eastAsiaTheme="minorEastAsia" w:cstheme="minorEastAsia"/>
                <w:bCs/>
                <w:color w:val="auto"/>
                <w:kern w:val="0"/>
                <w:sz w:val="21"/>
                <w:szCs w:val="21"/>
                <w:highlight w:val="none"/>
                <w:lang w:val="en-US" w:eastAsia="zh-CN"/>
              </w:rPr>
              <w:t>2</w:t>
            </w:r>
            <w:r>
              <w:rPr>
                <w:rFonts w:hint="eastAsia" w:asciiTheme="minorEastAsia" w:hAnsiTheme="minorEastAsia" w:eastAsiaTheme="minorEastAsia" w:cstheme="minorEastAsia"/>
                <w:bCs/>
                <w:color w:val="auto"/>
                <w:kern w:val="0"/>
                <w:sz w:val="21"/>
                <w:szCs w:val="21"/>
                <w:highlight w:val="none"/>
                <w:lang w:eastAsia="zh-TW"/>
              </w:rPr>
              <w:t>分）：接到</w:t>
            </w:r>
            <w:r>
              <w:rPr>
                <w:rFonts w:hint="eastAsia" w:asciiTheme="minorEastAsia" w:hAnsiTheme="minorEastAsia" w:eastAsiaTheme="minorEastAsia" w:cstheme="minorEastAsia"/>
                <w:bCs/>
                <w:color w:val="auto"/>
                <w:kern w:val="0"/>
                <w:sz w:val="21"/>
                <w:szCs w:val="21"/>
                <w:highlight w:val="none"/>
              </w:rPr>
              <w:t>采购人</w:t>
            </w:r>
            <w:r>
              <w:rPr>
                <w:rFonts w:hint="eastAsia" w:asciiTheme="minorEastAsia" w:hAnsiTheme="minorEastAsia" w:eastAsiaTheme="minorEastAsia" w:cstheme="minorEastAsia"/>
                <w:bCs/>
                <w:color w:val="auto"/>
                <w:kern w:val="0"/>
                <w:sz w:val="21"/>
                <w:szCs w:val="21"/>
                <w:highlight w:val="none"/>
                <w:lang w:eastAsia="zh-TW"/>
              </w:rPr>
              <w:t>通知后</w:t>
            </w:r>
            <w:r>
              <w:rPr>
                <w:rFonts w:hint="eastAsia" w:asciiTheme="minorEastAsia" w:hAnsiTheme="minorEastAsia" w:eastAsiaTheme="minorEastAsia" w:cstheme="minorEastAsia"/>
                <w:bCs/>
                <w:color w:val="auto"/>
                <w:kern w:val="0"/>
                <w:sz w:val="21"/>
                <w:szCs w:val="21"/>
                <w:highlight w:val="none"/>
                <w:lang w:val="en-US" w:eastAsia="zh-CN"/>
              </w:rPr>
              <w:t>30</w:t>
            </w:r>
            <w:r>
              <w:rPr>
                <w:rFonts w:hint="eastAsia" w:asciiTheme="minorEastAsia" w:hAnsiTheme="minorEastAsia" w:eastAsiaTheme="minorEastAsia" w:cstheme="minorEastAsia"/>
                <w:bCs/>
                <w:color w:val="auto"/>
                <w:kern w:val="0"/>
                <w:sz w:val="21"/>
                <w:szCs w:val="21"/>
                <w:highlight w:val="none"/>
                <w:lang w:eastAsia="zh-TW"/>
              </w:rPr>
              <w:t>分钟内响应</w:t>
            </w:r>
            <w:r>
              <w:rPr>
                <w:rFonts w:hint="eastAsia" w:asciiTheme="minorEastAsia" w:hAnsiTheme="minorEastAsia" w:eastAsiaTheme="minorEastAsia" w:cstheme="minorEastAsia"/>
                <w:bCs/>
                <w:color w:val="auto"/>
                <w:kern w:val="0"/>
                <w:sz w:val="21"/>
                <w:szCs w:val="21"/>
                <w:highlight w:val="none"/>
                <w:lang w:eastAsia="zh-CN"/>
              </w:rPr>
              <w:t>，</w:t>
            </w:r>
            <w:r>
              <w:rPr>
                <w:rFonts w:hint="eastAsia" w:asciiTheme="minorEastAsia" w:hAnsiTheme="minorEastAsia" w:eastAsiaTheme="minorEastAsia" w:cstheme="minorEastAsia"/>
                <w:color w:val="auto"/>
                <w:kern w:val="0"/>
                <w:sz w:val="21"/>
                <w:szCs w:val="21"/>
                <w:highlight w:val="none"/>
                <w:lang w:eastAsia="zh-TW"/>
              </w:rPr>
              <w:t>售后服务方案</w:t>
            </w:r>
            <w:r>
              <w:rPr>
                <w:rFonts w:hint="eastAsia" w:asciiTheme="minorEastAsia" w:hAnsiTheme="minorEastAsia" w:eastAsiaTheme="minorEastAsia" w:cstheme="minorEastAsia"/>
                <w:bCs/>
                <w:color w:val="auto"/>
                <w:kern w:val="0"/>
                <w:sz w:val="21"/>
                <w:szCs w:val="21"/>
                <w:highlight w:val="none"/>
                <w:lang w:eastAsia="zh-TW"/>
              </w:rPr>
              <w:t>承诺退换时间</w:t>
            </w:r>
            <w:r>
              <w:rPr>
                <w:rFonts w:hint="eastAsia" w:asciiTheme="minorEastAsia" w:hAnsiTheme="minorEastAsia" w:eastAsiaTheme="minorEastAsia" w:cstheme="minorEastAsia"/>
                <w:bCs/>
                <w:color w:val="auto"/>
                <w:kern w:val="0"/>
                <w:sz w:val="21"/>
                <w:szCs w:val="21"/>
                <w:highlight w:val="none"/>
                <w:lang w:val="en-US" w:eastAsia="zh-CN"/>
              </w:rPr>
              <w:t>在2小时内退换</w:t>
            </w:r>
            <w:r>
              <w:rPr>
                <w:rFonts w:hint="eastAsia" w:asciiTheme="minorEastAsia" w:hAnsiTheme="minorEastAsia" w:eastAsiaTheme="minorEastAsia" w:cstheme="minorEastAsia"/>
                <w:bCs/>
                <w:color w:val="auto"/>
                <w:kern w:val="0"/>
                <w:sz w:val="21"/>
                <w:szCs w:val="21"/>
                <w:highlight w:val="none"/>
                <w:lang w:eastAsia="zh-TW"/>
              </w:rPr>
              <w:t>，</w:t>
            </w:r>
            <w:r>
              <w:rPr>
                <w:rFonts w:hint="eastAsia" w:asciiTheme="minorEastAsia" w:hAnsiTheme="minorEastAsia" w:eastAsiaTheme="minorEastAsia" w:cstheme="minorEastAsia"/>
                <w:color w:val="auto"/>
                <w:kern w:val="0"/>
                <w:sz w:val="21"/>
                <w:szCs w:val="21"/>
                <w:highlight w:val="none"/>
                <w:lang w:eastAsia="zh-TW"/>
              </w:rPr>
              <w:t>售后服务方案</w:t>
            </w:r>
            <w:r>
              <w:rPr>
                <w:rFonts w:hint="eastAsia" w:asciiTheme="minorEastAsia" w:hAnsiTheme="minorEastAsia" w:eastAsiaTheme="minorEastAsia" w:cstheme="minorEastAsia"/>
                <w:color w:val="auto"/>
                <w:kern w:val="0"/>
                <w:sz w:val="21"/>
                <w:szCs w:val="21"/>
                <w:highlight w:val="none"/>
                <w:lang w:val="en-US" w:eastAsia="zh-CN"/>
              </w:rPr>
              <w:t>仅满足采购需求</w:t>
            </w:r>
            <w:r>
              <w:rPr>
                <w:rFonts w:hint="eastAsia" w:asciiTheme="minorEastAsia" w:hAnsiTheme="minorEastAsia" w:eastAsiaTheme="minorEastAsia" w:cstheme="minorEastAsia"/>
                <w:bCs/>
                <w:color w:val="auto"/>
                <w:kern w:val="0"/>
                <w:sz w:val="21"/>
                <w:szCs w:val="21"/>
                <w:highlight w:val="none"/>
                <w:lang w:eastAsia="zh-CN"/>
              </w:rPr>
              <w:t>。</w:t>
            </w:r>
          </w:p>
          <w:p w14:paraId="64A5FE9B">
            <w:pPr>
              <w:pStyle w:val="81"/>
              <w:keepNext w:val="0"/>
              <w:keepLines w:val="0"/>
              <w:pageBreakBefore w:val="0"/>
              <w:kinsoku/>
              <w:wordWrap/>
              <w:overflowPunct/>
              <w:topLinePunct w:val="0"/>
              <w:autoSpaceDE/>
              <w:autoSpaceDN/>
              <w:bidi w:val="0"/>
              <w:spacing w:line="400" w:lineRule="exact"/>
              <w:ind w:firstLine="420" w:firstLineChars="200"/>
              <w:jc w:val="left"/>
              <w:textAlignment w:val="baseline"/>
              <w:rPr>
                <w:rFonts w:hint="eastAsia" w:asciiTheme="minorEastAsia" w:hAnsiTheme="minorEastAsia" w:eastAsiaTheme="minorEastAsia" w:cstheme="minorEastAsia"/>
                <w:bCs/>
                <w:color w:val="auto"/>
                <w:kern w:val="0"/>
                <w:sz w:val="21"/>
                <w:szCs w:val="21"/>
                <w:highlight w:val="none"/>
                <w:lang w:eastAsia="zh-CN"/>
              </w:rPr>
            </w:pPr>
            <w:r>
              <w:rPr>
                <w:rFonts w:hint="eastAsia" w:asciiTheme="minorEastAsia" w:hAnsiTheme="minorEastAsia" w:eastAsiaTheme="minorEastAsia" w:cstheme="minorEastAsia"/>
                <w:bCs/>
                <w:color w:val="auto"/>
                <w:kern w:val="0"/>
                <w:sz w:val="21"/>
                <w:szCs w:val="21"/>
                <w:highlight w:val="none"/>
                <w:lang w:eastAsia="zh-TW"/>
              </w:rPr>
              <w:t>二档（</w:t>
            </w:r>
            <w:r>
              <w:rPr>
                <w:rFonts w:hint="eastAsia" w:asciiTheme="minorEastAsia" w:hAnsiTheme="minorEastAsia" w:eastAsiaTheme="minorEastAsia" w:cstheme="minorEastAsia"/>
                <w:bCs/>
                <w:color w:val="auto"/>
                <w:kern w:val="0"/>
                <w:sz w:val="21"/>
                <w:szCs w:val="21"/>
                <w:highlight w:val="none"/>
                <w:lang w:val="en-US" w:eastAsia="zh-CN"/>
              </w:rPr>
              <w:t>7</w:t>
            </w:r>
            <w:r>
              <w:rPr>
                <w:rFonts w:hint="eastAsia" w:asciiTheme="minorEastAsia" w:hAnsiTheme="minorEastAsia" w:eastAsiaTheme="minorEastAsia" w:cstheme="minorEastAsia"/>
                <w:bCs/>
                <w:color w:val="auto"/>
                <w:kern w:val="0"/>
                <w:sz w:val="21"/>
                <w:szCs w:val="21"/>
                <w:highlight w:val="none"/>
                <w:lang w:eastAsia="zh-TW"/>
              </w:rPr>
              <w:t>分）：接到</w:t>
            </w:r>
            <w:r>
              <w:rPr>
                <w:rFonts w:hint="eastAsia" w:asciiTheme="minorEastAsia" w:hAnsiTheme="minorEastAsia" w:eastAsiaTheme="minorEastAsia" w:cstheme="minorEastAsia"/>
                <w:bCs/>
                <w:color w:val="auto"/>
                <w:kern w:val="0"/>
                <w:sz w:val="21"/>
                <w:szCs w:val="21"/>
                <w:highlight w:val="none"/>
              </w:rPr>
              <w:t>采购人</w:t>
            </w:r>
            <w:r>
              <w:rPr>
                <w:rFonts w:hint="eastAsia" w:asciiTheme="minorEastAsia" w:hAnsiTheme="minorEastAsia" w:eastAsiaTheme="minorEastAsia" w:cstheme="minorEastAsia"/>
                <w:bCs/>
                <w:color w:val="auto"/>
                <w:kern w:val="0"/>
                <w:sz w:val="21"/>
                <w:szCs w:val="21"/>
                <w:highlight w:val="none"/>
                <w:lang w:eastAsia="zh-TW"/>
              </w:rPr>
              <w:t>通知后</w:t>
            </w:r>
            <w:r>
              <w:rPr>
                <w:rFonts w:hint="eastAsia" w:asciiTheme="minorEastAsia" w:hAnsiTheme="minorEastAsia" w:eastAsiaTheme="minorEastAsia" w:cstheme="minorEastAsia"/>
                <w:bCs/>
                <w:color w:val="auto"/>
                <w:kern w:val="0"/>
                <w:sz w:val="21"/>
                <w:szCs w:val="21"/>
                <w:highlight w:val="none"/>
                <w:lang w:val="en-US" w:eastAsia="zh-CN"/>
              </w:rPr>
              <w:t>30</w:t>
            </w:r>
            <w:r>
              <w:rPr>
                <w:rFonts w:hint="eastAsia" w:asciiTheme="minorEastAsia" w:hAnsiTheme="minorEastAsia" w:eastAsiaTheme="minorEastAsia" w:cstheme="minorEastAsia"/>
                <w:bCs/>
                <w:color w:val="auto"/>
                <w:kern w:val="0"/>
                <w:sz w:val="21"/>
                <w:szCs w:val="21"/>
                <w:highlight w:val="none"/>
                <w:lang w:eastAsia="zh-TW"/>
              </w:rPr>
              <w:t>分钟内响应</w:t>
            </w:r>
            <w:r>
              <w:rPr>
                <w:rFonts w:hint="eastAsia" w:asciiTheme="minorEastAsia" w:hAnsiTheme="minorEastAsia" w:eastAsiaTheme="minorEastAsia" w:cstheme="minorEastAsia"/>
                <w:bCs/>
                <w:color w:val="auto"/>
                <w:kern w:val="0"/>
                <w:sz w:val="21"/>
                <w:szCs w:val="21"/>
                <w:highlight w:val="none"/>
                <w:lang w:eastAsia="zh-CN"/>
              </w:rPr>
              <w:t>，</w:t>
            </w:r>
            <w:r>
              <w:rPr>
                <w:rFonts w:hint="eastAsia" w:asciiTheme="minorEastAsia" w:hAnsiTheme="minorEastAsia" w:eastAsiaTheme="minorEastAsia" w:cstheme="minorEastAsia"/>
                <w:color w:val="auto"/>
                <w:kern w:val="0"/>
                <w:sz w:val="21"/>
                <w:szCs w:val="21"/>
                <w:highlight w:val="none"/>
                <w:lang w:eastAsia="zh-TW"/>
              </w:rPr>
              <w:t>售后服务方案</w:t>
            </w:r>
            <w:r>
              <w:rPr>
                <w:rFonts w:hint="eastAsia" w:asciiTheme="minorEastAsia" w:hAnsiTheme="minorEastAsia" w:eastAsiaTheme="minorEastAsia" w:cstheme="minorEastAsia"/>
                <w:bCs/>
                <w:color w:val="auto"/>
                <w:kern w:val="0"/>
                <w:sz w:val="21"/>
                <w:szCs w:val="21"/>
                <w:highlight w:val="none"/>
                <w:lang w:eastAsia="zh-TW"/>
              </w:rPr>
              <w:t>承诺退换时间需1小时-2小时，</w:t>
            </w:r>
            <w:r>
              <w:rPr>
                <w:rFonts w:hint="eastAsia" w:asciiTheme="minorEastAsia" w:hAnsiTheme="minorEastAsia" w:eastAsiaTheme="minorEastAsia" w:cstheme="minorEastAsia"/>
                <w:color w:val="auto"/>
                <w:kern w:val="0"/>
                <w:sz w:val="21"/>
                <w:szCs w:val="21"/>
                <w:highlight w:val="none"/>
                <w:lang w:eastAsia="zh-TW"/>
              </w:rPr>
              <w:t>售后服务方案</w:t>
            </w:r>
            <w:r>
              <w:rPr>
                <w:rFonts w:hint="eastAsia" w:asciiTheme="minorEastAsia" w:hAnsiTheme="minorEastAsia" w:eastAsiaTheme="minorEastAsia" w:cstheme="minorEastAsia"/>
                <w:color w:val="auto"/>
                <w:kern w:val="0"/>
                <w:sz w:val="21"/>
                <w:szCs w:val="21"/>
                <w:highlight w:val="none"/>
                <w:lang w:val="en-US" w:eastAsia="zh-CN"/>
              </w:rPr>
              <w:t>中的</w:t>
            </w:r>
            <w:r>
              <w:rPr>
                <w:rFonts w:hint="eastAsia" w:asciiTheme="minorEastAsia" w:hAnsiTheme="minorEastAsia" w:eastAsiaTheme="minorEastAsia" w:cstheme="minorEastAsia"/>
                <w:bCs/>
                <w:color w:val="auto"/>
                <w:kern w:val="0"/>
                <w:sz w:val="21"/>
                <w:szCs w:val="21"/>
                <w:highlight w:val="none"/>
                <w:lang w:eastAsia="zh-TW"/>
              </w:rPr>
              <w:t>承诺、措施可行，</w:t>
            </w:r>
            <w:r>
              <w:rPr>
                <w:rFonts w:hint="eastAsia" w:asciiTheme="minorEastAsia" w:hAnsiTheme="minorEastAsia" w:eastAsiaTheme="minorEastAsia" w:cstheme="minorEastAsia"/>
                <w:bCs/>
                <w:color w:val="auto"/>
                <w:kern w:val="0"/>
                <w:sz w:val="21"/>
                <w:szCs w:val="21"/>
                <w:highlight w:val="none"/>
                <w:lang w:val="en-US" w:eastAsia="zh-CN"/>
              </w:rPr>
              <w:t>售后</w:t>
            </w:r>
            <w:r>
              <w:rPr>
                <w:rFonts w:hint="eastAsia" w:asciiTheme="minorEastAsia" w:hAnsiTheme="minorEastAsia" w:eastAsiaTheme="minorEastAsia" w:cstheme="minorEastAsia"/>
                <w:bCs/>
                <w:color w:val="auto"/>
                <w:kern w:val="0"/>
                <w:sz w:val="21"/>
                <w:szCs w:val="21"/>
                <w:highlight w:val="none"/>
                <w:lang w:eastAsia="zh-TW"/>
              </w:rPr>
              <w:t>服务承诺响应满足项目需求，货物</w:t>
            </w:r>
            <w:r>
              <w:rPr>
                <w:rFonts w:hint="eastAsia" w:asciiTheme="minorEastAsia" w:hAnsiTheme="minorEastAsia" w:eastAsiaTheme="minorEastAsia" w:cstheme="minorEastAsia"/>
                <w:bCs/>
                <w:color w:val="auto"/>
                <w:kern w:val="0"/>
                <w:sz w:val="21"/>
                <w:szCs w:val="21"/>
                <w:highlight w:val="none"/>
              </w:rPr>
              <w:t>出现</w:t>
            </w:r>
            <w:r>
              <w:rPr>
                <w:rFonts w:hint="eastAsia" w:asciiTheme="minorEastAsia" w:hAnsiTheme="minorEastAsia" w:eastAsiaTheme="minorEastAsia" w:cstheme="minorEastAsia"/>
                <w:bCs/>
                <w:color w:val="auto"/>
                <w:kern w:val="0"/>
                <w:sz w:val="21"/>
                <w:szCs w:val="21"/>
                <w:highlight w:val="none"/>
                <w:lang w:eastAsia="zh-TW"/>
              </w:rPr>
              <w:t>问题时，有相应</w:t>
            </w:r>
            <w:r>
              <w:rPr>
                <w:rFonts w:hint="eastAsia" w:asciiTheme="minorEastAsia" w:hAnsiTheme="minorEastAsia" w:eastAsiaTheme="minorEastAsia" w:cstheme="minorEastAsia"/>
                <w:bCs/>
                <w:color w:val="auto"/>
                <w:kern w:val="0"/>
                <w:sz w:val="21"/>
                <w:szCs w:val="21"/>
                <w:highlight w:val="none"/>
                <w:lang w:val="en-US" w:eastAsia="zh-CN"/>
              </w:rPr>
              <w:t>退换</w:t>
            </w:r>
            <w:r>
              <w:rPr>
                <w:rFonts w:hint="eastAsia" w:asciiTheme="minorEastAsia" w:hAnsiTheme="minorEastAsia" w:eastAsiaTheme="minorEastAsia" w:cstheme="minorEastAsia"/>
                <w:bCs/>
                <w:color w:val="auto"/>
                <w:kern w:val="0"/>
                <w:sz w:val="21"/>
                <w:szCs w:val="21"/>
                <w:highlight w:val="none"/>
                <w:lang w:eastAsia="zh-TW"/>
              </w:rPr>
              <w:t>的解决措施，并明确如何确保退换的货物符合采购人需求</w:t>
            </w:r>
            <w:r>
              <w:rPr>
                <w:rFonts w:hint="eastAsia" w:asciiTheme="minorEastAsia" w:hAnsiTheme="minorEastAsia" w:eastAsiaTheme="minorEastAsia" w:cstheme="minorEastAsia"/>
                <w:bCs/>
                <w:color w:val="auto"/>
                <w:kern w:val="0"/>
                <w:sz w:val="21"/>
                <w:szCs w:val="21"/>
                <w:highlight w:val="none"/>
                <w:lang w:eastAsia="zh-CN"/>
              </w:rPr>
              <w:t>。</w:t>
            </w:r>
          </w:p>
          <w:p w14:paraId="7B4D942A">
            <w:pPr>
              <w:pStyle w:val="81"/>
              <w:keepNext w:val="0"/>
              <w:keepLines w:val="0"/>
              <w:pageBreakBefore w:val="0"/>
              <w:kinsoku/>
              <w:wordWrap/>
              <w:overflowPunct/>
              <w:topLinePunct w:val="0"/>
              <w:autoSpaceDE/>
              <w:autoSpaceDN/>
              <w:bidi w:val="0"/>
              <w:spacing w:line="400" w:lineRule="exact"/>
              <w:ind w:firstLine="420" w:firstLineChars="200"/>
              <w:jc w:val="left"/>
              <w:textAlignment w:val="baseline"/>
              <w:rPr>
                <w:rFonts w:hint="eastAsia" w:asciiTheme="minorEastAsia" w:hAnsiTheme="minorEastAsia" w:eastAsiaTheme="minorEastAsia" w:cstheme="minorEastAsia"/>
                <w:bCs/>
                <w:color w:val="auto"/>
                <w:kern w:val="0"/>
                <w:sz w:val="21"/>
                <w:szCs w:val="21"/>
                <w:highlight w:val="none"/>
                <w:lang w:eastAsia="zh-CN"/>
              </w:rPr>
            </w:pPr>
            <w:r>
              <w:rPr>
                <w:rFonts w:hint="eastAsia" w:asciiTheme="minorEastAsia" w:hAnsiTheme="minorEastAsia" w:eastAsiaTheme="minorEastAsia" w:cstheme="minorEastAsia"/>
                <w:bCs/>
                <w:color w:val="auto"/>
                <w:kern w:val="0"/>
                <w:sz w:val="21"/>
                <w:szCs w:val="21"/>
                <w:highlight w:val="none"/>
                <w:lang w:eastAsia="zh-TW"/>
              </w:rPr>
              <w:t>三档（</w:t>
            </w:r>
            <w:r>
              <w:rPr>
                <w:rFonts w:hint="eastAsia" w:asciiTheme="minorEastAsia" w:hAnsiTheme="minorEastAsia" w:eastAsiaTheme="minorEastAsia" w:cstheme="minorEastAsia"/>
                <w:bCs/>
                <w:color w:val="auto"/>
                <w:kern w:val="0"/>
                <w:sz w:val="21"/>
                <w:szCs w:val="21"/>
                <w:highlight w:val="none"/>
                <w:lang w:val="en-US" w:eastAsia="zh-CN"/>
              </w:rPr>
              <w:t>12</w:t>
            </w:r>
            <w:r>
              <w:rPr>
                <w:rFonts w:hint="eastAsia" w:asciiTheme="minorEastAsia" w:hAnsiTheme="minorEastAsia" w:eastAsiaTheme="minorEastAsia" w:cstheme="minorEastAsia"/>
                <w:bCs/>
                <w:color w:val="auto"/>
                <w:kern w:val="0"/>
                <w:sz w:val="21"/>
                <w:szCs w:val="21"/>
                <w:highlight w:val="none"/>
                <w:lang w:eastAsia="zh-TW"/>
              </w:rPr>
              <w:t>分）：接到</w:t>
            </w:r>
            <w:r>
              <w:rPr>
                <w:rFonts w:hint="eastAsia" w:asciiTheme="minorEastAsia" w:hAnsiTheme="minorEastAsia" w:eastAsiaTheme="minorEastAsia" w:cstheme="minorEastAsia"/>
                <w:bCs/>
                <w:color w:val="auto"/>
                <w:kern w:val="0"/>
                <w:sz w:val="21"/>
                <w:szCs w:val="21"/>
                <w:highlight w:val="none"/>
              </w:rPr>
              <w:t>采购人</w:t>
            </w:r>
            <w:r>
              <w:rPr>
                <w:rFonts w:hint="eastAsia" w:asciiTheme="minorEastAsia" w:hAnsiTheme="minorEastAsia" w:eastAsiaTheme="minorEastAsia" w:cstheme="minorEastAsia"/>
                <w:bCs/>
                <w:color w:val="auto"/>
                <w:kern w:val="0"/>
                <w:sz w:val="21"/>
                <w:szCs w:val="21"/>
                <w:highlight w:val="none"/>
                <w:lang w:eastAsia="zh-TW"/>
              </w:rPr>
              <w:t>通知后</w:t>
            </w:r>
            <w:r>
              <w:rPr>
                <w:rFonts w:hint="eastAsia" w:asciiTheme="minorEastAsia" w:hAnsiTheme="minorEastAsia" w:eastAsiaTheme="minorEastAsia" w:cstheme="minorEastAsia"/>
                <w:bCs/>
                <w:color w:val="auto"/>
                <w:kern w:val="0"/>
                <w:sz w:val="21"/>
                <w:szCs w:val="21"/>
                <w:highlight w:val="none"/>
                <w:lang w:val="en-US" w:eastAsia="zh-CN"/>
              </w:rPr>
              <w:t>15</w:t>
            </w:r>
            <w:r>
              <w:rPr>
                <w:rFonts w:hint="eastAsia" w:asciiTheme="minorEastAsia" w:hAnsiTheme="minorEastAsia" w:eastAsiaTheme="minorEastAsia" w:cstheme="minorEastAsia"/>
                <w:bCs/>
                <w:color w:val="auto"/>
                <w:kern w:val="0"/>
                <w:sz w:val="21"/>
                <w:szCs w:val="21"/>
                <w:highlight w:val="none"/>
                <w:lang w:eastAsia="zh-TW"/>
              </w:rPr>
              <w:t>分钟内响应</w:t>
            </w:r>
            <w:r>
              <w:rPr>
                <w:rFonts w:hint="eastAsia" w:asciiTheme="minorEastAsia" w:hAnsiTheme="minorEastAsia" w:eastAsiaTheme="minorEastAsia" w:cstheme="minorEastAsia"/>
                <w:bCs/>
                <w:color w:val="auto"/>
                <w:kern w:val="0"/>
                <w:sz w:val="21"/>
                <w:szCs w:val="21"/>
                <w:highlight w:val="none"/>
                <w:lang w:eastAsia="zh-CN"/>
              </w:rPr>
              <w:t>，</w:t>
            </w:r>
            <w:r>
              <w:rPr>
                <w:rFonts w:hint="eastAsia" w:asciiTheme="minorEastAsia" w:hAnsiTheme="minorEastAsia" w:eastAsiaTheme="minorEastAsia" w:cstheme="minorEastAsia"/>
                <w:bCs/>
                <w:color w:val="auto"/>
                <w:kern w:val="0"/>
                <w:sz w:val="21"/>
                <w:szCs w:val="21"/>
                <w:highlight w:val="none"/>
                <w:lang w:eastAsia="zh-TW"/>
              </w:rPr>
              <w:t>对因货物出现问题，而发生紧急事件问题处理预案内容较具体、全面，</w:t>
            </w:r>
            <w:r>
              <w:rPr>
                <w:rFonts w:hint="eastAsia" w:asciiTheme="minorEastAsia" w:hAnsiTheme="minorEastAsia" w:eastAsiaTheme="minorEastAsia" w:cstheme="minorEastAsia"/>
                <w:color w:val="auto"/>
                <w:kern w:val="0"/>
                <w:sz w:val="21"/>
                <w:szCs w:val="21"/>
                <w:highlight w:val="none"/>
                <w:lang w:eastAsia="zh-TW"/>
              </w:rPr>
              <w:t>售后服务方案</w:t>
            </w:r>
            <w:r>
              <w:rPr>
                <w:rFonts w:hint="eastAsia" w:asciiTheme="minorEastAsia" w:hAnsiTheme="minorEastAsia" w:eastAsiaTheme="minorEastAsia" w:cstheme="minorEastAsia"/>
                <w:bCs/>
                <w:color w:val="auto"/>
                <w:kern w:val="0"/>
                <w:sz w:val="21"/>
                <w:szCs w:val="21"/>
                <w:highlight w:val="none"/>
                <w:lang w:eastAsia="zh-TW"/>
              </w:rPr>
              <w:t>承诺退换时间需1小时</w:t>
            </w:r>
            <w:r>
              <w:rPr>
                <w:rFonts w:hint="eastAsia" w:asciiTheme="minorEastAsia" w:hAnsiTheme="minorEastAsia" w:eastAsiaTheme="minorEastAsia" w:cstheme="minorEastAsia"/>
                <w:bCs/>
                <w:color w:val="auto"/>
                <w:kern w:val="0"/>
                <w:sz w:val="21"/>
                <w:szCs w:val="21"/>
                <w:highlight w:val="none"/>
                <w:lang w:val="en-US" w:eastAsia="zh-CN"/>
              </w:rPr>
              <w:t>内</w:t>
            </w:r>
            <w:r>
              <w:rPr>
                <w:rFonts w:hint="eastAsia" w:asciiTheme="minorEastAsia" w:hAnsiTheme="minorEastAsia" w:eastAsiaTheme="minorEastAsia" w:cstheme="minorEastAsia"/>
                <w:bCs/>
                <w:color w:val="auto"/>
                <w:kern w:val="0"/>
                <w:sz w:val="21"/>
                <w:szCs w:val="21"/>
                <w:highlight w:val="none"/>
                <w:lang w:eastAsia="zh-TW"/>
              </w:rPr>
              <w:t>，有健全、详细的</w:t>
            </w:r>
            <w:r>
              <w:rPr>
                <w:rFonts w:hint="eastAsia" w:asciiTheme="minorEastAsia" w:hAnsiTheme="minorEastAsia" w:eastAsiaTheme="minorEastAsia" w:cstheme="minorEastAsia"/>
                <w:color w:val="auto"/>
                <w:kern w:val="0"/>
                <w:sz w:val="21"/>
                <w:szCs w:val="21"/>
                <w:highlight w:val="none"/>
                <w:lang w:eastAsia="zh-TW"/>
              </w:rPr>
              <w:t>售后服务</w:t>
            </w:r>
            <w:r>
              <w:rPr>
                <w:rFonts w:hint="eastAsia" w:asciiTheme="minorEastAsia" w:hAnsiTheme="minorEastAsia" w:eastAsiaTheme="minorEastAsia" w:cstheme="minorEastAsia"/>
                <w:bCs/>
                <w:color w:val="auto"/>
                <w:kern w:val="0"/>
                <w:sz w:val="21"/>
                <w:szCs w:val="21"/>
                <w:highlight w:val="none"/>
                <w:lang w:eastAsia="zh-TW"/>
              </w:rPr>
              <w:t>承诺、后期售后服务方式多样有效，措施得力，能满足项目需求，包括售后服务监督和回访管理、台账管理、售后服务管理及售后服务措施（含对问题物料的处理及特殊情况的应急预案），明确如何确保退换的货物符合采购人需求，并配备专门人员为</w:t>
            </w:r>
            <w:r>
              <w:rPr>
                <w:rFonts w:hint="eastAsia" w:asciiTheme="minorEastAsia" w:hAnsiTheme="minorEastAsia" w:eastAsiaTheme="minorEastAsia" w:cstheme="minorEastAsia"/>
                <w:bCs/>
                <w:color w:val="auto"/>
                <w:kern w:val="0"/>
                <w:sz w:val="21"/>
                <w:szCs w:val="21"/>
                <w:highlight w:val="none"/>
              </w:rPr>
              <w:t>采购人</w:t>
            </w:r>
            <w:r>
              <w:rPr>
                <w:rFonts w:hint="eastAsia" w:asciiTheme="minorEastAsia" w:hAnsiTheme="minorEastAsia" w:eastAsiaTheme="minorEastAsia" w:cstheme="minorEastAsia"/>
                <w:bCs/>
                <w:color w:val="auto"/>
                <w:kern w:val="0"/>
                <w:sz w:val="21"/>
                <w:szCs w:val="21"/>
                <w:highlight w:val="none"/>
                <w:lang w:eastAsia="zh-TW"/>
              </w:rPr>
              <w:t>提供服务</w:t>
            </w:r>
            <w:r>
              <w:rPr>
                <w:rFonts w:hint="eastAsia" w:asciiTheme="minorEastAsia" w:hAnsiTheme="minorEastAsia" w:eastAsiaTheme="minorEastAsia" w:cstheme="minorEastAsia"/>
                <w:bCs/>
                <w:color w:val="auto"/>
                <w:kern w:val="0"/>
                <w:sz w:val="21"/>
                <w:szCs w:val="21"/>
                <w:highlight w:val="none"/>
                <w:lang w:eastAsia="zh-CN"/>
              </w:rPr>
              <w:t>。</w:t>
            </w:r>
          </w:p>
          <w:p w14:paraId="6DF60058">
            <w:pPr>
              <w:pStyle w:val="81"/>
              <w:keepNext w:val="0"/>
              <w:keepLines w:val="0"/>
              <w:pageBreakBefore w:val="0"/>
              <w:kinsoku/>
              <w:wordWrap/>
              <w:overflowPunct/>
              <w:topLinePunct w:val="0"/>
              <w:autoSpaceDE/>
              <w:autoSpaceDN/>
              <w:bidi w:val="0"/>
              <w:spacing w:line="400" w:lineRule="exact"/>
              <w:ind w:firstLine="422" w:firstLineChars="200"/>
              <w:jc w:val="left"/>
              <w:textAlignment w:val="baseline"/>
              <w:rPr>
                <w:rFonts w:hint="eastAsia" w:asciiTheme="minorEastAsia" w:hAnsiTheme="minorEastAsia" w:eastAsiaTheme="minorEastAsia" w:cstheme="minorEastAsia"/>
                <w:kern w:val="0"/>
                <w:sz w:val="21"/>
                <w:szCs w:val="21"/>
                <w:highlight w:val="none"/>
                <w:lang w:bidi="ar"/>
              </w:rPr>
            </w:pPr>
            <w:r>
              <w:rPr>
                <w:rFonts w:hint="eastAsia" w:asciiTheme="minorEastAsia" w:hAnsiTheme="minorEastAsia" w:eastAsiaTheme="minorEastAsia" w:cstheme="minorEastAsia"/>
                <w:b/>
                <w:bCs w:val="0"/>
                <w:color w:val="auto"/>
                <w:sz w:val="21"/>
                <w:szCs w:val="21"/>
                <w:highlight w:val="none"/>
              </w:rPr>
              <w:t>注：售后服务方案未达到最低档（一档）要求的，得0分。</w:t>
            </w:r>
          </w:p>
        </w:tc>
      </w:tr>
      <w:tr w14:paraId="499AE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520" w:type="dxa"/>
            <w:vMerge w:val="restart"/>
            <w:noWrap w:val="0"/>
            <w:vAlign w:val="center"/>
          </w:tcPr>
          <w:p w14:paraId="7366A0CA">
            <w:pPr>
              <w:keepNext w:val="0"/>
              <w:keepLines w:val="0"/>
              <w:pageBreakBefore w:val="0"/>
              <w:kinsoku/>
              <w:wordWrap/>
              <w:overflowPunct/>
              <w:topLinePunct w:val="0"/>
              <w:autoSpaceDE/>
              <w:autoSpaceDN/>
              <w:bidi w:val="0"/>
              <w:snapToGrid w:val="0"/>
              <w:spacing w:line="40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w:t>
            </w:r>
          </w:p>
        </w:tc>
        <w:tc>
          <w:tcPr>
            <w:tcW w:w="1262" w:type="dxa"/>
            <w:vMerge w:val="restart"/>
            <w:noWrap w:val="0"/>
            <w:vAlign w:val="center"/>
          </w:tcPr>
          <w:p w14:paraId="3D77984A">
            <w:pPr>
              <w:keepNext w:val="0"/>
              <w:keepLines w:val="0"/>
              <w:pageBreakBefore w:val="0"/>
              <w:kinsoku/>
              <w:wordWrap/>
              <w:overflowPunct/>
              <w:topLinePunct w:val="0"/>
              <w:autoSpaceDE/>
              <w:autoSpaceDN/>
              <w:bidi w:val="0"/>
              <w:snapToGrid w:val="0"/>
              <w:spacing w:line="40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商务分（满分</w:t>
            </w:r>
            <w:r>
              <w:rPr>
                <w:rFonts w:hint="eastAsia" w:asciiTheme="minorEastAsia" w:hAnsiTheme="minorEastAsia" w:eastAsiaTheme="minorEastAsia" w:cstheme="minorEastAsia"/>
                <w:sz w:val="21"/>
                <w:szCs w:val="21"/>
                <w:lang w:val="en-US" w:eastAsia="zh-CN"/>
              </w:rPr>
              <w:t>21</w:t>
            </w:r>
            <w:r>
              <w:rPr>
                <w:rFonts w:hint="eastAsia" w:asciiTheme="minorEastAsia" w:hAnsiTheme="minorEastAsia" w:eastAsiaTheme="minorEastAsia" w:cstheme="minorEastAsia"/>
                <w:sz w:val="21"/>
                <w:szCs w:val="21"/>
              </w:rPr>
              <w:t>分</w:t>
            </w:r>
            <w:r>
              <w:rPr>
                <w:rFonts w:hint="eastAsia" w:asciiTheme="minorEastAsia" w:hAnsiTheme="minorEastAsia" w:eastAsiaTheme="minorEastAsia" w:cstheme="minorEastAsia"/>
                <w:bCs/>
                <w:sz w:val="21"/>
                <w:szCs w:val="21"/>
              </w:rPr>
              <w:t>）</w:t>
            </w:r>
          </w:p>
        </w:tc>
        <w:tc>
          <w:tcPr>
            <w:tcW w:w="1399" w:type="dxa"/>
            <w:noWrap w:val="0"/>
            <w:vAlign w:val="center"/>
          </w:tcPr>
          <w:p w14:paraId="7CCF6984">
            <w:pPr>
              <w:keepNext w:val="0"/>
              <w:keepLines w:val="0"/>
              <w:pageBreakBefore w:val="0"/>
              <w:kinsoku/>
              <w:wordWrap/>
              <w:overflowPunct/>
              <w:topLinePunct w:val="0"/>
              <w:autoSpaceDE/>
              <w:autoSpaceDN/>
              <w:bidi w:val="0"/>
              <w:snapToGrid w:val="0"/>
              <w:spacing w:line="40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3.1拟投</w:t>
            </w:r>
            <w:r>
              <w:rPr>
                <w:rFonts w:hint="eastAsia" w:asciiTheme="minorEastAsia" w:hAnsiTheme="minorEastAsia" w:eastAsiaTheme="minorEastAsia" w:cstheme="minorEastAsia"/>
                <w:sz w:val="21"/>
                <w:szCs w:val="21"/>
                <w:lang w:val="en-US" w:eastAsia="zh-CN"/>
              </w:rPr>
              <w:t>入设备分</w:t>
            </w:r>
            <w:r>
              <w:rPr>
                <w:rFonts w:hint="eastAsia" w:asciiTheme="minorEastAsia" w:hAnsiTheme="minorEastAsia" w:eastAsiaTheme="minorEastAsia" w:cstheme="minorEastAsia"/>
                <w:sz w:val="21"/>
                <w:szCs w:val="21"/>
              </w:rPr>
              <w:t>（满分</w:t>
            </w:r>
            <w:r>
              <w:rPr>
                <w:rFonts w:hint="eastAsia" w:asciiTheme="minorEastAsia" w:hAnsiTheme="minorEastAsia" w:eastAsiaTheme="minorEastAsia" w:cstheme="minorEastAsia"/>
                <w:sz w:val="21"/>
                <w:szCs w:val="21"/>
                <w:lang w:val="en-US" w:eastAsia="zh-CN"/>
              </w:rPr>
              <w:t>6</w:t>
            </w:r>
            <w:r>
              <w:rPr>
                <w:rFonts w:hint="eastAsia" w:asciiTheme="minorEastAsia" w:hAnsiTheme="minorEastAsia" w:eastAsiaTheme="minorEastAsia" w:cstheme="minorEastAsia"/>
                <w:sz w:val="21"/>
                <w:szCs w:val="21"/>
              </w:rPr>
              <w:t>分）</w:t>
            </w:r>
          </w:p>
        </w:tc>
        <w:tc>
          <w:tcPr>
            <w:tcW w:w="5962" w:type="dxa"/>
            <w:noWrap w:val="0"/>
            <w:vAlign w:val="center"/>
          </w:tcPr>
          <w:p w14:paraId="280D7735">
            <w:pPr>
              <w:numPr>
                <w:ilvl w:val="0"/>
                <w:numId w:val="0"/>
              </w:numPr>
              <w:tabs>
                <w:tab w:val="left" w:pos="180"/>
                <w:tab w:val="left" w:pos="1620"/>
              </w:tabs>
              <w:spacing w:line="400" w:lineRule="exact"/>
              <w:rPr>
                <w:rFonts w:hint="eastAsia" w:asciiTheme="minorEastAsia" w:hAnsiTheme="minorEastAsia" w:eastAsiaTheme="minorEastAsia" w:cstheme="minorEastAsia"/>
                <w:b w:val="0"/>
                <w:bCs/>
                <w:color w:val="auto"/>
                <w:sz w:val="21"/>
                <w:szCs w:val="21"/>
                <w:highlight w:val="none"/>
                <w:lang w:val="en-US" w:eastAsia="zh-CN"/>
              </w:rPr>
            </w:pPr>
            <w:r>
              <w:rPr>
                <w:rFonts w:hint="eastAsia" w:asciiTheme="minorEastAsia" w:hAnsiTheme="minorEastAsia" w:eastAsiaTheme="minorEastAsia" w:cstheme="minorEastAsia"/>
                <w:b w:val="0"/>
                <w:bCs/>
                <w:color w:val="auto"/>
                <w:sz w:val="21"/>
                <w:szCs w:val="21"/>
                <w:highlight w:val="none"/>
                <w:lang w:eastAsia="zh-TW"/>
              </w:rPr>
              <w:t>投入本项目配送车辆</w:t>
            </w:r>
            <w:r>
              <w:rPr>
                <w:rFonts w:hint="eastAsia" w:asciiTheme="minorEastAsia" w:hAnsiTheme="minorEastAsia" w:eastAsiaTheme="minorEastAsia" w:cstheme="minorEastAsia"/>
                <w:b w:val="0"/>
                <w:bCs/>
                <w:color w:val="auto"/>
                <w:sz w:val="21"/>
                <w:szCs w:val="21"/>
                <w:highlight w:val="none"/>
                <w:lang w:val="en-US" w:eastAsia="zh-CN"/>
              </w:rPr>
              <w:t>分（本项满分6分）：</w:t>
            </w:r>
          </w:p>
          <w:p w14:paraId="0323CA44">
            <w:pPr>
              <w:numPr>
                <w:ilvl w:val="0"/>
                <w:numId w:val="0"/>
              </w:numPr>
              <w:tabs>
                <w:tab w:val="left" w:pos="180"/>
                <w:tab w:val="left" w:pos="1620"/>
              </w:tabs>
              <w:spacing w:line="400" w:lineRule="exact"/>
              <w:rPr>
                <w:rFonts w:hint="eastAsia" w:asciiTheme="minorEastAsia" w:hAnsiTheme="minorEastAsia" w:eastAsiaTheme="minorEastAsia" w:cstheme="minorEastAsia"/>
                <w:b w:val="0"/>
                <w:bCs/>
                <w:color w:val="auto"/>
                <w:sz w:val="21"/>
                <w:szCs w:val="21"/>
                <w:highlight w:val="none"/>
                <w:lang w:eastAsia="zh-TW"/>
              </w:rPr>
            </w:pPr>
            <w:r>
              <w:rPr>
                <w:rFonts w:hint="eastAsia" w:asciiTheme="minorEastAsia" w:hAnsiTheme="minorEastAsia" w:eastAsiaTheme="minorEastAsia" w:cstheme="minorEastAsia"/>
                <w:b w:val="0"/>
                <w:bCs/>
                <w:color w:val="auto"/>
                <w:sz w:val="21"/>
                <w:szCs w:val="21"/>
                <w:highlight w:val="none"/>
                <w:lang w:val="en-US" w:eastAsia="zh-CN"/>
              </w:rPr>
              <w:t>一、</w:t>
            </w:r>
            <w:r>
              <w:rPr>
                <w:rFonts w:hint="eastAsia" w:asciiTheme="minorEastAsia" w:hAnsiTheme="minorEastAsia" w:eastAsiaTheme="minorEastAsia" w:cstheme="minorEastAsia"/>
                <w:b w:val="0"/>
                <w:bCs/>
                <w:color w:val="auto"/>
                <w:sz w:val="21"/>
                <w:szCs w:val="21"/>
                <w:highlight w:val="none"/>
                <w:lang w:eastAsia="zh-TW"/>
              </w:rPr>
              <w:t>投入本项目配送车辆</w:t>
            </w:r>
            <w:r>
              <w:rPr>
                <w:rFonts w:hint="eastAsia" w:asciiTheme="minorEastAsia" w:hAnsiTheme="minorEastAsia" w:eastAsiaTheme="minorEastAsia" w:cstheme="minorEastAsia"/>
                <w:b w:val="0"/>
                <w:bCs/>
                <w:color w:val="auto"/>
                <w:sz w:val="21"/>
                <w:szCs w:val="21"/>
                <w:highlight w:val="none"/>
                <w:lang w:val="en-US" w:eastAsia="zh-CN"/>
              </w:rPr>
              <w:t>为1辆的</w:t>
            </w:r>
            <w:r>
              <w:rPr>
                <w:rFonts w:hint="eastAsia" w:asciiTheme="minorEastAsia" w:hAnsiTheme="minorEastAsia" w:eastAsiaTheme="minorEastAsia" w:cstheme="minorEastAsia"/>
                <w:b w:val="0"/>
                <w:bCs/>
                <w:color w:val="auto"/>
                <w:sz w:val="21"/>
                <w:szCs w:val="21"/>
                <w:highlight w:val="none"/>
                <w:lang w:eastAsia="zh-TW"/>
              </w:rPr>
              <w:t>：</w:t>
            </w:r>
          </w:p>
          <w:p w14:paraId="1CBFAD4C">
            <w:pPr>
              <w:numPr>
                <w:ilvl w:val="0"/>
                <w:numId w:val="0"/>
              </w:numPr>
              <w:tabs>
                <w:tab w:val="left" w:pos="180"/>
                <w:tab w:val="left" w:pos="1620"/>
              </w:tabs>
              <w:spacing w:line="400" w:lineRule="exact"/>
              <w:ind w:firstLine="420" w:firstLineChars="200"/>
              <w:rPr>
                <w:rFonts w:hint="eastAsia" w:asciiTheme="minorEastAsia" w:hAnsiTheme="minorEastAsia" w:eastAsiaTheme="minorEastAsia" w:cstheme="minorEastAsia"/>
                <w:b w:val="0"/>
                <w:bCs/>
                <w:color w:val="auto"/>
                <w:sz w:val="21"/>
                <w:szCs w:val="21"/>
                <w:highlight w:val="none"/>
                <w:lang w:val="en-US" w:eastAsia="zh-CN"/>
              </w:rPr>
            </w:pPr>
            <w:r>
              <w:rPr>
                <w:rFonts w:hint="eastAsia" w:asciiTheme="minorEastAsia" w:hAnsiTheme="minorEastAsia" w:eastAsiaTheme="minorEastAsia" w:cstheme="minorEastAsia"/>
                <w:b w:val="0"/>
                <w:bCs/>
                <w:color w:val="auto"/>
                <w:sz w:val="21"/>
                <w:szCs w:val="21"/>
                <w:highlight w:val="none"/>
                <w:lang w:eastAsia="zh-TW"/>
              </w:rPr>
              <w:t>投入本项目配送车辆</w:t>
            </w:r>
            <w:r>
              <w:rPr>
                <w:rFonts w:hint="eastAsia" w:asciiTheme="minorEastAsia" w:hAnsiTheme="minorEastAsia" w:eastAsiaTheme="minorEastAsia" w:cstheme="minorEastAsia"/>
                <w:b w:val="0"/>
                <w:bCs/>
                <w:color w:val="auto"/>
                <w:sz w:val="21"/>
                <w:szCs w:val="21"/>
                <w:highlight w:val="none"/>
                <w:lang w:val="en-US" w:eastAsia="zh-CN"/>
              </w:rPr>
              <w:t>为</w:t>
            </w:r>
            <w:r>
              <w:rPr>
                <w:rFonts w:hint="eastAsia" w:asciiTheme="minorEastAsia" w:hAnsiTheme="minorEastAsia" w:eastAsiaTheme="minorEastAsia" w:cstheme="minorEastAsia"/>
                <w:b w:val="0"/>
                <w:bCs/>
                <w:color w:val="auto"/>
                <w:sz w:val="21"/>
                <w:szCs w:val="21"/>
                <w:highlight w:val="none"/>
                <w:lang w:eastAsia="zh-TW"/>
              </w:rPr>
              <w:t>1辆冷链车的得</w:t>
            </w:r>
            <w:r>
              <w:rPr>
                <w:rFonts w:hint="eastAsia" w:asciiTheme="minorEastAsia" w:hAnsiTheme="minorEastAsia" w:eastAsiaTheme="minorEastAsia" w:cstheme="minorEastAsia"/>
                <w:b w:val="0"/>
                <w:bCs/>
                <w:color w:val="auto"/>
                <w:sz w:val="21"/>
                <w:szCs w:val="21"/>
                <w:highlight w:val="none"/>
                <w:lang w:val="en-US" w:eastAsia="zh-CN"/>
              </w:rPr>
              <w:t>3</w:t>
            </w:r>
            <w:r>
              <w:rPr>
                <w:rFonts w:hint="eastAsia" w:asciiTheme="minorEastAsia" w:hAnsiTheme="minorEastAsia" w:eastAsiaTheme="minorEastAsia" w:cstheme="minorEastAsia"/>
                <w:b w:val="0"/>
                <w:bCs/>
                <w:color w:val="auto"/>
                <w:sz w:val="21"/>
                <w:szCs w:val="21"/>
                <w:highlight w:val="none"/>
                <w:lang w:eastAsia="zh-TW"/>
              </w:rPr>
              <w:t>分，</w:t>
            </w:r>
            <w:r>
              <w:rPr>
                <w:rFonts w:hint="eastAsia" w:asciiTheme="minorEastAsia" w:hAnsiTheme="minorEastAsia" w:eastAsiaTheme="minorEastAsia" w:cstheme="minorEastAsia"/>
                <w:b w:val="0"/>
                <w:bCs/>
                <w:color w:val="auto"/>
                <w:sz w:val="21"/>
                <w:szCs w:val="21"/>
                <w:highlight w:val="none"/>
                <w:lang w:val="en-US" w:eastAsia="zh-CN"/>
              </w:rPr>
              <w:t>普通配送车辆得</w:t>
            </w:r>
            <w:r>
              <w:rPr>
                <w:rFonts w:hint="eastAsia" w:asciiTheme="minorEastAsia" w:hAnsiTheme="minorEastAsia" w:eastAsiaTheme="minorEastAsia" w:cstheme="minorEastAsia"/>
                <w:b w:val="0"/>
                <w:bCs/>
                <w:color w:val="auto"/>
                <w:sz w:val="21"/>
                <w:szCs w:val="21"/>
                <w:highlight w:val="none"/>
                <w:lang w:eastAsia="zh-TW"/>
              </w:rPr>
              <w:t>1</w:t>
            </w:r>
            <w:r>
              <w:rPr>
                <w:rFonts w:hint="eastAsia" w:asciiTheme="minorEastAsia" w:hAnsiTheme="minorEastAsia" w:eastAsiaTheme="minorEastAsia" w:cstheme="minorEastAsia"/>
                <w:b w:val="0"/>
                <w:bCs/>
                <w:color w:val="auto"/>
                <w:sz w:val="21"/>
                <w:szCs w:val="21"/>
                <w:highlight w:val="none"/>
                <w:lang w:val="en-US" w:eastAsia="zh-CN"/>
              </w:rPr>
              <w:t>分。</w:t>
            </w:r>
          </w:p>
          <w:p w14:paraId="1ED51B4E">
            <w:pPr>
              <w:numPr>
                <w:ilvl w:val="0"/>
                <w:numId w:val="0"/>
              </w:numPr>
              <w:tabs>
                <w:tab w:val="left" w:pos="180"/>
                <w:tab w:val="left" w:pos="1620"/>
              </w:tabs>
              <w:spacing w:line="400" w:lineRule="exact"/>
              <w:rPr>
                <w:rFonts w:hint="eastAsia" w:asciiTheme="minorEastAsia" w:hAnsiTheme="minorEastAsia" w:eastAsiaTheme="minorEastAsia" w:cstheme="minorEastAsia"/>
                <w:b w:val="0"/>
                <w:bCs/>
                <w:color w:val="auto"/>
                <w:sz w:val="21"/>
                <w:szCs w:val="21"/>
                <w:highlight w:val="none"/>
                <w:lang w:eastAsia="zh-TW"/>
              </w:rPr>
            </w:pPr>
            <w:r>
              <w:rPr>
                <w:rFonts w:hint="eastAsia" w:asciiTheme="minorEastAsia" w:hAnsiTheme="minorEastAsia" w:eastAsiaTheme="minorEastAsia" w:cstheme="minorEastAsia"/>
                <w:b w:val="0"/>
                <w:bCs/>
                <w:color w:val="auto"/>
                <w:sz w:val="21"/>
                <w:szCs w:val="21"/>
                <w:highlight w:val="none"/>
                <w:lang w:val="en-US" w:eastAsia="zh-CN"/>
              </w:rPr>
              <w:t>二、</w:t>
            </w:r>
            <w:r>
              <w:rPr>
                <w:rFonts w:hint="eastAsia" w:asciiTheme="minorEastAsia" w:hAnsiTheme="minorEastAsia" w:eastAsiaTheme="minorEastAsia" w:cstheme="minorEastAsia"/>
                <w:b w:val="0"/>
                <w:bCs/>
                <w:color w:val="auto"/>
                <w:sz w:val="21"/>
                <w:szCs w:val="21"/>
                <w:highlight w:val="none"/>
                <w:lang w:eastAsia="zh-TW"/>
              </w:rPr>
              <w:t>投入本项目配送车辆</w:t>
            </w:r>
            <w:r>
              <w:rPr>
                <w:rFonts w:hint="eastAsia" w:asciiTheme="minorEastAsia" w:hAnsiTheme="minorEastAsia" w:eastAsiaTheme="minorEastAsia" w:cstheme="minorEastAsia"/>
                <w:b w:val="0"/>
                <w:bCs/>
                <w:color w:val="auto"/>
                <w:sz w:val="21"/>
                <w:szCs w:val="21"/>
                <w:highlight w:val="none"/>
                <w:lang w:val="en-US" w:eastAsia="zh-CN"/>
              </w:rPr>
              <w:t>为≥2辆的</w:t>
            </w:r>
            <w:r>
              <w:rPr>
                <w:rFonts w:hint="eastAsia" w:asciiTheme="minorEastAsia" w:hAnsiTheme="minorEastAsia" w:eastAsiaTheme="minorEastAsia" w:cstheme="minorEastAsia"/>
                <w:b w:val="0"/>
                <w:bCs/>
                <w:color w:val="auto"/>
                <w:sz w:val="21"/>
                <w:szCs w:val="21"/>
                <w:highlight w:val="none"/>
                <w:lang w:eastAsia="zh-TW"/>
              </w:rPr>
              <w:t>：</w:t>
            </w:r>
          </w:p>
          <w:p w14:paraId="0795D9C9">
            <w:pPr>
              <w:numPr>
                <w:ilvl w:val="0"/>
                <w:numId w:val="0"/>
              </w:numPr>
              <w:tabs>
                <w:tab w:val="left" w:pos="180"/>
                <w:tab w:val="left" w:pos="1620"/>
              </w:tabs>
              <w:spacing w:line="400" w:lineRule="exact"/>
              <w:ind w:firstLine="420" w:firstLineChars="200"/>
              <w:rPr>
                <w:rFonts w:hint="eastAsia" w:asciiTheme="minorEastAsia" w:hAnsiTheme="minorEastAsia" w:eastAsiaTheme="minorEastAsia" w:cstheme="minorEastAsia"/>
                <w:b w:val="0"/>
                <w:bCs/>
                <w:color w:val="auto"/>
                <w:sz w:val="21"/>
                <w:szCs w:val="21"/>
                <w:highlight w:val="none"/>
                <w:lang w:eastAsia="zh-TW"/>
              </w:rPr>
            </w:pPr>
            <w:r>
              <w:rPr>
                <w:rFonts w:hint="eastAsia" w:asciiTheme="minorEastAsia" w:hAnsiTheme="minorEastAsia" w:eastAsiaTheme="minorEastAsia" w:cstheme="minorEastAsia"/>
                <w:b w:val="0"/>
                <w:bCs/>
                <w:color w:val="auto"/>
                <w:sz w:val="21"/>
                <w:szCs w:val="21"/>
                <w:highlight w:val="none"/>
                <w:lang w:val="en-US" w:eastAsia="zh-CN"/>
              </w:rPr>
              <w:t>每提供1辆冷链车得3分；每提供1辆普通配送车</w:t>
            </w:r>
            <w:r>
              <w:rPr>
                <w:rFonts w:hint="eastAsia" w:asciiTheme="minorEastAsia" w:hAnsiTheme="minorEastAsia" w:eastAsiaTheme="minorEastAsia" w:cstheme="minorEastAsia"/>
                <w:b w:val="0"/>
                <w:bCs/>
                <w:color w:val="auto"/>
                <w:sz w:val="21"/>
                <w:szCs w:val="21"/>
                <w:highlight w:val="none"/>
                <w:lang w:eastAsia="zh-CN"/>
              </w:rPr>
              <w:t>（</w:t>
            </w:r>
            <w:r>
              <w:rPr>
                <w:rFonts w:hint="eastAsia" w:asciiTheme="minorEastAsia" w:hAnsiTheme="minorEastAsia" w:eastAsiaTheme="minorEastAsia" w:cstheme="minorEastAsia"/>
                <w:b w:val="0"/>
                <w:bCs/>
                <w:color w:val="auto"/>
                <w:sz w:val="21"/>
                <w:szCs w:val="21"/>
                <w:highlight w:val="none"/>
                <w:lang w:val="en-US" w:eastAsia="zh-CN"/>
              </w:rPr>
              <w:t>非冷链车</w:t>
            </w:r>
            <w:r>
              <w:rPr>
                <w:rFonts w:hint="eastAsia" w:asciiTheme="minorEastAsia" w:hAnsiTheme="minorEastAsia" w:eastAsiaTheme="minorEastAsia" w:cstheme="minorEastAsia"/>
                <w:b w:val="0"/>
                <w:bCs/>
                <w:color w:val="auto"/>
                <w:sz w:val="21"/>
                <w:szCs w:val="21"/>
                <w:highlight w:val="none"/>
                <w:lang w:eastAsia="zh-CN"/>
              </w:rPr>
              <w:t>）</w:t>
            </w:r>
            <w:r>
              <w:rPr>
                <w:rFonts w:hint="eastAsia" w:asciiTheme="minorEastAsia" w:hAnsiTheme="minorEastAsia" w:eastAsiaTheme="minorEastAsia" w:cstheme="minorEastAsia"/>
                <w:b w:val="0"/>
                <w:bCs/>
                <w:color w:val="auto"/>
                <w:sz w:val="21"/>
                <w:szCs w:val="21"/>
                <w:highlight w:val="none"/>
                <w:lang w:eastAsia="zh-TW"/>
              </w:rPr>
              <w:t>得1分，满分</w:t>
            </w:r>
            <w:r>
              <w:rPr>
                <w:rFonts w:hint="eastAsia" w:asciiTheme="minorEastAsia" w:hAnsiTheme="minorEastAsia" w:eastAsiaTheme="minorEastAsia" w:cstheme="minorEastAsia"/>
                <w:b w:val="0"/>
                <w:bCs/>
                <w:color w:val="auto"/>
                <w:sz w:val="21"/>
                <w:szCs w:val="21"/>
                <w:highlight w:val="none"/>
                <w:lang w:val="en-US" w:eastAsia="zh-CN"/>
              </w:rPr>
              <w:t>6</w:t>
            </w:r>
            <w:r>
              <w:rPr>
                <w:rFonts w:hint="eastAsia" w:asciiTheme="minorEastAsia" w:hAnsiTheme="minorEastAsia" w:eastAsiaTheme="minorEastAsia" w:cstheme="minorEastAsia"/>
                <w:b w:val="0"/>
                <w:bCs/>
                <w:color w:val="auto"/>
                <w:sz w:val="21"/>
                <w:szCs w:val="21"/>
                <w:highlight w:val="none"/>
                <w:lang w:eastAsia="zh-TW"/>
              </w:rPr>
              <w:t>分；</w:t>
            </w:r>
          </w:p>
          <w:p w14:paraId="1503F77B">
            <w:pPr>
              <w:keepNext w:val="0"/>
              <w:keepLines w:val="0"/>
              <w:pageBreakBefore w:val="0"/>
              <w:kinsoku/>
              <w:wordWrap/>
              <w:overflowPunct/>
              <w:topLinePunct w:val="0"/>
              <w:autoSpaceDE/>
              <w:autoSpaceDN/>
              <w:bidi w:val="0"/>
              <w:spacing w:line="400" w:lineRule="exact"/>
              <w:ind w:firstLine="420" w:firstLineChars="200"/>
              <w:rPr>
                <w:rFonts w:hint="eastAsia" w:asciiTheme="minorEastAsia" w:hAnsiTheme="minorEastAsia" w:eastAsiaTheme="minorEastAsia" w:cstheme="minorEastAsia"/>
                <w:color w:val="000000"/>
                <w:sz w:val="21"/>
                <w:szCs w:val="21"/>
                <w:highlight w:val="none"/>
              </w:rPr>
            </w:pPr>
            <w:r>
              <w:rPr>
                <w:rFonts w:hint="eastAsia" w:asciiTheme="minorEastAsia" w:hAnsiTheme="minorEastAsia" w:eastAsiaTheme="minorEastAsia" w:cstheme="minorEastAsia"/>
                <w:color w:val="auto"/>
                <w:kern w:val="0"/>
                <w:sz w:val="21"/>
                <w:szCs w:val="21"/>
                <w:highlight w:val="none"/>
                <w:lang w:eastAsia="zh-TW"/>
              </w:rPr>
              <w:t>注：</w:t>
            </w:r>
            <w:r>
              <w:rPr>
                <w:rFonts w:hint="eastAsia" w:asciiTheme="minorEastAsia" w:hAnsiTheme="minorEastAsia" w:eastAsiaTheme="minorEastAsia" w:cstheme="minorEastAsia"/>
                <w:color w:val="auto"/>
                <w:kern w:val="0"/>
                <w:sz w:val="21"/>
                <w:szCs w:val="21"/>
                <w:highlight w:val="none"/>
                <w:lang w:val="en-US" w:eastAsia="zh-CN"/>
              </w:rPr>
              <w:t>按</w:t>
            </w:r>
            <w:r>
              <w:rPr>
                <w:rFonts w:hint="eastAsia" w:asciiTheme="minorEastAsia" w:hAnsiTheme="minorEastAsia" w:eastAsiaTheme="minorEastAsia" w:cstheme="minorEastAsia"/>
                <w:b w:val="0"/>
                <w:bCs/>
                <w:color w:val="auto"/>
                <w:sz w:val="21"/>
                <w:szCs w:val="21"/>
                <w:highlight w:val="none"/>
                <w:lang w:eastAsia="zh-TW"/>
              </w:rPr>
              <w:t>投入本项目配送车辆</w:t>
            </w:r>
            <w:r>
              <w:rPr>
                <w:rFonts w:hint="eastAsia" w:asciiTheme="minorEastAsia" w:hAnsiTheme="minorEastAsia" w:eastAsiaTheme="minorEastAsia" w:cstheme="minorEastAsia"/>
                <w:b w:val="0"/>
                <w:bCs/>
                <w:color w:val="auto"/>
                <w:sz w:val="21"/>
                <w:szCs w:val="21"/>
                <w:highlight w:val="none"/>
                <w:lang w:val="en-US" w:eastAsia="zh-CN"/>
              </w:rPr>
              <w:t>数量相应档次计分。</w:t>
            </w:r>
            <w:r>
              <w:rPr>
                <w:rFonts w:hint="eastAsia" w:asciiTheme="minorEastAsia" w:hAnsiTheme="minorEastAsia" w:eastAsiaTheme="minorEastAsia" w:cstheme="minorEastAsia"/>
                <w:color w:val="auto"/>
                <w:kern w:val="0"/>
                <w:sz w:val="21"/>
                <w:szCs w:val="21"/>
                <w:highlight w:val="none"/>
                <w:lang w:eastAsia="zh-TW"/>
              </w:rPr>
              <w:t>属于自有车辆的</w:t>
            </w:r>
            <w:r>
              <w:rPr>
                <w:rFonts w:hint="eastAsia" w:asciiTheme="minorEastAsia" w:hAnsiTheme="minorEastAsia" w:eastAsiaTheme="minorEastAsia" w:cstheme="minorEastAsia"/>
                <w:color w:val="auto"/>
                <w:kern w:val="0"/>
                <w:sz w:val="21"/>
                <w:szCs w:val="21"/>
                <w:highlight w:val="none"/>
                <w:lang w:eastAsia="zh-CN"/>
              </w:rPr>
              <w:t>（</w:t>
            </w:r>
            <w:r>
              <w:rPr>
                <w:rFonts w:hint="eastAsia" w:asciiTheme="minorEastAsia" w:hAnsiTheme="minorEastAsia" w:eastAsiaTheme="minorEastAsia" w:cstheme="minorEastAsia"/>
                <w:color w:val="auto"/>
                <w:kern w:val="0"/>
                <w:sz w:val="21"/>
                <w:szCs w:val="21"/>
                <w:highlight w:val="none"/>
                <w:lang w:eastAsia="zh-TW"/>
              </w:rPr>
              <w:t>所有人须为</w:t>
            </w:r>
            <w:r>
              <w:rPr>
                <w:rFonts w:hint="eastAsia" w:asciiTheme="minorEastAsia" w:hAnsiTheme="minorEastAsia" w:eastAsiaTheme="minorEastAsia" w:cstheme="minorEastAsia"/>
                <w:color w:val="auto"/>
                <w:kern w:val="0"/>
                <w:sz w:val="21"/>
                <w:szCs w:val="21"/>
                <w:highlight w:val="none"/>
                <w:lang w:val="en-US" w:eastAsia="zh-CN"/>
              </w:rPr>
              <w:t>供应商</w:t>
            </w:r>
            <w:r>
              <w:rPr>
                <w:rFonts w:hint="eastAsia" w:asciiTheme="minorEastAsia" w:hAnsiTheme="minorEastAsia" w:eastAsiaTheme="minorEastAsia" w:cstheme="minorEastAsia"/>
                <w:color w:val="auto"/>
                <w:kern w:val="0"/>
                <w:sz w:val="21"/>
                <w:szCs w:val="21"/>
                <w:highlight w:val="none"/>
                <w:lang w:eastAsia="zh-TW"/>
              </w:rPr>
              <w:t>或法定代表人</w:t>
            </w:r>
            <w:r>
              <w:rPr>
                <w:rFonts w:hint="eastAsia" w:asciiTheme="minorEastAsia" w:hAnsiTheme="minorEastAsia" w:eastAsiaTheme="minorEastAsia" w:cstheme="minorEastAsia"/>
                <w:color w:val="auto"/>
                <w:kern w:val="0"/>
                <w:sz w:val="21"/>
                <w:szCs w:val="21"/>
                <w:highlight w:val="none"/>
                <w:lang w:eastAsia="zh-CN"/>
              </w:rPr>
              <w:t>）</w:t>
            </w:r>
            <w:r>
              <w:rPr>
                <w:rFonts w:hint="eastAsia" w:asciiTheme="minorEastAsia" w:hAnsiTheme="minorEastAsia" w:eastAsiaTheme="minorEastAsia" w:cstheme="minorEastAsia"/>
                <w:color w:val="auto"/>
                <w:kern w:val="0"/>
                <w:sz w:val="21"/>
                <w:szCs w:val="21"/>
                <w:highlight w:val="none"/>
                <w:lang w:eastAsia="zh-TW"/>
              </w:rPr>
              <w:t>，须提供车辆证明材料复印件（包括但不限于：车辆照片、车辆行驶证等清晰的证明材料）并加盖</w:t>
            </w:r>
            <w:r>
              <w:rPr>
                <w:rFonts w:hint="eastAsia" w:asciiTheme="minorEastAsia" w:hAnsiTheme="minorEastAsia" w:eastAsiaTheme="minorEastAsia" w:cstheme="minorEastAsia"/>
                <w:color w:val="auto"/>
                <w:kern w:val="0"/>
                <w:sz w:val="21"/>
                <w:szCs w:val="21"/>
                <w:highlight w:val="none"/>
                <w:lang w:val="en-US" w:eastAsia="zh-CN"/>
              </w:rPr>
              <w:t>供应商</w:t>
            </w:r>
            <w:r>
              <w:rPr>
                <w:rFonts w:hint="eastAsia" w:asciiTheme="minorEastAsia" w:hAnsiTheme="minorEastAsia" w:eastAsiaTheme="minorEastAsia" w:cstheme="minorEastAsia"/>
                <w:color w:val="auto"/>
                <w:kern w:val="0"/>
                <w:sz w:val="21"/>
                <w:szCs w:val="21"/>
                <w:highlight w:val="none"/>
                <w:lang w:eastAsia="zh-TW"/>
              </w:rPr>
              <w:t>公章</w:t>
            </w:r>
            <w:r>
              <w:rPr>
                <w:rFonts w:hint="eastAsia" w:asciiTheme="minorEastAsia" w:hAnsiTheme="minorEastAsia" w:eastAsiaTheme="minorEastAsia" w:cstheme="minorEastAsia"/>
                <w:color w:val="auto"/>
                <w:kern w:val="0"/>
                <w:sz w:val="21"/>
                <w:szCs w:val="21"/>
                <w:highlight w:val="none"/>
                <w:lang w:val="en-US" w:eastAsia="zh-CN"/>
              </w:rPr>
              <w:t>；</w:t>
            </w:r>
            <w:r>
              <w:rPr>
                <w:rFonts w:hint="eastAsia" w:asciiTheme="minorEastAsia" w:hAnsiTheme="minorEastAsia" w:eastAsiaTheme="minorEastAsia" w:cstheme="minorEastAsia"/>
                <w:color w:val="auto"/>
                <w:kern w:val="0"/>
                <w:sz w:val="21"/>
                <w:szCs w:val="21"/>
                <w:highlight w:val="none"/>
                <w:lang w:eastAsia="zh-TW"/>
              </w:rPr>
              <w:t>属于租赁的，须提供租赁合同或其他相关凭证等证明材料并加盖</w:t>
            </w:r>
            <w:r>
              <w:rPr>
                <w:rFonts w:hint="eastAsia" w:asciiTheme="minorEastAsia" w:hAnsiTheme="minorEastAsia" w:eastAsiaTheme="minorEastAsia" w:cstheme="minorEastAsia"/>
                <w:color w:val="auto"/>
                <w:kern w:val="0"/>
                <w:sz w:val="21"/>
                <w:szCs w:val="21"/>
                <w:highlight w:val="none"/>
                <w:lang w:val="en-US" w:eastAsia="zh-CN"/>
              </w:rPr>
              <w:t>供应商</w:t>
            </w:r>
            <w:r>
              <w:rPr>
                <w:rFonts w:hint="eastAsia" w:asciiTheme="minorEastAsia" w:hAnsiTheme="minorEastAsia" w:eastAsiaTheme="minorEastAsia" w:cstheme="minorEastAsia"/>
                <w:color w:val="auto"/>
                <w:kern w:val="0"/>
                <w:sz w:val="21"/>
                <w:szCs w:val="21"/>
                <w:highlight w:val="none"/>
                <w:lang w:eastAsia="zh-TW"/>
              </w:rPr>
              <w:t>公章，否则不得分。）</w:t>
            </w:r>
          </w:p>
        </w:tc>
      </w:tr>
      <w:tr w14:paraId="7C594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5" w:hRule="atLeast"/>
          <w:jc w:val="center"/>
        </w:trPr>
        <w:tc>
          <w:tcPr>
            <w:tcW w:w="520" w:type="dxa"/>
            <w:vMerge w:val="continue"/>
            <w:noWrap w:val="0"/>
            <w:vAlign w:val="center"/>
          </w:tcPr>
          <w:p w14:paraId="6E4877DA">
            <w:pPr>
              <w:keepNext w:val="0"/>
              <w:keepLines w:val="0"/>
              <w:pageBreakBefore w:val="0"/>
              <w:kinsoku/>
              <w:wordWrap/>
              <w:overflowPunct/>
              <w:topLinePunct w:val="0"/>
              <w:autoSpaceDE/>
              <w:autoSpaceDN/>
              <w:bidi w:val="0"/>
              <w:snapToGrid w:val="0"/>
              <w:spacing w:line="400" w:lineRule="exact"/>
              <w:jc w:val="center"/>
              <w:rPr>
                <w:rFonts w:hint="eastAsia" w:asciiTheme="minorEastAsia" w:hAnsiTheme="minorEastAsia" w:eastAsiaTheme="minorEastAsia" w:cstheme="minorEastAsia"/>
                <w:sz w:val="21"/>
                <w:szCs w:val="21"/>
              </w:rPr>
            </w:pPr>
          </w:p>
        </w:tc>
        <w:tc>
          <w:tcPr>
            <w:tcW w:w="1262" w:type="dxa"/>
            <w:vMerge w:val="continue"/>
            <w:noWrap w:val="0"/>
            <w:vAlign w:val="center"/>
          </w:tcPr>
          <w:p w14:paraId="0233D4F6">
            <w:pPr>
              <w:keepNext w:val="0"/>
              <w:keepLines w:val="0"/>
              <w:pageBreakBefore w:val="0"/>
              <w:kinsoku/>
              <w:wordWrap/>
              <w:overflowPunct/>
              <w:topLinePunct w:val="0"/>
              <w:autoSpaceDE/>
              <w:autoSpaceDN/>
              <w:bidi w:val="0"/>
              <w:snapToGrid w:val="0"/>
              <w:spacing w:line="400" w:lineRule="exact"/>
              <w:jc w:val="center"/>
              <w:rPr>
                <w:rFonts w:hint="eastAsia" w:asciiTheme="minorEastAsia" w:hAnsiTheme="minorEastAsia" w:eastAsiaTheme="minorEastAsia" w:cstheme="minorEastAsia"/>
                <w:sz w:val="21"/>
                <w:szCs w:val="21"/>
              </w:rPr>
            </w:pPr>
          </w:p>
        </w:tc>
        <w:tc>
          <w:tcPr>
            <w:tcW w:w="1399" w:type="dxa"/>
            <w:noWrap w:val="0"/>
            <w:vAlign w:val="center"/>
          </w:tcPr>
          <w:p w14:paraId="7934BFA0">
            <w:pPr>
              <w:keepNext w:val="0"/>
              <w:keepLines w:val="0"/>
              <w:pageBreakBefore w:val="0"/>
              <w:kinsoku/>
              <w:wordWrap/>
              <w:overflowPunct/>
              <w:topLinePunct w:val="0"/>
              <w:autoSpaceDE/>
              <w:autoSpaceDN/>
              <w:bidi w:val="0"/>
              <w:snapToGrid w:val="0"/>
              <w:spacing w:line="40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3.2业绩分（满分</w:t>
            </w:r>
            <w:r>
              <w:rPr>
                <w:rFonts w:hint="eastAsia" w:asciiTheme="minorEastAsia" w:hAnsiTheme="minorEastAsia" w:eastAsiaTheme="minorEastAsia" w:cstheme="minorEastAsia"/>
                <w:sz w:val="21"/>
                <w:szCs w:val="21"/>
                <w:lang w:val="en-US" w:eastAsia="zh-CN"/>
              </w:rPr>
              <w:t>6</w:t>
            </w:r>
            <w:r>
              <w:rPr>
                <w:rFonts w:hint="eastAsia" w:asciiTheme="minorEastAsia" w:hAnsiTheme="minorEastAsia" w:eastAsiaTheme="minorEastAsia" w:cstheme="minorEastAsia"/>
                <w:sz w:val="21"/>
                <w:szCs w:val="21"/>
              </w:rPr>
              <w:t>分）</w:t>
            </w:r>
          </w:p>
        </w:tc>
        <w:tc>
          <w:tcPr>
            <w:tcW w:w="5962" w:type="dxa"/>
            <w:noWrap w:val="0"/>
            <w:vAlign w:val="center"/>
          </w:tcPr>
          <w:p w14:paraId="6EA0073F">
            <w:pPr>
              <w:pStyle w:val="23"/>
              <w:keepNext w:val="0"/>
              <w:keepLines w:val="0"/>
              <w:pageBreakBefore w:val="0"/>
              <w:kinsoku/>
              <w:wordWrap/>
              <w:overflowPunct/>
              <w:topLinePunct w:val="0"/>
              <w:autoSpaceDE/>
              <w:autoSpaceDN/>
              <w:bidi w:val="0"/>
              <w:spacing w:line="400" w:lineRule="exact"/>
              <w:ind w:firstLine="420" w:firstLineChars="200"/>
              <w:jc w:val="both"/>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bCs/>
                <w:color w:val="auto"/>
                <w:kern w:val="0"/>
                <w:sz w:val="21"/>
                <w:szCs w:val="21"/>
                <w:highlight w:val="none"/>
                <w:lang w:val="en-US" w:eastAsia="zh-CN"/>
              </w:rPr>
              <w:t>供应商</w:t>
            </w:r>
            <w:r>
              <w:rPr>
                <w:rFonts w:hint="eastAsia" w:asciiTheme="minorEastAsia" w:hAnsiTheme="minorEastAsia" w:eastAsiaTheme="minorEastAsia" w:cstheme="minorEastAsia"/>
                <w:bCs/>
                <w:color w:val="auto"/>
                <w:kern w:val="0"/>
                <w:sz w:val="21"/>
                <w:szCs w:val="21"/>
                <w:highlight w:val="none"/>
              </w:rPr>
              <w:t>自2023年</w:t>
            </w:r>
            <w:r>
              <w:rPr>
                <w:rFonts w:hint="eastAsia" w:asciiTheme="minorEastAsia" w:hAnsiTheme="minorEastAsia" w:eastAsiaTheme="minorEastAsia" w:cstheme="minorEastAsia"/>
                <w:bCs/>
                <w:color w:val="auto"/>
                <w:kern w:val="0"/>
                <w:sz w:val="21"/>
                <w:szCs w:val="21"/>
                <w:highlight w:val="none"/>
                <w:lang w:val="en-US" w:eastAsia="zh-CN"/>
              </w:rPr>
              <w:t>1月1日</w:t>
            </w:r>
            <w:r>
              <w:rPr>
                <w:rFonts w:hint="eastAsia" w:asciiTheme="minorEastAsia" w:hAnsiTheme="minorEastAsia" w:eastAsiaTheme="minorEastAsia" w:cstheme="minorEastAsia"/>
                <w:bCs/>
                <w:color w:val="auto"/>
                <w:kern w:val="0"/>
                <w:sz w:val="21"/>
                <w:szCs w:val="21"/>
                <w:highlight w:val="none"/>
              </w:rPr>
              <w:t>以来</w:t>
            </w:r>
            <w:r>
              <w:rPr>
                <w:rFonts w:hint="eastAsia" w:asciiTheme="minorEastAsia" w:hAnsiTheme="minorEastAsia" w:eastAsiaTheme="minorEastAsia" w:cstheme="minorEastAsia"/>
                <w:bCs/>
                <w:color w:val="auto"/>
                <w:kern w:val="0"/>
                <w:sz w:val="21"/>
                <w:szCs w:val="21"/>
                <w:highlight w:val="none"/>
                <w:lang w:val="en-US" w:eastAsia="zh-CN"/>
              </w:rPr>
              <w:t>有鸡蛋</w:t>
            </w:r>
            <w:r>
              <w:rPr>
                <w:rFonts w:hint="eastAsia" w:asciiTheme="minorEastAsia" w:hAnsiTheme="minorEastAsia" w:eastAsiaTheme="minorEastAsia" w:cstheme="minorEastAsia"/>
                <w:bCs/>
                <w:color w:val="auto"/>
                <w:kern w:val="0"/>
                <w:sz w:val="21"/>
                <w:szCs w:val="21"/>
                <w:highlight w:val="none"/>
              </w:rPr>
              <w:t>配送项目业绩的，每</w:t>
            </w:r>
            <w:r>
              <w:rPr>
                <w:rFonts w:hint="eastAsia" w:asciiTheme="minorEastAsia" w:hAnsiTheme="minorEastAsia" w:eastAsiaTheme="minorEastAsia" w:cstheme="minorEastAsia"/>
                <w:bCs/>
                <w:color w:val="auto"/>
                <w:kern w:val="0"/>
                <w:sz w:val="21"/>
                <w:szCs w:val="21"/>
                <w:highlight w:val="none"/>
                <w:lang w:eastAsia="zh-CN"/>
              </w:rPr>
              <w:t>个</w:t>
            </w:r>
            <w:r>
              <w:rPr>
                <w:rFonts w:hint="eastAsia" w:asciiTheme="minorEastAsia" w:hAnsiTheme="minorEastAsia" w:eastAsiaTheme="minorEastAsia" w:cstheme="minorEastAsia"/>
                <w:bCs/>
                <w:color w:val="auto"/>
                <w:kern w:val="0"/>
                <w:sz w:val="21"/>
                <w:szCs w:val="21"/>
                <w:highlight w:val="none"/>
                <w:lang w:val="en-US" w:eastAsia="zh-CN"/>
              </w:rPr>
              <w:t>得1</w:t>
            </w:r>
            <w:r>
              <w:rPr>
                <w:rFonts w:hint="eastAsia" w:asciiTheme="minorEastAsia" w:hAnsiTheme="minorEastAsia" w:eastAsiaTheme="minorEastAsia" w:cstheme="minorEastAsia"/>
                <w:bCs/>
                <w:color w:val="auto"/>
                <w:kern w:val="0"/>
                <w:sz w:val="21"/>
                <w:szCs w:val="21"/>
                <w:highlight w:val="none"/>
              </w:rPr>
              <w:t>分，满分</w:t>
            </w:r>
            <w:r>
              <w:rPr>
                <w:rFonts w:hint="eastAsia" w:asciiTheme="minorEastAsia" w:hAnsiTheme="minorEastAsia" w:eastAsiaTheme="minorEastAsia" w:cstheme="minorEastAsia"/>
                <w:bCs/>
                <w:color w:val="auto"/>
                <w:kern w:val="0"/>
                <w:sz w:val="21"/>
                <w:szCs w:val="21"/>
                <w:highlight w:val="none"/>
                <w:lang w:val="en-US" w:eastAsia="zh-CN"/>
              </w:rPr>
              <w:t>6</w:t>
            </w:r>
            <w:r>
              <w:rPr>
                <w:rFonts w:hint="eastAsia" w:asciiTheme="minorEastAsia" w:hAnsiTheme="minorEastAsia" w:eastAsiaTheme="minorEastAsia" w:cstheme="minorEastAsia"/>
                <w:bCs/>
                <w:color w:val="auto"/>
                <w:kern w:val="0"/>
                <w:sz w:val="21"/>
                <w:szCs w:val="21"/>
                <w:highlight w:val="none"/>
              </w:rPr>
              <w:t>分。（同一个单位多个业绩只算一个。提供业绩合同或中标（成交）通知书复印件加盖</w:t>
            </w:r>
            <w:r>
              <w:rPr>
                <w:rFonts w:hint="eastAsia" w:asciiTheme="minorEastAsia" w:hAnsiTheme="minorEastAsia" w:eastAsiaTheme="minorEastAsia" w:cstheme="minorEastAsia"/>
                <w:color w:val="auto"/>
                <w:kern w:val="0"/>
                <w:sz w:val="21"/>
                <w:szCs w:val="21"/>
                <w:highlight w:val="none"/>
                <w:lang w:val="en-US" w:eastAsia="zh-CN"/>
              </w:rPr>
              <w:t>供应商</w:t>
            </w:r>
            <w:r>
              <w:rPr>
                <w:rFonts w:hint="eastAsia" w:asciiTheme="minorEastAsia" w:hAnsiTheme="minorEastAsia" w:eastAsiaTheme="minorEastAsia" w:cstheme="minorEastAsia"/>
                <w:bCs/>
                <w:color w:val="auto"/>
                <w:kern w:val="0"/>
                <w:sz w:val="21"/>
                <w:szCs w:val="21"/>
                <w:highlight w:val="none"/>
              </w:rPr>
              <w:t>公章，</w:t>
            </w:r>
            <w:r>
              <w:rPr>
                <w:rFonts w:hint="eastAsia" w:asciiTheme="minorEastAsia" w:hAnsiTheme="minorEastAsia" w:eastAsiaTheme="minorEastAsia" w:cstheme="minorEastAsia"/>
                <w:color w:val="auto"/>
                <w:kern w:val="0"/>
                <w:sz w:val="21"/>
                <w:szCs w:val="21"/>
                <w:highlight w:val="none"/>
                <w:lang w:eastAsia="zh-TW"/>
              </w:rPr>
              <w:t>否则不得分</w:t>
            </w:r>
            <w:r>
              <w:rPr>
                <w:rFonts w:hint="eastAsia" w:asciiTheme="minorEastAsia" w:hAnsiTheme="minorEastAsia" w:eastAsiaTheme="minorEastAsia" w:cstheme="minorEastAsia"/>
                <w:bCs/>
                <w:color w:val="auto"/>
                <w:kern w:val="0"/>
                <w:sz w:val="21"/>
                <w:szCs w:val="21"/>
                <w:highlight w:val="none"/>
              </w:rPr>
              <w:t>。）</w:t>
            </w:r>
          </w:p>
        </w:tc>
      </w:tr>
      <w:tr w14:paraId="1284A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5" w:hRule="atLeast"/>
          <w:jc w:val="center"/>
        </w:trPr>
        <w:tc>
          <w:tcPr>
            <w:tcW w:w="520" w:type="dxa"/>
            <w:vMerge w:val="continue"/>
            <w:noWrap w:val="0"/>
            <w:vAlign w:val="center"/>
          </w:tcPr>
          <w:p w14:paraId="0A7B0ACC">
            <w:pPr>
              <w:keepNext w:val="0"/>
              <w:keepLines w:val="0"/>
              <w:pageBreakBefore w:val="0"/>
              <w:kinsoku/>
              <w:wordWrap/>
              <w:overflowPunct/>
              <w:topLinePunct w:val="0"/>
              <w:autoSpaceDE/>
              <w:autoSpaceDN/>
              <w:bidi w:val="0"/>
              <w:snapToGrid w:val="0"/>
              <w:spacing w:line="400" w:lineRule="exact"/>
              <w:jc w:val="center"/>
              <w:rPr>
                <w:rFonts w:hint="eastAsia" w:asciiTheme="minorEastAsia" w:hAnsiTheme="minorEastAsia" w:eastAsiaTheme="minorEastAsia" w:cstheme="minorEastAsia"/>
                <w:sz w:val="21"/>
                <w:szCs w:val="21"/>
              </w:rPr>
            </w:pPr>
          </w:p>
        </w:tc>
        <w:tc>
          <w:tcPr>
            <w:tcW w:w="1262" w:type="dxa"/>
            <w:vMerge w:val="continue"/>
            <w:noWrap w:val="0"/>
            <w:vAlign w:val="center"/>
          </w:tcPr>
          <w:p w14:paraId="3A3F76D7">
            <w:pPr>
              <w:keepNext w:val="0"/>
              <w:keepLines w:val="0"/>
              <w:pageBreakBefore w:val="0"/>
              <w:kinsoku/>
              <w:wordWrap/>
              <w:overflowPunct/>
              <w:topLinePunct w:val="0"/>
              <w:autoSpaceDE/>
              <w:autoSpaceDN/>
              <w:bidi w:val="0"/>
              <w:snapToGrid w:val="0"/>
              <w:spacing w:line="400" w:lineRule="exact"/>
              <w:jc w:val="center"/>
              <w:rPr>
                <w:rFonts w:hint="eastAsia" w:asciiTheme="minorEastAsia" w:hAnsiTheme="minorEastAsia" w:eastAsiaTheme="minorEastAsia" w:cstheme="minorEastAsia"/>
                <w:sz w:val="21"/>
                <w:szCs w:val="21"/>
              </w:rPr>
            </w:pPr>
          </w:p>
        </w:tc>
        <w:tc>
          <w:tcPr>
            <w:tcW w:w="1399" w:type="dxa"/>
            <w:noWrap w:val="0"/>
            <w:vAlign w:val="center"/>
          </w:tcPr>
          <w:p w14:paraId="350FC408">
            <w:pPr>
              <w:keepNext w:val="0"/>
              <w:keepLines w:val="0"/>
              <w:pageBreakBefore w:val="0"/>
              <w:kinsoku/>
              <w:wordWrap/>
              <w:overflowPunct/>
              <w:topLinePunct w:val="0"/>
              <w:autoSpaceDE/>
              <w:autoSpaceDN/>
              <w:bidi w:val="0"/>
              <w:snapToGrid w:val="0"/>
              <w:spacing w:line="400" w:lineRule="exact"/>
              <w:jc w:val="center"/>
              <w:rPr>
                <w:rFonts w:hint="default"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3.3信誉分（满分5分）</w:t>
            </w:r>
          </w:p>
        </w:tc>
        <w:tc>
          <w:tcPr>
            <w:tcW w:w="5962" w:type="dxa"/>
            <w:noWrap w:val="0"/>
            <w:vAlign w:val="center"/>
          </w:tcPr>
          <w:p w14:paraId="3B34ACFC">
            <w:pPr>
              <w:pStyle w:val="14"/>
              <w:spacing w:line="400" w:lineRule="exact"/>
              <w:ind w:firstLine="630" w:firstLineChars="300"/>
              <w:rPr>
                <w:rFonts w:hint="eastAsia"/>
                <w:lang w:val="en-US" w:eastAsia="zh-CN"/>
              </w:rPr>
            </w:pPr>
            <w:r>
              <w:rPr>
                <w:rFonts w:hint="eastAsia"/>
              </w:rPr>
              <w:t>供应商具有有效的食品安全管理体系认证（ISO22000或GB/T22000）或者环境管理体系认证（ISO14001或GB/T24001）或者质量管理体系认证（ISO9001或GB/T19001）或职业健康安全管理体系（ISO 45001或GB/T 45001）认证证书或HACCP危害分析与关键控制点体系认证证书的，每个证书得1分，满分5分。</w:t>
            </w:r>
          </w:p>
          <w:p w14:paraId="7C5C63FA">
            <w:pPr>
              <w:pStyle w:val="14"/>
              <w:spacing w:line="400" w:lineRule="exact"/>
              <w:ind w:firstLine="420" w:firstLineChars="200"/>
              <w:rPr>
                <w:rFonts w:hint="default" w:eastAsia="宋体" w:asciiTheme="minorEastAsia" w:hAnsiTheme="minorEastAsia" w:cstheme="minorEastAsia"/>
                <w:bCs/>
                <w:color w:val="auto"/>
                <w:kern w:val="0"/>
                <w:sz w:val="21"/>
                <w:szCs w:val="21"/>
                <w:highlight w:val="none"/>
                <w:lang w:val="en-US" w:eastAsia="zh-CN"/>
              </w:rPr>
            </w:pPr>
            <w:r>
              <w:rPr>
                <w:rFonts w:hint="eastAsia"/>
                <w:lang w:val="en-US" w:eastAsia="zh-CN"/>
              </w:rPr>
              <w:t>注：需提供有效认证证书复印件及提供上述证书对应的在全国认证认可信息公共服务平台上(http://x.gncacn)查询结果的截图，并加盖供应商电子公章，非中文文本的请提供中文翻译文本，不提供或证书状态非“有效”均不得分。</w:t>
            </w:r>
          </w:p>
        </w:tc>
      </w:tr>
      <w:tr w14:paraId="0C6FB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520" w:type="dxa"/>
            <w:vMerge w:val="continue"/>
            <w:noWrap w:val="0"/>
            <w:vAlign w:val="center"/>
          </w:tcPr>
          <w:p w14:paraId="110E2624">
            <w:pPr>
              <w:keepNext w:val="0"/>
              <w:keepLines w:val="0"/>
              <w:pageBreakBefore w:val="0"/>
              <w:kinsoku/>
              <w:wordWrap/>
              <w:overflowPunct/>
              <w:topLinePunct w:val="0"/>
              <w:autoSpaceDE/>
              <w:autoSpaceDN/>
              <w:bidi w:val="0"/>
              <w:snapToGrid w:val="0"/>
              <w:spacing w:line="400" w:lineRule="exact"/>
              <w:jc w:val="center"/>
              <w:rPr>
                <w:rFonts w:hint="eastAsia" w:asciiTheme="minorEastAsia" w:hAnsiTheme="minorEastAsia" w:eastAsiaTheme="minorEastAsia" w:cstheme="minorEastAsia"/>
                <w:sz w:val="21"/>
                <w:szCs w:val="21"/>
              </w:rPr>
            </w:pPr>
          </w:p>
        </w:tc>
        <w:tc>
          <w:tcPr>
            <w:tcW w:w="1262" w:type="dxa"/>
            <w:vMerge w:val="continue"/>
            <w:noWrap w:val="0"/>
            <w:vAlign w:val="center"/>
          </w:tcPr>
          <w:p w14:paraId="4331F027">
            <w:pPr>
              <w:keepNext w:val="0"/>
              <w:keepLines w:val="0"/>
              <w:pageBreakBefore w:val="0"/>
              <w:kinsoku/>
              <w:wordWrap/>
              <w:overflowPunct/>
              <w:topLinePunct w:val="0"/>
              <w:autoSpaceDE/>
              <w:autoSpaceDN/>
              <w:bidi w:val="0"/>
              <w:snapToGrid w:val="0"/>
              <w:spacing w:line="400" w:lineRule="exact"/>
              <w:jc w:val="center"/>
              <w:rPr>
                <w:rFonts w:hint="eastAsia" w:asciiTheme="minorEastAsia" w:hAnsiTheme="minorEastAsia" w:eastAsiaTheme="minorEastAsia" w:cstheme="minorEastAsia"/>
                <w:sz w:val="21"/>
                <w:szCs w:val="21"/>
              </w:rPr>
            </w:pPr>
          </w:p>
        </w:tc>
        <w:tc>
          <w:tcPr>
            <w:tcW w:w="1399" w:type="dxa"/>
            <w:noWrap w:val="0"/>
            <w:vAlign w:val="center"/>
          </w:tcPr>
          <w:p w14:paraId="1F70A50A">
            <w:pPr>
              <w:keepNext w:val="0"/>
              <w:keepLines w:val="0"/>
              <w:pageBreakBefore w:val="0"/>
              <w:kinsoku/>
              <w:wordWrap/>
              <w:overflowPunct/>
              <w:topLinePunct w:val="0"/>
              <w:autoSpaceDE/>
              <w:autoSpaceDN/>
              <w:bidi w:val="0"/>
              <w:snapToGrid w:val="0"/>
              <w:spacing w:line="40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w:t>
            </w:r>
            <w:r>
              <w:rPr>
                <w:rFonts w:hint="eastAsia" w:asciiTheme="minorEastAsia" w:hAnsiTheme="minorEastAsia" w:eastAsiaTheme="minorEastAsia" w:cstheme="minorEastAsia"/>
                <w:sz w:val="21"/>
                <w:szCs w:val="21"/>
                <w:lang w:val="en-US" w:eastAsia="zh-CN"/>
              </w:rPr>
              <w:t>4产品安全分</w:t>
            </w:r>
            <w:r>
              <w:rPr>
                <w:rFonts w:hint="eastAsia" w:asciiTheme="minorEastAsia" w:hAnsiTheme="minorEastAsia" w:eastAsiaTheme="minorEastAsia" w:cstheme="minorEastAsia"/>
                <w:sz w:val="21"/>
                <w:szCs w:val="21"/>
              </w:rPr>
              <w:t>（满分</w:t>
            </w:r>
            <w:r>
              <w:rPr>
                <w:rFonts w:hint="eastAsia" w:asciiTheme="minorEastAsia" w:hAnsiTheme="minorEastAsia" w:eastAsiaTheme="minorEastAsia" w:cstheme="minorEastAsia"/>
                <w:sz w:val="21"/>
                <w:szCs w:val="21"/>
                <w:lang w:val="en-US" w:eastAsia="zh-CN"/>
              </w:rPr>
              <w:t>4</w:t>
            </w:r>
            <w:r>
              <w:rPr>
                <w:rFonts w:hint="eastAsia" w:asciiTheme="minorEastAsia" w:hAnsiTheme="minorEastAsia" w:eastAsiaTheme="minorEastAsia" w:cstheme="minorEastAsia"/>
                <w:sz w:val="21"/>
                <w:szCs w:val="21"/>
              </w:rPr>
              <w:t>分）</w:t>
            </w:r>
          </w:p>
        </w:tc>
        <w:tc>
          <w:tcPr>
            <w:tcW w:w="5962" w:type="dxa"/>
            <w:noWrap w:val="0"/>
            <w:vAlign w:val="center"/>
          </w:tcPr>
          <w:p w14:paraId="03193EE2">
            <w:pPr>
              <w:pStyle w:val="23"/>
              <w:keepNext w:val="0"/>
              <w:keepLines w:val="0"/>
              <w:pageBreakBefore w:val="0"/>
              <w:numPr>
                <w:ilvl w:val="0"/>
                <w:numId w:val="0"/>
              </w:numPr>
              <w:kinsoku/>
              <w:wordWrap/>
              <w:overflowPunct/>
              <w:topLinePunct w:val="0"/>
              <w:autoSpaceDE/>
              <w:autoSpaceDN/>
              <w:bidi w:val="0"/>
              <w:spacing w:line="400" w:lineRule="exact"/>
              <w:ind w:firstLine="0" w:firstLineChars="0"/>
              <w:jc w:val="both"/>
              <w:rPr>
                <w:rFonts w:hint="eastAsia" w:asciiTheme="minorEastAsia" w:hAnsiTheme="minorEastAsia" w:eastAsiaTheme="minorEastAsia" w:cstheme="minorEastAsia"/>
                <w:sz w:val="21"/>
                <w:szCs w:val="21"/>
              </w:rPr>
            </w:pPr>
            <w:r>
              <w:rPr>
                <w:rFonts w:hint="eastAsia"/>
                <w:lang w:val="en-US" w:eastAsia="zh-CN"/>
              </w:rPr>
              <w:t xml:space="preserve">     </w:t>
            </w:r>
            <w:r>
              <w:rPr>
                <w:rFonts w:hint="eastAsia" w:asciiTheme="minorEastAsia" w:hAnsiTheme="minorEastAsia" w:eastAsiaTheme="minorEastAsia" w:cstheme="minorEastAsia"/>
                <w:sz w:val="21"/>
                <w:szCs w:val="21"/>
              </w:rPr>
              <w:t xml:space="preserve"> 供应商提供截标时间前近1年内由CMA/CNAS第三方出具的检测报告</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此项满分4分</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lang w:val="en-US" w:eastAsia="zh-CN"/>
              </w:rPr>
              <w:t>以下检测项目每个合格得1分</w:t>
            </w:r>
            <w:r>
              <w:rPr>
                <w:rFonts w:hint="eastAsia" w:asciiTheme="minorEastAsia" w:hAnsiTheme="minorEastAsia" w:eastAsiaTheme="minorEastAsia" w:cstheme="minorEastAsia"/>
                <w:sz w:val="21"/>
                <w:szCs w:val="21"/>
              </w:rPr>
              <w:t>：</w:t>
            </w:r>
          </w:p>
          <w:p w14:paraId="111C2927">
            <w:pPr>
              <w:pStyle w:val="23"/>
              <w:keepNext w:val="0"/>
              <w:keepLines w:val="0"/>
              <w:pageBreakBefore w:val="0"/>
              <w:numPr>
                <w:ilvl w:val="0"/>
                <w:numId w:val="0"/>
              </w:numPr>
              <w:kinsoku/>
              <w:wordWrap/>
              <w:overflowPunct/>
              <w:topLinePunct w:val="0"/>
              <w:autoSpaceDE/>
              <w:autoSpaceDN/>
              <w:bidi w:val="0"/>
              <w:spacing w:line="400" w:lineRule="exact"/>
              <w:ind w:firstLine="0" w:firstLineChars="0"/>
              <w:jc w:val="both"/>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（1）报告涵盖氟苯尼考检测合格（检测依据GB31658.2-2022），得 1 分；</w:t>
            </w:r>
          </w:p>
          <w:p w14:paraId="44ED59F9">
            <w:pPr>
              <w:pStyle w:val="23"/>
              <w:keepNext w:val="0"/>
              <w:keepLines w:val="0"/>
              <w:pageBreakBefore w:val="0"/>
              <w:numPr>
                <w:ilvl w:val="0"/>
                <w:numId w:val="0"/>
              </w:numPr>
              <w:kinsoku/>
              <w:wordWrap/>
              <w:overflowPunct/>
              <w:topLinePunct w:val="0"/>
              <w:autoSpaceDE/>
              <w:autoSpaceDN/>
              <w:bidi w:val="0"/>
              <w:spacing w:line="400" w:lineRule="exact"/>
              <w:ind w:firstLine="0" w:firstLineChars="0"/>
              <w:jc w:val="both"/>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（2）新增恩诺沙星检测合格（检测依据GB/T 21312-2007），加 1 分；</w:t>
            </w:r>
          </w:p>
          <w:p w14:paraId="2B5A4E4E">
            <w:pPr>
              <w:pStyle w:val="23"/>
              <w:keepNext w:val="0"/>
              <w:keepLines w:val="0"/>
              <w:pageBreakBefore w:val="0"/>
              <w:numPr>
                <w:ilvl w:val="0"/>
                <w:numId w:val="0"/>
              </w:numPr>
              <w:kinsoku/>
              <w:wordWrap/>
              <w:overflowPunct/>
              <w:topLinePunct w:val="0"/>
              <w:autoSpaceDE/>
              <w:autoSpaceDN/>
              <w:bidi w:val="0"/>
              <w:spacing w:line="400" w:lineRule="exact"/>
              <w:ind w:firstLine="0" w:firstLineChars="0"/>
              <w:jc w:val="both"/>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（3）再包含磺胺类（总量）检测合格（农业部1025号公告-23-2008），加 1 分；</w:t>
            </w:r>
          </w:p>
          <w:p w14:paraId="26E15A31">
            <w:pPr>
              <w:pStyle w:val="23"/>
              <w:keepNext w:val="0"/>
              <w:keepLines w:val="0"/>
              <w:pageBreakBefore w:val="0"/>
              <w:numPr>
                <w:ilvl w:val="0"/>
                <w:numId w:val="0"/>
              </w:numPr>
              <w:kinsoku/>
              <w:wordWrap/>
              <w:overflowPunct/>
              <w:topLinePunct w:val="0"/>
              <w:autoSpaceDE/>
              <w:autoSpaceDN/>
              <w:bidi w:val="0"/>
              <w:spacing w:line="400" w:lineRule="exact"/>
              <w:ind w:firstLine="0" w:firstLineChars="0"/>
              <w:jc w:val="both"/>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（4）报告涵盖多西环素检测合格（检测依据GB31659.2-2022），得 1 分。</w:t>
            </w:r>
          </w:p>
          <w:p w14:paraId="412D6AE2">
            <w:pPr>
              <w:keepNext w:val="0"/>
              <w:keepLines w:val="0"/>
              <w:pageBreakBefore w:val="0"/>
              <w:kinsoku/>
              <w:wordWrap/>
              <w:overflowPunct/>
              <w:topLinePunct w:val="0"/>
              <w:autoSpaceDE/>
              <w:autoSpaceDN/>
              <w:bidi w:val="0"/>
              <w:spacing w:line="400" w:lineRule="exact"/>
              <w:ind w:firstLine="420" w:firstLineChars="200"/>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sz w:val="21"/>
                <w:szCs w:val="21"/>
              </w:rPr>
              <w:t>注：检测报告所检产品须与本次投标产品为同品牌、同规格的鸡蛋制品，响应文件中提供检测报告复印件并加盖供应商公章，否则不予计分。</w:t>
            </w:r>
          </w:p>
        </w:tc>
      </w:tr>
      <w:tr w14:paraId="13472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9" w:hRule="atLeast"/>
          <w:jc w:val="center"/>
        </w:trPr>
        <w:tc>
          <w:tcPr>
            <w:tcW w:w="9143" w:type="dxa"/>
            <w:gridSpan w:val="4"/>
            <w:noWrap w:val="0"/>
            <w:vAlign w:val="center"/>
          </w:tcPr>
          <w:p w14:paraId="2C9179D5">
            <w:pPr>
              <w:pStyle w:val="19"/>
              <w:keepNext w:val="0"/>
              <w:keepLines w:val="0"/>
              <w:pageBreakBefore w:val="0"/>
              <w:kinsoku/>
              <w:wordWrap/>
              <w:overflowPunct/>
              <w:topLinePunct w:val="0"/>
              <w:autoSpaceDE/>
              <w:autoSpaceDN/>
              <w:bidi w:val="0"/>
              <w:snapToGrid w:val="0"/>
              <w:spacing w:line="400" w:lineRule="exact"/>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总得分=1+2+3</w:t>
            </w:r>
          </w:p>
        </w:tc>
      </w:tr>
      <w:bookmarkEnd w:id="27"/>
    </w:tbl>
    <w:p w14:paraId="48CFA691">
      <w:pPr>
        <w:spacing w:line="360" w:lineRule="auto"/>
        <w:ind w:firstLine="420" w:firstLineChars="200"/>
        <w:rPr>
          <w:rFonts w:hint="eastAsia" w:ascii="宋体" w:hAnsi="宋体"/>
          <w:bCs/>
          <w:color w:val="auto"/>
          <w:szCs w:val="21"/>
          <w:highlight w:val="none"/>
        </w:rPr>
      </w:pPr>
      <w:r>
        <w:rPr>
          <w:rFonts w:hint="eastAsia" w:ascii="宋体" w:hAnsi="宋体"/>
          <w:bCs/>
          <w:color w:val="auto"/>
          <w:szCs w:val="21"/>
          <w:highlight w:val="none"/>
        </w:rPr>
        <w:t>6.2商务技术评审因素为客观评分项的，应在评分项目或评分标准中予以标注为“客观分”。对供应商的客观评分项目，各评审专家评分应当一致。</w:t>
      </w:r>
    </w:p>
    <w:p w14:paraId="0CD9F689">
      <w:pPr>
        <w:spacing w:line="360" w:lineRule="auto"/>
        <w:ind w:firstLine="420" w:firstLineChars="200"/>
        <w:rPr>
          <w:rFonts w:hint="eastAsia" w:ascii="宋体" w:hAnsi="宋体"/>
          <w:bCs/>
          <w:color w:val="auto"/>
          <w:szCs w:val="21"/>
          <w:highlight w:val="none"/>
        </w:rPr>
      </w:pPr>
      <w:r>
        <w:rPr>
          <w:rFonts w:hint="eastAsia" w:ascii="宋体" w:hAnsi="宋体"/>
          <w:bCs/>
          <w:color w:val="auto"/>
          <w:szCs w:val="21"/>
          <w:highlight w:val="none"/>
        </w:rPr>
        <w:t>6.3终止竞争性磋商采购活动</w:t>
      </w:r>
    </w:p>
    <w:p w14:paraId="2C1D5FE0">
      <w:pPr>
        <w:spacing w:line="360" w:lineRule="auto"/>
        <w:ind w:firstLine="420" w:firstLineChars="200"/>
        <w:rPr>
          <w:rFonts w:ascii="宋体" w:hAnsi="宋体"/>
          <w:bCs/>
          <w:color w:val="auto"/>
          <w:szCs w:val="21"/>
          <w:highlight w:val="none"/>
        </w:rPr>
      </w:pPr>
      <w:r>
        <w:rPr>
          <w:rFonts w:hint="eastAsia" w:ascii="宋体" w:hAnsi="宋体"/>
          <w:bCs/>
          <w:color w:val="auto"/>
          <w:szCs w:val="21"/>
          <w:highlight w:val="none"/>
        </w:rPr>
        <w:t>磋商小组发现竞争性磋商文件存在歧义、重大缺陷导致评审工作无法进行，或者竞争性磋商文件内容违反国家有关规定的，要停止评审工作并向采购人或采购代理机构书面说明情况，采购人或采购代理机构应当修改竞争性磋商文件后重新组织采购活动；发现供应商提供虚假材料、串通等违法违规行为的，要及时向采购人或采购代理机构报告。</w:t>
      </w:r>
    </w:p>
    <w:p w14:paraId="330DC788">
      <w:pPr>
        <w:spacing w:line="360" w:lineRule="auto"/>
        <w:jc w:val="center"/>
        <w:rPr>
          <w:rFonts w:hint="eastAsia" w:ascii="宋体" w:hAnsi="宋体"/>
          <w:b/>
          <w:color w:val="auto"/>
          <w:sz w:val="32"/>
          <w:szCs w:val="32"/>
          <w:highlight w:val="none"/>
        </w:rPr>
      </w:pPr>
      <w:r>
        <w:rPr>
          <w:rFonts w:hint="eastAsia" w:ascii="宋体" w:hAnsi="宋体"/>
          <w:b/>
          <w:color w:val="auto"/>
          <w:sz w:val="32"/>
          <w:szCs w:val="32"/>
          <w:highlight w:val="none"/>
        </w:rPr>
        <w:t>二、评审报告</w:t>
      </w:r>
    </w:p>
    <w:p w14:paraId="764773FB">
      <w:pPr>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1.成交标准</w:t>
      </w:r>
    </w:p>
    <w:p w14:paraId="37900376">
      <w:pPr>
        <w:spacing w:line="360" w:lineRule="auto"/>
        <w:ind w:firstLine="420" w:firstLineChars="200"/>
        <w:rPr>
          <w:rFonts w:hint="eastAsia" w:ascii="宋体" w:hAnsi="宋体"/>
          <w:bCs/>
          <w:color w:val="auto"/>
          <w:szCs w:val="21"/>
          <w:highlight w:val="none"/>
        </w:rPr>
      </w:pPr>
      <w:r>
        <w:rPr>
          <w:rFonts w:hint="eastAsia" w:ascii="宋体" w:hAnsi="宋体"/>
          <w:bCs/>
          <w:color w:val="auto"/>
          <w:szCs w:val="21"/>
          <w:highlight w:val="none"/>
        </w:rPr>
        <w:t>由磋商小组根据综合评分情况，按照评审得分由高到低顺序推荐3名成交候选供应商，并编写评审报告。符合本章第</w:t>
      </w:r>
      <w:r>
        <w:rPr>
          <w:rFonts w:hint="eastAsia" w:ascii="宋体" w:hAnsi="宋体" w:cs="宋体"/>
          <w:color w:val="auto"/>
          <w:szCs w:val="21"/>
          <w:highlight w:val="none"/>
        </w:rPr>
        <w:t>2.7、3.7、</w:t>
      </w:r>
      <w:r>
        <w:rPr>
          <w:rFonts w:ascii="宋体" w:hAnsi="宋体" w:cs="宋体"/>
          <w:color w:val="auto"/>
          <w:szCs w:val="21"/>
          <w:highlight w:val="none"/>
        </w:rPr>
        <w:t>4.3</w:t>
      </w:r>
      <w:r>
        <w:rPr>
          <w:rFonts w:hint="eastAsia" w:ascii="宋体" w:hAnsi="宋体"/>
          <w:bCs/>
          <w:color w:val="auto"/>
          <w:szCs w:val="21"/>
          <w:highlight w:val="none"/>
        </w:rPr>
        <w:t>条情形的，可以推荐2家成交候选供应商。评审得分相同的，按照最后报价（不计算价格折扣）由低到高的顺序推荐。评审得分且最后报价（不计算价格折扣）相同的，按照技术指标优劣顺序推荐。</w:t>
      </w:r>
    </w:p>
    <w:p w14:paraId="78831ADC">
      <w:pPr>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2.评审争议事项处理</w:t>
      </w:r>
    </w:p>
    <w:p w14:paraId="2B0AF471">
      <w:pPr>
        <w:spacing w:line="360" w:lineRule="auto"/>
        <w:ind w:firstLine="420" w:firstLineChars="200"/>
        <w:rPr>
          <w:rFonts w:hint="eastAsia" w:ascii="宋体" w:hAnsi="宋体"/>
          <w:bCs/>
          <w:color w:val="auto"/>
          <w:szCs w:val="21"/>
          <w:highlight w:val="none"/>
        </w:rPr>
      </w:pPr>
      <w:r>
        <w:rPr>
          <w:rFonts w:hint="eastAsia" w:ascii="宋体" w:hAnsi="宋体"/>
          <w:bCs/>
          <w:color w:val="auto"/>
          <w:szCs w:val="21"/>
          <w:highlight w:val="none"/>
        </w:rPr>
        <w:t>磋商小组成员对需要共同认定的事项存在争议的，应当按照少数服从多数的原则作出结论。持不同意见的磋商小组成员应当在评审报告上签署不同意见及理由，否则视为同意评审报告。</w:t>
      </w:r>
    </w:p>
    <w:p w14:paraId="489B3640">
      <w:pPr>
        <w:spacing w:line="360" w:lineRule="auto"/>
        <w:jc w:val="center"/>
        <w:rPr>
          <w:rFonts w:hint="eastAsia" w:ascii="宋体" w:hAnsi="宋体"/>
          <w:b/>
          <w:color w:val="auto"/>
          <w:sz w:val="32"/>
          <w:szCs w:val="32"/>
          <w:highlight w:val="none"/>
        </w:rPr>
      </w:pPr>
      <w:r>
        <w:rPr>
          <w:rFonts w:hint="eastAsia" w:ascii="宋体" w:hAnsi="宋体"/>
          <w:b/>
          <w:color w:val="auto"/>
          <w:sz w:val="32"/>
          <w:szCs w:val="32"/>
          <w:highlight w:val="none"/>
        </w:rPr>
        <w:t>三、评审过程的保密与录像</w:t>
      </w:r>
    </w:p>
    <w:p w14:paraId="2638D6DE">
      <w:pPr>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1.保密</w:t>
      </w:r>
    </w:p>
    <w:p w14:paraId="1358A88C">
      <w:pPr>
        <w:spacing w:line="360" w:lineRule="auto"/>
        <w:ind w:firstLine="420" w:firstLineChars="200"/>
        <w:rPr>
          <w:rFonts w:hint="eastAsia" w:ascii="宋体" w:hAnsi="宋体"/>
          <w:bCs/>
          <w:color w:val="auto"/>
          <w:szCs w:val="21"/>
          <w:highlight w:val="none"/>
        </w:rPr>
      </w:pPr>
      <w:r>
        <w:rPr>
          <w:rFonts w:hint="eastAsia" w:ascii="宋体" w:hAnsi="宋体"/>
          <w:bCs/>
          <w:color w:val="auto"/>
          <w:szCs w:val="21"/>
          <w:highlight w:val="none"/>
        </w:rPr>
        <w:t>评审活动在严格保密的情况下进行。评审过程中凡是与采购响应文件评审和比较、成交供应商推荐等评审有关的情况，以及涉及国家秘密和商业秘密等信息，磋商小组成员、采购人和采购机构工作人员、相关监督人员等与评审有关的人员应当予以保密。</w:t>
      </w:r>
    </w:p>
    <w:p w14:paraId="60ABF26E">
      <w:pPr>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2.录音录像</w:t>
      </w:r>
    </w:p>
    <w:p w14:paraId="53B3E009">
      <w:pPr>
        <w:spacing w:line="360" w:lineRule="auto"/>
        <w:ind w:firstLine="420" w:firstLineChars="200"/>
        <w:rPr>
          <w:rFonts w:ascii="宋体" w:hAnsi="宋体"/>
          <w:bCs/>
          <w:color w:val="auto"/>
          <w:szCs w:val="21"/>
          <w:highlight w:val="none"/>
        </w:rPr>
      </w:pPr>
      <w:r>
        <w:rPr>
          <w:rFonts w:hint="eastAsia" w:ascii="宋体" w:hAnsi="宋体"/>
          <w:bCs/>
          <w:color w:val="auto"/>
          <w:szCs w:val="21"/>
          <w:highlight w:val="none"/>
        </w:rPr>
        <w:t>采购代理机构对评审工作现场及操作屏幕进行全过程录音录像，录音录像资料作为采购项目文件随其他文件一并存档。</w:t>
      </w:r>
    </w:p>
    <w:p w14:paraId="5F97E6F0">
      <w:pPr>
        <w:rPr>
          <w:rFonts w:hint="eastAsia"/>
          <w:color w:val="auto"/>
          <w:highlight w:val="none"/>
        </w:rPr>
      </w:pPr>
      <w:r>
        <w:rPr>
          <w:color w:val="auto"/>
          <w:highlight w:val="none"/>
        </w:rPr>
        <w:br w:type="page"/>
      </w:r>
    </w:p>
    <w:p w14:paraId="1180D30F">
      <w:pPr>
        <w:rPr>
          <w:rFonts w:hint="eastAsia"/>
          <w:color w:val="auto"/>
          <w:highlight w:val="none"/>
        </w:rPr>
      </w:pPr>
    </w:p>
    <w:p w14:paraId="081D505C">
      <w:pPr>
        <w:rPr>
          <w:rFonts w:hint="eastAsia"/>
          <w:color w:val="auto"/>
          <w:highlight w:val="none"/>
        </w:rPr>
      </w:pPr>
    </w:p>
    <w:p w14:paraId="60A56426">
      <w:pPr>
        <w:rPr>
          <w:rFonts w:hint="eastAsia"/>
          <w:color w:val="auto"/>
          <w:highlight w:val="none"/>
        </w:rPr>
      </w:pPr>
    </w:p>
    <w:p w14:paraId="2827C108">
      <w:pPr>
        <w:rPr>
          <w:rFonts w:hint="eastAsia"/>
          <w:color w:val="auto"/>
          <w:highlight w:val="none"/>
        </w:rPr>
      </w:pPr>
    </w:p>
    <w:p w14:paraId="444A5454">
      <w:pPr>
        <w:rPr>
          <w:rFonts w:hint="eastAsia"/>
          <w:color w:val="auto"/>
          <w:highlight w:val="none"/>
        </w:rPr>
      </w:pPr>
    </w:p>
    <w:p w14:paraId="45CDEA91">
      <w:pPr>
        <w:rPr>
          <w:rFonts w:hint="eastAsia"/>
          <w:color w:val="auto"/>
          <w:highlight w:val="none"/>
        </w:rPr>
      </w:pPr>
    </w:p>
    <w:p w14:paraId="0999712D">
      <w:pPr>
        <w:rPr>
          <w:rFonts w:hint="eastAsia"/>
          <w:color w:val="auto"/>
          <w:highlight w:val="none"/>
        </w:rPr>
      </w:pPr>
    </w:p>
    <w:p w14:paraId="4352CBD6">
      <w:pPr>
        <w:rPr>
          <w:rFonts w:hint="eastAsia"/>
          <w:color w:val="auto"/>
          <w:highlight w:val="none"/>
        </w:rPr>
      </w:pPr>
    </w:p>
    <w:p w14:paraId="1CB3641B">
      <w:pPr>
        <w:pStyle w:val="2"/>
        <w:jc w:val="center"/>
        <w:rPr>
          <w:rFonts w:hint="eastAsia"/>
          <w:color w:val="auto"/>
          <w:highlight w:val="none"/>
        </w:rPr>
      </w:pPr>
      <w:bookmarkStart w:id="28" w:name="_Toc170496364"/>
      <w:r>
        <w:rPr>
          <w:rFonts w:hint="eastAsia"/>
          <w:color w:val="auto"/>
          <w:highlight w:val="none"/>
        </w:rPr>
        <w:t>第五章 响应文件格式</w:t>
      </w:r>
      <w:bookmarkEnd w:id="28"/>
    </w:p>
    <w:p w14:paraId="041C7FCB">
      <w:pPr>
        <w:spacing w:line="240" w:lineRule="atLeast"/>
        <w:rPr>
          <w:rFonts w:hint="eastAsia" w:ascii="宋体" w:hAnsi="宋体"/>
          <w:b/>
          <w:color w:val="auto"/>
          <w:sz w:val="32"/>
          <w:szCs w:val="32"/>
          <w:highlight w:val="none"/>
        </w:rPr>
      </w:pPr>
    </w:p>
    <w:p w14:paraId="465229BB">
      <w:pPr>
        <w:spacing w:line="240" w:lineRule="atLeast"/>
        <w:rPr>
          <w:rFonts w:hint="eastAsia" w:ascii="宋体" w:hAnsi="宋体"/>
          <w:b/>
          <w:color w:val="auto"/>
          <w:sz w:val="32"/>
          <w:szCs w:val="32"/>
          <w:highlight w:val="none"/>
        </w:rPr>
      </w:pPr>
    </w:p>
    <w:p w14:paraId="74FAD71A">
      <w:pPr>
        <w:spacing w:line="240" w:lineRule="atLeast"/>
        <w:rPr>
          <w:rFonts w:hint="eastAsia" w:ascii="宋体" w:hAnsi="宋体"/>
          <w:b/>
          <w:color w:val="auto"/>
          <w:sz w:val="32"/>
          <w:szCs w:val="32"/>
          <w:highlight w:val="none"/>
        </w:rPr>
      </w:pPr>
    </w:p>
    <w:p w14:paraId="6B5AFCEB">
      <w:pPr>
        <w:spacing w:line="240" w:lineRule="atLeast"/>
        <w:rPr>
          <w:rFonts w:hint="eastAsia" w:ascii="宋体" w:hAnsi="宋体"/>
          <w:b/>
          <w:color w:val="auto"/>
          <w:sz w:val="32"/>
          <w:szCs w:val="32"/>
          <w:highlight w:val="none"/>
        </w:rPr>
      </w:pPr>
    </w:p>
    <w:p w14:paraId="01C3BFEB">
      <w:pPr>
        <w:spacing w:line="240" w:lineRule="atLeast"/>
        <w:rPr>
          <w:rFonts w:hint="eastAsia" w:ascii="宋体" w:hAnsi="宋体"/>
          <w:b/>
          <w:color w:val="auto"/>
          <w:sz w:val="32"/>
          <w:szCs w:val="32"/>
          <w:highlight w:val="none"/>
        </w:rPr>
      </w:pPr>
    </w:p>
    <w:p w14:paraId="13F6195C">
      <w:pPr>
        <w:spacing w:line="240" w:lineRule="atLeast"/>
        <w:rPr>
          <w:rFonts w:hint="eastAsia" w:ascii="宋体" w:hAnsi="宋体"/>
          <w:b/>
          <w:color w:val="auto"/>
          <w:sz w:val="32"/>
          <w:szCs w:val="32"/>
          <w:highlight w:val="none"/>
        </w:rPr>
      </w:pPr>
    </w:p>
    <w:p w14:paraId="39FC929C">
      <w:pPr>
        <w:spacing w:line="240" w:lineRule="atLeast"/>
        <w:rPr>
          <w:rFonts w:hint="eastAsia" w:ascii="宋体" w:hAnsi="宋体"/>
          <w:b/>
          <w:color w:val="auto"/>
          <w:sz w:val="32"/>
          <w:szCs w:val="32"/>
          <w:highlight w:val="none"/>
        </w:rPr>
      </w:pPr>
    </w:p>
    <w:p w14:paraId="2C53846A">
      <w:pPr>
        <w:spacing w:line="240" w:lineRule="atLeast"/>
        <w:rPr>
          <w:rFonts w:hint="eastAsia" w:ascii="宋体" w:hAnsi="宋体"/>
          <w:b/>
          <w:color w:val="auto"/>
          <w:sz w:val="32"/>
          <w:szCs w:val="32"/>
          <w:highlight w:val="none"/>
        </w:rPr>
      </w:pPr>
    </w:p>
    <w:p w14:paraId="72BA43B7">
      <w:pPr>
        <w:spacing w:line="240" w:lineRule="atLeast"/>
        <w:rPr>
          <w:rFonts w:hint="eastAsia" w:ascii="宋体" w:hAnsi="宋体"/>
          <w:b/>
          <w:color w:val="auto"/>
          <w:sz w:val="32"/>
          <w:szCs w:val="32"/>
          <w:highlight w:val="none"/>
        </w:rPr>
      </w:pPr>
    </w:p>
    <w:p w14:paraId="20C2CEAE">
      <w:pPr>
        <w:spacing w:line="240" w:lineRule="atLeast"/>
        <w:rPr>
          <w:rFonts w:hint="eastAsia" w:ascii="仿宋_GB2312" w:hAnsi="仿宋_GB2312" w:eastAsia="仿宋_GB2312" w:cs="仿宋_GB2312"/>
          <w:bCs/>
          <w:color w:val="auto"/>
          <w:sz w:val="32"/>
          <w:szCs w:val="32"/>
          <w:highlight w:val="none"/>
        </w:rPr>
      </w:pPr>
    </w:p>
    <w:p w14:paraId="52537DE6">
      <w:pPr>
        <w:rPr>
          <w:rFonts w:hint="eastAsia" w:ascii="宋体" w:hAnsi="宋体" w:eastAsia="宋体" w:cs="宋体"/>
          <w:b/>
          <w:color w:val="auto"/>
          <w:sz w:val="32"/>
          <w:szCs w:val="32"/>
          <w:highlight w:val="none"/>
        </w:rPr>
      </w:pPr>
      <w:bookmarkStart w:id="29" w:name="_Toc35611516"/>
      <w:bookmarkStart w:id="30" w:name="_Toc31728084"/>
      <w:bookmarkStart w:id="31" w:name="_Toc35611438"/>
      <w:bookmarkStart w:id="32" w:name="_Toc31723070"/>
      <w:bookmarkStart w:id="33" w:name="_Toc44229899"/>
      <w:bookmarkStart w:id="34" w:name="_Toc71365925"/>
      <w:r>
        <w:rPr>
          <w:b/>
          <w:color w:val="auto"/>
          <w:sz w:val="32"/>
          <w:szCs w:val="32"/>
          <w:highlight w:val="none"/>
        </w:rPr>
        <w:br w:type="page"/>
      </w:r>
      <w:r>
        <w:rPr>
          <w:rFonts w:hint="eastAsia" w:ascii="宋体" w:hAnsi="宋体" w:eastAsia="宋体" w:cs="宋体"/>
          <w:b/>
          <w:color w:val="auto"/>
          <w:sz w:val="32"/>
          <w:szCs w:val="32"/>
          <w:highlight w:val="none"/>
        </w:rPr>
        <w:t>一、资格证明文件格式</w:t>
      </w:r>
      <w:bookmarkEnd w:id="29"/>
      <w:bookmarkEnd w:id="30"/>
      <w:bookmarkEnd w:id="31"/>
      <w:bookmarkEnd w:id="32"/>
      <w:bookmarkEnd w:id="33"/>
      <w:bookmarkEnd w:id="34"/>
    </w:p>
    <w:p w14:paraId="2490EA7C">
      <w:pPr>
        <w:snapToGrid w:val="0"/>
        <w:spacing w:before="156" w:beforeLines="50" w:after="50" w:line="360" w:lineRule="auto"/>
        <w:jc w:val="left"/>
        <w:rPr>
          <w:rFonts w:hint="eastAsia" w:ascii="宋体" w:hAnsi="宋体" w:eastAsia="宋体" w:cs="宋体"/>
          <w:b/>
          <w:color w:val="auto"/>
          <w:sz w:val="24"/>
          <w:highlight w:val="none"/>
        </w:rPr>
      </w:pPr>
      <w:r>
        <w:rPr>
          <w:rFonts w:hint="eastAsia" w:ascii="宋体" w:hAnsi="宋体" w:eastAsia="宋体" w:cs="宋体"/>
          <w:b/>
          <w:color w:val="auto"/>
          <w:sz w:val="32"/>
          <w:szCs w:val="32"/>
          <w:highlight w:val="none"/>
        </w:rPr>
        <w:t>1.资格证明文件封面格式：</w:t>
      </w:r>
      <w:r>
        <w:rPr>
          <w:rFonts w:hint="eastAsia" w:ascii="宋体" w:hAnsi="宋体" w:eastAsia="宋体" w:cs="宋体"/>
          <w:b/>
          <w:color w:val="auto"/>
          <w:sz w:val="24"/>
          <w:highlight w:val="none"/>
        </w:rPr>
        <w:t xml:space="preserve"> </w:t>
      </w:r>
    </w:p>
    <w:p w14:paraId="66A6BC1C">
      <w:pPr>
        <w:snapToGrid w:val="0"/>
        <w:spacing w:before="156" w:beforeLines="50" w:after="50"/>
        <w:rPr>
          <w:rFonts w:hint="eastAsia" w:ascii="宋体" w:hAnsi="宋体" w:eastAsia="宋体" w:cs="宋体"/>
          <w:bCs/>
          <w:color w:val="auto"/>
          <w:sz w:val="32"/>
          <w:szCs w:val="20"/>
          <w:highlight w:val="none"/>
        </w:rPr>
      </w:pPr>
      <w:r>
        <w:rPr>
          <w:rFonts w:hint="eastAsia" w:ascii="宋体" w:hAnsi="宋体" w:eastAsia="宋体" w:cs="宋体"/>
          <w:color w:val="auto"/>
          <w:sz w:val="24"/>
          <w:highlight w:val="none"/>
        </w:rPr>
        <w:t xml:space="preserve">                                                    </w:t>
      </w:r>
    </w:p>
    <w:p w14:paraId="00ED6976">
      <w:pPr>
        <w:snapToGrid w:val="0"/>
        <w:spacing w:before="156" w:beforeLines="50" w:after="50"/>
        <w:rPr>
          <w:rFonts w:hint="eastAsia" w:ascii="宋体" w:hAnsi="宋体" w:eastAsia="宋体" w:cs="宋体"/>
          <w:color w:val="auto"/>
          <w:sz w:val="24"/>
          <w:szCs w:val="20"/>
          <w:highlight w:val="none"/>
        </w:rPr>
      </w:pPr>
    </w:p>
    <w:p w14:paraId="12AEDBCF">
      <w:pPr>
        <w:snapToGrid w:val="0"/>
        <w:spacing w:before="156" w:beforeLines="50" w:after="50"/>
        <w:jc w:val="center"/>
        <w:rPr>
          <w:rFonts w:hint="eastAsia" w:ascii="宋体" w:hAnsi="宋体" w:eastAsia="宋体" w:cs="宋体"/>
          <w:bCs/>
          <w:color w:val="auto"/>
          <w:sz w:val="84"/>
          <w:szCs w:val="84"/>
          <w:highlight w:val="none"/>
        </w:rPr>
      </w:pPr>
      <w:r>
        <w:rPr>
          <w:rFonts w:hint="eastAsia" w:ascii="宋体" w:hAnsi="宋体" w:eastAsia="宋体" w:cs="宋体"/>
          <w:bCs/>
          <w:color w:val="auto"/>
          <w:sz w:val="84"/>
          <w:szCs w:val="84"/>
          <w:highlight w:val="none"/>
        </w:rPr>
        <w:t>响  应  文  件</w:t>
      </w:r>
    </w:p>
    <w:p w14:paraId="2B4B9D8F">
      <w:pPr>
        <w:snapToGrid w:val="0"/>
        <w:spacing w:before="156" w:beforeLines="50" w:after="50"/>
        <w:jc w:val="center"/>
        <w:rPr>
          <w:rFonts w:hint="eastAsia" w:ascii="宋体" w:hAnsi="宋体" w:eastAsia="宋体" w:cs="宋体"/>
          <w:bCs/>
          <w:color w:val="auto"/>
          <w:sz w:val="44"/>
          <w:szCs w:val="44"/>
          <w:highlight w:val="none"/>
        </w:rPr>
      </w:pPr>
    </w:p>
    <w:p w14:paraId="4FFECC5D">
      <w:pPr>
        <w:snapToGrid w:val="0"/>
        <w:spacing w:before="156" w:beforeLines="50" w:after="50"/>
        <w:jc w:val="center"/>
        <w:rPr>
          <w:rFonts w:hint="eastAsia" w:ascii="宋体" w:hAnsi="宋体" w:eastAsia="宋体" w:cs="宋体"/>
          <w:bCs/>
          <w:color w:val="auto"/>
          <w:sz w:val="44"/>
          <w:szCs w:val="44"/>
          <w:highlight w:val="none"/>
        </w:rPr>
      </w:pPr>
    </w:p>
    <w:p w14:paraId="6258F44B">
      <w:pPr>
        <w:snapToGrid w:val="0"/>
        <w:spacing w:before="156" w:beforeLines="50" w:after="50"/>
        <w:jc w:val="center"/>
        <w:rPr>
          <w:rFonts w:hint="eastAsia" w:ascii="宋体" w:hAnsi="宋体" w:eastAsia="宋体" w:cs="宋体"/>
          <w:bCs/>
          <w:color w:val="auto"/>
          <w:sz w:val="40"/>
          <w:szCs w:val="40"/>
          <w:highlight w:val="none"/>
        </w:rPr>
      </w:pPr>
      <w:r>
        <w:rPr>
          <w:rFonts w:hint="eastAsia" w:ascii="宋体" w:hAnsi="宋体" w:eastAsia="宋体" w:cs="宋体"/>
          <w:bCs/>
          <w:color w:val="auto"/>
          <w:sz w:val="40"/>
          <w:szCs w:val="40"/>
          <w:highlight w:val="none"/>
        </w:rPr>
        <w:t>资格证明文件</w:t>
      </w:r>
    </w:p>
    <w:p w14:paraId="37D6DA5C">
      <w:pPr>
        <w:snapToGrid w:val="0"/>
        <w:spacing w:before="156" w:beforeLines="50" w:after="50"/>
        <w:rPr>
          <w:rFonts w:hint="eastAsia" w:ascii="宋体" w:hAnsi="宋体" w:eastAsia="宋体" w:cs="宋体"/>
          <w:bCs/>
          <w:color w:val="auto"/>
          <w:sz w:val="24"/>
          <w:szCs w:val="20"/>
          <w:highlight w:val="none"/>
        </w:rPr>
      </w:pPr>
    </w:p>
    <w:p w14:paraId="5F3AFFCB">
      <w:pPr>
        <w:snapToGrid w:val="0"/>
        <w:spacing w:before="156" w:beforeLines="50" w:after="50"/>
        <w:rPr>
          <w:rFonts w:hint="eastAsia" w:ascii="宋体" w:hAnsi="宋体" w:eastAsia="宋体" w:cs="宋体"/>
          <w:bCs/>
          <w:color w:val="auto"/>
          <w:sz w:val="24"/>
          <w:szCs w:val="20"/>
          <w:highlight w:val="none"/>
        </w:rPr>
      </w:pPr>
    </w:p>
    <w:p w14:paraId="30F1D61E">
      <w:pPr>
        <w:snapToGrid w:val="0"/>
        <w:spacing w:before="156" w:beforeLines="50" w:after="50"/>
        <w:rPr>
          <w:rFonts w:hint="eastAsia" w:ascii="宋体" w:hAnsi="宋体" w:eastAsia="宋体" w:cs="宋体"/>
          <w:bCs/>
          <w:color w:val="auto"/>
          <w:sz w:val="24"/>
          <w:szCs w:val="20"/>
          <w:highlight w:val="none"/>
        </w:rPr>
      </w:pPr>
    </w:p>
    <w:p w14:paraId="60B71B93">
      <w:pPr>
        <w:snapToGrid w:val="0"/>
        <w:spacing w:before="156" w:beforeLines="50" w:after="50"/>
        <w:ind w:firstLine="640" w:firstLineChars="200"/>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项目名称：</w:t>
      </w:r>
    </w:p>
    <w:p w14:paraId="1A41191B">
      <w:pPr>
        <w:snapToGrid w:val="0"/>
        <w:spacing w:before="156" w:beforeLines="50" w:after="50"/>
        <w:ind w:firstLine="720" w:firstLineChars="225"/>
        <w:rPr>
          <w:rFonts w:hint="eastAsia" w:ascii="宋体" w:hAnsi="宋体" w:eastAsia="宋体" w:cs="宋体"/>
          <w:bCs/>
          <w:color w:val="auto"/>
          <w:sz w:val="32"/>
          <w:szCs w:val="32"/>
          <w:highlight w:val="none"/>
        </w:rPr>
      </w:pPr>
    </w:p>
    <w:p w14:paraId="6618B371">
      <w:pPr>
        <w:snapToGrid w:val="0"/>
        <w:spacing w:before="156" w:beforeLines="50" w:after="50"/>
        <w:ind w:firstLine="720" w:firstLineChars="225"/>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项目编号：</w:t>
      </w:r>
    </w:p>
    <w:p w14:paraId="37D8DA9A">
      <w:pPr>
        <w:snapToGrid w:val="0"/>
        <w:spacing w:before="156" w:beforeLines="50" w:after="50"/>
        <w:ind w:firstLine="720" w:firstLineChars="225"/>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 xml:space="preserve"> </w:t>
      </w:r>
    </w:p>
    <w:p w14:paraId="000CDD25">
      <w:pPr>
        <w:snapToGrid w:val="0"/>
        <w:spacing w:before="156" w:beforeLines="50" w:after="50"/>
        <w:ind w:firstLine="720" w:firstLineChars="225"/>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所竞分标：（没有，则填“无”或“/”）</w:t>
      </w:r>
    </w:p>
    <w:p w14:paraId="1B7D7B73">
      <w:pPr>
        <w:snapToGrid w:val="0"/>
        <w:spacing w:before="156" w:beforeLines="50" w:after="50"/>
        <w:ind w:firstLine="720" w:firstLineChars="225"/>
        <w:rPr>
          <w:rFonts w:hint="eastAsia" w:ascii="宋体" w:hAnsi="宋体" w:eastAsia="宋体" w:cs="宋体"/>
          <w:bCs/>
          <w:color w:val="auto"/>
          <w:sz w:val="32"/>
          <w:szCs w:val="32"/>
          <w:highlight w:val="none"/>
        </w:rPr>
      </w:pPr>
    </w:p>
    <w:p w14:paraId="561F50B3">
      <w:pPr>
        <w:pStyle w:val="7"/>
        <w:snapToGrid w:val="0"/>
        <w:spacing w:before="50" w:after="50"/>
        <w:ind w:firstLine="720" w:firstLineChars="225"/>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供应商名称：</w:t>
      </w:r>
    </w:p>
    <w:p w14:paraId="03DBEA41">
      <w:pPr>
        <w:pStyle w:val="7"/>
        <w:snapToGrid w:val="0"/>
        <w:spacing w:before="50" w:after="50"/>
        <w:ind w:firstLine="720" w:firstLineChars="225"/>
        <w:rPr>
          <w:rFonts w:hint="eastAsia" w:ascii="宋体" w:hAnsi="宋体" w:eastAsia="宋体" w:cs="宋体"/>
          <w:bCs/>
          <w:color w:val="auto"/>
          <w:sz w:val="32"/>
          <w:szCs w:val="32"/>
          <w:highlight w:val="none"/>
        </w:rPr>
      </w:pPr>
    </w:p>
    <w:p w14:paraId="7DCB9369">
      <w:pPr>
        <w:pStyle w:val="7"/>
        <w:snapToGrid w:val="0"/>
        <w:spacing w:before="50" w:after="50"/>
        <w:ind w:firstLine="720" w:firstLineChars="225"/>
        <w:rPr>
          <w:rFonts w:hint="eastAsia" w:ascii="宋体" w:hAnsi="宋体" w:eastAsia="宋体" w:cs="宋体"/>
          <w:bCs/>
          <w:color w:val="auto"/>
          <w:sz w:val="32"/>
          <w:szCs w:val="32"/>
          <w:highlight w:val="none"/>
        </w:rPr>
      </w:pPr>
    </w:p>
    <w:p w14:paraId="3B65E6DF">
      <w:pPr>
        <w:pStyle w:val="7"/>
        <w:snapToGrid w:val="0"/>
        <w:spacing w:before="50" w:after="50"/>
        <w:ind w:firstLine="1280" w:firstLineChars="400"/>
        <w:rPr>
          <w:rFonts w:hint="eastAsia" w:ascii="宋体" w:hAnsi="宋体" w:eastAsia="宋体" w:cs="宋体"/>
          <w:bCs/>
          <w:color w:val="auto"/>
          <w:sz w:val="32"/>
          <w:szCs w:val="32"/>
          <w:highlight w:val="none"/>
        </w:rPr>
      </w:pPr>
    </w:p>
    <w:p w14:paraId="4690039F">
      <w:pPr>
        <w:snapToGrid w:val="0"/>
        <w:spacing w:before="156" w:beforeLines="50" w:after="50"/>
        <w:jc w:val="center"/>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年    月    日</w:t>
      </w:r>
    </w:p>
    <w:p w14:paraId="25FF1BA8">
      <w:pPr>
        <w:snapToGrid w:val="0"/>
        <w:spacing w:before="156" w:beforeLines="50" w:after="50" w:line="360" w:lineRule="auto"/>
        <w:ind w:left="142"/>
        <w:jc w:val="left"/>
        <w:rPr>
          <w:rFonts w:hint="eastAsia" w:ascii="宋体" w:hAnsi="宋体" w:eastAsia="宋体" w:cs="宋体"/>
          <w:b/>
          <w:bCs/>
          <w:color w:val="auto"/>
          <w:sz w:val="32"/>
          <w:szCs w:val="32"/>
          <w:highlight w:val="none"/>
        </w:rPr>
      </w:pPr>
      <w:r>
        <w:rPr>
          <w:rFonts w:hint="eastAsia" w:ascii="宋体" w:hAnsi="宋体" w:eastAsia="宋体" w:cs="宋体"/>
          <w:color w:val="auto"/>
          <w:sz w:val="24"/>
          <w:highlight w:val="none"/>
        </w:rPr>
        <w:br w:type="page"/>
      </w:r>
      <w:r>
        <w:rPr>
          <w:rFonts w:hint="eastAsia" w:ascii="宋体" w:hAnsi="宋体" w:eastAsia="宋体" w:cs="宋体"/>
          <w:b/>
          <w:bCs/>
          <w:color w:val="auto"/>
          <w:sz w:val="32"/>
          <w:szCs w:val="32"/>
          <w:highlight w:val="none"/>
        </w:rPr>
        <w:t>2.资格证明文件目录</w:t>
      </w:r>
    </w:p>
    <w:p w14:paraId="6C3175A2">
      <w:pPr>
        <w:snapToGrid w:val="0"/>
        <w:spacing w:before="156" w:beforeLines="50" w:after="50" w:line="360" w:lineRule="auto"/>
        <w:ind w:firstLine="645"/>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根据磋商文件规定及供应商提供的材料自行编写目录（部分格式后附）。</w:t>
      </w:r>
    </w:p>
    <w:p w14:paraId="4924B790">
      <w:pPr>
        <w:snapToGrid w:val="0"/>
        <w:spacing w:before="156" w:beforeLines="50" w:after="50"/>
        <w:rPr>
          <w:rFonts w:hint="eastAsia" w:ascii="宋体" w:hAnsi="宋体" w:eastAsia="宋体" w:cs="宋体"/>
          <w:color w:val="auto"/>
          <w:sz w:val="24"/>
          <w:szCs w:val="20"/>
          <w:highlight w:val="none"/>
        </w:rPr>
      </w:pPr>
      <w:r>
        <w:rPr>
          <w:rFonts w:hint="eastAsia" w:ascii="宋体" w:hAnsi="宋体" w:eastAsia="宋体" w:cs="宋体"/>
          <w:color w:val="auto"/>
          <w:sz w:val="24"/>
          <w:szCs w:val="20"/>
          <w:highlight w:val="none"/>
        </w:rPr>
        <w:t xml:space="preserve"> </w:t>
      </w:r>
    </w:p>
    <w:p w14:paraId="5E280B7B">
      <w:pPr>
        <w:spacing w:line="300" w:lineRule="auto"/>
        <w:rPr>
          <w:rFonts w:hint="eastAsia" w:ascii="宋体" w:hAnsi="宋体" w:eastAsia="宋体" w:cs="宋体"/>
          <w:color w:val="auto"/>
          <w:szCs w:val="21"/>
          <w:highlight w:val="none"/>
        </w:rPr>
      </w:pPr>
    </w:p>
    <w:p w14:paraId="4CF6B6AF">
      <w:pPr>
        <w:spacing w:line="300" w:lineRule="auto"/>
        <w:rPr>
          <w:rFonts w:hint="eastAsia" w:ascii="宋体" w:hAnsi="宋体" w:eastAsia="宋体" w:cs="宋体"/>
          <w:color w:val="auto"/>
          <w:szCs w:val="21"/>
          <w:highlight w:val="none"/>
        </w:rPr>
      </w:pPr>
    </w:p>
    <w:p w14:paraId="66F479ED">
      <w:pPr>
        <w:spacing w:line="300" w:lineRule="auto"/>
        <w:rPr>
          <w:rFonts w:hint="eastAsia" w:ascii="宋体" w:hAnsi="宋体" w:eastAsia="宋体" w:cs="宋体"/>
          <w:color w:val="auto"/>
          <w:szCs w:val="21"/>
          <w:highlight w:val="none"/>
        </w:rPr>
      </w:pPr>
    </w:p>
    <w:p w14:paraId="3FFC9218">
      <w:pPr>
        <w:spacing w:line="300" w:lineRule="auto"/>
        <w:rPr>
          <w:rFonts w:hint="eastAsia" w:ascii="宋体" w:hAnsi="宋体" w:eastAsia="宋体" w:cs="宋体"/>
          <w:color w:val="auto"/>
          <w:szCs w:val="21"/>
          <w:highlight w:val="none"/>
        </w:rPr>
      </w:pPr>
    </w:p>
    <w:p w14:paraId="66E2F4C1">
      <w:pPr>
        <w:spacing w:line="300" w:lineRule="auto"/>
        <w:rPr>
          <w:rFonts w:hint="eastAsia" w:ascii="宋体" w:hAnsi="宋体" w:eastAsia="宋体" w:cs="宋体"/>
          <w:color w:val="auto"/>
          <w:szCs w:val="21"/>
          <w:highlight w:val="none"/>
        </w:rPr>
      </w:pPr>
    </w:p>
    <w:p w14:paraId="1C43F7FF">
      <w:pPr>
        <w:spacing w:line="300" w:lineRule="auto"/>
        <w:rPr>
          <w:rFonts w:hint="eastAsia" w:ascii="宋体" w:hAnsi="宋体" w:eastAsia="宋体" w:cs="宋体"/>
          <w:color w:val="auto"/>
          <w:szCs w:val="21"/>
          <w:highlight w:val="none"/>
        </w:rPr>
      </w:pPr>
    </w:p>
    <w:p w14:paraId="6B24797D">
      <w:pPr>
        <w:spacing w:line="300" w:lineRule="auto"/>
        <w:rPr>
          <w:rFonts w:hint="eastAsia" w:ascii="宋体" w:hAnsi="宋体" w:eastAsia="宋体" w:cs="宋体"/>
          <w:color w:val="auto"/>
          <w:szCs w:val="21"/>
          <w:highlight w:val="none"/>
        </w:rPr>
      </w:pPr>
    </w:p>
    <w:p w14:paraId="4648E5B9">
      <w:pPr>
        <w:spacing w:line="300" w:lineRule="auto"/>
        <w:rPr>
          <w:rFonts w:hint="eastAsia" w:ascii="宋体" w:hAnsi="宋体" w:eastAsia="宋体" w:cs="宋体"/>
          <w:color w:val="auto"/>
          <w:szCs w:val="21"/>
          <w:highlight w:val="none"/>
        </w:rPr>
      </w:pPr>
    </w:p>
    <w:p w14:paraId="5FE62006">
      <w:pPr>
        <w:spacing w:line="300" w:lineRule="auto"/>
        <w:rPr>
          <w:rFonts w:hint="eastAsia" w:ascii="宋体" w:hAnsi="宋体" w:eastAsia="宋体" w:cs="宋体"/>
          <w:color w:val="auto"/>
          <w:szCs w:val="21"/>
          <w:highlight w:val="none"/>
        </w:rPr>
      </w:pPr>
    </w:p>
    <w:p w14:paraId="26FDD94B">
      <w:pPr>
        <w:spacing w:line="300" w:lineRule="auto"/>
        <w:rPr>
          <w:rFonts w:hint="eastAsia" w:ascii="宋体" w:hAnsi="宋体" w:eastAsia="宋体" w:cs="宋体"/>
          <w:color w:val="auto"/>
          <w:szCs w:val="21"/>
          <w:highlight w:val="none"/>
        </w:rPr>
      </w:pPr>
    </w:p>
    <w:p w14:paraId="1C24C6C6">
      <w:pPr>
        <w:spacing w:line="300" w:lineRule="auto"/>
        <w:rPr>
          <w:rFonts w:hint="eastAsia" w:ascii="宋体" w:hAnsi="宋体" w:eastAsia="宋体" w:cs="宋体"/>
          <w:color w:val="auto"/>
          <w:szCs w:val="21"/>
          <w:highlight w:val="none"/>
        </w:rPr>
      </w:pPr>
    </w:p>
    <w:p w14:paraId="4C913F55">
      <w:pPr>
        <w:spacing w:line="300" w:lineRule="auto"/>
        <w:rPr>
          <w:rFonts w:hint="eastAsia" w:ascii="宋体" w:hAnsi="宋体" w:eastAsia="宋体" w:cs="宋体"/>
          <w:color w:val="auto"/>
          <w:szCs w:val="21"/>
          <w:highlight w:val="none"/>
        </w:rPr>
      </w:pPr>
    </w:p>
    <w:p w14:paraId="012399E1">
      <w:pPr>
        <w:spacing w:line="300" w:lineRule="auto"/>
        <w:rPr>
          <w:rFonts w:hint="eastAsia" w:ascii="宋体" w:hAnsi="宋体" w:eastAsia="宋体" w:cs="宋体"/>
          <w:color w:val="auto"/>
          <w:szCs w:val="21"/>
          <w:highlight w:val="none"/>
        </w:rPr>
      </w:pPr>
    </w:p>
    <w:p w14:paraId="14E87E81">
      <w:pPr>
        <w:spacing w:line="300" w:lineRule="auto"/>
        <w:rPr>
          <w:rFonts w:hint="eastAsia" w:ascii="宋体" w:hAnsi="宋体" w:eastAsia="宋体" w:cs="宋体"/>
          <w:color w:val="auto"/>
          <w:szCs w:val="21"/>
          <w:highlight w:val="none"/>
        </w:rPr>
      </w:pPr>
    </w:p>
    <w:p w14:paraId="3C9F1BBB">
      <w:pPr>
        <w:spacing w:line="300" w:lineRule="auto"/>
        <w:rPr>
          <w:rFonts w:hint="eastAsia" w:ascii="宋体" w:hAnsi="宋体" w:eastAsia="宋体" w:cs="宋体"/>
          <w:color w:val="auto"/>
          <w:szCs w:val="21"/>
          <w:highlight w:val="none"/>
        </w:rPr>
      </w:pPr>
    </w:p>
    <w:p w14:paraId="231BE709">
      <w:pPr>
        <w:spacing w:line="32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br w:type="page"/>
      </w:r>
      <w:r>
        <w:rPr>
          <w:rFonts w:hint="eastAsia" w:ascii="宋体" w:hAnsi="宋体" w:eastAsia="宋体" w:cs="宋体"/>
          <w:color w:val="auto"/>
          <w:szCs w:val="21"/>
          <w:highlight w:val="none"/>
        </w:rPr>
        <w:t xml:space="preserve"> </w:t>
      </w:r>
    </w:p>
    <w:p w14:paraId="49B21D73">
      <w:pPr>
        <w:wordWrap w:val="0"/>
        <w:spacing w:before="156" w:beforeLines="50" w:after="50" w:line="320" w:lineRule="exact"/>
        <w:ind w:right="482" w:firstLine="210" w:firstLineChars="100"/>
        <w:contextualSpacing/>
        <w:jc w:val="center"/>
        <w:rPr>
          <w:rFonts w:hint="eastAsia" w:ascii="宋体" w:hAnsi="宋体" w:eastAsia="宋体" w:cs="宋体"/>
          <w:color w:val="auto"/>
          <w:szCs w:val="21"/>
          <w:highlight w:val="none"/>
        </w:rPr>
      </w:pPr>
    </w:p>
    <w:p w14:paraId="444ED915">
      <w:pPr>
        <w:spacing w:line="320" w:lineRule="exact"/>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供应商直接控股、管理关系信息表</w:t>
      </w:r>
    </w:p>
    <w:p w14:paraId="7B7B36D1">
      <w:pPr>
        <w:snapToGrid w:val="0"/>
        <w:spacing w:before="156" w:beforeLines="50" w:after="50" w:line="360" w:lineRule="auto"/>
        <w:jc w:val="center"/>
        <w:rPr>
          <w:rFonts w:hint="eastAsia" w:ascii="宋体" w:hAnsi="宋体" w:eastAsia="宋体" w:cs="宋体"/>
          <w:b/>
          <w:color w:val="auto"/>
          <w:sz w:val="24"/>
          <w:highlight w:val="none"/>
        </w:rPr>
      </w:pPr>
    </w:p>
    <w:p w14:paraId="02B59D68">
      <w:pPr>
        <w:spacing w:line="360" w:lineRule="auto"/>
        <w:contextualSpacing/>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供应商直接控股股东信息表</w:t>
      </w:r>
    </w:p>
    <w:p w14:paraId="76967230">
      <w:pPr>
        <w:spacing w:line="360" w:lineRule="auto"/>
        <w:contextualSpacing/>
        <w:jc w:val="center"/>
        <w:rPr>
          <w:rFonts w:hint="eastAsia" w:ascii="宋体" w:hAnsi="宋体" w:eastAsia="宋体" w:cs="宋体"/>
          <w:b/>
          <w:color w:val="auto"/>
          <w:sz w:val="24"/>
          <w:highlight w:val="none"/>
        </w:rPr>
      </w:pPr>
    </w:p>
    <w:tbl>
      <w:tblPr>
        <w:tblStyle w:val="33"/>
        <w:tblW w:w="0" w:type="auto"/>
        <w:jc w:val="center"/>
        <w:shd w:val="clear" w:color="auto" w:fill="FBFBFB"/>
        <w:tblLayout w:type="fixed"/>
        <w:tblCellMar>
          <w:top w:w="0" w:type="dxa"/>
          <w:left w:w="0" w:type="dxa"/>
          <w:bottom w:w="0" w:type="dxa"/>
          <w:right w:w="0" w:type="dxa"/>
        </w:tblCellMar>
      </w:tblPr>
      <w:tblGrid>
        <w:gridCol w:w="880"/>
        <w:gridCol w:w="2655"/>
        <w:gridCol w:w="1455"/>
        <w:gridCol w:w="4287"/>
        <w:gridCol w:w="870"/>
      </w:tblGrid>
      <w:tr w14:paraId="59C65074">
        <w:tblPrEx>
          <w:tblCellMar>
            <w:top w:w="0" w:type="dxa"/>
            <w:left w:w="0" w:type="dxa"/>
            <w:bottom w:w="0" w:type="dxa"/>
            <w:right w:w="0" w:type="dxa"/>
          </w:tblCellMar>
        </w:tblPrEx>
        <w:trPr>
          <w:tblHeade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3E7899E">
            <w:pPr>
              <w:widowControl/>
              <w:spacing w:line="360" w:lineRule="auto"/>
              <w:contextualSpacing/>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序号</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DB8BFBC">
            <w:pPr>
              <w:widowControl/>
              <w:spacing w:line="360" w:lineRule="auto"/>
              <w:contextualSpacing/>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直接控股股东名称</w:t>
            </w: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C3254BC">
            <w:pPr>
              <w:widowControl/>
              <w:spacing w:line="360" w:lineRule="auto"/>
              <w:contextualSpacing/>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出资比例</w:t>
            </w: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F3797EA">
            <w:pPr>
              <w:widowControl/>
              <w:spacing w:line="360" w:lineRule="auto"/>
              <w:contextualSpacing/>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身份证号码或者统一社会信用代码</w:t>
            </w: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97E8385">
            <w:pPr>
              <w:widowControl/>
              <w:spacing w:line="360" w:lineRule="auto"/>
              <w:contextualSpacing/>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备注</w:t>
            </w:r>
          </w:p>
        </w:tc>
      </w:tr>
      <w:tr w14:paraId="71222ED0">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0A4CCCB">
            <w:pPr>
              <w:widowControl/>
              <w:spacing w:line="360" w:lineRule="auto"/>
              <w:contextualSpacing/>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DE2F731">
            <w:pPr>
              <w:widowControl/>
              <w:spacing w:line="360" w:lineRule="auto"/>
              <w:contextualSpacing/>
              <w:jc w:val="center"/>
              <w:rPr>
                <w:rFonts w:hint="eastAsia" w:ascii="宋体" w:hAnsi="宋体" w:eastAsia="宋体" w:cs="宋体"/>
                <w:color w:val="auto"/>
                <w:kern w:val="0"/>
                <w:szCs w:val="21"/>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6882EBF">
            <w:pPr>
              <w:widowControl/>
              <w:spacing w:line="360" w:lineRule="auto"/>
              <w:contextualSpacing/>
              <w:jc w:val="center"/>
              <w:rPr>
                <w:rFonts w:hint="eastAsia" w:ascii="宋体" w:hAnsi="宋体" w:eastAsia="宋体" w:cs="宋体"/>
                <w:color w:val="auto"/>
                <w:kern w:val="0"/>
                <w:szCs w:val="21"/>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8DF3120">
            <w:pPr>
              <w:widowControl/>
              <w:spacing w:line="360" w:lineRule="auto"/>
              <w:contextualSpacing/>
              <w:jc w:val="center"/>
              <w:rPr>
                <w:rFonts w:hint="eastAsia" w:ascii="宋体" w:hAnsi="宋体" w:eastAsia="宋体" w:cs="宋体"/>
                <w:color w:val="auto"/>
                <w:kern w:val="0"/>
                <w:szCs w:val="21"/>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1902B5A">
            <w:pPr>
              <w:widowControl/>
              <w:spacing w:line="360" w:lineRule="auto"/>
              <w:contextualSpacing/>
              <w:jc w:val="center"/>
              <w:rPr>
                <w:rFonts w:hint="eastAsia" w:ascii="宋体" w:hAnsi="宋体" w:eastAsia="宋体" w:cs="宋体"/>
                <w:color w:val="auto"/>
                <w:kern w:val="0"/>
                <w:szCs w:val="21"/>
                <w:highlight w:val="none"/>
              </w:rPr>
            </w:pPr>
          </w:p>
        </w:tc>
      </w:tr>
      <w:tr w14:paraId="045B46B9">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3318EDF">
            <w:pPr>
              <w:widowControl/>
              <w:spacing w:line="360" w:lineRule="auto"/>
              <w:contextualSpacing/>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3B11549">
            <w:pPr>
              <w:widowControl/>
              <w:spacing w:line="360" w:lineRule="auto"/>
              <w:contextualSpacing/>
              <w:jc w:val="center"/>
              <w:rPr>
                <w:rFonts w:hint="eastAsia" w:ascii="宋体" w:hAnsi="宋体" w:eastAsia="宋体" w:cs="宋体"/>
                <w:color w:val="auto"/>
                <w:kern w:val="0"/>
                <w:szCs w:val="21"/>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509CACC">
            <w:pPr>
              <w:widowControl/>
              <w:spacing w:line="360" w:lineRule="auto"/>
              <w:contextualSpacing/>
              <w:jc w:val="center"/>
              <w:rPr>
                <w:rFonts w:hint="eastAsia" w:ascii="宋体" w:hAnsi="宋体" w:eastAsia="宋体" w:cs="宋体"/>
                <w:color w:val="auto"/>
                <w:kern w:val="0"/>
                <w:szCs w:val="21"/>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8D435BD">
            <w:pPr>
              <w:widowControl/>
              <w:spacing w:line="360" w:lineRule="auto"/>
              <w:contextualSpacing/>
              <w:jc w:val="center"/>
              <w:rPr>
                <w:rFonts w:hint="eastAsia" w:ascii="宋体" w:hAnsi="宋体" w:eastAsia="宋体" w:cs="宋体"/>
                <w:color w:val="auto"/>
                <w:kern w:val="0"/>
                <w:szCs w:val="21"/>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002BBCE">
            <w:pPr>
              <w:widowControl/>
              <w:spacing w:line="360" w:lineRule="auto"/>
              <w:contextualSpacing/>
              <w:jc w:val="center"/>
              <w:rPr>
                <w:rFonts w:hint="eastAsia" w:ascii="宋体" w:hAnsi="宋体" w:eastAsia="宋体" w:cs="宋体"/>
                <w:color w:val="auto"/>
                <w:kern w:val="0"/>
                <w:szCs w:val="21"/>
                <w:highlight w:val="none"/>
              </w:rPr>
            </w:pPr>
          </w:p>
        </w:tc>
      </w:tr>
      <w:tr w14:paraId="023F7B67">
        <w:tblPrEx>
          <w:shd w:val="clear" w:color="auto" w:fill="FBFBFB"/>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AFBF9A1">
            <w:pPr>
              <w:widowControl/>
              <w:spacing w:line="360" w:lineRule="auto"/>
              <w:contextualSpacing/>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06AE14D">
            <w:pPr>
              <w:widowControl/>
              <w:spacing w:line="360" w:lineRule="auto"/>
              <w:contextualSpacing/>
              <w:jc w:val="center"/>
              <w:rPr>
                <w:rFonts w:hint="eastAsia" w:ascii="宋体" w:hAnsi="宋体" w:eastAsia="宋体" w:cs="宋体"/>
                <w:color w:val="auto"/>
                <w:kern w:val="0"/>
                <w:szCs w:val="21"/>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2A17F1C">
            <w:pPr>
              <w:widowControl/>
              <w:spacing w:line="360" w:lineRule="auto"/>
              <w:contextualSpacing/>
              <w:jc w:val="center"/>
              <w:rPr>
                <w:rFonts w:hint="eastAsia" w:ascii="宋体" w:hAnsi="宋体" w:eastAsia="宋体" w:cs="宋体"/>
                <w:color w:val="auto"/>
                <w:kern w:val="0"/>
                <w:szCs w:val="21"/>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EBFB3B0">
            <w:pPr>
              <w:widowControl/>
              <w:spacing w:line="360" w:lineRule="auto"/>
              <w:contextualSpacing/>
              <w:jc w:val="center"/>
              <w:rPr>
                <w:rFonts w:hint="eastAsia" w:ascii="宋体" w:hAnsi="宋体" w:eastAsia="宋体" w:cs="宋体"/>
                <w:color w:val="auto"/>
                <w:kern w:val="0"/>
                <w:szCs w:val="21"/>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7C3658B">
            <w:pPr>
              <w:widowControl/>
              <w:spacing w:line="360" w:lineRule="auto"/>
              <w:contextualSpacing/>
              <w:jc w:val="center"/>
              <w:rPr>
                <w:rFonts w:hint="eastAsia" w:ascii="宋体" w:hAnsi="宋体" w:eastAsia="宋体" w:cs="宋体"/>
                <w:color w:val="auto"/>
                <w:kern w:val="0"/>
                <w:szCs w:val="21"/>
                <w:highlight w:val="none"/>
              </w:rPr>
            </w:pPr>
          </w:p>
        </w:tc>
      </w:tr>
      <w:tr w14:paraId="5863B0B1">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8228344">
            <w:pPr>
              <w:widowControl/>
              <w:spacing w:line="360" w:lineRule="auto"/>
              <w:contextualSpacing/>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BD4356D">
            <w:pPr>
              <w:widowControl/>
              <w:spacing w:line="360" w:lineRule="auto"/>
              <w:contextualSpacing/>
              <w:jc w:val="center"/>
              <w:rPr>
                <w:rFonts w:hint="eastAsia" w:ascii="宋体" w:hAnsi="宋体" w:eastAsia="宋体" w:cs="宋体"/>
                <w:color w:val="auto"/>
                <w:kern w:val="0"/>
                <w:szCs w:val="21"/>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47833CE">
            <w:pPr>
              <w:widowControl/>
              <w:spacing w:line="360" w:lineRule="auto"/>
              <w:contextualSpacing/>
              <w:jc w:val="center"/>
              <w:rPr>
                <w:rFonts w:hint="eastAsia" w:ascii="宋体" w:hAnsi="宋体" w:eastAsia="宋体" w:cs="宋体"/>
                <w:color w:val="auto"/>
                <w:kern w:val="0"/>
                <w:szCs w:val="21"/>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BEB5CB0">
            <w:pPr>
              <w:widowControl/>
              <w:spacing w:line="360" w:lineRule="auto"/>
              <w:contextualSpacing/>
              <w:jc w:val="center"/>
              <w:rPr>
                <w:rFonts w:hint="eastAsia" w:ascii="宋体" w:hAnsi="宋体" w:eastAsia="宋体" w:cs="宋体"/>
                <w:color w:val="auto"/>
                <w:kern w:val="0"/>
                <w:szCs w:val="21"/>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C40DD07">
            <w:pPr>
              <w:widowControl/>
              <w:spacing w:line="360" w:lineRule="auto"/>
              <w:contextualSpacing/>
              <w:jc w:val="center"/>
              <w:rPr>
                <w:rFonts w:hint="eastAsia" w:ascii="宋体" w:hAnsi="宋体" w:eastAsia="宋体" w:cs="宋体"/>
                <w:color w:val="auto"/>
                <w:kern w:val="0"/>
                <w:szCs w:val="21"/>
                <w:highlight w:val="none"/>
              </w:rPr>
            </w:pPr>
          </w:p>
        </w:tc>
      </w:tr>
    </w:tbl>
    <w:p w14:paraId="34989741">
      <w:pPr>
        <w:spacing w:line="360" w:lineRule="auto"/>
        <w:contextualSpacing/>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注：</w:t>
      </w:r>
    </w:p>
    <w:p w14:paraId="379E061C">
      <w:pPr>
        <w:spacing w:line="360" w:lineRule="auto"/>
        <w:ind w:firstLine="420" w:firstLineChars="200"/>
        <w:contextualSpacing/>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1290A71E">
      <w:pPr>
        <w:spacing w:line="360" w:lineRule="auto"/>
        <w:ind w:firstLine="420" w:firstLineChars="200"/>
        <w:contextualSpacing/>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2.本表所指的控股关系仅限于直接控股关系，不包括间接的控股关系。公司实际控制人与公司之间的关系不属于本表所指的直接控股关系。</w:t>
      </w:r>
    </w:p>
    <w:p w14:paraId="59FAC5C9">
      <w:pPr>
        <w:spacing w:line="360" w:lineRule="auto"/>
        <w:ind w:firstLine="420" w:firstLineChars="200"/>
        <w:contextualSpacing/>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3.供应商不存在直接控股股东的，则填“无”。</w:t>
      </w:r>
    </w:p>
    <w:p w14:paraId="202B4315">
      <w:pPr>
        <w:snapToGrid w:val="0"/>
        <w:spacing w:line="360" w:lineRule="auto"/>
        <w:jc w:val="left"/>
        <w:rPr>
          <w:rFonts w:hint="eastAsia" w:ascii="宋体" w:hAnsi="宋体" w:eastAsia="宋体" w:cs="宋体"/>
          <w:color w:val="auto"/>
          <w:szCs w:val="21"/>
          <w:highlight w:val="none"/>
        </w:rPr>
      </w:pPr>
    </w:p>
    <w:p w14:paraId="1145B74E">
      <w:pPr>
        <w:snapToGrid w:val="0"/>
        <w:spacing w:line="360" w:lineRule="auto"/>
        <w:jc w:val="left"/>
        <w:rPr>
          <w:rFonts w:hint="eastAsia" w:ascii="宋体" w:hAnsi="宋体" w:eastAsia="宋体" w:cs="宋体"/>
          <w:color w:val="auto"/>
          <w:szCs w:val="21"/>
          <w:highlight w:val="none"/>
        </w:rPr>
      </w:pPr>
    </w:p>
    <w:p w14:paraId="426EBF5C">
      <w:pPr>
        <w:snapToGrid w:val="0"/>
        <w:spacing w:line="360" w:lineRule="auto"/>
        <w:jc w:val="left"/>
        <w:rPr>
          <w:rFonts w:hint="eastAsia" w:ascii="宋体" w:hAnsi="宋体" w:eastAsia="宋体" w:cs="宋体"/>
          <w:color w:val="auto"/>
          <w:szCs w:val="21"/>
          <w:highlight w:val="none"/>
        </w:rPr>
      </w:pPr>
    </w:p>
    <w:p w14:paraId="5788B279">
      <w:pPr>
        <w:snapToGrid w:val="0"/>
        <w:spacing w:before="156" w:beforeLines="50" w:line="360" w:lineRule="auto"/>
        <w:ind w:right="480" w:firstLine="3045" w:firstLineChars="1450"/>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法定代表人或者委托代理人（签字或者电子签名）：</w:t>
      </w:r>
      <w:r>
        <w:rPr>
          <w:rFonts w:hint="eastAsia" w:ascii="宋体" w:hAnsi="宋体" w:eastAsia="宋体" w:cs="宋体"/>
          <w:color w:val="auto"/>
          <w:szCs w:val="21"/>
          <w:highlight w:val="none"/>
          <w:u w:val="single"/>
        </w:rPr>
        <w:t xml:space="preserve">          </w:t>
      </w:r>
    </w:p>
    <w:p w14:paraId="46DC9F7F">
      <w:pPr>
        <w:snapToGrid w:val="0"/>
        <w:spacing w:before="156" w:beforeLines="50" w:after="50" w:line="360" w:lineRule="auto"/>
        <w:ind w:right="480" w:firstLine="3045" w:firstLineChars="1450"/>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供应商（盖公章 ）：</w:t>
      </w:r>
      <w:r>
        <w:rPr>
          <w:rFonts w:hint="eastAsia" w:ascii="宋体" w:hAnsi="宋体" w:eastAsia="宋体" w:cs="宋体"/>
          <w:color w:val="auto"/>
          <w:szCs w:val="21"/>
          <w:highlight w:val="none"/>
          <w:u w:val="single"/>
        </w:rPr>
        <w:t xml:space="preserve">                           </w:t>
      </w:r>
    </w:p>
    <w:p w14:paraId="4D7E5676">
      <w:pPr>
        <w:snapToGrid w:val="0"/>
        <w:spacing w:before="156" w:beforeLines="50" w:after="50" w:line="360" w:lineRule="auto"/>
        <w:ind w:right="480" w:firstLine="4620" w:firstLineChars="2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年    月    日</w:t>
      </w:r>
    </w:p>
    <w:p w14:paraId="4C7647A5">
      <w:pPr>
        <w:snapToGrid w:val="0"/>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br w:type="page"/>
      </w:r>
    </w:p>
    <w:p w14:paraId="611D5025">
      <w:pPr>
        <w:spacing w:line="320" w:lineRule="exact"/>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供应商直接管理关系信息表</w:t>
      </w:r>
    </w:p>
    <w:p w14:paraId="3C761FE1">
      <w:pPr>
        <w:snapToGrid w:val="0"/>
        <w:spacing w:line="360" w:lineRule="auto"/>
        <w:jc w:val="center"/>
        <w:rPr>
          <w:rFonts w:hint="eastAsia" w:ascii="宋体" w:hAnsi="宋体" w:eastAsia="宋体" w:cs="宋体"/>
          <w:b/>
          <w:color w:val="auto"/>
          <w:sz w:val="24"/>
          <w:highlight w:val="none"/>
        </w:rPr>
      </w:pPr>
    </w:p>
    <w:tbl>
      <w:tblPr>
        <w:tblStyle w:val="33"/>
        <w:tblW w:w="0" w:type="auto"/>
        <w:jc w:val="center"/>
        <w:shd w:val="clear" w:color="auto" w:fill="FBFBFB"/>
        <w:tblLayout w:type="fixed"/>
        <w:tblCellMar>
          <w:top w:w="0" w:type="dxa"/>
          <w:left w:w="0" w:type="dxa"/>
          <w:bottom w:w="0" w:type="dxa"/>
          <w:right w:w="0" w:type="dxa"/>
        </w:tblCellMar>
      </w:tblPr>
      <w:tblGrid>
        <w:gridCol w:w="808"/>
        <w:gridCol w:w="3600"/>
        <w:gridCol w:w="3555"/>
        <w:gridCol w:w="1689"/>
      </w:tblGrid>
      <w:tr w14:paraId="16A795CE">
        <w:tblPrEx>
          <w:shd w:val="clear" w:color="auto" w:fill="FBFBFB"/>
          <w:tblCellMar>
            <w:top w:w="0" w:type="dxa"/>
            <w:left w:w="0" w:type="dxa"/>
            <w:bottom w:w="0" w:type="dxa"/>
            <w:right w:w="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66BB204">
            <w:pPr>
              <w:widowControl/>
              <w:spacing w:line="360" w:lineRule="auto"/>
              <w:contextualSpacing/>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序号</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266C3B2">
            <w:pPr>
              <w:widowControl/>
              <w:spacing w:line="360" w:lineRule="auto"/>
              <w:contextualSpacing/>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直接管理关系单位名称</w:t>
            </w: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90515CC">
            <w:pPr>
              <w:widowControl/>
              <w:spacing w:line="360" w:lineRule="auto"/>
              <w:contextualSpacing/>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统一社会信用代码</w:t>
            </w: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617BADF">
            <w:pPr>
              <w:widowControl/>
              <w:spacing w:line="360" w:lineRule="auto"/>
              <w:contextualSpacing/>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备注</w:t>
            </w:r>
          </w:p>
        </w:tc>
      </w:tr>
      <w:tr w14:paraId="23EC3C00">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E0CFBD5">
            <w:pPr>
              <w:widowControl/>
              <w:spacing w:line="360" w:lineRule="auto"/>
              <w:contextualSpacing/>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55640C0">
            <w:pPr>
              <w:widowControl/>
              <w:spacing w:line="360" w:lineRule="auto"/>
              <w:contextualSpacing/>
              <w:jc w:val="center"/>
              <w:rPr>
                <w:rFonts w:hint="eastAsia" w:ascii="宋体" w:hAnsi="宋体" w:eastAsia="宋体" w:cs="宋体"/>
                <w:color w:val="auto"/>
                <w:kern w:val="0"/>
                <w:szCs w:val="21"/>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4D0EBE7">
            <w:pPr>
              <w:widowControl/>
              <w:spacing w:line="360" w:lineRule="auto"/>
              <w:contextualSpacing/>
              <w:jc w:val="center"/>
              <w:rPr>
                <w:rFonts w:hint="eastAsia" w:ascii="宋体" w:hAnsi="宋体" w:eastAsia="宋体" w:cs="宋体"/>
                <w:color w:val="auto"/>
                <w:kern w:val="0"/>
                <w:szCs w:val="21"/>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F5444B8">
            <w:pPr>
              <w:widowControl/>
              <w:spacing w:line="360" w:lineRule="auto"/>
              <w:contextualSpacing/>
              <w:jc w:val="center"/>
              <w:rPr>
                <w:rFonts w:hint="eastAsia" w:ascii="宋体" w:hAnsi="宋体" w:eastAsia="宋体" w:cs="宋体"/>
                <w:color w:val="auto"/>
                <w:kern w:val="0"/>
                <w:szCs w:val="21"/>
                <w:highlight w:val="none"/>
              </w:rPr>
            </w:pPr>
          </w:p>
        </w:tc>
      </w:tr>
      <w:tr w14:paraId="51B22143">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9B6661B">
            <w:pPr>
              <w:widowControl/>
              <w:spacing w:line="360" w:lineRule="auto"/>
              <w:contextualSpacing/>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66AEDD8">
            <w:pPr>
              <w:widowControl/>
              <w:spacing w:line="360" w:lineRule="auto"/>
              <w:contextualSpacing/>
              <w:jc w:val="center"/>
              <w:rPr>
                <w:rFonts w:hint="eastAsia" w:ascii="宋体" w:hAnsi="宋体" w:eastAsia="宋体" w:cs="宋体"/>
                <w:color w:val="auto"/>
                <w:kern w:val="0"/>
                <w:szCs w:val="21"/>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60E021F">
            <w:pPr>
              <w:widowControl/>
              <w:spacing w:line="360" w:lineRule="auto"/>
              <w:contextualSpacing/>
              <w:jc w:val="center"/>
              <w:rPr>
                <w:rFonts w:hint="eastAsia" w:ascii="宋体" w:hAnsi="宋体" w:eastAsia="宋体" w:cs="宋体"/>
                <w:color w:val="auto"/>
                <w:kern w:val="0"/>
                <w:szCs w:val="21"/>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F8E717B">
            <w:pPr>
              <w:widowControl/>
              <w:spacing w:line="360" w:lineRule="auto"/>
              <w:contextualSpacing/>
              <w:jc w:val="center"/>
              <w:rPr>
                <w:rFonts w:hint="eastAsia" w:ascii="宋体" w:hAnsi="宋体" w:eastAsia="宋体" w:cs="宋体"/>
                <w:color w:val="auto"/>
                <w:kern w:val="0"/>
                <w:szCs w:val="21"/>
                <w:highlight w:val="none"/>
              </w:rPr>
            </w:pPr>
          </w:p>
        </w:tc>
      </w:tr>
      <w:tr w14:paraId="5B2B2407">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3169FC4">
            <w:pPr>
              <w:widowControl/>
              <w:spacing w:line="360" w:lineRule="auto"/>
              <w:contextualSpacing/>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B5D0FC2">
            <w:pPr>
              <w:widowControl/>
              <w:spacing w:line="360" w:lineRule="auto"/>
              <w:contextualSpacing/>
              <w:jc w:val="center"/>
              <w:rPr>
                <w:rFonts w:hint="eastAsia" w:ascii="宋体" w:hAnsi="宋体" w:eastAsia="宋体" w:cs="宋体"/>
                <w:color w:val="auto"/>
                <w:kern w:val="0"/>
                <w:szCs w:val="21"/>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DA22B87">
            <w:pPr>
              <w:widowControl/>
              <w:spacing w:line="360" w:lineRule="auto"/>
              <w:contextualSpacing/>
              <w:jc w:val="center"/>
              <w:rPr>
                <w:rFonts w:hint="eastAsia" w:ascii="宋体" w:hAnsi="宋体" w:eastAsia="宋体" w:cs="宋体"/>
                <w:color w:val="auto"/>
                <w:kern w:val="0"/>
                <w:szCs w:val="21"/>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8C494CD">
            <w:pPr>
              <w:widowControl/>
              <w:spacing w:line="360" w:lineRule="auto"/>
              <w:contextualSpacing/>
              <w:jc w:val="center"/>
              <w:rPr>
                <w:rFonts w:hint="eastAsia" w:ascii="宋体" w:hAnsi="宋体" w:eastAsia="宋体" w:cs="宋体"/>
                <w:color w:val="auto"/>
                <w:kern w:val="0"/>
                <w:szCs w:val="21"/>
                <w:highlight w:val="none"/>
              </w:rPr>
            </w:pPr>
          </w:p>
        </w:tc>
      </w:tr>
      <w:tr w14:paraId="2E27B2A7">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42CFE4A">
            <w:pPr>
              <w:widowControl/>
              <w:spacing w:line="360" w:lineRule="auto"/>
              <w:contextualSpacing/>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51B57DA">
            <w:pPr>
              <w:widowControl/>
              <w:spacing w:line="360" w:lineRule="auto"/>
              <w:contextualSpacing/>
              <w:jc w:val="center"/>
              <w:rPr>
                <w:rFonts w:hint="eastAsia" w:ascii="宋体" w:hAnsi="宋体" w:eastAsia="宋体" w:cs="宋体"/>
                <w:color w:val="auto"/>
                <w:kern w:val="0"/>
                <w:szCs w:val="21"/>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314E29A">
            <w:pPr>
              <w:widowControl/>
              <w:spacing w:line="360" w:lineRule="auto"/>
              <w:contextualSpacing/>
              <w:jc w:val="center"/>
              <w:rPr>
                <w:rFonts w:hint="eastAsia" w:ascii="宋体" w:hAnsi="宋体" w:eastAsia="宋体" w:cs="宋体"/>
                <w:color w:val="auto"/>
                <w:kern w:val="0"/>
                <w:szCs w:val="21"/>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8B1AEE8">
            <w:pPr>
              <w:widowControl/>
              <w:spacing w:line="360" w:lineRule="auto"/>
              <w:contextualSpacing/>
              <w:jc w:val="center"/>
              <w:rPr>
                <w:rFonts w:hint="eastAsia" w:ascii="宋体" w:hAnsi="宋体" w:eastAsia="宋体" w:cs="宋体"/>
                <w:color w:val="auto"/>
                <w:kern w:val="0"/>
                <w:szCs w:val="21"/>
                <w:highlight w:val="none"/>
              </w:rPr>
            </w:pPr>
          </w:p>
        </w:tc>
      </w:tr>
    </w:tbl>
    <w:p w14:paraId="0D90D8AE">
      <w:pPr>
        <w:spacing w:line="360" w:lineRule="auto"/>
        <w:contextualSpacing/>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注：</w:t>
      </w:r>
    </w:p>
    <w:p w14:paraId="0C17C4EC">
      <w:pPr>
        <w:spacing w:line="360" w:lineRule="auto"/>
        <w:ind w:firstLine="420" w:firstLineChars="200"/>
        <w:contextualSpacing/>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1.管理关系：是指不具有出资持股关系的其他单位之间存在的管理与被管理关系，如一些上下级关系的事业单位和团体组织。</w:t>
      </w:r>
    </w:p>
    <w:p w14:paraId="440F9A81">
      <w:pPr>
        <w:spacing w:line="360" w:lineRule="auto"/>
        <w:ind w:firstLine="420" w:firstLineChars="200"/>
        <w:contextualSpacing/>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pacing w:val="-6"/>
          <w:szCs w:val="21"/>
          <w:highlight w:val="none"/>
        </w:rPr>
        <w:t>本表所指的管理关系仅限于直接管理关系，不包括间接的管理关系。</w:t>
      </w:r>
    </w:p>
    <w:p w14:paraId="2BE1D341">
      <w:pPr>
        <w:spacing w:line="360" w:lineRule="auto"/>
        <w:ind w:firstLine="420" w:firstLineChars="200"/>
        <w:contextualSpacing/>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3.供应商不存在直接管理关系的，则填“无”。</w:t>
      </w:r>
    </w:p>
    <w:p w14:paraId="1B30F708">
      <w:pPr>
        <w:spacing w:line="360" w:lineRule="auto"/>
        <w:contextualSpacing/>
        <w:jc w:val="left"/>
        <w:rPr>
          <w:rFonts w:hint="eastAsia" w:ascii="宋体" w:hAnsi="宋体" w:eastAsia="宋体" w:cs="宋体"/>
          <w:color w:val="auto"/>
          <w:szCs w:val="21"/>
          <w:highlight w:val="none"/>
        </w:rPr>
      </w:pPr>
    </w:p>
    <w:p w14:paraId="1EA837B7">
      <w:pPr>
        <w:spacing w:line="360" w:lineRule="auto"/>
        <w:contextualSpacing/>
        <w:jc w:val="left"/>
        <w:rPr>
          <w:rFonts w:hint="eastAsia" w:ascii="宋体" w:hAnsi="宋体" w:eastAsia="宋体" w:cs="宋体"/>
          <w:color w:val="auto"/>
          <w:szCs w:val="21"/>
          <w:highlight w:val="none"/>
        </w:rPr>
      </w:pPr>
    </w:p>
    <w:p w14:paraId="77CF7C72">
      <w:pPr>
        <w:spacing w:line="360" w:lineRule="auto"/>
        <w:contextualSpacing/>
        <w:jc w:val="left"/>
        <w:rPr>
          <w:rFonts w:hint="eastAsia" w:ascii="宋体" w:hAnsi="宋体" w:eastAsia="宋体" w:cs="宋体"/>
          <w:color w:val="auto"/>
          <w:szCs w:val="21"/>
          <w:highlight w:val="none"/>
        </w:rPr>
      </w:pPr>
    </w:p>
    <w:p w14:paraId="7DFBB969">
      <w:pPr>
        <w:spacing w:line="360" w:lineRule="auto"/>
        <w:contextualSpacing/>
        <w:jc w:val="left"/>
        <w:rPr>
          <w:rFonts w:hint="eastAsia" w:ascii="宋体" w:hAnsi="宋体" w:eastAsia="宋体" w:cs="宋体"/>
          <w:color w:val="auto"/>
          <w:szCs w:val="21"/>
          <w:highlight w:val="none"/>
        </w:rPr>
      </w:pPr>
    </w:p>
    <w:p w14:paraId="08803331">
      <w:pPr>
        <w:spacing w:line="360" w:lineRule="auto"/>
        <w:contextualSpacing/>
        <w:jc w:val="left"/>
        <w:rPr>
          <w:rFonts w:hint="eastAsia" w:ascii="宋体" w:hAnsi="宋体" w:eastAsia="宋体" w:cs="宋体"/>
          <w:color w:val="auto"/>
          <w:szCs w:val="21"/>
          <w:highlight w:val="none"/>
        </w:rPr>
      </w:pPr>
    </w:p>
    <w:p w14:paraId="440AFD1A">
      <w:pPr>
        <w:spacing w:line="360" w:lineRule="auto"/>
        <w:contextualSpacing/>
        <w:jc w:val="left"/>
        <w:rPr>
          <w:rFonts w:hint="eastAsia" w:ascii="宋体" w:hAnsi="宋体" w:eastAsia="宋体" w:cs="宋体"/>
          <w:color w:val="auto"/>
          <w:szCs w:val="21"/>
          <w:highlight w:val="none"/>
        </w:rPr>
      </w:pPr>
    </w:p>
    <w:p w14:paraId="1883CDBC">
      <w:pPr>
        <w:spacing w:line="360" w:lineRule="auto"/>
        <w:ind w:right="480" w:firstLine="2940" w:firstLineChars="1400"/>
        <w:contextualSpacing/>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法定代表人或者委托代理人（签字或者电子签名）：</w:t>
      </w:r>
      <w:r>
        <w:rPr>
          <w:rFonts w:hint="eastAsia" w:ascii="宋体" w:hAnsi="宋体" w:eastAsia="宋体" w:cs="宋体"/>
          <w:color w:val="auto"/>
          <w:szCs w:val="21"/>
          <w:highlight w:val="none"/>
          <w:u w:val="single"/>
        </w:rPr>
        <w:t xml:space="preserve">               </w:t>
      </w:r>
    </w:p>
    <w:p w14:paraId="467098EB">
      <w:pPr>
        <w:spacing w:line="360" w:lineRule="auto"/>
        <w:ind w:right="480" w:firstLine="2940" w:firstLineChars="140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供应商（盖公章）：</w:t>
      </w:r>
      <w:r>
        <w:rPr>
          <w:rFonts w:hint="eastAsia" w:ascii="宋体" w:hAnsi="宋体" w:eastAsia="宋体" w:cs="宋体"/>
          <w:color w:val="auto"/>
          <w:szCs w:val="21"/>
          <w:highlight w:val="none"/>
          <w:u w:val="single"/>
        </w:rPr>
        <w:t xml:space="preserve">                </w:t>
      </w:r>
    </w:p>
    <w:p w14:paraId="2A4CA186">
      <w:pPr>
        <w:spacing w:line="360" w:lineRule="auto"/>
        <w:ind w:right="480" w:firstLine="210" w:firstLineChars="100"/>
        <w:contextualSpacing/>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年    月    日</w:t>
      </w:r>
    </w:p>
    <w:p w14:paraId="31DAD64C">
      <w:pPr>
        <w:spacing w:line="320" w:lineRule="exact"/>
        <w:jc w:val="center"/>
        <w:rPr>
          <w:rFonts w:hint="eastAsia" w:ascii="宋体" w:hAnsi="宋体" w:eastAsia="宋体" w:cs="宋体"/>
          <w:b/>
          <w:color w:val="auto"/>
          <w:sz w:val="32"/>
          <w:szCs w:val="32"/>
          <w:highlight w:val="none"/>
        </w:rPr>
      </w:pPr>
      <w:r>
        <w:rPr>
          <w:rFonts w:hint="eastAsia" w:ascii="宋体" w:hAnsi="宋体" w:eastAsia="宋体" w:cs="宋体"/>
          <w:color w:val="auto"/>
          <w:sz w:val="28"/>
          <w:szCs w:val="28"/>
          <w:highlight w:val="none"/>
        </w:rPr>
        <w:br w:type="page"/>
      </w:r>
      <w:r>
        <w:rPr>
          <w:rFonts w:hint="eastAsia" w:ascii="宋体" w:hAnsi="宋体" w:eastAsia="宋体" w:cs="宋体"/>
          <w:b/>
          <w:color w:val="auto"/>
          <w:sz w:val="32"/>
          <w:szCs w:val="32"/>
          <w:highlight w:val="none"/>
        </w:rPr>
        <w:t>竞标声明</w:t>
      </w:r>
    </w:p>
    <w:p w14:paraId="6E9B8B33">
      <w:pPr>
        <w:spacing w:line="320" w:lineRule="exact"/>
        <w:jc w:val="center"/>
        <w:rPr>
          <w:rFonts w:hint="eastAsia" w:ascii="宋体" w:hAnsi="宋体" w:eastAsia="宋体" w:cs="宋体"/>
          <w:color w:val="auto"/>
          <w:sz w:val="24"/>
          <w:szCs w:val="20"/>
          <w:highlight w:val="none"/>
        </w:rPr>
      </w:pPr>
    </w:p>
    <w:p w14:paraId="6F87C6A9">
      <w:pPr>
        <w:spacing w:line="360" w:lineRule="auto"/>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致：</w:t>
      </w:r>
      <w:r>
        <w:rPr>
          <w:rFonts w:hint="eastAsia" w:ascii="宋体" w:hAnsi="宋体" w:eastAsia="宋体" w:cs="宋体"/>
          <w:color w:val="auto"/>
          <w:szCs w:val="21"/>
          <w:highlight w:val="none"/>
          <w:u w:val="single"/>
        </w:rPr>
        <w:t>（采购人名称）</w:t>
      </w:r>
      <w:r>
        <w:rPr>
          <w:rFonts w:hint="eastAsia" w:ascii="宋体" w:hAnsi="宋体" w:eastAsia="宋体" w:cs="宋体"/>
          <w:color w:val="auto"/>
          <w:szCs w:val="21"/>
          <w:highlight w:val="none"/>
        </w:rPr>
        <w:t>：</w:t>
      </w:r>
    </w:p>
    <w:p w14:paraId="06560771">
      <w:pPr>
        <w:spacing w:line="360" w:lineRule="auto"/>
        <w:ind w:firstLine="420" w:firstLineChars="20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u w:val="single"/>
        </w:rPr>
        <w:t>（供应商名称）</w:t>
      </w:r>
      <w:r>
        <w:rPr>
          <w:rFonts w:hint="eastAsia" w:ascii="宋体" w:hAnsi="宋体" w:eastAsia="宋体" w:cs="宋体"/>
          <w:color w:val="auto"/>
          <w:szCs w:val="21"/>
          <w:highlight w:val="none"/>
        </w:rPr>
        <w:t>系中华人民共和国合法供应商，经营地址</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w:t>
      </w:r>
    </w:p>
    <w:p w14:paraId="7DD72AB7">
      <w:pPr>
        <w:spacing w:line="360" w:lineRule="auto"/>
        <w:ind w:firstLine="420" w:firstLineChars="20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我方愿意参加贵方组织的</w:t>
      </w:r>
      <w:r>
        <w:rPr>
          <w:rFonts w:hint="eastAsia" w:ascii="宋体" w:hAnsi="宋体" w:eastAsia="宋体" w:cs="宋体"/>
          <w:color w:val="auto"/>
          <w:szCs w:val="21"/>
          <w:highlight w:val="none"/>
          <w:u w:val="single"/>
        </w:rPr>
        <w:t>（项目名称）</w:t>
      </w:r>
      <w:r>
        <w:rPr>
          <w:rFonts w:hint="eastAsia" w:ascii="宋体" w:hAnsi="宋体" w:eastAsia="宋体" w:cs="宋体"/>
          <w:color w:val="auto"/>
          <w:szCs w:val="21"/>
          <w:highlight w:val="none"/>
        </w:rPr>
        <w:t>项目的竞标，为便于贵方公正、择优地确定成交供应商及其竞标产品和服务，我方就本次竞标有关事项郑重声明如下：</w:t>
      </w:r>
    </w:p>
    <w:p w14:paraId="381AD0B1">
      <w:pPr>
        <w:spacing w:line="360" w:lineRule="auto"/>
        <w:ind w:firstLine="420" w:firstLineChars="20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1.我方向贵方提交的所有响应文件、资料都是准确的和真实的。</w:t>
      </w:r>
    </w:p>
    <w:p w14:paraId="50FC128C">
      <w:pPr>
        <w:spacing w:line="360" w:lineRule="auto"/>
        <w:ind w:firstLine="420" w:firstLineChars="20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2.我方不是为本次采购项目提供整体设计、规范编制或者项目管理、监理、检测等服务的供应商。</w:t>
      </w:r>
    </w:p>
    <w:p w14:paraId="4C371CEE">
      <w:pPr>
        <w:spacing w:line="360" w:lineRule="auto"/>
        <w:ind w:firstLine="420" w:firstLineChars="20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3.在此，我方宣布同意如下：</w:t>
      </w:r>
    </w:p>
    <w:p w14:paraId="2732CCC0">
      <w:pPr>
        <w:spacing w:line="360" w:lineRule="auto"/>
        <w:ind w:firstLine="420" w:firstLineChars="20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（1）将按磋商文件的约定履行合同责任和义务；</w:t>
      </w:r>
    </w:p>
    <w:p w14:paraId="099B3C55">
      <w:pPr>
        <w:spacing w:line="360" w:lineRule="auto"/>
        <w:ind w:firstLine="420" w:firstLineChars="20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（2）已详细审查全部磋商文件，包括澄清或者更正公告（如有）；</w:t>
      </w:r>
    </w:p>
    <w:p w14:paraId="56908917">
      <w:pPr>
        <w:spacing w:line="360" w:lineRule="auto"/>
        <w:ind w:firstLine="420" w:firstLineChars="20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（3）同意提供按照贵方可能要求的与磋商有关的一切数据或者资料；</w:t>
      </w:r>
    </w:p>
    <w:p w14:paraId="3EC5D512">
      <w:pPr>
        <w:spacing w:line="360" w:lineRule="auto"/>
        <w:ind w:firstLine="420" w:firstLineChars="20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（4）响应磋商文件规定的竞标有效期。</w:t>
      </w:r>
    </w:p>
    <w:p w14:paraId="444F8F99">
      <w:pPr>
        <w:spacing w:line="360" w:lineRule="auto"/>
        <w:ind w:firstLine="420" w:firstLineChars="20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4.我方承诺符合《中华人民共和国政府采购法》第二十二条规定：</w:t>
      </w:r>
    </w:p>
    <w:p w14:paraId="261B8F57">
      <w:pPr>
        <w:spacing w:line="360" w:lineRule="auto"/>
        <w:ind w:firstLine="420" w:firstLineChars="20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（1）具有独立承担民事责任的能力；</w:t>
      </w:r>
    </w:p>
    <w:p w14:paraId="3D842C11">
      <w:pPr>
        <w:spacing w:line="360" w:lineRule="auto"/>
        <w:ind w:firstLine="420" w:firstLineChars="20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（2）具有良好的商业信誉和健全的财务会计制度；</w:t>
      </w:r>
    </w:p>
    <w:p w14:paraId="41827C5F">
      <w:pPr>
        <w:spacing w:line="360" w:lineRule="auto"/>
        <w:ind w:firstLine="420" w:firstLineChars="20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（3）具有履行合同所必需的设备和专业技术能力；</w:t>
      </w:r>
    </w:p>
    <w:p w14:paraId="7FDE3E63">
      <w:pPr>
        <w:spacing w:line="360" w:lineRule="auto"/>
        <w:ind w:firstLine="420" w:firstLineChars="20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（4）有依法缴纳税收和社会保障资金的良好记录；</w:t>
      </w:r>
    </w:p>
    <w:p w14:paraId="066D18CF">
      <w:pPr>
        <w:spacing w:line="360" w:lineRule="auto"/>
        <w:ind w:firstLine="420" w:firstLineChars="20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（5）参加政府采购活动前三年内，在经营活动中没有重大违法记录；</w:t>
      </w:r>
    </w:p>
    <w:p w14:paraId="0C106EE4">
      <w:pPr>
        <w:spacing w:line="360" w:lineRule="auto"/>
        <w:ind w:firstLine="420" w:firstLineChars="20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（6）法律、行政法规规定的其他条件。</w:t>
      </w:r>
    </w:p>
    <w:p w14:paraId="6D5EE549">
      <w:pPr>
        <w:spacing w:line="360" w:lineRule="auto"/>
        <w:ind w:firstLine="420" w:firstLineChars="20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41C64D20">
      <w:pPr>
        <w:spacing w:line="360" w:lineRule="auto"/>
        <w:ind w:firstLine="420" w:firstLineChars="20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29D76085">
      <w:pPr>
        <w:spacing w:line="360" w:lineRule="auto"/>
        <w:ind w:firstLine="420" w:firstLineChars="20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□我方本次响应文件</w:t>
      </w:r>
      <w:r>
        <w:rPr>
          <w:rFonts w:hint="eastAsia" w:ascii="宋体" w:hAnsi="宋体" w:eastAsia="宋体" w:cs="宋体"/>
          <w:color w:val="auto"/>
          <w:kern w:val="0"/>
          <w:szCs w:val="21"/>
          <w:highlight w:val="none"/>
        </w:rPr>
        <w:t>内容中</w:t>
      </w:r>
      <w:r>
        <w:rPr>
          <w:rFonts w:hint="eastAsia" w:ascii="宋体" w:hAnsi="宋体" w:eastAsia="宋体" w:cs="宋体"/>
          <w:color w:val="auto"/>
          <w:szCs w:val="21"/>
          <w:highlight w:val="none"/>
        </w:rPr>
        <w:t>未</w:t>
      </w:r>
      <w:r>
        <w:rPr>
          <w:rFonts w:hint="eastAsia" w:ascii="宋体" w:hAnsi="宋体" w:eastAsia="宋体" w:cs="宋体"/>
          <w:color w:val="auto"/>
          <w:kern w:val="0"/>
          <w:szCs w:val="21"/>
          <w:highlight w:val="none"/>
        </w:rPr>
        <w:t>涉及商业秘密；</w:t>
      </w:r>
    </w:p>
    <w:p w14:paraId="118246E5">
      <w:pPr>
        <w:spacing w:line="360" w:lineRule="auto"/>
        <w:ind w:firstLine="420" w:firstLineChars="20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□我方本次响应文件</w:t>
      </w:r>
      <w:r>
        <w:rPr>
          <w:rFonts w:hint="eastAsia" w:ascii="宋体" w:hAnsi="宋体" w:eastAsia="宋体" w:cs="宋体"/>
          <w:color w:val="auto"/>
          <w:kern w:val="0"/>
          <w:szCs w:val="21"/>
          <w:highlight w:val="none"/>
        </w:rPr>
        <w:t>涉及商业秘密的内容有：</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w:t>
      </w:r>
    </w:p>
    <w:p w14:paraId="2D11141B">
      <w:pPr>
        <w:pStyle w:val="19"/>
        <w:spacing w:line="360" w:lineRule="auto"/>
        <w:ind w:firstLine="420" w:firstLineChars="200"/>
        <w:contextualSpacing/>
        <w:rPr>
          <w:rFonts w:hint="eastAsia" w:ascii="宋体" w:hAnsi="宋体" w:eastAsia="宋体" w:cs="宋体"/>
          <w:color w:val="auto"/>
          <w:sz w:val="21"/>
          <w:highlight w:val="none"/>
          <w:u w:val="single"/>
        </w:rPr>
      </w:pPr>
      <w:r>
        <w:rPr>
          <w:rFonts w:hint="eastAsia" w:ascii="宋体" w:hAnsi="宋体" w:eastAsia="宋体" w:cs="宋体"/>
          <w:color w:val="auto"/>
          <w:sz w:val="21"/>
          <w:highlight w:val="none"/>
        </w:rPr>
        <w:t>7.与本磋商有关的一切正式往来信函请寄：</w:t>
      </w:r>
      <w:r>
        <w:rPr>
          <w:rFonts w:hint="eastAsia" w:ascii="宋体" w:hAnsi="宋体" w:eastAsia="宋体" w:cs="宋体"/>
          <w:color w:val="auto"/>
          <w:sz w:val="21"/>
          <w:highlight w:val="none"/>
          <w:u w:val="single"/>
        </w:rPr>
        <w:t xml:space="preserve">                  </w:t>
      </w:r>
      <w:r>
        <w:rPr>
          <w:rFonts w:hint="eastAsia" w:ascii="宋体" w:hAnsi="宋体" w:eastAsia="宋体" w:cs="宋体"/>
          <w:color w:val="auto"/>
          <w:sz w:val="21"/>
          <w:highlight w:val="none"/>
        </w:rPr>
        <w:t>邮政编号：</w:t>
      </w:r>
      <w:r>
        <w:rPr>
          <w:rFonts w:hint="eastAsia" w:ascii="宋体" w:hAnsi="宋体" w:eastAsia="宋体" w:cs="宋体"/>
          <w:color w:val="auto"/>
          <w:sz w:val="21"/>
          <w:highlight w:val="none"/>
          <w:u w:val="single"/>
        </w:rPr>
        <w:t xml:space="preserve">        </w:t>
      </w:r>
    </w:p>
    <w:p w14:paraId="195476F1">
      <w:pPr>
        <w:pStyle w:val="19"/>
        <w:spacing w:line="360" w:lineRule="auto"/>
        <w:ind w:firstLine="420" w:firstLineChars="200"/>
        <w:contextualSpacing/>
        <w:rPr>
          <w:rFonts w:hint="eastAsia" w:ascii="宋体" w:hAnsi="宋体" w:eastAsia="宋体" w:cs="宋体"/>
          <w:color w:val="auto"/>
          <w:sz w:val="21"/>
          <w:highlight w:val="none"/>
        </w:rPr>
      </w:pPr>
      <w:r>
        <w:rPr>
          <w:rFonts w:hint="eastAsia" w:ascii="宋体" w:hAnsi="宋体" w:eastAsia="宋体" w:cs="宋体"/>
          <w:color w:val="auto"/>
          <w:sz w:val="21"/>
          <w:highlight w:val="none"/>
        </w:rPr>
        <w:t>电话/传真：</w:t>
      </w:r>
      <w:r>
        <w:rPr>
          <w:rFonts w:hint="eastAsia" w:ascii="宋体" w:hAnsi="宋体" w:eastAsia="宋体" w:cs="宋体"/>
          <w:color w:val="auto"/>
          <w:sz w:val="21"/>
          <w:highlight w:val="none"/>
          <w:u w:val="single"/>
        </w:rPr>
        <w:t xml:space="preserve">                        </w:t>
      </w:r>
      <w:r>
        <w:rPr>
          <w:rFonts w:hint="eastAsia" w:ascii="宋体" w:hAnsi="宋体" w:eastAsia="宋体" w:cs="宋体"/>
          <w:color w:val="auto"/>
          <w:sz w:val="21"/>
          <w:highlight w:val="none"/>
        </w:rPr>
        <w:t xml:space="preserve"> 电子函件：</w:t>
      </w:r>
      <w:r>
        <w:rPr>
          <w:rFonts w:hint="eastAsia" w:ascii="宋体" w:hAnsi="宋体" w:eastAsia="宋体" w:cs="宋体"/>
          <w:color w:val="auto"/>
          <w:sz w:val="21"/>
          <w:highlight w:val="none"/>
          <w:u w:val="single"/>
        </w:rPr>
        <w:t xml:space="preserve">                            </w:t>
      </w:r>
    </w:p>
    <w:p w14:paraId="0F0FCFD8">
      <w:pPr>
        <w:pStyle w:val="18"/>
        <w:tabs>
          <w:tab w:val="left" w:pos="939"/>
        </w:tabs>
        <w:spacing w:line="360" w:lineRule="auto"/>
        <w:ind w:left="141" w:leftChars="67" w:firstLine="315" w:firstLineChars="150"/>
        <w:rPr>
          <w:rFonts w:hint="eastAsia" w:ascii="宋体" w:hAnsi="宋体" w:eastAsia="宋体" w:cs="宋体"/>
          <w:color w:val="auto"/>
          <w:szCs w:val="21"/>
          <w:highlight w:val="none"/>
        </w:rPr>
      </w:pPr>
      <w:r>
        <w:rPr>
          <w:rFonts w:hint="eastAsia" w:ascii="宋体" w:hAnsi="宋体" w:eastAsia="宋体" w:cs="宋体"/>
          <w:color w:val="auto"/>
          <w:szCs w:val="21"/>
          <w:highlight w:val="none"/>
        </w:rPr>
        <w:t>开户银行：</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w:t>
      </w:r>
      <w:r>
        <w:rPr>
          <w:rFonts w:hint="eastAsia" w:ascii="宋体" w:hAnsi="宋体" w:cs="宋体"/>
          <w:color w:val="auto"/>
          <w:szCs w:val="21"/>
          <w:highlight w:val="none"/>
          <w:lang w:eastAsia="zh-CN"/>
        </w:rPr>
        <w:t>账号</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rPr>
        <w:t xml:space="preserve">                               </w:t>
      </w:r>
    </w:p>
    <w:p w14:paraId="61C965A1">
      <w:pPr>
        <w:pStyle w:val="18"/>
        <w:tabs>
          <w:tab w:val="left" w:pos="939"/>
        </w:tabs>
        <w:spacing w:line="360" w:lineRule="auto"/>
        <w:ind w:left="0" w:leftChars="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8.以上事项如有虚假或者隐瞒，我方愿意承担一切后果，并不再寻求任何旨在减轻或者免除法律责任的辩解。</w:t>
      </w:r>
    </w:p>
    <w:p w14:paraId="012CD4C2">
      <w:pPr>
        <w:pStyle w:val="18"/>
        <w:tabs>
          <w:tab w:val="left" w:pos="939"/>
        </w:tabs>
        <w:spacing w:line="360" w:lineRule="auto"/>
        <w:ind w:left="141" w:leftChars="67" w:firstLine="315" w:firstLineChars="150"/>
        <w:rPr>
          <w:rFonts w:hint="eastAsia" w:ascii="宋体" w:hAnsi="宋体" w:eastAsia="宋体" w:cs="宋体"/>
          <w:color w:val="auto"/>
          <w:szCs w:val="21"/>
          <w:highlight w:val="none"/>
        </w:rPr>
      </w:pPr>
      <w:r>
        <w:rPr>
          <w:rFonts w:hint="eastAsia" w:ascii="宋体" w:hAnsi="宋体" w:eastAsia="宋体" w:cs="宋体"/>
          <w:color w:val="auto"/>
          <w:szCs w:val="21"/>
          <w:highlight w:val="none"/>
        </w:rPr>
        <w:t>特此承诺。</w:t>
      </w:r>
    </w:p>
    <w:p w14:paraId="0CA660D9">
      <w:pPr>
        <w:pStyle w:val="18"/>
        <w:tabs>
          <w:tab w:val="left" w:pos="939"/>
        </w:tabs>
        <w:spacing w:line="360" w:lineRule="auto"/>
        <w:ind w:left="0" w:leftChars="0" w:firstLine="420" w:firstLineChars="200"/>
        <w:rPr>
          <w:rFonts w:hint="eastAsia" w:ascii="宋体" w:hAnsi="宋体" w:eastAsia="宋体" w:cs="宋体"/>
          <w:color w:val="auto"/>
          <w:szCs w:val="21"/>
          <w:highlight w:val="none"/>
        </w:rPr>
      </w:pPr>
    </w:p>
    <w:p w14:paraId="11E2E847">
      <w:pPr>
        <w:spacing w:line="360" w:lineRule="auto"/>
        <w:ind w:firstLine="3780" w:firstLineChars="1800"/>
        <w:contextualSpacing/>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法定代表人（签字或者电子签名）：</w:t>
      </w:r>
      <w:r>
        <w:rPr>
          <w:rFonts w:hint="eastAsia" w:ascii="宋体" w:hAnsi="宋体" w:eastAsia="宋体" w:cs="宋体"/>
          <w:color w:val="auto"/>
          <w:szCs w:val="21"/>
          <w:highlight w:val="none"/>
          <w:u w:val="single"/>
        </w:rPr>
        <w:t xml:space="preserve">                  </w:t>
      </w:r>
    </w:p>
    <w:p w14:paraId="618EA7D7">
      <w:pPr>
        <w:spacing w:line="360" w:lineRule="auto"/>
        <w:ind w:firstLine="3780" w:firstLineChars="1800"/>
        <w:contextualSpacing/>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供应商（盖公章）：</w:t>
      </w:r>
      <w:r>
        <w:rPr>
          <w:rFonts w:hint="eastAsia" w:ascii="宋体" w:hAnsi="宋体" w:eastAsia="宋体" w:cs="宋体"/>
          <w:color w:val="auto"/>
          <w:szCs w:val="21"/>
          <w:highlight w:val="none"/>
          <w:u w:val="single"/>
        </w:rPr>
        <w:t xml:space="preserve">                               </w:t>
      </w:r>
    </w:p>
    <w:p w14:paraId="0AE3E997">
      <w:pPr>
        <w:spacing w:line="360" w:lineRule="auto"/>
        <w:ind w:right="480" w:firstLine="210" w:firstLineChars="100"/>
        <w:contextualSpacing/>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年    月    日</w:t>
      </w:r>
    </w:p>
    <w:p w14:paraId="50A1966B">
      <w:pPr>
        <w:spacing w:line="240" w:lineRule="auto"/>
        <w:ind w:right="0" w:firstLine="0" w:firstLineChars="0"/>
        <w:contextualSpacing w:val="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br w:type="page"/>
      </w:r>
    </w:p>
    <w:p w14:paraId="688B9996">
      <w:pPr>
        <w:spacing w:before="312" w:beforeLines="100" w:after="156" w:afterLines="50" w:line="520" w:lineRule="exact"/>
        <w:ind w:left="540"/>
        <w:jc w:val="center"/>
        <w:rPr>
          <w:rFonts w:hint="eastAsia" w:ascii="宋体" w:hAnsi="宋体" w:eastAsia="宋体" w:cs="宋体"/>
          <w:color w:val="auto"/>
          <w:sz w:val="44"/>
          <w:szCs w:val="44"/>
          <w:highlight w:val="none"/>
        </w:rPr>
      </w:pPr>
      <w:r>
        <w:rPr>
          <w:rFonts w:hint="eastAsia" w:ascii="宋体" w:hAnsi="宋体" w:eastAsia="宋体" w:cs="宋体"/>
          <w:color w:val="auto"/>
          <w:sz w:val="44"/>
          <w:szCs w:val="44"/>
          <w:highlight w:val="none"/>
        </w:rPr>
        <w:t>中小企业声明函（服务）</w:t>
      </w:r>
    </w:p>
    <w:p w14:paraId="2888B441">
      <w:pPr>
        <w:spacing w:before="2" w:line="500" w:lineRule="exact"/>
        <w:ind w:firstLine="708" w:firstLineChars="294"/>
        <w:rPr>
          <w:rFonts w:hint="eastAsia" w:ascii="宋体" w:hAnsi="宋体" w:eastAsia="宋体" w:cs="宋体"/>
          <w:b/>
          <w:bCs/>
          <w:color w:val="auto"/>
          <w:sz w:val="24"/>
          <w:highlight w:val="none"/>
        </w:rPr>
      </w:pPr>
    </w:p>
    <w:p w14:paraId="7BCBE0DE">
      <w:pPr>
        <w:pStyle w:val="16"/>
        <w:spacing w:line="360" w:lineRule="auto"/>
        <w:ind w:right="142" w:firstLine="617" w:firstLineChars="294"/>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本公司（联合体）郑重声明，根据《政府采购促进中小企业发展管理办法》（财库﹝2020﹞46号）的规定，本公司（联合体）参加</w:t>
      </w:r>
      <w:r>
        <w:rPr>
          <w:rFonts w:hint="eastAsia" w:ascii="宋体" w:hAnsi="宋体" w:eastAsia="宋体" w:cs="宋体"/>
          <w:color w:val="auto"/>
          <w:szCs w:val="21"/>
          <w:highlight w:val="none"/>
          <w:u w:val="single"/>
        </w:rPr>
        <w:t>（单位名称）</w:t>
      </w:r>
      <w:r>
        <w:rPr>
          <w:rFonts w:hint="eastAsia" w:ascii="宋体" w:hAnsi="宋体" w:eastAsia="宋体" w:cs="宋体"/>
          <w:color w:val="auto"/>
          <w:szCs w:val="21"/>
          <w:highlight w:val="none"/>
        </w:rPr>
        <w:t>的</w:t>
      </w:r>
      <w:r>
        <w:rPr>
          <w:rFonts w:hint="eastAsia" w:ascii="宋体" w:hAnsi="宋体" w:eastAsia="宋体" w:cs="宋体"/>
          <w:color w:val="auto"/>
          <w:szCs w:val="21"/>
          <w:highlight w:val="none"/>
          <w:u w:val="single"/>
        </w:rPr>
        <w:t>（项目名称）</w:t>
      </w:r>
      <w:r>
        <w:rPr>
          <w:rFonts w:hint="eastAsia" w:ascii="宋体" w:hAnsi="宋体" w:eastAsia="宋体" w:cs="宋体"/>
          <w:color w:val="auto"/>
          <w:szCs w:val="21"/>
          <w:highlight w:val="none"/>
        </w:rPr>
        <w:t>采购活动，服务全部由符合政策要求的中小企业承接。相关企业（含联合体中的中小企业、签订分包意向协议的中小企业）的具体情况如下：</w:t>
      </w:r>
    </w:p>
    <w:p w14:paraId="02091AB1">
      <w:pPr>
        <w:tabs>
          <w:tab w:val="left" w:pos="1384"/>
          <w:tab w:val="left" w:pos="4562"/>
          <w:tab w:val="left" w:pos="6803"/>
        </w:tabs>
        <w:spacing w:before="13" w:line="360" w:lineRule="auto"/>
        <w:ind w:right="142" w:firstLine="676" w:firstLineChars="322"/>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u w:val="single"/>
        </w:rPr>
        <w:t>（标的名称）</w:t>
      </w:r>
      <w:r>
        <w:rPr>
          <w:rFonts w:hint="eastAsia" w:ascii="宋体" w:hAnsi="宋体" w:eastAsia="宋体" w:cs="宋体"/>
          <w:color w:val="auto"/>
          <w:szCs w:val="21"/>
          <w:highlight w:val="none"/>
        </w:rPr>
        <w:t>，属于</w:t>
      </w:r>
      <w:r>
        <w:rPr>
          <w:rFonts w:hint="eastAsia" w:ascii="宋体" w:hAnsi="宋体" w:eastAsia="宋体" w:cs="宋体"/>
          <w:color w:val="auto"/>
          <w:szCs w:val="21"/>
          <w:highlight w:val="none"/>
          <w:u w:val="single"/>
        </w:rPr>
        <w:t>（采购文件中明确的所属行业）</w:t>
      </w:r>
      <w:r>
        <w:rPr>
          <w:rFonts w:hint="eastAsia" w:ascii="宋体" w:hAnsi="宋体" w:eastAsia="宋体" w:cs="宋体"/>
          <w:color w:val="auto"/>
          <w:szCs w:val="21"/>
          <w:highlight w:val="none"/>
        </w:rPr>
        <w:t>；承接企业为</w:t>
      </w:r>
      <w:r>
        <w:rPr>
          <w:rFonts w:hint="eastAsia" w:ascii="宋体" w:hAnsi="宋体" w:eastAsia="宋体" w:cs="宋体"/>
          <w:color w:val="auto"/>
          <w:szCs w:val="21"/>
          <w:highlight w:val="none"/>
          <w:u w:val="single"/>
        </w:rPr>
        <w:t>（企业名称）</w:t>
      </w:r>
      <w:r>
        <w:rPr>
          <w:rFonts w:hint="eastAsia" w:ascii="宋体" w:hAnsi="宋体" w:eastAsia="宋体" w:cs="宋体"/>
          <w:color w:val="auto"/>
          <w:szCs w:val="21"/>
          <w:highlight w:val="none"/>
        </w:rPr>
        <w:t>，从业人员</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人，营业收入为</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万元，资产总额为</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万元，属于</w:t>
      </w:r>
      <w:r>
        <w:rPr>
          <w:rFonts w:hint="eastAsia" w:ascii="宋体" w:hAnsi="宋体" w:eastAsia="宋体" w:cs="宋体"/>
          <w:color w:val="auto"/>
          <w:szCs w:val="21"/>
          <w:highlight w:val="none"/>
          <w:u w:val="single"/>
        </w:rPr>
        <w:t>（中型企业、小型企业、微型企业）</w:t>
      </w:r>
      <w:r>
        <w:rPr>
          <w:rFonts w:hint="eastAsia" w:ascii="宋体" w:hAnsi="宋体" w:eastAsia="宋体" w:cs="宋体"/>
          <w:color w:val="auto"/>
          <w:szCs w:val="21"/>
          <w:highlight w:val="none"/>
        </w:rPr>
        <w:t>；</w:t>
      </w:r>
    </w:p>
    <w:p w14:paraId="63D7F053">
      <w:pPr>
        <w:tabs>
          <w:tab w:val="left" w:pos="1065"/>
          <w:tab w:val="left" w:pos="4262"/>
          <w:tab w:val="left" w:pos="6477"/>
        </w:tabs>
        <w:spacing w:before="20" w:line="360" w:lineRule="auto"/>
        <w:ind w:right="84" w:firstLine="676" w:firstLineChars="322"/>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u w:val="single"/>
        </w:rPr>
        <w:t>（标的名称）</w:t>
      </w:r>
      <w:r>
        <w:rPr>
          <w:rFonts w:hint="eastAsia" w:ascii="宋体" w:hAnsi="宋体" w:eastAsia="宋体" w:cs="宋体"/>
          <w:color w:val="auto"/>
          <w:szCs w:val="21"/>
          <w:highlight w:val="none"/>
        </w:rPr>
        <w:t>，属于</w:t>
      </w:r>
      <w:r>
        <w:rPr>
          <w:rFonts w:hint="eastAsia" w:ascii="宋体" w:hAnsi="宋体" w:eastAsia="宋体" w:cs="宋体"/>
          <w:color w:val="auto"/>
          <w:szCs w:val="21"/>
          <w:highlight w:val="none"/>
          <w:u w:val="single"/>
        </w:rPr>
        <w:t>（采购文件中明确的所属行业）</w:t>
      </w:r>
      <w:r>
        <w:rPr>
          <w:rFonts w:hint="eastAsia" w:ascii="宋体" w:hAnsi="宋体" w:eastAsia="宋体" w:cs="宋体"/>
          <w:color w:val="auto"/>
          <w:szCs w:val="21"/>
          <w:highlight w:val="none"/>
        </w:rPr>
        <w:t>；承接企业为</w:t>
      </w:r>
      <w:r>
        <w:rPr>
          <w:rFonts w:hint="eastAsia" w:ascii="宋体" w:hAnsi="宋体" w:eastAsia="宋体" w:cs="宋体"/>
          <w:color w:val="auto"/>
          <w:szCs w:val="21"/>
          <w:highlight w:val="none"/>
          <w:u w:val="single"/>
        </w:rPr>
        <w:t>（企业名称）</w:t>
      </w:r>
      <w:r>
        <w:rPr>
          <w:rFonts w:hint="eastAsia" w:ascii="宋体" w:hAnsi="宋体" w:eastAsia="宋体" w:cs="宋体"/>
          <w:color w:val="auto"/>
          <w:szCs w:val="21"/>
          <w:highlight w:val="none"/>
        </w:rPr>
        <w:t>，从业人员</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人，营业收入为</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万元，资产总额为</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万元，属于</w:t>
      </w:r>
      <w:r>
        <w:rPr>
          <w:rFonts w:hint="eastAsia" w:ascii="宋体" w:hAnsi="宋体" w:eastAsia="宋体" w:cs="宋体"/>
          <w:color w:val="auto"/>
          <w:szCs w:val="21"/>
          <w:highlight w:val="none"/>
          <w:u w:val="single"/>
        </w:rPr>
        <w:t>（中型企业、小型企业、微型企业）</w:t>
      </w:r>
      <w:r>
        <w:rPr>
          <w:rFonts w:hint="eastAsia" w:ascii="宋体" w:hAnsi="宋体" w:eastAsia="宋体" w:cs="宋体"/>
          <w:color w:val="auto"/>
          <w:szCs w:val="21"/>
          <w:highlight w:val="none"/>
        </w:rPr>
        <w:t>；</w:t>
      </w:r>
    </w:p>
    <w:p w14:paraId="1185B068">
      <w:pPr>
        <w:pStyle w:val="16"/>
        <w:spacing w:before="34" w:line="360" w:lineRule="auto"/>
        <w:ind w:right="142" w:firstLine="617" w:firstLineChars="294"/>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w:t>
      </w:r>
    </w:p>
    <w:p w14:paraId="57DFCE8D">
      <w:pPr>
        <w:pStyle w:val="16"/>
        <w:spacing w:before="34" w:line="360" w:lineRule="auto"/>
        <w:ind w:right="142" w:firstLine="617" w:firstLineChars="294"/>
        <w:rPr>
          <w:rFonts w:hint="eastAsia" w:ascii="宋体" w:hAnsi="宋体" w:eastAsia="宋体" w:cs="宋体"/>
          <w:color w:val="auto"/>
          <w:szCs w:val="21"/>
          <w:highlight w:val="none"/>
        </w:rPr>
      </w:pPr>
      <w:r>
        <w:rPr>
          <w:rFonts w:hint="eastAsia" w:ascii="宋体" w:hAnsi="宋体" w:eastAsia="宋体" w:cs="宋体"/>
          <w:color w:val="auto"/>
          <w:szCs w:val="21"/>
          <w:highlight w:val="none"/>
        </w:rPr>
        <w:t>以上企业，不属于大企业的分支机构，不存在控股股东为大企业的情形，也不存在与大企业的负责人为同一人的情形。</w:t>
      </w:r>
    </w:p>
    <w:p w14:paraId="0E258116">
      <w:pPr>
        <w:pStyle w:val="16"/>
        <w:spacing w:before="25" w:line="360" w:lineRule="auto"/>
        <w:ind w:right="142" w:firstLine="617" w:firstLineChars="294"/>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本企业对上述声明内容的真实性负责。如有虚假，将依法承担相应责任。</w:t>
      </w:r>
    </w:p>
    <w:p w14:paraId="3873F3E6">
      <w:pPr>
        <w:pStyle w:val="16"/>
        <w:spacing w:before="56" w:line="360" w:lineRule="auto"/>
        <w:ind w:right="1808" w:firstLine="617" w:firstLineChars="294"/>
        <w:rPr>
          <w:rFonts w:hint="eastAsia" w:ascii="宋体" w:hAnsi="宋体" w:eastAsia="宋体" w:cs="宋体"/>
          <w:color w:val="auto"/>
          <w:szCs w:val="21"/>
          <w:highlight w:val="none"/>
        </w:rPr>
      </w:pPr>
    </w:p>
    <w:p w14:paraId="4F33AFC8">
      <w:pPr>
        <w:pStyle w:val="16"/>
        <w:spacing w:before="56" w:line="360" w:lineRule="auto"/>
        <w:ind w:right="650" w:firstLine="4922" w:firstLineChars="2344"/>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企业名称（章）： </w:t>
      </w:r>
    </w:p>
    <w:p w14:paraId="11B46293">
      <w:pPr>
        <w:pStyle w:val="16"/>
        <w:spacing w:before="56" w:line="360" w:lineRule="auto"/>
        <w:ind w:right="1808" w:firstLine="4922" w:firstLineChars="2344"/>
        <w:rPr>
          <w:rFonts w:hint="eastAsia" w:ascii="宋体" w:hAnsi="宋体" w:eastAsia="宋体" w:cs="宋体"/>
          <w:color w:val="auto"/>
          <w:szCs w:val="21"/>
          <w:highlight w:val="none"/>
        </w:rPr>
      </w:pPr>
      <w:r>
        <w:rPr>
          <w:rFonts w:hint="eastAsia" w:ascii="宋体" w:hAnsi="宋体" w:eastAsia="宋体" w:cs="宋体"/>
          <w:color w:val="auto"/>
          <w:szCs w:val="21"/>
          <w:highlight w:val="none"/>
        </w:rPr>
        <w:t>日 期：</w:t>
      </w:r>
    </w:p>
    <w:p w14:paraId="4C1B0C5B">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注：享受《政府采购促进中小企业发展管理办法》（财库〔2020〕46号）规定的中小企业扶持政策的，采购人、采购代理机构应当随成交结果公开成交供应商的《中小企业声明函》。从业人员、营业收入、资产总额填报上一年度数据，无上一年度数据的新成立企业可不填报。</w:t>
      </w:r>
    </w:p>
    <w:p w14:paraId="36A692F9">
      <w:pPr>
        <w:spacing w:line="240" w:lineRule="auto"/>
        <w:jc w:val="left"/>
        <w:rPr>
          <w:rFonts w:hint="eastAsia" w:ascii="宋体" w:hAnsi="宋体" w:eastAsia="宋体" w:cs="宋体"/>
          <w:color w:val="auto"/>
          <w:sz w:val="44"/>
          <w:szCs w:val="44"/>
          <w:highlight w:val="none"/>
        </w:rPr>
      </w:pPr>
      <w:r>
        <w:rPr>
          <w:rFonts w:hint="eastAsia" w:ascii="宋体" w:hAnsi="宋体" w:eastAsia="宋体" w:cs="宋体"/>
          <w:color w:val="auto"/>
          <w:sz w:val="44"/>
          <w:szCs w:val="44"/>
          <w:highlight w:val="none"/>
        </w:rPr>
        <w:br w:type="page"/>
      </w:r>
    </w:p>
    <w:p w14:paraId="40D4E876">
      <w:pPr>
        <w:spacing w:line="520" w:lineRule="exact"/>
        <w:jc w:val="center"/>
        <w:rPr>
          <w:rFonts w:hint="eastAsia" w:ascii="宋体" w:hAnsi="宋体" w:eastAsia="宋体" w:cs="宋体"/>
          <w:color w:val="auto"/>
          <w:sz w:val="32"/>
          <w:szCs w:val="32"/>
          <w:highlight w:val="none"/>
        </w:rPr>
      </w:pPr>
      <w:r>
        <w:rPr>
          <w:rFonts w:hint="eastAsia" w:ascii="宋体" w:hAnsi="宋体" w:eastAsia="宋体" w:cs="宋体"/>
          <w:color w:val="auto"/>
          <w:sz w:val="44"/>
          <w:szCs w:val="44"/>
          <w:highlight w:val="none"/>
        </w:rPr>
        <w:t>残疾人福利性单位声明函</w:t>
      </w:r>
    </w:p>
    <w:p w14:paraId="146C3DE9">
      <w:pPr>
        <w:spacing w:line="360" w:lineRule="auto"/>
        <w:contextualSpacing/>
        <w:rPr>
          <w:rFonts w:hint="eastAsia" w:ascii="宋体" w:hAnsi="宋体" w:eastAsia="宋体" w:cs="宋体"/>
          <w:color w:val="auto"/>
          <w:sz w:val="32"/>
          <w:szCs w:val="32"/>
          <w:highlight w:val="none"/>
        </w:rPr>
      </w:pPr>
    </w:p>
    <w:p w14:paraId="3333E7FD">
      <w:pPr>
        <w:spacing w:line="360" w:lineRule="auto"/>
        <w:ind w:firstLine="420" w:firstLineChars="20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本单位郑重声明，根据《财政部 民政部 中国残疾人联合会关于促进残疾人就业政府采购政策的通知》（财库〔2017〕141号）的规定，本单位为符合条件的残疾人福利性单位，且本单位参加</w:t>
      </w:r>
    </w:p>
    <w:p w14:paraId="4CAFBFF7">
      <w:pPr>
        <w:spacing w:line="360" w:lineRule="auto"/>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单位的</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项目采购活动提供本单位制造的货物（由本单位承担工程/提供服务），或者提供其他残疾人福利性单位制造的货物（不包括使用非残疾人福利性单位注册商标的货物）。</w:t>
      </w:r>
    </w:p>
    <w:p w14:paraId="28BFB427">
      <w:pPr>
        <w:spacing w:line="360" w:lineRule="auto"/>
        <w:ind w:firstLine="420" w:firstLineChars="20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本单位对上述声明的真实性负责。如有虚假，将依法承担相应责任。</w:t>
      </w:r>
    </w:p>
    <w:p w14:paraId="626CD51B">
      <w:pPr>
        <w:spacing w:line="360" w:lineRule="auto"/>
        <w:contextualSpacing/>
        <w:rPr>
          <w:rFonts w:hint="eastAsia" w:ascii="宋体" w:hAnsi="宋体" w:eastAsia="宋体" w:cs="宋体"/>
          <w:color w:val="auto"/>
          <w:szCs w:val="21"/>
          <w:highlight w:val="none"/>
        </w:rPr>
      </w:pPr>
    </w:p>
    <w:p w14:paraId="126034DD">
      <w:pPr>
        <w:spacing w:line="360" w:lineRule="auto"/>
        <w:contextualSpacing/>
        <w:rPr>
          <w:rFonts w:hint="eastAsia" w:ascii="宋体" w:hAnsi="宋体" w:eastAsia="宋体" w:cs="宋体"/>
          <w:color w:val="auto"/>
          <w:szCs w:val="21"/>
          <w:highlight w:val="none"/>
        </w:rPr>
      </w:pPr>
    </w:p>
    <w:p w14:paraId="063AF3FC">
      <w:pPr>
        <w:spacing w:line="360" w:lineRule="auto"/>
        <w:contextualSpacing/>
        <w:rPr>
          <w:rFonts w:hint="eastAsia" w:ascii="宋体" w:hAnsi="宋体" w:eastAsia="宋体" w:cs="宋体"/>
          <w:color w:val="auto"/>
          <w:szCs w:val="21"/>
          <w:highlight w:val="none"/>
        </w:rPr>
      </w:pPr>
    </w:p>
    <w:p w14:paraId="66FFF044">
      <w:pPr>
        <w:spacing w:line="360" w:lineRule="auto"/>
        <w:ind w:firstLine="2100" w:firstLineChars="100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单位名称（盖章）：</w:t>
      </w:r>
    </w:p>
    <w:p w14:paraId="3B1B3606">
      <w:pPr>
        <w:spacing w:line="360" w:lineRule="auto"/>
        <w:ind w:firstLine="3150" w:firstLineChars="150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日  期：</w:t>
      </w:r>
    </w:p>
    <w:p w14:paraId="3CDDEECC">
      <w:pPr>
        <w:spacing w:line="360" w:lineRule="auto"/>
        <w:contextualSpacing/>
        <w:rPr>
          <w:rFonts w:hint="eastAsia" w:ascii="宋体" w:hAnsi="宋体" w:eastAsia="宋体" w:cs="宋体"/>
          <w:color w:val="auto"/>
          <w:szCs w:val="21"/>
          <w:highlight w:val="none"/>
        </w:rPr>
      </w:pPr>
    </w:p>
    <w:p w14:paraId="7553E122">
      <w:pPr>
        <w:spacing w:line="360" w:lineRule="auto"/>
        <w:contextualSpacing/>
        <w:rPr>
          <w:rFonts w:hint="eastAsia" w:ascii="宋体" w:hAnsi="宋体" w:eastAsia="宋体" w:cs="宋体"/>
          <w:color w:val="auto"/>
          <w:szCs w:val="21"/>
          <w:highlight w:val="none"/>
        </w:rPr>
      </w:pPr>
    </w:p>
    <w:p w14:paraId="4EFC76B2">
      <w:pPr>
        <w:spacing w:line="360" w:lineRule="auto"/>
        <w:contextualSpacing/>
        <w:rPr>
          <w:rFonts w:hint="eastAsia" w:ascii="宋体" w:hAnsi="宋体" w:eastAsia="宋体" w:cs="宋体"/>
          <w:color w:val="auto"/>
          <w:szCs w:val="21"/>
          <w:highlight w:val="none"/>
        </w:rPr>
      </w:pPr>
    </w:p>
    <w:p w14:paraId="5CBBA792">
      <w:pPr>
        <w:keepNext w:val="0"/>
        <w:keepLines w:val="0"/>
        <w:pageBreakBefore w:val="0"/>
        <w:widowControl w:val="0"/>
        <w:kinsoku/>
        <w:wordWrap/>
        <w:overflowPunct/>
        <w:topLinePunct w:val="0"/>
        <w:autoSpaceDE/>
        <w:autoSpaceDN/>
        <w:bidi w:val="0"/>
        <w:adjustRightInd/>
        <w:snapToGrid/>
        <w:spacing w:line="360" w:lineRule="auto"/>
        <w:jc w:val="left"/>
        <w:textAlignment w:val="auto"/>
        <w:outlineLvl w:val="9"/>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注：请根据自己的真实情况出具《残疾人福利性单位声明函》。依法享受中小企业优惠政策的，采购人或者采购代理机构在公告成交结果时，同时公告其《残疾人福利性单位声明函》，接受社会监督。</w:t>
      </w:r>
    </w:p>
    <w:p w14:paraId="633C5ADA">
      <w:pPr>
        <w:pStyle w:val="30"/>
        <w:rPr>
          <w:rFonts w:hint="eastAsia"/>
        </w:rPr>
      </w:pPr>
    </w:p>
    <w:p w14:paraId="2117E259">
      <w:pPr>
        <w:spacing w:line="360" w:lineRule="auto"/>
        <w:ind w:right="480" w:firstLine="240" w:firstLineChars="100"/>
        <w:contextualSpacing/>
        <w:jc w:val="center"/>
        <w:rPr>
          <w:rFonts w:hint="eastAsia" w:ascii="宋体" w:hAnsi="宋体" w:eastAsia="宋体" w:cs="宋体"/>
          <w:b/>
          <w:color w:val="auto"/>
          <w:sz w:val="32"/>
          <w:szCs w:val="32"/>
          <w:highlight w:val="none"/>
        </w:rPr>
      </w:pPr>
      <w:r>
        <w:rPr>
          <w:rFonts w:hint="eastAsia" w:ascii="宋体" w:hAnsi="宋体" w:eastAsia="宋体" w:cs="宋体"/>
          <w:color w:val="auto"/>
          <w:sz w:val="24"/>
          <w:highlight w:val="none"/>
        </w:rPr>
        <w:br w:type="page"/>
      </w:r>
      <w:r>
        <w:rPr>
          <w:rFonts w:hint="eastAsia" w:ascii="宋体" w:hAnsi="宋体" w:eastAsia="宋体" w:cs="宋体"/>
          <w:b/>
          <w:bCs/>
          <w:color w:val="auto"/>
          <w:sz w:val="32"/>
          <w:szCs w:val="32"/>
          <w:highlight w:val="none"/>
        </w:rPr>
        <w:t>二、</w:t>
      </w:r>
      <w:r>
        <w:rPr>
          <w:rFonts w:hint="eastAsia" w:ascii="宋体" w:hAnsi="宋体" w:eastAsia="宋体" w:cs="宋体"/>
          <w:b/>
          <w:color w:val="auto"/>
          <w:sz w:val="32"/>
          <w:szCs w:val="32"/>
          <w:highlight w:val="none"/>
        </w:rPr>
        <w:t>商务文件格式</w:t>
      </w:r>
    </w:p>
    <w:p w14:paraId="549751A8">
      <w:pPr>
        <w:snapToGrid w:val="0"/>
        <w:spacing w:before="156" w:beforeLines="50" w:after="50" w:line="360" w:lineRule="auto"/>
        <w:jc w:val="left"/>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1.商务文件封面格式</w:t>
      </w:r>
    </w:p>
    <w:p w14:paraId="53F4AD34">
      <w:pPr>
        <w:snapToGrid w:val="0"/>
        <w:spacing w:before="156" w:beforeLines="50" w:after="50"/>
        <w:rPr>
          <w:rFonts w:hint="eastAsia" w:ascii="宋体" w:hAnsi="宋体" w:eastAsia="宋体" w:cs="宋体"/>
          <w:bCs/>
          <w:color w:val="auto"/>
          <w:sz w:val="32"/>
          <w:szCs w:val="20"/>
          <w:highlight w:val="none"/>
        </w:rPr>
      </w:pPr>
      <w:r>
        <w:rPr>
          <w:rFonts w:hint="eastAsia" w:ascii="宋体" w:hAnsi="宋体" w:eastAsia="宋体" w:cs="宋体"/>
          <w:color w:val="auto"/>
          <w:sz w:val="24"/>
          <w:highlight w:val="none"/>
        </w:rPr>
        <w:t xml:space="preserve">                                                   </w:t>
      </w:r>
    </w:p>
    <w:p w14:paraId="5E3CF26A">
      <w:pPr>
        <w:snapToGrid w:val="0"/>
        <w:spacing w:before="156" w:beforeLines="50" w:after="50"/>
        <w:rPr>
          <w:rFonts w:hint="eastAsia" w:ascii="宋体" w:hAnsi="宋体" w:eastAsia="宋体" w:cs="宋体"/>
          <w:color w:val="auto"/>
          <w:sz w:val="24"/>
          <w:szCs w:val="20"/>
          <w:highlight w:val="none"/>
        </w:rPr>
      </w:pPr>
    </w:p>
    <w:p w14:paraId="1C469D13">
      <w:pPr>
        <w:snapToGrid w:val="0"/>
        <w:spacing w:before="156" w:beforeLines="50" w:after="50"/>
        <w:jc w:val="center"/>
        <w:rPr>
          <w:rFonts w:hint="eastAsia" w:ascii="宋体" w:hAnsi="宋体" w:eastAsia="宋体" w:cs="宋体"/>
          <w:bCs/>
          <w:color w:val="auto"/>
          <w:sz w:val="84"/>
          <w:szCs w:val="84"/>
          <w:highlight w:val="none"/>
        </w:rPr>
      </w:pPr>
      <w:r>
        <w:rPr>
          <w:rFonts w:hint="eastAsia" w:ascii="宋体" w:hAnsi="宋体" w:eastAsia="宋体" w:cs="宋体"/>
          <w:bCs/>
          <w:color w:val="auto"/>
          <w:sz w:val="84"/>
          <w:szCs w:val="84"/>
          <w:highlight w:val="none"/>
        </w:rPr>
        <w:t>响  应  文  件</w:t>
      </w:r>
    </w:p>
    <w:p w14:paraId="5FA3CE73">
      <w:pPr>
        <w:snapToGrid w:val="0"/>
        <w:spacing w:before="156" w:beforeLines="50" w:after="50"/>
        <w:jc w:val="center"/>
        <w:rPr>
          <w:rFonts w:hint="eastAsia" w:ascii="宋体" w:hAnsi="宋体" w:eastAsia="宋体" w:cs="宋体"/>
          <w:bCs/>
          <w:color w:val="auto"/>
          <w:sz w:val="32"/>
          <w:szCs w:val="32"/>
          <w:highlight w:val="none"/>
        </w:rPr>
      </w:pPr>
    </w:p>
    <w:p w14:paraId="54C280E3">
      <w:pPr>
        <w:snapToGrid w:val="0"/>
        <w:spacing w:before="156" w:beforeLines="50" w:after="50"/>
        <w:jc w:val="center"/>
        <w:rPr>
          <w:rFonts w:hint="eastAsia" w:ascii="宋体" w:hAnsi="宋体" w:eastAsia="宋体" w:cs="宋体"/>
          <w:bCs/>
          <w:color w:val="auto"/>
          <w:sz w:val="32"/>
          <w:szCs w:val="32"/>
          <w:highlight w:val="none"/>
        </w:rPr>
      </w:pPr>
    </w:p>
    <w:p w14:paraId="42D9CCEE">
      <w:pPr>
        <w:snapToGrid w:val="0"/>
        <w:spacing w:before="156" w:beforeLines="50" w:after="50"/>
        <w:jc w:val="center"/>
        <w:rPr>
          <w:rFonts w:hint="eastAsia" w:ascii="宋体" w:hAnsi="宋体" w:eastAsia="宋体" w:cs="宋体"/>
          <w:bCs/>
          <w:color w:val="auto"/>
          <w:sz w:val="32"/>
          <w:szCs w:val="32"/>
          <w:highlight w:val="none"/>
        </w:rPr>
      </w:pPr>
    </w:p>
    <w:p w14:paraId="7DD2E214">
      <w:pPr>
        <w:snapToGrid w:val="0"/>
        <w:spacing w:before="156" w:beforeLines="50" w:after="50"/>
        <w:jc w:val="center"/>
        <w:rPr>
          <w:rFonts w:hint="eastAsia" w:ascii="宋体" w:hAnsi="宋体" w:eastAsia="宋体" w:cs="宋体"/>
          <w:bCs/>
          <w:color w:val="auto"/>
          <w:sz w:val="40"/>
          <w:szCs w:val="40"/>
          <w:highlight w:val="none"/>
        </w:rPr>
      </w:pPr>
      <w:r>
        <w:rPr>
          <w:rFonts w:hint="eastAsia" w:ascii="宋体" w:hAnsi="宋体" w:eastAsia="宋体" w:cs="宋体"/>
          <w:bCs/>
          <w:color w:val="auto"/>
          <w:sz w:val="40"/>
          <w:szCs w:val="40"/>
          <w:highlight w:val="none"/>
        </w:rPr>
        <w:t>商务文件</w:t>
      </w:r>
    </w:p>
    <w:p w14:paraId="31628180">
      <w:pPr>
        <w:snapToGrid w:val="0"/>
        <w:spacing w:before="156" w:beforeLines="50" w:after="50"/>
        <w:rPr>
          <w:rFonts w:hint="eastAsia" w:ascii="宋体" w:hAnsi="宋体" w:eastAsia="宋体" w:cs="宋体"/>
          <w:bCs/>
          <w:color w:val="auto"/>
          <w:sz w:val="24"/>
          <w:szCs w:val="20"/>
          <w:highlight w:val="none"/>
        </w:rPr>
      </w:pPr>
    </w:p>
    <w:p w14:paraId="597086B4">
      <w:pPr>
        <w:snapToGrid w:val="0"/>
        <w:spacing w:before="156" w:beforeLines="50" w:after="50"/>
        <w:rPr>
          <w:rFonts w:hint="eastAsia" w:ascii="宋体" w:hAnsi="宋体" w:eastAsia="宋体" w:cs="宋体"/>
          <w:bCs/>
          <w:color w:val="auto"/>
          <w:sz w:val="24"/>
          <w:szCs w:val="20"/>
          <w:highlight w:val="none"/>
        </w:rPr>
      </w:pPr>
    </w:p>
    <w:p w14:paraId="6509AE7B">
      <w:pPr>
        <w:snapToGrid w:val="0"/>
        <w:spacing w:before="156" w:beforeLines="50" w:after="50"/>
        <w:rPr>
          <w:rFonts w:hint="eastAsia" w:ascii="宋体" w:hAnsi="宋体" w:eastAsia="宋体" w:cs="宋体"/>
          <w:bCs/>
          <w:color w:val="auto"/>
          <w:sz w:val="24"/>
          <w:szCs w:val="20"/>
          <w:highlight w:val="none"/>
        </w:rPr>
      </w:pPr>
    </w:p>
    <w:p w14:paraId="44FE2A95">
      <w:pPr>
        <w:snapToGrid w:val="0"/>
        <w:spacing w:before="156" w:beforeLines="50" w:after="50"/>
        <w:rPr>
          <w:rFonts w:hint="eastAsia" w:ascii="宋体" w:hAnsi="宋体" w:eastAsia="宋体" w:cs="宋体"/>
          <w:bCs/>
          <w:color w:val="auto"/>
          <w:sz w:val="24"/>
          <w:szCs w:val="20"/>
          <w:highlight w:val="none"/>
        </w:rPr>
      </w:pPr>
    </w:p>
    <w:p w14:paraId="551F9BDF">
      <w:pPr>
        <w:snapToGrid w:val="0"/>
        <w:spacing w:before="156" w:beforeLines="50" w:after="50"/>
        <w:ind w:firstLine="640" w:firstLineChars="200"/>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项目名称：</w:t>
      </w:r>
    </w:p>
    <w:p w14:paraId="29AF185A">
      <w:pPr>
        <w:snapToGrid w:val="0"/>
        <w:spacing w:before="156" w:beforeLines="50" w:after="50"/>
        <w:ind w:firstLine="720" w:firstLineChars="225"/>
        <w:rPr>
          <w:rFonts w:hint="eastAsia" w:ascii="宋体" w:hAnsi="宋体" w:eastAsia="宋体" w:cs="宋体"/>
          <w:bCs/>
          <w:color w:val="auto"/>
          <w:sz w:val="32"/>
          <w:szCs w:val="32"/>
          <w:highlight w:val="none"/>
        </w:rPr>
      </w:pPr>
    </w:p>
    <w:p w14:paraId="3C1BB2F2">
      <w:pPr>
        <w:snapToGrid w:val="0"/>
        <w:spacing w:before="156" w:beforeLines="50" w:after="50"/>
        <w:ind w:firstLine="640" w:firstLineChars="200"/>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项目编号：</w:t>
      </w:r>
    </w:p>
    <w:p w14:paraId="5F92E2FF">
      <w:pPr>
        <w:snapToGrid w:val="0"/>
        <w:spacing w:before="156" w:beforeLines="50" w:after="50"/>
        <w:ind w:firstLine="720" w:firstLineChars="225"/>
        <w:rPr>
          <w:rFonts w:hint="eastAsia" w:ascii="宋体" w:hAnsi="宋体" w:eastAsia="宋体" w:cs="宋体"/>
          <w:bCs/>
          <w:color w:val="auto"/>
          <w:sz w:val="32"/>
          <w:szCs w:val="32"/>
          <w:highlight w:val="none"/>
        </w:rPr>
      </w:pPr>
    </w:p>
    <w:p w14:paraId="3AF3A171">
      <w:pPr>
        <w:snapToGrid w:val="0"/>
        <w:spacing w:before="156" w:beforeLines="50" w:after="50"/>
        <w:ind w:firstLine="640" w:firstLineChars="200"/>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所竞分标：（没有，则填“无”或“/”）</w:t>
      </w:r>
    </w:p>
    <w:p w14:paraId="55C52E50">
      <w:pPr>
        <w:snapToGrid w:val="0"/>
        <w:spacing w:before="156" w:beforeLines="50" w:after="50"/>
        <w:ind w:firstLine="720" w:firstLineChars="225"/>
        <w:rPr>
          <w:rFonts w:hint="eastAsia" w:ascii="宋体" w:hAnsi="宋体" w:eastAsia="宋体" w:cs="宋体"/>
          <w:bCs/>
          <w:color w:val="auto"/>
          <w:sz w:val="32"/>
          <w:szCs w:val="32"/>
          <w:highlight w:val="none"/>
        </w:rPr>
      </w:pPr>
    </w:p>
    <w:p w14:paraId="431D176D">
      <w:pPr>
        <w:pStyle w:val="7"/>
        <w:snapToGrid w:val="0"/>
        <w:spacing w:before="50" w:after="50"/>
        <w:ind w:firstLine="640" w:firstLineChars="200"/>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供应商名称：</w:t>
      </w:r>
    </w:p>
    <w:p w14:paraId="40FBA451">
      <w:pPr>
        <w:pStyle w:val="7"/>
        <w:snapToGrid w:val="0"/>
        <w:spacing w:before="50" w:after="50"/>
        <w:ind w:firstLine="720" w:firstLineChars="225"/>
        <w:rPr>
          <w:rFonts w:hint="eastAsia" w:ascii="宋体" w:hAnsi="宋体" w:eastAsia="宋体" w:cs="宋体"/>
          <w:bCs/>
          <w:color w:val="auto"/>
          <w:sz w:val="32"/>
          <w:szCs w:val="32"/>
          <w:highlight w:val="none"/>
        </w:rPr>
      </w:pPr>
    </w:p>
    <w:p w14:paraId="5C7CBC44">
      <w:pPr>
        <w:pStyle w:val="7"/>
        <w:snapToGrid w:val="0"/>
        <w:spacing w:before="50" w:after="50"/>
        <w:ind w:firstLine="720" w:firstLineChars="225"/>
        <w:rPr>
          <w:rFonts w:hint="eastAsia" w:ascii="宋体" w:hAnsi="宋体" w:eastAsia="宋体" w:cs="宋体"/>
          <w:bCs/>
          <w:color w:val="auto"/>
          <w:sz w:val="32"/>
          <w:szCs w:val="32"/>
          <w:highlight w:val="none"/>
        </w:rPr>
      </w:pPr>
    </w:p>
    <w:p w14:paraId="5D3655E7">
      <w:pPr>
        <w:pStyle w:val="7"/>
        <w:snapToGrid w:val="0"/>
        <w:spacing w:before="50" w:after="50"/>
        <w:ind w:firstLine="1280" w:firstLineChars="400"/>
        <w:rPr>
          <w:rFonts w:hint="eastAsia" w:ascii="宋体" w:hAnsi="宋体" w:eastAsia="宋体" w:cs="宋体"/>
          <w:bCs/>
          <w:color w:val="auto"/>
          <w:sz w:val="32"/>
          <w:szCs w:val="32"/>
          <w:highlight w:val="none"/>
        </w:rPr>
      </w:pPr>
    </w:p>
    <w:p w14:paraId="1448590A">
      <w:pPr>
        <w:snapToGrid w:val="0"/>
        <w:spacing w:before="156" w:beforeLines="50" w:after="50"/>
        <w:jc w:val="center"/>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年    月    日</w:t>
      </w:r>
    </w:p>
    <w:p w14:paraId="3140A4D8">
      <w:pPr>
        <w:snapToGrid w:val="0"/>
        <w:spacing w:before="156" w:beforeLines="50" w:after="50" w:line="360" w:lineRule="auto"/>
        <w:ind w:left="142"/>
        <w:jc w:val="left"/>
        <w:rPr>
          <w:rFonts w:hint="eastAsia" w:ascii="宋体" w:hAnsi="宋体" w:eastAsia="宋体" w:cs="宋体"/>
          <w:b/>
          <w:bCs/>
          <w:color w:val="auto"/>
          <w:sz w:val="24"/>
          <w:highlight w:val="none"/>
        </w:rPr>
      </w:pPr>
      <w:r>
        <w:rPr>
          <w:rFonts w:hint="eastAsia" w:ascii="宋体" w:hAnsi="宋体" w:eastAsia="宋体" w:cs="宋体"/>
          <w:color w:val="auto"/>
          <w:sz w:val="24"/>
          <w:highlight w:val="none"/>
        </w:rPr>
        <w:br w:type="page"/>
      </w:r>
      <w:r>
        <w:rPr>
          <w:rFonts w:hint="eastAsia" w:ascii="宋体" w:hAnsi="宋体" w:eastAsia="宋体" w:cs="宋体"/>
          <w:b/>
          <w:bCs/>
          <w:color w:val="auto"/>
          <w:sz w:val="32"/>
          <w:szCs w:val="32"/>
          <w:highlight w:val="none"/>
        </w:rPr>
        <w:t>2.商务文件目录</w:t>
      </w:r>
    </w:p>
    <w:p w14:paraId="4E573CC4">
      <w:pPr>
        <w:snapToGrid w:val="0"/>
        <w:spacing w:before="156" w:beforeLines="50" w:after="50" w:line="360" w:lineRule="auto"/>
        <w:ind w:firstLine="640" w:firstLineChars="2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根据磋商文件规定及供应商提供的材料自行编写目录（部分格式后附）。</w:t>
      </w:r>
    </w:p>
    <w:p w14:paraId="1833ACE0">
      <w:pPr>
        <w:spacing w:line="400" w:lineRule="exact"/>
        <w:rPr>
          <w:rFonts w:hint="eastAsia" w:ascii="宋体" w:hAnsi="宋体" w:eastAsia="宋体" w:cs="宋体"/>
          <w:color w:val="auto"/>
          <w:sz w:val="32"/>
          <w:szCs w:val="32"/>
          <w:highlight w:val="none"/>
        </w:rPr>
      </w:pPr>
    </w:p>
    <w:p w14:paraId="319917CB">
      <w:pPr>
        <w:spacing w:line="520" w:lineRule="exact"/>
        <w:jc w:val="center"/>
        <w:rPr>
          <w:rFonts w:hint="eastAsia" w:ascii="宋体" w:hAnsi="宋体" w:eastAsia="宋体" w:cs="宋体"/>
          <w:color w:val="auto"/>
          <w:sz w:val="32"/>
          <w:szCs w:val="32"/>
          <w:highlight w:val="none"/>
        </w:rPr>
      </w:pPr>
      <w:r>
        <w:rPr>
          <w:rFonts w:hint="eastAsia" w:ascii="宋体" w:hAnsi="宋体" w:eastAsia="宋体" w:cs="宋体"/>
          <w:color w:val="auto"/>
          <w:sz w:val="44"/>
          <w:szCs w:val="44"/>
          <w:highlight w:val="none"/>
        </w:rPr>
        <w:br w:type="page"/>
      </w:r>
      <w:r>
        <w:rPr>
          <w:rFonts w:hint="eastAsia" w:ascii="宋体" w:hAnsi="宋体" w:eastAsia="宋体" w:cs="宋体"/>
          <w:color w:val="auto"/>
          <w:sz w:val="44"/>
          <w:szCs w:val="44"/>
          <w:highlight w:val="none"/>
        </w:rPr>
        <w:t>无串通竞标行为的承诺函</w:t>
      </w:r>
    </w:p>
    <w:p w14:paraId="01C54753">
      <w:pPr>
        <w:spacing w:line="360" w:lineRule="auto"/>
        <w:ind w:firstLine="640" w:firstLineChars="200"/>
        <w:contextualSpacing/>
        <w:rPr>
          <w:rFonts w:hint="eastAsia" w:ascii="宋体" w:hAnsi="宋体" w:eastAsia="宋体" w:cs="宋体"/>
          <w:color w:val="auto"/>
          <w:sz w:val="32"/>
          <w:szCs w:val="32"/>
          <w:highlight w:val="none"/>
        </w:rPr>
      </w:pPr>
    </w:p>
    <w:p w14:paraId="1531B7AD">
      <w:pPr>
        <w:spacing w:line="360" w:lineRule="auto"/>
        <w:ind w:firstLine="422" w:firstLineChars="200"/>
        <w:contextualSpacing/>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一、我方承诺无下列相互串通竞标的情形：</w:t>
      </w:r>
    </w:p>
    <w:p w14:paraId="4E45BDA7">
      <w:pPr>
        <w:spacing w:line="360" w:lineRule="auto"/>
        <w:ind w:firstLine="420" w:firstLineChars="20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1.不同供应商的响应文件由同一单位或者个人编制；或者不同供应商报名的IP地址一致的；或者编制响应文件硬件设备CPU编号、硬盘编号、网卡地址一致的情况。</w:t>
      </w:r>
    </w:p>
    <w:p w14:paraId="7688D77B">
      <w:pPr>
        <w:spacing w:line="360" w:lineRule="auto"/>
        <w:ind w:firstLine="420" w:firstLineChars="20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2.不同供应商委托同一单位或者个人办理竞标事宜；</w:t>
      </w:r>
    </w:p>
    <w:p w14:paraId="309BFEE2">
      <w:pPr>
        <w:spacing w:line="360" w:lineRule="auto"/>
        <w:ind w:firstLine="420" w:firstLineChars="20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3.不同供应商的响应文件载明的项目管理员为同一个人；</w:t>
      </w:r>
    </w:p>
    <w:p w14:paraId="6B17265D">
      <w:pPr>
        <w:spacing w:line="360" w:lineRule="auto"/>
        <w:ind w:firstLine="420" w:firstLineChars="20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4.不</w:t>
      </w:r>
      <w:r>
        <w:rPr>
          <w:rFonts w:hint="eastAsia" w:ascii="宋体" w:hAnsi="宋体" w:eastAsia="宋体" w:cs="宋体"/>
          <w:color w:val="auto"/>
          <w:spacing w:val="-6"/>
          <w:szCs w:val="21"/>
          <w:highlight w:val="none"/>
        </w:rPr>
        <w:t>同供应商的响应文件异常一致或者竞标报价呈规律性差异；</w:t>
      </w:r>
    </w:p>
    <w:p w14:paraId="67DBDFA4">
      <w:pPr>
        <w:spacing w:line="360" w:lineRule="auto"/>
        <w:ind w:firstLine="420" w:firstLineChars="20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5.不同供应商的响应文件相互混装；</w:t>
      </w:r>
    </w:p>
    <w:p w14:paraId="3608A91C">
      <w:pPr>
        <w:spacing w:line="360" w:lineRule="auto"/>
        <w:ind w:firstLine="420" w:firstLineChars="20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6.不同供应商的磋商保证金从同一单位或者个人账户转出。</w:t>
      </w:r>
    </w:p>
    <w:p w14:paraId="3053BA72">
      <w:pPr>
        <w:spacing w:line="360" w:lineRule="auto"/>
        <w:ind w:firstLine="422" w:firstLineChars="200"/>
        <w:contextualSpacing/>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二、我方承诺无下列恶意串通的情形：</w:t>
      </w:r>
    </w:p>
    <w:p w14:paraId="570BF62A">
      <w:pPr>
        <w:spacing w:line="360" w:lineRule="auto"/>
        <w:ind w:firstLine="420" w:firstLineChars="20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1.供应商直接或者间接从采购人或者采购代理机构处获得其他供应商的相关信息并修改其响应文件；</w:t>
      </w:r>
    </w:p>
    <w:p w14:paraId="03E1CA3B">
      <w:pPr>
        <w:spacing w:line="360" w:lineRule="auto"/>
        <w:ind w:firstLine="420" w:firstLineChars="20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2.供应商按照采购人或者采购代理机构的授意撤换、修改响应文件；</w:t>
      </w:r>
    </w:p>
    <w:p w14:paraId="323D62EF">
      <w:pPr>
        <w:spacing w:line="360" w:lineRule="auto"/>
        <w:ind w:firstLine="420" w:firstLineChars="20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3.供</w:t>
      </w:r>
      <w:r>
        <w:rPr>
          <w:rFonts w:hint="eastAsia" w:ascii="宋体" w:hAnsi="宋体" w:eastAsia="宋体" w:cs="宋体"/>
          <w:color w:val="auto"/>
          <w:spacing w:val="-6"/>
          <w:szCs w:val="21"/>
          <w:highlight w:val="none"/>
        </w:rPr>
        <w:t>应商之间协商报价、技术方案等响应文件的实质性内容；</w:t>
      </w:r>
    </w:p>
    <w:p w14:paraId="78D01F0B">
      <w:pPr>
        <w:spacing w:line="360" w:lineRule="auto"/>
        <w:ind w:firstLine="420" w:firstLineChars="20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4.属于同一集团、协会、商会等组织成员的供应商按照该组织要求协同参加政府采购活动；</w:t>
      </w:r>
    </w:p>
    <w:p w14:paraId="6AF2F246">
      <w:pPr>
        <w:spacing w:line="360" w:lineRule="auto"/>
        <w:ind w:firstLine="420" w:firstLineChars="20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5.供应商之间事先约定一致抬高或者压低竞标报价，或者在竞争性磋商项目中事先约定轮流以高价位或者低价位成交，或者事先约定由某一特定供应商成交，然后再参加竞标；</w:t>
      </w:r>
    </w:p>
    <w:p w14:paraId="6914EB84">
      <w:pPr>
        <w:spacing w:line="360" w:lineRule="auto"/>
        <w:ind w:firstLine="420" w:firstLineChars="20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6.供应商之间商定部分供应商放弃参加政府采购活动或者放弃成交；</w:t>
      </w:r>
    </w:p>
    <w:p w14:paraId="1BC25E31">
      <w:pPr>
        <w:spacing w:line="360" w:lineRule="auto"/>
        <w:ind w:firstLine="420" w:firstLineChars="20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7.供应商与采购人或者采购代理机构之间、供应商相互之间，为</w:t>
      </w:r>
      <w:r>
        <w:rPr>
          <w:rFonts w:hint="eastAsia" w:ascii="宋体" w:hAnsi="宋体" w:eastAsia="宋体" w:cs="宋体"/>
          <w:color w:val="auto"/>
          <w:spacing w:val="-6"/>
          <w:szCs w:val="21"/>
          <w:highlight w:val="none"/>
        </w:rPr>
        <w:t>谋求特定供应商成交或者排斥其他供应商的其他串通行为。</w:t>
      </w:r>
    </w:p>
    <w:p w14:paraId="5170D310">
      <w:pPr>
        <w:spacing w:line="360" w:lineRule="auto"/>
        <w:ind w:firstLine="420" w:firstLineChars="200"/>
        <w:contextualSpacing/>
        <w:rPr>
          <w:rFonts w:hint="eastAsia" w:ascii="宋体" w:hAnsi="宋体" w:eastAsia="宋体" w:cs="宋体"/>
          <w:color w:val="auto"/>
          <w:szCs w:val="21"/>
          <w:highlight w:val="none"/>
        </w:rPr>
      </w:pPr>
    </w:p>
    <w:p w14:paraId="6025636D">
      <w:pPr>
        <w:spacing w:line="360" w:lineRule="auto"/>
        <w:ind w:firstLine="422" w:firstLineChars="200"/>
        <w:contextualSpacing/>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以上情形一经核查属实，我方愿意承担一切后果，并不再寻求任何旨在减轻或者免除法律责任的辩解。</w:t>
      </w:r>
    </w:p>
    <w:p w14:paraId="7356DCCE">
      <w:pPr>
        <w:spacing w:line="360" w:lineRule="auto"/>
        <w:contextualSpacing/>
        <w:rPr>
          <w:rFonts w:hint="eastAsia" w:ascii="宋体" w:hAnsi="宋体" w:eastAsia="宋体" w:cs="宋体"/>
          <w:color w:val="auto"/>
          <w:szCs w:val="21"/>
          <w:highlight w:val="none"/>
        </w:rPr>
      </w:pPr>
    </w:p>
    <w:p w14:paraId="7F60C305">
      <w:pPr>
        <w:spacing w:line="360" w:lineRule="auto"/>
        <w:ind w:firstLine="3150" w:firstLineChars="150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供应商（盖公章）：</w:t>
      </w:r>
    </w:p>
    <w:p w14:paraId="5F62596A">
      <w:pPr>
        <w:spacing w:line="360" w:lineRule="auto"/>
        <w:ind w:firstLine="420" w:firstLineChars="200"/>
        <w:contextualSpacing/>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年   月   日</w:t>
      </w:r>
    </w:p>
    <w:p w14:paraId="5822CD6C">
      <w:pPr>
        <w:spacing w:line="520" w:lineRule="exact"/>
        <w:jc w:val="center"/>
        <w:rPr>
          <w:rFonts w:hint="eastAsia" w:ascii="宋体" w:hAnsi="宋体" w:eastAsia="宋体" w:cs="宋体"/>
          <w:color w:val="auto"/>
          <w:sz w:val="32"/>
          <w:szCs w:val="32"/>
          <w:highlight w:val="none"/>
        </w:rPr>
      </w:pPr>
      <w:r>
        <w:rPr>
          <w:rFonts w:hint="eastAsia" w:ascii="宋体" w:hAnsi="宋体" w:eastAsia="宋体" w:cs="宋体"/>
          <w:bCs/>
          <w:color w:val="auto"/>
          <w:sz w:val="44"/>
          <w:szCs w:val="44"/>
          <w:highlight w:val="none"/>
        </w:rPr>
        <w:br w:type="page"/>
      </w:r>
      <w:r>
        <w:rPr>
          <w:rFonts w:hint="eastAsia" w:ascii="宋体" w:hAnsi="宋体" w:eastAsia="宋体" w:cs="宋体"/>
          <w:bCs/>
          <w:color w:val="auto"/>
          <w:sz w:val="44"/>
          <w:szCs w:val="44"/>
          <w:highlight w:val="none"/>
        </w:rPr>
        <w:t>法定代表人身份证明</w:t>
      </w:r>
    </w:p>
    <w:p w14:paraId="270290C1">
      <w:pPr>
        <w:spacing w:line="360" w:lineRule="auto"/>
        <w:ind w:left="540"/>
        <w:contextualSpacing/>
        <w:rPr>
          <w:rFonts w:hint="eastAsia" w:ascii="宋体" w:hAnsi="宋体" w:eastAsia="宋体" w:cs="宋体"/>
          <w:color w:val="auto"/>
          <w:sz w:val="32"/>
          <w:szCs w:val="32"/>
          <w:highlight w:val="none"/>
        </w:rPr>
      </w:pPr>
    </w:p>
    <w:p w14:paraId="48F5E1A3">
      <w:pPr>
        <w:spacing w:line="360" w:lineRule="auto"/>
        <w:ind w:left="54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供应商名称：</w:t>
      </w:r>
      <w:r>
        <w:rPr>
          <w:rFonts w:hint="eastAsia" w:ascii="宋体" w:hAnsi="宋体" w:eastAsia="宋体" w:cs="宋体"/>
          <w:color w:val="auto"/>
          <w:szCs w:val="21"/>
          <w:highlight w:val="none"/>
          <w:u w:val="single"/>
        </w:rPr>
        <w:t xml:space="preserve">                                                        </w:t>
      </w:r>
    </w:p>
    <w:p w14:paraId="62581DB4">
      <w:pPr>
        <w:spacing w:line="360" w:lineRule="auto"/>
        <w:ind w:left="54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地    址：</w:t>
      </w:r>
      <w:r>
        <w:rPr>
          <w:rFonts w:hint="eastAsia" w:ascii="宋体" w:hAnsi="宋体" w:eastAsia="宋体" w:cs="宋体"/>
          <w:color w:val="auto"/>
          <w:szCs w:val="21"/>
          <w:highlight w:val="none"/>
          <w:u w:val="single"/>
        </w:rPr>
        <w:t xml:space="preserve">                                                        </w:t>
      </w:r>
    </w:p>
    <w:p w14:paraId="0DC32DCC">
      <w:pPr>
        <w:spacing w:line="360" w:lineRule="auto"/>
        <w:ind w:left="54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姓    名：</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性     别：</w:t>
      </w:r>
      <w:r>
        <w:rPr>
          <w:rFonts w:hint="eastAsia" w:ascii="宋体" w:hAnsi="宋体" w:eastAsia="宋体" w:cs="宋体"/>
          <w:color w:val="auto"/>
          <w:szCs w:val="21"/>
          <w:highlight w:val="none"/>
          <w:u w:val="single"/>
        </w:rPr>
        <w:t xml:space="preserve">                </w:t>
      </w:r>
    </w:p>
    <w:p w14:paraId="51EA0503">
      <w:pPr>
        <w:spacing w:line="360" w:lineRule="auto"/>
        <w:ind w:left="540"/>
        <w:contextualSpacing/>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年    龄：</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职     务：</w:t>
      </w:r>
      <w:r>
        <w:rPr>
          <w:rFonts w:hint="eastAsia" w:ascii="宋体" w:hAnsi="宋体" w:eastAsia="宋体" w:cs="宋体"/>
          <w:color w:val="auto"/>
          <w:szCs w:val="21"/>
          <w:highlight w:val="none"/>
          <w:u w:val="single"/>
        </w:rPr>
        <w:t xml:space="preserve">                </w:t>
      </w:r>
    </w:p>
    <w:p w14:paraId="7D06F43C">
      <w:pPr>
        <w:spacing w:line="360" w:lineRule="auto"/>
        <w:ind w:left="54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身份证号码：</w:t>
      </w:r>
      <w:r>
        <w:rPr>
          <w:rFonts w:hint="eastAsia" w:ascii="宋体" w:hAnsi="宋体" w:eastAsia="宋体" w:cs="宋体"/>
          <w:color w:val="auto"/>
          <w:szCs w:val="21"/>
          <w:highlight w:val="none"/>
          <w:u w:val="single"/>
        </w:rPr>
        <w:t xml:space="preserve">                                        </w:t>
      </w:r>
    </w:p>
    <w:p w14:paraId="78E46050">
      <w:pPr>
        <w:spacing w:line="360" w:lineRule="auto"/>
        <w:ind w:firstLine="420" w:firstLineChars="20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系</w:t>
      </w:r>
      <w:r>
        <w:rPr>
          <w:rFonts w:hint="eastAsia" w:ascii="宋体" w:hAnsi="宋体" w:eastAsia="宋体" w:cs="宋体"/>
          <w:color w:val="auto"/>
          <w:szCs w:val="21"/>
          <w:highlight w:val="none"/>
          <w:u w:val="single"/>
        </w:rPr>
        <w:t>（供应商名称）</w:t>
      </w:r>
      <w:r>
        <w:rPr>
          <w:rFonts w:hint="eastAsia" w:ascii="宋体" w:hAnsi="宋体" w:eastAsia="宋体" w:cs="宋体"/>
          <w:color w:val="auto"/>
          <w:szCs w:val="21"/>
          <w:highlight w:val="none"/>
        </w:rPr>
        <w:t>的法定代表人。</w:t>
      </w:r>
    </w:p>
    <w:p w14:paraId="10B349E8">
      <w:pPr>
        <w:spacing w:line="360" w:lineRule="auto"/>
        <w:ind w:left="54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特此证明。</w:t>
      </w:r>
    </w:p>
    <w:p w14:paraId="5AB9DB1A">
      <w:pPr>
        <w:spacing w:line="360" w:lineRule="auto"/>
        <w:ind w:left="540"/>
        <w:contextualSpacing/>
        <w:rPr>
          <w:rFonts w:hint="eastAsia" w:ascii="宋体" w:hAnsi="宋体" w:eastAsia="宋体" w:cs="宋体"/>
          <w:color w:val="auto"/>
          <w:szCs w:val="21"/>
          <w:highlight w:val="none"/>
        </w:rPr>
      </w:pPr>
    </w:p>
    <w:p w14:paraId="7E297730">
      <w:pPr>
        <w:spacing w:line="360" w:lineRule="auto"/>
        <w:ind w:left="540"/>
        <w:contextualSpacing/>
        <w:rPr>
          <w:rFonts w:hint="eastAsia" w:ascii="宋体" w:hAnsi="宋体" w:eastAsia="宋体" w:cs="宋体"/>
          <w:color w:val="auto"/>
          <w:szCs w:val="21"/>
          <w:highlight w:val="none"/>
        </w:rPr>
      </w:pPr>
    </w:p>
    <w:p w14:paraId="4441B10B">
      <w:pPr>
        <w:spacing w:line="360" w:lineRule="auto"/>
        <w:ind w:left="540"/>
        <w:contextualSpacing/>
        <w:rPr>
          <w:rFonts w:hint="eastAsia" w:ascii="宋体" w:hAnsi="宋体" w:eastAsia="宋体" w:cs="宋体"/>
          <w:color w:val="auto"/>
          <w:szCs w:val="21"/>
          <w:highlight w:val="none"/>
        </w:rPr>
      </w:pPr>
    </w:p>
    <w:p w14:paraId="03043791">
      <w:pPr>
        <w:spacing w:line="360" w:lineRule="auto"/>
        <w:ind w:left="54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附件：法定代表人有效身份证正反面复印件</w:t>
      </w:r>
    </w:p>
    <w:p w14:paraId="0587579B">
      <w:pPr>
        <w:spacing w:line="360" w:lineRule="auto"/>
        <w:ind w:left="540"/>
        <w:contextualSpacing/>
        <w:rPr>
          <w:rFonts w:hint="eastAsia" w:ascii="宋体" w:hAnsi="宋体" w:eastAsia="宋体" w:cs="宋体"/>
          <w:color w:val="auto"/>
          <w:szCs w:val="21"/>
          <w:highlight w:val="none"/>
        </w:rPr>
      </w:pPr>
    </w:p>
    <w:p w14:paraId="074E8DE6">
      <w:pPr>
        <w:spacing w:line="360" w:lineRule="auto"/>
        <w:ind w:left="540"/>
        <w:contextualSpacing/>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供应商（盖公章）：</w:t>
      </w:r>
    </w:p>
    <w:p w14:paraId="3F0891C2">
      <w:pPr>
        <w:spacing w:line="360" w:lineRule="auto"/>
        <w:ind w:firstLine="3570" w:firstLineChars="170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日</w:t>
      </w:r>
    </w:p>
    <w:p w14:paraId="7C565554">
      <w:pPr>
        <w:spacing w:line="360" w:lineRule="auto"/>
        <w:contextualSpacing/>
        <w:jc w:val="center"/>
        <w:rPr>
          <w:rFonts w:hint="eastAsia" w:ascii="宋体" w:hAnsi="宋体" w:eastAsia="宋体" w:cs="宋体"/>
          <w:b/>
          <w:color w:val="auto"/>
          <w:szCs w:val="21"/>
          <w:highlight w:val="none"/>
        </w:rPr>
      </w:pPr>
    </w:p>
    <w:p w14:paraId="1D530C85">
      <w:pPr>
        <w:spacing w:line="360" w:lineRule="auto"/>
        <w:contextualSpacing/>
        <w:jc w:val="left"/>
        <w:rPr>
          <w:rFonts w:hint="eastAsia" w:ascii="宋体" w:hAnsi="宋体" w:eastAsia="宋体" w:cs="宋体"/>
          <w:color w:val="auto"/>
          <w:szCs w:val="21"/>
          <w:highlight w:val="none"/>
        </w:rPr>
      </w:pPr>
    </w:p>
    <w:p w14:paraId="298AF835">
      <w:pPr>
        <w:spacing w:line="360" w:lineRule="auto"/>
        <w:contextualSpacing/>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注：自然人竞标的无需提供。</w:t>
      </w:r>
    </w:p>
    <w:p w14:paraId="61814FC2">
      <w:pPr>
        <w:adjustRightInd w:val="0"/>
        <w:snapToGrid w:val="0"/>
        <w:spacing w:line="300" w:lineRule="auto"/>
        <w:jc w:val="left"/>
        <w:rPr>
          <w:rFonts w:hint="eastAsia" w:ascii="宋体" w:hAnsi="宋体" w:eastAsia="宋体" w:cs="宋体"/>
          <w:b/>
          <w:color w:val="auto"/>
          <w:szCs w:val="21"/>
          <w:highlight w:val="none"/>
        </w:rPr>
      </w:pPr>
    </w:p>
    <w:p w14:paraId="66AC3BC2">
      <w:pPr>
        <w:spacing w:line="500" w:lineRule="exact"/>
        <w:jc w:val="center"/>
        <w:rPr>
          <w:rFonts w:hint="eastAsia" w:ascii="宋体" w:hAnsi="宋体" w:eastAsia="宋体" w:cs="宋体"/>
          <w:color w:val="auto"/>
          <w:sz w:val="44"/>
          <w:szCs w:val="44"/>
          <w:highlight w:val="none"/>
        </w:rPr>
      </w:pPr>
      <w:r>
        <w:rPr>
          <w:rFonts w:hint="eastAsia" w:ascii="宋体" w:hAnsi="宋体" w:eastAsia="宋体" w:cs="宋体"/>
          <w:color w:val="auto"/>
          <w:sz w:val="44"/>
          <w:szCs w:val="44"/>
          <w:highlight w:val="none"/>
        </w:rPr>
        <w:br w:type="page"/>
      </w:r>
      <w:bookmarkStart w:id="35" w:name="_Hlk65853643"/>
      <w:r>
        <w:rPr>
          <w:rFonts w:hint="eastAsia" w:ascii="宋体" w:hAnsi="宋体" w:eastAsia="宋体" w:cs="宋体"/>
          <w:color w:val="auto"/>
          <w:sz w:val="44"/>
          <w:szCs w:val="44"/>
          <w:highlight w:val="none"/>
        </w:rPr>
        <w:t>授权委托书</w:t>
      </w:r>
    </w:p>
    <w:p w14:paraId="438AAB70">
      <w:pPr>
        <w:spacing w:line="520" w:lineRule="exact"/>
        <w:jc w:val="center"/>
        <w:rPr>
          <w:rFonts w:hint="eastAsia" w:ascii="宋体" w:hAnsi="宋体" w:eastAsia="宋体" w:cs="宋体"/>
          <w:color w:val="auto"/>
          <w:sz w:val="44"/>
          <w:szCs w:val="44"/>
          <w:highlight w:val="none"/>
        </w:rPr>
      </w:pPr>
      <w:r>
        <w:rPr>
          <w:rFonts w:hint="eastAsia" w:ascii="宋体" w:hAnsi="宋体" w:eastAsia="宋体" w:cs="宋体"/>
          <w:color w:val="auto"/>
          <w:sz w:val="32"/>
          <w:szCs w:val="32"/>
          <w:highlight w:val="none"/>
        </w:rPr>
        <w:t>（如有委托时）</w:t>
      </w:r>
    </w:p>
    <w:p w14:paraId="573121D4">
      <w:pPr>
        <w:spacing w:line="520" w:lineRule="exact"/>
        <w:rPr>
          <w:rFonts w:hint="eastAsia" w:ascii="宋体" w:hAnsi="宋体" w:eastAsia="宋体" w:cs="宋体"/>
          <w:color w:val="auto"/>
          <w:sz w:val="32"/>
          <w:szCs w:val="32"/>
          <w:highlight w:val="none"/>
        </w:rPr>
      </w:pPr>
    </w:p>
    <w:p w14:paraId="12EE7C84">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致：</w:t>
      </w:r>
      <w:r>
        <w:rPr>
          <w:rFonts w:hint="eastAsia" w:ascii="宋体" w:hAnsi="宋体" w:eastAsia="宋体" w:cs="宋体"/>
          <w:color w:val="auto"/>
          <w:szCs w:val="21"/>
          <w:highlight w:val="none"/>
          <w:u w:val="single"/>
        </w:rPr>
        <w:t>（采购人名称）</w:t>
      </w:r>
      <w:r>
        <w:rPr>
          <w:rFonts w:hint="eastAsia" w:ascii="宋体" w:hAnsi="宋体" w:eastAsia="宋体" w:cs="宋体"/>
          <w:color w:val="auto"/>
          <w:szCs w:val="21"/>
          <w:highlight w:val="none"/>
        </w:rPr>
        <w:t>：</w:t>
      </w:r>
    </w:p>
    <w:p w14:paraId="2255208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我</w:t>
      </w:r>
      <w:r>
        <w:rPr>
          <w:rFonts w:hint="eastAsia" w:ascii="宋体" w:hAnsi="宋体" w:eastAsia="宋体" w:cs="宋体"/>
          <w:color w:val="auto"/>
          <w:szCs w:val="21"/>
          <w:highlight w:val="none"/>
          <w:u w:val="single"/>
        </w:rPr>
        <w:t xml:space="preserve">  （姓名）  </w:t>
      </w:r>
      <w:r>
        <w:rPr>
          <w:rFonts w:hint="eastAsia" w:ascii="宋体" w:hAnsi="宋体" w:eastAsia="宋体" w:cs="宋体"/>
          <w:color w:val="auto"/>
          <w:szCs w:val="21"/>
          <w:highlight w:val="none"/>
        </w:rPr>
        <w:t>系</w:t>
      </w:r>
      <w:r>
        <w:rPr>
          <w:rFonts w:hint="eastAsia" w:ascii="宋体" w:hAnsi="宋体" w:eastAsia="宋体" w:cs="宋体"/>
          <w:color w:val="auto"/>
          <w:szCs w:val="21"/>
          <w:highlight w:val="none"/>
          <w:u w:val="single"/>
        </w:rPr>
        <w:t xml:space="preserve">  （供应商名称）  </w:t>
      </w:r>
      <w:r>
        <w:rPr>
          <w:rFonts w:hint="eastAsia" w:ascii="宋体" w:hAnsi="宋体" w:eastAsia="宋体" w:cs="宋体"/>
          <w:color w:val="auto"/>
          <w:szCs w:val="21"/>
          <w:highlight w:val="none"/>
        </w:rPr>
        <w:t>的（</w:t>
      </w:r>
      <w:r>
        <w:rPr>
          <w:rFonts w:hint="eastAsia" w:ascii="宋体" w:hAnsi="宋体" w:eastAsia="宋体" w:cs="宋体"/>
          <w:color w:val="auto"/>
          <w:szCs w:val="21"/>
          <w:highlight w:val="none"/>
          <w:u w:val="single"/>
        </w:rPr>
        <w:t>法定代表人/负责人/自然人本人</w:t>
      </w:r>
      <w:r>
        <w:rPr>
          <w:rFonts w:hint="eastAsia" w:ascii="宋体" w:hAnsi="宋体" w:eastAsia="宋体" w:cs="宋体"/>
          <w:color w:val="auto"/>
          <w:szCs w:val="21"/>
          <w:highlight w:val="none"/>
        </w:rPr>
        <w:t>），现授权</w:t>
      </w:r>
      <w:r>
        <w:rPr>
          <w:rFonts w:hint="eastAsia" w:ascii="宋体" w:hAnsi="宋体" w:eastAsia="宋体" w:cs="宋体"/>
          <w:color w:val="auto"/>
          <w:szCs w:val="21"/>
          <w:highlight w:val="none"/>
          <w:u w:val="single"/>
        </w:rPr>
        <w:t xml:space="preserve"> （姓名） </w:t>
      </w:r>
      <w:r>
        <w:rPr>
          <w:rFonts w:hint="eastAsia" w:ascii="宋体" w:hAnsi="宋体" w:eastAsia="宋体" w:cs="宋体"/>
          <w:color w:val="auto"/>
          <w:szCs w:val="21"/>
          <w:highlight w:val="none"/>
        </w:rPr>
        <w:t>以我方的名义参加</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项目的竞标活动，并代表我方全权办理针对上述项目的所有采购程序和环节的具体事务和签署相关文件。</w:t>
      </w:r>
    </w:p>
    <w:p w14:paraId="1730A793">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我方对委托代理人的签字事项负全部责任。</w:t>
      </w:r>
    </w:p>
    <w:p w14:paraId="15159491">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本授权书自签署之日起生效，在撤销授权的书面通知以前，本授权书一直有效。委托代理人在授权书有效期内签署的所有文件不因授权的撤销而失效。</w:t>
      </w:r>
    </w:p>
    <w:p w14:paraId="13BBEE52">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委托代理人无转委托权，特此委托。</w:t>
      </w:r>
    </w:p>
    <w:p w14:paraId="1591F2C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附：法定代表人身份证明及委托代理人有效身份证正反面复印件</w:t>
      </w:r>
    </w:p>
    <w:p w14:paraId="4899B5C1">
      <w:pPr>
        <w:spacing w:line="360" w:lineRule="auto"/>
        <w:rPr>
          <w:rFonts w:hint="eastAsia" w:ascii="宋体" w:hAnsi="宋体" w:eastAsia="宋体" w:cs="宋体"/>
          <w:color w:val="auto"/>
          <w:szCs w:val="21"/>
          <w:highlight w:val="none"/>
        </w:rPr>
      </w:pPr>
    </w:p>
    <w:p w14:paraId="5132FEB5">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委托代理人（签字或者电子签名）：         法定代表人（签字或者盖章）：</w:t>
      </w:r>
    </w:p>
    <w:p w14:paraId="0B94CE8F">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委托代理人身份证号码：</w:t>
      </w:r>
    </w:p>
    <w:p w14:paraId="69EB54B7">
      <w:pPr>
        <w:spacing w:line="360" w:lineRule="auto"/>
        <w:ind w:left="4200" w:leftChars="2000" w:firstLine="0" w:firstLineChars="0"/>
        <w:rPr>
          <w:rFonts w:hint="eastAsia" w:ascii="宋体" w:hAnsi="宋体" w:eastAsia="宋体" w:cs="宋体"/>
          <w:color w:val="auto"/>
          <w:szCs w:val="21"/>
          <w:highlight w:val="none"/>
        </w:rPr>
      </w:pPr>
    </w:p>
    <w:p w14:paraId="00BF2FB8">
      <w:pPr>
        <w:spacing w:line="360" w:lineRule="auto"/>
        <w:ind w:left="4200" w:leftChars="2000" w:firstLine="0" w:firstLineChars="0"/>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供应商（盖公章）：</w:t>
      </w:r>
    </w:p>
    <w:p w14:paraId="79D183BC">
      <w:pPr>
        <w:spacing w:line="360" w:lineRule="auto"/>
        <w:ind w:left="4200" w:leftChars="2000" w:firstLine="0" w:firstLineChars="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年    月    日</w:t>
      </w:r>
    </w:p>
    <w:p w14:paraId="1FE1E408">
      <w:pPr>
        <w:spacing w:line="360" w:lineRule="auto"/>
        <w:rPr>
          <w:rFonts w:hint="eastAsia" w:ascii="宋体" w:hAnsi="宋体" w:eastAsia="宋体" w:cs="宋体"/>
          <w:color w:val="auto"/>
          <w:szCs w:val="21"/>
          <w:highlight w:val="none"/>
        </w:rPr>
      </w:pPr>
    </w:p>
    <w:p w14:paraId="54C8AE1E">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注：1. 法定代表人必须在授权委托书上亲笔签字或者盖章，委托代理人必须在授权委托书上亲笔签字或者电子签名，</w:t>
      </w:r>
      <w:r>
        <w:rPr>
          <w:rFonts w:hint="eastAsia" w:ascii="宋体" w:hAnsi="宋体" w:eastAsia="宋体" w:cs="宋体"/>
          <w:b/>
          <w:color w:val="auto"/>
          <w:szCs w:val="21"/>
          <w:highlight w:val="none"/>
        </w:rPr>
        <w:t>否则其响应文件按无效响应处理。</w:t>
      </w:r>
    </w:p>
    <w:p w14:paraId="4F68D0D6">
      <w:pPr>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bookmarkStart w:id="36" w:name="_Hlk65853109"/>
      <w:bookmarkStart w:id="37" w:name="_Hlk65853542"/>
      <w:r>
        <w:rPr>
          <w:rFonts w:hint="eastAsia" w:ascii="宋体" w:hAnsi="宋体" w:eastAsia="宋体" w:cs="宋体"/>
          <w:color w:val="auto"/>
          <w:szCs w:val="21"/>
          <w:highlight w:val="none"/>
        </w:rPr>
        <w:t>法人、其他组织竞标时“我方”是指“我单位”，自然人竞标时“我方”是指“本人”。</w:t>
      </w:r>
      <w:bookmarkEnd w:id="36"/>
    </w:p>
    <w:bookmarkEnd w:id="37"/>
    <w:p w14:paraId="0786517E">
      <w:pPr>
        <w:spacing w:line="360" w:lineRule="auto"/>
        <w:ind w:firstLine="420" w:firstLineChars="200"/>
        <w:jc w:val="left"/>
        <w:rPr>
          <w:rFonts w:hint="eastAsia" w:ascii="宋体" w:hAnsi="宋体" w:eastAsia="宋体" w:cs="宋体"/>
          <w:color w:val="auto"/>
          <w:szCs w:val="21"/>
          <w:highlight w:val="none"/>
        </w:rPr>
      </w:pPr>
    </w:p>
    <w:p w14:paraId="3A93C4F7">
      <w:pPr>
        <w:spacing w:line="500" w:lineRule="exact"/>
        <w:jc w:val="center"/>
        <w:rPr>
          <w:rFonts w:hint="eastAsia" w:ascii="宋体" w:hAnsi="宋体" w:eastAsia="宋体" w:cs="宋体"/>
          <w:bCs/>
          <w:color w:val="auto"/>
          <w:sz w:val="44"/>
          <w:szCs w:val="44"/>
          <w:highlight w:val="none"/>
        </w:rPr>
      </w:pPr>
      <w:r>
        <w:rPr>
          <w:rFonts w:hint="eastAsia" w:ascii="宋体" w:hAnsi="宋体" w:eastAsia="宋体" w:cs="宋体"/>
          <w:color w:val="auto"/>
          <w:szCs w:val="21"/>
          <w:highlight w:val="none"/>
        </w:rPr>
        <w:br w:type="page"/>
      </w:r>
      <w:bookmarkEnd w:id="35"/>
      <w:r>
        <w:rPr>
          <w:rFonts w:hint="eastAsia" w:ascii="宋体" w:hAnsi="宋体" w:eastAsia="宋体" w:cs="宋体"/>
          <w:bCs/>
          <w:color w:val="auto"/>
          <w:sz w:val="44"/>
          <w:szCs w:val="44"/>
          <w:highlight w:val="none"/>
        </w:rPr>
        <w:t>商务要求偏离表</w:t>
      </w:r>
      <w:r>
        <w:rPr>
          <w:rFonts w:hint="eastAsia" w:ascii="宋体" w:hAnsi="宋体" w:eastAsia="宋体" w:cs="宋体"/>
          <w:bCs/>
          <w:color w:val="auto"/>
          <w:sz w:val="28"/>
          <w:szCs w:val="28"/>
          <w:highlight w:val="none"/>
        </w:rPr>
        <w:t>（格式）</w:t>
      </w:r>
    </w:p>
    <w:p w14:paraId="2507EEEA">
      <w:pPr>
        <w:spacing w:line="500" w:lineRule="exact"/>
        <w:jc w:val="center"/>
        <w:rPr>
          <w:rFonts w:hint="eastAsia" w:ascii="宋体" w:hAnsi="宋体" w:eastAsia="宋体" w:cs="宋体"/>
          <w:b/>
          <w:color w:val="auto"/>
          <w:sz w:val="32"/>
          <w:szCs w:val="32"/>
          <w:highlight w:val="none"/>
        </w:rPr>
      </w:pPr>
      <w:r>
        <w:rPr>
          <w:rFonts w:hint="eastAsia" w:ascii="宋体" w:hAnsi="宋体" w:eastAsia="宋体" w:cs="宋体"/>
          <w:bCs/>
          <w:color w:val="auto"/>
          <w:sz w:val="32"/>
          <w:szCs w:val="32"/>
          <w:highlight w:val="none"/>
        </w:rPr>
        <w:t>（注：按采购需求具体条款修改）</w:t>
      </w:r>
    </w:p>
    <w:p w14:paraId="3AB2DCE2">
      <w:pPr>
        <w:spacing w:line="360" w:lineRule="auto"/>
        <w:contextualSpacing/>
        <w:jc w:val="left"/>
        <w:rPr>
          <w:rFonts w:hint="eastAsia" w:ascii="宋体" w:hAnsi="宋体" w:eastAsia="宋体" w:cs="宋体"/>
          <w:color w:val="auto"/>
          <w:sz w:val="24"/>
          <w:highlight w:val="none"/>
        </w:rPr>
      </w:pPr>
    </w:p>
    <w:p w14:paraId="18BECF09">
      <w:pPr>
        <w:pStyle w:val="19"/>
        <w:spacing w:line="360" w:lineRule="auto"/>
        <w:contextualSpacing/>
        <w:rPr>
          <w:rFonts w:hint="eastAsia" w:ascii="宋体" w:hAnsi="宋体" w:eastAsia="宋体" w:cs="宋体"/>
          <w:color w:val="auto"/>
          <w:sz w:val="21"/>
          <w:highlight w:val="none"/>
        </w:rPr>
      </w:pPr>
      <w:r>
        <w:rPr>
          <w:rFonts w:hint="eastAsia" w:ascii="宋体" w:hAnsi="宋体" w:eastAsia="宋体" w:cs="宋体"/>
          <w:color w:val="auto"/>
          <w:sz w:val="21"/>
          <w:highlight w:val="none"/>
        </w:rPr>
        <w:t>所竞分标：</w:t>
      </w:r>
      <w:r>
        <w:rPr>
          <w:rFonts w:hint="eastAsia" w:ascii="宋体" w:hAnsi="宋体" w:eastAsia="宋体" w:cs="宋体"/>
          <w:color w:val="auto"/>
          <w:sz w:val="21"/>
          <w:highlight w:val="none"/>
          <w:u w:val="single"/>
        </w:rPr>
        <w:t xml:space="preserve">              </w:t>
      </w:r>
    </w:p>
    <w:p w14:paraId="344F51AF">
      <w:pPr>
        <w:spacing w:line="360" w:lineRule="auto"/>
        <w:contextualSpacing/>
        <w:jc w:val="left"/>
        <w:rPr>
          <w:rFonts w:hint="eastAsia" w:ascii="宋体" w:hAnsi="宋体" w:eastAsia="宋体" w:cs="宋体"/>
          <w:color w:val="auto"/>
          <w:szCs w:val="21"/>
          <w:highlight w:val="none"/>
          <w:u w:val="single"/>
        </w:rPr>
      </w:pPr>
    </w:p>
    <w:tbl>
      <w:tblPr>
        <w:tblStyle w:val="33"/>
        <w:tblpPr w:leftFromText="180" w:rightFromText="180" w:vertAnchor="text" w:horzAnchor="margin" w:tblpY="-9"/>
        <w:tblOverlap w:val="never"/>
        <w:tblW w:w="9308"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178"/>
        <w:gridCol w:w="2668"/>
        <w:gridCol w:w="2350"/>
        <w:gridCol w:w="2112"/>
      </w:tblGrid>
      <w:tr w14:paraId="049DF44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2178" w:type="dxa"/>
            <w:tcBorders>
              <w:top w:val="single" w:color="auto" w:sz="4" w:space="0"/>
              <w:left w:val="single" w:color="auto" w:sz="4" w:space="0"/>
              <w:bottom w:val="single" w:color="auto" w:sz="4" w:space="0"/>
              <w:right w:val="single" w:color="auto" w:sz="4" w:space="0"/>
            </w:tcBorders>
            <w:noWrap w:val="0"/>
            <w:vAlign w:val="center"/>
          </w:tcPr>
          <w:p w14:paraId="5B75989D">
            <w:pPr>
              <w:spacing w:line="360" w:lineRule="auto"/>
              <w:contextualSpacing/>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项目</w:t>
            </w:r>
          </w:p>
        </w:tc>
        <w:tc>
          <w:tcPr>
            <w:tcW w:w="2668" w:type="dxa"/>
            <w:tcBorders>
              <w:top w:val="single" w:color="auto" w:sz="4" w:space="0"/>
              <w:left w:val="single" w:color="auto" w:sz="4" w:space="0"/>
              <w:bottom w:val="single" w:color="auto" w:sz="4" w:space="0"/>
              <w:right w:val="single" w:color="auto" w:sz="4" w:space="0"/>
            </w:tcBorders>
            <w:noWrap w:val="0"/>
            <w:vAlign w:val="center"/>
          </w:tcPr>
          <w:p w14:paraId="1540BE9D">
            <w:pPr>
              <w:spacing w:line="360" w:lineRule="auto"/>
              <w:contextualSpacing/>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磋商文件商务要求</w:t>
            </w:r>
          </w:p>
        </w:tc>
        <w:tc>
          <w:tcPr>
            <w:tcW w:w="2350" w:type="dxa"/>
            <w:tcBorders>
              <w:top w:val="single" w:color="auto" w:sz="4" w:space="0"/>
              <w:left w:val="single" w:color="auto" w:sz="4" w:space="0"/>
              <w:bottom w:val="single" w:color="auto" w:sz="4" w:space="0"/>
              <w:right w:val="single" w:color="auto" w:sz="4" w:space="0"/>
            </w:tcBorders>
            <w:noWrap w:val="0"/>
            <w:vAlign w:val="center"/>
          </w:tcPr>
          <w:p w14:paraId="7A77EADA">
            <w:pPr>
              <w:spacing w:line="360" w:lineRule="auto"/>
              <w:contextualSpacing/>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供应商的响应</w:t>
            </w:r>
          </w:p>
        </w:tc>
        <w:tc>
          <w:tcPr>
            <w:tcW w:w="2112" w:type="dxa"/>
            <w:tcBorders>
              <w:top w:val="single" w:color="auto" w:sz="4" w:space="0"/>
              <w:left w:val="single" w:color="auto" w:sz="4" w:space="0"/>
              <w:bottom w:val="single" w:color="auto" w:sz="4" w:space="0"/>
              <w:right w:val="single" w:color="auto" w:sz="4" w:space="0"/>
            </w:tcBorders>
            <w:noWrap w:val="0"/>
            <w:vAlign w:val="center"/>
          </w:tcPr>
          <w:p w14:paraId="42091640">
            <w:pPr>
              <w:spacing w:line="360" w:lineRule="auto"/>
              <w:contextualSpacing/>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偏离说明</w:t>
            </w:r>
          </w:p>
        </w:tc>
      </w:tr>
      <w:tr w14:paraId="3B5D428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2178" w:type="dxa"/>
            <w:tcBorders>
              <w:top w:val="single" w:color="auto" w:sz="4" w:space="0"/>
              <w:left w:val="single" w:color="auto" w:sz="4" w:space="0"/>
              <w:bottom w:val="single" w:color="auto" w:sz="4" w:space="0"/>
              <w:right w:val="single" w:color="auto" w:sz="4" w:space="0"/>
            </w:tcBorders>
            <w:noWrap w:val="0"/>
            <w:vAlign w:val="center"/>
          </w:tcPr>
          <w:p w14:paraId="5007A12E">
            <w:pPr>
              <w:spacing w:line="360" w:lineRule="auto"/>
              <w:jc w:val="center"/>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rPr>
              <w:t>…</w:t>
            </w:r>
          </w:p>
        </w:tc>
        <w:tc>
          <w:tcPr>
            <w:tcW w:w="2668" w:type="dxa"/>
            <w:tcBorders>
              <w:top w:val="single" w:color="auto" w:sz="4" w:space="0"/>
              <w:left w:val="single" w:color="auto" w:sz="4" w:space="0"/>
              <w:bottom w:val="single" w:color="auto" w:sz="4" w:space="0"/>
              <w:right w:val="single" w:color="auto" w:sz="4" w:space="0"/>
            </w:tcBorders>
            <w:noWrap w:val="0"/>
            <w:vAlign w:val="center"/>
          </w:tcPr>
          <w:p w14:paraId="3918EB03">
            <w:pPr>
              <w:spacing w:line="360" w:lineRule="auto"/>
              <w:contextualSpacing/>
              <w:jc w:val="center"/>
              <w:rPr>
                <w:rFonts w:hint="eastAsia" w:ascii="宋体" w:hAnsi="宋体" w:eastAsia="宋体" w:cs="宋体"/>
                <w:color w:val="auto"/>
                <w:szCs w:val="21"/>
                <w:highlight w:val="none"/>
              </w:rPr>
            </w:pPr>
          </w:p>
        </w:tc>
        <w:tc>
          <w:tcPr>
            <w:tcW w:w="2350" w:type="dxa"/>
            <w:tcBorders>
              <w:top w:val="single" w:color="auto" w:sz="4" w:space="0"/>
              <w:left w:val="single" w:color="auto" w:sz="4" w:space="0"/>
              <w:bottom w:val="single" w:color="auto" w:sz="4" w:space="0"/>
              <w:right w:val="single" w:color="auto" w:sz="4" w:space="0"/>
            </w:tcBorders>
            <w:noWrap w:val="0"/>
            <w:vAlign w:val="center"/>
          </w:tcPr>
          <w:p w14:paraId="0675464B">
            <w:pPr>
              <w:spacing w:line="360" w:lineRule="auto"/>
              <w:contextualSpacing/>
              <w:jc w:val="center"/>
              <w:rPr>
                <w:rFonts w:hint="eastAsia" w:ascii="宋体" w:hAnsi="宋体" w:eastAsia="宋体" w:cs="宋体"/>
                <w:color w:val="auto"/>
                <w:szCs w:val="21"/>
                <w:highlight w:val="none"/>
              </w:rPr>
            </w:pPr>
          </w:p>
        </w:tc>
        <w:tc>
          <w:tcPr>
            <w:tcW w:w="2112" w:type="dxa"/>
            <w:tcBorders>
              <w:top w:val="single" w:color="auto" w:sz="4" w:space="0"/>
              <w:left w:val="single" w:color="auto" w:sz="4" w:space="0"/>
              <w:bottom w:val="single" w:color="auto" w:sz="4" w:space="0"/>
              <w:right w:val="single" w:color="auto" w:sz="4" w:space="0"/>
            </w:tcBorders>
            <w:noWrap w:val="0"/>
            <w:vAlign w:val="center"/>
          </w:tcPr>
          <w:p w14:paraId="64F12794">
            <w:pPr>
              <w:spacing w:line="360" w:lineRule="auto"/>
              <w:contextualSpacing/>
              <w:jc w:val="center"/>
              <w:rPr>
                <w:rFonts w:hint="eastAsia" w:ascii="宋体" w:hAnsi="宋体" w:eastAsia="宋体" w:cs="宋体"/>
                <w:color w:val="auto"/>
                <w:szCs w:val="21"/>
                <w:highlight w:val="none"/>
              </w:rPr>
            </w:pPr>
          </w:p>
        </w:tc>
      </w:tr>
      <w:tr w14:paraId="750E00C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3" w:hRule="atLeast"/>
        </w:trPr>
        <w:tc>
          <w:tcPr>
            <w:tcW w:w="2178" w:type="dxa"/>
            <w:tcBorders>
              <w:top w:val="single" w:color="auto" w:sz="4" w:space="0"/>
              <w:left w:val="single" w:color="auto" w:sz="4" w:space="0"/>
              <w:bottom w:val="single" w:color="auto" w:sz="4" w:space="0"/>
              <w:right w:val="single" w:color="auto" w:sz="4" w:space="0"/>
            </w:tcBorders>
            <w:noWrap w:val="0"/>
            <w:vAlign w:val="center"/>
          </w:tcPr>
          <w:p w14:paraId="42FFFE05">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2668" w:type="dxa"/>
            <w:tcBorders>
              <w:top w:val="single" w:color="auto" w:sz="4" w:space="0"/>
              <w:left w:val="single" w:color="auto" w:sz="4" w:space="0"/>
              <w:bottom w:val="single" w:color="auto" w:sz="4" w:space="0"/>
              <w:right w:val="single" w:color="auto" w:sz="4" w:space="0"/>
            </w:tcBorders>
            <w:noWrap w:val="0"/>
            <w:vAlign w:val="center"/>
          </w:tcPr>
          <w:p w14:paraId="243AEEBE">
            <w:pPr>
              <w:spacing w:line="360" w:lineRule="auto"/>
              <w:contextualSpacing/>
              <w:jc w:val="center"/>
              <w:rPr>
                <w:rFonts w:hint="eastAsia" w:ascii="宋体" w:hAnsi="宋体" w:eastAsia="宋体" w:cs="宋体"/>
                <w:color w:val="auto"/>
                <w:szCs w:val="21"/>
                <w:highlight w:val="none"/>
              </w:rPr>
            </w:pPr>
          </w:p>
        </w:tc>
        <w:tc>
          <w:tcPr>
            <w:tcW w:w="2350" w:type="dxa"/>
            <w:tcBorders>
              <w:top w:val="single" w:color="auto" w:sz="4" w:space="0"/>
              <w:left w:val="single" w:color="auto" w:sz="4" w:space="0"/>
              <w:bottom w:val="single" w:color="auto" w:sz="4" w:space="0"/>
              <w:right w:val="single" w:color="auto" w:sz="4" w:space="0"/>
            </w:tcBorders>
            <w:noWrap w:val="0"/>
            <w:vAlign w:val="center"/>
          </w:tcPr>
          <w:p w14:paraId="2FCA8A2F">
            <w:pPr>
              <w:spacing w:line="360" w:lineRule="auto"/>
              <w:ind w:left="43"/>
              <w:contextualSpacing/>
              <w:jc w:val="center"/>
              <w:rPr>
                <w:rFonts w:hint="eastAsia" w:ascii="宋体" w:hAnsi="宋体" w:eastAsia="宋体" w:cs="宋体"/>
                <w:color w:val="auto"/>
                <w:szCs w:val="21"/>
                <w:highlight w:val="none"/>
              </w:rPr>
            </w:pPr>
          </w:p>
        </w:tc>
        <w:tc>
          <w:tcPr>
            <w:tcW w:w="2112" w:type="dxa"/>
            <w:tcBorders>
              <w:top w:val="single" w:color="auto" w:sz="4" w:space="0"/>
              <w:left w:val="single" w:color="auto" w:sz="4" w:space="0"/>
              <w:bottom w:val="single" w:color="auto" w:sz="4" w:space="0"/>
              <w:right w:val="single" w:color="auto" w:sz="4" w:space="0"/>
            </w:tcBorders>
            <w:noWrap w:val="0"/>
            <w:vAlign w:val="center"/>
          </w:tcPr>
          <w:p w14:paraId="23BC4DAE">
            <w:pPr>
              <w:spacing w:line="360" w:lineRule="auto"/>
              <w:ind w:left="43"/>
              <w:contextualSpacing/>
              <w:jc w:val="center"/>
              <w:rPr>
                <w:rFonts w:hint="eastAsia" w:ascii="宋体" w:hAnsi="宋体" w:eastAsia="宋体" w:cs="宋体"/>
                <w:color w:val="auto"/>
                <w:szCs w:val="21"/>
                <w:highlight w:val="none"/>
              </w:rPr>
            </w:pPr>
          </w:p>
        </w:tc>
      </w:tr>
      <w:tr w14:paraId="32E8487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178" w:type="dxa"/>
            <w:tcBorders>
              <w:top w:val="single" w:color="auto" w:sz="4" w:space="0"/>
              <w:left w:val="single" w:color="auto" w:sz="4" w:space="0"/>
              <w:bottom w:val="single" w:color="auto" w:sz="4" w:space="0"/>
              <w:right w:val="single" w:color="auto" w:sz="4" w:space="0"/>
            </w:tcBorders>
            <w:noWrap w:val="0"/>
            <w:vAlign w:val="center"/>
          </w:tcPr>
          <w:p w14:paraId="0F61F361">
            <w:pPr>
              <w:spacing w:line="360" w:lineRule="auto"/>
              <w:contextualSpacing/>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2668" w:type="dxa"/>
            <w:tcBorders>
              <w:top w:val="single" w:color="auto" w:sz="4" w:space="0"/>
              <w:left w:val="single" w:color="auto" w:sz="4" w:space="0"/>
              <w:bottom w:val="single" w:color="auto" w:sz="4" w:space="0"/>
              <w:right w:val="single" w:color="auto" w:sz="4" w:space="0"/>
            </w:tcBorders>
            <w:noWrap w:val="0"/>
            <w:vAlign w:val="center"/>
          </w:tcPr>
          <w:p w14:paraId="2CACA667">
            <w:pPr>
              <w:spacing w:line="360" w:lineRule="auto"/>
              <w:contextualSpacing/>
              <w:jc w:val="center"/>
              <w:rPr>
                <w:rFonts w:hint="eastAsia" w:ascii="宋体" w:hAnsi="宋体" w:eastAsia="宋体" w:cs="宋体"/>
                <w:color w:val="auto"/>
                <w:szCs w:val="21"/>
                <w:highlight w:val="none"/>
              </w:rPr>
            </w:pPr>
          </w:p>
        </w:tc>
        <w:tc>
          <w:tcPr>
            <w:tcW w:w="2350" w:type="dxa"/>
            <w:tcBorders>
              <w:top w:val="single" w:color="auto" w:sz="4" w:space="0"/>
              <w:left w:val="single" w:color="auto" w:sz="4" w:space="0"/>
              <w:bottom w:val="single" w:color="auto" w:sz="4" w:space="0"/>
              <w:right w:val="single" w:color="auto" w:sz="4" w:space="0"/>
            </w:tcBorders>
            <w:noWrap w:val="0"/>
            <w:vAlign w:val="center"/>
          </w:tcPr>
          <w:p w14:paraId="1C18D175">
            <w:pPr>
              <w:spacing w:line="360" w:lineRule="auto"/>
              <w:contextualSpacing/>
              <w:jc w:val="center"/>
              <w:rPr>
                <w:rFonts w:hint="eastAsia" w:ascii="宋体" w:hAnsi="宋体" w:eastAsia="宋体" w:cs="宋体"/>
                <w:color w:val="auto"/>
                <w:szCs w:val="21"/>
                <w:highlight w:val="none"/>
              </w:rPr>
            </w:pPr>
          </w:p>
        </w:tc>
        <w:tc>
          <w:tcPr>
            <w:tcW w:w="2112" w:type="dxa"/>
            <w:tcBorders>
              <w:top w:val="single" w:color="auto" w:sz="4" w:space="0"/>
              <w:left w:val="single" w:color="auto" w:sz="4" w:space="0"/>
              <w:bottom w:val="single" w:color="auto" w:sz="4" w:space="0"/>
              <w:right w:val="single" w:color="auto" w:sz="4" w:space="0"/>
            </w:tcBorders>
            <w:noWrap w:val="0"/>
            <w:vAlign w:val="center"/>
          </w:tcPr>
          <w:p w14:paraId="22153F6F">
            <w:pPr>
              <w:spacing w:line="360" w:lineRule="auto"/>
              <w:contextualSpacing/>
              <w:jc w:val="center"/>
              <w:rPr>
                <w:rFonts w:hint="eastAsia" w:ascii="宋体" w:hAnsi="宋体" w:eastAsia="宋体" w:cs="宋体"/>
                <w:color w:val="auto"/>
                <w:szCs w:val="21"/>
                <w:highlight w:val="none"/>
              </w:rPr>
            </w:pPr>
          </w:p>
        </w:tc>
      </w:tr>
    </w:tbl>
    <w:p w14:paraId="5F7F252F">
      <w:pPr>
        <w:pStyle w:val="15"/>
        <w:spacing w:after="0" w:line="360" w:lineRule="auto"/>
        <w:contextualSpacing/>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注：</w:t>
      </w:r>
    </w:p>
    <w:p w14:paraId="380D41D0">
      <w:pPr>
        <w:pStyle w:val="15"/>
        <w:spacing w:after="0" w:line="360" w:lineRule="auto"/>
        <w:contextualSpacing/>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 说明：应对照磋商文件“第二章 采购需求”中的商务要求逐条作出明确响应，并作出偏离说明。</w:t>
      </w:r>
    </w:p>
    <w:p w14:paraId="218DE6C9">
      <w:pPr>
        <w:spacing w:line="360" w:lineRule="auto"/>
        <w:contextualSpacing/>
        <w:jc w:val="left"/>
        <w:rPr>
          <w:rFonts w:hint="eastAsia" w:ascii="宋体" w:hAnsi="宋体" w:eastAsia="宋体" w:cs="宋体"/>
          <w:color w:val="auto"/>
          <w:szCs w:val="21"/>
          <w:highlight w:val="none"/>
          <w:u w:val="single"/>
        </w:rPr>
      </w:pPr>
      <w:r>
        <w:rPr>
          <w:rFonts w:hint="eastAsia" w:ascii="宋体" w:hAnsi="宋体" w:eastAsia="宋体" w:cs="宋体"/>
          <w:color w:val="auto"/>
          <w:kern w:val="0"/>
          <w:szCs w:val="21"/>
          <w:highlight w:val="none"/>
        </w:rPr>
        <w:t>2.供应商应根据自身的承诺，对照磋商文件要求在“偏离说明”中注明“正偏离</w:t>
      </w:r>
      <w:r>
        <w:rPr>
          <w:rFonts w:hint="eastAsia" w:ascii="宋体" w:hAnsi="宋体" w:cs="宋体"/>
          <w:color w:val="auto"/>
          <w:kern w:val="0"/>
          <w:szCs w:val="21"/>
          <w:highlight w:val="none"/>
          <w:lang w:eastAsia="zh-CN"/>
        </w:rPr>
        <w:t>”“</w:t>
      </w:r>
      <w:r>
        <w:rPr>
          <w:rFonts w:hint="eastAsia" w:ascii="宋体" w:hAnsi="宋体" w:eastAsia="宋体" w:cs="宋体"/>
          <w:color w:val="auto"/>
          <w:kern w:val="0"/>
          <w:szCs w:val="21"/>
          <w:highlight w:val="none"/>
        </w:rPr>
        <w:t>负偏离”或者“无偏离”。既不属于“正偏离”也不属于“负偏离”即为“无偏离”。</w:t>
      </w:r>
    </w:p>
    <w:p w14:paraId="33A04EDB">
      <w:pPr>
        <w:spacing w:line="360" w:lineRule="auto"/>
        <w:ind w:right="-817" w:rightChars="-389"/>
        <w:contextualSpacing/>
        <w:rPr>
          <w:rFonts w:hint="eastAsia" w:ascii="宋体" w:hAnsi="宋体" w:eastAsia="宋体" w:cs="宋体"/>
          <w:color w:val="auto"/>
          <w:szCs w:val="21"/>
          <w:highlight w:val="none"/>
        </w:rPr>
      </w:pPr>
    </w:p>
    <w:p w14:paraId="4B81499F">
      <w:pPr>
        <w:spacing w:line="360" w:lineRule="auto"/>
        <w:ind w:right="-817" w:rightChars="-389" w:firstLine="840" w:firstLineChars="40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法定代表人或者委托代理人（签字或者电子签名）：                    </w:t>
      </w:r>
    </w:p>
    <w:p w14:paraId="6FAD550D">
      <w:pPr>
        <w:spacing w:line="360" w:lineRule="auto"/>
        <w:ind w:right="-817" w:rightChars="-389" w:firstLine="2310" w:firstLineChars="110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供应商（盖公章）：      </w:t>
      </w:r>
    </w:p>
    <w:p w14:paraId="6D58E2FC">
      <w:pPr>
        <w:spacing w:line="360" w:lineRule="auto"/>
        <w:ind w:right="-817" w:rightChars="-389" w:firstLine="3570" w:firstLineChars="1700"/>
        <w:contextualSpacing/>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日期：   年   月   日</w:t>
      </w:r>
    </w:p>
    <w:p w14:paraId="51FB98C8">
      <w:pPr>
        <w:snapToGrid w:val="0"/>
        <w:spacing w:before="156" w:beforeLines="50" w:after="50"/>
        <w:ind w:left="0" w:leftChars="0" w:right="0" w:rightChars="0" w:firstLine="0" w:firstLineChars="0"/>
        <w:jc w:val="center"/>
        <w:rPr>
          <w:rFonts w:hint="eastAsia" w:ascii="宋体" w:hAnsi="宋体" w:eastAsia="宋体" w:cs="宋体"/>
          <w:b/>
          <w:color w:val="auto"/>
          <w:sz w:val="24"/>
          <w:highlight w:val="none"/>
        </w:rPr>
      </w:pPr>
      <w:r>
        <w:rPr>
          <w:rFonts w:hint="eastAsia" w:ascii="宋体" w:hAnsi="宋体" w:eastAsia="宋体" w:cs="宋体"/>
          <w:bCs/>
          <w:color w:val="auto"/>
          <w:sz w:val="44"/>
          <w:szCs w:val="44"/>
          <w:highlight w:val="none"/>
        </w:rPr>
        <w:br w:type="page"/>
      </w:r>
      <w:r>
        <w:rPr>
          <w:rFonts w:hint="eastAsia" w:ascii="宋体" w:hAnsi="宋体" w:eastAsia="宋体" w:cs="宋体"/>
          <w:b/>
          <w:color w:val="auto"/>
          <w:sz w:val="24"/>
          <w:highlight w:val="none"/>
        </w:rPr>
        <w:t>项目实施人员一览表格式</w:t>
      </w:r>
    </w:p>
    <w:p w14:paraId="5384F0BA">
      <w:pPr>
        <w:snapToGrid w:val="0"/>
        <w:spacing w:before="156" w:beforeLines="50" w:after="50"/>
        <w:ind w:left="142"/>
        <w:jc w:val="left"/>
        <w:rPr>
          <w:rFonts w:hint="eastAsia" w:ascii="宋体" w:hAnsi="宋体" w:eastAsia="宋体" w:cs="宋体"/>
          <w:b/>
          <w:color w:val="auto"/>
          <w:sz w:val="24"/>
          <w:highlight w:val="none"/>
        </w:rPr>
      </w:pPr>
    </w:p>
    <w:p w14:paraId="229B6763">
      <w:pPr>
        <w:spacing w:line="360" w:lineRule="auto"/>
        <w:ind w:left="142"/>
        <w:contextualSpacing/>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项目实施人员一览表</w:t>
      </w:r>
    </w:p>
    <w:p w14:paraId="485CA98A">
      <w:pPr>
        <w:pStyle w:val="19"/>
        <w:spacing w:line="360" w:lineRule="auto"/>
        <w:contextualSpacing/>
        <w:rPr>
          <w:rFonts w:hint="eastAsia" w:ascii="宋体" w:hAnsi="宋体" w:eastAsia="宋体" w:cs="宋体"/>
          <w:color w:val="auto"/>
          <w:sz w:val="21"/>
          <w:highlight w:val="none"/>
        </w:rPr>
      </w:pPr>
      <w:r>
        <w:rPr>
          <w:rFonts w:hint="eastAsia" w:ascii="宋体" w:hAnsi="宋体" w:eastAsia="宋体" w:cs="宋体"/>
          <w:color w:val="auto"/>
          <w:sz w:val="21"/>
          <w:highlight w:val="none"/>
        </w:rPr>
        <w:t>所竞分标：（没有，则填“无”或“/”）</w:t>
      </w:r>
    </w:p>
    <w:tbl>
      <w:tblPr>
        <w:tblStyle w:val="33"/>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09"/>
        <w:gridCol w:w="1460"/>
        <w:gridCol w:w="2435"/>
        <w:gridCol w:w="1999"/>
        <w:gridCol w:w="1926"/>
      </w:tblGrid>
      <w:tr w14:paraId="2D58A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pct"/>
            <w:noWrap w:val="0"/>
            <w:vAlign w:val="center"/>
          </w:tcPr>
          <w:p w14:paraId="661D62EE">
            <w:pPr>
              <w:spacing w:line="360" w:lineRule="auto"/>
              <w:contextualSpacing/>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姓名</w:t>
            </w:r>
          </w:p>
        </w:tc>
        <w:tc>
          <w:tcPr>
            <w:tcW w:w="791" w:type="pct"/>
            <w:noWrap w:val="0"/>
            <w:vAlign w:val="center"/>
          </w:tcPr>
          <w:p w14:paraId="166F506E">
            <w:pPr>
              <w:spacing w:line="360" w:lineRule="auto"/>
              <w:contextualSpacing/>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职务</w:t>
            </w:r>
          </w:p>
        </w:tc>
        <w:tc>
          <w:tcPr>
            <w:tcW w:w="1319" w:type="pct"/>
            <w:noWrap w:val="0"/>
            <w:vAlign w:val="center"/>
          </w:tcPr>
          <w:p w14:paraId="3140FEEB">
            <w:pPr>
              <w:spacing w:line="360" w:lineRule="auto"/>
              <w:contextualSpacing/>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专业技术资格（职称）或者职业资格或者执业资格证或者其他证书</w:t>
            </w:r>
          </w:p>
        </w:tc>
        <w:tc>
          <w:tcPr>
            <w:tcW w:w="1083" w:type="pct"/>
            <w:noWrap w:val="0"/>
            <w:vAlign w:val="center"/>
          </w:tcPr>
          <w:p w14:paraId="55F2BA53">
            <w:pPr>
              <w:spacing w:line="360" w:lineRule="auto"/>
              <w:contextualSpacing/>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证书编号</w:t>
            </w:r>
          </w:p>
        </w:tc>
        <w:tc>
          <w:tcPr>
            <w:tcW w:w="1043" w:type="pct"/>
            <w:noWrap w:val="0"/>
            <w:vAlign w:val="center"/>
          </w:tcPr>
          <w:p w14:paraId="63FDF384">
            <w:pPr>
              <w:spacing w:line="360" w:lineRule="auto"/>
              <w:contextualSpacing/>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参加本单位</w:t>
            </w:r>
          </w:p>
          <w:p w14:paraId="2093BBFA">
            <w:pPr>
              <w:spacing w:line="360" w:lineRule="auto"/>
              <w:contextualSpacing/>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工作时间</w:t>
            </w:r>
          </w:p>
        </w:tc>
      </w:tr>
      <w:tr w14:paraId="4AD53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pct"/>
            <w:noWrap w:val="0"/>
            <w:vAlign w:val="center"/>
          </w:tcPr>
          <w:p w14:paraId="56BF9610">
            <w:pPr>
              <w:spacing w:line="360" w:lineRule="auto"/>
              <w:contextualSpacing/>
              <w:jc w:val="center"/>
              <w:rPr>
                <w:rFonts w:hint="eastAsia" w:ascii="宋体" w:hAnsi="宋体" w:eastAsia="宋体" w:cs="宋体"/>
                <w:color w:val="auto"/>
                <w:szCs w:val="21"/>
                <w:highlight w:val="none"/>
              </w:rPr>
            </w:pPr>
          </w:p>
        </w:tc>
        <w:tc>
          <w:tcPr>
            <w:tcW w:w="791" w:type="pct"/>
            <w:noWrap w:val="0"/>
            <w:vAlign w:val="center"/>
          </w:tcPr>
          <w:p w14:paraId="76A1F3F2">
            <w:pPr>
              <w:spacing w:line="360" w:lineRule="auto"/>
              <w:contextualSpacing/>
              <w:jc w:val="center"/>
              <w:rPr>
                <w:rFonts w:hint="eastAsia" w:ascii="宋体" w:hAnsi="宋体" w:eastAsia="宋体" w:cs="宋体"/>
                <w:color w:val="auto"/>
                <w:szCs w:val="21"/>
                <w:highlight w:val="none"/>
              </w:rPr>
            </w:pPr>
          </w:p>
        </w:tc>
        <w:tc>
          <w:tcPr>
            <w:tcW w:w="1319" w:type="pct"/>
            <w:noWrap w:val="0"/>
            <w:vAlign w:val="center"/>
          </w:tcPr>
          <w:p w14:paraId="209F4596">
            <w:pPr>
              <w:spacing w:line="360" w:lineRule="auto"/>
              <w:contextualSpacing/>
              <w:jc w:val="center"/>
              <w:rPr>
                <w:rFonts w:hint="eastAsia" w:ascii="宋体" w:hAnsi="宋体" w:eastAsia="宋体" w:cs="宋体"/>
                <w:color w:val="auto"/>
                <w:szCs w:val="21"/>
                <w:highlight w:val="none"/>
              </w:rPr>
            </w:pPr>
          </w:p>
        </w:tc>
        <w:tc>
          <w:tcPr>
            <w:tcW w:w="1083" w:type="pct"/>
            <w:noWrap w:val="0"/>
            <w:vAlign w:val="center"/>
          </w:tcPr>
          <w:p w14:paraId="2E398B14">
            <w:pPr>
              <w:spacing w:line="360" w:lineRule="auto"/>
              <w:contextualSpacing/>
              <w:jc w:val="center"/>
              <w:rPr>
                <w:rFonts w:hint="eastAsia" w:ascii="宋体" w:hAnsi="宋体" w:eastAsia="宋体" w:cs="宋体"/>
                <w:color w:val="auto"/>
                <w:szCs w:val="21"/>
                <w:highlight w:val="none"/>
              </w:rPr>
            </w:pPr>
          </w:p>
        </w:tc>
        <w:tc>
          <w:tcPr>
            <w:tcW w:w="1043" w:type="pct"/>
            <w:noWrap w:val="0"/>
            <w:vAlign w:val="center"/>
          </w:tcPr>
          <w:p w14:paraId="39AC0313">
            <w:pPr>
              <w:spacing w:line="360" w:lineRule="auto"/>
              <w:contextualSpacing/>
              <w:jc w:val="center"/>
              <w:rPr>
                <w:rFonts w:hint="eastAsia" w:ascii="宋体" w:hAnsi="宋体" w:eastAsia="宋体" w:cs="宋体"/>
                <w:color w:val="auto"/>
                <w:szCs w:val="21"/>
                <w:highlight w:val="none"/>
              </w:rPr>
            </w:pPr>
          </w:p>
        </w:tc>
      </w:tr>
      <w:tr w14:paraId="01165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pct"/>
            <w:noWrap w:val="0"/>
            <w:vAlign w:val="center"/>
          </w:tcPr>
          <w:p w14:paraId="728233FB">
            <w:pPr>
              <w:spacing w:line="360" w:lineRule="auto"/>
              <w:contextualSpacing/>
              <w:jc w:val="center"/>
              <w:rPr>
                <w:rFonts w:hint="eastAsia" w:ascii="宋体" w:hAnsi="宋体" w:eastAsia="宋体" w:cs="宋体"/>
                <w:color w:val="auto"/>
                <w:szCs w:val="21"/>
                <w:highlight w:val="none"/>
              </w:rPr>
            </w:pPr>
          </w:p>
        </w:tc>
        <w:tc>
          <w:tcPr>
            <w:tcW w:w="791" w:type="pct"/>
            <w:noWrap w:val="0"/>
            <w:vAlign w:val="center"/>
          </w:tcPr>
          <w:p w14:paraId="280238A9">
            <w:pPr>
              <w:spacing w:line="360" w:lineRule="auto"/>
              <w:contextualSpacing/>
              <w:jc w:val="center"/>
              <w:rPr>
                <w:rFonts w:hint="eastAsia" w:ascii="宋体" w:hAnsi="宋体" w:eastAsia="宋体" w:cs="宋体"/>
                <w:color w:val="auto"/>
                <w:szCs w:val="21"/>
                <w:highlight w:val="none"/>
              </w:rPr>
            </w:pPr>
          </w:p>
        </w:tc>
        <w:tc>
          <w:tcPr>
            <w:tcW w:w="1319" w:type="pct"/>
            <w:noWrap w:val="0"/>
            <w:vAlign w:val="center"/>
          </w:tcPr>
          <w:p w14:paraId="7B7B0054">
            <w:pPr>
              <w:spacing w:line="360" w:lineRule="auto"/>
              <w:contextualSpacing/>
              <w:jc w:val="center"/>
              <w:rPr>
                <w:rFonts w:hint="eastAsia" w:ascii="宋体" w:hAnsi="宋体" w:eastAsia="宋体" w:cs="宋体"/>
                <w:color w:val="auto"/>
                <w:szCs w:val="21"/>
                <w:highlight w:val="none"/>
              </w:rPr>
            </w:pPr>
          </w:p>
        </w:tc>
        <w:tc>
          <w:tcPr>
            <w:tcW w:w="1083" w:type="pct"/>
            <w:noWrap w:val="0"/>
            <w:vAlign w:val="center"/>
          </w:tcPr>
          <w:p w14:paraId="07D3BF22">
            <w:pPr>
              <w:spacing w:line="360" w:lineRule="auto"/>
              <w:contextualSpacing/>
              <w:jc w:val="center"/>
              <w:rPr>
                <w:rFonts w:hint="eastAsia" w:ascii="宋体" w:hAnsi="宋体" w:eastAsia="宋体" w:cs="宋体"/>
                <w:color w:val="auto"/>
                <w:szCs w:val="21"/>
                <w:highlight w:val="none"/>
              </w:rPr>
            </w:pPr>
          </w:p>
        </w:tc>
        <w:tc>
          <w:tcPr>
            <w:tcW w:w="1043" w:type="pct"/>
            <w:noWrap w:val="0"/>
            <w:vAlign w:val="center"/>
          </w:tcPr>
          <w:p w14:paraId="4BF4AFA1">
            <w:pPr>
              <w:spacing w:line="360" w:lineRule="auto"/>
              <w:contextualSpacing/>
              <w:jc w:val="center"/>
              <w:rPr>
                <w:rFonts w:hint="eastAsia" w:ascii="宋体" w:hAnsi="宋体" w:eastAsia="宋体" w:cs="宋体"/>
                <w:color w:val="auto"/>
                <w:szCs w:val="21"/>
                <w:highlight w:val="none"/>
              </w:rPr>
            </w:pPr>
          </w:p>
        </w:tc>
      </w:tr>
      <w:tr w14:paraId="51908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pct"/>
            <w:noWrap w:val="0"/>
            <w:vAlign w:val="center"/>
          </w:tcPr>
          <w:p w14:paraId="64805CBE">
            <w:pPr>
              <w:spacing w:line="360" w:lineRule="auto"/>
              <w:contextualSpacing/>
              <w:jc w:val="center"/>
              <w:rPr>
                <w:rFonts w:hint="eastAsia" w:ascii="宋体" w:hAnsi="宋体" w:eastAsia="宋体" w:cs="宋体"/>
                <w:color w:val="auto"/>
                <w:szCs w:val="21"/>
                <w:highlight w:val="none"/>
              </w:rPr>
            </w:pPr>
          </w:p>
        </w:tc>
        <w:tc>
          <w:tcPr>
            <w:tcW w:w="791" w:type="pct"/>
            <w:noWrap w:val="0"/>
            <w:vAlign w:val="center"/>
          </w:tcPr>
          <w:p w14:paraId="59FA4CA1">
            <w:pPr>
              <w:spacing w:line="360" w:lineRule="auto"/>
              <w:contextualSpacing/>
              <w:jc w:val="center"/>
              <w:rPr>
                <w:rFonts w:hint="eastAsia" w:ascii="宋体" w:hAnsi="宋体" w:eastAsia="宋体" w:cs="宋体"/>
                <w:color w:val="auto"/>
                <w:szCs w:val="21"/>
                <w:highlight w:val="none"/>
              </w:rPr>
            </w:pPr>
          </w:p>
        </w:tc>
        <w:tc>
          <w:tcPr>
            <w:tcW w:w="1319" w:type="pct"/>
            <w:noWrap w:val="0"/>
            <w:vAlign w:val="center"/>
          </w:tcPr>
          <w:p w14:paraId="4A581EDC">
            <w:pPr>
              <w:spacing w:line="360" w:lineRule="auto"/>
              <w:contextualSpacing/>
              <w:jc w:val="center"/>
              <w:rPr>
                <w:rFonts w:hint="eastAsia" w:ascii="宋体" w:hAnsi="宋体" w:eastAsia="宋体" w:cs="宋体"/>
                <w:color w:val="auto"/>
                <w:szCs w:val="21"/>
                <w:highlight w:val="none"/>
              </w:rPr>
            </w:pPr>
          </w:p>
        </w:tc>
        <w:tc>
          <w:tcPr>
            <w:tcW w:w="1083" w:type="pct"/>
            <w:noWrap w:val="0"/>
            <w:vAlign w:val="center"/>
          </w:tcPr>
          <w:p w14:paraId="59A98634">
            <w:pPr>
              <w:spacing w:line="360" w:lineRule="auto"/>
              <w:contextualSpacing/>
              <w:jc w:val="center"/>
              <w:rPr>
                <w:rFonts w:hint="eastAsia" w:ascii="宋体" w:hAnsi="宋体" w:eastAsia="宋体" w:cs="宋体"/>
                <w:color w:val="auto"/>
                <w:szCs w:val="21"/>
                <w:highlight w:val="none"/>
              </w:rPr>
            </w:pPr>
          </w:p>
        </w:tc>
        <w:tc>
          <w:tcPr>
            <w:tcW w:w="1043" w:type="pct"/>
            <w:noWrap w:val="0"/>
            <w:vAlign w:val="center"/>
          </w:tcPr>
          <w:p w14:paraId="2FF93186">
            <w:pPr>
              <w:spacing w:line="360" w:lineRule="auto"/>
              <w:contextualSpacing/>
              <w:jc w:val="center"/>
              <w:rPr>
                <w:rFonts w:hint="eastAsia" w:ascii="宋体" w:hAnsi="宋体" w:eastAsia="宋体" w:cs="宋体"/>
                <w:color w:val="auto"/>
                <w:szCs w:val="21"/>
                <w:highlight w:val="none"/>
              </w:rPr>
            </w:pPr>
          </w:p>
        </w:tc>
      </w:tr>
    </w:tbl>
    <w:p w14:paraId="5E31BC98">
      <w:pPr>
        <w:spacing w:line="360" w:lineRule="auto"/>
        <w:contextualSpacing/>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注：</w:t>
      </w:r>
    </w:p>
    <w:p w14:paraId="0F4AAF09">
      <w:pPr>
        <w:spacing w:line="360" w:lineRule="auto"/>
        <w:contextualSpacing/>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1.在填写时，如本表格不适合供应商的实际情况，可根据本表格式自行制表填写。</w:t>
      </w:r>
    </w:p>
    <w:p w14:paraId="415EADA5">
      <w:pPr>
        <w:spacing w:line="360" w:lineRule="auto"/>
        <w:contextualSpacing/>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2.供应商应当附</w:t>
      </w:r>
      <w:r>
        <w:rPr>
          <w:rFonts w:hint="eastAsia" w:ascii="宋体" w:hAnsi="宋体" w:cs="宋体"/>
          <w:color w:val="auto"/>
          <w:szCs w:val="21"/>
          <w:highlight w:val="none"/>
          <w:lang w:val="en-US" w:eastAsia="zh-CN"/>
        </w:rPr>
        <w:t>人员相关证明材料</w:t>
      </w:r>
      <w:r>
        <w:rPr>
          <w:rFonts w:hint="eastAsia" w:ascii="宋体" w:hAnsi="宋体" w:eastAsia="宋体" w:cs="宋体"/>
          <w:color w:val="auto"/>
          <w:szCs w:val="21"/>
          <w:highlight w:val="none"/>
        </w:rPr>
        <w:t>的复印件并加盖供应商公章。</w:t>
      </w:r>
    </w:p>
    <w:p w14:paraId="71E0A7B3">
      <w:pPr>
        <w:spacing w:line="360" w:lineRule="auto"/>
        <w:contextualSpacing/>
        <w:rPr>
          <w:rFonts w:hint="eastAsia" w:ascii="宋体" w:hAnsi="宋体" w:eastAsia="宋体" w:cs="宋体"/>
          <w:color w:val="auto"/>
          <w:szCs w:val="21"/>
          <w:highlight w:val="none"/>
        </w:rPr>
      </w:pPr>
    </w:p>
    <w:p w14:paraId="5F9150EA">
      <w:pPr>
        <w:spacing w:line="360" w:lineRule="auto"/>
        <w:contextualSpacing/>
        <w:rPr>
          <w:rFonts w:hint="eastAsia" w:ascii="宋体" w:hAnsi="宋体" w:eastAsia="宋体" w:cs="宋体"/>
          <w:color w:val="auto"/>
          <w:spacing w:val="20"/>
          <w:szCs w:val="21"/>
          <w:highlight w:val="none"/>
          <w:u w:val="single"/>
        </w:rPr>
      </w:pPr>
      <w:r>
        <w:rPr>
          <w:rFonts w:hint="eastAsia" w:ascii="宋体" w:hAnsi="宋体" w:eastAsia="宋体" w:cs="宋体"/>
          <w:color w:val="auto"/>
          <w:szCs w:val="21"/>
          <w:highlight w:val="none"/>
        </w:rPr>
        <w:t>法定代表人或者委托代理人</w:t>
      </w:r>
      <w:r>
        <w:rPr>
          <w:rFonts w:hint="eastAsia" w:ascii="宋体" w:hAnsi="宋体" w:eastAsia="宋体" w:cs="宋体"/>
          <w:color w:val="auto"/>
          <w:spacing w:val="20"/>
          <w:szCs w:val="21"/>
          <w:highlight w:val="none"/>
        </w:rPr>
        <w:t>（签字或盖章）：</w:t>
      </w:r>
      <w:r>
        <w:rPr>
          <w:rFonts w:hint="eastAsia" w:ascii="宋体" w:hAnsi="宋体" w:eastAsia="宋体" w:cs="宋体"/>
          <w:color w:val="auto"/>
          <w:spacing w:val="20"/>
          <w:szCs w:val="21"/>
          <w:highlight w:val="none"/>
          <w:u w:val="single"/>
        </w:rPr>
        <w:t xml:space="preserve">        </w:t>
      </w:r>
    </w:p>
    <w:p w14:paraId="44DCBA46">
      <w:pPr>
        <w:spacing w:line="360" w:lineRule="auto"/>
        <w:contextualSpacing/>
        <w:jc w:val="left"/>
        <w:rPr>
          <w:rFonts w:hint="eastAsia" w:ascii="宋体" w:hAnsi="宋体" w:eastAsia="宋体" w:cs="宋体"/>
          <w:color w:val="auto"/>
          <w:spacing w:val="20"/>
          <w:szCs w:val="21"/>
          <w:highlight w:val="none"/>
        </w:rPr>
      </w:pPr>
      <w:r>
        <w:rPr>
          <w:rFonts w:hint="eastAsia" w:ascii="宋体" w:hAnsi="宋体" w:eastAsia="宋体" w:cs="宋体"/>
          <w:color w:val="auto"/>
          <w:spacing w:val="20"/>
          <w:szCs w:val="21"/>
          <w:highlight w:val="none"/>
        </w:rPr>
        <w:t>供应商（盖公章）：</w:t>
      </w:r>
      <w:r>
        <w:rPr>
          <w:rFonts w:hint="eastAsia" w:ascii="宋体" w:hAnsi="宋体" w:eastAsia="宋体" w:cs="宋体"/>
          <w:color w:val="auto"/>
          <w:spacing w:val="20"/>
          <w:szCs w:val="21"/>
          <w:highlight w:val="none"/>
          <w:u w:val="single"/>
        </w:rPr>
        <w:t xml:space="preserve">            </w:t>
      </w:r>
      <w:r>
        <w:rPr>
          <w:rFonts w:hint="eastAsia" w:ascii="宋体" w:hAnsi="宋体" w:eastAsia="宋体" w:cs="宋体"/>
          <w:color w:val="auto"/>
          <w:spacing w:val="20"/>
          <w:szCs w:val="21"/>
          <w:highlight w:val="none"/>
        </w:rPr>
        <w:t xml:space="preserve">              </w:t>
      </w:r>
    </w:p>
    <w:p w14:paraId="2933CBD2">
      <w:pPr>
        <w:spacing w:line="360" w:lineRule="auto"/>
        <w:contextualSpacing/>
        <w:jc w:val="left"/>
        <w:rPr>
          <w:rFonts w:hint="eastAsia" w:ascii="宋体" w:hAnsi="宋体" w:eastAsia="宋体" w:cs="宋体"/>
          <w:color w:val="auto"/>
          <w:spacing w:val="20"/>
          <w:szCs w:val="21"/>
          <w:highlight w:val="none"/>
          <w:u w:val="single"/>
        </w:rPr>
      </w:pPr>
      <w:r>
        <w:rPr>
          <w:rFonts w:hint="eastAsia" w:ascii="宋体" w:hAnsi="宋体" w:eastAsia="宋体" w:cs="宋体"/>
          <w:color w:val="auto"/>
          <w:spacing w:val="20"/>
          <w:szCs w:val="21"/>
          <w:highlight w:val="none"/>
        </w:rPr>
        <w:t>日 期：</w:t>
      </w:r>
      <w:r>
        <w:rPr>
          <w:rFonts w:hint="eastAsia" w:ascii="宋体" w:hAnsi="宋体" w:eastAsia="宋体" w:cs="宋体"/>
          <w:color w:val="auto"/>
          <w:spacing w:val="20"/>
          <w:szCs w:val="21"/>
          <w:highlight w:val="none"/>
          <w:u w:val="single"/>
        </w:rPr>
        <w:t xml:space="preserve">         </w:t>
      </w:r>
    </w:p>
    <w:p w14:paraId="29BA2F4A">
      <w:pPr>
        <w:rPr>
          <w:rFonts w:hint="eastAsia"/>
        </w:rPr>
      </w:pPr>
      <w:r>
        <w:rPr>
          <w:rFonts w:hint="eastAsia"/>
        </w:rPr>
        <w:br w:type="page"/>
      </w:r>
    </w:p>
    <w:p w14:paraId="4B958B37">
      <w:pPr>
        <w:snapToGrid w:val="0"/>
        <w:spacing w:before="165" w:beforeLines="50" w:after="50"/>
        <w:ind w:firstLine="602" w:firstLineChars="200"/>
        <w:jc w:val="center"/>
        <w:rPr>
          <w:rFonts w:hint="eastAsia" w:ascii="宋体" w:hAnsi="宋体" w:cs="宋体"/>
          <w:b/>
          <w:bCs/>
          <w:sz w:val="30"/>
          <w:szCs w:val="30"/>
          <w:highlight w:val="none"/>
        </w:rPr>
      </w:pPr>
      <w:r>
        <w:rPr>
          <w:rFonts w:hint="eastAsia" w:ascii="宋体" w:hAnsi="宋体" w:cs="宋体"/>
          <w:b/>
          <w:bCs/>
          <w:sz w:val="30"/>
          <w:szCs w:val="30"/>
          <w:highlight w:val="none"/>
          <w:lang w:val="en-US" w:eastAsia="zh-CN"/>
        </w:rPr>
        <w:t>供应商</w:t>
      </w:r>
      <w:r>
        <w:rPr>
          <w:rFonts w:hint="eastAsia" w:ascii="宋体" w:hAnsi="宋体" w:cs="宋体"/>
          <w:b/>
          <w:bCs/>
          <w:sz w:val="30"/>
          <w:szCs w:val="30"/>
          <w:highlight w:val="none"/>
        </w:rPr>
        <w:t>类似的业绩证明文件（如有）</w:t>
      </w:r>
    </w:p>
    <w:p w14:paraId="5721A307">
      <w:pPr>
        <w:pStyle w:val="26"/>
        <w:snapToGrid w:val="0"/>
        <w:ind w:left="0" w:leftChars="0" w:firstLine="0" w:firstLineChars="0"/>
        <w:rPr>
          <w:rFonts w:hint="eastAsia" w:ascii="宋体" w:hAnsi="宋体" w:cs="宋体"/>
          <w:color w:val="000000"/>
          <w:sz w:val="24"/>
          <w:highlight w:val="none"/>
        </w:rPr>
      </w:pPr>
    </w:p>
    <w:p w14:paraId="43819DC1">
      <w:pPr>
        <w:pStyle w:val="26"/>
        <w:snapToGrid w:val="0"/>
        <w:ind w:left="480" w:hanging="480"/>
        <w:rPr>
          <w:rFonts w:hint="eastAsia" w:ascii="宋体" w:hAnsi="宋体" w:cs="宋体"/>
          <w:color w:val="000000"/>
          <w:sz w:val="24"/>
          <w:highlight w:val="none"/>
        </w:rPr>
      </w:pPr>
    </w:p>
    <w:p w14:paraId="7BEEA9EB">
      <w:pPr>
        <w:autoSpaceDE w:val="0"/>
        <w:autoSpaceDN w:val="0"/>
        <w:spacing w:line="360" w:lineRule="auto"/>
        <w:ind w:firstLine="120"/>
        <w:jc w:val="center"/>
        <w:rPr>
          <w:rFonts w:hint="eastAsia" w:ascii="宋体" w:hAnsi="宋体" w:cs="宋体"/>
          <w:color w:val="000000"/>
          <w:sz w:val="30"/>
          <w:szCs w:val="30"/>
          <w:highlight w:val="none"/>
        </w:rPr>
      </w:pPr>
      <w:r>
        <w:rPr>
          <w:rFonts w:hint="eastAsia" w:ascii="宋体" w:hAnsi="宋体" w:cs="宋体"/>
          <w:b/>
          <w:sz w:val="30"/>
          <w:szCs w:val="30"/>
          <w:highlight w:val="none"/>
        </w:rPr>
        <w:t>相关项目业绩一览表</w:t>
      </w:r>
    </w:p>
    <w:tbl>
      <w:tblPr>
        <w:tblStyle w:val="33"/>
        <w:tblW w:w="886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49"/>
        <w:gridCol w:w="2709"/>
        <w:gridCol w:w="2145"/>
        <w:gridCol w:w="1592"/>
        <w:gridCol w:w="1665"/>
      </w:tblGrid>
      <w:tr w14:paraId="3CA755A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180" w:hRule="atLeast"/>
          <w:jc w:val="center"/>
        </w:trPr>
        <w:tc>
          <w:tcPr>
            <w:tcW w:w="749" w:type="dxa"/>
            <w:tcBorders>
              <w:top w:val="single" w:color="auto" w:sz="4" w:space="0"/>
              <w:left w:val="single" w:color="auto" w:sz="4" w:space="0"/>
              <w:bottom w:val="single" w:color="auto" w:sz="4" w:space="0"/>
              <w:right w:val="single" w:color="auto" w:sz="4" w:space="0"/>
            </w:tcBorders>
            <w:noWrap w:val="0"/>
            <w:vAlign w:val="center"/>
          </w:tcPr>
          <w:p w14:paraId="7AFEFDAA">
            <w:pPr>
              <w:snapToGrid w:val="0"/>
              <w:spacing w:line="240" w:lineRule="auto"/>
              <w:jc w:val="center"/>
              <w:rPr>
                <w:rFonts w:hint="eastAsia" w:ascii="宋体" w:hAnsi="宋体" w:cs="宋体"/>
                <w:color w:val="000000"/>
                <w:sz w:val="24"/>
                <w:highlight w:val="none"/>
              </w:rPr>
            </w:pPr>
            <w:r>
              <w:rPr>
                <w:rFonts w:hint="eastAsia" w:ascii="宋体" w:hAnsi="宋体" w:cs="宋体"/>
                <w:color w:val="000000"/>
                <w:sz w:val="24"/>
                <w:highlight w:val="none"/>
              </w:rPr>
              <w:t>序号</w:t>
            </w:r>
          </w:p>
        </w:tc>
        <w:tc>
          <w:tcPr>
            <w:tcW w:w="2709" w:type="dxa"/>
            <w:tcBorders>
              <w:top w:val="single" w:color="auto" w:sz="4" w:space="0"/>
              <w:left w:val="single" w:color="auto" w:sz="4" w:space="0"/>
              <w:bottom w:val="single" w:color="auto" w:sz="4" w:space="0"/>
              <w:right w:val="single" w:color="auto" w:sz="4" w:space="0"/>
            </w:tcBorders>
            <w:noWrap w:val="0"/>
            <w:vAlign w:val="center"/>
          </w:tcPr>
          <w:p w14:paraId="14C173A3">
            <w:pPr>
              <w:snapToGrid w:val="0"/>
              <w:spacing w:line="240" w:lineRule="auto"/>
              <w:jc w:val="center"/>
              <w:rPr>
                <w:rFonts w:hint="eastAsia" w:ascii="宋体" w:hAnsi="宋体" w:cs="宋体"/>
                <w:color w:val="000000"/>
                <w:sz w:val="24"/>
                <w:highlight w:val="none"/>
              </w:rPr>
            </w:pPr>
            <w:r>
              <w:rPr>
                <w:rFonts w:hint="eastAsia" w:ascii="宋体" w:hAnsi="宋体" w:cs="宋体"/>
                <w:color w:val="000000"/>
                <w:sz w:val="24"/>
                <w:highlight w:val="none"/>
              </w:rPr>
              <w:t>采购人名称</w:t>
            </w:r>
          </w:p>
        </w:tc>
        <w:tc>
          <w:tcPr>
            <w:tcW w:w="2145" w:type="dxa"/>
            <w:tcBorders>
              <w:top w:val="single" w:color="auto" w:sz="4" w:space="0"/>
              <w:left w:val="single" w:color="auto" w:sz="4" w:space="0"/>
              <w:bottom w:val="single" w:color="auto" w:sz="4" w:space="0"/>
              <w:right w:val="single" w:color="auto" w:sz="4" w:space="0"/>
            </w:tcBorders>
            <w:noWrap w:val="0"/>
            <w:vAlign w:val="center"/>
          </w:tcPr>
          <w:p w14:paraId="5B6DDFB2">
            <w:pPr>
              <w:snapToGrid w:val="0"/>
              <w:spacing w:line="240" w:lineRule="auto"/>
              <w:jc w:val="center"/>
              <w:rPr>
                <w:rFonts w:hint="eastAsia" w:ascii="宋体" w:hAnsi="宋体" w:cs="宋体"/>
                <w:color w:val="000000"/>
                <w:sz w:val="24"/>
                <w:highlight w:val="none"/>
              </w:rPr>
            </w:pPr>
            <w:r>
              <w:rPr>
                <w:rFonts w:hint="eastAsia" w:ascii="宋体" w:hAnsi="宋体" w:cs="宋体"/>
                <w:color w:val="000000"/>
                <w:sz w:val="24"/>
                <w:highlight w:val="none"/>
              </w:rPr>
              <w:t>项目名称</w:t>
            </w:r>
          </w:p>
        </w:tc>
        <w:tc>
          <w:tcPr>
            <w:tcW w:w="1592" w:type="dxa"/>
            <w:tcBorders>
              <w:top w:val="single" w:color="auto" w:sz="4" w:space="0"/>
              <w:left w:val="single" w:color="auto" w:sz="4" w:space="0"/>
              <w:bottom w:val="single" w:color="auto" w:sz="4" w:space="0"/>
              <w:right w:val="single" w:color="auto" w:sz="4" w:space="0"/>
            </w:tcBorders>
            <w:noWrap w:val="0"/>
            <w:vAlign w:val="center"/>
          </w:tcPr>
          <w:p w14:paraId="3A4DA989">
            <w:pPr>
              <w:snapToGrid w:val="0"/>
              <w:spacing w:line="240" w:lineRule="auto"/>
              <w:jc w:val="center"/>
              <w:rPr>
                <w:rFonts w:hint="eastAsia" w:ascii="宋体" w:hAnsi="宋体" w:cs="宋体"/>
                <w:color w:val="000000"/>
                <w:sz w:val="24"/>
                <w:highlight w:val="none"/>
              </w:rPr>
            </w:pPr>
            <w:r>
              <w:rPr>
                <w:rFonts w:hint="eastAsia" w:ascii="宋体" w:hAnsi="宋体" w:cs="宋体"/>
                <w:color w:val="000000"/>
                <w:sz w:val="24"/>
                <w:highlight w:val="none"/>
              </w:rPr>
              <w:t>合同金额</w:t>
            </w:r>
          </w:p>
          <w:p w14:paraId="471DEA8F">
            <w:pPr>
              <w:snapToGrid w:val="0"/>
              <w:spacing w:line="240" w:lineRule="auto"/>
              <w:jc w:val="center"/>
              <w:rPr>
                <w:rFonts w:hint="eastAsia" w:ascii="宋体" w:hAnsi="宋体" w:cs="宋体"/>
                <w:color w:val="000000"/>
                <w:sz w:val="24"/>
                <w:highlight w:val="none"/>
              </w:rPr>
            </w:pPr>
            <w:r>
              <w:rPr>
                <w:rFonts w:hint="eastAsia" w:ascii="宋体" w:hAnsi="宋体" w:cs="宋体"/>
                <w:color w:val="000000"/>
                <w:sz w:val="24"/>
                <w:highlight w:val="none"/>
              </w:rPr>
              <w:t>（万元）</w:t>
            </w:r>
          </w:p>
        </w:tc>
        <w:tc>
          <w:tcPr>
            <w:tcW w:w="1665" w:type="dxa"/>
            <w:tcBorders>
              <w:top w:val="single" w:color="auto" w:sz="4" w:space="0"/>
              <w:left w:val="single" w:color="auto" w:sz="4" w:space="0"/>
              <w:bottom w:val="single" w:color="auto" w:sz="4" w:space="0"/>
              <w:right w:val="single" w:color="auto" w:sz="4" w:space="0"/>
            </w:tcBorders>
            <w:noWrap w:val="0"/>
            <w:vAlign w:val="center"/>
          </w:tcPr>
          <w:p w14:paraId="296AAC23">
            <w:pPr>
              <w:snapToGrid w:val="0"/>
              <w:spacing w:line="240" w:lineRule="auto"/>
              <w:jc w:val="center"/>
              <w:rPr>
                <w:rFonts w:hint="eastAsia" w:ascii="宋体" w:hAnsi="宋体" w:cs="宋体"/>
                <w:color w:val="000000"/>
                <w:sz w:val="24"/>
                <w:highlight w:val="none"/>
              </w:rPr>
            </w:pPr>
            <w:r>
              <w:rPr>
                <w:rFonts w:hint="eastAsia" w:ascii="宋体" w:hAnsi="宋体" w:cs="宋体"/>
                <w:color w:val="000000"/>
                <w:sz w:val="24"/>
                <w:highlight w:val="none"/>
              </w:rPr>
              <w:t>采购人联系人及联系电话</w:t>
            </w:r>
          </w:p>
        </w:tc>
      </w:tr>
      <w:tr w14:paraId="7602FF1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9" w:hRule="atLeast"/>
          <w:jc w:val="center"/>
        </w:trPr>
        <w:tc>
          <w:tcPr>
            <w:tcW w:w="749" w:type="dxa"/>
            <w:tcBorders>
              <w:top w:val="single" w:color="auto" w:sz="4" w:space="0"/>
              <w:left w:val="single" w:color="auto" w:sz="4" w:space="0"/>
              <w:bottom w:val="single" w:color="auto" w:sz="4" w:space="0"/>
              <w:right w:val="single" w:color="auto" w:sz="4" w:space="0"/>
            </w:tcBorders>
            <w:noWrap w:val="0"/>
            <w:vAlign w:val="top"/>
          </w:tcPr>
          <w:p w14:paraId="1D28B760">
            <w:pPr>
              <w:snapToGrid w:val="0"/>
              <w:spacing w:line="240" w:lineRule="exact"/>
              <w:jc w:val="left"/>
              <w:rPr>
                <w:rFonts w:hint="eastAsia" w:ascii="宋体" w:hAnsi="宋体" w:cs="宋体"/>
                <w:color w:val="000000"/>
                <w:sz w:val="24"/>
                <w:highlight w:val="none"/>
              </w:rPr>
            </w:pPr>
          </w:p>
        </w:tc>
        <w:tc>
          <w:tcPr>
            <w:tcW w:w="2709" w:type="dxa"/>
            <w:tcBorders>
              <w:top w:val="single" w:color="auto" w:sz="4" w:space="0"/>
              <w:left w:val="single" w:color="auto" w:sz="4" w:space="0"/>
              <w:bottom w:val="single" w:color="auto" w:sz="4" w:space="0"/>
              <w:right w:val="single" w:color="auto" w:sz="4" w:space="0"/>
            </w:tcBorders>
            <w:noWrap w:val="0"/>
            <w:vAlign w:val="top"/>
          </w:tcPr>
          <w:p w14:paraId="2E2D2C33">
            <w:pPr>
              <w:snapToGrid w:val="0"/>
              <w:spacing w:line="240" w:lineRule="exact"/>
              <w:jc w:val="left"/>
              <w:rPr>
                <w:rFonts w:hint="eastAsia" w:ascii="宋体" w:hAnsi="宋体" w:cs="宋体"/>
                <w:color w:val="000000"/>
                <w:sz w:val="24"/>
                <w:highlight w:val="none"/>
              </w:rPr>
            </w:pPr>
          </w:p>
        </w:tc>
        <w:tc>
          <w:tcPr>
            <w:tcW w:w="2145" w:type="dxa"/>
            <w:tcBorders>
              <w:top w:val="single" w:color="auto" w:sz="4" w:space="0"/>
              <w:left w:val="single" w:color="auto" w:sz="4" w:space="0"/>
              <w:bottom w:val="single" w:color="auto" w:sz="4" w:space="0"/>
              <w:right w:val="single" w:color="auto" w:sz="4" w:space="0"/>
            </w:tcBorders>
            <w:noWrap w:val="0"/>
            <w:vAlign w:val="top"/>
          </w:tcPr>
          <w:p w14:paraId="3970D134">
            <w:pPr>
              <w:snapToGrid w:val="0"/>
              <w:spacing w:line="240" w:lineRule="exact"/>
              <w:jc w:val="left"/>
              <w:rPr>
                <w:rFonts w:hint="eastAsia" w:ascii="宋体" w:hAnsi="宋体" w:cs="宋体"/>
                <w:color w:val="000000"/>
                <w:sz w:val="24"/>
                <w:highlight w:val="none"/>
              </w:rPr>
            </w:pPr>
          </w:p>
        </w:tc>
        <w:tc>
          <w:tcPr>
            <w:tcW w:w="1592" w:type="dxa"/>
            <w:tcBorders>
              <w:top w:val="single" w:color="auto" w:sz="4" w:space="0"/>
              <w:left w:val="single" w:color="auto" w:sz="4" w:space="0"/>
              <w:bottom w:val="single" w:color="auto" w:sz="4" w:space="0"/>
              <w:right w:val="single" w:color="auto" w:sz="4" w:space="0"/>
            </w:tcBorders>
            <w:noWrap w:val="0"/>
            <w:vAlign w:val="top"/>
          </w:tcPr>
          <w:p w14:paraId="3A382EB9">
            <w:pPr>
              <w:snapToGrid w:val="0"/>
              <w:spacing w:line="240" w:lineRule="exact"/>
              <w:jc w:val="left"/>
              <w:rPr>
                <w:rFonts w:hint="eastAsia" w:ascii="宋体" w:hAnsi="宋体" w:cs="宋体"/>
                <w:color w:val="000000"/>
                <w:sz w:val="24"/>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top"/>
          </w:tcPr>
          <w:p w14:paraId="1F5FB334">
            <w:pPr>
              <w:snapToGrid w:val="0"/>
              <w:spacing w:line="240" w:lineRule="exact"/>
              <w:jc w:val="left"/>
              <w:rPr>
                <w:rFonts w:hint="eastAsia" w:ascii="宋体" w:hAnsi="宋体" w:cs="宋体"/>
                <w:color w:val="000000"/>
                <w:sz w:val="24"/>
                <w:highlight w:val="none"/>
              </w:rPr>
            </w:pPr>
          </w:p>
        </w:tc>
      </w:tr>
      <w:tr w14:paraId="1D450FD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749" w:type="dxa"/>
            <w:tcBorders>
              <w:top w:val="single" w:color="auto" w:sz="4" w:space="0"/>
              <w:left w:val="single" w:color="auto" w:sz="4" w:space="0"/>
              <w:bottom w:val="single" w:color="auto" w:sz="4" w:space="0"/>
              <w:right w:val="single" w:color="auto" w:sz="4" w:space="0"/>
            </w:tcBorders>
            <w:noWrap w:val="0"/>
            <w:vAlign w:val="top"/>
          </w:tcPr>
          <w:p w14:paraId="19C649B0">
            <w:pPr>
              <w:snapToGrid w:val="0"/>
              <w:spacing w:before="50" w:after="165" w:afterLines="50" w:line="400" w:lineRule="exact"/>
              <w:jc w:val="left"/>
              <w:rPr>
                <w:rFonts w:hint="eastAsia" w:ascii="宋体" w:hAnsi="宋体" w:cs="宋体"/>
                <w:color w:val="000000"/>
                <w:sz w:val="24"/>
                <w:highlight w:val="none"/>
              </w:rPr>
            </w:pPr>
          </w:p>
        </w:tc>
        <w:tc>
          <w:tcPr>
            <w:tcW w:w="2709" w:type="dxa"/>
            <w:tcBorders>
              <w:top w:val="single" w:color="auto" w:sz="4" w:space="0"/>
              <w:left w:val="single" w:color="auto" w:sz="4" w:space="0"/>
              <w:bottom w:val="single" w:color="auto" w:sz="4" w:space="0"/>
              <w:right w:val="single" w:color="auto" w:sz="4" w:space="0"/>
            </w:tcBorders>
            <w:noWrap w:val="0"/>
            <w:vAlign w:val="top"/>
          </w:tcPr>
          <w:p w14:paraId="401DC68D">
            <w:pPr>
              <w:snapToGrid w:val="0"/>
              <w:spacing w:before="50" w:after="165" w:afterLines="50" w:line="400" w:lineRule="exact"/>
              <w:jc w:val="left"/>
              <w:rPr>
                <w:rFonts w:hint="eastAsia" w:ascii="宋体" w:hAnsi="宋体" w:cs="宋体"/>
                <w:color w:val="000000"/>
                <w:sz w:val="24"/>
                <w:highlight w:val="none"/>
              </w:rPr>
            </w:pPr>
          </w:p>
        </w:tc>
        <w:tc>
          <w:tcPr>
            <w:tcW w:w="2145" w:type="dxa"/>
            <w:tcBorders>
              <w:top w:val="single" w:color="auto" w:sz="4" w:space="0"/>
              <w:left w:val="single" w:color="auto" w:sz="4" w:space="0"/>
              <w:bottom w:val="single" w:color="auto" w:sz="4" w:space="0"/>
              <w:right w:val="single" w:color="auto" w:sz="4" w:space="0"/>
            </w:tcBorders>
            <w:noWrap w:val="0"/>
            <w:vAlign w:val="top"/>
          </w:tcPr>
          <w:p w14:paraId="36552082">
            <w:pPr>
              <w:snapToGrid w:val="0"/>
              <w:spacing w:before="50" w:after="165" w:afterLines="50" w:line="400" w:lineRule="exact"/>
              <w:jc w:val="left"/>
              <w:rPr>
                <w:rFonts w:hint="eastAsia" w:ascii="宋体" w:hAnsi="宋体" w:cs="宋体"/>
                <w:color w:val="000000"/>
                <w:sz w:val="24"/>
                <w:highlight w:val="none"/>
              </w:rPr>
            </w:pPr>
          </w:p>
        </w:tc>
        <w:tc>
          <w:tcPr>
            <w:tcW w:w="1592" w:type="dxa"/>
            <w:tcBorders>
              <w:top w:val="single" w:color="auto" w:sz="4" w:space="0"/>
              <w:left w:val="single" w:color="auto" w:sz="4" w:space="0"/>
              <w:bottom w:val="single" w:color="auto" w:sz="4" w:space="0"/>
              <w:right w:val="single" w:color="auto" w:sz="4" w:space="0"/>
            </w:tcBorders>
            <w:noWrap w:val="0"/>
            <w:vAlign w:val="top"/>
          </w:tcPr>
          <w:p w14:paraId="0FEC906C">
            <w:pPr>
              <w:snapToGrid w:val="0"/>
              <w:spacing w:before="50" w:after="165" w:afterLines="50" w:line="400" w:lineRule="exact"/>
              <w:jc w:val="left"/>
              <w:rPr>
                <w:rFonts w:hint="eastAsia" w:ascii="宋体" w:hAnsi="宋体" w:cs="宋体"/>
                <w:color w:val="000000"/>
                <w:sz w:val="24"/>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top"/>
          </w:tcPr>
          <w:p w14:paraId="37327317">
            <w:pPr>
              <w:snapToGrid w:val="0"/>
              <w:spacing w:before="50" w:after="165" w:afterLines="50" w:line="400" w:lineRule="exact"/>
              <w:jc w:val="left"/>
              <w:rPr>
                <w:rFonts w:hint="eastAsia" w:ascii="宋体" w:hAnsi="宋体" w:cs="宋体"/>
                <w:color w:val="000000"/>
                <w:sz w:val="24"/>
                <w:highlight w:val="none"/>
              </w:rPr>
            </w:pPr>
          </w:p>
        </w:tc>
      </w:tr>
      <w:tr w14:paraId="51E24F9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0" w:hRule="atLeast"/>
          <w:jc w:val="center"/>
        </w:trPr>
        <w:tc>
          <w:tcPr>
            <w:tcW w:w="749" w:type="dxa"/>
            <w:tcBorders>
              <w:top w:val="single" w:color="auto" w:sz="4" w:space="0"/>
              <w:left w:val="single" w:color="auto" w:sz="4" w:space="0"/>
              <w:bottom w:val="single" w:color="auto" w:sz="4" w:space="0"/>
              <w:right w:val="single" w:color="auto" w:sz="4" w:space="0"/>
            </w:tcBorders>
            <w:noWrap w:val="0"/>
            <w:vAlign w:val="top"/>
          </w:tcPr>
          <w:p w14:paraId="6AB12053">
            <w:pPr>
              <w:snapToGrid w:val="0"/>
              <w:spacing w:before="50" w:after="165" w:afterLines="50" w:line="400" w:lineRule="exact"/>
              <w:jc w:val="left"/>
              <w:rPr>
                <w:rFonts w:hint="eastAsia" w:ascii="宋体" w:hAnsi="宋体" w:cs="宋体"/>
                <w:color w:val="000000"/>
                <w:sz w:val="24"/>
                <w:highlight w:val="none"/>
              </w:rPr>
            </w:pPr>
          </w:p>
        </w:tc>
        <w:tc>
          <w:tcPr>
            <w:tcW w:w="2709" w:type="dxa"/>
            <w:tcBorders>
              <w:top w:val="single" w:color="auto" w:sz="4" w:space="0"/>
              <w:left w:val="single" w:color="auto" w:sz="4" w:space="0"/>
              <w:bottom w:val="single" w:color="auto" w:sz="4" w:space="0"/>
              <w:right w:val="single" w:color="auto" w:sz="4" w:space="0"/>
            </w:tcBorders>
            <w:noWrap w:val="0"/>
            <w:vAlign w:val="top"/>
          </w:tcPr>
          <w:p w14:paraId="0E6C61F0">
            <w:pPr>
              <w:snapToGrid w:val="0"/>
              <w:spacing w:before="50" w:after="165" w:afterLines="50" w:line="400" w:lineRule="exact"/>
              <w:jc w:val="left"/>
              <w:rPr>
                <w:rFonts w:hint="eastAsia" w:ascii="宋体" w:hAnsi="宋体" w:cs="宋体"/>
                <w:color w:val="000000"/>
                <w:sz w:val="24"/>
                <w:highlight w:val="none"/>
              </w:rPr>
            </w:pPr>
          </w:p>
        </w:tc>
        <w:tc>
          <w:tcPr>
            <w:tcW w:w="2145" w:type="dxa"/>
            <w:tcBorders>
              <w:top w:val="single" w:color="auto" w:sz="4" w:space="0"/>
              <w:left w:val="single" w:color="auto" w:sz="4" w:space="0"/>
              <w:bottom w:val="single" w:color="auto" w:sz="4" w:space="0"/>
              <w:right w:val="single" w:color="auto" w:sz="4" w:space="0"/>
            </w:tcBorders>
            <w:noWrap w:val="0"/>
            <w:vAlign w:val="top"/>
          </w:tcPr>
          <w:p w14:paraId="0C8EC301">
            <w:pPr>
              <w:snapToGrid w:val="0"/>
              <w:spacing w:before="50" w:after="165" w:afterLines="50" w:line="400" w:lineRule="exact"/>
              <w:jc w:val="left"/>
              <w:rPr>
                <w:rFonts w:hint="eastAsia" w:ascii="宋体" w:hAnsi="宋体" w:cs="宋体"/>
                <w:color w:val="000000"/>
                <w:sz w:val="24"/>
                <w:highlight w:val="none"/>
              </w:rPr>
            </w:pPr>
          </w:p>
        </w:tc>
        <w:tc>
          <w:tcPr>
            <w:tcW w:w="1592" w:type="dxa"/>
            <w:tcBorders>
              <w:top w:val="single" w:color="auto" w:sz="4" w:space="0"/>
              <w:left w:val="single" w:color="auto" w:sz="4" w:space="0"/>
              <w:bottom w:val="single" w:color="auto" w:sz="4" w:space="0"/>
              <w:right w:val="single" w:color="auto" w:sz="4" w:space="0"/>
            </w:tcBorders>
            <w:noWrap w:val="0"/>
            <w:vAlign w:val="top"/>
          </w:tcPr>
          <w:p w14:paraId="083138D6">
            <w:pPr>
              <w:snapToGrid w:val="0"/>
              <w:spacing w:before="50" w:after="165" w:afterLines="50" w:line="400" w:lineRule="exact"/>
              <w:jc w:val="left"/>
              <w:rPr>
                <w:rFonts w:hint="eastAsia" w:ascii="宋体" w:hAnsi="宋体" w:cs="宋体"/>
                <w:color w:val="000000"/>
                <w:sz w:val="24"/>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top"/>
          </w:tcPr>
          <w:p w14:paraId="56C1D612">
            <w:pPr>
              <w:snapToGrid w:val="0"/>
              <w:spacing w:before="50" w:after="165" w:afterLines="50" w:line="400" w:lineRule="exact"/>
              <w:jc w:val="left"/>
              <w:rPr>
                <w:rFonts w:hint="eastAsia" w:ascii="宋体" w:hAnsi="宋体" w:cs="宋体"/>
                <w:color w:val="000000"/>
                <w:sz w:val="24"/>
                <w:highlight w:val="none"/>
              </w:rPr>
            </w:pPr>
          </w:p>
        </w:tc>
      </w:tr>
      <w:tr w14:paraId="0EF1220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749" w:type="dxa"/>
            <w:tcBorders>
              <w:top w:val="single" w:color="auto" w:sz="4" w:space="0"/>
              <w:left w:val="single" w:color="auto" w:sz="4" w:space="0"/>
              <w:bottom w:val="single" w:color="auto" w:sz="4" w:space="0"/>
              <w:right w:val="single" w:color="auto" w:sz="4" w:space="0"/>
            </w:tcBorders>
            <w:noWrap w:val="0"/>
            <w:vAlign w:val="top"/>
          </w:tcPr>
          <w:p w14:paraId="7E558639">
            <w:pPr>
              <w:snapToGrid w:val="0"/>
              <w:spacing w:before="50" w:after="165" w:afterLines="50" w:line="400" w:lineRule="exact"/>
              <w:jc w:val="left"/>
              <w:rPr>
                <w:rFonts w:hint="eastAsia" w:ascii="宋体" w:hAnsi="宋体" w:cs="宋体"/>
                <w:color w:val="000000"/>
                <w:sz w:val="24"/>
                <w:highlight w:val="none"/>
              </w:rPr>
            </w:pPr>
          </w:p>
        </w:tc>
        <w:tc>
          <w:tcPr>
            <w:tcW w:w="2709" w:type="dxa"/>
            <w:tcBorders>
              <w:top w:val="single" w:color="auto" w:sz="4" w:space="0"/>
              <w:left w:val="single" w:color="auto" w:sz="4" w:space="0"/>
              <w:bottom w:val="single" w:color="auto" w:sz="4" w:space="0"/>
              <w:right w:val="single" w:color="auto" w:sz="4" w:space="0"/>
            </w:tcBorders>
            <w:noWrap w:val="0"/>
            <w:vAlign w:val="top"/>
          </w:tcPr>
          <w:p w14:paraId="1D844D74">
            <w:pPr>
              <w:snapToGrid w:val="0"/>
              <w:spacing w:before="50" w:after="165" w:afterLines="50" w:line="400" w:lineRule="exact"/>
              <w:jc w:val="left"/>
              <w:rPr>
                <w:rFonts w:hint="eastAsia" w:ascii="宋体" w:hAnsi="宋体" w:cs="宋体"/>
                <w:color w:val="000000"/>
                <w:sz w:val="24"/>
                <w:highlight w:val="none"/>
              </w:rPr>
            </w:pPr>
          </w:p>
        </w:tc>
        <w:tc>
          <w:tcPr>
            <w:tcW w:w="2145" w:type="dxa"/>
            <w:tcBorders>
              <w:top w:val="single" w:color="auto" w:sz="4" w:space="0"/>
              <w:left w:val="single" w:color="auto" w:sz="4" w:space="0"/>
              <w:bottom w:val="single" w:color="auto" w:sz="4" w:space="0"/>
              <w:right w:val="single" w:color="auto" w:sz="4" w:space="0"/>
            </w:tcBorders>
            <w:noWrap w:val="0"/>
            <w:vAlign w:val="top"/>
          </w:tcPr>
          <w:p w14:paraId="6840654F">
            <w:pPr>
              <w:snapToGrid w:val="0"/>
              <w:spacing w:before="50" w:after="165" w:afterLines="50" w:line="400" w:lineRule="exact"/>
              <w:jc w:val="left"/>
              <w:rPr>
                <w:rFonts w:hint="eastAsia" w:ascii="宋体" w:hAnsi="宋体" w:cs="宋体"/>
                <w:color w:val="000000"/>
                <w:sz w:val="24"/>
                <w:highlight w:val="none"/>
              </w:rPr>
            </w:pPr>
          </w:p>
        </w:tc>
        <w:tc>
          <w:tcPr>
            <w:tcW w:w="1592" w:type="dxa"/>
            <w:tcBorders>
              <w:top w:val="single" w:color="auto" w:sz="4" w:space="0"/>
              <w:left w:val="single" w:color="auto" w:sz="4" w:space="0"/>
              <w:bottom w:val="single" w:color="auto" w:sz="4" w:space="0"/>
              <w:right w:val="single" w:color="auto" w:sz="4" w:space="0"/>
            </w:tcBorders>
            <w:noWrap w:val="0"/>
            <w:vAlign w:val="top"/>
          </w:tcPr>
          <w:p w14:paraId="02013D70">
            <w:pPr>
              <w:snapToGrid w:val="0"/>
              <w:spacing w:before="50" w:after="165" w:afterLines="50" w:line="400" w:lineRule="exact"/>
              <w:jc w:val="left"/>
              <w:rPr>
                <w:rFonts w:hint="eastAsia" w:ascii="宋体" w:hAnsi="宋体" w:cs="宋体"/>
                <w:color w:val="000000"/>
                <w:sz w:val="24"/>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top"/>
          </w:tcPr>
          <w:p w14:paraId="22701ED3">
            <w:pPr>
              <w:snapToGrid w:val="0"/>
              <w:spacing w:before="50" w:after="165" w:afterLines="50" w:line="400" w:lineRule="exact"/>
              <w:jc w:val="left"/>
              <w:rPr>
                <w:rFonts w:hint="eastAsia" w:ascii="宋体" w:hAnsi="宋体" w:cs="宋体"/>
                <w:color w:val="000000"/>
                <w:sz w:val="24"/>
                <w:highlight w:val="none"/>
              </w:rPr>
            </w:pPr>
          </w:p>
        </w:tc>
      </w:tr>
      <w:tr w14:paraId="42F3ECF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749" w:type="dxa"/>
            <w:tcBorders>
              <w:top w:val="single" w:color="auto" w:sz="4" w:space="0"/>
              <w:left w:val="single" w:color="auto" w:sz="4" w:space="0"/>
              <w:bottom w:val="single" w:color="auto" w:sz="4" w:space="0"/>
              <w:right w:val="single" w:color="auto" w:sz="4" w:space="0"/>
            </w:tcBorders>
            <w:noWrap w:val="0"/>
            <w:vAlign w:val="top"/>
          </w:tcPr>
          <w:p w14:paraId="678E4139">
            <w:pPr>
              <w:snapToGrid w:val="0"/>
              <w:spacing w:before="50" w:after="165" w:afterLines="50" w:line="400" w:lineRule="exact"/>
              <w:jc w:val="left"/>
              <w:rPr>
                <w:rFonts w:hint="eastAsia" w:ascii="宋体" w:hAnsi="宋体" w:cs="宋体"/>
                <w:color w:val="000000"/>
                <w:sz w:val="24"/>
                <w:highlight w:val="none"/>
              </w:rPr>
            </w:pPr>
          </w:p>
        </w:tc>
        <w:tc>
          <w:tcPr>
            <w:tcW w:w="2709" w:type="dxa"/>
            <w:tcBorders>
              <w:top w:val="single" w:color="auto" w:sz="4" w:space="0"/>
              <w:left w:val="single" w:color="auto" w:sz="4" w:space="0"/>
              <w:bottom w:val="single" w:color="auto" w:sz="4" w:space="0"/>
              <w:right w:val="single" w:color="auto" w:sz="4" w:space="0"/>
            </w:tcBorders>
            <w:noWrap w:val="0"/>
            <w:vAlign w:val="top"/>
          </w:tcPr>
          <w:p w14:paraId="0ADED3CB">
            <w:pPr>
              <w:snapToGrid w:val="0"/>
              <w:spacing w:before="50" w:after="165" w:afterLines="50" w:line="400" w:lineRule="exact"/>
              <w:jc w:val="left"/>
              <w:rPr>
                <w:rFonts w:hint="eastAsia" w:ascii="宋体" w:hAnsi="宋体" w:cs="宋体"/>
                <w:color w:val="000000"/>
                <w:sz w:val="24"/>
                <w:highlight w:val="none"/>
              </w:rPr>
            </w:pPr>
          </w:p>
        </w:tc>
        <w:tc>
          <w:tcPr>
            <w:tcW w:w="2145" w:type="dxa"/>
            <w:tcBorders>
              <w:top w:val="single" w:color="auto" w:sz="4" w:space="0"/>
              <w:left w:val="single" w:color="auto" w:sz="4" w:space="0"/>
              <w:bottom w:val="single" w:color="auto" w:sz="4" w:space="0"/>
              <w:right w:val="single" w:color="auto" w:sz="4" w:space="0"/>
            </w:tcBorders>
            <w:noWrap w:val="0"/>
            <w:vAlign w:val="top"/>
          </w:tcPr>
          <w:p w14:paraId="78E1D860">
            <w:pPr>
              <w:snapToGrid w:val="0"/>
              <w:spacing w:before="50" w:after="165" w:afterLines="50" w:line="400" w:lineRule="exact"/>
              <w:jc w:val="left"/>
              <w:rPr>
                <w:rFonts w:hint="eastAsia" w:ascii="宋体" w:hAnsi="宋体" w:cs="宋体"/>
                <w:color w:val="000000"/>
                <w:sz w:val="24"/>
                <w:highlight w:val="none"/>
              </w:rPr>
            </w:pPr>
          </w:p>
        </w:tc>
        <w:tc>
          <w:tcPr>
            <w:tcW w:w="1592" w:type="dxa"/>
            <w:tcBorders>
              <w:top w:val="single" w:color="auto" w:sz="4" w:space="0"/>
              <w:left w:val="single" w:color="auto" w:sz="4" w:space="0"/>
              <w:bottom w:val="single" w:color="auto" w:sz="4" w:space="0"/>
              <w:right w:val="single" w:color="auto" w:sz="4" w:space="0"/>
            </w:tcBorders>
            <w:noWrap w:val="0"/>
            <w:vAlign w:val="top"/>
          </w:tcPr>
          <w:p w14:paraId="586B30CC">
            <w:pPr>
              <w:snapToGrid w:val="0"/>
              <w:spacing w:before="50" w:after="165" w:afterLines="50" w:line="400" w:lineRule="exact"/>
              <w:jc w:val="left"/>
              <w:rPr>
                <w:rFonts w:hint="eastAsia" w:ascii="宋体" w:hAnsi="宋体" w:cs="宋体"/>
                <w:color w:val="000000"/>
                <w:sz w:val="24"/>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top"/>
          </w:tcPr>
          <w:p w14:paraId="0E69DED5">
            <w:pPr>
              <w:snapToGrid w:val="0"/>
              <w:spacing w:before="50" w:after="165" w:afterLines="50" w:line="400" w:lineRule="exact"/>
              <w:jc w:val="left"/>
              <w:rPr>
                <w:rFonts w:hint="eastAsia" w:ascii="宋体" w:hAnsi="宋体" w:cs="宋体"/>
                <w:color w:val="000000"/>
                <w:sz w:val="24"/>
                <w:highlight w:val="none"/>
              </w:rPr>
            </w:pPr>
          </w:p>
        </w:tc>
      </w:tr>
    </w:tbl>
    <w:p w14:paraId="6776C6A5">
      <w:pPr>
        <w:snapToGrid w:val="0"/>
        <w:spacing w:line="360" w:lineRule="auto"/>
        <w:ind w:firstLine="4935" w:firstLineChars="2350"/>
        <w:rPr>
          <w:rFonts w:hint="eastAsia" w:ascii="宋体" w:hAnsi="宋体" w:cs="宋体"/>
          <w:color w:val="000000"/>
          <w:szCs w:val="21"/>
          <w:highlight w:val="none"/>
        </w:rPr>
      </w:pPr>
      <w:r>
        <w:rPr>
          <w:rFonts w:hint="eastAsia" w:ascii="宋体" w:hAnsi="宋体" w:cs="宋体"/>
          <w:color w:val="000000"/>
          <w:szCs w:val="21"/>
          <w:highlight w:val="none"/>
        </w:rPr>
        <w:t xml:space="preserve"> </w:t>
      </w:r>
    </w:p>
    <w:p w14:paraId="66BEA37B">
      <w:pPr>
        <w:snapToGrid w:val="0"/>
        <w:spacing w:line="360" w:lineRule="auto"/>
        <w:ind w:firstLine="420" w:firstLineChars="200"/>
        <w:rPr>
          <w:rFonts w:hint="eastAsia" w:ascii="宋体" w:hAnsi="宋体" w:eastAsia="宋体" w:cs="宋体"/>
          <w:b w:val="0"/>
          <w:bCs w:val="0"/>
          <w:color w:val="000000"/>
          <w:sz w:val="21"/>
          <w:szCs w:val="21"/>
          <w:highlight w:val="none"/>
          <w:lang w:eastAsia="zh-CN"/>
        </w:rPr>
      </w:pPr>
      <w:r>
        <w:rPr>
          <w:rFonts w:hint="eastAsia" w:ascii="宋体" w:hAnsi="宋体" w:cs="宋体"/>
          <w:b w:val="0"/>
          <w:bCs w:val="0"/>
          <w:color w:val="000000"/>
          <w:sz w:val="21"/>
          <w:szCs w:val="21"/>
          <w:highlight w:val="none"/>
          <w:lang w:eastAsia="zh-CN"/>
        </w:rPr>
        <w:t>注：</w:t>
      </w:r>
      <w:r>
        <w:rPr>
          <w:rFonts w:hint="eastAsia" w:ascii="宋体" w:hAnsi="宋体" w:cs="宋体"/>
          <w:b w:val="0"/>
          <w:bCs w:val="0"/>
          <w:sz w:val="21"/>
          <w:szCs w:val="21"/>
          <w:highlight w:val="none"/>
          <w:lang w:val="en-US" w:eastAsia="zh-CN"/>
        </w:rPr>
        <w:t>供应商</w:t>
      </w:r>
      <w:r>
        <w:rPr>
          <w:rFonts w:hint="eastAsia" w:ascii="宋体" w:hAnsi="宋体" w:cs="宋体"/>
          <w:b w:val="0"/>
          <w:bCs w:val="0"/>
          <w:sz w:val="21"/>
          <w:szCs w:val="21"/>
          <w:highlight w:val="none"/>
        </w:rPr>
        <w:t>同类项目合同复印件或者中标通知书复印件，并加盖单位公章</w:t>
      </w:r>
      <w:r>
        <w:rPr>
          <w:rFonts w:hint="eastAsia" w:ascii="宋体" w:hAnsi="宋体" w:cs="宋体"/>
          <w:b w:val="0"/>
          <w:bCs w:val="0"/>
          <w:sz w:val="21"/>
          <w:szCs w:val="21"/>
          <w:highlight w:val="none"/>
          <w:lang w:eastAsia="zh-CN"/>
        </w:rPr>
        <w:t>。</w:t>
      </w:r>
    </w:p>
    <w:p w14:paraId="635EDC4F">
      <w:pPr>
        <w:snapToGrid w:val="0"/>
        <w:spacing w:line="360" w:lineRule="auto"/>
        <w:ind w:firstLine="10080" w:firstLineChars="4800"/>
        <w:rPr>
          <w:rFonts w:hint="eastAsia" w:ascii="宋体" w:hAnsi="宋体" w:cs="宋体"/>
          <w:color w:val="000000"/>
          <w:szCs w:val="21"/>
          <w:highlight w:val="none"/>
        </w:rPr>
      </w:pPr>
    </w:p>
    <w:p w14:paraId="368E9177">
      <w:pPr>
        <w:snapToGrid w:val="0"/>
        <w:spacing w:line="360" w:lineRule="auto"/>
        <w:ind w:left="5040" w:leftChars="2400" w:firstLine="5040" w:firstLineChars="2400"/>
        <w:rPr>
          <w:rFonts w:hint="eastAsia" w:ascii="宋体" w:hAnsi="宋体" w:cs="宋体"/>
          <w:kern w:val="0"/>
          <w:sz w:val="24"/>
          <w:highlight w:val="none"/>
        </w:rPr>
      </w:pPr>
      <w:r>
        <w:rPr>
          <w:rFonts w:hint="eastAsia" w:ascii="宋体" w:hAnsi="宋体" w:cs="宋体"/>
          <w:color w:val="000000"/>
          <w:szCs w:val="21"/>
          <w:highlight w:val="none"/>
        </w:rPr>
        <w:t xml:space="preserve"> 供应商（盖公章）</w:t>
      </w:r>
      <w:r>
        <w:rPr>
          <w:rFonts w:hint="eastAsia" w:ascii="宋体" w:hAnsi="宋体" w:cs="宋体"/>
          <w:kern w:val="0"/>
          <w:sz w:val="24"/>
          <w:highlight w:val="none"/>
          <w:lang w:val="zh-CN"/>
        </w:rPr>
        <w:t>：</w:t>
      </w:r>
    </w:p>
    <w:p w14:paraId="31BC01B8">
      <w:pPr>
        <w:snapToGrid w:val="0"/>
        <w:spacing w:line="360" w:lineRule="auto"/>
        <w:ind w:firstLine="5040" w:firstLineChars="2100"/>
        <w:rPr>
          <w:rFonts w:hint="eastAsia" w:ascii="宋体" w:hAnsi="宋体" w:cs="宋体"/>
          <w:kern w:val="0"/>
          <w:sz w:val="24"/>
          <w:highlight w:val="none"/>
          <w:lang w:val="zh-CN"/>
        </w:rPr>
        <w:sectPr>
          <w:pgSz w:w="11906" w:h="16838"/>
          <w:pgMar w:top="1134" w:right="1312" w:bottom="1424" w:left="1574" w:header="720" w:footer="720" w:gutter="0"/>
          <w:pgBorders>
            <w:top w:val="none" w:sz="0" w:space="0"/>
            <w:left w:val="none" w:sz="0" w:space="0"/>
            <w:bottom w:val="none" w:sz="0" w:space="0"/>
            <w:right w:val="none" w:sz="0" w:space="0"/>
          </w:pgBorders>
          <w:cols w:space="720" w:num="1"/>
          <w:docGrid w:type="lines" w:linePitch="331" w:charSpace="0"/>
        </w:sectPr>
      </w:pPr>
      <w:r>
        <w:rPr>
          <w:rFonts w:hint="eastAsia" w:ascii="宋体" w:hAnsi="宋体" w:cs="宋体"/>
          <w:kern w:val="0"/>
          <w:sz w:val="24"/>
          <w:highlight w:val="none"/>
          <w:lang w:val="zh-CN"/>
        </w:rPr>
        <w:t>日期</w:t>
      </w:r>
      <w:r>
        <w:rPr>
          <w:rFonts w:hint="eastAsia" w:ascii="宋体" w:hAnsi="宋体" w:cs="宋体"/>
          <w:kern w:val="0"/>
          <w:sz w:val="24"/>
          <w:highlight w:val="none"/>
        </w:rPr>
        <w:t xml:space="preserve">：  年  </w:t>
      </w:r>
      <w:r>
        <w:rPr>
          <w:rFonts w:hint="eastAsia" w:ascii="宋体" w:hAnsi="宋体" w:cs="宋体"/>
          <w:kern w:val="0"/>
          <w:sz w:val="24"/>
          <w:highlight w:val="none"/>
          <w:lang w:val="zh-CN"/>
        </w:rPr>
        <w:t>月</w:t>
      </w:r>
      <w:r>
        <w:rPr>
          <w:rFonts w:hint="eastAsia" w:ascii="宋体" w:hAnsi="宋体" w:cs="宋体"/>
          <w:kern w:val="0"/>
          <w:sz w:val="24"/>
          <w:highlight w:val="none"/>
        </w:rPr>
        <w:t xml:space="preserve">   </w:t>
      </w:r>
      <w:r>
        <w:rPr>
          <w:rFonts w:hint="eastAsia" w:ascii="宋体" w:hAnsi="宋体" w:cs="宋体"/>
          <w:kern w:val="0"/>
          <w:sz w:val="24"/>
          <w:highlight w:val="none"/>
          <w:lang w:val="zh-CN"/>
        </w:rPr>
        <w:t>日</w:t>
      </w:r>
    </w:p>
    <w:p w14:paraId="3A2A7BAE">
      <w:pPr>
        <w:adjustRightInd w:val="0"/>
        <w:snapToGrid w:val="0"/>
        <w:spacing w:line="300" w:lineRule="auto"/>
        <w:rPr>
          <w:rFonts w:hint="eastAsia" w:ascii="宋体" w:hAnsi="宋体" w:eastAsia="宋体" w:cs="宋体"/>
          <w:b/>
          <w:color w:val="auto"/>
          <w:sz w:val="32"/>
          <w:szCs w:val="32"/>
          <w:highlight w:val="none"/>
        </w:rPr>
      </w:pPr>
      <w:r>
        <w:rPr>
          <w:rFonts w:hint="eastAsia" w:ascii="宋体" w:hAnsi="宋体" w:eastAsia="宋体" w:cs="宋体"/>
          <w:b/>
          <w:bCs/>
          <w:color w:val="auto"/>
          <w:sz w:val="32"/>
          <w:szCs w:val="32"/>
          <w:highlight w:val="none"/>
        </w:rPr>
        <w:t>三、</w:t>
      </w:r>
      <w:r>
        <w:rPr>
          <w:rFonts w:hint="eastAsia" w:ascii="宋体" w:hAnsi="宋体" w:eastAsia="宋体" w:cs="宋体"/>
          <w:b/>
          <w:color w:val="auto"/>
          <w:sz w:val="32"/>
          <w:szCs w:val="32"/>
          <w:highlight w:val="none"/>
        </w:rPr>
        <w:t>技术文件格式</w:t>
      </w:r>
    </w:p>
    <w:p w14:paraId="1E4DCB32">
      <w:pPr>
        <w:snapToGrid w:val="0"/>
        <w:spacing w:before="156" w:beforeLines="50" w:after="50" w:line="360" w:lineRule="auto"/>
        <w:jc w:val="left"/>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1.技术文件封面格式</w:t>
      </w:r>
    </w:p>
    <w:p w14:paraId="657D1B77">
      <w:pPr>
        <w:snapToGrid w:val="0"/>
        <w:spacing w:before="156" w:beforeLines="50" w:after="50"/>
        <w:rPr>
          <w:rFonts w:hint="eastAsia" w:ascii="宋体" w:hAnsi="宋体" w:eastAsia="宋体" w:cs="宋体"/>
          <w:bCs/>
          <w:color w:val="auto"/>
          <w:sz w:val="32"/>
          <w:szCs w:val="20"/>
          <w:highlight w:val="none"/>
        </w:rPr>
      </w:pPr>
      <w:r>
        <w:rPr>
          <w:rFonts w:hint="eastAsia" w:ascii="宋体" w:hAnsi="宋体" w:eastAsia="宋体" w:cs="宋体"/>
          <w:color w:val="auto"/>
          <w:sz w:val="24"/>
          <w:highlight w:val="none"/>
        </w:rPr>
        <w:t xml:space="preserve">                                                   </w:t>
      </w:r>
    </w:p>
    <w:p w14:paraId="69E4105A">
      <w:pPr>
        <w:snapToGrid w:val="0"/>
        <w:spacing w:before="156" w:beforeLines="50" w:after="50"/>
        <w:rPr>
          <w:rFonts w:hint="eastAsia" w:ascii="宋体" w:hAnsi="宋体" w:eastAsia="宋体" w:cs="宋体"/>
          <w:color w:val="auto"/>
          <w:sz w:val="24"/>
          <w:szCs w:val="20"/>
          <w:highlight w:val="none"/>
        </w:rPr>
      </w:pPr>
    </w:p>
    <w:p w14:paraId="6F03CA70">
      <w:pPr>
        <w:snapToGrid w:val="0"/>
        <w:spacing w:before="156" w:beforeLines="50" w:after="50"/>
        <w:jc w:val="center"/>
        <w:rPr>
          <w:rFonts w:hint="eastAsia" w:ascii="宋体" w:hAnsi="宋体" w:eastAsia="宋体" w:cs="宋体"/>
          <w:bCs/>
          <w:color w:val="auto"/>
          <w:sz w:val="84"/>
          <w:szCs w:val="84"/>
          <w:highlight w:val="none"/>
        </w:rPr>
      </w:pPr>
      <w:r>
        <w:rPr>
          <w:rFonts w:hint="eastAsia" w:ascii="宋体" w:hAnsi="宋体" w:eastAsia="宋体" w:cs="宋体"/>
          <w:bCs/>
          <w:color w:val="auto"/>
          <w:sz w:val="84"/>
          <w:szCs w:val="84"/>
          <w:highlight w:val="none"/>
        </w:rPr>
        <w:t>响  应  文  件</w:t>
      </w:r>
    </w:p>
    <w:p w14:paraId="794EC915">
      <w:pPr>
        <w:snapToGrid w:val="0"/>
        <w:spacing w:before="156" w:beforeLines="50" w:after="50"/>
        <w:jc w:val="center"/>
        <w:rPr>
          <w:rFonts w:hint="eastAsia" w:ascii="宋体" w:hAnsi="宋体" w:eastAsia="宋体" w:cs="宋体"/>
          <w:bCs/>
          <w:color w:val="auto"/>
          <w:sz w:val="32"/>
          <w:szCs w:val="32"/>
          <w:highlight w:val="none"/>
        </w:rPr>
      </w:pPr>
    </w:p>
    <w:p w14:paraId="431038BF">
      <w:pPr>
        <w:snapToGrid w:val="0"/>
        <w:spacing w:before="156" w:beforeLines="50" w:after="50"/>
        <w:jc w:val="center"/>
        <w:rPr>
          <w:rFonts w:hint="eastAsia" w:ascii="宋体" w:hAnsi="宋体" w:eastAsia="宋体" w:cs="宋体"/>
          <w:bCs/>
          <w:color w:val="auto"/>
          <w:sz w:val="32"/>
          <w:szCs w:val="32"/>
          <w:highlight w:val="none"/>
        </w:rPr>
      </w:pPr>
    </w:p>
    <w:p w14:paraId="2086955D">
      <w:pPr>
        <w:snapToGrid w:val="0"/>
        <w:spacing w:before="156" w:beforeLines="50" w:after="50"/>
        <w:jc w:val="center"/>
        <w:rPr>
          <w:rFonts w:hint="eastAsia" w:ascii="宋体" w:hAnsi="宋体" w:eastAsia="宋体" w:cs="宋体"/>
          <w:bCs/>
          <w:color w:val="auto"/>
          <w:sz w:val="40"/>
          <w:szCs w:val="40"/>
          <w:highlight w:val="none"/>
        </w:rPr>
      </w:pPr>
      <w:r>
        <w:rPr>
          <w:rFonts w:hint="eastAsia" w:ascii="宋体" w:hAnsi="宋体" w:eastAsia="宋体" w:cs="宋体"/>
          <w:bCs/>
          <w:color w:val="auto"/>
          <w:sz w:val="40"/>
          <w:szCs w:val="40"/>
          <w:highlight w:val="none"/>
        </w:rPr>
        <w:t>技术文件</w:t>
      </w:r>
    </w:p>
    <w:p w14:paraId="53F80073">
      <w:pPr>
        <w:snapToGrid w:val="0"/>
        <w:spacing w:before="156" w:beforeLines="50" w:after="50"/>
        <w:rPr>
          <w:rFonts w:hint="eastAsia" w:ascii="宋体" w:hAnsi="宋体" w:eastAsia="宋体" w:cs="宋体"/>
          <w:bCs/>
          <w:color w:val="auto"/>
          <w:sz w:val="24"/>
          <w:szCs w:val="20"/>
          <w:highlight w:val="none"/>
        </w:rPr>
      </w:pPr>
    </w:p>
    <w:p w14:paraId="68324110">
      <w:pPr>
        <w:snapToGrid w:val="0"/>
        <w:spacing w:before="156" w:beforeLines="50" w:after="50"/>
        <w:rPr>
          <w:rFonts w:hint="eastAsia" w:ascii="宋体" w:hAnsi="宋体" w:eastAsia="宋体" w:cs="宋体"/>
          <w:bCs/>
          <w:color w:val="auto"/>
          <w:sz w:val="24"/>
          <w:szCs w:val="20"/>
          <w:highlight w:val="none"/>
        </w:rPr>
      </w:pPr>
    </w:p>
    <w:p w14:paraId="6E715E24">
      <w:pPr>
        <w:snapToGrid w:val="0"/>
        <w:spacing w:before="156" w:beforeLines="50" w:after="50"/>
        <w:rPr>
          <w:rFonts w:hint="eastAsia" w:ascii="宋体" w:hAnsi="宋体" w:eastAsia="宋体" w:cs="宋体"/>
          <w:bCs/>
          <w:color w:val="auto"/>
          <w:sz w:val="24"/>
          <w:szCs w:val="20"/>
          <w:highlight w:val="none"/>
        </w:rPr>
      </w:pPr>
    </w:p>
    <w:p w14:paraId="3B14E180">
      <w:pPr>
        <w:snapToGrid w:val="0"/>
        <w:spacing w:before="156" w:beforeLines="50" w:after="50"/>
        <w:rPr>
          <w:rFonts w:hint="eastAsia" w:ascii="宋体" w:hAnsi="宋体" w:eastAsia="宋体" w:cs="宋体"/>
          <w:bCs/>
          <w:color w:val="auto"/>
          <w:sz w:val="24"/>
          <w:szCs w:val="20"/>
          <w:highlight w:val="none"/>
        </w:rPr>
      </w:pPr>
    </w:p>
    <w:p w14:paraId="0128680A">
      <w:pPr>
        <w:snapToGrid w:val="0"/>
        <w:spacing w:before="156" w:beforeLines="50" w:after="50"/>
        <w:rPr>
          <w:rFonts w:hint="eastAsia" w:ascii="宋体" w:hAnsi="宋体" w:eastAsia="宋体" w:cs="宋体"/>
          <w:bCs/>
          <w:color w:val="auto"/>
          <w:sz w:val="24"/>
          <w:szCs w:val="20"/>
          <w:highlight w:val="none"/>
        </w:rPr>
      </w:pPr>
    </w:p>
    <w:p w14:paraId="1F335430">
      <w:pPr>
        <w:snapToGrid w:val="0"/>
        <w:spacing w:before="156" w:beforeLines="50" w:after="50"/>
        <w:ind w:firstLine="640" w:firstLineChars="200"/>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项目名称：</w:t>
      </w:r>
    </w:p>
    <w:p w14:paraId="096491A0">
      <w:pPr>
        <w:snapToGrid w:val="0"/>
        <w:spacing w:before="156" w:beforeLines="50" w:after="50"/>
        <w:ind w:firstLine="720" w:firstLineChars="225"/>
        <w:rPr>
          <w:rFonts w:hint="eastAsia" w:ascii="宋体" w:hAnsi="宋体" w:eastAsia="宋体" w:cs="宋体"/>
          <w:bCs/>
          <w:color w:val="auto"/>
          <w:sz w:val="32"/>
          <w:szCs w:val="32"/>
          <w:highlight w:val="none"/>
        </w:rPr>
      </w:pPr>
    </w:p>
    <w:p w14:paraId="09CBE4C9">
      <w:pPr>
        <w:snapToGrid w:val="0"/>
        <w:spacing w:before="156" w:beforeLines="50" w:after="50"/>
        <w:ind w:firstLine="640" w:firstLineChars="200"/>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项目编号：</w:t>
      </w:r>
    </w:p>
    <w:p w14:paraId="29983476">
      <w:pPr>
        <w:snapToGrid w:val="0"/>
        <w:spacing w:before="156" w:beforeLines="50" w:after="50"/>
        <w:ind w:firstLine="720" w:firstLineChars="225"/>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 xml:space="preserve"> </w:t>
      </w:r>
    </w:p>
    <w:p w14:paraId="7E8DE6C6">
      <w:pPr>
        <w:snapToGrid w:val="0"/>
        <w:spacing w:before="156" w:beforeLines="50" w:after="50"/>
        <w:ind w:firstLine="640" w:firstLineChars="200"/>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所竞分标：（没有，则填“无”或“/”）</w:t>
      </w:r>
    </w:p>
    <w:p w14:paraId="4CE1BE4D">
      <w:pPr>
        <w:snapToGrid w:val="0"/>
        <w:spacing w:before="156" w:beforeLines="50" w:after="50"/>
        <w:ind w:firstLine="720" w:firstLineChars="225"/>
        <w:rPr>
          <w:rFonts w:hint="eastAsia" w:ascii="宋体" w:hAnsi="宋体" w:eastAsia="宋体" w:cs="宋体"/>
          <w:bCs/>
          <w:color w:val="auto"/>
          <w:sz w:val="32"/>
          <w:szCs w:val="32"/>
          <w:highlight w:val="none"/>
        </w:rPr>
      </w:pPr>
    </w:p>
    <w:p w14:paraId="7ABABBE7">
      <w:pPr>
        <w:pStyle w:val="7"/>
        <w:snapToGrid w:val="0"/>
        <w:spacing w:before="50" w:after="50"/>
        <w:ind w:firstLine="640" w:firstLineChars="200"/>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供应商名称：</w:t>
      </w:r>
    </w:p>
    <w:p w14:paraId="031A499B">
      <w:pPr>
        <w:pStyle w:val="7"/>
        <w:snapToGrid w:val="0"/>
        <w:spacing w:before="50" w:after="50"/>
        <w:ind w:firstLine="720" w:firstLineChars="225"/>
        <w:rPr>
          <w:rFonts w:hint="eastAsia" w:ascii="宋体" w:hAnsi="宋体" w:eastAsia="宋体" w:cs="宋体"/>
          <w:bCs/>
          <w:color w:val="auto"/>
          <w:sz w:val="32"/>
          <w:szCs w:val="32"/>
          <w:highlight w:val="none"/>
        </w:rPr>
      </w:pPr>
    </w:p>
    <w:p w14:paraId="11442DCA">
      <w:pPr>
        <w:pStyle w:val="7"/>
        <w:snapToGrid w:val="0"/>
        <w:spacing w:before="50" w:after="50"/>
        <w:ind w:firstLine="720" w:firstLineChars="225"/>
        <w:rPr>
          <w:rFonts w:hint="eastAsia" w:ascii="宋体" w:hAnsi="宋体" w:eastAsia="宋体" w:cs="宋体"/>
          <w:bCs/>
          <w:color w:val="auto"/>
          <w:sz w:val="32"/>
          <w:szCs w:val="32"/>
          <w:highlight w:val="none"/>
        </w:rPr>
      </w:pPr>
    </w:p>
    <w:p w14:paraId="4E4D1FBA">
      <w:pPr>
        <w:pStyle w:val="7"/>
        <w:snapToGrid w:val="0"/>
        <w:spacing w:before="50" w:after="50"/>
        <w:ind w:firstLine="1280" w:firstLineChars="400"/>
        <w:rPr>
          <w:rFonts w:hint="eastAsia" w:ascii="宋体" w:hAnsi="宋体" w:eastAsia="宋体" w:cs="宋体"/>
          <w:bCs/>
          <w:color w:val="auto"/>
          <w:sz w:val="32"/>
          <w:szCs w:val="32"/>
          <w:highlight w:val="none"/>
        </w:rPr>
      </w:pPr>
    </w:p>
    <w:p w14:paraId="4510CEB3">
      <w:pPr>
        <w:snapToGrid w:val="0"/>
        <w:spacing w:before="156" w:beforeLines="50" w:after="50"/>
        <w:jc w:val="center"/>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年    月    日</w:t>
      </w:r>
    </w:p>
    <w:p w14:paraId="35B947B4">
      <w:pPr>
        <w:snapToGrid w:val="0"/>
        <w:spacing w:before="156" w:beforeLines="50" w:after="50" w:line="360" w:lineRule="auto"/>
        <w:ind w:left="142"/>
        <w:jc w:val="left"/>
        <w:rPr>
          <w:rFonts w:hint="eastAsia" w:ascii="宋体" w:hAnsi="宋体" w:eastAsia="宋体" w:cs="宋体"/>
          <w:b/>
          <w:bCs/>
          <w:color w:val="auto"/>
          <w:sz w:val="24"/>
          <w:highlight w:val="none"/>
        </w:rPr>
      </w:pPr>
      <w:r>
        <w:rPr>
          <w:rFonts w:hint="eastAsia" w:ascii="宋体" w:hAnsi="宋体" w:eastAsia="宋体" w:cs="宋体"/>
          <w:color w:val="auto"/>
          <w:sz w:val="24"/>
          <w:highlight w:val="none"/>
        </w:rPr>
        <w:br w:type="page"/>
      </w:r>
      <w:r>
        <w:rPr>
          <w:rFonts w:hint="eastAsia" w:ascii="宋体" w:hAnsi="宋体" w:eastAsia="宋体" w:cs="宋体"/>
          <w:b/>
          <w:bCs/>
          <w:color w:val="auto"/>
          <w:sz w:val="32"/>
          <w:szCs w:val="32"/>
          <w:highlight w:val="none"/>
        </w:rPr>
        <w:t>2.技术文件目录</w:t>
      </w:r>
    </w:p>
    <w:p w14:paraId="776E39C8">
      <w:pPr>
        <w:snapToGrid w:val="0"/>
        <w:spacing w:before="156" w:beforeLines="50" w:after="50" w:line="360" w:lineRule="auto"/>
        <w:ind w:firstLine="640" w:firstLineChars="2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根据磋商文件规定及供应商提供的材料自行编写目录（部分格式后附）。</w:t>
      </w:r>
    </w:p>
    <w:p w14:paraId="796A1641">
      <w:pPr>
        <w:spacing w:line="400" w:lineRule="exact"/>
        <w:rPr>
          <w:rFonts w:hint="eastAsia" w:ascii="宋体" w:hAnsi="宋体" w:eastAsia="宋体" w:cs="宋体"/>
          <w:color w:val="auto"/>
          <w:sz w:val="32"/>
          <w:szCs w:val="32"/>
          <w:highlight w:val="none"/>
        </w:rPr>
      </w:pPr>
    </w:p>
    <w:p w14:paraId="5C912A79">
      <w:pPr>
        <w:spacing w:line="520" w:lineRule="exact"/>
        <w:jc w:val="center"/>
        <w:rPr>
          <w:rFonts w:hint="eastAsia" w:ascii="宋体" w:hAnsi="宋体" w:eastAsia="宋体" w:cs="宋体"/>
          <w:bCs/>
          <w:color w:val="auto"/>
          <w:sz w:val="44"/>
          <w:szCs w:val="44"/>
          <w:highlight w:val="none"/>
        </w:rPr>
      </w:pPr>
      <w:r>
        <w:rPr>
          <w:rFonts w:hint="eastAsia" w:ascii="宋体" w:hAnsi="宋体" w:eastAsia="宋体" w:cs="宋体"/>
          <w:color w:val="auto"/>
          <w:sz w:val="44"/>
          <w:szCs w:val="44"/>
          <w:highlight w:val="none"/>
        </w:rPr>
        <w:br w:type="page"/>
      </w:r>
      <w:r>
        <w:rPr>
          <w:rFonts w:hint="eastAsia" w:ascii="宋体" w:hAnsi="宋体" w:cs="宋体"/>
          <w:bCs/>
          <w:color w:val="auto"/>
          <w:sz w:val="44"/>
          <w:szCs w:val="44"/>
          <w:highlight w:val="none"/>
          <w:lang w:val="en-US" w:eastAsia="zh-CN"/>
        </w:rPr>
        <w:t>服务</w:t>
      </w:r>
      <w:r>
        <w:rPr>
          <w:rFonts w:hint="eastAsia" w:ascii="宋体" w:hAnsi="宋体" w:eastAsia="宋体" w:cs="宋体"/>
          <w:bCs/>
          <w:color w:val="auto"/>
          <w:sz w:val="44"/>
          <w:szCs w:val="44"/>
          <w:highlight w:val="none"/>
        </w:rPr>
        <w:t>要求偏离表</w:t>
      </w:r>
    </w:p>
    <w:p w14:paraId="1D1A74D2">
      <w:pPr>
        <w:spacing w:line="520" w:lineRule="exact"/>
        <w:rPr>
          <w:rFonts w:hint="eastAsia" w:ascii="宋体" w:hAnsi="宋体" w:eastAsia="宋体" w:cs="宋体"/>
          <w:color w:val="auto"/>
          <w:sz w:val="32"/>
          <w:szCs w:val="32"/>
          <w:highlight w:val="none"/>
        </w:rPr>
      </w:pPr>
    </w:p>
    <w:p w14:paraId="67909AC2">
      <w:pPr>
        <w:spacing w:line="360" w:lineRule="auto"/>
        <w:contextualSpacing/>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采购项目编号：</w:t>
      </w:r>
      <w:r>
        <w:rPr>
          <w:rFonts w:hint="eastAsia" w:ascii="宋体" w:hAnsi="宋体" w:eastAsia="宋体" w:cs="宋体"/>
          <w:color w:val="auto"/>
          <w:szCs w:val="21"/>
          <w:highlight w:val="none"/>
          <w:u w:val="single"/>
        </w:rPr>
        <w:t xml:space="preserve">                 </w:t>
      </w:r>
    </w:p>
    <w:p w14:paraId="5EFB2D99">
      <w:pPr>
        <w:spacing w:line="360" w:lineRule="auto"/>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采购项目名称：</w:t>
      </w:r>
      <w:r>
        <w:rPr>
          <w:rFonts w:hint="eastAsia" w:ascii="宋体" w:hAnsi="宋体" w:eastAsia="宋体" w:cs="宋体"/>
          <w:color w:val="auto"/>
          <w:szCs w:val="21"/>
          <w:highlight w:val="none"/>
          <w:u w:val="single"/>
        </w:rPr>
        <w:t xml:space="preserve">                 </w:t>
      </w:r>
    </w:p>
    <w:p w14:paraId="5B6FF719">
      <w:pPr>
        <w:spacing w:line="360" w:lineRule="auto"/>
        <w:contextualSpacing/>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分标号：（没有，则填“无”或“/”）</w:t>
      </w:r>
    </w:p>
    <w:tbl>
      <w:tblPr>
        <w:tblStyle w:val="33"/>
        <w:tblW w:w="5000" w:type="pct"/>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698"/>
        <w:gridCol w:w="1634"/>
        <w:gridCol w:w="2637"/>
        <w:gridCol w:w="2793"/>
        <w:gridCol w:w="1524"/>
      </w:tblGrid>
      <w:tr w14:paraId="4F4FFC5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376" w:type="pct"/>
            <w:tcBorders>
              <w:bottom w:val="single" w:color="auto" w:sz="4" w:space="0"/>
              <w:right w:val="single" w:color="auto" w:sz="4" w:space="0"/>
            </w:tcBorders>
            <w:noWrap w:val="0"/>
            <w:vAlign w:val="center"/>
          </w:tcPr>
          <w:p w14:paraId="3478AFA4">
            <w:pPr>
              <w:pStyle w:val="17"/>
              <w:spacing w:line="360" w:lineRule="auto"/>
              <w:ind w:firstLine="0" w:firstLineChars="0"/>
              <w:contextualSpacing/>
              <w:jc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序号</w:t>
            </w:r>
          </w:p>
        </w:tc>
        <w:tc>
          <w:tcPr>
            <w:tcW w:w="879" w:type="pct"/>
            <w:tcBorders>
              <w:left w:val="single" w:color="auto" w:sz="4" w:space="0"/>
              <w:bottom w:val="single" w:color="auto" w:sz="4" w:space="0"/>
              <w:right w:val="single" w:color="auto" w:sz="4" w:space="0"/>
            </w:tcBorders>
            <w:noWrap w:val="0"/>
            <w:vAlign w:val="center"/>
          </w:tcPr>
          <w:p w14:paraId="64FCFE6C">
            <w:pPr>
              <w:pStyle w:val="17"/>
              <w:spacing w:line="360" w:lineRule="auto"/>
              <w:ind w:firstLine="0" w:firstLineChars="0"/>
              <w:contextualSpacing/>
              <w:jc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标的名称</w:t>
            </w:r>
          </w:p>
        </w:tc>
        <w:tc>
          <w:tcPr>
            <w:tcW w:w="1419" w:type="pct"/>
            <w:tcBorders>
              <w:left w:val="single" w:color="auto" w:sz="4" w:space="0"/>
              <w:bottom w:val="single" w:color="auto" w:sz="4" w:space="0"/>
              <w:right w:val="single" w:color="auto" w:sz="4" w:space="0"/>
            </w:tcBorders>
            <w:noWrap w:val="0"/>
            <w:vAlign w:val="center"/>
          </w:tcPr>
          <w:p w14:paraId="01EC8060">
            <w:pPr>
              <w:pStyle w:val="17"/>
              <w:spacing w:line="360" w:lineRule="auto"/>
              <w:ind w:firstLine="0" w:firstLineChars="0"/>
              <w:contextualSpacing/>
              <w:jc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磋商文件</w:t>
            </w:r>
            <w:r>
              <w:rPr>
                <w:rFonts w:hint="eastAsia" w:ascii="宋体" w:hAnsi="宋体" w:eastAsia="宋体" w:cs="宋体"/>
                <w:color w:val="auto"/>
                <w:kern w:val="2"/>
                <w:sz w:val="21"/>
                <w:szCs w:val="21"/>
                <w:highlight w:val="none"/>
                <w:lang w:val="en-US" w:eastAsia="zh-CN"/>
              </w:rPr>
              <w:t>服务</w:t>
            </w:r>
            <w:r>
              <w:rPr>
                <w:rFonts w:hint="eastAsia" w:ascii="宋体" w:hAnsi="宋体" w:eastAsia="宋体" w:cs="宋体"/>
                <w:color w:val="auto"/>
                <w:kern w:val="2"/>
                <w:sz w:val="21"/>
                <w:szCs w:val="21"/>
                <w:highlight w:val="none"/>
              </w:rPr>
              <w:t>要求</w:t>
            </w:r>
          </w:p>
        </w:tc>
        <w:tc>
          <w:tcPr>
            <w:tcW w:w="1503" w:type="pct"/>
            <w:tcBorders>
              <w:left w:val="single" w:color="auto" w:sz="4" w:space="0"/>
              <w:bottom w:val="single" w:color="auto" w:sz="4" w:space="0"/>
              <w:right w:val="single" w:color="auto" w:sz="4" w:space="0"/>
            </w:tcBorders>
            <w:noWrap w:val="0"/>
            <w:vAlign w:val="center"/>
          </w:tcPr>
          <w:p w14:paraId="2B1B5949">
            <w:pPr>
              <w:pStyle w:val="17"/>
              <w:spacing w:line="360" w:lineRule="auto"/>
              <w:ind w:firstLine="0" w:firstLineChars="0"/>
              <w:contextualSpacing/>
              <w:jc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竞标响应</w:t>
            </w:r>
          </w:p>
        </w:tc>
        <w:tc>
          <w:tcPr>
            <w:tcW w:w="820" w:type="pct"/>
            <w:tcBorders>
              <w:left w:val="single" w:color="auto" w:sz="4" w:space="0"/>
              <w:bottom w:val="single" w:color="auto" w:sz="4" w:space="0"/>
            </w:tcBorders>
            <w:noWrap w:val="0"/>
            <w:vAlign w:val="center"/>
          </w:tcPr>
          <w:p w14:paraId="0E31C7CD">
            <w:pPr>
              <w:pStyle w:val="17"/>
              <w:spacing w:line="360" w:lineRule="auto"/>
              <w:ind w:firstLine="0" w:firstLineChars="0"/>
              <w:contextualSpacing/>
              <w:jc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偏离说明</w:t>
            </w:r>
          </w:p>
        </w:tc>
      </w:tr>
      <w:tr w14:paraId="6723A4C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376" w:type="pct"/>
            <w:tcBorders>
              <w:top w:val="single" w:color="auto" w:sz="4" w:space="0"/>
              <w:bottom w:val="single" w:color="auto" w:sz="4" w:space="0"/>
              <w:right w:val="single" w:color="auto" w:sz="4" w:space="0"/>
            </w:tcBorders>
            <w:noWrap w:val="0"/>
            <w:vAlign w:val="center"/>
          </w:tcPr>
          <w:p w14:paraId="2C80990D">
            <w:pPr>
              <w:pStyle w:val="17"/>
              <w:spacing w:line="360" w:lineRule="auto"/>
              <w:ind w:firstLine="0" w:firstLineChars="0"/>
              <w:contextualSpacing/>
              <w:jc w:val="center"/>
              <w:rPr>
                <w:rFonts w:hint="eastAsia" w:ascii="宋体" w:hAnsi="宋体" w:eastAsia="宋体" w:cs="宋体"/>
                <w:color w:val="auto"/>
                <w:kern w:val="2"/>
                <w:sz w:val="21"/>
                <w:szCs w:val="21"/>
                <w:highlight w:val="none"/>
              </w:rPr>
            </w:pPr>
          </w:p>
        </w:tc>
        <w:tc>
          <w:tcPr>
            <w:tcW w:w="879" w:type="pct"/>
            <w:tcBorders>
              <w:top w:val="single" w:color="auto" w:sz="4" w:space="0"/>
              <w:left w:val="single" w:color="auto" w:sz="4" w:space="0"/>
              <w:bottom w:val="single" w:color="auto" w:sz="4" w:space="0"/>
              <w:right w:val="single" w:color="auto" w:sz="4" w:space="0"/>
            </w:tcBorders>
            <w:noWrap w:val="0"/>
            <w:vAlign w:val="center"/>
          </w:tcPr>
          <w:p w14:paraId="7924BEFF">
            <w:pPr>
              <w:pStyle w:val="17"/>
              <w:spacing w:line="360" w:lineRule="auto"/>
              <w:ind w:firstLine="0" w:firstLineChars="0"/>
              <w:contextualSpacing/>
              <w:jc w:val="center"/>
              <w:rPr>
                <w:rFonts w:hint="eastAsia" w:ascii="宋体" w:hAnsi="宋体" w:eastAsia="宋体" w:cs="宋体"/>
                <w:color w:val="auto"/>
                <w:kern w:val="2"/>
                <w:sz w:val="21"/>
                <w:szCs w:val="21"/>
                <w:highlight w:val="none"/>
              </w:rPr>
            </w:pPr>
          </w:p>
        </w:tc>
        <w:tc>
          <w:tcPr>
            <w:tcW w:w="1419" w:type="pct"/>
            <w:tcBorders>
              <w:top w:val="single" w:color="auto" w:sz="4" w:space="0"/>
              <w:left w:val="single" w:color="auto" w:sz="4" w:space="0"/>
              <w:bottom w:val="single" w:color="auto" w:sz="4" w:space="0"/>
              <w:right w:val="single" w:color="auto" w:sz="4" w:space="0"/>
            </w:tcBorders>
            <w:noWrap w:val="0"/>
            <w:vAlign w:val="center"/>
          </w:tcPr>
          <w:p w14:paraId="1143DDFF">
            <w:pPr>
              <w:pStyle w:val="17"/>
              <w:spacing w:line="360" w:lineRule="auto"/>
              <w:ind w:firstLine="0" w:firstLineChars="0"/>
              <w:contextualSpacing/>
              <w:jc w:val="center"/>
              <w:rPr>
                <w:rFonts w:hint="eastAsia" w:ascii="宋体" w:hAnsi="宋体" w:eastAsia="宋体" w:cs="宋体"/>
                <w:color w:val="auto"/>
                <w:kern w:val="2"/>
                <w:sz w:val="21"/>
                <w:szCs w:val="21"/>
                <w:highlight w:val="none"/>
              </w:rPr>
            </w:pPr>
          </w:p>
        </w:tc>
        <w:tc>
          <w:tcPr>
            <w:tcW w:w="1503" w:type="pct"/>
            <w:tcBorders>
              <w:top w:val="single" w:color="auto" w:sz="4" w:space="0"/>
              <w:left w:val="single" w:color="auto" w:sz="4" w:space="0"/>
              <w:bottom w:val="single" w:color="auto" w:sz="4" w:space="0"/>
              <w:right w:val="single" w:color="auto" w:sz="4" w:space="0"/>
            </w:tcBorders>
            <w:noWrap w:val="0"/>
            <w:vAlign w:val="center"/>
          </w:tcPr>
          <w:p w14:paraId="7FB37239">
            <w:pPr>
              <w:pStyle w:val="17"/>
              <w:spacing w:line="360" w:lineRule="auto"/>
              <w:ind w:firstLine="0" w:firstLineChars="0"/>
              <w:contextualSpacing/>
              <w:jc w:val="center"/>
              <w:rPr>
                <w:rFonts w:hint="eastAsia" w:ascii="宋体" w:hAnsi="宋体" w:eastAsia="宋体" w:cs="宋体"/>
                <w:color w:val="auto"/>
                <w:kern w:val="2"/>
                <w:sz w:val="21"/>
                <w:szCs w:val="21"/>
                <w:highlight w:val="none"/>
              </w:rPr>
            </w:pPr>
          </w:p>
        </w:tc>
        <w:tc>
          <w:tcPr>
            <w:tcW w:w="820" w:type="pct"/>
            <w:tcBorders>
              <w:top w:val="single" w:color="auto" w:sz="4" w:space="0"/>
              <w:left w:val="single" w:color="auto" w:sz="4" w:space="0"/>
              <w:bottom w:val="single" w:color="auto" w:sz="4" w:space="0"/>
            </w:tcBorders>
            <w:noWrap w:val="0"/>
            <w:vAlign w:val="center"/>
          </w:tcPr>
          <w:p w14:paraId="4CB689C9">
            <w:pPr>
              <w:pStyle w:val="17"/>
              <w:spacing w:line="360" w:lineRule="auto"/>
              <w:ind w:firstLine="0" w:firstLineChars="0"/>
              <w:contextualSpacing/>
              <w:jc w:val="center"/>
              <w:rPr>
                <w:rFonts w:hint="eastAsia" w:ascii="宋体" w:hAnsi="宋体" w:eastAsia="宋体" w:cs="宋体"/>
                <w:color w:val="auto"/>
                <w:kern w:val="2"/>
                <w:sz w:val="21"/>
                <w:szCs w:val="21"/>
                <w:highlight w:val="none"/>
              </w:rPr>
            </w:pPr>
          </w:p>
        </w:tc>
      </w:tr>
      <w:tr w14:paraId="504923F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376" w:type="pct"/>
            <w:tcBorders>
              <w:top w:val="single" w:color="auto" w:sz="4" w:space="0"/>
              <w:bottom w:val="single" w:color="auto" w:sz="4" w:space="0"/>
              <w:right w:val="single" w:color="auto" w:sz="4" w:space="0"/>
            </w:tcBorders>
            <w:noWrap w:val="0"/>
            <w:vAlign w:val="center"/>
          </w:tcPr>
          <w:p w14:paraId="436F6CCC">
            <w:pPr>
              <w:pStyle w:val="17"/>
              <w:spacing w:line="360" w:lineRule="auto"/>
              <w:ind w:firstLine="0" w:firstLineChars="0"/>
              <w:contextualSpacing/>
              <w:jc w:val="center"/>
              <w:rPr>
                <w:rFonts w:hint="eastAsia" w:ascii="宋体" w:hAnsi="宋体" w:eastAsia="宋体" w:cs="宋体"/>
                <w:color w:val="auto"/>
                <w:kern w:val="2"/>
                <w:sz w:val="21"/>
                <w:szCs w:val="21"/>
                <w:highlight w:val="none"/>
              </w:rPr>
            </w:pPr>
          </w:p>
        </w:tc>
        <w:tc>
          <w:tcPr>
            <w:tcW w:w="879" w:type="pct"/>
            <w:tcBorders>
              <w:top w:val="single" w:color="auto" w:sz="4" w:space="0"/>
              <w:left w:val="single" w:color="auto" w:sz="4" w:space="0"/>
              <w:bottom w:val="single" w:color="auto" w:sz="4" w:space="0"/>
              <w:right w:val="single" w:color="auto" w:sz="4" w:space="0"/>
            </w:tcBorders>
            <w:noWrap w:val="0"/>
            <w:vAlign w:val="center"/>
          </w:tcPr>
          <w:p w14:paraId="2E34BC24">
            <w:pPr>
              <w:pStyle w:val="17"/>
              <w:spacing w:line="360" w:lineRule="auto"/>
              <w:ind w:firstLine="0" w:firstLineChars="0"/>
              <w:contextualSpacing/>
              <w:jc w:val="center"/>
              <w:rPr>
                <w:rFonts w:hint="eastAsia" w:ascii="宋体" w:hAnsi="宋体" w:eastAsia="宋体" w:cs="宋体"/>
                <w:color w:val="auto"/>
                <w:kern w:val="2"/>
                <w:sz w:val="21"/>
                <w:szCs w:val="21"/>
                <w:highlight w:val="none"/>
              </w:rPr>
            </w:pPr>
          </w:p>
        </w:tc>
        <w:tc>
          <w:tcPr>
            <w:tcW w:w="1419" w:type="pct"/>
            <w:tcBorders>
              <w:top w:val="single" w:color="auto" w:sz="4" w:space="0"/>
              <w:left w:val="single" w:color="auto" w:sz="4" w:space="0"/>
              <w:bottom w:val="single" w:color="auto" w:sz="4" w:space="0"/>
              <w:right w:val="single" w:color="auto" w:sz="4" w:space="0"/>
            </w:tcBorders>
            <w:noWrap w:val="0"/>
            <w:vAlign w:val="center"/>
          </w:tcPr>
          <w:p w14:paraId="24153299">
            <w:pPr>
              <w:pStyle w:val="17"/>
              <w:spacing w:line="360" w:lineRule="auto"/>
              <w:ind w:firstLine="0" w:firstLineChars="0"/>
              <w:contextualSpacing/>
              <w:jc w:val="center"/>
              <w:rPr>
                <w:rFonts w:hint="eastAsia" w:ascii="宋体" w:hAnsi="宋体" w:eastAsia="宋体" w:cs="宋体"/>
                <w:color w:val="auto"/>
                <w:kern w:val="2"/>
                <w:sz w:val="21"/>
                <w:szCs w:val="21"/>
                <w:highlight w:val="none"/>
              </w:rPr>
            </w:pPr>
          </w:p>
        </w:tc>
        <w:tc>
          <w:tcPr>
            <w:tcW w:w="1503" w:type="pct"/>
            <w:tcBorders>
              <w:top w:val="single" w:color="auto" w:sz="4" w:space="0"/>
              <w:left w:val="single" w:color="auto" w:sz="4" w:space="0"/>
              <w:bottom w:val="single" w:color="auto" w:sz="4" w:space="0"/>
              <w:right w:val="single" w:color="auto" w:sz="4" w:space="0"/>
            </w:tcBorders>
            <w:noWrap w:val="0"/>
            <w:vAlign w:val="center"/>
          </w:tcPr>
          <w:p w14:paraId="7AFC6110">
            <w:pPr>
              <w:pStyle w:val="17"/>
              <w:spacing w:line="360" w:lineRule="auto"/>
              <w:ind w:firstLine="0" w:firstLineChars="0"/>
              <w:contextualSpacing/>
              <w:jc w:val="center"/>
              <w:rPr>
                <w:rFonts w:hint="eastAsia" w:ascii="宋体" w:hAnsi="宋体" w:eastAsia="宋体" w:cs="宋体"/>
                <w:color w:val="auto"/>
                <w:kern w:val="2"/>
                <w:sz w:val="21"/>
                <w:szCs w:val="21"/>
                <w:highlight w:val="none"/>
              </w:rPr>
            </w:pPr>
          </w:p>
        </w:tc>
        <w:tc>
          <w:tcPr>
            <w:tcW w:w="820" w:type="pct"/>
            <w:tcBorders>
              <w:top w:val="single" w:color="auto" w:sz="4" w:space="0"/>
              <w:left w:val="single" w:color="auto" w:sz="4" w:space="0"/>
              <w:bottom w:val="single" w:color="auto" w:sz="4" w:space="0"/>
            </w:tcBorders>
            <w:noWrap w:val="0"/>
            <w:vAlign w:val="center"/>
          </w:tcPr>
          <w:p w14:paraId="7406F73E">
            <w:pPr>
              <w:pStyle w:val="17"/>
              <w:spacing w:line="360" w:lineRule="auto"/>
              <w:ind w:firstLine="0" w:firstLineChars="0"/>
              <w:contextualSpacing/>
              <w:jc w:val="center"/>
              <w:rPr>
                <w:rFonts w:hint="eastAsia" w:ascii="宋体" w:hAnsi="宋体" w:eastAsia="宋体" w:cs="宋体"/>
                <w:color w:val="auto"/>
                <w:kern w:val="2"/>
                <w:sz w:val="21"/>
                <w:szCs w:val="21"/>
                <w:highlight w:val="none"/>
              </w:rPr>
            </w:pPr>
          </w:p>
        </w:tc>
      </w:tr>
      <w:tr w14:paraId="4ED99F9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376" w:type="pct"/>
            <w:tcBorders>
              <w:top w:val="single" w:color="auto" w:sz="4" w:space="0"/>
              <w:right w:val="single" w:color="auto" w:sz="4" w:space="0"/>
            </w:tcBorders>
            <w:noWrap w:val="0"/>
            <w:vAlign w:val="center"/>
          </w:tcPr>
          <w:p w14:paraId="275ABD48">
            <w:pPr>
              <w:pStyle w:val="17"/>
              <w:spacing w:line="360" w:lineRule="auto"/>
              <w:ind w:firstLine="0" w:firstLineChars="0"/>
              <w:contextualSpacing/>
              <w:jc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w:t>
            </w:r>
          </w:p>
        </w:tc>
        <w:tc>
          <w:tcPr>
            <w:tcW w:w="879" w:type="pct"/>
            <w:tcBorders>
              <w:top w:val="single" w:color="auto" w:sz="4" w:space="0"/>
              <w:left w:val="single" w:color="auto" w:sz="4" w:space="0"/>
              <w:right w:val="single" w:color="auto" w:sz="4" w:space="0"/>
            </w:tcBorders>
            <w:noWrap w:val="0"/>
            <w:vAlign w:val="center"/>
          </w:tcPr>
          <w:p w14:paraId="63093B1F">
            <w:pPr>
              <w:pStyle w:val="17"/>
              <w:spacing w:line="360" w:lineRule="auto"/>
              <w:ind w:firstLine="0" w:firstLineChars="0"/>
              <w:contextualSpacing/>
              <w:jc w:val="center"/>
              <w:rPr>
                <w:rFonts w:hint="eastAsia" w:ascii="宋体" w:hAnsi="宋体" w:eastAsia="宋体" w:cs="宋体"/>
                <w:color w:val="auto"/>
                <w:kern w:val="2"/>
                <w:sz w:val="21"/>
                <w:szCs w:val="21"/>
                <w:highlight w:val="none"/>
              </w:rPr>
            </w:pPr>
          </w:p>
        </w:tc>
        <w:tc>
          <w:tcPr>
            <w:tcW w:w="1419" w:type="pct"/>
            <w:tcBorders>
              <w:top w:val="single" w:color="auto" w:sz="4" w:space="0"/>
              <w:left w:val="single" w:color="auto" w:sz="4" w:space="0"/>
              <w:right w:val="single" w:color="auto" w:sz="4" w:space="0"/>
            </w:tcBorders>
            <w:noWrap w:val="0"/>
            <w:vAlign w:val="center"/>
          </w:tcPr>
          <w:p w14:paraId="697894F1">
            <w:pPr>
              <w:pStyle w:val="17"/>
              <w:spacing w:line="360" w:lineRule="auto"/>
              <w:ind w:firstLine="0" w:firstLineChars="0"/>
              <w:contextualSpacing/>
              <w:jc w:val="center"/>
              <w:rPr>
                <w:rFonts w:hint="eastAsia" w:ascii="宋体" w:hAnsi="宋体" w:eastAsia="宋体" w:cs="宋体"/>
                <w:color w:val="auto"/>
                <w:kern w:val="2"/>
                <w:sz w:val="21"/>
                <w:szCs w:val="21"/>
                <w:highlight w:val="none"/>
              </w:rPr>
            </w:pPr>
          </w:p>
        </w:tc>
        <w:tc>
          <w:tcPr>
            <w:tcW w:w="1503" w:type="pct"/>
            <w:tcBorders>
              <w:top w:val="single" w:color="auto" w:sz="4" w:space="0"/>
              <w:left w:val="single" w:color="auto" w:sz="4" w:space="0"/>
              <w:right w:val="single" w:color="auto" w:sz="4" w:space="0"/>
            </w:tcBorders>
            <w:noWrap w:val="0"/>
            <w:vAlign w:val="center"/>
          </w:tcPr>
          <w:p w14:paraId="027AE957">
            <w:pPr>
              <w:pStyle w:val="17"/>
              <w:spacing w:line="360" w:lineRule="auto"/>
              <w:ind w:firstLine="0" w:firstLineChars="0"/>
              <w:contextualSpacing/>
              <w:jc w:val="center"/>
              <w:rPr>
                <w:rFonts w:hint="eastAsia" w:ascii="宋体" w:hAnsi="宋体" w:eastAsia="宋体" w:cs="宋体"/>
                <w:color w:val="auto"/>
                <w:kern w:val="2"/>
                <w:sz w:val="21"/>
                <w:szCs w:val="21"/>
                <w:highlight w:val="none"/>
              </w:rPr>
            </w:pPr>
          </w:p>
        </w:tc>
        <w:tc>
          <w:tcPr>
            <w:tcW w:w="820" w:type="pct"/>
            <w:tcBorders>
              <w:top w:val="single" w:color="auto" w:sz="4" w:space="0"/>
              <w:left w:val="single" w:color="auto" w:sz="4" w:space="0"/>
              <w:right w:val="single" w:color="auto" w:sz="4" w:space="0"/>
            </w:tcBorders>
            <w:noWrap w:val="0"/>
            <w:vAlign w:val="center"/>
          </w:tcPr>
          <w:p w14:paraId="364F4702">
            <w:pPr>
              <w:pStyle w:val="17"/>
              <w:spacing w:line="360" w:lineRule="auto"/>
              <w:ind w:firstLine="0" w:firstLineChars="0"/>
              <w:contextualSpacing/>
              <w:jc w:val="center"/>
              <w:rPr>
                <w:rFonts w:hint="eastAsia" w:ascii="宋体" w:hAnsi="宋体" w:eastAsia="宋体" w:cs="宋体"/>
                <w:color w:val="auto"/>
                <w:kern w:val="2"/>
                <w:sz w:val="21"/>
                <w:szCs w:val="21"/>
                <w:highlight w:val="none"/>
              </w:rPr>
            </w:pPr>
          </w:p>
        </w:tc>
      </w:tr>
    </w:tbl>
    <w:p w14:paraId="12502867">
      <w:pPr>
        <w:adjustRightInd w:val="0"/>
        <w:spacing w:line="360" w:lineRule="auto"/>
        <w:contextualSpacing/>
        <w:rPr>
          <w:rFonts w:hint="eastAsia" w:ascii="宋体" w:hAnsi="宋体" w:eastAsia="宋体" w:cs="宋体"/>
          <w:color w:val="auto"/>
          <w:szCs w:val="21"/>
          <w:highlight w:val="none"/>
        </w:rPr>
      </w:pPr>
    </w:p>
    <w:p w14:paraId="1776BED1">
      <w:pPr>
        <w:pStyle w:val="17"/>
        <w:spacing w:line="360" w:lineRule="auto"/>
        <w:ind w:firstLine="0" w:firstLineChars="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w:t>
      </w:r>
    </w:p>
    <w:p w14:paraId="2B3A517C">
      <w:pPr>
        <w:pStyle w:val="17"/>
        <w:spacing w:line="360" w:lineRule="auto"/>
        <w:ind w:firstLine="0" w:firstLineChars="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 说明：应对照磋商文件“第二章 采购需求”中的</w:t>
      </w:r>
      <w:r>
        <w:rPr>
          <w:rFonts w:hint="eastAsia" w:ascii="宋体" w:hAnsi="宋体" w:eastAsia="宋体" w:cs="宋体"/>
          <w:color w:val="auto"/>
          <w:sz w:val="21"/>
          <w:szCs w:val="21"/>
          <w:highlight w:val="none"/>
          <w:lang w:val="en-US" w:eastAsia="zh-CN"/>
        </w:rPr>
        <w:t>服务</w:t>
      </w:r>
      <w:r>
        <w:rPr>
          <w:rFonts w:hint="eastAsia" w:ascii="宋体" w:hAnsi="宋体" w:eastAsia="宋体" w:cs="宋体"/>
          <w:color w:val="auto"/>
          <w:sz w:val="21"/>
          <w:szCs w:val="21"/>
          <w:highlight w:val="none"/>
        </w:rPr>
        <w:t>要求逐条作出明确响应，并作出偏离说明。</w:t>
      </w:r>
    </w:p>
    <w:p w14:paraId="5A42C326">
      <w:pPr>
        <w:pStyle w:val="17"/>
        <w:spacing w:line="360" w:lineRule="auto"/>
        <w:ind w:firstLine="0" w:firstLineChars="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2.供应商应根据自身的承诺，对照磋商文件要求，在“偏离说明”中注明“正偏离”、“负偏离”或者“无偏离”。既不属于“正偏离”也不属于“负偏离”即为“无偏离”。</w:t>
      </w:r>
    </w:p>
    <w:p w14:paraId="20D500F7">
      <w:pPr>
        <w:spacing w:line="360" w:lineRule="auto"/>
        <w:ind w:right="-817" w:rightChars="-389"/>
        <w:contextualSpacing/>
        <w:rPr>
          <w:rFonts w:hint="eastAsia" w:ascii="宋体" w:hAnsi="宋体" w:eastAsia="宋体" w:cs="宋体"/>
          <w:color w:val="auto"/>
          <w:szCs w:val="21"/>
          <w:highlight w:val="none"/>
        </w:rPr>
      </w:pPr>
    </w:p>
    <w:p w14:paraId="4AEB4E57">
      <w:pPr>
        <w:spacing w:line="360" w:lineRule="auto"/>
        <w:ind w:right="-817" w:rightChars="-389" w:firstLine="840" w:firstLineChars="40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法定代表人或者委托代理人（签字或者电子签名）：                    </w:t>
      </w:r>
    </w:p>
    <w:p w14:paraId="3026C972">
      <w:pPr>
        <w:spacing w:line="360" w:lineRule="auto"/>
        <w:ind w:right="-817" w:rightChars="-389" w:firstLine="2310" w:firstLineChars="110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供应商（盖公章）：      </w:t>
      </w:r>
    </w:p>
    <w:p w14:paraId="2D429807">
      <w:pPr>
        <w:spacing w:line="360" w:lineRule="auto"/>
        <w:ind w:right="-817" w:rightChars="-389" w:firstLine="3570" w:firstLineChars="170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日期：   年   月   日</w:t>
      </w:r>
    </w:p>
    <w:p w14:paraId="7F3EEBB2">
      <w:pPr>
        <w:snapToGrid w:val="0"/>
        <w:spacing w:before="156" w:beforeLines="50" w:after="50"/>
        <w:ind w:left="142"/>
        <w:jc w:val="left"/>
        <w:rPr>
          <w:rFonts w:hint="eastAsia" w:ascii="宋体" w:hAnsi="宋体" w:eastAsia="宋体" w:cs="宋体"/>
          <w:b/>
          <w:color w:val="auto"/>
          <w:sz w:val="32"/>
          <w:szCs w:val="32"/>
          <w:highlight w:val="none"/>
        </w:rPr>
      </w:pPr>
      <w:r>
        <w:rPr>
          <w:rFonts w:hint="eastAsia" w:ascii="宋体" w:hAnsi="宋体" w:eastAsia="宋体" w:cs="宋体"/>
          <w:color w:val="auto"/>
          <w:sz w:val="24"/>
          <w:highlight w:val="none"/>
        </w:rPr>
        <w:br w:type="page"/>
      </w:r>
      <w:r>
        <w:rPr>
          <w:rFonts w:hint="eastAsia" w:ascii="宋体" w:hAnsi="宋体" w:eastAsia="宋体" w:cs="宋体"/>
          <w:b/>
          <w:bCs/>
          <w:color w:val="auto"/>
          <w:sz w:val="32"/>
          <w:szCs w:val="32"/>
          <w:highlight w:val="none"/>
        </w:rPr>
        <w:t>四、</w:t>
      </w:r>
      <w:r>
        <w:rPr>
          <w:rFonts w:hint="eastAsia" w:ascii="宋体" w:hAnsi="宋体" w:eastAsia="宋体" w:cs="宋体"/>
          <w:b/>
          <w:color w:val="auto"/>
          <w:sz w:val="32"/>
          <w:szCs w:val="32"/>
          <w:highlight w:val="none"/>
        </w:rPr>
        <w:t>报价文件格式</w:t>
      </w:r>
    </w:p>
    <w:p w14:paraId="5760EABA">
      <w:pPr>
        <w:snapToGrid w:val="0"/>
        <w:spacing w:before="156" w:beforeLines="50" w:after="50" w:line="360" w:lineRule="auto"/>
        <w:jc w:val="left"/>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1.报价文件封面格式</w:t>
      </w:r>
    </w:p>
    <w:p w14:paraId="60361661">
      <w:pPr>
        <w:snapToGrid w:val="0"/>
        <w:spacing w:before="156" w:beforeLines="50" w:after="50"/>
        <w:rPr>
          <w:rFonts w:hint="eastAsia" w:ascii="宋体" w:hAnsi="宋体" w:eastAsia="宋体" w:cs="宋体"/>
          <w:bCs/>
          <w:color w:val="auto"/>
          <w:sz w:val="32"/>
          <w:szCs w:val="20"/>
          <w:highlight w:val="none"/>
        </w:rPr>
      </w:pPr>
      <w:r>
        <w:rPr>
          <w:rFonts w:hint="eastAsia" w:ascii="宋体" w:hAnsi="宋体" w:eastAsia="宋体" w:cs="宋体"/>
          <w:color w:val="auto"/>
          <w:sz w:val="24"/>
          <w:highlight w:val="none"/>
        </w:rPr>
        <w:t xml:space="preserve">                                                   </w:t>
      </w:r>
    </w:p>
    <w:p w14:paraId="59D8E660">
      <w:pPr>
        <w:snapToGrid w:val="0"/>
        <w:spacing w:before="156" w:beforeLines="50" w:after="50"/>
        <w:rPr>
          <w:rFonts w:hint="eastAsia" w:ascii="宋体" w:hAnsi="宋体" w:eastAsia="宋体" w:cs="宋体"/>
          <w:color w:val="auto"/>
          <w:sz w:val="24"/>
          <w:szCs w:val="20"/>
          <w:highlight w:val="none"/>
        </w:rPr>
      </w:pPr>
    </w:p>
    <w:p w14:paraId="4755C8FB">
      <w:pPr>
        <w:snapToGrid w:val="0"/>
        <w:spacing w:before="156" w:beforeLines="50" w:after="50"/>
        <w:jc w:val="center"/>
        <w:rPr>
          <w:rFonts w:hint="eastAsia" w:ascii="宋体" w:hAnsi="宋体" w:eastAsia="宋体" w:cs="宋体"/>
          <w:bCs/>
          <w:color w:val="auto"/>
          <w:sz w:val="84"/>
          <w:szCs w:val="84"/>
          <w:highlight w:val="none"/>
        </w:rPr>
      </w:pPr>
      <w:r>
        <w:rPr>
          <w:rFonts w:hint="eastAsia" w:ascii="宋体" w:hAnsi="宋体" w:eastAsia="宋体" w:cs="宋体"/>
          <w:bCs/>
          <w:color w:val="auto"/>
          <w:sz w:val="84"/>
          <w:szCs w:val="84"/>
          <w:highlight w:val="none"/>
        </w:rPr>
        <w:t>响  应  文  件</w:t>
      </w:r>
    </w:p>
    <w:p w14:paraId="43829EB6">
      <w:pPr>
        <w:snapToGrid w:val="0"/>
        <w:spacing w:before="156" w:beforeLines="50" w:after="50"/>
        <w:jc w:val="center"/>
        <w:rPr>
          <w:rFonts w:hint="eastAsia" w:ascii="宋体" w:hAnsi="宋体" w:eastAsia="宋体" w:cs="宋体"/>
          <w:bCs/>
          <w:color w:val="auto"/>
          <w:sz w:val="32"/>
          <w:szCs w:val="32"/>
          <w:highlight w:val="none"/>
        </w:rPr>
      </w:pPr>
    </w:p>
    <w:p w14:paraId="63EF75CC">
      <w:pPr>
        <w:snapToGrid w:val="0"/>
        <w:spacing w:before="156" w:beforeLines="50" w:after="50"/>
        <w:jc w:val="center"/>
        <w:rPr>
          <w:rFonts w:hint="eastAsia" w:ascii="宋体" w:hAnsi="宋体" w:eastAsia="宋体" w:cs="宋体"/>
          <w:bCs/>
          <w:color w:val="auto"/>
          <w:sz w:val="32"/>
          <w:szCs w:val="32"/>
          <w:highlight w:val="none"/>
        </w:rPr>
      </w:pPr>
    </w:p>
    <w:p w14:paraId="6BA930E3">
      <w:pPr>
        <w:snapToGrid w:val="0"/>
        <w:spacing w:before="156" w:beforeLines="50" w:after="50"/>
        <w:jc w:val="center"/>
        <w:rPr>
          <w:rFonts w:hint="eastAsia" w:ascii="宋体" w:hAnsi="宋体" w:eastAsia="宋体" w:cs="宋体"/>
          <w:bCs/>
          <w:color w:val="auto"/>
          <w:sz w:val="40"/>
          <w:szCs w:val="40"/>
          <w:highlight w:val="none"/>
        </w:rPr>
      </w:pPr>
      <w:r>
        <w:rPr>
          <w:rFonts w:hint="eastAsia" w:ascii="宋体" w:hAnsi="宋体" w:eastAsia="宋体" w:cs="宋体"/>
          <w:bCs/>
          <w:color w:val="auto"/>
          <w:sz w:val="40"/>
          <w:szCs w:val="40"/>
          <w:highlight w:val="none"/>
        </w:rPr>
        <w:t>报价文件</w:t>
      </w:r>
    </w:p>
    <w:p w14:paraId="27076181">
      <w:pPr>
        <w:snapToGrid w:val="0"/>
        <w:spacing w:before="156" w:beforeLines="50" w:after="50"/>
        <w:rPr>
          <w:rFonts w:hint="eastAsia" w:ascii="宋体" w:hAnsi="宋体" w:eastAsia="宋体" w:cs="宋体"/>
          <w:bCs/>
          <w:color w:val="auto"/>
          <w:sz w:val="24"/>
          <w:szCs w:val="20"/>
          <w:highlight w:val="none"/>
        </w:rPr>
      </w:pPr>
    </w:p>
    <w:p w14:paraId="3D93F93F">
      <w:pPr>
        <w:snapToGrid w:val="0"/>
        <w:spacing w:before="156" w:beforeLines="50" w:after="50"/>
        <w:rPr>
          <w:rFonts w:hint="eastAsia" w:ascii="宋体" w:hAnsi="宋体" w:eastAsia="宋体" w:cs="宋体"/>
          <w:bCs/>
          <w:color w:val="auto"/>
          <w:sz w:val="24"/>
          <w:szCs w:val="20"/>
          <w:highlight w:val="none"/>
        </w:rPr>
      </w:pPr>
    </w:p>
    <w:p w14:paraId="4E4AD657">
      <w:pPr>
        <w:snapToGrid w:val="0"/>
        <w:spacing w:before="156" w:beforeLines="50" w:after="50"/>
        <w:rPr>
          <w:rFonts w:hint="eastAsia" w:ascii="宋体" w:hAnsi="宋体" w:eastAsia="宋体" w:cs="宋体"/>
          <w:bCs/>
          <w:color w:val="auto"/>
          <w:sz w:val="24"/>
          <w:szCs w:val="20"/>
          <w:highlight w:val="none"/>
        </w:rPr>
      </w:pPr>
    </w:p>
    <w:p w14:paraId="41151CEB">
      <w:pPr>
        <w:snapToGrid w:val="0"/>
        <w:spacing w:before="156" w:beforeLines="50" w:after="50"/>
        <w:rPr>
          <w:rFonts w:hint="eastAsia" w:ascii="宋体" w:hAnsi="宋体" w:eastAsia="宋体" w:cs="宋体"/>
          <w:bCs/>
          <w:color w:val="auto"/>
          <w:sz w:val="24"/>
          <w:szCs w:val="20"/>
          <w:highlight w:val="none"/>
        </w:rPr>
      </w:pPr>
    </w:p>
    <w:p w14:paraId="00F4D9CF">
      <w:pPr>
        <w:snapToGrid w:val="0"/>
        <w:spacing w:before="156" w:beforeLines="50" w:after="50"/>
        <w:rPr>
          <w:rFonts w:hint="eastAsia" w:ascii="宋体" w:hAnsi="宋体" w:eastAsia="宋体" w:cs="宋体"/>
          <w:bCs/>
          <w:color w:val="auto"/>
          <w:sz w:val="24"/>
          <w:szCs w:val="20"/>
          <w:highlight w:val="none"/>
        </w:rPr>
      </w:pPr>
    </w:p>
    <w:p w14:paraId="517CF752">
      <w:pPr>
        <w:snapToGrid w:val="0"/>
        <w:spacing w:before="156" w:beforeLines="50" w:after="50"/>
        <w:ind w:firstLine="640" w:firstLineChars="200"/>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项目名称：</w:t>
      </w:r>
    </w:p>
    <w:p w14:paraId="3D9DCC7E">
      <w:pPr>
        <w:snapToGrid w:val="0"/>
        <w:spacing w:before="156" w:beforeLines="50" w:after="50"/>
        <w:ind w:firstLine="720" w:firstLineChars="225"/>
        <w:rPr>
          <w:rFonts w:hint="eastAsia" w:ascii="宋体" w:hAnsi="宋体" w:eastAsia="宋体" w:cs="宋体"/>
          <w:bCs/>
          <w:color w:val="auto"/>
          <w:sz w:val="32"/>
          <w:szCs w:val="32"/>
          <w:highlight w:val="none"/>
        </w:rPr>
      </w:pPr>
    </w:p>
    <w:p w14:paraId="30EEA28E">
      <w:pPr>
        <w:snapToGrid w:val="0"/>
        <w:spacing w:before="156" w:beforeLines="50" w:after="50"/>
        <w:ind w:firstLine="640" w:firstLineChars="200"/>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项目编号：</w:t>
      </w:r>
    </w:p>
    <w:p w14:paraId="5083D1FD">
      <w:pPr>
        <w:snapToGrid w:val="0"/>
        <w:spacing w:before="156" w:beforeLines="50" w:after="50"/>
        <w:ind w:firstLine="720" w:firstLineChars="225"/>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 xml:space="preserve"> </w:t>
      </w:r>
    </w:p>
    <w:p w14:paraId="39ED25F8">
      <w:pPr>
        <w:snapToGrid w:val="0"/>
        <w:spacing w:before="156" w:beforeLines="50" w:after="50"/>
        <w:ind w:firstLine="640" w:firstLineChars="200"/>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所竞分标：（没有，则填“无”或“/”）</w:t>
      </w:r>
    </w:p>
    <w:p w14:paraId="1BF2F3E4">
      <w:pPr>
        <w:snapToGrid w:val="0"/>
        <w:spacing w:before="156" w:beforeLines="50" w:after="50"/>
        <w:ind w:firstLine="720" w:firstLineChars="225"/>
        <w:rPr>
          <w:rFonts w:hint="eastAsia" w:ascii="宋体" w:hAnsi="宋体" w:eastAsia="宋体" w:cs="宋体"/>
          <w:bCs/>
          <w:color w:val="auto"/>
          <w:sz w:val="32"/>
          <w:szCs w:val="32"/>
          <w:highlight w:val="none"/>
        </w:rPr>
      </w:pPr>
    </w:p>
    <w:p w14:paraId="02182E13">
      <w:pPr>
        <w:pStyle w:val="7"/>
        <w:snapToGrid w:val="0"/>
        <w:spacing w:before="50" w:after="50"/>
        <w:ind w:firstLine="640" w:firstLineChars="200"/>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供应商名称：</w:t>
      </w:r>
    </w:p>
    <w:p w14:paraId="1D1C071C">
      <w:pPr>
        <w:pStyle w:val="7"/>
        <w:snapToGrid w:val="0"/>
        <w:spacing w:before="50" w:after="50"/>
        <w:ind w:firstLine="720" w:firstLineChars="225"/>
        <w:rPr>
          <w:rFonts w:hint="eastAsia" w:ascii="宋体" w:hAnsi="宋体" w:eastAsia="宋体" w:cs="宋体"/>
          <w:bCs/>
          <w:color w:val="auto"/>
          <w:sz w:val="32"/>
          <w:szCs w:val="32"/>
          <w:highlight w:val="none"/>
        </w:rPr>
      </w:pPr>
    </w:p>
    <w:p w14:paraId="3A7AA7A2">
      <w:pPr>
        <w:pStyle w:val="7"/>
        <w:snapToGrid w:val="0"/>
        <w:spacing w:before="50" w:after="50"/>
        <w:ind w:firstLine="720" w:firstLineChars="225"/>
        <w:rPr>
          <w:rFonts w:hint="eastAsia" w:ascii="宋体" w:hAnsi="宋体" w:eastAsia="宋体" w:cs="宋体"/>
          <w:bCs/>
          <w:color w:val="auto"/>
          <w:sz w:val="32"/>
          <w:szCs w:val="32"/>
          <w:highlight w:val="none"/>
        </w:rPr>
      </w:pPr>
    </w:p>
    <w:p w14:paraId="17E413B7">
      <w:pPr>
        <w:pStyle w:val="7"/>
        <w:snapToGrid w:val="0"/>
        <w:spacing w:before="50" w:after="50"/>
        <w:ind w:firstLine="1280" w:firstLineChars="400"/>
        <w:rPr>
          <w:rFonts w:hint="eastAsia" w:ascii="宋体" w:hAnsi="宋体" w:eastAsia="宋体" w:cs="宋体"/>
          <w:bCs/>
          <w:color w:val="auto"/>
          <w:sz w:val="32"/>
          <w:szCs w:val="32"/>
          <w:highlight w:val="none"/>
        </w:rPr>
      </w:pPr>
    </w:p>
    <w:p w14:paraId="14CFEEEB">
      <w:pPr>
        <w:snapToGrid w:val="0"/>
        <w:spacing w:before="156" w:beforeLines="50" w:after="50"/>
        <w:jc w:val="center"/>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年    月    日</w:t>
      </w:r>
    </w:p>
    <w:p w14:paraId="1CF3AB07">
      <w:pPr>
        <w:snapToGrid w:val="0"/>
        <w:spacing w:before="156" w:beforeLines="50" w:after="50" w:line="360" w:lineRule="auto"/>
        <w:ind w:left="142"/>
        <w:jc w:val="left"/>
        <w:rPr>
          <w:rFonts w:hint="eastAsia" w:ascii="宋体" w:hAnsi="宋体" w:eastAsia="宋体" w:cs="宋体"/>
          <w:b/>
          <w:bCs/>
          <w:color w:val="auto"/>
          <w:sz w:val="24"/>
          <w:highlight w:val="none"/>
        </w:rPr>
      </w:pPr>
      <w:r>
        <w:rPr>
          <w:rFonts w:hint="eastAsia" w:ascii="宋体" w:hAnsi="宋体" w:eastAsia="宋体" w:cs="宋体"/>
          <w:color w:val="auto"/>
          <w:sz w:val="24"/>
          <w:highlight w:val="none"/>
        </w:rPr>
        <w:br w:type="page"/>
      </w:r>
      <w:r>
        <w:rPr>
          <w:rFonts w:hint="eastAsia" w:ascii="宋体" w:hAnsi="宋体" w:eastAsia="宋体" w:cs="宋体"/>
          <w:b/>
          <w:bCs/>
          <w:color w:val="auto"/>
          <w:sz w:val="32"/>
          <w:szCs w:val="32"/>
          <w:highlight w:val="none"/>
        </w:rPr>
        <w:t>2.报价文件目录</w:t>
      </w:r>
    </w:p>
    <w:p w14:paraId="6A66695B">
      <w:pPr>
        <w:snapToGrid w:val="0"/>
        <w:spacing w:before="156" w:beforeLines="50" w:after="50" w:line="360" w:lineRule="auto"/>
        <w:ind w:firstLine="640" w:firstLineChars="2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根据磋商文件规定及供应商提供的材料自行编写目录（部分格式后附）。</w:t>
      </w:r>
    </w:p>
    <w:p w14:paraId="52F925E1">
      <w:pPr>
        <w:spacing w:line="400" w:lineRule="exact"/>
        <w:rPr>
          <w:rFonts w:hint="eastAsia" w:ascii="宋体" w:hAnsi="宋体" w:eastAsia="宋体" w:cs="宋体"/>
          <w:color w:val="auto"/>
          <w:sz w:val="32"/>
          <w:szCs w:val="32"/>
          <w:highlight w:val="none"/>
        </w:rPr>
      </w:pPr>
    </w:p>
    <w:p w14:paraId="57AE5FF7">
      <w:pPr>
        <w:spacing w:line="520" w:lineRule="exact"/>
        <w:jc w:val="center"/>
        <w:rPr>
          <w:rFonts w:hint="eastAsia" w:ascii="宋体" w:hAnsi="宋体" w:eastAsia="宋体" w:cs="宋体"/>
          <w:bCs/>
          <w:color w:val="auto"/>
          <w:sz w:val="32"/>
          <w:szCs w:val="32"/>
          <w:highlight w:val="none"/>
        </w:rPr>
      </w:pPr>
      <w:r>
        <w:rPr>
          <w:rFonts w:hint="eastAsia" w:ascii="宋体" w:hAnsi="宋体" w:eastAsia="宋体" w:cs="宋体"/>
          <w:color w:val="auto"/>
          <w:sz w:val="44"/>
          <w:szCs w:val="44"/>
          <w:highlight w:val="none"/>
        </w:rPr>
        <w:br w:type="page"/>
      </w:r>
      <w:r>
        <w:rPr>
          <w:rFonts w:hint="eastAsia" w:ascii="宋体" w:hAnsi="宋体" w:eastAsia="宋体" w:cs="宋体"/>
          <w:bCs/>
          <w:color w:val="auto"/>
          <w:sz w:val="44"/>
          <w:szCs w:val="44"/>
          <w:highlight w:val="none"/>
        </w:rPr>
        <w:t>竞  标  报  价  表</w:t>
      </w:r>
    </w:p>
    <w:p w14:paraId="0AAD490B">
      <w:pPr>
        <w:spacing w:line="440" w:lineRule="exact"/>
        <w:jc w:val="center"/>
        <w:rPr>
          <w:rFonts w:hint="eastAsia" w:ascii="宋体" w:hAnsi="宋体" w:eastAsia="宋体" w:cs="宋体"/>
          <w:bCs/>
          <w:color w:val="auto"/>
          <w:sz w:val="32"/>
          <w:szCs w:val="32"/>
          <w:highlight w:val="none"/>
        </w:rPr>
      </w:pPr>
    </w:p>
    <w:p w14:paraId="1A2B2562">
      <w:pPr>
        <w:spacing w:line="360" w:lineRule="auto"/>
        <w:contextualSpacing/>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项目名称：</w:t>
      </w:r>
      <w:r>
        <w:rPr>
          <w:rFonts w:hint="eastAsia" w:ascii="宋体" w:hAnsi="宋体" w:eastAsia="宋体" w:cs="宋体"/>
          <w:color w:val="auto"/>
          <w:szCs w:val="21"/>
          <w:highlight w:val="none"/>
          <w:u w:val="single"/>
        </w:rPr>
        <w:t xml:space="preserve">                </w:t>
      </w:r>
    </w:p>
    <w:p w14:paraId="3BDDEDF6">
      <w:pPr>
        <w:spacing w:line="360" w:lineRule="auto"/>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项目编号：</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w:t>
      </w:r>
    </w:p>
    <w:p w14:paraId="020B698C">
      <w:pPr>
        <w:spacing w:line="360" w:lineRule="auto"/>
        <w:contextualSpacing/>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分标：（没有，则填“无”或“/”）</w:t>
      </w:r>
    </w:p>
    <w:p w14:paraId="6B34A09E">
      <w:pPr>
        <w:spacing w:line="360" w:lineRule="auto"/>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供应商名称：</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w:t>
      </w:r>
    </w:p>
    <w:p w14:paraId="171B66B8">
      <w:pPr>
        <w:spacing w:line="360" w:lineRule="auto"/>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rPr>
        <w:t xml:space="preserve">      </w:t>
      </w:r>
      <w:r>
        <w:rPr>
          <w:rFonts w:hint="eastAsia" w:ascii="宋体" w:hAnsi="宋体" w:cs="宋体"/>
          <w:color w:val="auto"/>
          <w:szCs w:val="21"/>
          <w:highlight w:val="none"/>
          <w:lang w:val="en-US" w:eastAsia="zh-CN"/>
        </w:rPr>
        <w:t>单</w:t>
      </w:r>
      <w:r>
        <w:rPr>
          <w:rFonts w:hint="eastAsia" w:ascii="宋体" w:hAnsi="宋体" w:eastAsia="宋体" w:cs="宋体"/>
          <w:bCs/>
          <w:color w:val="auto"/>
          <w:sz w:val="24"/>
          <w:szCs w:val="24"/>
          <w:highlight w:val="none"/>
        </w:rPr>
        <w:t>位：%</w:t>
      </w:r>
    </w:p>
    <w:tbl>
      <w:tblPr>
        <w:tblStyle w:val="33"/>
        <w:tblW w:w="0" w:type="auto"/>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5"/>
        <w:gridCol w:w="2614"/>
        <w:gridCol w:w="898"/>
        <w:gridCol w:w="1530"/>
        <w:gridCol w:w="1935"/>
        <w:gridCol w:w="1433"/>
      </w:tblGrid>
      <w:tr w14:paraId="351ED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685" w:type="dxa"/>
            <w:tcBorders>
              <w:top w:val="single" w:color="auto" w:sz="4" w:space="0"/>
              <w:left w:val="single" w:color="auto" w:sz="4" w:space="0"/>
              <w:bottom w:val="single" w:color="auto" w:sz="4" w:space="0"/>
              <w:right w:val="single" w:color="auto" w:sz="4" w:space="0"/>
            </w:tcBorders>
            <w:noWrap w:val="0"/>
            <w:vAlign w:val="center"/>
          </w:tcPr>
          <w:p w14:paraId="6D43CBE4">
            <w:pPr>
              <w:spacing w:line="360" w:lineRule="auto"/>
              <w:contextualSpacing/>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序号</w:t>
            </w:r>
          </w:p>
        </w:tc>
        <w:tc>
          <w:tcPr>
            <w:tcW w:w="2614" w:type="dxa"/>
            <w:tcBorders>
              <w:top w:val="single" w:color="auto" w:sz="4" w:space="0"/>
              <w:left w:val="single" w:color="auto" w:sz="4" w:space="0"/>
              <w:bottom w:val="single" w:color="auto" w:sz="4" w:space="0"/>
              <w:right w:val="single" w:color="auto" w:sz="4" w:space="0"/>
            </w:tcBorders>
            <w:noWrap w:val="0"/>
            <w:vAlign w:val="center"/>
          </w:tcPr>
          <w:p w14:paraId="646DBC35">
            <w:pPr>
              <w:spacing w:line="360" w:lineRule="auto"/>
              <w:contextualSpacing/>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标的名称</w:t>
            </w:r>
          </w:p>
        </w:tc>
        <w:tc>
          <w:tcPr>
            <w:tcW w:w="898" w:type="dxa"/>
            <w:tcBorders>
              <w:top w:val="single" w:color="auto" w:sz="4" w:space="0"/>
              <w:left w:val="single" w:color="auto" w:sz="4" w:space="0"/>
              <w:bottom w:val="single" w:color="auto" w:sz="4" w:space="0"/>
              <w:right w:val="single" w:color="auto" w:sz="4" w:space="0"/>
            </w:tcBorders>
            <w:noWrap w:val="0"/>
            <w:vAlign w:val="center"/>
          </w:tcPr>
          <w:p w14:paraId="062FB2A7">
            <w:pPr>
              <w:spacing w:line="360" w:lineRule="auto"/>
              <w:contextualSpacing/>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数量</w:t>
            </w:r>
          </w:p>
        </w:tc>
        <w:tc>
          <w:tcPr>
            <w:tcW w:w="1530" w:type="dxa"/>
            <w:tcBorders>
              <w:top w:val="single" w:color="auto" w:sz="4" w:space="0"/>
              <w:left w:val="single" w:color="auto" w:sz="4" w:space="0"/>
              <w:bottom w:val="single" w:color="auto" w:sz="4" w:space="0"/>
              <w:right w:val="single" w:color="auto" w:sz="4" w:space="0"/>
            </w:tcBorders>
            <w:noWrap w:val="0"/>
            <w:vAlign w:val="center"/>
          </w:tcPr>
          <w:p w14:paraId="77C978E3">
            <w:pPr>
              <w:spacing w:line="360" w:lineRule="auto"/>
              <w:contextualSpacing/>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单位</w:t>
            </w:r>
          </w:p>
        </w:tc>
        <w:tc>
          <w:tcPr>
            <w:tcW w:w="1935" w:type="dxa"/>
            <w:tcBorders>
              <w:top w:val="single" w:color="auto" w:sz="4" w:space="0"/>
              <w:left w:val="single" w:color="auto" w:sz="4" w:space="0"/>
              <w:bottom w:val="single" w:color="auto" w:sz="4" w:space="0"/>
              <w:right w:val="single" w:color="auto" w:sz="4" w:space="0"/>
            </w:tcBorders>
            <w:noWrap w:val="0"/>
            <w:vAlign w:val="center"/>
          </w:tcPr>
          <w:p w14:paraId="673A940B">
            <w:pPr>
              <w:spacing w:line="360" w:lineRule="auto"/>
              <w:contextualSpacing/>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浮动率</w:t>
            </w:r>
            <w:r>
              <w:rPr>
                <w:rFonts w:hint="eastAsia" w:ascii="宋体" w:hAnsi="宋体" w:cs="宋体"/>
                <w:color w:val="auto"/>
                <w:szCs w:val="21"/>
                <w:highlight w:val="none"/>
                <w:lang w:val="en-US" w:eastAsia="zh-CN"/>
              </w:rPr>
              <w:t>报价</w:t>
            </w:r>
          </w:p>
        </w:tc>
        <w:tc>
          <w:tcPr>
            <w:tcW w:w="1433" w:type="dxa"/>
            <w:tcBorders>
              <w:top w:val="single" w:color="auto" w:sz="4" w:space="0"/>
              <w:left w:val="single" w:color="auto" w:sz="4" w:space="0"/>
              <w:bottom w:val="single" w:color="auto" w:sz="4" w:space="0"/>
              <w:right w:val="single" w:color="auto" w:sz="4" w:space="0"/>
            </w:tcBorders>
            <w:noWrap w:val="0"/>
            <w:vAlign w:val="center"/>
          </w:tcPr>
          <w:p w14:paraId="0A5FCBB7">
            <w:pPr>
              <w:spacing w:line="360" w:lineRule="auto"/>
              <w:contextualSpacing/>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备注</w:t>
            </w:r>
          </w:p>
        </w:tc>
      </w:tr>
      <w:tr w14:paraId="7CCA3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685" w:type="dxa"/>
            <w:tcBorders>
              <w:top w:val="single" w:color="auto" w:sz="4" w:space="0"/>
              <w:left w:val="single" w:color="auto" w:sz="4" w:space="0"/>
              <w:bottom w:val="single" w:color="auto" w:sz="4" w:space="0"/>
              <w:right w:val="single" w:color="auto" w:sz="4" w:space="0"/>
            </w:tcBorders>
            <w:noWrap w:val="0"/>
            <w:vAlign w:val="center"/>
          </w:tcPr>
          <w:p w14:paraId="62EDE543">
            <w:pPr>
              <w:spacing w:line="360" w:lineRule="auto"/>
              <w:contextualSpacing/>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p>
        </w:tc>
        <w:tc>
          <w:tcPr>
            <w:tcW w:w="2614" w:type="dxa"/>
            <w:tcBorders>
              <w:top w:val="single" w:color="auto" w:sz="4" w:space="0"/>
              <w:left w:val="single" w:color="auto" w:sz="4" w:space="0"/>
              <w:bottom w:val="single" w:color="auto" w:sz="4" w:space="0"/>
              <w:right w:val="single" w:color="auto" w:sz="4" w:space="0"/>
            </w:tcBorders>
            <w:noWrap w:val="0"/>
            <w:vAlign w:val="center"/>
          </w:tcPr>
          <w:p w14:paraId="5BCCD05C">
            <w:pPr>
              <w:spacing w:line="360" w:lineRule="auto"/>
              <w:contextualSpacing/>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食堂鸡蛋供应服务（重2）</w:t>
            </w:r>
          </w:p>
        </w:tc>
        <w:tc>
          <w:tcPr>
            <w:tcW w:w="898" w:type="dxa"/>
            <w:tcBorders>
              <w:top w:val="single" w:color="auto" w:sz="4" w:space="0"/>
              <w:left w:val="single" w:color="auto" w:sz="4" w:space="0"/>
              <w:bottom w:val="single" w:color="auto" w:sz="4" w:space="0"/>
              <w:right w:val="single" w:color="auto" w:sz="4" w:space="0"/>
            </w:tcBorders>
            <w:noWrap w:val="0"/>
            <w:vAlign w:val="center"/>
          </w:tcPr>
          <w:p w14:paraId="0C981411">
            <w:pPr>
              <w:spacing w:line="360" w:lineRule="auto"/>
              <w:contextualSpacing/>
              <w:jc w:val="center"/>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1</w:t>
            </w:r>
          </w:p>
        </w:tc>
        <w:tc>
          <w:tcPr>
            <w:tcW w:w="1530" w:type="dxa"/>
            <w:tcBorders>
              <w:top w:val="single" w:color="auto" w:sz="4" w:space="0"/>
              <w:left w:val="single" w:color="auto" w:sz="4" w:space="0"/>
              <w:bottom w:val="single" w:color="auto" w:sz="4" w:space="0"/>
              <w:right w:val="single" w:color="auto" w:sz="4" w:space="0"/>
            </w:tcBorders>
            <w:noWrap w:val="0"/>
            <w:vAlign w:val="center"/>
          </w:tcPr>
          <w:p w14:paraId="4FCDB866">
            <w:pPr>
              <w:spacing w:line="360" w:lineRule="auto"/>
              <w:contextualSpacing/>
              <w:jc w:val="center"/>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项</w:t>
            </w:r>
          </w:p>
        </w:tc>
        <w:tc>
          <w:tcPr>
            <w:tcW w:w="1935" w:type="dxa"/>
            <w:tcBorders>
              <w:top w:val="single" w:color="auto" w:sz="4" w:space="0"/>
              <w:left w:val="single" w:color="auto" w:sz="4" w:space="0"/>
              <w:bottom w:val="single" w:color="auto" w:sz="4" w:space="0"/>
              <w:right w:val="single" w:color="auto" w:sz="4" w:space="0"/>
            </w:tcBorders>
            <w:noWrap w:val="0"/>
            <w:vAlign w:val="center"/>
          </w:tcPr>
          <w:p w14:paraId="71862CAE">
            <w:pPr>
              <w:spacing w:line="360" w:lineRule="auto"/>
              <w:ind w:firstLine="630" w:firstLineChars="300"/>
              <w:contextualSpacing/>
              <w:jc w:val="both"/>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lang w:val="en-US" w:eastAsia="zh-CN"/>
              </w:rPr>
              <w:t>%</w:t>
            </w:r>
          </w:p>
        </w:tc>
        <w:tc>
          <w:tcPr>
            <w:tcW w:w="1433" w:type="dxa"/>
            <w:tcBorders>
              <w:top w:val="single" w:color="auto" w:sz="4" w:space="0"/>
              <w:left w:val="single" w:color="auto" w:sz="4" w:space="0"/>
              <w:bottom w:val="single" w:color="auto" w:sz="4" w:space="0"/>
              <w:right w:val="single" w:color="auto" w:sz="4" w:space="0"/>
            </w:tcBorders>
            <w:noWrap w:val="0"/>
            <w:vAlign w:val="top"/>
          </w:tcPr>
          <w:p w14:paraId="6AAE3552">
            <w:pPr>
              <w:spacing w:line="360" w:lineRule="auto"/>
              <w:contextualSpacing/>
              <w:rPr>
                <w:rFonts w:hint="eastAsia" w:ascii="宋体" w:hAnsi="宋体" w:eastAsia="宋体" w:cs="宋体"/>
                <w:color w:val="auto"/>
                <w:szCs w:val="21"/>
                <w:highlight w:val="none"/>
              </w:rPr>
            </w:pPr>
          </w:p>
        </w:tc>
      </w:tr>
      <w:tr w14:paraId="74CB4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9095" w:type="dxa"/>
            <w:gridSpan w:val="6"/>
            <w:tcBorders>
              <w:top w:val="single" w:color="auto" w:sz="4" w:space="0"/>
              <w:left w:val="single" w:color="auto" w:sz="4" w:space="0"/>
              <w:bottom w:val="single" w:color="auto" w:sz="4" w:space="0"/>
              <w:right w:val="single" w:color="auto" w:sz="4" w:space="0"/>
            </w:tcBorders>
            <w:noWrap w:val="0"/>
            <w:vAlign w:val="center"/>
          </w:tcPr>
          <w:p w14:paraId="4998DD25">
            <w:pPr>
              <w:spacing w:line="360" w:lineRule="auto"/>
              <w:contextualSpacing/>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合同履约期限：</w:t>
            </w:r>
          </w:p>
        </w:tc>
      </w:tr>
      <w:tr w14:paraId="00BA3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9095" w:type="dxa"/>
            <w:gridSpan w:val="6"/>
            <w:tcBorders>
              <w:top w:val="single" w:color="auto" w:sz="4" w:space="0"/>
              <w:left w:val="single" w:color="auto" w:sz="4" w:space="0"/>
              <w:bottom w:val="single" w:color="auto" w:sz="4" w:space="0"/>
              <w:right w:val="single" w:color="auto" w:sz="4" w:space="0"/>
            </w:tcBorders>
            <w:noWrap w:val="0"/>
            <w:vAlign w:val="center"/>
          </w:tcPr>
          <w:p w14:paraId="613721D0">
            <w:pPr>
              <w:spacing w:line="360" w:lineRule="auto"/>
              <w:contextualSpacing/>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合同总金额：</w:t>
            </w:r>
            <w:r>
              <w:rPr>
                <w:rFonts w:hint="eastAsia" w:ascii="宋体" w:hAnsi="宋体" w:eastAsia="宋体" w:cs="宋体"/>
                <w:color w:val="auto"/>
                <w:sz w:val="21"/>
                <w:szCs w:val="21"/>
                <w:highlight w:val="none"/>
              </w:rPr>
              <w:t>¥</w:t>
            </w:r>
            <w:r>
              <w:rPr>
                <w:rFonts w:hint="eastAsia" w:ascii="宋体" w:hAnsi="宋体" w:cs="宋体"/>
                <w:color w:val="auto"/>
                <w:szCs w:val="21"/>
                <w:highlight w:val="none"/>
                <w:lang w:val="en-US" w:eastAsia="zh-CN"/>
              </w:rPr>
              <w:t>2400000.00元</w:t>
            </w:r>
          </w:p>
        </w:tc>
      </w:tr>
      <w:tr w14:paraId="78910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9095" w:type="dxa"/>
            <w:gridSpan w:val="6"/>
            <w:tcBorders>
              <w:top w:val="single" w:color="auto" w:sz="4" w:space="0"/>
              <w:left w:val="single" w:color="auto" w:sz="4" w:space="0"/>
              <w:bottom w:val="single" w:color="auto" w:sz="4" w:space="0"/>
              <w:right w:val="single" w:color="auto" w:sz="4" w:space="0"/>
            </w:tcBorders>
            <w:noWrap w:val="0"/>
            <w:vAlign w:val="center"/>
          </w:tcPr>
          <w:p w14:paraId="012B2029">
            <w:pPr>
              <w:pStyle w:val="30"/>
              <w:numPr>
                <w:ilvl w:val="0"/>
                <w:numId w:val="0"/>
              </w:numPr>
              <w:ind w:left="0" w:leftChars="0" w:firstLine="0" w:firstLineChars="0"/>
              <w:rPr>
                <w:rFonts w:hint="eastAsia" w:ascii="宋体" w:hAnsi="宋体" w:cs="宋体"/>
                <w:b/>
                <w:bCs/>
                <w:color w:val="auto"/>
                <w:szCs w:val="21"/>
                <w:highlight w:val="none"/>
                <w:lang w:val="en-US" w:eastAsia="zh-CN"/>
              </w:rPr>
            </w:pPr>
            <w:r>
              <w:rPr>
                <w:rFonts w:hint="eastAsia" w:ascii="宋体" w:hAnsi="宋体" w:cs="宋体"/>
                <w:b/>
                <w:bCs/>
                <w:color w:val="auto"/>
                <w:szCs w:val="21"/>
                <w:highlight w:val="none"/>
                <w:lang w:val="en-US" w:eastAsia="zh-CN"/>
              </w:rPr>
              <w:t>备注：</w:t>
            </w:r>
          </w:p>
          <w:p w14:paraId="324B8435">
            <w:pPr>
              <w:pStyle w:val="30"/>
              <w:numPr>
                <w:ilvl w:val="0"/>
                <w:numId w:val="0"/>
              </w:numPr>
              <w:ind w:left="0" w:leftChars="0" w:firstLine="422" w:firstLineChars="200"/>
              <w:rPr>
                <w:rFonts w:hint="eastAsia" w:ascii="宋体" w:hAnsi="宋体" w:cs="宋体"/>
                <w:b/>
                <w:bCs/>
                <w:color w:val="auto"/>
                <w:szCs w:val="21"/>
                <w:highlight w:val="none"/>
                <w:lang w:val="en-US" w:eastAsia="zh-CN"/>
              </w:rPr>
            </w:pPr>
            <w:r>
              <w:rPr>
                <w:rFonts w:hint="eastAsia" w:hAnsi="宋体" w:cs="宋体"/>
                <w:b/>
                <w:bCs/>
                <w:color w:val="auto"/>
                <w:szCs w:val="21"/>
                <w:highlight w:val="none"/>
                <w:lang w:val="en-US" w:eastAsia="zh-CN"/>
              </w:rPr>
              <w:t>1.</w:t>
            </w:r>
            <w:r>
              <w:rPr>
                <w:rFonts w:hint="eastAsia" w:ascii="宋体" w:hAnsi="宋体" w:cs="宋体"/>
                <w:b/>
                <w:bCs/>
                <w:color w:val="auto"/>
                <w:szCs w:val="21"/>
                <w:highlight w:val="none"/>
                <w:lang w:val="en-US" w:eastAsia="zh-CN"/>
              </w:rPr>
              <w:t>本项目报价采用浮动率报价方式，实际供货价=基准价×（1+浮动率X）。</w:t>
            </w:r>
          </w:p>
          <w:p w14:paraId="49E3DFEF">
            <w:pPr>
              <w:pStyle w:val="30"/>
              <w:numPr>
                <w:ilvl w:val="0"/>
                <w:numId w:val="0"/>
              </w:numPr>
              <w:ind w:left="0" w:leftChars="0" w:firstLine="422" w:firstLineChars="200"/>
              <w:rPr>
                <w:rFonts w:hint="default"/>
                <w:color w:val="auto"/>
                <w:highlight w:val="none"/>
                <w:lang w:val="en-US" w:eastAsia="zh-CN"/>
              </w:rPr>
            </w:pPr>
            <w:r>
              <w:rPr>
                <w:rFonts w:hint="eastAsia" w:hAnsi="宋体" w:cs="宋体"/>
                <w:b/>
                <w:bCs/>
                <w:color w:val="auto"/>
                <w:szCs w:val="21"/>
                <w:highlight w:val="none"/>
                <w:lang w:val="en-US" w:eastAsia="zh-CN"/>
              </w:rPr>
              <w:t>2.</w:t>
            </w:r>
            <w:r>
              <w:rPr>
                <w:rFonts w:hint="eastAsia" w:ascii="宋体" w:hAnsi="宋体" w:cs="宋体"/>
                <w:b/>
                <w:bCs/>
                <w:color w:val="auto"/>
                <w:szCs w:val="21"/>
                <w:highlight w:val="none"/>
                <w:lang w:val="en-US" w:eastAsia="zh-CN"/>
              </w:rPr>
              <w:t>有效报价范围为：</w:t>
            </w:r>
            <w:r>
              <w:rPr>
                <w:rFonts w:hint="eastAsia" w:ascii="宋体" w:hAnsi="宋体" w:cs="宋体"/>
                <w:b/>
                <w:bCs/>
                <w:color w:val="auto"/>
                <w:sz w:val="21"/>
                <w:szCs w:val="21"/>
                <w:highlight w:val="none"/>
                <w:u w:val="none"/>
                <w:lang w:val="en-US" w:eastAsia="zh-CN"/>
              </w:rPr>
              <w:t>0≤</w:t>
            </w:r>
            <w:r>
              <w:rPr>
                <w:rFonts w:hint="eastAsia" w:ascii="宋体" w:hAnsi="宋体" w:cs="宋体"/>
                <w:b/>
                <w:bCs/>
                <w:color w:val="auto"/>
                <w:szCs w:val="21"/>
                <w:highlight w:val="none"/>
                <w:lang w:val="en-US" w:eastAsia="zh-CN"/>
              </w:rPr>
              <w:t>浮动率X≤35%</w:t>
            </w:r>
            <w:r>
              <w:rPr>
                <w:rFonts w:hint="eastAsia" w:hAnsi="宋体" w:cs="宋体"/>
                <w:b/>
                <w:bCs/>
                <w:color w:val="auto"/>
                <w:szCs w:val="21"/>
                <w:highlight w:val="none"/>
                <w:lang w:val="en-US" w:eastAsia="zh-CN"/>
              </w:rPr>
              <w:t xml:space="preserve"> 。</w:t>
            </w:r>
          </w:p>
        </w:tc>
      </w:tr>
    </w:tbl>
    <w:p w14:paraId="1C717F54">
      <w:pPr>
        <w:spacing w:line="360" w:lineRule="auto"/>
        <w:contextualSpacing/>
        <w:jc w:val="left"/>
        <w:rPr>
          <w:rFonts w:hint="eastAsia" w:ascii="宋体" w:hAnsi="宋体" w:eastAsia="宋体" w:cs="宋体"/>
          <w:color w:val="auto"/>
          <w:szCs w:val="21"/>
          <w:highlight w:val="none"/>
        </w:rPr>
      </w:pPr>
    </w:p>
    <w:p w14:paraId="6B7C5F94">
      <w:pPr>
        <w:spacing w:line="360" w:lineRule="auto"/>
        <w:contextualSpacing/>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注: </w:t>
      </w:r>
    </w:p>
    <w:p w14:paraId="605B57C2">
      <w:pPr>
        <w:spacing w:line="360" w:lineRule="auto"/>
        <w:ind w:firstLine="420" w:firstLineChars="200"/>
        <w:contextualSpacing/>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1.供应商的报价表必须加盖供应商公章并由法定代表人或者委托代理人签字或者电子签名，</w:t>
      </w:r>
      <w:r>
        <w:rPr>
          <w:rFonts w:hint="eastAsia" w:ascii="宋体" w:hAnsi="宋体" w:eastAsia="宋体" w:cs="宋体"/>
          <w:b/>
          <w:color w:val="auto"/>
          <w:szCs w:val="21"/>
          <w:highlight w:val="none"/>
        </w:rPr>
        <w:t>否则其响应文件按无效响应处理</w:t>
      </w:r>
      <w:r>
        <w:rPr>
          <w:rFonts w:hint="eastAsia" w:ascii="宋体" w:hAnsi="宋体" w:eastAsia="宋体" w:cs="宋体"/>
          <w:color w:val="auto"/>
          <w:szCs w:val="21"/>
          <w:highlight w:val="none"/>
        </w:rPr>
        <w:t>。</w:t>
      </w:r>
    </w:p>
    <w:p w14:paraId="64A77108">
      <w:pPr>
        <w:spacing w:line="360" w:lineRule="auto"/>
        <w:ind w:firstLine="420" w:firstLineChars="200"/>
        <w:contextualSpacing/>
        <w:jc w:val="left"/>
        <w:rPr>
          <w:rFonts w:hint="eastAsia" w:ascii="宋体" w:hAnsi="宋体" w:eastAsia="宋体" w:cs="宋体"/>
          <w:b/>
          <w:color w:val="auto"/>
          <w:szCs w:val="21"/>
          <w:highlight w:val="none"/>
        </w:rPr>
      </w:pPr>
      <w:r>
        <w:rPr>
          <w:rFonts w:hint="eastAsia" w:ascii="宋体" w:hAnsi="宋体" w:eastAsia="宋体" w:cs="宋体"/>
          <w:bCs/>
          <w:color w:val="auto"/>
          <w:szCs w:val="21"/>
          <w:highlight w:val="none"/>
        </w:rPr>
        <w:t>2.</w:t>
      </w:r>
      <w:r>
        <w:rPr>
          <w:rFonts w:hint="eastAsia" w:ascii="宋体" w:hAnsi="宋体" w:eastAsia="宋体" w:cs="宋体"/>
          <w:color w:val="auto"/>
          <w:szCs w:val="21"/>
          <w:highlight w:val="none"/>
        </w:rPr>
        <w:t>报价一经涂改，应在涂改处加盖供应商公章或者由法定代表人或者委托代理人签字或者电子签名</w:t>
      </w:r>
      <w:r>
        <w:rPr>
          <w:rFonts w:hint="eastAsia" w:ascii="宋体" w:hAnsi="宋体" w:eastAsia="宋体" w:cs="宋体"/>
          <w:b/>
          <w:color w:val="auto"/>
          <w:szCs w:val="21"/>
          <w:highlight w:val="none"/>
        </w:rPr>
        <w:t>，否则其响应文件按无效响应处理。</w:t>
      </w:r>
    </w:p>
    <w:p w14:paraId="3F4C7C06">
      <w:pPr>
        <w:spacing w:line="360" w:lineRule="auto"/>
        <w:ind w:right="-817" w:rightChars="-389"/>
        <w:contextualSpacing/>
        <w:rPr>
          <w:rFonts w:hint="eastAsia" w:ascii="宋体" w:hAnsi="宋体" w:eastAsia="宋体" w:cs="宋体"/>
          <w:color w:val="auto"/>
          <w:szCs w:val="21"/>
          <w:highlight w:val="none"/>
        </w:rPr>
      </w:pPr>
    </w:p>
    <w:p w14:paraId="3A598CDF">
      <w:pPr>
        <w:spacing w:line="360" w:lineRule="auto"/>
        <w:ind w:right="-817" w:rightChars="-389" w:firstLine="2310" w:firstLineChars="110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法定代表人或者委托代理人（签字或者电子签名）：                    </w:t>
      </w:r>
    </w:p>
    <w:p w14:paraId="025CE19F">
      <w:pPr>
        <w:spacing w:line="360" w:lineRule="auto"/>
        <w:ind w:right="-817" w:rightChars="-389" w:firstLine="2310" w:firstLineChars="110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供应商（盖公章）：      </w:t>
      </w:r>
    </w:p>
    <w:p w14:paraId="7C0FB3FE">
      <w:pPr>
        <w:spacing w:line="360" w:lineRule="auto"/>
        <w:ind w:right="-817" w:rightChars="-389" w:firstLine="3570" w:firstLineChars="1700"/>
        <w:contextualSpacing/>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日期：   年   月   日</w:t>
      </w:r>
    </w:p>
    <w:p w14:paraId="57F585AE">
      <w:pPr>
        <w:keepNext w:val="0"/>
        <w:keepLines w:val="0"/>
        <w:pageBreakBefore w:val="0"/>
        <w:widowControl w:val="0"/>
        <w:kinsoku/>
        <w:wordWrap/>
        <w:overflowPunct/>
        <w:topLinePunct w:val="0"/>
        <w:autoSpaceDE/>
        <w:autoSpaceDN/>
        <w:bidi w:val="0"/>
        <w:adjustRightInd/>
        <w:snapToGrid/>
        <w:spacing w:line="360" w:lineRule="auto"/>
        <w:jc w:val="left"/>
        <w:textAlignment w:val="auto"/>
        <w:outlineLvl w:val="9"/>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color w:val="auto"/>
          <w:sz w:val="32"/>
          <w:szCs w:val="32"/>
          <w:highlight w:val="none"/>
        </w:rPr>
        <w:br w:type="page"/>
      </w:r>
    </w:p>
    <w:p w14:paraId="120E659C">
      <w:pPr>
        <w:bidi w:val="0"/>
        <w:rPr>
          <w:rFonts w:hint="eastAsia"/>
          <w:lang w:val="en-US" w:eastAsia="zh-CN"/>
        </w:rPr>
      </w:pPr>
      <w:bookmarkStart w:id="38" w:name="_Toc170496365"/>
    </w:p>
    <w:p w14:paraId="579C6D97">
      <w:pPr>
        <w:bidi w:val="0"/>
        <w:rPr>
          <w:rFonts w:hint="eastAsia"/>
          <w:lang w:val="en-US" w:eastAsia="zh-CN"/>
        </w:rPr>
      </w:pPr>
    </w:p>
    <w:p w14:paraId="28A70945">
      <w:pPr>
        <w:bidi w:val="0"/>
        <w:rPr>
          <w:rFonts w:hint="eastAsia"/>
          <w:lang w:val="en-US" w:eastAsia="zh-CN"/>
        </w:rPr>
      </w:pPr>
    </w:p>
    <w:p w14:paraId="3A5D6396">
      <w:pPr>
        <w:bidi w:val="0"/>
        <w:rPr>
          <w:rFonts w:hint="eastAsia"/>
          <w:lang w:val="en-US" w:eastAsia="zh-CN"/>
        </w:rPr>
      </w:pPr>
    </w:p>
    <w:p w14:paraId="4EAC652B">
      <w:pPr>
        <w:bidi w:val="0"/>
        <w:rPr>
          <w:rFonts w:hint="eastAsia"/>
          <w:lang w:val="en-US" w:eastAsia="zh-CN"/>
        </w:rPr>
      </w:pPr>
    </w:p>
    <w:p w14:paraId="4D11F2B8">
      <w:pPr>
        <w:bidi w:val="0"/>
        <w:rPr>
          <w:rFonts w:hint="eastAsia"/>
          <w:lang w:val="en-US" w:eastAsia="zh-CN"/>
        </w:rPr>
      </w:pPr>
    </w:p>
    <w:p w14:paraId="6F279F42">
      <w:pPr>
        <w:bidi w:val="0"/>
        <w:rPr>
          <w:rFonts w:hint="eastAsia"/>
          <w:lang w:val="en-US" w:eastAsia="zh-CN"/>
        </w:rPr>
      </w:pPr>
    </w:p>
    <w:p w14:paraId="6043A8C4">
      <w:pPr>
        <w:bidi w:val="0"/>
        <w:rPr>
          <w:rFonts w:hint="eastAsia"/>
          <w:lang w:val="en-US" w:eastAsia="zh-CN"/>
        </w:rPr>
      </w:pPr>
    </w:p>
    <w:p w14:paraId="21DBEFD5">
      <w:pPr>
        <w:bidi w:val="0"/>
        <w:rPr>
          <w:rFonts w:hint="eastAsia"/>
          <w:lang w:val="en-US" w:eastAsia="zh-CN"/>
        </w:rPr>
      </w:pPr>
    </w:p>
    <w:p w14:paraId="2DBEBC7D">
      <w:pPr>
        <w:bidi w:val="0"/>
        <w:rPr>
          <w:rFonts w:hint="eastAsia"/>
          <w:lang w:val="en-US" w:eastAsia="zh-CN"/>
        </w:rPr>
      </w:pPr>
    </w:p>
    <w:p w14:paraId="31946A2B">
      <w:pPr>
        <w:jc w:val="center"/>
        <w:outlineLvl w:val="0"/>
        <w:rPr>
          <w:rFonts w:hint="eastAsia" w:ascii="Times New Roman" w:hAnsi="Times New Roman" w:eastAsia="宋体" w:cs="Times New Roman"/>
          <w:b/>
          <w:bCs/>
          <w:color w:val="auto"/>
          <w:kern w:val="44"/>
          <w:sz w:val="44"/>
          <w:szCs w:val="44"/>
          <w:highlight w:val="none"/>
          <w:lang w:val="en-US" w:eastAsia="zh-CN" w:bidi="ar-SA"/>
        </w:rPr>
      </w:pPr>
      <w:r>
        <w:rPr>
          <w:rFonts w:hint="eastAsia" w:ascii="Times New Roman" w:hAnsi="Times New Roman" w:eastAsia="宋体" w:cs="Times New Roman"/>
          <w:b/>
          <w:bCs/>
          <w:color w:val="auto"/>
          <w:kern w:val="44"/>
          <w:sz w:val="44"/>
          <w:szCs w:val="44"/>
          <w:highlight w:val="none"/>
          <w:lang w:val="en-US" w:eastAsia="zh-CN" w:bidi="ar-SA"/>
        </w:rPr>
        <w:t>第六章 合同文本</w:t>
      </w:r>
      <w:bookmarkEnd w:id="38"/>
    </w:p>
    <w:p w14:paraId="2EA98DEC">
      <w:pPr>
        <w:snapToGrid w:val="0"/>
        <w:spacing w:line="400" w:lineRule="exact"/>
        <w:jc w:val="center"/>
        <w:rPr>
          <w:rFonts w:hint="eastAsia" w:ascii="宋体" w:hAnsi="宋体" w:eastAsia="宋体" w:cs="宋体"/>
          <w:color w:val="auto"/>
          <w:sz w:val="21"/>
          <w:szCs w:val="21"/>
          <w:highlight w:val="none"/>
        </w:rPr>
      </w:pPr>
    </w:p>
    <w:p w14:paraId="112EBC01">
      <w:pPr>
        <w:spacing w:line="360" w:lineRule="auto"/>
        <w:rPr>
          <w:rFonts w:hint="eastAsia" w:ascii="宋体" w:hAnsi="宋体" w:cs="宋体"/>
          <w:sz w:val="24"/>
          <w:highlight w:val="none"/>
          <w:u w:val="single"/>
        </w:rPr>
      </w:pPr>
      <w:r>
        <w:rPr>
          <w:rFonts w:hint="eastAsia" w:ascii="宋体" w:hAnsi="宋体" w:eastAsia="宋体" w:cs="宋体"/>
          <w:b/>
          <w:bCs/>
          <w:color w:val="auto"/>
          <w:sz w:val="21"/>
          <w:szCs w:val="21"/>
          <w:highlight w:val="none"/>
        </w:rPr>
        <w:br w:type="page"/>
      </w:r>
      <w:r>
        <w:rPr>
          <w:rFonts w:hint="eastAsia" w:ascii="宋体" w:hAnsi="宋体" w:cs="宋体"/>
          <w:sz w:val="24"/>
          <w:highlight w:val="none"/>
        </w:rPr>
        <w:t>“政采云”平台合同编号：</w:t>
      </w:r>
      <w:r>
        <w:rPr>
          <w:rFonts w:hint="eastAsia" w:ascii="宋体" w:hAnsi="宋体" w:cs="宋体"/>
          <w:sz w:val="24"/>
          <w:highlight w:val="none"/>
          <w:u w:val="single"/>
        </w:rPr>
        <w:t xml:space="preserve">           </w:t>
      </w:r>
    </w:p>
    <w:p w14:paraId="3C62191A">
      <w:pPr>
        <w:spacing w:line="360" w:lineRule="auto"/>
        <w:jc w:val="center"/>
        <w:rPr>
          <w:rFonts w:hint="eastAsia" w:ascii="宋体" w:hAnsi="宋体" w:cs="宋体"/>
          <w:b/>
          <w:bCs/>
          <w:sz w:val="52"/>
          <w:highlight w:val="none"/>
        </w:rPr>
      </w:pPr>
    </w:p>
    <w:p w14:paraId="50339D94">
      <w:pPr>
        <w:spacing w:line="360" w:lineRule="auto"/>
        <w:jc w:val="center"/>
        <w:rPr>
          <w:rFonts w:hint="eastAsia" w:ascii="宋体" w:hAnsi="宋体" w:cs="宋体"/>
          <w:b/>
          <w:bCs/>
          <w:sz w:val="52"/>
          <w:highlight w:val="none"/>
        </w:rPr>
      </w:pPr>
    </w:p>
    <w:p w14:paraId="350F3EF4">
      <w:pPr>
        <w:spacing w:line="360" w:lineRule="auto"/>
        <w:ind w:firstLine="420" w:firstLineChars="200"/>
        <w:rPr>
          <w:rFonts w:hint="eastAsia" w:ascii="宋体" w:hAnsi="宋体" w:cs="宋体"/>
          <w:highlight w:val="none"/>
        </w:rPr>
      </w:pPr>
    </w:p>
    <w:p w14:paraId="0B31F168">
      <w:pPr>
        <w:spacing w:line="360" w:lineRule="auto"/>
        <w:ind w:firstLine="420" w:firstLineChars="200"/>
        <w:rPr>
          <w:rFonts w:hint="eastAsia" w:ascii="宋体" w:hAnsi="宋体" w:cs="宋体"/>
          <w:highlight w:val="none"/>
        </w:rPr>
      </w:pPr>
      <w:r>
        <w:rPr>
          <w:rFonts w:hint="eastAsia" w:ascii="宋体" w:hAnsi="宋体" w:cs="宋体"/>
          <w:highlight w:val="none"/>
        </w:rPr>
        <w:t xml:space="preserve">                                                 </w:t>
      </w:r>
    </w:p>
    <w:p w14:paraId="5E473E35">
      <w:pPr>
        <w:spacing w:line="240" w:lineRule="auto"/>
        <w:jc w:val="center"/>
        <w:outlineLvl w:val="9"/>
        <w:rPr>
          <w:rFonts w:hint="eastAsia" w:ascii="宋体" w:hAnsi="宋体" w:cs="宋体"/>
          <w:b/>
          <w:bCs/>
          <w:sz w:val="32"/>
          <w:szCs w:val="32"/>
          <w:highlight w:val="none"/>
        </w:rPr>
      </w:pPr>
      <w:r>
        <w:rPr>
          <w:rFonts w:hint="eastAsia" w:ascii="宋体" w:hAnsi="宋体" w:cs="宋体"/>
          <w:b/>
          <w:bCs/>
          <w:sz w:val="32"/>
          <w:szCs w:val="32"/>
          <w:highlight w:val="none"/>
          <w:u w:val="single"/>
          <w:lang w:eastAsia="zh-CN"/>
        </w:rPr>
        <w:t xml:space="preserve">  </w:t>
      </w:r>
      <w:r>
        <w:rPr>
          <w:rFonts w:hint="eastAsia" w:ascii="宋体" w:hAnsi="宋体" w:cs="宋体"/>
          <w:b/>
          <w:bCs/>
          <w:sz w:val="32"/>
          <w:szCs w:val="32"/>
          <w:highlight w:val="none"/>
          <w:u w:val="single"/>
          <w:lang w:val="en-US" w:eastAsia="zh-CN"/>
        </w:rPr>
        <w:t>食堂鸡蛋供应服务（重2）</w:t>
      </w:r>
      <w:r>
        <w:rPr>
          <w:rFonts w:hint="eastAsia" w:ascii="宋体" w:hAnsi="宋体" w:cs="宋体"/>
          <w:b/>
          <w:bCs/>
          <w:sz w:val="32"/>
          <w:szCs w:val="32"/>
          <w:highlight w:val="none"/>
          <w:u w:val="single"/>
        </w:rPr>
        <w:t xml:space="preserve"> </w:t>
      </w:r>
      <w:r>
        <w:rPr>
          <w:rFonts w:hint="eastAsia" w:ascii="宋体" w:hAnsi="宋体" w:cs="宋体"/>
          <w:b/>
          <w:bCs/>
          <w:sz w:val="32"/>
          <w:szCs w:val="32"/>
          <w:highlight w:val="none"/>
        </w:rPr>
        <w:t>合同</w:t>
      </w:r>
    </w:p>
    <w:p w14:paraId="01898DB7">
      <w:pPr>
        <w:spacing w:line="360" w:lineRule="auto"/>
        <w:jc w:val="center"/>
        <w:rPr>
          <w:rFonts w:hint="eastAsia" w:ascii="宋体" w:hAnsi="宋体" w:cs="宋体"/>
          <w:b/>
          <w:bCs/>
          <w:sz w:val="44"/>
          <w:highlight w:val="none"/>
        </w:rPr>
      </w:pPr>
    </w:p>
    <w:p w14:paraId="02D512A7">
      <w:pPr>
        <w:spacing w:line="360" w:lineRule="auto"/>
        <w:jc w:val="center"/>
        <w:rPr>
          <w:rFonts w:hint="eastAsia" w:ascii="宋体" w:hAnsi="宋体" w:cs="宋体"/>
          <w:b/>
          <w:bCs/>
          <w:sz w:val="44"/>
          <w:highlight w:val="none"/>
        </w:rPr>
      </w:pPr>
    </w:p>
    <w:p w14:paraId="2A13A1F5">
      <w:pPr>
        <w:spacing w:line="360" w:lineRule="auto"/>
        <w:ind w:firstLine="3507" w:firstLineChars="794"/>
        <w:rPr>
          <w:rFonts w:hint="eastAsia" w:ascii="宋体" w:hAnsi="宋体" w:cs="宋体"/>
          <w:b/>
          <w:bCs/>
          <w:sz w:val="44"/>
          <w:highlight w:val="none"/>
        </w:rPr>
      </w:pPr>
    </w:p>
    <w:p w14:paraId="1CD53F22">
      <w:pPr>
        <w:spacing w:line="360" w:lineRule="auto"/>
        <w:ind w:firstLine="3507" w:firstLineChars="794"/>
        <w:rPr>
          <w:rFonts w:hint="eastAsia" w:ascii="宋体" w:hAnsi="宋体" w:cs="宋体"/>
          <w:b/>
          <w:bCs/>
          <w:sz w:val="44"/>
          <w:highlight w:val="none"/>
        </w:rPr>
      </w:pPr>
    </w:p>
    <w:p w14:paraId="0FCE9F21">
      <w:pPr>
        <w:ind w:firstLine="1155" w:firstLineChars="411"/>
        <w:outlineLvl w:val="9"/>
        <w:rPr>
          <w:rFonts w:hint="eastAsia" w:ascii="宋体" w:hAnsi="宋体" w:cs="宋体"/>
          <w:b/>
          <w:sz w:val="28"/>
          <w:szCs w:val="28"/>
          <w:highlight w:val="none"/>
        </w:rPr>
      </w:pPr>
      <w:r>
        <w:rPr>
          <w:rFonts w:hint="eastAsia" w:ascii="宋体" w:hAnsi="宋体" w:cs="宋体"/>
          <w:b/>
          <w:sz w:val="28"/>
          <w:szCs w:val="28"/>
          <w:highlight w:val="none"/>
        </w:rPr>
        <w:t>项目编号：</w:t>
      </w:r>
      <w:r>
        <w:rPr>
          <w:rFonts w:hint="eastAsia" w:ascii="宋体" w:hAnsi="宋体" w:cs="宋体"/>
          <w:b/>
          <w:sz w:val="28"/>
          <w:szCs w:val="28"/>
          <w:highlight w:val="none"/>
          <w:u w:val="single"/>
        </w:rPr>
        <w:t xml:space="preserve"> </w:t>
      </w:r>
      <w:r>
        <w:rPr>
          <w:rFonts w:hint="eastAsia" w:ascii="宋体" w:hAnsi="宋体" w:cs="宋体"/>
          <w:b/>
          <w:sz w:val="28"/>
          <w:szCs w:val="28"/>
          <w:highlight w:val="none"/>
          <w:u w:val="single"/>
          <w:lang w:eastAsia="zh-CN"/>
        </w:rPr>
        <w:t xml:space="preserve">  </w:t>
      </w:r>
      <w:r>
        <w:rPr>
          <w:rFonts w:hint="eastAsia" w:ascii="宋体" w:hAnsi="宋体" w:cs="宋体"/>
          <w:b/>
          <w:sz w:val="28"/>
          <w:szCs w:val="28"/>
          <w:highlight w:val="none"/>
          <w:u w:val="single"/>
          <w:lang w:val="en-US" w:eastAsia="zh-CN"/>
        </w:rPr>
        <w:t xml:space="preserve"> </w:t>
      </w:r>
    </w:p>
    <w:p w14:paraId="7B6182AC">
      <w:pPr>
        <w:ind w:firstLine="1124" w:firstLineChars="400"/>
        <w:outlineLvl w:val="9"/>
        <w:rPr>
          <w:rFonts w:hint="eastAsia" w:ascii="宋体" w:hAnsi="宋体" w:cs="宋体"/>
          <w:b/>
          <w:sz w:val="28"/>
          <w:szCs w:val="28"/>
          <w:highlight w:val="none"/>
          <w:u w:val="single"/>
          <w:lang w:val="en-US" w:eastAsia="zh-CN"/>
        </w:rPr>
      </w:pPr>
      <w:r>
        <w:rPr>
          <w:rFonts w:hint="eastAsia" w:ascii="宋体" w:hAnsi="宋体" w:cs="宋体"/>
          <w:b/>
          <w:sz w:val="28"/>
          <w:szCs w:val="28"/>
          <w:highlight w:val="none"/>
        </w:rPr>
        <w:t>计划编号：</w:t>
      </w:r>
      <w:r>
        <w:rPr>
          <w:rFonts w:hint="eastAsia" w:ascii="宋体" w:hAnsi="宋体" w:cs="宋体"/>
          <w:b/>
          <w:sz w:val="28"/>
          <w:szCs w:val="28"/>
          <w:highlight w:val="none"/>
          <w:u w:val="single"/>
        </w:rPr>
        <w:t xml:space="preserve"> </w:t>
      </w:r>
      <w:r>
        <w:rPr>
          <w:rFonts w:hint="eastAsia" w:ascii="宋体" w:hAnsi="宋体" w:cs="宋体"/>
          <w:b/>
          <w:sz w:val="28"/>
          <w:szCs w:val="28"/>
          <w:highlight w:val="none"/>
          <w:u w:val="single"/>
          <w:lang w:val="en-US" w:eastAsia="zh-CN"/>
        </w:rPr>
        <w:t xml:space="preserve">  </w:t>
      </w:r>
    </w:p>
    <w:p w14:paraId="62D30E7C">
      <w:pPr>
        <w:pStyle w:val="84"/>
        <w:ind w:left="0" w:firstLine="840" w:firstLineChars="400"/>
        <w:rPr>
          <w:rFonts w:hint="default"/>
          <w:highlight w:val="none"/>
          <w:lang w:val="en-US"/>
        </w:rPr>
      </w:pPr>
    </w:p>
    <w:p w14:paraId="2894B71E">
      <w:pPr>
        <w:ind w:firstLine="1485" w:firstLineChars="411"/>
        <w:rPr>
          <w:rFonts w:hint="eastAsia" w:ascii="宋体" w:hAnsi="宋体" w:cs="宋体"/>
          <w:b/>
          <w:sz w:val="36"/>
          <w:szCs w:val="36"/>
          <w:highlight w:val="none"/>
          <w:u w:val="single"/>
        </w:rPr>
      </w:pPr>
    </w:p>
    <w:p w14:paraId="37CF6783">
      <w:pPr>
        <w:spacing w:line="240" w:lineRule="auto"/>
        <w:ind w:firstLine="1485" w:firstLineChars="411"/>
        <w:outlineLvl w:val="9"/>
        <w:rPr>
          <w:rFonts w:hint="eastAsia" w:ascii="宋体" w:hAnsi="宋体" w:cs="宋体"/>
          <w:b/>
          <w:sz w:val="36"/>
          <w:szCs w:val="36"/>
          <w:highlight w:val="none"/>
          <w:u w:val="single"/>
        </w:rPr>
      </w:pPr>
      <w:r>
        <w:rPr>
          <w:rFonts w:hint="eastAsia" w:ascii="宋体" w:hAnsi="宋体" w:cs="宋体"/>
          <w:b/>
          <w:sz w:val="36"/>
          <w:szCs w:val="36"/>
          <w:highlight w:val="none"/>
        </w:rPr>
        <w:t>采购人：</w:t>
      </w:r>
      <w:r>
        <w:rPr>
          <w:rFonts w:hint="eastAsia" w:ascii="宋体" w:hAnsi="宋体" w:cs="宋体"/>
          <w:b/>
          <w:sz w:val="36"/>
          <w:szCs w:val="36"/>
          <w:highlight w:val="none"/>
          <w:u w:val="single"/>
        </w:rPr>
        <w:t xml:space="preserve"> </w:t>
      </w:r>
      <w:r>
        <w:rPr>
          <w:rFonts w:hint="eastAsia" w:ascii="宋体" w:hAnsi="宋体" w:cs="宋体"/>
          <w:b/>
          <w:sz w:val="36"/>
          <w:szCs w:val="36"/>
          <w:highlight w:val="none"/>
          <w:u w:val="single"/>
          <w:lang w:eastAsia="zh-CN"/>
        </w:rPr>
        <w:t>广西医科大学第一附属医院</w:t>
      </w:r>
      <w:r>
        <w:rPr>
          <w:rFonts w:hint="eastAsia" w:ascii="宋体" w:hAnsi="宋体" w:cs="宋体"/>
          <w:b/>
          <w:sz w:val="36"/>
          <w:szCs w:val="36"/>
          <w:highlight w:val="none"/>
          <w:u w:val="single"/>
        </w:rPr>
        <w:t xml:space="preserve">  </w:t>
      </w:r>
    </w:p>
    <w:p w14:paraId="0968CFF1">
      <w:pPr>
        <w:spacing w:line="240" w:lineRule="auto"/>
        <w:ind w:firstLine="1485" w:firstLineChars="411"/>
        <w:outlineLvl w:val="9"/>
        <w:rPr>
          <w:rFonts w:hint="eastAsia" w:ascii="宋体" w:hAnsi="宋体" w:cs="宋体"/>
          <w:b/>
          <w:bCs/>
          <w:sz w:val="44"/>
          <w:highlight w:val="none"/>
        </w:rPr>
      </w:pPr>
      <w:r>
        <w:rPr>
          <w:rFonts w:hint="eastAsia" w:ascii="宋体" w:hAnsi="宋体" w:cs="宋体"/>
          <w:b/>
          <w:sz w:val="36"/>
          <w:szCs w:val="36"/>
          <w:highlight w:val="none"/>
          <w:lang w:eastAsia="zh-CN"/>
        </w:rPr>
        <w:t>成交供应商</w:t>
      </w:r>
      <w:r>
        <w:rPr>
          <w:rFonts w:hint="eastAsia" w:ascii="宋体" w:hAnsi="宋体" w:cs="宋体"/>
          <w:b/>
          <w:sz w:val="36"/>
          <w:szCs w:val="36"/>
          <w:highlight w:val="none"/>
        </w:rPr>
        <w:t>：</w:t>
      </w:r>
      <w:r>
        <w:rPr>
          <w:rFonts w:hint="eastAsia" w:ascii="宋体" w:hAnsi="宋体" w:cs="宋体"/>
          <w:b/>
          <w:sz w:val="36"/>
          <w:szCs w:val="36"/>
          <w:highlight w:val="none"/>
          <w:u w:val="single"/>
        </w:rPr>
        <w:t xml:space="preserve">         </w:t>
      </w:r>
      <w:r>
        <w:rPr>
          <w:rFonts w:hint="eastAsia" w:ascii="宋体" w:hAnsi="宋体" w:cs="宋体"/>
          <w:b/>
          <w:sz w:val="36"/>
          <w:szCs w:val="36"/>
          <w:highlight w:val="none"/>
          <w:u w:val="single"/>
          <w:lang w:val="en-US" w:eastAsia="zh-CN"/>
        </w:rPr>
        <w:t xml:space="preserve">    </w:t>
      </w:r>
      <w:r>
        <w:rPr>
          <w:rFonts w:hint="eastAsia" w:ascii="宋体" w:hAnsi="宋体" w:cs="宋体"/>
          <w:b/>
          <w:sz w:val="36"/>
          <w:szCs w:val="36"/>
          <w:highlight w:val="none"/>
          <w:u w:val="single"/>
        </w:rPr>
        <w:t xml:space="preserve">          </w:t>
      </w:r>
    </w:p>
    <w:p w14:paraId="2776A5D6">
      <w:pPr>
        <w:tabs>
          <w:tab w:val="left" w:pos="7380"/>
        </w:tabs>
        <w:spacing w:line="360" w:lineRule="auto"/>
        <w:rPr>
          <w:rFonts w:hint="eastAsia" w:ascii="宋体" w:hAnsi="宋体" w:cs="宋体"/>
          <w:b/>
          <w:bCs/>
          <w:sz w:val="44"/>
          <w:highlight w:val="none"/>
        </w:rPr>
      </w:pPr>
    </w:p>
    <w:p w14:paraId="3ECE4E65">
      <w:pPr>
        <w:spacing w:before="120" w:line="360" w:lineRule="auto"/>
        <w:rPr>
          <w:rFonts w:hint="eastAsia" w:ascii="宋体" w:hAnsi="宋体" w:cs="宋体"/>
          <w:sz w:val="24"/>
          <w:highlight w:val="none"/>
        </w:rPr>
      </w:pPr>
    </w:p>
    <w:p w14:paraId="31E62058">
      <w:pPr>
        <w:spacing w:before="120" w:line="360" w:lineRule="auto"/>
        <w:ind w:firstLine="1446" w:firstLineChars="400"/>
        <w:rPr>
          <w:rFonts w:hint="eastAsia" w:ascii="宋体" w:hAnsi="宋体" w:cs="宋体"/>
          <w:b/>
          <w:bCs/>
          <w:sz w:val="36"/>
          <w:szCs w:val="36"/>
          <w:highlight w:val="none"/>
        </w:rPr>
      </w:pPr>
      <w:r>
        <w:rPr>
          <w:rFonts w:hint="eastAsia" w:ascii="宋体" w:hAnsi="宋体" w:cs="宋体"/>
          <w:b/>
          <w:bCs/>
          <w:sz w:val="36"/>
          <w:szCs w:val="36"/>
          <w:highlight w:val="none"/>
        </w:rPr>
        <w:t>签订日期：</w:t>
      </w:r>
      <w:r>
        <w:rPr>
          <w:rFonts w:hint="eastAsia" w:ascii="宋体" w:hAnsi="宋体" w:cs="宋体"/>
          <w:b/>
          <w:bCs/>
          <w:sz w:val="36"/>
          <w:szCs w:val="36"/>
          <w:highlight w:val="none"/>
          <w:u w:val="single"/>
        </w:rPr>
        <w:t xml:space="preserve">       </w:t>
      </w:r>
      <w:r>
        <w:rPr>
          <w:rFonts w:hint="eastAsia" w:ascii="宋体" w:hAnsi="宋体" w:cs="宋体"/>
          <w:b/>
          <w:bCs/>
          <w:sz w:val="36"/>
          <w:szCs w:val="36"/>
          <w:highlight w:val="none"/>
        </w:rPr>
        <w:t>年</w:t>
      </w:r>
      <w:r>
        <w:rPr>
          <w:rFonts w:hint="eastAsia" w:ascii="宋体" w:hAnsi="宋体" w:cs="宋体"/>
          <w:b/>
          <w:bCs/>
          <w:sz w:val="36"/>
          <w:szCs w:val="36"/>
          <w:highlight w:val="none"/>
          <w:u w:val="single"/>
        </w:rPr>
        <w:t xml:space="preserve">      </w:t>
      </w:r>
      <w:r>
        <w:rPr>
          <w:rFonts w:hint="eastAsia" w:ascii="宋体" w:hAnsi="宋体" w:cs="宋体"/>
          <w:b/>
          <w:bCs/>
          <w:sz w:val="36"/>
          <w:szCs w:val="36"/>
          <w:highlight w:val="none"/>
        </w:rPr>
        <w:t>月</w:t>
      </w:r>
      <w:r>
        <w:rPr>
          <w:rFonts w:hint="eastAsia" w:ascii="宋体" w:hAnsi="宋体" w:cs="宋体"/>
          <w:b/>
          <w:bCs/>
          <w:sz w:val="36"/>
          <w:szCs w:val="36"/>
          <w:highlight w:val="none"/>
          <w:u w:val="single"/>
        </w:rPr>
        <w:t xml:space="preserve">     </w:t>
      </w:r>
      <w:r>
        <w:rPr>
          <w:rFonts w:hint="eastAsia" w:ascii="宋体" w:hAnsi="宋体" w:cs="宋体"/>
          <w:b/>
          <w:bCs/>
          <w:sz w:val="36"/>
          <w:szCs w:val="36"/>
          <w:highlight w:val="none"/>
        </w:rPr>
        <w:t>日</w:t>
      </w:r>
    </w:p>
    <w:p w14:paraId="5B1603DD">
      <w:pPr>
        <w:spacing w:line="320" w:lineRule="exact"/>
        <w:outlineLvl w:val="9"/>
        <w:rPr>
          <w:rFonts w:hint="eastAsia" w:ascii="宋体" w:hAnsi="宋体" w:cs="宋体"/>
          <w:bCs/>
          <w:szCs w:val="21"/>
          <w:highlight w:val="none"/>
        </w:rPr>
      </w:pPr>
      <w:r>
        <w:rPr>
          <w:rFonts w:hint="eastAsia" w:ascii="宋体" w:hAnsi="宋体" w:cs="宋体"/>
          <w:b/>
          <w:bCs/>
          <w:sz w:val="44"/>
          <w:highlight w:val="none"/>
        </w:rPr>
        <w:br w:type="page"/>
      </w:r>
      <w:r>
        <w:rPr>
          <w:rFonts w:hint="eastAsia" w:ascii="宋体" w:hAnsi="宋体" w:cs="宋体"/>
          <w:b/>
          <w:sz w:val="21"/>
          <w:szCs w:val="21"/>
          <w:highlight w:val="none"/>
        </w:rPr>
        <w:t>说明：</w:t>
      </w:r>
    </w:p>
    <w:p w14:paraId="4412B2E2">
      <w:pPr>
        <w:spacing w:line="320" w:lineRule="exact"/>
        <w:ind w:firstLine="422" w:firstLineChars="200"/>
        <w:rPr>
          <w:rFonts w:hint="eastAsia" w:ascii="宋体" w:hAnsi="宋体" w:cs="宋体"/>
          <w:b/>
          <w:sz w:val="21"/>
          <w:szCs w:val="21"/>
          <w:highlight w:val="none"/>
        </w:rPr>
      </w:pPr>
      <w:r>
        <w:rPr>
          <w:rFonts w:hint="eastAsia" w:ascii="宋体" w:hAnsi="宋体" w:cs="宋体"/>
          <w:b/>
          <w:sz w:val="21"/>
          <w:szCs w:val="21"/>
          <w:highlight w:val="none"/>
        </w:rPr>
        <w:t>1、本合同是本次采购项目</w:t>
      </w:r>
      <w:r>
        <w:rPr>
          <w:rFonts w:hint="eastAsia" w:ascii="宋体" w:hAnsi="宋体" w:cs="宋体"/>
          <w:b/>
          <w:sz w:val="21"/>
          <w:szCs w:val="21"/>
          <w:highlight w:val="none"/>
          <w:lang w:eastAsia="zh-CN"/>
        </w:rPr>
        <w:t>采购文件</w:t>
      </w:r>
      <w:r>
        <w:rPr>
          <w:rFonts w:hint="eastAsia" w:ascii="宋体" w:hAnsi="宋体" w:cs="宋体"/>
          <w:b/>
          <w:sz w:val="21"/>
          <w:szCs w:val="21"/>
          <w:highlight w:val="none"/>
        </w:rPr>
        <w:t>的组成部分，</w:t>
      </w:r>
      <w:r>
        <w:rPr>
          <w:rFonts w:hint="eastAsia" w:ascii="宋体" w:hAnsi="宋体" w:cs="宋体"/>
          <w:b/>
          <w:sz w:val="21"/>
          <w:szCs w:val="21"/>
          <w:highlight w:val="none"/>
          <w:lang w:eastAsia="zh-CN"/>
        </w:rPr>
        <w:t>成交供应商</w:t>
      </w:r>
      <w:r>
        <w:rPr>
          <w:rFonts w:hint="eastAsia" w:ascii="宋体" w:hAnsi="宋体" w:cs="宋体"/>
          <w:b/>
          <w:sz w:val="21"/>
          <w:szCs w:val="21"/>
          <w:highlight w:val="none"/>
        </w:rPr>
        <w:t>提交响应文件的行为，即视为其已全面阅读、理解并认同本合同全部条款</w:t>
      </w:r>
      <w:r>
        <w:rPr>
          <w:rFonts w:hint="eastAsia" w:ascii="宋体" w:hAnsi="宋体" w:cs="宋体"/>
          <w:b/>
          <w:sz w:val="21"/>
          <w:szCs w:val="21"/>
          <w:highlight w:val="none"/>
          <w:lang w:eastAsia="zh-CN"/>
        </w:rPr>
        <w:t>。</w:t>
      </w:r>
    </w:p>
    <w:p w14:paraId="2DF933ED">
      <w:pPr>
        <w:snapToGrid w:val="0"/>
        <w:spacing w:line="400" w:lineRule="exact"/>
        <w:jc w:val="both"/>
        <w:rPr>
          <w:rFonts w:hint="eastAsia" w:ascii="宋体" w:hAnsi="宋体" w:cs="宋体"/>
          <w:bCs/>
          <w:highlight w:val="none"/>
        </w:rPr>
      </w:pPr>
    </w:p>
    <w:p w14:paraId="38638499">
      <w:pPr>
        <w:spacing w:line="600" w:lineRule="exact"/>
        <w:jc w:val="center"/>
        <w:rPr>
          <w:rFonts w:ascii="宋体" w:hAnsi="宋体" w:eastAsia="宋体"/>
          <w:sz w:val="44"/>
          <w:szCs w:val="44"/>
        </w:rPr>
      </w:pPr>
      <w:r>
        <w:rPr>
          <w:rFonts w:hint="eastAsia" w:ascii="宋体" w:hAnsi="宋体" w:eastAsia="宋体"/>
          <w:sz w:val="44"/>
          <w:szCs w:val="44"/>
        </w:rPr>
        <w:t>合同文本</w:t>
      </w:r>
    </w:p>
    <w:p w14:paraId="6FB0DBB9">
      <w:pPr>
        <w:spacing w:line="600" w:lineRule="exact"/>
        <w:jc w:val="center"/>
        <w:rPr>
          <w:rFonts w:ascii="宋体" w:hAnsi="宋体" w:eastAsia="宋体"/>
          <w:sz w:val="44"/>
          <w:szCs w:val="44"/>
        </w:rPr>
      </w:pPr>
      <w:r>
        <w:rPr>
          <w:rFonts w:hint="eastAsia" w:ascii="宋体" w:hAnsi="宋体" w:eastAsia="宋体"/>
          <w:sz w:val="44"/>
          <w:szCs w:val="44"/>
        </w:rPr>
        <w:t xml:space="preserve"> </w:t>
      </w:r>
    </w:p>
    <w:p w14:paraId="16400AF2">
      <w:pPr>
        <w:tabs>
          <w:tab w:val="left" w:pos="720"/>
        </w:tabs>
        <w:spacing w:line="360" w:lineRule="auto"/>
        <w:jc w:val="left"/>
        <w:rPr>
          <w:rFonts w:ascii="宋体" w:hAnsi="宋体" w:eastAsia="宋体"/>
          <w:bCs/>
          <w:sz w:val="24"/>
          <w:szCs w:val="24"/>
        </w:rPr>
      </w:pPr>
      <w:r>
        <w:rPr>
          <w:rFonts w:hint="eastAsia" w:ascii="宋体" w:hAnsi="宋体" w:eastAsia="宋体"/>
          <w:bCs/>
          <w:sz w:val="24"/>
          <w:szCs w:val="24"/>
        </w:rPr>
        <w:t xml:space="preserve">合同名称： </w:t>
      </w:r>
    </w:p>
    <w:p w14:paraId="50E09D99">
      <w:pPr>
        <w:tabs>
          <w:tab w:val="left" w:pos="720"/>
        </w:tabs>
        <w:spacing w:line="360" w:lineRule="auto"/>
        <w:jc w:val="left"/>
        <w:rPr>
          <w:rFonts w:ascii="宋体" w:hAnsi="宋体" w:eastAsia="宋体"/>
          <w:bCs/>
          <w:sz w:val="24"/>
          <w:szCs w:val="24"/>
        </w:rPr>
      </w:pPr>
      <w:r>
        <w:rPr>
          <w:rFonts w:hint="eastAsia" w:ascii="宋体" w:hAnsi="宋体" w:eastAsia="宋体"/>
          <w:bCs/>
          <w:sz w:val="24"/>
          <w:szCs w:val="24"/>
        </w:rPr>
        <w:t xml:space="preserve">合同编号：                          </w:t>
      </w:r>
    </w:p>
    <w:p w14:paraId="44A4EE02">
      <w:pPr>
        <w:tabs>
          <w:tab w:val="left" w:pos="720"/>
        </w:tabs>
        <w:spacing w:line="360" w:lineRule="auto"/>
        <w:rPr>
          <w:rFonts w:ascii="宋体" w:hAnsi="宋体" w:eastAsia="宋体"/>
          <w:bCs/>
          <w:sz w:val="24"/>
          <w:szCs w:val="24"/>
        </w:rPr>
      </w:pPr>
      <w:r>
        <w:rPr>
          <w:rFonts w:hint="eastAsia" w:ascii="宋体" w:hAnsi="宋体" w:eastAsia="宋体"/>
          <w:bCs/>
          <w:sz w:val="24"/>
          <w:szCs w:val="24"/>
        </w:rPr>
        <w:t>甲方（采购方）：广西医科大学第一附属医院</w:t>
      </w:r>
    </w:p>
    <w:p w14:paraId="4C38DBC0">
      <w:pPr>
        <w:tabs>
          <w:tab w:val="left" w:pos="720"/>
        </w:tabs>
        <w:spacing w:line="360" w:lineRule="auto"/>
        <w:rPr>
          <w:rFonts w:ascii="宋体" w:hAnsi="宋体" w:eastAsia="宋体"/>
          <w:bCs/>
          <w:sz w:val="24"/>
          <w:szCs w:val="24"/>
        </w:rPr>
      </w:pPr>
      <w:r>
        <w:rPr>
          <w:rFonts w:hint="eastAsia" w:ascii="宋体" w:hAnsi="宋体" w:eastAsia="宋体"/>
          <w:bCs/>
          <w:sz w:val="24"/>
          <w:szCs w:val="24"/>
        </w:rPr>
        <w:t>乙方（供应方）：</w:t>
      </w:r>
    </w:p>
    <w:p w14:paraId="6578801A">
      <w:pPr>
        <w:tabs>
          <w:tab w:val="left" w:pos="720"/>
        </w:tabs>
        <w:spacing w:line="360" w:lineRule="auto"/>
        <w:rPr>
          <w:rFonts w:ascii="宋体" w:hAnsi="宋体" w:eastAsia="宋体"/>
          <w:b/>
          <w:sz w:val="24"/>
          <w:szCs w:val="24"/>
        </w:rPr>
      </w:pPr>
      <w:r>
        <w:rPr>
          <w:rFonts w:hint="eastAsia" w:ascii="宋体" w:hAnsi="宋体" w:eastAsia="宋体"/>
          <w:bCs/>
          <w:sz w:val="24"/>
          <w:szCs w:val="24"/>
        </w:rPr>
        <w:t>签订地点：                            签订时间：</w:t>
      </w:r>
      <w:r>
        <w:rPr>
          <w:rFonts w:hint="eastAsia" w:ascii="宋体" w:hAnsi="宋体" w:eastAsia="宋体"/>
          <w:kern w:val="0"/>
          <w:u w:val="single"/>
        </w:rPr>
        <w:t xml:space="preserve">      </w:t>
      </w:r>
      <w:r>
        <w:rPr>
          <w:rFonts w:hint="eastAsia" w:ascii="宋体" w:hAnsi="宋体" w:eastAsia="宋体"/>
          <w:kern w:val="0"/>
        </w:rPr>
        <w:t>年</w:t>
      </w:r>
      <w:r>
        <w:rPr>
          <w:rFonts w:hint="eastAsia" w:ascii="宋体" w:hAnsi="宋体" w:eastAsia="宋体"/>
          <w:kern w:val="0"/>
          <w:u w:val="single"/>
        </w:rPr>
        <w:t xml:space="preserve">      </w:t>
      </w:r>
      <w:r>
        <w:rPr>
          <w:rFonts w:hint="eastAsia" w:ascii="宋体" w:hAnsi="宋体" w:eastAsia="宋体"/>
          <w:kern w:val="0"/>
        </w:rPr>
        <w:t>月</w:t>
      </w:r>
      <w:r>
        <w:rPr>
          <w:rFonts w:hint="eastAsia" w:ascii="宋体" w:hAnsi="宋体" w:eastAsia="宋体"/>
          <w:kern w:val="0"/>
          <w:u w:val="single"/>
        </w:rPr>
        <w:t xml:space="preserve">      </w:t>
      </w:r>
      <w:r>
        <w:rPr>
          <w:rFonts w:hint="eastAsia" w:ascii="宋体" w:hAnsi="宋体" w:eastAsia="宋体"/>
          <w:kern w:val="0"/>
        </w:rPr>
        <w:t>日</w:t>
      </w:r>
    </w:p>
    <w:p w14:paraId="7C10E609">
      <w:pPr>
        <w:spacing w:line="360" w:lineRule="auto"/>
        <w:rPr>
          <w:rFonts w:ascii="宋体" w:hAnsi="宋体" w:eastAsia="宋体"/>
          <w:sz w:val="24"/>
          <w:szCs w:val="24"/>
        </w:rPr>
      </w:pPr>
      <w:r>
        <w:rPr>
          <w:rFonts w:hint="eastAsia" w:ascii="宋体" w:hAnsi="宋体" w:eastAsia="宋体"/>
          <w:sz w:val="24"/>
          <w:szCs w:val="24"/>
        </w:rPr>
        <w:t xml:space="preserve">                                                </w:t>
      </w:r>
    </w:p>
    <w:p w14:paraId="4B58523B">
      <w:pPr>
        <w:tabs>
          <w:tab w:val="left" w:pos="720"/>
        </w:tabs>
        <w:spacing w:line="360" w:lineRule="auto"/>
        <w:ind w:firstLine="480" w:firstLineChars="200"/>
        <w:rPr>
          <w:rFonts w:ascii="宋体" w:hAnsi="宋体" w:eastAsia="宋体"/>
          <w:sz w:val="24"/>
          <w:szCs w:val="24"/>
        </w:rPr>
      </w:pPr>
      <w:r>
        <w:rPr>
          <w:rFonts w:hint="eastAsia" w:ascii="宋体" w:hAnsi="宋体" w:eastAsia="宋体"/>
          <w:sz w:val="24"/>
          <w:szCs w:val="24"/>
        </w:rPr>
        <w:t>根据《中华人民共和国民法典》、《中华人民共和国政府采购法》及广西壮族自治区关于政府采购的相关文件等规范性文件的规定，按照</w:t>
      </w:r>
      <w:r>
        <w:rPr>
          <w:rFonts w:hint="eastAsia" w:ascii="宋体" w:hAnsi="宋体" w:eastAsia="宋体"/>
          <w:sz w:val="24"/>
          <w:szCs w:val="24"/>
          <w:lang w:eastAsia="zh-CN"/>
        </w:rPr>
        <w:t>采购文件</w:t>
      </w:r>
      <w:r>
        <w:rPr>
          <w:rFonts w:hint="eastAsia" w:ascii="宋体" w:hAnsi="宋体" w:eastAsia="宋体"/>
          <w:sz w:val="24"/>
          <w:szCs w:val="24"/>
        </w:rPr>
        <w:t>规定条款和</w:t>
      </w:r>
      <w:r>
        <w:rPr>
          <w:rFonts w:hint="eastAsia" w:ascii="宋体" w:hAnsi="宋体" w:eastAsia="宋体"/>
          <w:sz w:val="24"/>
          <w:szCs w:val="24"/>
          <w:lang w:eastAsia="zh-CN"/>
        </w:rPr>
        <w:t>成交供应商</w:t>
      </w:r>
      <w:r>
        <w:rPr>
          <w:rFonts w:hint="eastAsia" w:ascii="宋体" w:hAnsi="宋体" w:eastAsia="宋体"/>
          <w:sz w:val="24"/>
          <w:szCs w:val="24"/>
        </w:rPr>
        <w:t>承诺，甲乙双方签订本合同。</w:t>
      </w:r>
    </w:p>
    <w:p w14:paraId="32DAD83B">
      <w:pPr>
        <w:tabs>
          <w:tab w:val="left" w:pos="720"/>
        </w:tabs>
        <w:spacing w:line="360" w:lineRule="auto"/>
        <w:ind w:firstLine="482" w:firstLineChars="200"/>
        <w:rPr>
          <w:rFonts w:ascii="宋体" w:hAnsi="宋体" w:eastAsia="宋体"/>
          <w:b/>
          <w:bCs/>
          <w:sz w:val="24"/>
          <w:szCs w:val="24"/>
        </w:rPr>
      </w:pPr>
      <w:r>
        <w:rPr>
          <w:rFonts w:hint="eastAsia" w:ascii="宋体" w:hAnsi="宋体" w:eastAsia="宋体"/>
          <w:b/>
          <w:bCs/>
          <w:sz w:val="24"/>
          <w:szCs w:val="24"/>
        </w:rPr>
        <w:t>第一条　合同标的</w:t>
      </w:r>
      <w:r>
        <w:rPr>
          <w:rFonts w:hint="eastAsia" w:ascii="宋体" w:hAnsi="宋体" w:eastAsia="宋体"/>
          <w:b/>
          <w:bCs/>
          <w:sz w:val="24"/>
          <w:szCs w:val="24"/>
        </w:rPr>
        <w:tab/>
      </w:r>
    </w:p>
    <w:p w14:paraId="518CF242">
      <w:pPr>
        <w:tabs>
          <w:tab w:val="left" w:pos="720"/>
        </w:tabs>
        <w:spacing w:line="360" w:lineRule="auto"/>
        <w:ind w:firstLine="480" w:firstLineChars="200"/>
        <w:rPr>
          <w:rFonts w:ascii="宋体" w:hAnsi="宋体" w:eastAsia="宋体"/>
          <w:sz w:val="24"/>
          <w:szCs w:val="24"/>
        </w:rPr>
      </w:pPr>
      <w:r>
        <w:rPr>
          <w:rFonts w:hint="eastAsia" w:ascii="宋体" w:hAnsi="宋体" w:eastAsia="宋体"/>
          <w:sz w:val="24"/>
          <w:szCs w:val="24"/>
        </w:rPr>
        <w:t>1</w:t>
      </w:r>
      <w:r>
        <w:rPr>
          <w:rFonts w:hint="eastAsia" w:ascii="宋体" w:hAnsi="宋体"/>
          <w:sz w:val="24"/>
          <w:szCs w:val="24"/>
          <w:lang w:val="en-US" w:eastAsia="zh-CN"/>
        </w:rPr>
        <w:t>.</w:t>
      </w:r>
      <w:r>
        <w:rPr>
          <w:rFonts w:hint="eastAsia" w:ascii="宋体" w:hAnsi="宋体" w:eastAsia="宋体"/>
          <w:sz w:val="24"/>
          <w:szCs w:val="24"/>
        </w:rPr>
        <w:t>项目一览表</w:t>
      </w:r>
    </w:p>
    <w:tbl>
      <w:tblPr>
        <w:tblStyle w:val="33"/>
        <w:tblW w:w="0" w:type="auto"/>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5"/>
        <w:gridCol w:w="2614"/>
        <w:gridCol w:w="1139"/>
        <w:gridCol w:w="1289"/>
        <w:gridCol w:w="1935"/>
        <w:gridCol w:w="1433"/>
      </w:tblGrid>
      <w:tr w14:paraId="3865C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7" w:hRule="atLeast"/>
          <w:jc w:val="right"/>
        </w:trPr>
        <w:tc>
          <w:tcPr>
            <w:tcW w:w="685" w:type="dxa"/>
            <w:tcBorders>
              <w:top w:val="single" w:color="auto" w:sz="4" w:space="0"/>
              <w:left w:val="single" w:color="auto" w:sz="4" w:space="0"/>
              <w:bottom w:val="single" w:color="auto" w:sz="4" w:space="0"/>
              <w:right w:val="single" w:color="auto" w:sz="4" w:space="0"/>
            </w:tcBorders>
            <w:noWrap w:val="0"/>
            <w:vAlign w:val="center"/>
          </w:tcPr>
          <w:p w14:paraId="1C5B8D54">
            <w:pPr>
              <w:spacing w:line="360" w:lineRule="auto"/>
              <w:contextualSpacing/>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序号</w:t>
            </w:r>
          </w:p>
        </w:tc>
        <w:tc>
          <w:tcPr>
            <w:tcW w:w="2614" w:type="dxa"/>
            <w:tcBorders>
              <w:top w:val="single" w:color="auto" w:sz="4" w:space="0"/>
              <w:left w:val="single" w:color="auto" w:sz="4" w:space="0"/>
              <w:bottom w:val="single" w:color="auto" w:sz="4" w:space="0"/>
              <w:right w:val="single" w:color="auto" w:sz="4" w:space="0"/>
            </w:tcBorders>
            <w:noWrap w:val="0"/>
            <w:vAlign w:val="center"/>
          </w:tcPr>
          <w:p w14:paraId="4A13F756">
            <w:pPr>
              <w:spacing w:line="360" w:lineRule="auto"/>
              <w:contextualSpacing/>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标的名称</w:t>
            </w:r>
          </w:p>
        </w:tc>
        <w:tc>
          <w:tcPr>
            <w:tcW w:w="1139" w:type="dxa"/>
            <w:tcBorders>
              <w:top w:val="single" w:color="auto" w:sz="4" w:space="0"/>
              <w:left w:val="single" w:color="auto" w:sz="4" w:space="0"/>
              <w:bottom w:val="single" w:color="auto" w:sz="4" w:space="0"/>
              <w:right w:val="single" w:color="auto" w:sz="4" w:space="0"/>
            </w:tcBorders>
            <w:noWrap w:val="0"/>
            <w:vAlign w:val="center"/>
          </w:tcPr>
          <w:p w14:paraId="56AAB67E">
            <w:pPr>
              <w:spacing w:line="360" w:lineRule="auto"/>
              <w:contextualSpacing/>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数量</w:t>
            </w:r>
          </w:p>
        </w:tc>
        <w:tc>
          <w:tcPr>
            <w:tcW w:w="1289" w:type="dxa"/>
            <w:tcBorders>
              <w:top w:val="single" w:color="auto" w:sz="4" w:space="0"/>
              <w:left w:val="single" w:color="auto" w:sz="4" w:space="0"/>
              <w:bottom w:val="single" w:color="auto" w:sz="4" w:space="0"/>
              <w:right w:val="single" w:color="auto" w:sz="4" w:space="0"/>
            </w:tcBorders>
            <w:noWrap w:val="0"/>
            <w:vAlign w:val="center"/>
          </w:tcPr>
          <w:p w14:paraId="5626A17B">
            <w:pPr>
              <w:spacing w:line="360" w:lineRule="auto"/>
              <w:contextualSpacing/>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单位</w:t>
            </w:r>
          </w:p>
        </w:tc>
        <w:tc>
          <w:tcPr>
            <w:tcW w:w="1935" w:type="dxa"/>
            <w:tcBorders>
              <w:top w:val="single" w:color="auto" w:sz="4" w:space="0"/>
              <w:left w:val="single" w:color="auto" w:sz="4" w:space="0"/>
              <w:bottom w:val="single" w:color="auto" w:sz="4" w:space="0"/>
              <w:right w:val="single" w:color="auto" w:sz="4" w:space="0"/>
            </w:tcBorders>
            <w:noWrap w:val="0"/>
            <w:vAlign w:val="center"/>
          </w:tcPr>
          <w:p w14:paraId="23AC0104">
            <w:pPr>
              <w:spacing w:line="360" w:lineRule="auto"/>
              <w:contextualSpacing/>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浮动率</w:t>
            </w:r>
            <w:r>
              <w:rPr>
                <w:rFonts w:hint="eastAsia" w:ascii="宋体" w:hAnsi="宋体" w:cs="宋体"/>
                <w:color w:val="auto"/>
                <w:szCs w:val="21"/>
                <w:highlight w:val="none"/>
                <w:lang w:val="en-US" w:eastAsia="zh-CN"/>
              </w:rPr>
              <w:t>报价</w:t>
            </w:r>
          </w:p>
        </w:tc>
        <w:tc>
          <w:tcPr>
            <w:tcW w:w="1433" w:type="dxa"/>
            <w:tcBorders>
              <w:top w:val="single" w:color="auto" w:sz="4" w:space="0"/>
              <w:left w:val="single" w:color="auto" w:sz="4" w:space="0"/>
              <w:bottom w:val="single" w:color="auto" w:sz="4" w:space="0"/>
              <w:right w:val="single" w:color="auto" w:sz="4" w:space="0"/>
            </w:tcBorders>
            <w:noWrap w:val="0"/>
            <w:vAlign w:val="center"/>
          </w:tcPr>
          <w:p w14:paraId="63E0A5D5">
            <w:pPr>
              <w:spacing w:line="360" w:lineRule="auto"/>
              <w:contextualSpacing/>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备注</w:t>
            </w:r>
          </w:p>
        </w:tc>
      </w:tr>
      <w:tr w14:paraId="07820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685" w:type="dxa"/>
            <w:tcBorders>
              <w:top w:val="single" w:color="auto" w:sz="4" w:space="0"/>
              <w:left w:val="single" w:color="auto" w:sz="4" w:space="0"/>
              <w:bottom w:val="single" w:color="auto" w:sz="4" w:space="0"/>
              <w:right w:val="single" w:color="auto" w:sz="4" w:space="0"/>
            </w:tcBorders>
            <w:noWrap w:val="0"/>
            <w:vAlign w:val="center"/>
          </w:tcPr>
          <w:p w14:paraId="0EF5E9E2">
            <w:pPr>
              <w:spacing w:line="360" w:lineRule="auto"/>
              <w:contextualSpacing/>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p>
        </w:tc>
        <w:tc>
          <w:tcPr>
            <w:tcW w:w="2614" w:type="dxa"/>
            <w:tcBorders>
              <w:top w:val="single" w:color="auto" w:sz="4" w:space="0"/>
              <w:left w:val="single" w:color="auto" w:sz="4" w:space="0"/>
              <w:bottom w:val="single" w:color="auto" w:sz="4" w:space="0"/>
              <w:right w:val="single" w:color="auto" w:sz="4" w:space="0"/>
            </w:tcBorders>
            <w:noWrap w:val="0"/>
            <w:vAlign w:val="center"/>
          </w:tcPr>
          <w:p w14:paraId="6FD3549C">
            <w:pPr>
              <w:spacing w:line="360" w:lineRule="auto"/>
              <w:contextualSpacing/>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食堂鸡蛋供应服务（重2）</w:t>
            </w:r>
          </w:p>
        </w:tc>
        <w:tc>
          <w:tcPr>
            <w:tcW w:w="1139" w:type="dxa"/>
            <w:tcBorders>
              <w:top w:val="single" w:color="auto" w:sz="4" w:space="0"/>
              <w:left w:val="single" w:color="auto" w:sz="4" w:space="0"/>
              <w:bottom w:val="single" w:color="auto" w:sz="4" w:space="0"/>
              <w:right w:val="single" w:color="auto" w:sz="4" w:space="0"/>
            </w:tcBorders>
            <w:noWrap w:val="0"/>
            <w:vAlign w:val="center"/>
          </w:tcPr>
          <w:p w14:paraId="578959B3">
            <w:pPr>
              <w:spacing w:line="360" w:lineRule="auto"/>
              <w:contextualSpacing/>
              <w:jc w:val="center"/>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1</w:t>
            </w:r>
          </w:p>
        </w:tc>
        <w:tc>
          <w:tcPr>
            <w:tcW w:w="1289" w:type="dxa"/>
            <w:tcBorders>
              <w:top w:val="single" w:color="auto" w:sz="4" w:space="0"/>
              <w:left w:val="single" w:color="auto" w:sz="4" w:space="0"/>
              <w:bottom w:val="single" w:color="auto" w:sz="4" w:space="0"/>
              <w:right w:val="single" w:color="auto" w:sz="4" w:space="0"/>
            </w:tcBorders>
            <w:noWrap w:val="0"/>
            <w:vAlign w:val="center"/>
          </w:tcPr>
          <w:p w14:paraId="0C1A1F36">
            <w:pPr>
              <w:spacing w:line="360" w:lineRule="auto"/>
              <w:contextualSpacing/>
              <w:jc w:val="center"/>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项</w:t>
            </w:r>
          </w:p>
        </w:tc>
        <w:tc>
          <w:tcPr>
            <w:tcW w:w="1935" w:type="dxa"/>
            <w:tcBorders>
              <w:top w:val="single" w:color="auto" w:sz="4" w:space="0"/>
              <w:left w:val="single" w:color="auto" w:sz="4" w:space="0"/>
              <w:bottom w:val="single" w:color="auto" w:sz="4" w:space="0"/>
              <w:right w:val="single" w:color="auto" w:sz="4" w:space="0"/>
            </w:tcBorders>
            <w:noWrap w:val="0"/>
            <w:vAlign w:val="center"/>
          </w:tcPr>
          <w:p w14:paraId="135FA8FC">
            <w:pPr>
              <w:spacing w:line="360" w:lineRule="auto"/>
              <w:ind w:firstLine="630" w:firstLineChars="300"/>
              <w:contextualSpacing/>
              <w:jc w:val="both"/>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lang w:val="en-US" w:eastAsia="zh-CN"/>
              </w:rPr>
              <w:t>%</w:t>
            </w:r>
          </w:p>
        </w:tc>
        <w:tc>
          <w:tcPr>
            <w:tcW w:w="1433" w:type="dxa"/>
            <w:tcBorders>
              <w:top w:val="single" w:color="auto" w:sz="4" w:space="0"/>
              <w:left w:val="single" w:color="auto" w:sz="4" w:space="0"/>
              <w:bottom w:val="single" w:color="auto" w:sz="4" w:space="0"/>
              <w:right w:val="single" w:color="auto" w:sz="4" w:space="0"/>
            </w:tcBorders>
            <w:noWrap w:val="0"/>
            <w:vAlign w:val="top"/>
          </w:tcPr>
          <w:p w14:paraId="62F355CD">
            <w:pPr>
              <w:spacing w:line="360" w:lineRule="auto"/>
              <w:contextualSpacing/>
              <w:rPr>
                <w:rFonts w:hint="eastAsia" w:ascii="宋体" w:hAnsi="宋体" w:eastAsia="宋体" w:cs="宋体"/>
                <w:color w:val="auto"/>
                <w:szCs w:val="21"/>
                <w:highlight w:val="none"/>
              </w:rPr>
            </w:pPr>
          </w:p>
        </w:tc>
      </w:tr>
      <w:tr w14:paraId="43D62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7" w:hRule="atLeast"/>
          <w:jc w:val="right"/>
        </w:trPr>
        <w:tc>
          <w:tcPr>
            <w:tcW w:w="9095" w:type="dxa"/>
            <w:gridSpan w:val="6"/>
            <w:tcBorders>
              <w:top w:val="single" w:color="auto" w:sz="4" w:space="0"/>
              <w:left w:val="single" w:color="auto" w:sz="4" w:space="0"/>
              <w:bottom w:val="single" w:color="auto" w:sz="4" w:space="0"/>
              <w:right w:val="single" w:color="auto" w:sz="4" w:space="0"/>
            </w:tcBorders>
            <w:noWrap w:val="0"/>
            <w:vAlign w:val="center"/>
          </w:tcPr>
          <w:p w14:paraId="74D82430">
            <w:pPr>
              <w:spacing w:line="360" w:lineRule="auto"/>
              <w:contextualSpacing/>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合同履约期限：</w:t>
            </w:r>
          </w:p>
        </w:tc>
      </w:tr>
      <w:tr w14:paraId="52EE0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7" w:hRule="atLeast"/>
          <w:jc w:val="right"/>
        </w:trPr>
        <w:tc>
          <w:tcPr>
            <w:tcW w:w="9095" w:type="dxa"/>
            <w:gridSpan w:val="6"/>
            <w:tcBorders>
              <w:top w:val="single" w:color="auto" w:sz="4" w:space="0"/>
              <w:left w:val="single" w:color="auto" w:sz="4" w:space="0"/>
              <w:bottom w:val="single" w:color="auto" w:sz="4" w:space="0"/>
              <w:right w:val="single" w:color="auto" w:sz="4" w:space="0"/>
            </w:tcBorders>
            <w:noWrap w:val="0"/>
            <w:vAlign w:val="center"/>
          </w:tcPr>
          <w:p w14:paraId="1D947BCC">
            <w:pPr>
              <w:spacing w:line="360" w:lineRule="auto"/>
              <w:contextualSpacing/>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合同总金额：</w:t>
            </w:r>
            <w:r>
              <w:rPr>
                <w:rFonts w:hint="eastAsia" w:ascii="宋体" w:hAnsi="宋体" w:eastAsia="宋体" w:cs="宋体"/>
                <w:color w:val="auto"/>
                <w:sz w:val="21"/>
                <w:szCs w:val="21"/>
                <w:highlight w:val="none"/>
              </w:rPr>
              <w:t>¥</w:t>
            </w:r>
            <w:r>
              <w:rPr>
                <w:rFonts w:hint="eastAsia" w:ascii="宋体" w:hAnsi="宋体" w:cs="宋体"/>
                <w:color w:val="auto"/>
                <w:szCs w:val="21"/>
                <w:highlight w:val="none"/>
                <w:lang w:val="en-US" w:eastAsia="zh-CN"/>
              </w:rPr>
              <w:t>2400000.00元</w:t>
            </w:r>
          </w:p>
        </w:tc>
      </w:tr>
      <w:tr w14:paraId="67A39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9095" w:type="dxa"/>
            <w:gridSpan w:val="6"/>
            <w:tcBorders>
              <w:top w:val="single" w:color="auto" w:sz="4" w:space="0"/>
              <w:left w:val="single" w:color="auto" w:sz="4" w:space="0"/>
              <w:bottom w:val="single" w:color="auto" w:sz="4" w:space="0"/>
              <w:right w:val="single" w:color="auto" w:sz="4" w:space="0"/>
            </w:tcBorders>
            <w:noWrap w:val="0"/>
            <w:vAlign w:val="center"/>
          </w:tcPr>
          <w:p w14:paraId="2E3A8C91">
            <w:pPr>
              <w:pStyle w:val="30"/>
              <w:numPr>
                <w:ilvl w:val="0"/>
                <w:numId w:val="0"/>
              </w:numPr>
              <w:ind w:left="0" w:leftChars="0" w:firstLine="422" w:firstLineChars="200"/>
              <w:rPr>
                <w:rFonts w:hint="eastAsia" w:ascii="宋体" w:hAnsi="宋体" w:cs="宋体"/>
                <w:b/>
                <w:bCs/>
                <w:color w:val="auto"/>
                <w:szCs w:val="21"/>
                <w:highlight w:val="none"/>
                <w:lang w:val="en-US" w:eastAsia="zh-CN"/>
              </w:rPr>
            </w:pPr>
            <w:r>
              <w:rPr>
                <w:rFonts w:hint="eastAsia" w:ascii="宋体" w:hAnsi="宋体" w:cs="宋体"/>
                <w:b/>
                <w:bCs/>
                <w:color w:val="auto"/>
                <w:szCs w:val="21"/>
                <w:highlight w:val="none"/>
                <w:lang w:val="en-US" w:eastAsia="zh-CN"/>
              </w:rPr>
              <w:t>备注：</w:t>
            </w:r>
          </w:p>
          <w:p w14:paraId="2EB65703">
            <w:pPr>
              <w:pStyle w:val="30"/>
              <w:numPr>
                <w:ilvl w:val="0"/>
                <w:numId w:val="0"/>
              </w:numPr>
              <w:ind w:left="0" w:leftChars="0" w:firstLine="422" w:firstLineChars="200"/>
              <w:rPr>
                <w:rFonts w:hint="default"/>
                <w:color w:val="auto"/>
                <w:highlight w:val="none"/>
                <w:lang w:val="en-US" w:eastAsia="zh-CN"/>
              </w:rPr>
            </w:pPr>
            <w:r>
              <w:rPr>
                <w:rFonts w:hint="eastAsia" w:hAnsi="宋体" w:cs="宋体"/>
                <w:b/>
                <w:bCs/>
                <w:color w:val="auto"/>
                <w:szCs w:val="21"/>
                <w:highlight w:val="none"/>
                <w:lang w:val="en-US" w:eastAsia="zh-CN"/>
              </w:rPr>
              <w:t>1.</w:t>
            </w:r>
            <w:r>
              <w:rPr>
                <w:rFonts w:hint="eastAsia" w:ascii="宋体" w:hAnsi="宋体" w:cs="宋体"/>
                <w:b/>
                <w:bCs/>
                <w:color w:val="auto"/>
                <w:szCs w:val="21"/>
                <w:highlight w:val="none"/>
                <w:lang w:val="en-US" w:eastAsia="zh-CN"/>
              </w:rPr>
              <w:t>本项目报价采用浮动率报价方式，实际供货价=基准价×（1+浮动率X）。</w:t>
            </w:r>
          </w:p>
        </w:tc>
      </w:tr>
    </w:tbl>
    <w:p w14:paraId="7E9D2DCF">
      <w:pPr>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w:t>
      </w:r>
      <w:r>
        <w:rPr>
          <w:rFonts w:hint="eastAsia" w:asciiTheme="minorEastAsia" w:hAnsiTheme="minorEastAsia" w:eastAsiaTheme="minorEastAsia" w:cstheme="minorEastAsia"/>
          <w:sz w:val="24"/>
          <w:szCs w:val="24"/>
          <w:lang w:val="en-US" w:eastAsia="zh-CN"/>
        </w:rPr>
        <w:t>.</w:t>
      </w:r>
      <w:r>
        <w:rPr>
          <w:rFonts w:hint="eastAsia" w:asciiTheme="minorEastAsia" w:hAnsiTheme="minorEastAsia" w:eastAsiaTheme="minorEastAsia" w:cstheme="minorEastAsia"/>
          <w:sz w:val="24"/>
          <w:szCs w:val="24"/>
        </w:rPr>
        <w:t>合同合计金额必须含以下部分:</w:t>
      </w:r>
      <w:r>
        <w:rPr>
          <w:rFonts w:hint="eastAsia" w:asciiTheme="minorEastAsia" w:hAnsiTheme="minorEastAsia" w:eastAsiaTheme="minorEastAsia" w:cstheme="minorEastAsia"/>
          <w:sz w:val="24"/>
          <w:szCs w:val="24"/>
          <w:lang w:val="en-US" w:eastAsia="zh-CN"/>
        </w:rPr>
        <w:t>①</w:t>
      </w:r>
      <w:r>
        <w:rPr>
          <w:rFonts w:hint="eastAsia" w:asciiTheme="minorEastAsia" w:hAnsiTheme="minorEastAsia" w:eastAsiaTheme="minorEastAsia" w:cstheme="minorEastAsia"/>
          <w:sz w:val="24"/>
          <w:szCs w:val="24"/>
        </w:rPr>
        <w:t>货物、服务费用；②报价需包含必要的保险费用和各项税金费用；③报价需包含包装、运输、仓储、配送、搬运、深加工、检验检测、售后服务等相关费用。</w:t>
      </w:r>
    </w:p>
    <w:p w14:paraId="5170DB81">
      <w:pPr>
        <w:snapToGrid w:val="0"/>
        <w:spacing w:line="360" w:lineRule="auto"/>
        <w:ind w:firstLine="482" w:firstLineChars="200"/>
        <w:rPr>
          <w:rFonts w:hint="default" w:asciiTheme="minorEastAsia" w:hAnsiTheme="minorEastAsia" w:eastAsiaTheme="minorEastAsia" w:cstheme="minorEastAsia"/>
          <w:b/>
          <w:sz w:val="24"/>
          <w:shd w:val="clear" w:color="auto" w:fill="FFFFFF"/>
          <w:lang w:val="en-US" w:eastAsia="zh-CN"/>
        </w:rPr>
      </w:pPr>
      <w:r>
        <w:rPr>
          <w:rFonts w:hint="eastAsia" w:asciiTheme="minorEastAsia" w:hAnsiTheme="minorEastAsia" w:eastAsiaTheme="minorEastAsia" w:cstheme="minorEastAsia"/>
          <w:b/>
          <w:sz w:val="24"/>
          <w:shd w:val="clear" w:color="auto" w:fill="FFFFFF"/>
        </w:rPr>
        <w:t>第二条 服务时间</w:t>
      </w:r>
      <w:r>
        <w:rPr>
          <w:rFonts w:hint="eastAsia" w:asciiTheme="minorEastAsia" w:hAnsiTheme="minorEastAsia" w:eastAsiaTheme="minorEastAsia" w:cstheme="minorEastAsia"/>
          <w:b/>
          <w:sz w:val="24"/>
          <w:shd w:val="clear" w:color="auto" w:fill="FFFFFF"/>
          <w:lang w:eastAsia="zh-CN"/>
        </w:rPr>
        <w:t>、</w:t>
      </w:r>
      <w:r>
        <w:rPr>
          <w:rFonts w:hint="eastAsia" w:asciiTheme="minorEastAsia" w:hAnsiTheme="minorEastAsia" w:eastAsiaTheme="minorEastAsia" w:cstheme="minorEastAsia"/>
          <w:b/>
          <w:sz w:val="24"/>
          <w:shd w:val="clear" w:color="auto" w:fill="FFFFFF"/>
        </w:rPr>
        <w:t>地点</w:t>
      </w:r>
      <w:r>
        <w:rPr>
          <w:rFonts w:hint="eastAsia" w:asciiTheme="minorEastAsia" w:hAnsiTheme="minorEastAsia" w:eastAsiaTheme="minorEastAsia" w:cstheme="minorEastAsia"/>
          <w:b/>
          <w:sz w:val="24"/>
          <w:shd w:val="clear" w:color="auto" w:fill="FFFFFF"/>
          <w:lang w:val="en-US" w:eastAsia="zh-CN"/>
        </w:rPr>
        <w:t>及联系人</w:t>
      </w:r>
    </w:p>
    <w:p w14:paraId="417E7A2C">
      <w:pPr>
        <w:snapToGrid/>
        <w:spacing w:line="400" w:lineRule="exact"/>
        <w:ind w:firstLine="480" w:firstLineChars="200"/>
        <w:outlineLvl w:val="9"/>
        <w:rPr>
          <w:rFonts w:hint="eastAsia" w:ascii="宋体" w:hAnsi="宋体" w:eastAsia="宋体" w:cs="宋体"/>
          <w:szCs w:val="21"/>
          <w:highlight w:val="none"/>
        </w:rPr>
      </w:pPr>
      <w:r>
        <w:rPr>
          <w:rFonts w:hint="eastAsia" w:asciiTheme="minorEastAsia" w:hAnsiTheme="minorEastAsia" w:eastAsiaTheme="minorEastAsia" w:cstheme="minorEastAsia"/>
          <w:sz w:val="24"/>
          <w:shd w:val="clear" w:color="auto" w:fill="FFFFFF"/>
        </w:rPr>
        <w:t>1</w:t>
      </w:r>
      <w:r>
        <w:rPr>
          <w:rFonts w:hint="eastAsia" w:asciiTheme="minorEastAsia" w:hAnsiTheme="minorEastAsia" w:eastAsiaTheme="minorEastAsia" w:cstheme="minorEastAsia"/>
          <w:sz w:val="24"/>
          <w:shd w:val="clear" w:color="auto" w:fill="FFFFFF"/>
          <w:lang w:val="en-US" w:eastAsia="zh-CN"/>
        </w:rPr>
        <w:t>.</w:t>
      </w:r>
      <w:r>
        <w:rPr>
          <w:rFonts w:hint="eastAsia" w:asciiTheme="minorEastAsia" w:hAnsiTheme="minorEastAsia" w:eastAsiaTheme="minorEastAsia" w:cstheme="minorEastAsia"/>
          <w:sz w:val="24"/>
          <w:shd w:val="clear" w:color="auto" w:fill="FFFFFF"/>
        </w:rPr>
        <w:t>服务时间</w:t>
      </w:r>
      <w:r>
        <w:rPr>
          <w:rFonts w:hint="eastAsia" w:asciiTheme="minorEastAsia" w:hAnsiTheme="minorEastAsia" w:eastAsiaTheme="minorEastAsia" w:cstheme="minorEastAsia"/>
          <w:sz w:val="24"/>
          <w:shd w:val="clear" w:color="auto" w:fill="FFFFFF"/>
          <w:lang w:eastAsia="zh-CN"/>
        </w:rPr>
        <w:t>：</w:t>
      </w:r>
      <w:r>
        <w:rPr>
          <w:rFonts w:hint="eastAsia" w:asciiTheme="minorEastAsia" w:hAnsiTheme="minorEastAsia" w:eastAsiaTheme="minorEastAsia" w:cstheme="minorEastAsia"/>
          <w:sz w:val="24"/>
          <w:shd w:val="clear" w:color="auto" w:fill="FFFFFF"/>
        </w:rPr>
        <w:t>自合同签订之日起两年，即</w:t>
      </w:r>
      <w:r>
        <w:rPr>
          <w:rFonts w:hint="eastAsia" w:asciiTheme="minorEastAsia" w:hAnsiTheme="minorEastAsia" w:eastAsiaTheme="minorEastAsia" w:cstheme="minorEastAsia"/>
          <w:sz w:val="24"/>
          <w:u w:val="single"/>
          <w:shd w:val="clear" w:color="auto" w:fill="FFFFFF"/>
        </w:rPr>
        <w:t xml:space="preserve">      </w:t>
      </w:r>
      <w:r>
        <w:rPr>
          <w:rFonts w:hint="eastAsia" w:asciiTheme="minorEastAsia" w:hAnsiTheme="minorEastAsia" w:eastAsiaTheme="minorEastAsia" w:cstheme="minorEastAsia"/>
          <w:sz w:val="24"/>
          <w:shd w:val="clear" w:color="auto" w:fill="FFFFFF"/>
        </w:rPr>
        <w:t>年</w:t>
      </w:r>
      <w:r>
        <w:rPr>
          <w:rFonts w:hint="eastAsia" w:asciiTheme="minorEastAsia" w:hAnsiTheme="minorEastAsia" w:eastAsiaTheme="minorEastAsia" w:cstheme="minorEastAsia"/>
          <w:sz w:val="24"/>
          <w:u w:val="single"/>
          <w:shd w:val="clear" w:color="auto" w:fill="FFFFFF"/>
        </w:rPr>
        <w:t xml:space="preserve">   </w:t>
      </w:r>
      <w:r>
        <w:rPr>
          <w:rFonts w:hint="eastAsia" w:asciiTheme="minorEastAsia" w:hAnsiTheme="minorEastAsia" w:eastAsiaTheme="minorEastAsia" w:cstheme="minorEastAsia"/>
          <w:sz w:val="24"/>
          <w:shd w:val="clear" w:color="auto" w:fill="FFFFFF"/>
        </w:rPr>
        <w:t>月</w:t>
      </w:r>
      <w:r>
        <w:rPr>
          <w:rFonts w:hint="eastAsia" w:asciiTheme="minorEastAsia" w:hAnsiTheme="minorEastAsia" w:eastAsiaTheme="minorEastAsia" w:cstheme="minorEastAsia"/>
          <w:sz w:val="24"/>
          <w:u w:val="single"/>
          <w:shd w:val="clear" w:color="auto" w:fill="FFFFFF"/>
        </w:rPr>
        <w:t xml:space="preserve">   </w:t>
      </w:r>
      <w:r>
        <w:rPr>
          <w:rFonts w:hint="eastAsia" w:asciiTheme="minorEastAsia" w:hAnsiTheme="minorEastAsia" w:eastAsiaTheme="minorEastAsia" w:cstheme="minorEastAsia"/>
          <w:sz w:val="24"/>
          <w:shd w:val="clear" w:color="auto" w:fill="FFFFFF"/>
        </w:rPr>
        <w:t>日至</w:t>
      </w:r>
      <w:r>
        <w:rPr>
          <w:rFonts w:hint="eastAsia" w:asciiTheme="minorEastAsia" w:hAnsiTheme="minorEastAsia" w:eastAsiaTheme="minorEastAsia" w:cstheme="minorEastAsia"/>
          <w:sz w:val="24"/>
          <w:u w:val="single"/>
          <w:shd w:val="clear" w:color="auto" w:fill="FFFFFF"/>
        </w:rPr>
        <w:t xml:space="preserve">      </w:t>
      </w:r>
      <w:r>
        <w:rPr>
          <w:rFonts w:hint="eastAsia" w:asciiTheme="minorEastAsia" w:hAnsiTheme="minorEastAsia" w:eastAsiaTheme="minorEastAsia" w:cstheme="minorEastAsia"/>
          <w:sz w:val="24"/>
          <w:shd w:val="clear" w:color="auto" w:fill="FFFFFF"/>
        </w:rPr>
        <w:t>年</w:t>
      </w:r>
      <w:r>
        <w:rPr>
          <w:rFonts w:hint="eastAsia" w:asciiTheme="minorEastAsia" w:hAnsiTheme="minorEastAsia" w:eastAsiaTheme="minorEastAsia" w:cstheme="minorEastAsia"/>
          <w:sz w:val="24"/>
          <w:u w:val="single"/>
          <w:shd w:val="clear" w:color="auto" w:fill="FFFFFF"/>
        </w:rPr>
        <w:t xml:space="preserve">   </w:t>
      </w:r>
      <w:r>
        <w:rPr>
          <w:rFonts w:hint="eastAsia" w:asciiTheme="minorEastAsia" w:hAnsiTheme="minorEastAsia" w:eastAsiaTheme="minorEastAsia" w:cstheme="minorEastAsia"/>
          <w:sz w:val="24"/>
          <w:shd w:val="clear" w:color="auto" w:fill="FFFFFF"/>
        </w:rPr>
        <w:t>月</w:t>
      </w:r>
      <w:r>
        <w:rPr>
          <w:rFonts w:hint="eastAsia" w:asciiTheme="minorEastAsia" w:hAnsiTheme="minorEastAsia" w:eastAsiaTheme="minorEastAsia" w:cstheme="minorEastAsia"/>
          <w:sz w:val="24"/>
          <w:u w:val="single"/>
          <w:shd w:val="clear" w:color="auto" w:fill="FFFFFF"/>
        </w:rPr>
        <w:t xml:space="preserve">   </w:t>
      </w:r>
      <w:r>
        <w:rPr>
          <w:rFonts w:hint="eastAsia" w:asciiTheme="minorEastAsia" w:hAnsiTheme="minorEastAsia" w:eastAsiaTheme="minorEastAsia" w:cstheme="minorEastAsia"/>
          <w:sz w:val="24"/>
          <w:shd w:val="clear" w:color="auto" w:fill="FFFFFF"/>
        </w:rPr>
        <w:t>日。</w:t>
      </w:r>
      <w:r>
        <w:rPr>
          <w:rFonts w:hint="eastAsia" w:asciiTheme="minorEastAsia" w:hAnsiTheme="minorEastAsia" w:eastAsiaTheme="minorEastAsia" w:cstheme="minorEastAsia"/>
          <w:sz w:val="24"/>
          <w:szCs w:val="24"/>
          <w:shd w:val="clear" w:color="auto" w:fill="FFFFFF"/>
        </w:rPr>
        <w:t>（若</w:t>
      </w:r>
      <w:r>
        <w:rPr>
          <w:rFonts w:hint="eastAsia" w:asciiTheme="minorEastAsia" w:hAnsiTheme="minorEastAsia" w:eastAsiaTheme="minorEastAsia" w:cstheme="minorEastAsia"/>
          <w:sz w:val="24"/>
          <w:szCs w:val="24"/>
          <w:shd w:val="clear" w:color="auto" w:fill="FFFFFF"/>
          <w:lang w:val="en-US" w:eastAsia="zh-CN"/>
        </w:rPr>
        <w:t>服务期内</w:t>
      </w:r>
      <w:r>
        <w:rPr>
          <w:rFonts w:hint="eastAsia" w:asciiTheme="minorEastAsia" w:hAnsiTheme="minorEastAsia" w:eastAsiaTheme="minorEastAsia" w:cstheme="minorEastAsia"/>
          <w:sz w:val="24"/>
          <w:szCs w:val="24"/>
          <w:shd w:val="clear" w:color="auto" w:fill="FFFFFF"/>
        </w:rPr>
        <w:t>累计服务金额</w:t>
      </w:r>
      <w:r>
        <w:rPr>
          <w:rFonts w:hint="eastAsia" w:asciiTheme="minorEastAsia" w:hAnsiTheme="minorEastAsia" w:eastAsiaTheme="minorEastAsia" w:cstheme="minorEastAsia"/>
          <w:sz w:val="24"/>
          <w:szCs w:val="24"/>
          <w:shd w:val="clear" w:color="auto" w:fill="FFFFFF"/>
          <w:lang w:val="en-US" w:eastAsia="zh-CN"/>
        </w:rPr>
        <w:t>提前</w:t>
      </w:r>
      <w:r>
        <w:rPr>
          <w:rFonts w:hint="eastAsia" w:asciiTheme="minorEastAsia" w:hAnsiTheme="minorEastAsia" w:eastAsiaTheme="minorEastAsia" w:cstheme="minorEastAsia"/>
          <w:sz w:val="24"/>
          <w:szCs w:val="24"/>
          <w:shd w:val="clear" w:color="auto" w:fill="FFFFFF"/>
        </w:rPr>
        <w:t>达到项目合同总金额¥</w:t>
      </w:r>
      <w:r>
        <w:rPr>
          <w:rFonts w:hint="eastAsia" w:asciiTheme="minorEastAsia" w:hAnsiTheme="minorEastAsia" w:eastAsiaTheme="minorEastAsia" w:cstheme="minorEastAsia"/>
          <w:sz w:val="24"/>
          <w:szCs w:val="24"/>
          <w:shd w:val="clear" w:color="auto" w:fill="FFFFFF"/>
          <w:lang w:val="en-US" w:eastAsia="zh-CN"/>
        </w:rPr>
        <w:t>2400000.00元</w:t>
      </w:r>
      <w:r>
        <w:rPr>
          <w:rFonts w:hint="eastAsia" w:asciiTheme="minorEastAsia" w:hAnsiTheme="minorEastAsia" w:eastAsiaTheme="minorEastAsia" w:cstheme="minorEastAsia"/>
          <w:sz w:val="24"/>
          <w:szCs w:val="24"/>
          <w:shd w:val="clear" w:color="auto" w:fill="FFFFFF"/>
        </w:rPr>
        <w:t xml:space="preserve">的，甲方有权要求乙方停止服务并终止合同。）   </w:t>
      </w:r>
    </w:p>
    <w:p w14:paraId="2A446C42">
      <w:pPr>
        <w:snapToGrid w:val="0"/>
        <w:spacing w:line="360" w:lineRule="auto"/>
        <w:ind w:left="-59" w:leftChars="-28" w:firstLine="480" w:firstLineChars="200"/>
        <w:rPr>
          <w:rFonts w:hint="eastAsia" w:asciiTheme="minorEastAsia" w:hAnsiTheme="minorEastAsia" w:eastAsiaTheme="minorEastAsia" w:cstheme="minorEastAsia"/>
          <w:sz w:val="24"/>
          <w:shd w:val="clear" w:color="auto" w:fill="FFFFFF"/>
        </w:rPr>
      </w:pPr>
    </w:p>
    <w:p w14:paraId="607BBC26">
      <w:pPr>
        <w:numPr>
          <w:ilvl w:val="0"/>
          <w:numId w:val="1"/>
        </w:numPr>
        <w:snapToGrid w:val="0"/>
        <w:spacing w:line="360" w:lineRule="auto"/>
        <w:ind w:left="-59" w:leftChars="-28" w:firstLine="480" w:firstLineChars="200"/>
        <w:rPr>
          <w:rFonts w:hint="eastAsia" w:asciiTheme="minorEastAsia" w:hAnsiTheme="minorEastAsia" w:eastAsiaTheme="minorEastAsia" w:cstheme="minorEastAsia"/>
          <w:sz w:val="24"/>
          <w:shd w:val="clear" w:color="auto" w:fill="FFFFFF"/>
        </w:rPr>
      </w:pPr>
      <w:r>
        <w:rPr>
          <w:rFonts w:hint="eastAsia" w:asciiTheme="minorEastAsia" w:hAnsiTheme="minorEastAsia" w:eastAsiaTheme="minorEastAsia" w:cstheme="minorEastAsia"/>
          <w:sz w:val="24"/>
          <w:shd w:val="clear" w:color="auto" w:fill="FFFFFF"/>
        </w:rPr>
        <w:t>地点：南宁市双拥路6号广西医科大学第一附属医院内。</w:t>
      </w:r>
    </w:p>
    <w:p w14:paraId="39BBE318">
      <w:pPr>
        <w:widowControl/>
        <w:snapToGrid/>
        <w:spacing w:line="360" w:lineRule="auto"/>
        <w:ind w:left="0" w:leftChars="0" w:firstLine="480" w:firstLineChars="200"/>
        <w:jc w:val="left"/>
        <w:outlineLvl w:val="9"/>
        <w:rPr>
          <w:rFonts w:hint="eastAsia" w:asciiTheme="minorEastAsia" w:hAnsiTheme="minorEastAsia" w:eastAsiaTheme="minorEastAsia" w:cstheme="minorEastAsia"/>
          <w:sz w:val="24"/>
          <w:shd w:val="clear" w:color="auto" w:fill="FFFFFF"/>
        </w:rPr>
      </w:pPr>
      <w:r>
        <w:rPr>
          <w:rFonts w:hint="eastAsia" w:asciiTheme="minorEastAsia" w:hAnsiTheme="minorEastAsia" w:eastAsiaTheme="minorEastAsia" w:cstheme="minorEastAsia"/>
          <w:b w:val="0"/>
          <w:bCs w:val="0"/>
          <w:sz w:val="24"/>
          <w:szCs w:val="24"/>
          <w:shd w:val="clear" w:color="auto" w:fill="FFFFFF"/>
          <w:lang w:val="en-US" w:eastAsia="zh-CN"/>
        </w:rPr>
        <w:t>3.联系人：</w:t>
      </w:r>
      <w:r>
        <w:rPr>
          <w:rFonts w:hint="eastAsia" w:asciiTheme="minorEastAsia" w:hAnsiTheme="minorEastAsia" w:eastAsiaTheme="minorEastAsia" w:cstheme="minorEastAsia"/>
          <w:b w:val="0"/>
          <w:bCs w:val="0"/>
          <w:sz w:val="24"/>
          <w:szCs w:val="24"/>
          <w:shd w:val="clear" w:color="auto" w:fill="FFFFFF"/>
        </w:rPr>
        <w:t>甲方</w:t>
      </w:r>
      <w:r>
        <w:rPr>
          <w:rFonts w:hint="eastAsia" w:asciiTheme="minorEastAsia" w:hAnsiTheme="minorEastAsia" w:eastAsiaTheme="minorEastAsia" w:cstheme="minorEastAsia"/>
          <w:b w:val="0"/>
          <w:bCs w:val="0"/>
          <w:sz w:val="24"/>
          <w:szCs w:val="24"/>
          <w:shd w:val="clear" w:color="auto" w:fill="FFFFFF"/>
          <w:lang w:val="en-US" w:eastAsia="zh-CN"/>
        </w:rPr>
        <w:t>指定的联系人：</w:t>
      </w:r>
      <w:r>
        <w:rPr>
          <w:rFonts w:hint="eastAsia" w:asciiTheme="minorEastAsia" w:hAnsiTheme="minorEastAsia" w:eastAsiaTheme="minorEastAsia" w:cstheme="minorEastAsia"/>
          <w:b w:val="0"/>
          <w:bCs w:val="0"/>
          <w:sz w:val="24"/>
          <w:szCs w:val="24"/>
          <w:u w:val="none"/>
          <w:shd w:val="clear" w:color="auto" w:fill="FFFFFF"/>
        </w:rPr>
        <w:t xml:space="preserve"> </w:t>
      </w:r>
      <w:r>
        <w:rPr>
          <w:rFonts w:hint="eastAsia" w:asciiTheme="minorEastAsia" w:hAnsiTheme="minorEastAsia" w:eastAsiaTheme="minorEastAsia" w:cstheme="minorEastAsia"/>
          <w:b w:val="0"/>
          <w:bCs w:val="0"/>
          <w:sz w:val="24"/>
          <w:szCs w:val="24"/>
          <w:shd w:val="clear" w:color="auto" w:fill="FFFFFF"/>
        </w:rPr>
        <w:t>，联系方式：</w:t>
      </w:r>
      <w:r>
        <w:rPr>
          <w:rFonts w:hint="eastAsia" w:asciiTheme="minorEastAsia" w:hAnsiTheme="minorEastAsia" w:eastAsiaTheme="minorEastAsia" w:cstheme="minorEastAsia"/>
          <w:b w:val="0"/>
          <w:bCs w:val="0"/>
          <w:sz w:val="24"/>
          <w:szCs w:val="24"/>
          <w:u w:val="none"/>
          <w:shd w:val="clear" w:color="auto" w:fill="FFFFFF"/>
        </w:rPr>
        <w:t xml:space="preserve">  </w:t>
      </w:r>
      <w:r>
        <w:rPr>
          <w:rFonts w:hint="eastAsia" w:asciiTheme="minorEastAsia" w:hAnsiTheme="minorEastAsia" w:eastAsiaTheme="minorEastAsia" w:cstheme="minorEastAsia"/>
          <w:b w:val="0"/>
          <w:bCs w:val="0"/>
          <w:sz w:val="24"/>
          <w:szCs w:val="24"/>
          <w:u w:val="none"/>
          <w:shd w:val="clear" w:color="auto" w:fill="FFFFFF"/>
          <w:lang w:val="en-US" w:eastAsia="zh-CN"/>
        </w:rPr>
        <w:t xml:space="preserve"> </w:t>
      </w:r>
      <w:r>
        <w:rPr>
          <w:rFonts w:hint="eastAsia" w:asciiTheme="minorEastAsia" w:hAnsiTheme="minorEastAsia" w:eastAsiaTheme="minorEastAsia" w:cstheme="minorEastAsia"/>
          <w:b w:val="0"/>
          <w:bCs w:val="0"/>
          <w:sz w:val="24"/>
          <w:szCs w:val="24"/>
          <w:shd w:val="clear" w:color="auto" w:fill="FFFFFF"/>
        </w:rPr>
        <w:t>。</w:t>
      </w:r>
      <w:r>
        <w:rPr>
          <w:rFonts w:hint="eastAsia" w:asciiTheme="minorEastAsia" w:hAnsiTheme="minorEastAsia" w:eastAsiaTheme="minorEastAsia" w:cstheme="minorEastAsia"/>
          <w:b w:val="0"/>
          <w:bCs w:val="0"/>
          <w:sz w:val="24"/>
          <w:szCs w:val="24"/>
          <w:shd w:val="clear" w:color="auto" w:fill="FFFFFF"/>
          <w:lang w:val="en-US" w:eastAsia="zh-CN"/>
        </w:rPr>
        <w:t>乙方指定的联系人为：</w:t>
      </w:r>
      <w:r>
        <w:rPr>
          <w:rFonts w:hint="eastAsia" w:asciiTheme="minorEastAsia" w:hAnsiTheme="minorEastAsia" w:eastAsiaTheme="minorEastAsia" w:cstheme="minorEastAsia"/>
          <w:b w:val="0"/>
          <w:bCs w:val="0"/>
          <w:sz w:val="24"/>
          <w:szCs w:val="24"/>
          <w:u w:val="none"/>
          <w:shd w:val="clear" w:color="auto" w:fill="FFFFFF"/>
          <w:lang w:val="en-US" w:eastAsia="zh-CN"/>
        </w:rPr>
        <w:t xml:space="preserve"> ，联系方式：   。乙方涉及变更验收</w:t>
      </w:r>
      <w:r>
        <w:rPr>
          <w:rFonts w:hint="eastAsia" w:asciiTheme="minorEastAsia" w:hAnsiTheme="minorEastAsia" w:eastAsiaTheme="minorEastAsia" w:cstheme="minorEastAsia"/>
          <w:b w:val="0"/>
          <w:bCs w:val="0"/>
          <w:sz w:val="24"/>
          <w:szCs w:val="24"/>
          <w:shd w:val="clear" w:color="auto" w:fill="FFFFFF"/>
          <w:lang w:val="en-US" w:eastAsia="zh-CN"/>
        </w:rPr>
        <w:t>、付款</w:t>
      </w:r>
      <w:r>
        <w:rPr>
          <w:rFonts w:hint="eastAsia" w:asciiTheme="minorEastAsia" w:hAnsiTheme="minorEastAsia" w:eastAsiaTheme="minorEastAsia" w:cstheme="minorEastAsia"/>
          <w:b w:val="0"/>
          <w:bCs w:val="0"/>
          <w:sz w:val="24"/>
          <w:szCs w:val="24"/>
          <w:u w:val="none"/>
          <w:shd w:val="clear" w:color="auto" w:fill="FFFFFF"/>
          <w:lang w:val="en-US" w:eastAsia="zh-CN"/>
        </w:rPr>
        <w:t>联系人的，应提前 五 个工作日以书面形式通知甲方。</w:t>
      </w:r>
    </w:p>
    <w:p w14:paraId="1FDC1C70">
      <w:pPr>
        <w:snapToGrid w:val="0"/>
        <w:spacing w:line="360" w:lineRule="auto"/>
        <w:ind w:firstLine="482" w:firstLineChars="200"/>
        <w:rPr>
          <w:rFonts w:hint="eastAsia" w:asciiTheme="minorEastAsia" w:hAnsiTheme="minorEastAsia" w:eastAsiaTheme="minorEastAsia" w:cstheme="minorEastAsia"/>
          <w:b/>
          <w:sz w:val="24"/>
          <w:shd w:val="clear" w:color="auto" w:fill="FFFFFF"/>
          <w:lang w:val="en-US" w:eastAsia="zh-CN"/>
        </w:rPr>
      </w:pPr>
      <w:r>
        <w:rPr>
          <w:rFonts w:hint="eastAsia" w:asciiTheme="minorEastAsia" w:hAnsiTheme="minorEastAsia" w:eastAsiaTheme="minorEastAsia" w:cstheme="minorEastAsia"/>
          <w:b/>
          <w:sz w:val="24"/>
          <w:shd w:val="clear" w:color="auto" w:fill="FFFFFF"/>
        </w:rPr>
        <w:t>第</w:t>
      </w:r>
      <w:r>
        <w:rPr>
          <w:rFonts w:hint="eastAsia" w:asciiTheme="minorEastAsia" w:hAnsiTheme="minorEastAsia" w:eastAsiaTheme="minorEastAsia" w:cstheme="minorEastAsia"/>
          <w:b/>
          <w:sz w:val="24"/>
          <w:shd w:val="clear" w:color="auto" w:fill="FFFFFF"/>
          <w:lang w:val="en-US" w:eastAsia="zh-CN"/>
        </w:rPr>
        <w:t>三</w:t>
      </w:r>
      <w:r>
        <w:rPr>
          <w:rFonts w:hint="eastAsia" w:asciiTheme="minorEastAsia" w:hAnsiTheme="minorEastAsia" w:eastAsiaTheme="minorEastAsia" w:cstheme="minorEastAsia"/>
          <w:b/>
          <w:sz w:val="24"/>
          <w:shd w:val="clear" w:color="auto" w:fill="FFFFFF"/>
        </w:rPr>
        <w:t xml:space="preserve">条 </w:t>
      </w:r>
      <w:r>
        <w:rPr>
          <w:rFonts w:hint="eastAsia" w:asciiTheme="minorEastAsia" w:hAnsiTheme="minorEastAsia" w:eastAsiaTheme="minorEastAsia" w:cstheme="minorEastAsia"/>
          <w:b/>
          <w:sz w:val="24"/>
          <w:shd w:val="clear" w:color="auto" w:fill="FFFFFF"/>
          <w:lang w:val="en-US" w:eastAsia="zh-CN"/>
        </w:rPr>
        <w:t>服务要求</w:t>
      </w:r>
    </w:p>
    <w:p w14:paraId="676F740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1.质量指标：具备应有的食材正常感官和理化性状达到相应国家、行业产品标准要求，符合国家动物检疫合格产品质量标准，卫生指标符合食品安全国家标准要求。</w:t>
      </w:r>
    </w:p>
    <w:p w14:paraId="7AE7382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2.正常鲜蛋的蛋壳应清洁完整，无裂纹；灯光透视呈微红色，气室小，看不见蛋黄或略见阴影于中心。打开后蛋黄膜不破裂、凸起、完整并带有韧性，蛋黄蛋白分明，颜色鲜艳。</w:t>
      </w:r>
    </w:p>
    <w:p w14:paraId="0642778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3.保质期：且自供货之日起算的保质期剩余天数不得少于产品保质期天数的三分之二。</w:t>
      </w:r>
    </w:p>
    <w:p w14:paraId="462DF5F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4.配送要求：根据甲方需求，于次日上午7点前配送至甲方指定地点。</w:t>
      </w:r>
    </w:p>
    <w:p w14:paraId="64E4D62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5.配送频率：工作日及双休日为每天配送，其他节假日根据甲方要求调整配送频率。</w:t>
      </w:r>
    </w:p>
    <w:p w14:paraId="6397DE8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6.售后要求：如鸡蛋存在蛋黄散、发霉、有异味等质量问题，乙方需在</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lang w:val="en-US" w:eastAsia="zh-CN"/>
        </w:rPr>
        <w:t>小时内退换。</w:t>
      </w:r>
    </w:p>
    <w:p w14:paraId="0AE3524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7.货品配比要求：乙方供货时需同时提供粉壳蛋（粉壳鸡蛋）、褐壳蛋（红壳鸡蛋）两类鲜蛋，两类鸡蛋供货比例为粉壳蛋（粉壳鸡蛋）：褐壳蛋（红壳鸡蛋） = 7:3；甲方按鸡蛋总重量下单，乙方须严格按照该比例精准拆分、配货送达，履约过程中若甲方对两类鸡蛋的配比进行调整，需在前一日下单时告知乙方，乙方应配合调整。</w:t>
      </w:r>
    </w:p>
    <w:p w14:paraId="26CBA94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8.</w:t>
      </w:r>
      <w:r>
        <w:rPr>
          <w:rFonts w:hint="eastAsia" w:asciiTheme="minorEastAsia" w:hAnsiTheme="minorEastAsia" w:eastAsiaTheme="minorEastAsia" w:cstheme="minorEastAsia"/>
          <w:sz w:val="24"/>
          <w:shd w:val="clear" w:color="auto" w:fill="FFFFFF"/>
        </w:rPr>
        <w:t>每批次供货时均应提供国家认可的第三方检测机构出具的该批次产品质检报告及产品合格证。</w:t>
      </w:r>
    </w:p>
    <w:p w14:paraId="2230331E">
      <w:pPr>
        <w:snapToGrid w:val="0"/>
        <w:spacing w:line="360" w:lineRule="auto"/>
        <w:ind w:firstLine="482" w:firstLineChars="200"/>
        <w:rPr>
          <w:rFonts w:hint="eastAsia" w:asciiTheme="minorEastAsia" w:hAnsiTheme="minorEastAsia" w:eastAsiaTheme="minorEastAsia" w:cstheme="minorEastAsia"/>
          <w:b/>
          <w:sz w:val="24"/>
          <w:shd w:val="clear" w:color="auto" w:fill="FFFFFF"/>
        </w:rPr>
      </w:pPr>
      <w:r>
        <w:rPr>
          <w:rFonts w:hint="eastAsia" w:asciiTheme="minorEastAsia" w:hAnsiTheme="minorEastAsia" w:eastAsiaTheme="minorEastAsia" w:cstheme="minorEastAsia"/>
          <w:b/>
          <w:sz w:val="24"/>
          <w:shd w:val="clear" w:color="auto" w:fill="FFFFFF"/>
          <w:lang w:val="en-US" w:eastAsia="zh-CN"/>
        </w:rPr>
        <w:t xml:space="preserve">第四条 </w:t>
      </w:r>
      <w:r>
        <w:rPr>
          <w:rFonts w:hint="eastAsia" w:asciiTheme="minorEastAsia" w:hAnsiTheme="minorEastAsia" w:eastAsiaTheme="minorEastAsia" w:cstheme="minorEastAsia"/>
          <w:b/>
          <w:sz w:val="24"/>
          <w:shd w:val="clear" w:color="auto" w:fill="FFFFFF"/>
        </w:rPr>
        <w:t>售后服务、服务期</w:t>
      </w:r>
    </w:p>
    <w:p w14:paraId="5B875859">
      <w:pPr>
        <w:snapToGrid w:val="0"/>
        <w:spacing w:line="360" w:lineRule="auto"/>
        <w:ind w:firstLine="480" w:firstLineChars="200"/>
        <w:rPr>
          <w:rFonts w:hint="eastAsia" w:asciiTheme="minorEastAsia" w:hAnsiTheme="minorEastAsia" w:eastAsiaTheme="minorEastAsia" w:cstheme="minorEastAsia"/>
          <w:sz w:val="24"/>
          <w:u w:val="single"/>
          <w:shd w:val="clear" w:color="auto" w:fill="FFFFFF"/>
        </w:rPr>
      </w:pPr>
      <w:r>
        <w:rPr>
          <w:rFonts w:hint="eastAsia" w:asciiTheme="minorEastAsia" w:hAnsiTheme="minorEastAsia" w:eastAsiaTheme="minorEastAsia" w:cstheme="minorEastAsia"/>
          <w:sz w:val="24"/>
          <w:shd w:val="clear" w:color="auto" w:fill="FFFFFF"/>
        </w:rPr>
        <w:t>乙方所提供的服务必须与招投标文件和承诺相一致且符合相应的服务规范及标准。</w:t>
      </w:r>
    </w:p>
    <w:p w14:paraId="12BC3B36">
      <w:pPr>
        <w:snapToGrid w:val="0"/>
        <w:spacing w:line="360" w:lineRule="auto"/>
        <w:ind w:firstLine="482" w:firstLineChars="200"/>
        <w:rPr>
          <w:rFonts w:hint="eastAsia" w:asciiTheme="minorEastAsia" w:hAnsiTheme="minorEastAsia" w:eastAsiaTheme="minorEastAsia" w:cstheme="minorEastAsia"/>
          <w:b/>
          <w:sz w:val="24"/>
          <w:shd w:val="clear" w:color="auto" w:fill="FFFFFF"/>
        </w:rPr>
      </w:pPr>
      <w:r>
        <w:rPr>
          <w:rFonts w:hint="eastAsia" w:asciiTheme="minorEastAsia" w:hAnsiTheme="minorEastAsia" w:eastAsiaTheme="minorEastAsia" w:cstheme="minorEastAsia"/>
          <w:b/>
          <w:sz w:val="24"/>
          <w:shd w:val="clear" w:color="auto" w:fill="FFFFFF"/>
        </w:rPr>
        <w:t>第</w:t>
      </w:r>
      <w:r>
        <w:rPr>
          <w:rFonts w:hint="eastAsia" w:asciiTheme="minorEastAsia" w:hAnsiTheme="minorEastAsia" w:eastAsiaTheme="minorEastAsia" w:cstheme="minorEastAsia"/>
          <w:b/>
          <w:sz w:val="24"/>
          <w:shd w:val="clear" w:color="auto" w:fill="FFFFFF"/>
          <w:lang w:val="en-US" w:eastAsia="zh-CN"/>
        </w:rPr>
        <w:t>五</w:t>
      </w:r>
      <w:r>
        <w:rPr>
          <w:rFonts w:hint="eastAsia" w:asciiTheme="minorEastAsia" w:hAnsiTheme="minorEastAsia" w:eastAsiaTheme="minorEastAsia" w:cstheme="minorEastAsia"/>
          <w:b/>
          <w:sz w:val="24"/>
          <w:shd w:val="clear" w:color="auto" w:fill="FFFFFF"/>
        </w:rPr>
        <w:t>条 付款方式</w:t>
      </w:r>
    </w:p>
    <w:p w14:paraId="3ABD4261">
      <w:pPr>
        <w:snapToGrid w:val="0"/>
        <w:spacing w:line="360" w:lineRule="auto"/>
        <w:ind w:left="-59" w:leftChars="-28" w:firstLine="480" w:firstLineChars="200"/>
        <w:rPr>
          <w:rFonts w:hint="eastAsia" w:asciiTheme="minorEastAsia" w:hAnsiTheme="minorEastAsia" w:eastAsiaTheme="minorEastAsia" w:cstheme="minorEastAsia"/>
          <w:sz w:val="24"/>
          <w:shd w:val="clear" w:color="auto" w:fill="FFFFFF"/>
        </w:rPr>
      </w:pPr>
      <w:r>
        <w:rPr>
          <w:rFonts w:hint="eastAsia" w:asciiTheme="minorEastAsia" w:hAnsiTheme="minorEastAsia" w:eastAsiaTheme="minorEastAsia" w:cstheme="minorEastAsia"/>
          <w:sz w:val="24"/>
          <w:shd w:val="clear" w:color="auto" w:fill="FFFFFF"/>
          <w:lang w:val="en-US" w:eastAsia="zh-CN"/>
        </w:rPr>
        <w:t>1.</w:t>
      </w:r>
      <w:r>
        <w:rPr>
          <w:rFonts w:hint="eastAsia" w:asciiTheme="minorEastAsia" w:hAnsiTheme="minorEastAsia" w:eastAsiaTheme="minorEastAsia" w:cstheme="minorEastAsia"/>
          <w:sz w:val="24"/>
          <w:shd w:val="clear" w:color="auto" w:fill="FFFFFF"/>
        </w:rPr>
        <w:t>本项目按月付款，每月支付一次。全部货物验收合格后，</w:t>
      </w:r>
      <w:r>
        <w:rPr>
          <w:rFonts w:hint="eastAsia" w:ascii="宋体" w:hAnsi="宋体" w:cs="宋体"/>
          <w:color w:val="auto"/>
          <w:sz w:val="24"/>
          <w:szCs w:val="24"/>
          <w:lang w:val="en-US" w:eastAsia="zh-CN"/>
        </w:rPr>
        <w:t>甲方</w:t>
      </w:r>
      <w:r>
        <w:rPr>
          <w:rFonts w:hint="eastAsia" w:ascii="宋体" w:hAnsi="宋体" w:eastAsia="宋体" w:cs="宋体"/>
          <w:color w:val="auto"/>
          <w:sz w:val="24"/>
          <w:szCs w:val="24"/>
          <w:lang w:val="en-US" w:eastAsia="zh-CN"/>
        </w:rPr>
        <w:t>与</w:t>
      </w:r>
      <w:r>
        <w:rPr>
          <w:rFonts w:hint="eastAsia" w:ascii="宋体" w:hAnsi="宋体" w:cs="宋体"/>
          <w:color w:val="auto"/>
          <w:sz w:val="24"/>
          <w:szCs w:val="24"/>
          <w:lang w:val="en-US" w:eastAsia="zh-CN"/>
        </w:rPr>
        <w:t>乙方</w:t>
      </w:r>
      <w:r>
        <w:rPr>
          <w:rFonts w:hint="eastAsia" w:ascii="宋体" w:hAnsi="宋体" w:eastAsia="宋体" w:cs="宋体"/>
          <w:color w:val="auto"/>
          <w:sz w:val="24"/>
          <w:szCs w:val="24"/>
        </w:rPr>
        <w:t>双方对考核表扣减费用进行核对后</w:t>
      </w:r>
      <w:r>
        <w:rPr>
          <w:rFonts w:hint="eastAsia" w:ascii="宋体" w:hAnsi="宋体" w:eastAsia="宋体" w:cs="宋体"/>
          <w:color w:val="auto"/>
          <w:sz w:val="24"/>
          <w:szCs w:val="24"/>
          <w:lang w:eastAsia="zh-CN"/>
        </w:rPr>
        <w:t>，</w:t>
      </w:r>
      <w:r>
        <w:rPr>
          <w:rFonts w:hint="eastAsia" w:asciiTheme="minorEastAsia" w:hAnsiTheme="minorEastAsia" w:eastAsiaTheme="minorEastAsia" w:cstheme="minorEastAsia"/>
          <w:sz w:val="24"/>
          <w:shd w:val="clear" w:color="auto" w:fill="FFFFFF"/>
        </w:rPr>
        <w:t>按照供货数量结算，乙方将发票等相关付款资料交予甲方，甲方次月</w:t>
      </w:r>
      <w:r>
        <w:rPr>
          <w:rFonts w:hint="eastAsia" w:ascii="宋体" w:hAnsi="宋体" w:cs="宋体"/>
          <w:bCs/>
          <w:color w:val="000000"/>
          <w:kern w:val="0"/>
          <w:sz w:val="24"/>
          <w:szCs w:val="24"/>
        </w:rPr>
        <w:t>自材料审核完成之日起</w:t>
      </w:r>
      <w:r>
        <w:rPr>
          <w:rFonts w:hint="eastAsia" w:asciiTheme="minorEastAsia" w:hAnsiTheme="minorEastAsia" w:eastAsiaTheme="minorEastAsia" w:cstheme="minorEastAsia"/>
          <w:sz w:val="24"/>
          <w:shd w:val="clear" w:color="auto" w:fill="FFFFFF"/>
        </w:rPr>
        <w:t>15个工作日内付款。</w:t>
      </w:r>
    </w:p>
    <w:p w14:paraId="623D7D98">
      <w:pPr>
        <w:snapToGrid w:val="0"/>
        <w:spacing w:line="360" w:lineRule="auto"/>
        <w:ind w:left="-59" w:leftChars="-28" w:firstLine="480" w:firstLineChars="200"/>
        <w:rPr>
          <w:rFonts w:hint="eastAsia" w:asciiTheme="minorEastAsia" w:hAnsiTheme="minorEastAsia" w:eastAsiaTheme="minorEastAsia" w:cstheme="minorEastAsia"/>
          <w:sz w:val="24"/>
          <w:shd w:val="clear" w:color="auto" w:fill="FFFFFF"/>
        </w:rPr>
      </w:pPr>
      <w:r>
        <w:rPr>
          <w:rFonts w:hint="eastAsia" w:asciiTheme="minorEastAsia" w:hAnsiTheme="minorEastAsia" w:eastAsiaTheme="minorEastAsia" w:cstheme="minorEastAsia"/>
          <w:sz w:val="24"/>
          <w:shd w:val="clear" w:color="auto" w:fill="FFFFFF"/>
        </w:rPr>
        <w:t>2.结算金额=配送数量（以验收单记载数量为准）×实际供货价单价；</w:t>
      </w:r>
    </w:p>
    <w:p w14:paraId="46D7E6F9">
      <w:pPr>
        <w:snapToGrid w:val="0"/>
        <w:spacing w:line="360" w:lineRule="auto"/>
        <w:ind w:left="-59" w:leftChars="-28" w:firstLine="480" w:firstLineChars="200"/>
        <w:rPr>
          <w:rFonts w:hint="eastAsia" w:asciiTheme="minorEastAsia" w:hAnsiTheme="minorEastAsia" w:eastAsiaTheme="minorEastAsia" w:cstheme="minorEastAsia"/>
          <w:sz w:val="24"/>
          <w:shd w:val="clear" w:color="auto" w:fill="FFFFFF"/>
        </w:rPr>
      </w:pPr>
      <w:r>
        <w:rPr>
          <w:rFonts w:hint="eastAsia" w:asciiTheme="minorEastAsia" w:hAnsiTheme="minorEastAsia" w:eastAsiaTheme="minorEastAsia" w:cstheme="minorEastAsia"/>
          <w:sz w:val="24"/>
          <w:shd w:val="clear" w:color="auto" w:fill="FFFFFF"/>
        </w:rPr>
        <w:t>3</w:t>
      </w:r>
      <w:r>
        <w:rPr>
          <w:rFonts w:hint="eastAsia" w:asciiTheme="minorEastAsia" w:hAnsiTheme="minorEastAsia" w:eastAsiaTheme="minorEastAsia" w:cstheme="minorEastAsia"/>
          <w:sz w:val="24"/>
          <w:shd w:val="clear" w:color="auto" w:fill="FFFFFF"/>
          <w:lang w:val="en-US" w:eastAsia="zh-CN"/>
        </w:rPr>
        <w:t>.</w:t>
      </w:r>
      <w:r>
        <w:rPr>
          <w:rFonts w:hint="eastAsia" w:asciiTheme="minorEastAsia" w:hAnsiTheme="minorEastAsia" w:eastAsiaTheme="minorEastAsia" w:cstheme="minorEastAsia"/>
          <w:sz w:val="24"/>
          <w:shd w:val="clear" w:color="auto" w:fill="FFFFFF"/>
        </w:rPr>
        <w:t>付款前乙方必须提供真实、有效、合法的正式发票，一旦发现乙方提供虚假发票，除须向甲方补开合法发票外，还须赔偿甲方发票票面金额一倍的违约金，且甲方有权终止合同，乙方不得提出异议，因终止合同而产生的一切损失均由乙方承担。</w:t>
      </w:r>
    </w:p>
    <w:p w14:paraId="1082587D">
      <w:pPr>
        <w:pStyle w:val="19"/>
        <w:spacing w:line="360" w:lineRule="auto"/>
        <w:ind w:firstLine="480" w:firstLineChars="200"/>
        <w:rPr>
          <w:rFonts w:hint="default" w:eastAsiaTheme="minorEastAsia"/>
          <w:sz w:val="24"/>
          <w:szCs w:val="24"/>
          <w:lang w:val="en-US" w:eastAsia="zh-CN"/>
        </w:rPr>
      </w:pPr>
      <w:r>
        <w:rPr>
          <w:rFonts w:hint="eastAsia" w:asciiTheme="minorEastAsia" w:hAnsiTheme="minorEastAsia" w:eastAsiaTheme="minorEastAsia" w:cstheme="minorEastAsia"/>
          <w:sz w:val="24"/>
          <w:szCs w:val="24"/>
          <w:shd w:val="clear" w:color="auto" w:fill="FFFFFF"/>
          <w:lang w:val="en-US" w:eastAsia="zh-CN"/>
        </w:rPr>
        <w:t>4.若服务期内，“河北馆陶鸡蛋报价”的“精品菜花黄蛋托（粉蛋） 净重45斤”公布基准价的公众号停止更新，甲方应在7 个工作日内与乙方协商，通过市场询价方式供货，询价应遵循不少于 3 家合格供应商有效报价、取合理低价原则，询价结果不得高于同期同品质产品市场公允价，询价确定的价格为实际供货价格，不再根据浮动率进行浮动。若双方协商无法就询价方式达成一致，导致合同无法继续履行，双方应书面确认并按政府采购规定程序终止，已履约部分据实结算。</w:t>
      </w:r>
    </w:p>
    <w:p w14:paraId="02A83F2E">
      <w:pPr>
        <w:snapToGrid w:val="0"/>
        <w:spacing w:line="360" w:lineRule="auto"/>
        <w:ind w:left="-59" w:leftChars="-28" w:firstLine="482" w:firstLineChars="200"/>
        <w:rPr>
          <w:rFonts w:hint="eastAsia" w:asciiTheme="minorEastAsia" w:hAnsiTheme="minorEastAsia" w:eastAsiaTheme="minorEastAsia" w:cstheme="minorEastAsia"/>
          <w:b/>
          <w:sz w:val="24"/>
          <w:shd w:val="clear" w:color="auto" w:fill="FFFFFF"/>
        </w:rPr>
      </w:pPr>
      <w:r>
        <w:rPr>
          <w:rFonts w:hint="eastAsia" w:asciiTheme="minorEastAsia" w:hAnsiTheme="minorEastAsia" w:eastAsiaTheme="minorEastAsia" w:cstheme="minorEastAsia"/>
          <w:b/>
          <w:sz w:val="24"/>
          <w:shd w:val="clear" w:color="auto" w:fill="FFFFFF"/>
        </w:rPr>
        <w:t>第</w:t>
      </w:r>
      <w:r>
        <w:rPr>
          <w:rFonts w:hint="eastAsia" w:asciiTheme="minorEastAsia" w:hAnsiTheme="minorEastAsia" w:eastAsiaTheme="minorEastAsia" w:cstheme="minorEastAsia"/>
          <w:b/>
          <w:sz w:val="24"/>
          <w:shd w:val="clear" w:color="auto" w:fill="FFFFFF"/>
          <w:lang w:val="en-US" w:eastAsia="zh-CN"/>
        </w:rPr>
        <w:t>六</w:t>
      </w:r>
      <w:r>
        <w:rPr>
          <w:rFonts w:hint="eastAsia" w:asciiTheme="minorEastAsia" w:hAnsiTheme="minorEastAsia" w:eastAsiaTheme="minorEastAsia" w:cstheme="minorEastAsia"/>
          <w:b/>
          <w:sz w:val="24"/>
          <w:shd w:val="clear" w:color="auto" w:fill="FFFFFF"/>
        </w:rPr>
        <w:t>条 履约保证金</w:t>
      </w:r>
    </w:p>
    <w:p w14:paraId="57083DA7">
      <w:pPr>
        <w:snapToGrid w:val="0"/>
        <w:spacing w:line="360" w:lineRule="auto"/>
        <w:ind w:left="-59" w:leftChars="-28" w:firstLine="480" w:firstLineChars="200"/>
        <w:rPr>
          <w:rFonts w:hint="eastAsia" w:asciiTheme="minorEastAsia" w:hAnsiTheme="minorEastAsia" w:eastAsiaTheme="minorEastAsia" w:cstheme="minorEastAsia"/>
          <w:sz w:val="24"/>
          <w:szCs w:val="24"/>
          <w:shd w:val="clear" w:color="auto" w:fill="FFFFFF"/>
        </w:rPr>
      </w:pPr>
      <w:r>
        <w:rPr>
          <w:rFonts w:hint="eastAsia" w:asciiTheme="minorEastAsia" w:hAnsiTheme="minorEastAsia" w:eastAsiaTheme="minorEastAsia" w:cstheme="minorEastAsia"/>
          <w:sz w:val="24"/>
          <w:shd w:val="clear" w:color="auto" w:fill="FFFFFF"/>
        </w:rPr>
        <w:t>履约保证金金额：</w:t>
      </w:r>
      <w:r>
        <w:rPr>
          <w:rFonts w:hint="eastAsia" w:asciiTheme="minorEastAsia" w:hAnsiTheme="minorEastAsia" w:eastAsiaTheme="minorEastAsia" w:cstheme="minorEastAsia"/>
          <w:sz w:val="24"/>
          <w:szCs w:val="24"/>
          <w:shd w:val="clear" w:color="auto" w:fill="FFFFFF"/>
        </w:rPr>
        <w:t>按</w:t>
      </w:r>
      <w:r>
        <w:rPr>
          <w:rFonts w:hint="eastAsia" w:asciiTheme="minorEastAsia" w:hAnsiTheme="minorEastAsia" w:eastAsiaTheme="minorEastAsia" w:cstheme="minorEastAsia"/>
          <w:sz w:val="24"/>
          <w:szCs w:val="24"/>
          <w:shd w:val="clear" w:color="auto" w:fill="FFFFFF"/>
          <w:lang w:val="en-US" w:eastAsia="zh-CN"/>
        </w:rPr>
        <w:t>合同</w:t>
      </w:r>
      <w:r>
        <w:rPr>
          <w:rFonts w:hint="eastAsia" w:asciiTheme="minorEastAsia" w:hAnsiTheme="minorEastAsia" w:eastAsiaTheme="minorEastAsia" w:cstheme="minorEastAsia"/>
          <w:sz w:val="24"/>
          <w:szCs w:val="24"/>
          <w:shd w:val="clear" w:color="auto" w:fill="FFFFFF"/>
        </w:rPr>
        <w:t>金额的</w:t>
      </w:r>
      <w:r>
        <w:rPr>
          <w:rFonts w:hint="eastAsia" w:asciiTheme="minorEastAsia" w:hAnsiTheme="minorEastAsia" w:eastAsiaTheme="minorEastAsia" w:cstheme="minorEastAsia"/>
          <w:sz w:val="24"/>
          <w:szCs w:val="24"/>
          <w:shd w:val="clear" w:color="auto" w:fill="FFFFFF"/>
          <w:lang w:val="en-US" w:eastAsia="zh-CN"/>
        </w:rPr>
        <w:t>2</w:t>
      </w:r>
      <w:r>
        <w:rPr>
          <w:rFonts w:hint="eastAsia" w:asciiTheme="minorEastAsia" w:hAnsiTheme="minorEastAsia" w:eastAsiaTheme="minorEastAsia" w:cstheme="minorEastAsia"/>
          <w:sz w:val="24"/>
          <w:szCs w:val="24"/>
          <w:shd w:val="clear" w:color="auto" w:fill="FFFFFF"/>
        </w:rPr>
        <w:t>%</w:t>
      </w:r>
      <w:r>
        <w:rPr>
          <w:rFonts w:hint="eastAsia" w:asciiTheme="minorEastAsia" w:hAnsiTheme="minorEastAsia" w:eastAsiaTheme="minorEastAsia" w:cstheme="minorEastAsia"/>
          <w:sz w:val="21"/>
          <w:szCs w:val="21"/>
          <w:shd w:val="clear" w:color="auto" w:fill="FFFFFF"/>
          <w:lang w:eastAsia="zh-CN"/>
        </w:rPr>
        <w:t>（</w:t>
      </w:r>
      <w:r>
        <w:rPr>
          <w:rFonts w:hint="eastAsia" w:asciiTheme="minorEastAsia" w:hAnsiTheme="minorEastAsia" w:eastAsiaTheme="minorEastAsia" w:cstheme="minorEastAsia"/>
          <w:sz w:val="21"/>
          <w:szCs w:val="21"/>
          <w:shd w:val="clear" w:color="auto" w:fill="FFFFFF"/>
          <w:lang w:val="en-US" w:eastAsia="zh-CN"/>
        </w:rPr>
        <w:t>¥48000.00元</w:t>
      </w:r>
      <w:r>
        <w:rPr>
          <w:rFonts w:hint="eastAsia" w:asciiTheme="minorEastAsia" w:hAnsiTheme="minorEastAsia" w:eastAsiaTheme="minorEastAsia" w:cstheme="minorEastAsia"/>
          <w:sz w:val="21"/>
          <w:szCs w:val="21"/>
          <w:shd w:val="clear" w:color="auto" w:fill="FFFFFF"/>
          <w:lang w:eastAsia="zh-CN"/>
        </w:rPr>
        <w:t>）</w:t>
      </w:r>
      <w:r>
        <w:rPr>
          <w:rFonts w:hint="eastAsia" w:asciiTheme="minorEastAsia" w:hAnsiTheme="minorEastAsia" w:eastAsiaTheme="minorEastAsia" w:cstheme="minorEastAsia"/>
          <w:sz w:val="24"/>
          <w:szCs w:val="24"/>
          <w:shd w:val="clear" w:color="auto" w:fill="FFFFFF"/>
        </w:rPr>
        <w:t>向</w:t>
      </w:r>
      <w:r>
        <w:rPr>
          <w:rFonts w:hint="eastAsia" w:asciiTheme="minorEastAsia" w:hAnsiTheme="minorEastAsia" w:eastAsiaTheme="minorEastAsia" w:cstheme="minorEastAsia"/>
          <w:sz w:val="24"/>
          <w:szCs w:val="24"/>
          <w:shd w:val="clear" w:color="auto" w:fill="FFFFFF"/>
          <w:lang w:val="en-US" w:eastAsia="zh-CN"/>
        </w:rPr>
        <w:t>甲方</w:t>
      </w:r>
      <w:r>
        <w:rPr>
          <w:rFonts w:hint="eastAsia" w:asciiTheme="minorEastAsia" w:hAnsiTheme="minorEastAsia" w:eastAsiaTheme="minorEastAsia" w:cstheme="minorEastAsia"/>
          <w:sz w:val="24"/>
          <w:szCs w:val="24"/>
          <w:shd w:val="clear" w:color="auto" w:fill="FFFFFF"/>
        </w:rPr>
        <w:t>支付履约保证金，在合同签订前提交至指定账户或保函原件交至</w:t>
      </w:r>
      <w:r>
        <w:rPr>
          <w:rFonts w:hint="eastAsia" w:asciiTheme="minorEastAsia" w:hAnsiTheme="minorEastAsia" w:eastAsiaTheme="minorEastAsia" w:cstheme="minorEastAsia"/>
          <w:sz w:val="24"/>
          <w:szCs w:val="24"/>
          <w:shd w:val="clear" w:color="auto" w:fill="FFFFFF"/>
          <w:lang w:val="en-US" w:eastAsia="zh-CN"/>
        </w:rPr>
        <w:t>甲方</w:t>
      </w:r>
      <w:r>
        <w:rPr>
          <w:rFonts w:hint="eastAsia" w:asciiTheme="minorEastAsia" w:hAnsiTheme="minorEastAsia" w:eastAsiaTheme="minorEastAsia" w:cstheme="minorEastAsia"/>
          <w:sz w:val="24"/>
          <w:szCs w:val="24"/>
          <w:shd w:val="clear" w:color="auto" w:fill="FFFFFF"/>
        </w:rPr>
        <w:t>保管。</w:t>
      </w:r>
    </w:p>
    <w:p w14:paraId="41F1192E">
      <w:pPr>
        <w:widowControl/>
        <w:snapToGrid w:val="0"/>
        <w:spacing w:line="360" w:lineRule="auto"/>
        <w:ind w:left="-59" w:leftChars="-28" w:firstLine="480" w:firstLineChars="200"/>
        <w:jc w:val="left"/>
        <w:rPr>
          <w:rFonts w:hint="eastAsia" w:asciiTheme="minorEastAsia" w:hAnsiTheme="minorEastAsia" w:eastAsiaTheme="minorEastAsia" w:cstheme="minorEastAsia"/>
          <w:sz w:val="24"/>
          <w:szCs w:val="24"/>
          <w:shd w:val="clear" w:color="auto" w:fill="FFFFFF"/>
        </w:rPr>
      </w:pPr>
      <w:r>
        <w:rPr>
          <w:rFonts w:hint="eastAsia" w:asciiTheme="minorEastAsia" w:hAnsiTheme="minorEastAsia" w:eastAsiaTheme="minorEastAsia" w:cstheme="minorEastAsia"/>
          <w:sz w:val="24"/>
          <w:szCs w:val="24"/>
          <w:shd w:val="clear" w:color="auto" w:fill="FFFFFF"/>
        </w:rPr>
        <w:t>递交方式：以银行转账、支票、汇票、本票或者金融机构、担保机构出具的保函等非现金形式提交。</w:t>
      </w:r>
    </w:p>
    <w:p w14:paraId="0D5A32E6">
      <w:pPr>
        <w:snapToGrid w:val="0"/>
        <w:spacing w:line="360" w:lineRule="auto"/>
        <w:ind w:left="-59" w:leftChars="-28" w:firstLine="480" w:firstLineChars="200"/>
        <w:rPr>
          <w:rFonts w:hint="eastAsia" w:asciiTheme="minorEastAsia" w:hAnsiTheme="minorEastAsia" w:eastAsiaTheme="minorEastAsia" w:cstheme="minorEastAsia"/>
          <w:sz w:val="24"/>
          <w:shd w:val="clear" w:color="auto" w:fill="FFFFFF"/>
        </w:rPr>
      </w:pPr>
      <w:r>
        <w:rPr>
          <w:rFonts w:hint="eastAsia" w:asciiTheme="minorEastAsia" w:hAnsiTheme="minorEastAsia" w:eastAsiaTheme="minorEastAsia" w:cstheme="minorEastAsia"/>
          <w:sz w:val="24"/>
          <w:szCs w:val="24"/>
          <w:shd w:val="clear" w:color="auto" w:fill="FFFFFF"/>
        </w:rPr>
        <w:t>履约保证金退付方式、时间及条件：本项目服务期满，</w:t>
      </w:r>
      <w:r>
        <w:rPr>
          <w:rFonts w:hint="eastAsia" w:asciiTheme="minorEastAsia" w:hAnsiTheme="minorEastAsia" w:eastAsiaTheme="minorEastAsia" w:cstheme="minorEastAsia"/>
          <w:sz w:val="24"/>
          <w:szCs w:val="24"/>
          <w:shd w:val="clear" w:color="auto" w:fill="FFFFFF"/>
          <w:lang w:val="en-US" w:eastAsia="zh-CN"/>
        </w:rPr>
        <w:t>乙方</w:t>
      </w:r>
      <w:r>
        <w:rPr>
          <w:rFonts w:hint="eastAsia" w:asciiTheme="minorEastAsia" w:hAnsiTheme="minorEastAsia" w:eastAsiaTheme="minorEastAsia" w:cstheme="minorEastAsia"/>
          <w:sz w:val="24"/>
          <w:szCs w:val="24"/>
          <w:shd w:val="clear" w:color="auto" w:fill="FFFFFF"/>
        </w:rPr>
        <w:t>履行完服务义务且无违约情况下无息退付。由</w:t>
      </w:r>
      <w:r>
        <w:rPr>
          <w:rFonts w:hint="eastAsia" w:asciiTheme="minorEastAsia" w:hAnsiTheme="minorEastAsia" w:eastAsiaTheme="minorEastAsia" w:cstheme="minorEastAsia"/>
          <w:sz w:val="24"/>
          <w:szCs w:val="24"/>
          <w:shd w:val="clear" w:color="auto" w:fill="FFFFFF"/>
          <w:lang w:val="en-US" w:eastAsia="zh-CN"/>
        </w:rPr>
        <w:t>乙方</w:t>
      </w:r>
      <w:r>
        <w:rPr>
          <w:rFonts w:hint="eastAsia" w:asciiTheme="minorEastAsia" w:hAnsiTheme="minorEastAsia" w:eastAsiaTheme="minorEastAsia" w:cstheme="minorEastAsia"/>
          <w:sz w:val="24"/>
          <w:szCs w:val="24"/>
          <w:shd w:val="clear" w:color="auto" w:fill="FFFFFF"/>
        </w:rPr>
        <w:t>向履约保证金收取单位提供《广西壮族自治区政府采购项目合同验收书》（详见桂财采〔2015〕22号），保证金收取单位在收到合格材料后5个工作日内办理退还手续</w:t>
      </w:r>
      <w:r>
        <w:rPr>
          <w:rFonts w:hint="eastAsia" w:asciiTheme="minorEastAsia" w:hAnsiTheme="minorEastAsia" w:eastAsiaTheme="minorEastAsia" w:cstheme="minorEastAsia"/>
          <w:sz w:val="24"/>
          <w:shd w:val="clear" w:color="auto" w:fill="FFFFFF"/>
        </w:rPr>
        <w:t>。</w:t>
      </w:r>
    </w:p>
    <w:p w14:paraId="4A368ACB">
      <w:pPr>
        <w:snapToGrid w:val="0"/>
        <w:spacing w:line="360" w:lineRule="auto"/>
        <w:ind w:left="-59" w:leftChars="-28" w:firstLine="480" w:firstLineChars="200"/>
        <w:rPr>
          <w:rFonts w:hint="eastAsia" w:asciiTheme="minorEastAsia" w:hAnsiTheme="minorEastAsia" w:eastAsiaTheme="minorEastAsia" w:cstheme="minorEastAsia"/>
          <w:sz w:val="24"/>
          <w:shd w:val="clear" w:color="auto" w:fill="FFFFFF"/>
        </w:rPr>
      </w:pPr>
      <w:r>
        <w:rPr>
          <w:rFonts w:hint="eastAsia" w:asciiTheme="minorEastAsia" w:hAnsiTheme="minorEastAsia" w:eastAsiaTheme="minorEastAsia" w:cstheme="minorEastAsia"/>
          <w:sz w:val="24"/>
          <w:shd w:val="clear" w:color="auto" w:fill="FFFFFF"/>
        </w:rPr>
        <w:t>履约保证金指定账户：</w:t>
      </w:r>
    </w:p>
    <w:p w14:paraId="6781F889">
      <w:pPr>
        <w:snapToGrid w:val="0"/>
        <w:spacing w:line="360" w:lineRule="auto"/>
        <w:ind w:left="-59" w:leftChars="-28" w:firstLine="480" w:firstLineChars="200"/>
        <w:rPr>
          <w:rFonts w:hint="eastAsia" w:asciiTheme="minorEastAsia" w:hAnsiTheme="minorEastAsia" w:eastAsiaTheme="minorEastAsia" w:cstheme="minorEastAsia"/>
          <w:sz w:val="24"/>
          <w:shd w:val="clear" w:color="auto" w:fill="FFFFFF"/>
        </w:rPr>
      </w:pPr>
      <w:r>
        <w:rPr>
          <w:rFonts w:hint="eastAsia" w:asciiTheme="minorEastAsia" w:hAnsiTheme="minorEastAsia" w:eastAsiaTheme="minorEastAsia" w:cstheme="minorEastAsia"/>
          <w:sz w:val="24"/>
          <w:shd w:val="clear" w:color="auto" w:fill="FFFFFF"/>
        </w:rPr>
        <w:t>开户名：广西医科大学第一附属医院</w:t>
      </w:r>
    </w:p>
    <w:p w14:paraId="585A06E6">
      <w:pPr>
        <w:snapToGrid w:val="0"/>
        <w:spacing w:line="360" w:lineRule="auto"/>
        <w:ind w:left="-59" w:leftChars="-28" w:firstLine="480" w:firstLineChars="200"/>
        <w:rPr>
          <w:rFonts w:hint="eastAsia" w:asciiTheme="minorEastAsia" w:hAnsiTheme="minorEastAsia" w:eastAsiaTheme="minorEastAsia" w:cstheme="minorEastAsia"/>
          <w:sz w:val="24"/>
          <w:shd w:val="clear" w:color="auto" w:fill="FFFFFF"/>
        </w:rPr>
      </w:pPr>
      <w:r>
        <w:rPr>
          <w:rFonts w:hint="eastAsia" w:asciiTheme="minorEastAsia" w:hAnsiTheme="minorEastAsia" w:eastAsiaTheme="minorEastAsia" w:cstheme="minorEastAsia"/>
          <w:sz w:val="24"/>
          <w:shd w:val="clear" w:color="auto" w:fill="FFFFFF"/>
        </w:rPr>
        <w:t>开户行：中国建设银行股份有限公司南宁医科大支行</w:t>
      </w:r>
    </w:p>
    <w:p w14:paraId="3E9A7875">
      <w:pPr>
        <w:snapToGrid w:val="0"/>
        <w:spacing w:line="360" w:lineRule="auto"/>
        <w:ind w:left="-59" w:leftChars="-28" w:firstLine="480" w:firstLineChars="200"/>
        <w:rPr>
          <w:rFonts w:hint="eastAsia" w:asciiTheme="minorEastAsia" w:hAnsiTheme="minorEastAsia" w:eastAsiaTheme="minorEastAsia" w:cstheme="minorEastAsia"/>
          <w:sz w:val="24"/>
          <w:shd w:val="clear" w:color="auto" w:fill="FFFFFF"/>
        </w:rPr>
      </w:pPr>
      <w:r>
        <w:rPr>
          <w:rFonts w:hint="eastAsia" w:asciiTheme="minorEastAsia" w:hAnsiTheme="minorEastAsia" w:eastAsiaTheme="minorEastAsia" w:cstheme="minorEastAsia"/>
          <w:sz w:val="24"/>
          <w:shd w:val="clear" w:color="auto" w:fill="FFFFFF"/>
        </w:rPr>
        <w:t>账号：45001604560050501061。</w:t>
      </w:r>
    </w:p>
    <w:p w14:paraId="2EAE8F33">
      <w:pPr>
        <w:snapToGrid w:val="0"/>
        <w:spacing w:line="360" w:lineRule="auto"/>
        <w:ind w:left="-59" w:leftChars="-28" w:firstLine="482" w:firstLineChars="200"/>
        <w:rPr>
          <w:rFonts w:hint="eastAsia" w:asciiTheme="minorEastAsia" w:hAnsiTheme="minorEastAsia" w:eastAsiaTheme="minorEastAsia" w:cstheme="minorEastAsia"/>
          <w:b/>
          <w:sz w:val="24"/>
          <w:shd w:val="clear" w:color="auto" w:fill="FFFFFF"/>
        </w:rPr>
      </w:pPr>
      <w:r>
        <w:rPr>
          <w:rFonts w:hint="eastAsia" w:asciiTheme="minorEastAsia" w:hAnsiTheme="minorEastAsia" w:eastAsiaTheme="minorEastAsia" w:cstheme="minorEastAsia"/>
          <w:b/>
          <w:sz w:val="24"/>
          <w:shd w:val="clear" w:color="auto" w:fill="FFFFFF"/>
        </w:rPr>
        <w:t>第</w:t>
      </w:r>
      <w:r>
        <w:rPr>
          <w:rFonts w:hint="eastAsia" w:asciiTheme="minorEastAsia" w:hAnsiTheme="minorEastAsia" w:eastAsiaTheme="minorEastAsia" w:cstheme="minorEastAsia"/>
          <w:b/>
          <w:sz w:val="24"/>
          <w:shd w:val="clear" w:color="auto" w:fill="FFFFFF"/>
          <w:lang w:val="en-US" w:eastAsia="zh-CN"/>
        </w:rPr>
        <w:t>七</w:t>
      </w:r>
      <w:r>
        <w:rPr>
          <w:rFonts w:hint="eastAsia" w:asciiTheme="minorEastAsia" w:hAnsiTheme="minorEastAsia" w:eastAsiaTheme="minorEastAsia" w:cstheme="minorEastAsia"/>
          <w:b/>
          <w:sz w:val="24"/>
          <w:shd w:val="clear" w:color="auto" w:fill="FFFFFF"/>
        </w:rPr>
        <w:t>条 税费</w:t>
      </w:r>
    </w:p>
    <w:p w14:paraId="6DFF2190">
      <w:pPr>
        <w:snapToGrid w:val="0"/>
        <w:spacing w:line="360" w:lineRule="auto"/>
        <w:ind w:left="-59" w:leftChars="-28" w:firstLine="480" w:firstLineChars="200"/>
        <w:rPr>
          <w:rFonts w:hint="eastAsia" w:asciiTheme="minorEastAsia" w:hAnsiTheme="minorEastAsia" w:eastAsiaTheme="minorEastAsia" w:cstheme="minorEastAsia"/>
          <w:b w:val="0"/>
          <w:bCs/>
          <w:sz w:val="24"/>
          <w:shd w:val="clear" w:color="auto" w:fill="FFFFFF"/>
        </w:rPr>
      </w:pPr>
      <w:r>
        <w:rPr>
          <w:rFonts w:hint="eastAsia" w:asciiTheme="minorEastAsia" w:hAnsiTheme="minorEastAsia" w:eastAsiaTheme="minorEastAsia" w:cstheme="minorEastAsia"/>
          <w:b w:val="0"/>
          <w:bCs/>
          <w:sz w:val="24"/>
          <w:shd w:val="clear" w:color="auto" w:fill="FFFFFF"/>
        </w:rPr>
        <w:t>本合同执行中相关的一切税费均由乙方负担。</w:t>
      </w:r>
    </w:p>
    <w:p w14:paraId="1F38D1DB">
      <w:pPr>
        <w:snapToGrid w:val="0"/>
        <w:spacing w:line="360" w:lineRule="auto"/>
        <w:ind w:left="-59" w:leftChars="-28" w:firstLine="482" w:firstLineChars="200"/>
        <w:rPr>
          <w:rFonts w:hint="eastAsia" w:asciiTheme="minorEastAsia" w:hAnsiTheme="minorEastAsia" w:eastAsiaTheme="minorEastAsia" w:cstheme="minorEastAsia"/>
          <w:b/>
          <w:sz w:val="24"/>
          <w:shd w:val="clear" w:color="auto" w:fill="FFFFFF"/>
          <w:lang w:val="en-US" w:eastAsia="zh-CN"/>
        </w:rPr>
      </w:pPr>
      <w:r>
        <w:rPr>
          <w:rFonts w:hint="eastAsia" w:asciiTheme="minorEastAsia" w:hAnsiTheme="minorEastAsia" w:eastAsiaTheme="minorEastAsia" w:cstheme="minorEastAsia"/>
          <w:b/>
          <w:sz w:val="24"/>
          <w:shd w:val="clear" w:color="auto" w:fill="FFFFFF"/>
        </w:rPr>
        <w:t>第</w:t>
      </w:r>
      <w:r>
        <w:rPr>
          <w:rFonts w:hint="eastAsia" w:asciiTheme="minorEastAsia" w:hAnsiTheme="minorEastAsia" w:eastAsiaTheme="minorEastAsia" w:cstheme="minorEastAsia"/>
          <w:b/>
          <w:sz w:val="24"/>
          <w:shd w:val="clear" w:color="auto" w:fill="FFFFFF"/>
          <w:lang w:val="en-US" w:eastAsia="zh-CN"/>
        </w:rPr>
        <w:t>八</w:t>
      </w:r>
      <w:r>
        <w:rPr>
          <w:rFonts w:hint="eastAsia" w:asciiTheme="minorEastAsia" w:hAnsiTheme="minorEastAsia" w:eastAsiaTheme="minorEastAsia" w:cstheme="minorEastAsia"/>
          <w:b/>
          <w:sz w:val="24"/>
          <w:shd w:val="clear" w:color="auto" w:fill="FFFFFF"/>
        </w:rPr>
        <w:t>条 验收</w:t>
      </w:r>
      <w:r>
        <w:rPr>
          <w:rFonts w:hint="eastAsia" w:asciiTheme="minorEastAsia" w:hAnsiTheme="minorEastAsia" w:eastAsiaTheme="minorEastAsia" w:cstheme="minorEastAsia"/>
          <w:b/>
          <w:sz w:val="24"/>
          <w:shd w:val="clear" w:color="auto" w:fill="FFFFFF"/>
          <w:lang w:val="en-US" w:eastAsia="zh-CN"/>
        </w:rPr>
        <w:t>要求</w:t>
      </w:r>
    </w:p>
    <w:p w14:paraId="7F9321C4">
      <w:pPr>
        <w:snapToGrid w:val="0"/>
        <w:spacing w:line="360" w:lineRule="auto"/>
        <w:ind w:left="-59" w:leftChars="-28" w:firstLine="480" w:firstLineChars="200"/>
        <w:rPr>
          <w:rFonts w:hint="eastAsia" w:asciiTheme="minorEastAsia" w:hAnsiTheme="minorEastAsia" w:eastAsiaTheme="minorEastAsia" w:cstheme="minorEastAsia"/>
          <w:sz w:val="24"/>
          <w:shd w:val="clear" w:color="auto" w:fill="FFFFFF"/>
        </w:rPr>
      </w:pPr>
      <w:r>
        <w:rPr>
          <w:rFonts w:hint="eastAsia" w:asciiTheme="minorEastAsia" w:hAnsiTheme="minorEastAsia" w:eastAsiaTheme="minorEastAsia" w:cstheme="minorEastAsia"/>
          <w:sz w:val="24"/>
          <w:shd w:val="clear" w:color="auto" w:fill="FFFFFF"/>
        </w:rPr>
        <w:t>1.甲方对乙方提交的服务依据采购合同进行验收。</w:t>
      </w:r>
    </w:p>
    <w:p w14:paraId="51EAFD38">
      <w:pPr>
        <w:snapToGrid w:val="0"/>
        <w:spacing w:line="360" w:lineRule="auto"/>
        <w:ind w:left="-59" w:leftChars="-28" w:firstLine="480" w:firstLineChars="200"/>
        <w:rPr>
          <w:rFonts w:hint="eastAsia" w:asciiTheme="minorEastAsia" w:hAnsiTheme="minorEastAsia" w:eastAsiaTheme="minorEastAsia" w:cstheme="minorEastAsia"/>
          <w:sz w:val="24"/>
          <w:shd w:val="clear" w:color="auto" w:fill="FFFFFF"/>
        </w:rPr>
      </w:pPr>
      <w:r>
        <w:rPr>
          <w:rFonts w:hint="eastAsia" w:asciiTheme="minorEastAsia" w:hAnsiTheme="minorEastAsia" w:eastAsiaTheme="minorEastAsia" w:cstheme="minorEastAsia"/>
          <w:sz w:val="24"/>
          <w:shd w:val="clear" w:color="auto" w:fill="FFFFFF"/>
        </w:rPr>
        <w:t>2.乙方交付服务前应对服务作出全面检查和对验收文件进行整理，并列出清单，作为甲方验收和使用的技术条件依据，检验的结果应随服务成果交甲方。乙方不能完整交付服务及本款规定的单证和工具的，必须负责补齐，否则视为未按合同约定交付。</w:t>
      </w:r>
    </w:p>
    <w:p w14:paraId="44304BE4">
      <w:pPr>
        <w:snapToGrid w:val="0"/>
        <w:spacing w:line="360" w:lineRule="auto"/>
        <w:ind w:left="-59" w:leftChars="-28" w:firstLine="480" w:firstLineChars="200"/>
        <w:rPr>
          <w:rFonts w:hint="eastAsia" w:asciiTheme="minorEastAsia" w:hAnsiTheme="minorEastAsia" w:eastAsiaTheme="minorEastAsia" w:cstheme="minorEastAsia"/>
          <w:sz w:val="24"/>
          <w:shd w:val="clear" w:color="auto" w:fill="FFFFFF"/>
        </w:rPr>
      </w:pPr>
      <w:r>
        <w:rPr>
          <w:rFonts w:hint="eastAsia" w:asciiTheme="minorEastAsia" w:hAnsiTheme="minorEastAsia" w:eastAsiaTheme="minorEastAsia" w:cstheme="minorEastAsia"/>
          <w:sz w:val="24"/>
          <w:shd w:val="clear" w:color="auto" w:fill="FFFFFF"/>
        </w:rPr>
        <w:t>3.甲方组织验收，乙方必须到场配合，验收合格后双方签署验收合格凭证。</w:t>
      </w:r>
    </w:p>
    <w:p w14:paraId="41AE3062">
      <w:pPr>
        <w:snapToGrid w:val="0"/>
        <w:spacing w:line="360" w:lineRule="auto"/>
        <w:ind w:left="-59" w:leftChars="-28" w:firstLine="480" w:firstLineChars="200"/>
        <w:rPr>
          <w:rFonts w:hint="eastAsia" w:asciiTheme="minorEastAsia" w:hAnsiTheme="minorEastAsia" w:eastAsiaTheme="minorEastAsia" w:cstheme="minorEastAsia"/>
          <w:sz w:val="24"/>
          <w:shd w:val="clear" w:color="auto" w:fill="FFFFFF"/>
        </w:rPr>
      </w:pPr>
      <w:r>
        <w:rPr>
          <w:rFonts w:hint="eastAsia" w:asciiTheme="minorEastAsia" w:hAnsiTheme="minorEastAsia" w:eastAsiaTheme="minorEastAsia" w:cstheme="minorEastAsia"/>
          <w:sz w:val="24"/>
          <w:shd w:val="clear" w:color="auto" w:fill="FFFFFF"/>
        </w:rPr>
        <w:t>4.其他未尽事宜应严格按照《关于印发广西壮族自治区政府采购项目履约验收管理办法的通知》[桂财采〔2015〕22号]以及《财政部关于进一步加强政府采购需求和履约验收管理的指导意见》[财库〔2016〕205号]规定执行。</w:t>
      </w:r>
    </w:p>
    <w:p w14:paraId="6EFBE011">
      <w:pPr>
        <w:snapToGrid w:val="0"/>
        <w:spacing w:line="360" w:lineRule="auto"/>
        <w:ind w:left="-59" w:leftChars="-28" w:firstLine="480" w:firstLineChars="200"/>
        <w:rPr>
          <w:rFonts w:hint="eastAsia" w:asciiTheme="minorEastAsia" w:hAnsiTheme="minorEastAsia" w:eastAsiaTheme="minorEastAsia" w:cstheme="minorEastAsia"/>
          <w:sz w:val="24"/>
          <w:shd w:val="clear" w:color="auto" w:fill="FFFFFF"/>
        </w:rPr>
      </w:pPr>
      <w:r>
        <w:rPr>
          <w:rFonts w:hint="eastAsia" w:asciiTheme="minorEastAsia" w:hAnsiTheme="minorEastAsia" w:eastAsiaTheme="minorEastAsia" w:cstheme="minorEastAsia"/>
          <w:sz w:val="24"/>
          <w:shd w:val="clear" w:color="auto" w:fill="FFFFFF"/>
        </w:rPr>
        <w:t>5.验收产生的费用由乙方承担。</w:t>
      </w:r>
    </w:p>
    <w:p w14:paraId="60148C76">
      <w:pPr>
        <w:snapToGrid w:val="0"/>
        <w:spacing w:line="360" w:lineRule="auto"/>
        <w:ind w:left="-59" w:leftChars="-28" w:firstLine="480" w:firstLineChars="200"/>
        <w:rPr>
          <w:rFonts w:hint="eastAsia" w:asciiTheme="minorEastAsia" w:hAnsiTheme="minorEastAsia" w:eastAsiaTheme="minorEastAsia" w:cstheme="minorEastAsia"/>
          <w:sz w:val="24"/>
          <w:shd w:val="clear" w:color="auto" w:fill="FFFFFF"/>
        </w:rPr>
      </w:pPr>
      <w:r>
        <w:rPr>
          <w:rFonts w:hint="eastAsia" w:asciiTheme="minorEastAsia" w:hAnsiTheme="minorEastAsia" w:eastAsiaTheme="minorEastAsia" w:cstheme="minorEastAsia"/>
          <w:sz w:val="24"/>
          <w:shd w:val="clear" w:color="auto" w:fill="FFFFFF"/>
        </w:rPr>
        <w:t>6.合同期内按照考核表进行考核，验收时根据考核表结果进行验收。</w:t>
      </w:r>
    </w:p>
    <w:p w14:paraId="2605F884">
      <w:pPr>
        <w:snapToGrid w:val="0"/>
        <w:spacing w:line="360" w:lineRule="auto"/>
        <w:ind w:left="-59" w:leftChars="-28" w:firstLine="482" w:firstLineChars="200"/>
        <w:rPr>
          <w:rFonts w:hint="default" w:asciiTheme="minorEastAsia" w:hAnsiTheme="minorEastAsia" w:eastAsiaTheme="minorEastAsia" w:cstheme="minorEastAsia"/>
          <w:b/>
          <w:sz w:val="24"/>
          <w:shd w:val="clear" w:color="auto" w:fill="FFFFFF"/>
          <w:lang w:val="en-US" w:eastAsia="zh-CN"/>
        </w:rPr>
      </w:pPr>
      <w:r>
        <w:rPr>
          <w:rFonts w:hint="eastAsia" w:asciiTheme="minorEastAsia" w:hAnsiTheme="minorEastAsia" w:eastAsiaTheme="minorEastAsia" w:cstheme="minorEastAsia"/>
          <w:b/>
          <w:sz w:val="24"/>
          <w:shd w:val="clear" w:color="auto" w:fill="FFFFFF"/>
        </w:rPr>
        <w:t xml:space="preserve">第九条 </w:t>
      </w:r>
      <w:r>
        <w:rPr>
          <w:rFonts w:hint="eastAsia" w:asciiTheme="minorEastAsia" w:hAnsiTheme="minorEastAsia" w:eastAsiaTheme="minorEastAsia" w:cstheme="minorEastAsia"/>
          <w:b/>
          <w:sz w:val="24"/>
          <w:shd w:val="clear" w:color="auto" w:fill="FFFFFF"/>
          <w:lang w:val="en-US" w:eastAsia="zh-CN"/>
        </w:rPr>
        <w:t>质量要求</w:t>
      </w:r>
    </w:p>
    <w:p w14:paraId="11ABA383">
      <w:pPr>
        <w:snapToGrid w:val="0"/>
        <w:spacing w:line="360" w:lineRule="auto"/>
        <w:ind w:left="-59" w:leftChars="-28" w:firstLine="480" w:firstLineChars="200"/>
        <w:rPr>
          <w:rFonts w:hint="eastAsia" w:asciiTheme="minorEastAsia" w:hAnsiTheme="minorEastAsia" w:eastAsiaTheme="minorEastAsia" w:cstheme="minorEastAsia"/>
          <w:bCs/>
          <w:sz w:val="24"/>
          <w:shd w:val="clear" w:color="auto" w:fill="FFFFFF"/>
        </w:rPr>
      </w:pPr>
      <w:r>
        <w:rPr>
          <w:rFonts w:hint="eastAsia" w:asciiTheme="minorEastAsia" w:hAnsiTheme="minorEastAsia" w:eastAsiaTheme="minorEastAsia" w:cstheme="minorEastAsia"/>
          <w:bCs/>
          <w:sz w:val="24"/>
          <w:shd w:val="clear" w:color="auto" w:fill="FFFFFF"/>
        </w:rPr>
        <w:t>1</w:t>
      </w:r>
      <w:r>
        <w:rPr>
          <w:rFonts w:hint="eastAsia" w:asciiTheme="minorEastAsia" w:hAnsiTheme="minorEastAsia" w:eastAsiaTheme="minorEastAsia" w:cstheme="minorEastAsia"/>
          <w:bCs/>
          <w:sz w:val="24"/>
          <w:shd w:val="clear" w:color="auto" w:fill="FFFFFF"/>
          <w:lang w:val="en-US" w:eastAsia="zh-CN"/>
        </w:rPr>
        <w:t>.</w:t>
      </w:r>
      <w:r>
        <w:rPr>
          <w:rFonts w:hint="eastAsia" w:asciiTheme="minorEastAsia" w:hAnsiTheme="minorEastAsia" w:eastAsiaTheme="minorEastAsia" w:cstheme="minorEastAsia"/>
          <w:bCs/>
          <w:sz w:val="24"/>
          <w:shd w:val="clear" w:color="auto" w:fill="FFFFFF"/>
        </w:rPr>
        <w:t>乙方应按照国家有关法律法规和本合同所附的项目采购需求中的服务要求为甲方提供相应的服务。</w:t>
      </w:r>
    </w:p>
    <w:p w14:paraId="55619FFD">
      <w:pPr>
        <w:snapToGrid w:val="0"/>
        <w:spacing w:line="360" w:lineRule="auto"/>
        <w:ind w:left="-59" w:leftChars="-28" w:firstLine="480" w:firstLineChars="200"/>
        <w:rPr>
          <w:rFonts w:hint="eastAsia" w:asciiTheme="minorEastAsia" w:hAnsiTheme="minorEastAsia" w:eastAsiaTheme="minorEastAsia" w:cstheme="minorEastAsia"/>
          <w:bCs/>
          <w:sz w:val="24"/>
          <w:shd w:val="clear" w:color="auto" w:fill="FFFFFF"/>
        </w:rPr>
      </w:pPr>
      <w:r>
        <w:rPr>
          <w:rFonts w:hint="eastAsia" w:asciiTheme="minorEastAsia" w:hAnsiTheme="minorEastAsia" w:eastAsiaTheme="minorEastAsia" w:cstheme="minorEastAsia"/>
          <w:bCs/>
          <w:sz w:val="24"/>
          <w:shd w:val="clear" w:color="auto" w:fill="FFFFFF"/>
        </w:rPr>
        <w:t>2</w:t>
      </w:r>
      <w:r>
        <w:rPr>
          <w:rFonts w:hint="eastAsia" w:asciiTheme="minorEastAsia" w:hAnsiTheme="minorEastAsia" w:eastAsiaTheme="minorEastAsia" w:cstheme="minorEastAsia"/>
          <w:bCs/>
          <w:sz w:val="24"/>
          <w:shd w:val="clear" w:color="auto" w:fill="FFFFFF"/>
          <w:lang w:val="en-US" w:eastAsia="zh-CN"/>
        </w:rPr>
        <w:t>.</w:t>
      </w:r>
      <w:r>
        <w:rPr>
          <w:rFonts w:hint="eastAsia" w:asciiTheme="minorEastAsia" w:hAnsiTheme="minorEastAsia" w:eastAsiaTheme="minorEastAsia" w:cstheme="minorEastAsia"/>
          <w:bCs/>
          <w:sz w:val="24"/>
          <w:shd w:val="clear" w:color="auto" w:fill="FFFFFF"/>
        </w:rPr>
        <w:t>按照《中华人民共和国食品安全法》规定，提供有关的证明材料和证件是乙方的义务，在合同期内乙方应提供具有销售相应种类物料的许可证、食品出厂检验合格或产品检验合格证等相关证明，无证产品甲方不予接受。</w:t>
      </w:r>
    </w:p>
    <w:p w14:paraId="5EDA328E">
      <w:pPr>
        <w:snapToGrid w:val="0"/>
        <w:spacing w:line="360" w:lineRule="auto"/>
        <w:ind w:left="-59" w:leftChars="-28" w:firstLine="480" w:firstLineChars="200"/>
        <w:rPr>
          <w:rFonts w:hint="eastAsia" w:asciiTheme="minorEastAsia" w:hAnsiTheme="minorEastAsia" w:eastAsiaTheme="minorEastAsia" w:cstheme="minorEastAsia"/>
          <w:bCs/>
          <w:sz w:val="24"/>
          <w:shd w:val="clear" w:color="auto" w:fill="FFFFFF"/>
        </w:rPr>
      </w:pPr>
      <w:r>
        <w:rPr>
          <w:rFonts w:hint="eastAsia" w:asciiTheme="minorEastAsia" w:hAnsiTheme="minorEastAsia" w:eastAsiaTheme="minorEastAsia" w:cstheme="minorEastAsia"/>
          <w:bCs/>
          <w:sz w:val="24"/>
          <w:shd w:val="clear" w:color="auto" w:fill="FFFFFF"/>
        </w:rPr>
        <w:t>3</w:t>
      </w:r>
      <w:r>
        <w:rPr>
          <w:rFonts w:hint="eastAsia" w:asciiTheme="minorEastAsia" w:hAnsiTheme="minorEastAsia" w:eastAsiaTheme="minorEastAsia" w:cstheme="minorEastAsia"/>
          <w:bCs/>
          <w:sz w:val="24"/>
          <w:shd w:val="clear" w:color="auto" w:fill="FFFFFF"/>
          <w:lang w:val="en-US" w:eastAsia="zh-CN"/>
        </w:rPr>
        <w:t>.</w:t>
      </w:r>
      <w:r>
        <w:rPr>
          <w:rFonts w:hint="eastAsia" w:asciiTheme="minorEastAsia" w:hAnsiTheme="minorEastAsia" w:eastAsiaTheme="minorEastAsia" w:cstheme="minorEastAsia"/>
          <w:bCs/>
          <w:sz w:val="24"/>
          <w:shd w:val="clear" w:color="auto" w:fill="FFFFFF"/>
        </w:rPr>
        <w:t>乙方所提供的货物及服务必须符合国家规定的质量、卫生、安全标准，对所提供货物的质量、卫生、安全承担全部责任。</w:t>
      </w:r>
    </w:p>
    <w:p w14:paraId="0ECCDE71">
      <w:pPr>
        <w:snapToGrid w:val="0"/>
        <w:spacing w:line="360" w:lineRule="auto"/>
        <w:ind w:left="-59" w:leftChars="-28" w:firstLine="480" w:firstLineChars="200"/>
        <w:rPr>
          <w:rFonts w:hint="eastAsia" w:asciiTheme="minorEastAsia" w:hAnsiTheme="minorEastAsia" w:eastAsiaTheme="minorEastAsia" w:cstheme="minorEastAsia"/>
          <w:bCs/>
          <w:sz w:val="24"/>
          <w:shd w:val="clear" w:color="auto" w:fill="FFFFFF"/>
        </w:rPr>
      </w:pPr>
      <w:r>
        <w:rPr>
          <w:rFonts w:hint="eastAsia" w:asciiTheme="minorEastAsia" w:hAnsiTheme="minorEastAsia" w:eastAsiaTheme="minorEastAsia" w:cstheme="minorEastAsia"/>
          <w:bCs/>
          <w:sz w:val="24"/>
          <w:shd w:val="clear" w:color="auto" w:fill="FFFFFF"/>
        </w:rPr>
        <w:t>4</w:t>
      </w:r>
      <w:r>
        <w:rPr>
          <w:rFonts w:hint="eastAsia" w:asciiTheme="minorEastAsia" w:hAnsiTheme="minorEastAsia" w:eastAsiaTheme="minorEastAsia" w:cstheme="minorEastAsia"/>
          <w:bCs/>
          <w:sz w:val="24"/>
          <w:shd w:val="clear" w:color="auto" w:fill="FFFFFF"/>
          <w:lang w:val="en-US" w:eastAsia="zh-CN"/>
        </w:rPr>
        <w:t>.</w:t>
      </w:r>
      <w:r>
        <w:rPr>
          <w:rFonts w:hint="eastAsia" w:asciiTheme="minorEastAsia" w:hAnsiTheme="minorEastAsia" w:eastAsiaTheme="minorEastAsia" w:cstheme="minorEastAsia"/>
          <w:bCs/>
          <w:sz w:val="24"/>
          <w:shd w:val="clear" w:color="auto" w:fill="FFFFFF"/>
        </w:rPr>
        <w:t>禁止一切质量有问题的物料进入甲方库房，在验收时发现以下问题的物料一律拒收(包括但不限于)：</w:t>
      </w:r>
    </w:p>
    <w:p w14:paraId="03165559">
      <w:pPr>
        <w:snapToGrid w:val="0"/>
        <w:spacing w:line="360" w:lineRule="auto"/>
        <w:ind w:left="-59" w:leftChars="-28" w:firstLine="480" w:firstLineChars="200"/>
        <w:rPr>
          <w:rFonts w:hint="eastAsia" w:asciiTheme="minorEastAsia" w:hAnsiTheme="minorEastAsia" w:eastAsiaTheme="minorEastAsia" w:cstheme="minorEastAsia"/>
          <w:bCs/>
          <w:sz w:val="24"/>
          <w:shd w:val="clear" w:color="auto" w:fill="FFFFFF"/>
        </w:rPr>
      </w:pPr>
      <w:r>
        <w:rPr>
          <w:rFonts w:hint="eastAsia" w:asciiTheme="minorEastAsia" w:hAnsiTheme="minorEastAsia" w:eastAsiaTheme="minorEastAsia" w:cstheme="minorEastAsia"/>
          <w:bCs/>
          <w:sz w:val="24"/>
          <w:shd w:val="clear" w:color="auto" w:fill="FFFFFF"/>
        </w:rPr>
        <w:t>①感官品质质量不符合规定要求；</w:t>
      </w:r>
    </w:p>
    <w:p w14:paraId="7ECAAB20">
      <w:pPr>
        <w:snapToGrid w:val="0"/>
        <w:spacing w:line="360" w:lineRule="auto"/>
        <w:ind w:left="-59" w:leftChars="-28" w:firstLine="480" w:firstLineChars="200"/>
        <w:rPr>
          <w:rFonts w:hint="eastAsia" w:asciiTheme="minorEastAsia" w:hAnsiTheme="minorEastAsia" w:eastAsiaTheme="minorEastAsia" w:cstheme="minorEastAsia"/>
          <w:bCs/>
          <w:sz w:val="24"/>
          <w:shd w:val="clear" w:color="auto" w:fill="FFFFFF"/>
        </w:rPr>
      </w:pPr>
      <w:r>
        <w:rPr>
          <w:rFonts w:hint="eastAsia" w:asciiTheme="minorEastAsia" w:hAnsiTheme="minorEastAsia" w:eastAsiaTheme="minorEastAsia" w:cstheme="minorEastAsia"/>
          <w:bCs/>
          <w:sz w:val="24"/>
          <w:shd w:val="clear" w:color="auto" w:fill="FFFFFF"/>
        </w:rPr>
        <w:t>②货品有腐烂变质现象；</w:t>
      </w:r>
    </w:p>
    <w:p w14:paraId="66B77A83">
      <w:pPr>
        <w:snapToGrid w:val="0"/>
        <w:spacing w:line="360" w:lineRule="auto"/>
        <w:ind w:left="-59" w:leftChars="-28" w:firstLine="480" w:firstLineChars="200"/>
        <w:rPr>
          <w:rFonts w:hint="eastAsia" w:asciiTheme="minorEastAsia" w:hAnsiTheme="minorEastAsia" w:eastAsiaTheme="minorEastAsia" w:cstheme="minorEastAsia"/>
          <w:bCs/>
          <w:sz w:val="24"/>
          <w:shd w:val="clear" w:color="auto" w:fill="FFFFFF"/>
        </w:rPr>
      </w:pPr>
      <w:r>
        <w:rPr>
          <w:rFonts w:hint="eastAsia" w:asciiTheme="minorEastAsia" w:hAnsiTheme="minorEastAsia" w:eastAsiaTheme="minorEastAsia" w:cstheme="minorEastAsia"/>
          <w:bCs/>
          <w:sz w:val="24"/>
          <w:shd w:val="clear" w:color="auto" w:fill="FFFFFF"/>
        </w:rPr>
        <w:t>③保质期限不符合约定；</w:t>
      </w:r>
    </w:p>
    <w:p w14:paraId="6D3C7ABF">
      <w:pPr>
        <w:snapToGrid w:val="0"/>
        <w:spacing w:line="360" w:lineRule="auto"/>
        <w:ind w:left="-59" w:leftChars="-28" w:firstLine="480" w:firstLineChars="200"/>
        <w:rPr>
          <w:rFonts w:hint="eastAsia" w:asciiTheme="minorEastAsia" w:hAnsiTheme="minorEastAsia" w:eastAsiaTheme="minorEastAsia" w:cstheme="minorEastAsia"/>
          <w:bCs/>
          <w:sz w:val="24"/>
          <w:shd w:val="clear" w:color="auto" w:fill="FFFFFF"/>
        </w:rPr>
      </w:pPr>
      <w:r>
        <w:rPr>
          <w:rFonts w:hint="eastAsia" w:asciiTheme="minorEastAsia" w:hAnsiTheme="minorEastAsia" w:eastAsiaTheme="minorEastAsia" w:cstheme="minorEastAsia"/>
          <w:bCs/>
          <w:sz w:val="24"/>
          <w:shd w:val="clear" w:color="auto" w:fill="FFFFFF"/>
        </w:rPr>
        <w:t>④内包装损坏；</w:t>
      </w:r>
    </w:p>
    <w:p w14:paraId="5C8B35D0">
      <w:pPr>
        <w:snapToGrid w:val="0"/>
        <w:spacing w:line="360" w:lineRule="auto"/>
        <w:ind w:left="-59" w:leftChars="-28" w:firstLine="480" w:firstLineChars="200"/>
        <w:rPr>
          <w:rFonts w:hint="eastAsia" w:asciiTheme="minorEastAsia" w:hAnsiTheme="minorEastAsia" w:eastAsiaTheme="minorEastAsia" w:cstheme="minorEastAsia"/>
          <w:bCs/>
          <w:sz w:val="24"/>
          <w:shd w:val="clear" w:color="auto" w:fill="FFFFFF"/>
        </w:rPr>
      </w:pPr>
      <w:r>
        <w:rPr>
          <w:rFonts w:hint="eastAsia" w:asciiTheme="minorEastAsia" w:hAnsiTheme="minorEastAsia" w:eastAsiaTheme="minorEastAsia" w:cstheme="minorEastAsia"/>
          <w:bCs/>
          <w:sz w:val="24"/>
          <w:shd w:val="clear" w:color="auto" w:fill="FFFFFF"/>
        </w:rPr>
        <w:t>⑤预包装产品的包装标签内容不充分；</w:t>
      </w:r>
    </w:p>
    <w:p w14:paraId="346C84AD">
      <w:pPr>
        <w:snapToGrid w:val="0"/>
        <w:spacing w:line="360" w:lineRule="auto"/>
        <w:ind w:left="-59" w:leftChars="-28" w:firstLine="480" w:firstLineChars="200"/>
        <w:rPr>
          <w:rFonts w:hint="eastAsia" w:asciiTheme="minorEastAsia" w:hAnsiTheme="minorEastAsia" w:eastAsiaTheme="minorEastAsia" w:cstheme="minorEastAsia"/>
          <w:bCs/>
          <w:sz w:val="24"/>
          <w:shd w:val="clear" w:color="auto" w:fill="FFFFFF"/>
        </w:rPr>
      </w:pPr>
      <w:r>
        <w:rPr>
          <w:rFonts w:hint="eastAsia" w:asciiTheme="minorEastAsia" w:hAnsiTheme="minorEastAsia" w:eastAsiaTheme="minorEastAsia" w:cstheme="minorEastAsia"/>
          <w:bCs/>
          <w:sz w:val="24"/>
          <w:shd w:val="clear" w:color="auto" w:fill="FFFFFF"/>
        </w:rPr>
        <w:t>⑥需冷藏、冷冻食品的温度同规格要求不一致的食品；</w:t>
      </w:r>
    </w:p>
    <w:p w14:paraId="48C94CD4">
      <w:pPr>
        <w:snapToGrid w:val="0"/>
        <w:spacing w:line="360" w:lineRule="auto"/>
        <w:ind w:left="-59" w:leftChars="-28" w:firstLine="480" w:firstLineChars="200"/>
        <w:rPr>
          <w:rFonts w:hint="eastAsia" w:asciiTheme="minorEastAsia" w:hAnsiTheme="minorEastAsia" w:eastAsiaTheme="minorEastAsia" w:cstheme="minorEastAsia"/>
          <w:bCs/>
          <w:sz w:val="24"/>
          <w:shd w:val="clear" w:color="auto" w:fill="FFFFFF"/>
        </w:rPr>
      </w:pPr>
      <w:r>
        <w:rPr>
          <w:rFonts w:hint="eastAsia" w:asciiTheme="minorEastAsia" w:hAnsiTheme="minorEastAsia" w:eastAsiaTheme="minorEastAsia" w:cstheme="minorEastAsia"/>
          <w:bCs/>
          <w:sz w:val="24"/>
          <w:shd w:val="clear" w:color="auto" w:fill="FFFFFF"/>
        </w:rPr>
        <w:t>⑦未经国家卫生监管部门检验检疫合格的食品原料；</w:t>
      </w:r>
    </w:p>
    <w:p w14:paraId="53CEC65F">
      <w:pPr>
        <w:snapToGrid w:val="0"/>
        <w:spacing w:line="360" w:lineRule="auto"/>
        <w:ind w:left="-59" w:leftChars="-28" w:firstLine="480" w:firstLineChars="200"/>
        <w:rPr>
          <w:rFonts w:hint="eastAsia" w:asciiTheme="minorEastAsia" w:hAnsiTheme="minorEastAsia" w:eastAsiaTheme="minorEastAsia" w:cstheme="minorEastAsia"/>
          <w:bCs/>
          <w:sz w:val="24"/>
          <w:shd w:val="clear" w:color="auto" w:fill="FFFFFF"/>
        </w:rPr>
      </w:pPr>
      <w:r>
        <w:rPr>
          <w:rFonts w:hint="eastAsia" w:asciiTheme="minorEastAsia" w:hAnsiTheme="minorEastAsia" w:eastAsiaTheme="minorEastAsia" w:cstheme="minorEastAsia"/>
          <w:bCs/>
          <w:sz w:val="24"/>
          <w:shd w:val="clear" w:color="auto" w:fill="FFFFFF"/>
        </w:rPr>
        <w:t>⑧其他不符合食品卫生标准和要求的食品。</w:t>
      </w:r>
    </w:p>
    <w:p w14:paraId="2707FBE3">
      <w:pPr>
        <w:snapToGrid w:val="0"/>
        <w:spacing w:line="360" w:lineRule="auto"/>
        <w:ind w:left="-59" w:leftChars="-28" w:firstLine="480" w:firstLineChars="200"/>
        <w:rPr>
          <w:rFonts w:hint="eastAsia" w:asciiTheme="minorEastAsia" w:hAnsiTheme="minorEastAsia" w:eastAsiaTheme="minorEastAsia" w:cstheme="minorEastAsia"/>
          <w:bCs/>
          <w:sz w:val="24"/>
          <w:shd w:val="clear" w:color="auto" w:fill="FFFFFF"/>
        </w:rPr>
      </w:pPr>
      <w:r>
        <w:rPr>
          <w:rFonts w:hint="eastAsia" w:asciiTheme="minorEastAsia" w:hAnsiTheme="minorEastAsia" w:eastAsiaTheme="minorEastAsia" w:cstheme="minorEastAsia"/>
          <w:bCs/>
          <w:sz w:val="24"/>
          <w:shd w:val="clear" w:color="auto" w:fill="FFFFFF"/>
        </w:rPr>
        <w:t>5</w:t>
      </w:r>
      <w:r>
        <w:rPr>
          <w:rFonts w:hint="eastAsia" w:asciiTheme="minorEastAsia" w:hAnsiTheme="minorEastAsia" w:eastAsiaTheme="minorEastAsia" w:cstheme="minorEastAsia"/>
          <w:bCs/>
          <w:sz w:val="24"/>
          <w:shd w:val="clear" w:color="auto" w:fill="FFFFFF"/>
          <w:lang w:val="en-US" w:eastAsia="zh-CN"/>
        </w:rPr>
        <w:t>.</w:t>
      </w:r>
      <w:r>
        <w:rPr>
          <w:rFonts w:hint="eastAsia" w:asciiTheme="minorEastAsia" w:hAnsiTheme="minorEastAsia" w:eastAsiaTheme="minorEastAsia" w:cstheme="minorEastAsia"/>
          <w:bCs/>
          <w:sz w:val="24"/>
          <w:shd w:val="clear" w:color="auto" w:fill="FFFFFF"/>
        </w:rPr>
        <w:t>乙方所提供的货品虽经甲方抽检验收，但在使用过程中发现有质量问题的必须及时给予退换货品。</w:t>
      </w:r>
    </w:p>
    <w:p w14:paraId="0659F396">
      <w:pPr>
        <w:snapToGrid w:val="0"/>
        <w:spacing w:line="360" w:lineRule="auto"/>
        <w:ind w:left="-59" w:leftChars="-28" w:firstLine="480" w:firstLineChars="200"/>
        <w:rPr>
          <w:rFonts w:hint="eastAsia" w:asciiTheme="minorEastAsia" w:hAnsiTheme="minorEastAsia" w:eastAsiaTheme="minorEastAsia" w:cstheme="minorEastAsia"/>
          <w:bCs/>
          <w:sz w:val="24"/>
          <w:highlight w:val="none"/>
          <w:shd w:val="clear" w:color="auto" w:fill="FFFFFF"/>
        </w:rPr>
      </w:pPr>
      <w:r>
        <w:rPr>
          <w:rFonts w:hint="eastAsia" w:asciiTheme="minorEastAsia" w:hAnsiTheme="minorEastAsia" w:eastAsiaTheme="minorEastAsia" w:cstheme="minorEastAsia"/>
          <w:bCs/>
          <w:sz w:val="24"/>
          <w:shd w:val="clear" w:color="auto" w:fill="FFFFFF"/>
        </w:rPr>
        <w:t>6</w:t>
      </w:r>
      <w:r>
        <w:rPr>
          <w:rFonts w:hint="eastAsia" w:asciiTheme="minorEastAsia" w:hAnsiTheme="minorEastAsia" w:eastAsiaTheme="minorEastAsia" w:cstheme="minorEastAsia"/>
          <w:bCs/>
          <w:sz w:val="24"/>
          <w:shd w:val="clear" w:color="auto" w:fill="FFFFFF"/>
          <w:lang w:val="en-US" w:eastAsia="zh-CN"/>
        </w:rPr>
        <w:t>.</w:t>
      </w:r>
      <w:r>
        <w:rPr>
          <w:rFonts w:hint="eastAsia" w:asciiTheme="minorEastAsia" w:hAnsiTheme="minorEastAsia" w:eastAsiaTheme="minorEastAsia" w:cstheme="minorEastAsia"/>
          <w:bCs/>
          <w:sz w:val="24"/>
          <w:shd w:val="clear" w:color="auto" w:fill="FFFFFF"/>
        </w:rPr>
        <w:t>乙</w:t>
      </w:r>
      <w:r>
        <w:rPr>
          <w:rFonts w:hint="eastAsia" w:asciiTheme="minorEastAsia" w:hAnsiTheme="minorEastAsia" w:eastAsiaTheme="minorEastAsia" w:cstheme="minorEastAsia"/>
          <w:bCs/>
          <w:sz w:val="24"/>
          <w:highlight w:val="none"/>
          <w:shd w:val="clear" w:color="auto" w:fill="FFFFFF"/>
        </w:rPr>
        <w:t>方所供所有供应货品必须按规定进行包装。</w:t>
      </w:r>
    </w:p>
    <w:p w14:paraId="5BFB7990">
      <w:pPr>
        <w:snapToGrid w:val="0"/>
        <w:spacing w:line="360" w:lineRule="auto"/>
        <w:ind w:left="-59" w:leftChars="-28" w:firstLine="482" w:firstLineChars="200"/>
        <w:rPr>
          <w:rFonts w:hint="eastAsia" w:asciiTheme="minorEastAsia" w:hAnsiTheme="minorEastAsia" w:eastAsiaTheme="minorEastAsia" w:cstheme="minorEastAsia"/>
          <w:b/>
          <w:sz w:val="24"/>
          <w:highlight w:val="none"/>
          <w:shd w:val="clear" w:color="auto" w:fill="FFFFFF"/>
        </w:rPr>
      </w:pPr>
      <w:r>
        <w:rPr>
          <w:rFonts w:hint="eastAsia" w:asciiTheme="minorEastAsia" w:hAnsiTheme="minorEastAsia" w:eastAsiaTheme="minorEastAsia" w:cstheme="minorEastAsia"/>
          <w:b/>
          <w:sz w:val="24"/>
          <w:highlight w:val="none"/>
          <w:shd w:val="clear" w:color="auto" w:fill="FFFFFF"/>
        </w:rPr>
        <w:t xml:space="preserve">第十条 </w:t>
      </w:r>
      <w:r>
        <w:rPr>
          <w:rFonts w:hint="eastAsia" w:asciiTheme="minorEastAsia" w:hAnsiTheme="minorEastAsia" w:eastAsiaTheme="minorEastAsia" w:cstheme="minorEastAsia"/>
          <w:b/>
          <w:sz w:val="24"/>
          <w:highlight w:val="none"/>
          <w:shd w:val="clear" w:color="auto" w:fill="FFFFFF"/>
          <w:lang w:val="en-US" w:eastAsia="zh-CN"/>
        </w:rPr>
        <w:t>考核及</w:t>
      </w:r>
      <w:r>
        <w:rPr>
          <w:rFonts w:hint="eastAsia" w:asciiTheme="minorEastAsia" w:hAnsiTheme="minorEastAsia" w:eastAsiaTheme="minorEastAsia" w:cstheme="minorEastAsia"/>
          <w:b/>
          <w:sz w:val="24"/>
          <w:highlight w:val="none"/>
          <w:shd w:val="clear" w:color="auto" w:fill="FFFFFF"/>
        </w:rPr>
        <w:t>违约责任</w:t>
      </w:r>
    </w:p>
    <w:p w14:paraId="740FD31F">
      <w:pPr>
        <w:wordWrap w:val="0"/>
        <w:spacing w:line="360" w:lineRule="auto"/>
        <w:ind w:firstLine="480" w:firstLineChars="200"/>
        <w:rPr>
          <w:rFonts w:hint="eastAsia" w:ascii="宋体" w:hAnsi="宋体" w:cs="宋体"/>
          <w:sz w:val="24"/>
          <w:highlight w:val="none"/>
        </w:rPr>
      </w:pPr>
      <w:r>
        <w:rPr>
          <w:rFonts w:hint="eastAsia" w:ascii="宋体" w:hAnsi="宋体" w:eastAsia="宋体" w:cs="宋体"/>
          <w:color w:val="auto"/>
          <w:kern w:val="0"/>
          <w:sz w:val="24"/>
          <w:szCs w:val="24"/>
          <w:highlight w:val="none"/>
          <w:u w:val="none"/>
          <w:lang w:val="en-US" w:eastAsia="zh-CN" w:bidi="ar"/>
        </w:rPr>
        <w:t>1.服务期限内，甲方将对乙方实行动态管理,由甲方有关部门负责对乙方的供货、配送情况、产品质量、服务情况、售后服务响应等进行评估考核，考核内容详见附</w:t>
      </w:r>
      <w:r>
        <w:rPr>
          <w:rFonts w:hint="eastAsia" w:ascii="宋体" w:hAnsi="宋体" w:cs="宋体"/>
          <w:color w:val="auto"/>
          <w:kern w:val="0"/>
          <w:sz w:val="24"/>
          <w:szCs w:val="24"/>
          <w:highlight w:val="none"/>
          <w:u w:val="none"/>
          <w:lang w:val="en-US" w:eastAsia="zh-CN" w:bidi="ar"/>
        </w:rPr>
        <w:t>件1</w:t>
      </w:r>
      <w:r>
        <w:rPr>
          <w:rFonts w:hint="eastAsia" w:ascii="宋体" w:hAnsi="宋体" w:eastAsia="宋体" w:cs="宋体"/>
          <w:color w:val="auto"/>
          <w:kern w:val="0"/>
          <w:sz w:val="24"/>
          <w:szCs w:val="24"/>
          <w:highlight w:val="none"/>
          <w:u w:val="none"/>
          <w:lang w:val="en-US" w:eastAsia="zh-CN" w:bidi="ar"/>
        </w:rPr>
        <w:t>《食堂鸡蛋供应服务考核评分表》。履约期内5次考核不合格，甲方人有权解除合同并没收履约保证金或根据项目评估是否继续履约，但继续履约期间仍可随时提前一个月解除合同。</w:t>
      </w:r>
    </w:p>
    <w:p w14:paraId="6A2BFEAA">
      <w:pPr>
        <w:wordWrap w:val="0"/>
        <w:spacing w:line="360" w:lineRule="auto"/>
        <w:ind w:firstLine="480" w:firstLineChars="200"/>
        <w:rPr>
          <w:rFonts w:hint="eastAsia" w:ascii="宋体" w:hAnsi="宋体" w:cs="宋体"/>
          <w:sz w:val="24"/>
        </w:rPr>
      </w:pPr>
      <w:r>
        <w:rPr>
          <w:rFonts w:hint="eastAsia" w:ascii="宋体" w:hAnsi="宋体" w:cs="宋体"/>
          <w:sz w:val="24"/>
          <w:lang w:val="en-US" w:eastAsia="zh-CN"/>
        </w:rPr>
        <w:t>2.</w:t>
      </w:r>
      <w:r>
        <w:rPr>
          <w:rFonts w:hint="eastAsia" w:ascii="宋体" w:hAnsi="宋体" w:cs="宋体"/>
          <w:sz w:val="24"/>
        </w:rPr>
        <w:t>因包装、运输引起的货物损坏，按质量不合格处理。</w:t>
      </w:r>
    </w:p>
    <w:p w14:paraId="53297B28">
      <w:pPr>
        <w:spacing w:line="360" w:lineRule="auto"/>
        <w:ind w:firstLine="480" w:firstLineChars="200"/>
        <w:rPr>
          <w:rFonts w:hint="eastAsia" w:ascii="宋体" w:hAnsi="宋体" w:eastAsia="宋体" w:cs="宋体"/>
          <w:color w:val="auto"/>
          <w:kern w:val="0"/>
          <w:sz w:val="24"/>
          <w:szCs w:val="24"/>
          <w:highlight w:val="none"/>
          <w:u w:val="none"/>
          <w:lang w:val="en-US" w:eastAsia="zh-CN" w:bidi="ar"/>
        </w:rPr>
      </w:pPr>
      <w:r>
        <w:rPr>
          <w:rFonts w:hint="eastAsia" w:ascii="宋体" w:hAnsi="宋体" w:cs="宋体"/>
          <w:color w:val="auto"/>
          <w:kern w:val="0"/>
          <w:sz w:val="24"/>
          <w:szCs w:val="24"/>
          <w:highlight w:val="none"/>
          <w:u w:val="none"/>
          <w:lang w:val="en-US" w:eastAsia="zh-CN" w:bidi="ar"/>
        </w:rPr>
        <w:t>3</w:t>
      </w:r>
      <w:r>
        <w:rPr>
          <w:rFonts w:hint="eastAsia" w:ascii="宋体" w:hAnsi="宋体" w:eastAsia="宋体" w:cs="宋体"/>
          <w:color w:val="auto"/>
          <w:kern w:val="0"/>
          <w:sz w:val="24"/>
          <w:szCs w:val="24"/>
          <w:highlight w:val="none"/>
          <w:u w:val="none"/>
          <w:lang w:val="en-US" w:eastAsia="zh-CN" w:bidi="ar"/>
        </w:rPr>
        <w:t>.合同一方不履行合同义务、履行合同义务不符合约定或者违反合同项下所作保证的，应向对方承担继续履行、更换、退货等补救措施或者赔偿损失等违约责任。</w:t>
      </w:r>
    </w:p>
    <w:p w14:paraId="766AA6BC">
      <w:pPr>
        <w:widowControl/>
        <w:tabs>
          <w:tab w:val="left" w:pos="7980"/>
        </w:tabs>
        <w:wordWrap w:val="0"/>
        <w:spacing w:line="360" w:lineRule="auto"/>
        <w:ind w:firstLine="480" w:firstLineChars="200"/>
        <w:rPr>
          <w:rFonts w:hint="eastAsia" w:ascii="宋体" w:hAnsi="宋体" w:eastAsia="宋体" w:cs="宋体"/>
          <w:color w:val="auto"/>
          <w:kern w:val="0"/>
          <w:sz w:val="24"/>
          <w:szCs w:val="24"/>
          <w:highlight w:val="none"/>
          <w:u w:val="none"/>
          <w:lang w:val="en-US" w:eastAsia="zh-CN" w:bidi="ar"/>
        </w:rPr>
      </w:pPr>
      <w:r>
        <w:rPr>
          <w:rFonts w:hint="eastAsia" w:ascii="宋体" w:hAnsi="宋体" w:cs="宋体"/>
          <w:color w:val="auto"/>
          <w:kern w:val="0"/>
          <w:sz w:val="24"/>
          <w:szCs w:val="24"/>
          <w:highlight w:val="none"/>
          <w:u w:val="none"/>
          <w:lang w:val="en-US" w:eastAsia="zh-CN" w:bidi="ar"/>
        </w:rPr>
        <w:t>4</w:t>
      </w:r>
      <w:r>
        <w:rPr>
          <w:rFonts w:hint="eastAsia" w:ascii="宋体" w:hAnsi="宋体" w:eastAsia="宋体" w:cs="宋体"/>
          <w:color w:val="auto"/>
          <w:kern w:val="0"/>
          <w:sz w:val="24"/>
          <w:szCs w:val="24"/>
          <w:highlight w:val="none"/>
          <w:u w:val="none"/>
          <w:lang w:val="en-US" w:eastAsia="zh-CN" w:bidi="ar"/>
        </w:rPr>
        <w:t>.</w:t>
      </w:r>
      <w:r>
        <w:rPr>
          <w:rFonts w:hint="eastAsia" w:ascii="宋体" w:hAnsi="宋体" w:eastAsia="宋体" w:cs="宋体"/>
          <w:color w:val="000000"/>
          <w:kern w:val="2"/>
          <w:sz w:val="24"/>
          <w:szCs w:val="24"/>
          <w:highlight w:val="none"/>
          <w:lang w:val="en-US" w:eastAsia="zh-CN" w:bidi="ar"/>
        </w:rPr>
        <w:t>乙方逾期交货的，每天向甲方偿付违约货款额3‰违约金，超过</w:t>
      </w:r>
      <w:r>
        <w:rPr>
          <w:rFonts w:hint="eastAsia" w:ascii="宋体" w:hAnsi="宋体" w:eastAsia="宋体" w:cs="宋体"/>
          <w:color w:val="000000"/>
          <w:kern w:val="2"/>
          <w:sz w:val="24"/>
          <w:szCs w:val="24"/>
          <w:highlight w:val="none"/>
          <w:u w:val="single"/>
          <w:lang w:val="en-US" w:eastAsia="zh-CN" w:bidi="ar"/>
        </w:rPr>
        <w:t>30</w:t>
      </w:r>
      <w:r>
        <w:rPr>
          <w:rFonts w:hint="eastAsia" w:ascii="宋体" w:hAnsi="宋体" w:eastAsia="宋体" w:cs="宋体"/>
          <w:color w:val="000000"/>
          <w:kern w:val="2"/>
          <w:sz w:val="24"/>
          <w:szCs w:val="24"/>
          <w:highlight w:val="none"/>
          <w:lang w:val="en-US" w:eastAsia="zh-CN" w:bidi="ar"/>
        </w:rPr>
        <w:t>天甲方有权解除合同，乙方承担因此给甲方造成的经济损失，甲方延期付货款的，每天向乙方偿付延期货款额 3‰ 滞纳金，但滞纳金累计不得超过延期货款额 5% ，且乙方不得以此为由拒绝履行合同应尽义务或对甲方经营诊疗活动进行阻挠或影响。</w:t>
      </w:r>
    </w:p>
    <w:p w14:paraId="1873C4B6">
      <w:pPr>
        <w:widowControl/>
        <w:snapToGrid w:val="0"/>
        <w:spacing w:line="360" w:lineRule="auto"/>
        <w:ind w:firstLine="480" w:firstLineChars="200"/>
        <w:rPr>
          <w:rFonts w:hint="eastAsia" w:ascii="宋体" w:hAnsi="宋体" w:eastAsia="宋体" w:cs="宋体"/>
          <w:color w:val="auto"/>
          <w:kern w:val="0"/>
          <w:sz w:val="24"/>
          <w:szCs w:val="24"/>
          <w:highlight w:val="none"/>
          <w:u w:val="none"/>
          <w:lang w:val="en-US" w:eastAsia="zh-CN" w:bidi="ar"/>
        </w:rPr>
      </w:pPr>
      <w:r>
        <w:rPr>
          <w:rFonts w:hint="eastAsia" w:ascii="宋体" w:hAnsi="宋体" w:cs="宋体"/>
          <w:color w:val="auto"/>
          <w:kern w:val="0"/>
          <w:sz w:val="24"/>
          <w:szCs w:val="24"/>
          <w:highlight w:val="none"/>
          <w:u w:val="none"/>
          <w:lang w:val="en-US" w:eastAsia="zh-CN" w:bidi="ar"/>
        </w:rPr>
        <w:t>5</w:t>
      </w:r>
      <w:r>
        <w:rPr>
          <w:rFonts w:hint="eastAsia" w:ascii="宋体" w:hAnsi="宋体" w:eastAsia="宋体" w:cs="宋体"/>
          <w:color w:val="auto"/>
          <w:kern w:val="0"/>
          <w:sz w:val="24"/>
          <w:szCs w:val="24"/>
          <w:highlight w:val="none"/>
          <w:u w:val="none"/>
          <w:lang w:val="en-US" w:eastAsia="zh-CN" w:bidi="ar"/>
        </w:rPr>
        <w:t>.</w:t>
      </w:r>
      <w:r>
        <w:rPr>
          <w:rFonts w:hint="eastAsia" w:ascii="宋体" w:hAnsi="宋体" w:cs="宋体"/>
          <w:color w:val="000000" w:themeColor="text1"/>
          <w:sz w:val="24"/>
          <w14:textFill>
            <w14:solidFill>
              <w14:schemeClr w14:val="tx1"/>
            </w14:solidFill>
          </w14:textFill>
        </w:rPr>
        <w:t>如乙方未按合同要求完成服务项目，乙方应负责按合同约定的内容进行整改，并在30日内整改完毕，逾期未整改完毕，则每天支付合同款5‰的逾期违约金。</w:t>
      </w:r>
      <w:r>
        <w:rPr>
          <w:rFonts w:hint="eastAsia" w:ascii="宋体" w:hAnsi="宋体" w:cs="宋体"/>
          <w:color w:val="000000" w:themeColor="text1"/>
          <w:sz w:val="24"/>
          <w:lang w:eastAsia="zh-Hans"/>
          <w14:textFill>
            <w14:solidFill>
              <w14:schemeClr w14:val="tx1"/>
            </w14:solidFill>
          </w14:textFill>
        </w:rPr>
        <w:t>超过</w:t>
      </w:r>
      <w:r>
        <w:rPr>
          <w:rFonts w:hint="eastAsia" w:ascii="宋体" w:hAnsi="宋体" w:cs="宋体"/>
          <w:color w:val="000000" w:themeColor="text1"/>
          <w:sz w:val="24"/>
          <w14:textFill>
            <w14:solidFill>
              <w14:schemeClr w14:val="tx1"/>
            </w14:solidFill>
          </w14:textFill>
        </w:rPr>
        <w:t>60</w:t>
      </w:r>
      <w:r>
        <w:rPr>
          <w:rFonts w:hint="eastAsia" w:ascii="宋体" w:hAnsi="宋体" w:cs="宋体"/>
          <w:color w:val="000000" w:themeColor="text1"/>
          <w:sz w:val="24"/>
          <w:lang w:eastAsia="zh-Hans"/>
          <w14:textFill>
            <w14:solidFill>
              <w14:schemeClr w14:val="tx1"/>
            </w14:solidFill>
          </w14:textFill>
        </w:rPr>
        <w:t>日，甲方有权单方解除合同，</w:t>
      </w:r>
      <w:r>
        <w:rPr>
          <w:rFonts w:hint="eastAsia" w:ascii="宋体" w:hAnsi="宋体" w:cs="宋体"/>
          <w:color w:val="000000" w:themeColor="text1"/>
          <w:sz w:val="24"/>
          <w14:textFill>
            <w14:solidFill>
              <w14:schemeClr w14:val="tx1"/>
            </w14:solidFill>
          </w14:textFill>
        </w:rPr>
        <w:t>同时，乙方应当承担合同金额30%的违约金，违约金优先从履约保证金扣除，不足部分由乙方另行支付违约金。并赔偿给甲方造成的全部损失。</w:t>
      </w:r>
    </w:p>
    <w:p w14:paraId="2DC0DD20">
      <w:pPr>
        <w:spacing w:line="360" w:lineRule="auto"/>
        <w:ind w:firstLine="480" w:firstLineChars="200"/>
        <w:rPr>
          <w:rFonts w:hint="eastAsia" w:ascii="宋体" w:hAnsi="宋体" w:eastAsia="宋体" w:cs="宋体"/>
          <w:color w:val="auto"/>
          <w:kern w:val="0"/>
          <w:sz w:val="24"/>
          <w:szCs w:val="24"/>
          <w:highlight w:val="none"/>
          <w:u w:val="none"/>
          <w:lang w:val="en-US" w:eastAsia="zh-CN" w:bidi="ar"/>
        </w:rPr>
      </w:pPr>
      <w:r>
        <w:rPr>
          <w:rFonts w:hint="eastAsia" w:ascii="宋体" w:hAnsi="宋体" w:cs="宋体"/>
          <w:color w:val="auto"/>
          <w:kern w:val="0"/>
          <w:sz w:val="24"/>
          <w:szCs w:val="24"/>
          <w:highlight w:val="none"/>
          <w:u w:val="none"/>
          <w:lang w:val="en-US" w:eastAsia="zh-CN" w:bidi="ar"/>
        </w:rPr>
        <w:t>6</w:t>
      </w:r>
      <w:r>
        <w:rPr>
          <w:rFonts w:hint="eastAsia" w:ascii="宋体" w:hAnsi="宋体" w:eastAsia="宋体" w:cs="宋体"/>
          <w:color w:val="auto"/>
          <w:kern w:val="0"/>
          <w:sz w:val="24"/>
          <w:szCs w:val="24"/>
          <w:highlight w:val="none"/>
          <w:u w:val="none"/>
          <w:lang w:val="en-US" w:eastAsia="zh-CN" w:bidi="ar"/>
        </w:rPr>
        <w:t>.因某一方原因导致变更、中止或者终止政府采购合同的，该方应当对另一方受到的损失予以赔偿或者补偿。</w:t>
      </w:r>
    </w:p>
    <w:p w14:paraId="0ED1AD1C">
      <w:pPr>
        <w:wordWrap w:val="0"/>
        <w:spacing w:line="360" w:lineRule="auto"/>
        <w:ind w:firstLine="480" w:firstLineChars="200"/>
        <w:rPr>
          <w:rFonts w:hint="eastAsia" w:ascii="宋体" w:hAnsi="宋体" w:cs="宋体"/>
          <w:b/>
          <w:kern w:val="0"/>
          <w:sz w:val="24"/>
        </w:rPr>
      </w:pPr>
      <w:r>
        <w:rPr>
          <w:rFonts w:hint="eastAsia" w:ascii="宋体" w:hAnsi="宋体" w:cs="宋体"/>
          <w:sz w:val="24"/>
          <w:lang w:val="en-US" w:eastAsia="zh-CN"/>
        </w:rPr>
        <w:t>7.</w:t>
      </w:r>
      <w:r>
        <w:rPr>
          <w:rFonts w:hint="eastAsia" w:ascii="宋体" w:hAnsi="宋体" w:cs="宋体"/>
          <w:sz w:val="24"/>
        </w:rPr>
        <w:t>乙方存在其它违约行为的，应按货款总额5%支付违约金，并赔偿经济损失。</w:t>
      </w:r>
    </w:p>
    <w:p w14:paraId="15528E0B">
      <w:pPr>
        <w:snapToGrid w:val="0"/>
        <w:spacing w:line="360" w:lineRule="auto"/>
        <w:ind w:left="-59" w:leftChars="-28" w:firstLine="482" w:firstLineChars="200"/>
        <w:rPr>
          <w:rFonts w:hint="eastAsia" w:asciiTheme="minorEastAsia" w:hAnsiTheme="minorEastAsia" w:eastAsiaTheme="minorEastAsia" w:cstheme="minorEastAsia"/>
          <w:b/>
          <w:sz w:val="24"/>
          <w:shd w:val="clear" w:color="auto" w:fill="FFFFFF"/>
        </w:rPr>
      </w:pPr>
      <w:r>
        <w:rPr>
          <w:rFonts w:hint="eastAsia" w:asciiTheme="minorEastAsia" w:hAnsiTheme="minorEastAsia" w:eastAsiaTheme="minorEastAsia" w:cstheme="minorEastAsia"/>
          <w:b/>
          <w:sz w:val="24"/>
          <w:shd w:val="clear" w:color="auto" w:fill="FFFFFF"/>
        </w:rPr>
        <w:t>第十一条 不可抗力事件处理</w:t>
      </w:r>
    </w:p>
    <w:p w14:paraId="75B53EC8">
      <w:pPr>
        <w:snapToGrid w:val="0"/>
        <w:spacing w:line="360" w:lineRule="auto"/>
        <w:ind w:left="-59" w:leftChars="-28" w:firstLine="480" w:firstLineChars="200"/>
        <w:rPr>
          <w:rFonts w:hint="eastAsia" w:asciiTheme="minorEastAsia" w:hAnsiTheme="minorEastAsia" w:eastAsiaTheme="minorEastAsia" w:cstheme="minorEastAsia"/>
          <w:sz w:val="24"/>
          <w:shd w:val="clear" w:color="auto" w:fill="FFFFFF"/>
        </w:rPr>
      </w:pPr>
      <w:r>
        <w:rPr>
          <w:rFonts w:hint="eastAsia" w:asciiTheme="minorEastAsia" w:hAnsiTheme="minorEastAsia" w:eastAsiaTheme="minorEastAsia" w:cstheme="minorEastAsia"/>
          <w:sz w:val="24"/>
          <w:shd w:val="clear" w:color="auto" w:fill="FFFFFF"/>
        </w:rPr>
        <w:t>1.在合同有效期内，任何一方因不可抗力事件导致不能履行合同，则合同履行期可顺延，其延长期与不可抗力影响期相同。</w:t>
      </w:r>
    </w:p>
    <w:p w14:paraId="19568354">
      <w:pPr>
        <w:snapToGrid w:val="0"/>
        <w:spacing w:line="360" w:lineRule="auto"/>
        <w:ind w:left="-59" w:leftChars="-28" w:firstLine="480" w:firstLineChars="200"/>
        <w:rPr>
          <w:rFonts w:hint="eastAsia" w:asciiTheme="minorEastAsia" w:hAnsiTheme="minorEastAsia" w:eastAsiaTheme="minorEastAsia" w:cstheme="minorEastAsia"/>
          <w:sz w:val="24"/>
          <w:shd w:val="clear" w:color="auto" w:fill="FFFFFF"/>
        </w:rPr>
      </w:pPr>
      <w:r>
        <w:rPr>
          <w:rFonts w:hint="eastAsia" w:asciiTheme="minorEastAsia" w:hAnsiTheme="minorEastAsia" w:eastAsiaTheme="minorEastAsia" w:cstheme="minorEastAsia"/>
          <w:sz w:val="24"/>
          <w:shd w:val="clear" w:color="auto" w:fill="FFFFFF"/>
        </w:rPr>
        <w:t>2.不可抗力事件发生后，应立即通知对方，并寄送有关权威机构出具的证明。</w:t>
      </w:r>
    </w:p>
    <w:p w14:paraId="09B440FE">
      <w:pPr>
        <w:snapToGrid w:val="0"/>
        <w:spacing w:line="360" w:lineRule="auto"/>
        <w:ind w:left="-59" w:leftChars="-28" w:firstLine="480" w:firstLineChars="200"/>
        <w:rPr>
          <w:rFonts w:hint="eastAsia" w:asciiTheme="minorEastAsia" w:hAnsiTheme="minorEastAsia" w:eastAsiaTheme="minorEastAsia" w:cstheme="minorEastAsia"/>
          <w:sz w:val="24"/>
          <w:shd w:val="clear" w:color="auto" w:fill="FFFFFF"/>
        </w:rPr>
      </w:pPr>
      <w:r>
        <w:rPr>
          <w:rFonts w:hint="eastAsia" w:asciiTheme="minorEastAsia" w:hAnsiTheme="minorEastAsia" w:eastAsiaTheme="minorEastAsia" w:cstheme="minorEastAsia"/>
          <w:sz w:val="24"/>
          <w:shd w:val="clear" w:color="auto" w:fill="FFFFFF"/>
        </w:rPr>
        <w:t>3.不可抗力事件延续一百二十天以上，双方应通过友好协商，确定是否继续履行合同。</w:t>
      </w:r>
    </w:p>
    <w:p w14:paraId="42CDE8E3">
      <w:pPr>
        <w:snapToGrid w:val="0"/>
        <w:spacing w:line="360" w:lineRule="auto"/>
        <w:ind w:left="-59" w:leftChars="-28" w:firstLine="482" w:firstLineChars="200"/>
        <w:rPr>
          <w:rFonts w:hint="eastAsia" w:asciiTheme="minorEastAsia" w:hAnsiTheme="minorEastAsia" w:eastAsiaTheme="minorEastAsia" w:cstheme="minorEastAsia"/>
          <w:b/>
          <w:sz w:val="24"/>
          <w:shd w:val="clear" w:color="auto" w:fill="FFFFFF"/>
        </w:rPr>
      </w:pPr>
      <w:r>
        <w:rPr>
          <w:rFonts w:hint="eastAsia" w:asciiTheme="minorEastAsia" w:hAnsiTheme="minorEastAsia" w:eastAsiaTheme="minorEastAsia" w:cstheme="minorEastAsia"/>
          <w:b/>
          <w:sz w:val="24"/>
          <w:shd w:val="clear" w:color="auto" w:fill="FFFFFF"/>
        </w:rPr>
        <w:t>第十二条 合同争议解决</w:t>
      </w:r>
    </w:p>
    <w:p w14:paraId="23F79328">
      <w:pPr>
        <w:snapToGrid w:val="0"/>
        <w:spacing w:line="360" w:lineRule="auto"/>
        <w:ind w:left="-59" w:leftChars="-28" w:firstLine="480" w:firstLineChars="200"/>
        <w:rPr>
          <w:rFonts w:hint="eastAsia" w:asciiTheme="minorEastAsia" w:hAnsiTheme="minorEastAsia" w:eastAsiaTheme="minorEastAsia" w:cstheme="minorEastAsia"/>
          <w:sz w:val="24"/>
          <w:shd w:val="clear" w:color="auto" w:fill="FFFFFF"/>
        </w:rPr>
      </w:pPr>
      <w:r>
        <w:rPr>
          <w:rFonts w:hint="eastAsia" w:asciiTheme="minorEastAsia" w:hAnsiTheme="minorEastAsia" w:eastAsiaTheme="minorEastAsia" w:cstheme="minorEastAsia"/>
          <w:sz w:val="24"/>
          <w:shd w:val="clear" w:color="auto" w:fill="FFFFFF"/>
        </w:rPr>
        <w:t>1、因货物质量问题发生争议的，甲方可单方委托国家认可的有合法资质的质量检测机构对货物质量进行鉴定。货物符合标准的，鉴定费由甲方承担；货物不符合标准的，鉴定费由乙方承担。</w:t>
      </w:r>
    </w:p>
    <w:p w14:paraId="4882017F">
      <w:pPr>
        <w:snapToGrid w:val="0"/>
        <w:spacing w:line="360" w:lineRule="auto"/>
        <w:ind w:left="-59" w:leftChars="-28" w:firstLine="480" w:firstLineChars="200"/>
        <w:rPr>
          <w:rFonts w:hint="eastAsia" w:asciiTheme="minorEastAsia" w:hAnsiTheme="minorEastAsia" w:eastAsiaTheme="minorEastAsia" w:cstheme="minorEastAsia"/>
          <w:sz w:val="24"/>
          <w:shd w:val="clear" w:color="auto" w:fill="FFFFFF"/>
        </w:rPr>
      </w:pPr>
      <w:r>
        <w:rPr>
          <w:rFonts w:hint="eastAsia" w:asciiTheme="minorEastAsia" w:hAnsiTheme="minorEastAsia" w:eastAsiaTheme="minorEastAsia" w:cstheme="minorEastAsia"/>
          <w:sz w:val="24"/>
          <w:shd w:val="clear" w:color="auto" w:fill="FFFFFF"/>
        </w:rPr>
        <w:t>2、因履行本合同引起的或与本合同有关的争议，甲乙双方应首先通过友好协商解决，</w:t>
      </w:r>
    </w:p>
    <w:p w14:paraId="20E8A983">
      <w:pPr>
        <w:snapToGrid w:val="0"/>
        <w:spacing w:line="360" w:lineRule="auto"/>
        <w:ind w:left="-59" w:leftChars="-28" w:firstLine="480" w:firstLineChars="200"/>
        <w:rPr>
          <w:rFonts w:hint="eastAsia" w:asciiTheme="minorEastAsia" w:hAnsiTheme="minorEastAsia" w:eastAsiaTheme="minorEastAsia" w:cstheme="minorEastAsia"/>
          <w:sz w:val="24"/>
          <w:shd w:val="clear" w:color="auto" w:fill="FFFFFF"/>
        </w:rPr>
      </w:pPr>
      <w:r>
        <w:rPr>
          <w:rFonts w:hint="eastAsia" w:asciiTheme="minorEastAsia" w:hAnsiTheme="minorEastAsia" w:eastAsiaTheme="minorEastAsia" w:cstheme="minorEastAsia"/>
          <w:sz w:val="24"/>
          <w:shd w:val="clear" w:color="auto" w:fill="FFFFFF"/>
          <w:lang w:val="en-US" w:eastAsia="zh-CN"/>
        </w:rPr>
        <w:t>3、</w:t>
      </w:r>
      <w:r>
        <w:rPr>
          <w:rFonts w:hint="eastAsia" w:asciiTheme="minorEastAsia" w:hAnsiTheme="minorEastAsia" w:eastAsiaTheme="minorEastAsia" w:cstheme="minorEastAsia"/>
          <w:sz w:val="24"/>
          <w:shd w:val="clear" w:color="auto" w:fill="FFFFFF"/>
        </w:rPr>
        <w:t>诉讼期间，由甲方决定本合同是否继续履行，乙方应予配合。</w:t>
      </w:r>
    </w:p>
    <w:p w14:paraId="20E64144">
      <w:pPr>
        <w:snapToGrid w:val="0"/>
        <w:spacing w:line="360" w:lineRule="auto"/>
        <w:ind w:left="-59" w:leftChars="-28" w:firstLine="482" w:firstLineChars="200"/>
        <w:rPr>
          <w:rFonts w:hint="eastAsia" w:asciiTheme="minorEastAsia" w:hAnsiTheme="minorEastAsia" w:eastAsiaTheme="minorEastAsia" w:cstheme="minorEastAsia"/>
          <w:b/>
          <w:sz w:val="24"/>
          <w:shd w:val="clear" w:color="auto" w:fill="FFFFFF"/>
        </w:rPr>
      </w:pPr>
      <w:r>
        <w:rPr>
          <w:rFonts w:hint="eastAsia" w:asciiTheme="minorEastAsia" w:hAnsiTheme="minorEastAsia" w:eastAsiaTheme="minorEastAsia" w:cstheme="minorEastAsia"/>
          <w:b/>
          <w:sz w:val="24"/>
          <w:shd w:val="clear" w:color="auto" w:fill="FFFFFF"/>
        </w:rPr>
        <w:t>第十三条 合同生效及其它</w:t>
      </w:r>
    </w:p>
    <w:p w14:paraId="56C8CDE6">
      <w:pPr>
        <w:snapToGrid w:val="0"/>
        <w:spacing w:line="360" w:lineRule="auto"/>
        <w:ind w:left="-59" w:leftChars="-28" w:firstLine="480" w:firstLineChars="200"/>
        <w:rPr>
          <w:rFonts w:hint="eastAsia" w:asciiTheme="minorEastAsia" w:hAnsiTheme="minorEastAsia" w:eastAsiaTheme="minorEastAsia" w:cstheme="minorEastAsia"/>
          <w:b w:val="0"/>
          <w:bCs/>
          <w:sz w:val="24"/>
          <w:shd w:val="clear" w:color="auto" w:fill="FFFFFF"/>
        </w:rPr>
      </w:pPr>
      <w:r>
        <w:rPr>
          <w:rFonts w:hint="eastAsia" w:asciiTheme="minorEastAsia" w:hAnsiTheme="minorEastAsia" w:eastAsiaTheme="minorEastAsia" w:cstheme="minorEastAsia"/>
          <w:b w:val="0"/>
          <w:bCs/>
          <w:sz w:val="24"/>
          <w:shd w:val="clear" w:color="auto" w:fill="FFFFFF"/>
        </w:rPr>
        <w:t>1</w:t>
      </w:r>
      <w:r>
        <w:rPr>
          <w:rFonts w:hint="eastAsia" w:asciiTheme="minorEastAsia" w:hAnsiTheme="minorEastAsia" w:eastAsiaTheme="minorEastAsia" w:cstheme="minorEastAsia"/>
          <w:b w:val="0"/>
          <w:bCs/>
          <w:sz w:val="24"/>
          <w:shd w:val="clear" w:color="auto" w:fill="FFFFFF"/>
          <w:lang w:val="en-US" w:eastAsia="zh-CN"/>
        </w:rPr>
        <w:t>.</w:t>
      </w:r>
      <w:r>
        <w:rPr>
          <w:rFonts w:hint="eastAsia" w:asciiTheme="minorEastAsia" w:hAnsiTheme="minorEastAsia" w:eastAsiaTheme="minorEastAsia" w:cstheme="minorEastAsia"/>
          <w:b w:val="0"/>
          <w:bCs/>
          <w:sz w:val="24"/>
          <w:shd w:val="clear" w:color="auto" w:fill="FFFFFF"/>
        </w:rPr>
        <w:t>合同经双方法定代表人(负责人)或授权代表签字并加盖单位公章后生效。</w:t>
      </w:r>
    </w:p>
    <w:p w14:paraId="1446B9D5">
      <w:pPr>
        <w:snapToGrid w:val="0"/>
        <w:spacing w:line="360" w:lineRule="auto"/>
        <w:ind w:left="-59" w:leftChars="-28" w:firstLine="480" w:firstLineChars="200"/>
        <w:rPr>
          <w:rFonts w:hint="eastAsia" w:asciiTheme="minorEastAsia" w:hAnsiTheme="minorEastAsia" w:eastAsiaTheme="minorEastAsia" w:cstheme="minorEastAsia"/>
          <w:b w:val="0"/>
          <w:bCs/>
          <w:sz w:val="24"/>
          <w:shd w:val="clear" w:color="auto" w:fill="FFFFFF"/>
        </w:rPr>
      </w:pPr>
      <w:r>
        <w:rPr>
          <w:rFonts w:hint="eastAsia" w:asciiTheme="minorEastAsia" w:hAnsiTheme="minorEastAsia" w:eastAsiaTheme="minorEastAsia" w:cstheme="minorEastAsia"/>
          <w:b w:val="0"/>
          <w:bCs/>
          <w:sz w:val="24"/>
          <w:shd w:val="clear" w:color="auto" w:fill="FFFFFF"/>
        </w:rPr>
        <w:t>2</w:t>
      </w:r>
      <w:r>
        <w:rPr>
          <w:rFonts w:hint="eastAsia" w:asciiTheme="minorEastAsia" w:hAnsiTheme="minorEastAsia" w:eastAsiaTheme="minorEastAsia" w:cstheme="minorEastAsia"/>
          <w:b w:val="0"/>
          <w:bCs/>
          <w:sz w:val="24"/>
          <w:shd w:val="clear" w:color="auto" w:fill="FFFFFF"/>
          <w:lang w:val="en-US" w:eastAsia="zh-CN"/>
        </w:rPr>
        <w:t>.</w:t>
      </w:r>
      <w:r>
        <w:rPr>
          <w:rFonts w:hint="eastAsia" w:asciiTheme="minorEastAsia" w:hAnsiTheme="minorEastAsia" w:eastAsiaTheme="minorEastAsia" w:cstheme="minorEastAsia"/>
          <w:b w:val="0"/>
          <w:bCs/>
          <w:sz w:val="24"/>
          <w:shd w:val="clear" w:color="auto" w:fill="FFFFFF"/>
        </w:rPr>
        <w:t>合同执行中涉及采购资金和采购内容修改或补充的，须签书面补充协议报财政部门备案，方可作为主合同不可分割的一部分。</w:t>
      </w:r>
    </w:p>
    <w:p w14:paraId="68E2C139">
      <w:pPr>
        <w:snapToGrid w:val="0"/>
        <w:spacing w:line="360" w:lineRule="auto"/>
        <w:ind w:left="-59" w:leftChars="-28" w:firstLine="480" w:firstLineChars="200"/>
        <w:rPr>
          <w:rFonts w:hint="eastAsia" w:asciiTheme="minorEastAsia" w:hAnsiTheme="minorEastAsia" w:eastAsiaTheme="minorEastAsia" w:cstheme="minorEastAsia"/>
          <w:b w:val="0"/>
          <w:bCs/>
          <w:sz w:val="24"/>
          <w:shd w:val="clear" w:color="auto" w:fill="FFFFFF"/>
        </w:rPr>
      </w:pPr>
      <w:r>
        <w:rPr>
          <w:rFonts w:hint="eastAsia" w:asciiTheme="minorEastAsia" w:hAnsiTheme="minorEastAsia" w:eastAsiaTheme="minorEastAsia" w:cstheme="minorEastAsia"/>
          <w:b w:val="0"/>
          <w:bCs/>
          <w:sz w:val="24"/>
          <w:shd w:val="clear" w:color="auto" w:fill="FFFFFF"/>
        </w:rPr>
        <w:t>3</w:t>
      </w:r>
      <w:r>
        <w:rPr>
          <w:rFonts w:hint="eastAsia" w:asciiTheme="minorEastAsia" w:hAnsiTheme="minorEastAsia" w:eastAsiaTheme="minorEastAsia" w:cstheme="minorEastAsia"/>
          <w:b w:val="0"/>
          <w:bCs/>
          <w:sz w:val="24"/>
          <w:shd w:val="clear" w:color="auto" w:fill="FFFFFF"/>
          <w:lang w:val="en-US" w:eastAsia="zh-CN"/>
        </w:rPr>
        <w:t>.</w:t>
      </w:r>
      <w:r>
        <w:rPr>
          <w:rFonts w:hint="eastAsia" w:asciiTheme="minorEastAsia" w:hAnsiTheme="minorEastAsia" w:eastAsiaTheme="minorEastAsia" w:cstheme="minorEastAsia"/>
          <w:b w:val="0"/>
          <w:bCs/>
          <w:sz w:val="24"/>
          <w:shd w:val="clear" w:color="auto" w:fill="FFFFFF"/>
        </w:rPr>
        <w:t>本合同未尽事宜，遵照《中华人民共和国民法典》有关条文执行。</w:t>
      </w:r>
    </w:p>
    <w:p w14:paraId="30E3B3E5">
      <w:pPr>
        <w:snapToGrid w:val="0"/>
        <w:spacing w:line="360" w:lineRule="auto"/>
        <w:ind w:left="-59" w:leftChars="-28" w:firstLine="482" w:firstLineChars="200"/>
        <w:rPr>
          <w:rFonts w:hint="eastAsia" w:asciiTheme="minorEastAsia" w:hAnsiTheme="minorEastAsia" w:eastAsiaTheme="minorEastAsia" w:cstheme="minorEastAsia"/>
          <w:b/>
          <w:sz w:val="24"/>
          <w:shd w:val="clear" w:color="auto" w:fill="FFFFFF"/>
        </w:rPr>
      </w:pPr>
      <w:r>
        <w:rPr>
          <w:rFonts w:hint="eastAsia" w:asciiTheme="minorEastAsia" w:hAnsiTheme="minorEastAsia" w:eastAsiaTheme="minorEastAsia" w:cstheme="minorEastAsia"/>
          <w:b/>
          <w:sz w:val="24"/>
          <w:shd w:val="clear" w:color="auto" w:fill="FFFFFF"/>
        </w:rPr>
        <w:t>第十四条 合同的变更、终止与转让</w:t>
      </w:r>
    </w:p>
    <w:p w14:paraId="674295FA">
      <w:pPr>
        <w:snapToGrid w:val="0"/>
        <w:spacing w:line="360" w:lineRule="auto"/>
        <w:ind w:left="-59" w:leftChars="-28" w:firstLine="480" w:firstLineChars="200"/>
        <w:rPr>
          <w:rFonts w:hint="eastAsia" w:asciiTheme="minorEastAsia" w:hAnsiTheme="minorEastAsia" w:eastAsiaTheme="minorEastAsia" w:cstheme="minorEastAsia"/>
          <w:sz w:val="24"/>
          <w:shd w:val="clear" w:color="auto" w:fill="FFFFFF"/>
        </w:rPr>
      </w:pPr>
      <w:r>
        <w:rPr>
          <w:rFonts w:hint="eastAsia" w:asciiTheme="minorEastAsia" w:hAnsiTheme="minorEastAsia" w:eastAsiaTheme="minorEastAsia" w:cstheme="minorEastAsia"/>
          <w:sz w:val="24"/>
          <w:shd w:val="clear" w:color="auto" w:fill="FFFFFF"/>
        </w:rPr>
        <w:t>1、除《中华人民共和国政府采购法》第五十条规定的情形外，本合同一经签订，甲乙双方不得擅自变更、中止或终止。</w:t>
      </w:r>
    </w:p>
    <w:p w14:paraId="6FDA2CD1">
      <w:pPr>
        <w:snapToGrid w:val="0"/>
        <w:spacing w:line="360" w:lineRule="auto"/>
        <w:ind w:left="-59" w:leftChars="-28" w:firstLine="480" w:firstLineChars="200"/>
        <w:rPr>
          <w:rFonts w:hint="eastAsia" w:asciiTheme="minorEastAsia" w:hAnsiTheme="minorEastAsia" w:eastAsiaTheme="minorEastAsia" w:cstheme="minorEastAsia"/>
          <w:sz w:val="24"/>
          <w:shd w:val="clear" w:color="auto" w:fill="FFFFFF"/>
        </w:rPr>
      </w:pPr>
      <w:r>
        <w:rPr>
          <w:rFonts w:hint="eastAsia" w:asciiTheme="minorEastAsia" w:hAnsiTheme="minorEastAsia" w:eastAsiaTheme="minorEastAsia" w:cstheme="minorEastAsia"/>
          <w:sz w:val="24"/>
          <w:shd w:val="clear" w:color="auto" w:fill="FFFFFF"/>
        </w:rPr>
        <w:t>2、乙方不得擅自转让其应履行的合同义务。</w:t>
      </w:r>
    </w:p>
    <w:p w14:paraId="15A86D34">
      <w:pPr>
        <w:snapToGrid w:val="0"/>
        <w:spacing w:line="360" w:lineRule="auto"/>
        <w:ind w:left="-59" w:leftChars="-28" w:firstLine="482" w:firstLineChars="200"/>
        <w:rPr>
          <w:rFonts w:hint="eastAsia" w:asciiTheme="minorEastAsia" w:hAnsiTheme="minorEastAsia" w:eastAsiaTheme="minorEastAsia" w:cstheme="minorEastAsia"/>
          <w:b/>
          <w:sz w:val="24"/>
          <w:shd w:val="clear" w:color="auto" w:fill="FFFFFF"/>
        </w:rPr>
      </w:pPr>
      <w:r>
        <w:rPr>
          <w:rFonts w:hint="eastAsia" w:asciiTheme="minorEastAsia" w:hAnsiTheme="minorEastAsia" w:eastAsiaTheme="minorEastAsia" w:cstheme="minorEastAsia"/>
          <w:b/>
          <w:sz w:val="24"/>
          <w:shd w:val="clear" w:color="auto" w:fill="FFFFFF"/>
        </w:rPr>
        <w:t>第十五条 签订本合同依据即合同组成部分</w:t>
      </w:r>
    </w:p>
    <w:p w14:paraId="398F812B">
      <w:pPr>
        <w:snapToGrid w:val="0"/>
        <w:spacing w:line="360" w:lineRule="auto"/>
        <w:ind w:left="-59" w:leftChars="-28" w:firstLine="480" w:firstLineChars="200"/>
        <w:rPr>
          <w:rFonts w:hint="eastAsia" w:asciiTheme="minorEastAsia" w:hAnsiTheme="minorEastAsia" w:eastAsiaTheme="minorEastAsia" w:cstheme="minorEastAsia"/>
          <w:sz w:val="24"/>
          <w:shd w:val="clear" w:color="auto" w:fill="FFFFFF"/>
        </w:rPr>
      </w:pPr>
      <w:r>
        <w:rPr>
          <w:rFonts w:hint="eastAsia" w:asciiTheme="minorEastAsia" w:hAnsiTheme="minorEastAsia" w:eastAsiaTheme="minorEastAsia" w:cstheme="minorEastAsia"/>
          <w:sz w:val="24"/>
          <w:shd w:val="clear" w:color="auto" w:fill="FFFFFF"/>
        </w:rPr>
        <w:t>1、政府采购文件；</w:t>
      </w:r>
    </w:p>
    <w:p w14:paraId="2168924B">
      <w:pPr>
        <w:snapToGrid w:val="0"/>
        <w:spacing w:line="360" w:lineRule="auto"/>
        <w:ind w:left="-59" w:leftChars="-28" w:firstLine="480" w:firstLineChars="200"/>
        <w:rPr>
          <w:rFonts w:hint="eastAsia" w:asciiTheme="minorEastAsia" w:hAnsiTheme="minorEastAsia" w:eastAsiaTheme="minorEastAsia" w:cstheme="minorEastAsia"/>
          <w:sz w:val="24"/>
          <w:shd w:val="clear" w:color="auto" w:fill="FFFFFF"/>
        </w:rPr>
      </w:pPr>
      <w:r>
        <w:rPr>
          <w:rFonts w:hint="eastAsia" w:asciiTheme="minorEastAsia" w:hAnsiTheme="minorEastAsia" w:eastAsiaTheme="minorEastAsia" w:cstheme="minorEastAsia"/>
          <w:sz w:val="24"/>
          <w:shd w:val="clear" w:color="auto" w:fill="FFFFFF"/>
        </w:rPr>
        <w:t>2、乙方提供的</w:t>
      </w:r>
      <w:r>
        <w:rPr>
          <w:rFonts w:hint="eastAsia" w:asciiTheme="minorEastAsia" w:hAnsiTheme="minorEastAsia" w:eastAsiaTheme="minorEastAsia" w:cstheme="minorEastAsia"/>
          <w:sz w:val="24"/>
          <w:shd w:val="clear" w:color="auto" w:fill="FFFFFF"/>
          <w:lang w:val="en-US" w:eastAsia="zh-CN"/>
        </w:rPr>
        <w:t>响应</w:t>
      </w:r>
      <w:r>
        <w:rPr>
          <w:rFonts w:hint="eastAsia" w:asciiTheme="minorEastAsia" w:hAnsiTheme="minorEastAsia" w:eastAsiaTheme="minorEastAsia" w:cstheme="minorEastAsia"/>
          <w:sz w:val="24"/>
          <w:shd w:val="clear" w:color="auto" w:fill="FFFFFF"/>
        </w:rPr>
        <w:t>文件；</w:t>
      </w:r>
    </w:p>
    <w:p w14:paraId="65FF0474">
      <w:pPr>
        <w:snapToGrid w:val="0"/>
        <w:spacing w:line="360" w:lineRule="auto"/>
        <w:ind w:left="-59" w:leftChars="-28" w:firstLine="480" w:firstLineChars="200"/>
        <w:rPr>
          <w:rFonts w:hint="eastAsia" w:asciiTheme="minorEastAsia" w:hAnsiTheme="minorEastAsia" w:eastAsiaTheme="minorEastAsia" w:cstheme="minorEastAsia"/>
          <w:sz w:val="24"/>
          <w:shd w:val="clear" w:color="auto" w:fill="FFFFFF"/>
        </w:rPr>
      </w:pPr>
      <w:r>
        <w:rPr>
          <w:rFonts w:hint="eastAsia" w:asciiTheme="minorEastAsia" w:hAnsiTheme="minorEastAsia" w:eastAsiaTheme="minorEastAsia" w:cstheme="minorEastAsia"/>
          <w:sz w:val="24"/>
          <w:shd w:val="clear" w:color="auto" w:fill="FFFFFF"/>
        </w:rPr>
        <w:t>3、</w:t>
      </w:r>
      <w:r>
        <w:rPr>
          <w:rFonts w:hint="eastAsia" w:asciiTheme="minorEastAsia" w:hAnsiTheme="minorEastAsia" w:eastAsiaTheme="minorEastAsia" w:cstheme="minorEastAsia"/>
          <w:sz w:val="24"/>
          <w:shd w:val="clear" w:color="auto" w:fill="FFFFFF"/>
          <w:lang w:val="en-US" w:eastAsia="zh-CN"/>
        </w:rPr>
        <w:t>成交</w:t>
      </w:r>
      <w:r>
        <w:rPr>
          <w:rFonts w:hint="eastAsia" w:asciiTheme="minorEastAsia" w:hAnsiTheme="minorEastAsia" w:eastAsiaTheme="minorEastAsia" w:cstheme="minorEastAsia"/>
          <w:sz w:val="24"/>
          <w:shd w:val="clear" w:color="auto" w:fill="FFFFFF"/>
        </w:rPr>
        <w:t>通知书。</w:t>
      </w:r>
    </w:p>
    <w:p w14:paraId="781043F0">
      <w:pPr>
        <w:snapToGrid w:val="0"/>
        <w:spacing w:line="360" w:lineRule="auto"/>
        <w:ind w:left="-59" w:leftChars="-28" w:firstLine="480" w:firstLineChars="200"/>
        <w:rPr>
          <w:rFonts w:hint="eastAsia" w:asciiTheme="minorEastAsia" w:hAnsiTheme="minorEastAsia" w:eastAsiaTheme="minorEastAsia" w:cstheme="minorEastAsia"/>
          <w:sz w:val="24"/>
          <w:shd w:val="clear" w:color="auto" w:fill="FFFFFF"/>
        </w:rPr>
      </w:pPr>
      <w:r>
        <w:rPr>
          <w:rFonts w:hint="eastAsia" w:ascii="宋体" w:hAnsi="宋体" w:cs="宋体"/>
          <w:sz w:val="24"/>
          <w:highlight w:val="none"/>
          <w:lang w:val="en-US" w:eastAsia="zh-CN"/>
        </w:rPr>
        <w:t>4、</w:t>
      </w:r>
      <w:r>
        <w:rPr>
          <w:rFonts w:hint="eastAsia" w:ascii="宋体" w:hAnsi="宋体" w:cs="宋体"/>
          <w:sz w:val="24"/>
          <w:highlight w:val="none"/>
        </w:rPr>
        <w:t>收货确认单、采购文件、响应文件、承诺、拟投入人员、人数等实施方案等均作为本合同的有效组成部分，与本协议具有同等法律效力。如乙方违反，应承担违约责任。同时，甲方有权选择中止或终止合同。</w:t>
      </w:r>
    </w:p>
    <w:p w14:paraId="3208EAAE">
      <w:pPr>
        <w:snapToGrid w:val="0"/>
        <w:spacing w:line="360" w:lineRule="auto"/>
        <w:ind w:left="-59" w:leftChars="-28" w:firstLine="482" w:firstLineChars="200"/>
        <w:rPr>
          <w:rFonts w:hint="eastAsia" w:asciiTheme="minorEastAsia" w:hAnsiTheme="minorEastAsia" w:eastAsiaTheme="minorEastAsia" w:cstheme="minorEastAsia"/>
          <w:sz w:val="24"/>
          <w:shd w:val="clear" w:color="auto" w:fill="FFFFFF"/>
        </w:rPr>
      </w:pPr>
      <w:r>
        <w:rPr>
          <w:rFonts w:hint="eastAsia" w:asciiTheme="minorEastAsia" w:hAnsiTheme="minorEastAsia" w:eastAsiaTheme="minorEastAsia" w:cstheme="minorEastAsia"/>
          <w:b/>
          <w:sz w:val="24"/>
          <w:shd w:val="clear" w:color="auto" w:fill="FFFFFF"/>
        </w:rPr>
        <w:t xml:space="preserve">第十六条 </w:t>
      </w:r>
      <w:r>
        <w:rPr>
          <w:rFonts w:hint="eastAsia" w:asciiTheme="minorEastAsia" w:hAnsiTheme="minorEastAsia" w:eastAsiaTheme="minorEastAsia" w:cstheme="minorEastAsia"/>
          <w:sz w:val="24"/>
          <w:shd w:val="clear" w:color="auto" w:fill="FFFFFF"/>
        </w:rPr>
        <w:t>本合同一式</w:t>
      </w:r>
      <w:r>
        <w:rPr>
          <w:rFonts w:hint="eastAsia" w:asciiTheme="minorEastAsia" w:hAnsiTheme="minorEastAsia" w:eastAsiaTheme="minorEastAsia" w:cstheme="minorEastAsia"/>
          <w:sz w:val="24"/>
          <w:shd w:val="clear" w:color="auto" w:fill="FFFFFF"/>
          <w:lang w:val="en-US" w:eastAsia="zh-CN"/>
        </w:rPr>
        <w:t>六</w:t>
      </w:r>
      <w:r>
        <w:rPr>
          <w:rFonts w:hint="eastAsia" w:asciiTheme="minorEastAsia" w:hAnsiTheme="minorEastAsia" w:eastAsiaTheme="minorEastAsia" w:cstheme="minorEastAsia"/>
          <w:sz w:val="24"/>
          <w:shd w:val="clear" w:color="auto" w:fill="FFFFFF"/>
        </w:rPr>
        <w:t>份，具有同等法律效力，</w:t>
      </w:r>
      <w:r>
        <w:rPr>
          <w:rFonts w:hint="eastAsia" w:asciiTheme="minorEastAsia" w:hAnsiTheme="minorEastAsia" w:eastAsiaTheme="minorEastAsia" w:cstheme="minorEastAsia"/>
          <w:spacing w:val="4"/>
          <w:sz w:val="24"/>
          <w:shd w:val="clear" w:color="auto" w:fill="FFFFFF"/>
        </w:rPr>
        <w:t>采购代理机构</w:t>
      </w:r>
      <w:r>
        <w:rPr>
          <w:rFonts w:hint="eastAsia" w:asciiTheme="minorEastAsia" w:hAnsiTheme="minorEastAsia" w:eastAsiaTheme="minorEastAsia" w:cstheme="minorEastAsia"/>
          <w:sz w:val="24"/>
          <w:shd w:val="clear" w:color="auto" w:fill="FFFFFF"/>
        </w:rPr>
        <w:t>一份，甲方</w:t>
      </w:r>
      <w:r>
        <w:rPr>
          <w:rFonts w:hint="eastAsia" w:asciiTheme="minorEastAsia" w:hAnsiTheme="minorEastAsia" w:eastAsiaTheme="minorEastAsia" w:cstheme="minorEastAsia"/>
          <w:sz w:val="24"/>
          <w:shd w:val="clear" w:color="auto" w:fill="FFFFFF"/>
          <w:lang w:val="en-US" w:eastAsia="zh-CN"/>
        </w:rPr>
        <w:t>三</w:t>
      </w:r>
      <w:r>
        <w:rPr>
          <w:rFonts w:hint="eastAsia" w:asciiTheme="minorEastAsia" w:hAnsiTheme="minorEastAsia" w:eastAsiaTheme="minorEastAsia" w:cstheme="minorEastAsia"/>
          <w:sz w:val="24"/>
          <w:shd w:val="clear" w:color="auto" w:fill="FFFFFF"/>
        </w:rPr>
        <w:t>份，乙方两份。</w:t>
      </w:r>
    </w:p>
    <w:p w14:paraId="4BE2D48F">
      <w:pPr>
        <w:pStyle w:val="30"/>
        <w:rPr>
          <w:rFonts w:hint="eastAsia"/>
        </w:rPr>
      </w:pPr>
    </w:p>
    <w:tbl>
      <w:tblPr>
        <w:tblStyle w:val="33"/>
        <w:tblW w:w="93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38"/>
        <w:gridCol w:w="4822"/>
      </w:tblGrid>
      <w:tr w14:paraId="344F9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8" w:hRule="atLeast"/>
          <w:jc w:val="center"/>
        </w:trPr>
        <w:tc>
          <w:tcPr>
            <w:tcW w:w="4538" w:type="dxa"/>
            <w:tcBorders>
              <w:top w:val="single" w:color="auto" w:sz="4" w:space="0"/>
              <w:left w:val="single" w:color="auto" w:sz="4" w:space="0"/>
              <w:bottom w:val="single" w:color="auto" w:sz="4" w:space="0"/>
              <w:right w:val="single" w:color="auto" w:sz="4" w:space="0"/>
            </w:tcBorders>
            <w:noWrap w:val="0"/>
            <w:vAlign w:val="center"/>
          </w:tcPr>
          <w:p w14:paraId="73D42581">
            <w:pPr>
              <w:snapToGrid w:val="0"/>
              <w:spacing w:before="120" w:line="360" w:lineRule="auto"/>
              <w:rPr>
                <w:rFonts w:ascii="宋体" w:hAnsi="宋体" w:cs="宋体"/>
                <w:sz w:val="24"/>
              </w:rPr>
            </w:pPr>
            <w:r>
              <w:rPr>
                <w:rFonts w:hint="eastAsia" w:ascii="宋体" w:hAnsi="宋体" w:cs="宋体"/>
                <w:b/>
                <w:bCs/>
                <w:sz w:val="24"/>
              </w:rPr>
              <w:t xml:space="preserve">甲方（章） 广西医科大学第一附属医院    </w:t>
            </w:r>
            <w:r>
              <w:rPr>
                <w:rFonts w:hint="eastAsia" w:ascii="宋体" w:hAnsi="宋体" w:cs="宋体"/>
                <w:sz w:val="24"/>
              </w:rPr>
              <w:t xml:space="preserve">    </w:t>
            </w:r>
          </w:p>
          <w:p w14:paraId="00CEA2BA">
            <w:pPr>
              <w:snapToGrid w:val="0"/>
              <w:spacing w:before="120" w:line="360" w:lineRule="auto"/>
              <w:ind w:firstLine="1080" w:firstLineChars="450"/>
              <w:jc w:val="right"/>
              <w:rPr>
                <w:rFonts w:ascii="宋体" w:hAnsi="宋体" w:cs="宋体"/>
                <w:sz w:val="24"/>
              </w:rPr>
            </w:pPr>
            <w:r>
              <w:rPr>
                <w:rFonts w:hint="eastAsia" w:ascii="宋体" w:hAnsi="宋体" w:cs="宋体"/>
                <w:sz w:val="24"/>
              </w:rPr>
              <w:t>年   月   日</w:t>
            </w:r>
          </w:p>
        </w:tc>
        <w:tc>
          <w:tcPr>
            <w:tcW w:w="4822" w:type="dxa"/>
            <w:tcBorders>
              <w:top w:val="single" w:color="auto" w:sz="4" w:space="0"/>
              <w:left w:val="single" w:color="auto" w:sz="4" w:space="0"/>
              <w:bottom w:val="single" w:color="auto" w:sz="4" w:space="0"/>
              <w:right w:val="single" w:color="auto" w:sz="4" w:space="0"/>
            </w:tcBorders>
            <w:noWrap w:val="0"/>
            <w:vAlign w:val="center"/>
          </w:tcPr>
          <w:p w14:paraId="3E09EE51">
            <w:pPr>
              <w:snapToGrid w:val="0"/>
              <w:spacing w:before="120" w:line="360" w:lineRule="auto"/>
              <w:rPr>
                <w:rFonts w:ascii="宋体" w:hAnsi="宋体" w:cs="宋体"/>
                <w:sz w:val="24"/>
              </w:rPr>
            </w:pPr>
            <w:r>
              <w:rPr>
                <w:rFonts w:hint="eastAsia" w:ascii="宋体" w:hAnsi="宋体" w:cs="宋体"/>
                <w:b/>
                <w:bCs/>
                <w:sz w:val="24"/>
              </w:rPr>
              <w:t>乙方（章）</w:t>
            </w:r>
            <w:r>
              <w:rPr>
                <w:rFonts w:hint="eastAsia" w:ascii="宋体" w:hAnsi="宋体" w:cs="宋体"/>
                <w:sz w:val="24"/>
              </w:rPr>
              <w:t xml:space="preserve">              </w:t>
            </w:r>
          </w:p>
          <w:p w14:paraId="744249E1">
            <w:pPr>
              <w:snapToGrid w:val="0"/>
              <w:spacing w:before="120" w:line="360" w:lineRule="auto"/>
              <w:jc w:val="center"/>
              <w:rPr>
                <w:rFonts w:ascii="宋体" w:hAnsi="宋体" w:cs="宋体"/>
                <w:sz w:val="24"/>
              </w:rPr>
            </w:pPr>
            <w:r>
              <w:rPr>
                <w:rFonts w:hint="eastAsia" w:ascii="宋体" w:hAnsi="宋体" w:cs="宋体"/>
                <w:sz w:val="24"/>
              </w:rPr>
              <w:t>年   月   日</w:t>
            </w:r>
          </w:p>
        </w:tc>
      </w:tr>
      <w:tr w14:paraId="4D4F3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3" w:hRule="atLeast"/>
          <w:jc w:val="center"/>
        </w:trPr>
        <w:tc>
          <w:tcPr>
            <w:tcW w:w="4538" w:type="dxa"/>
            <w:tcBorders>
              <w:top w:val="single" w:color="auto" w:sz="4" w:space="0"/>
              <w:left w:val="single" w:color="auto" w:sz="4" w:space="0"/>
              <w:bottom w:val="single" w:color="auto" w:sz="4" w:space="0"/>
              <w:right w:val="single" w:color="auto" w:sz="4" w:space="0"/>
            </w:tcBorders>
            <w:noWrap w:val="0"/>
            <w:vAlign w:val="center"/>
          </w:tcPr>
          <w:p w14:paraId="56E49544">
            <w:pPr>
              <w:snapToGrid w:val="0"/>
              <w:spacing w:before="120" w:line="360" w:lineRule="auto"/>
              <w:rPr>
                <w:rFonts w:ascii="宋体" w:hAnsi="宋体" w:cs="宋体"/>
                <w:sz w:val="24"/>
              </w:rPr>
            </w:pPr>
            <w:r>
              <w:rPr>
                <w:rFonts w:hint="eastAsia" w:ascii="宋体" w:hAnsi="宋体" w:cs="宋体"/>
                <w:sz w:val="24"/>
              </w:rPr>
              <w:t>单位地址：广西南宁市双拥路6号</w:t>
            </w:r>
          </w:p>
        </w:tc>
        <w:tc>
          <w:tcPr>
            <w:tcW w:w="4822" w:type="dxa"/>
            <w:tcBorders>
              <w:top w:val="single" w:color="auto" w:sz="4" w:space="0"/>
              <w:left w:val="single" w:color="auto" w:sz="4" w:space="0"/>
              <w:bottom w:val="single" w:color="auto" w:sz="4" w:space="0"/>
              <w:right w:val="single" w:color="auto" w:sz="4" w:space="0"/>
            </w:tcBorders>
            <w:noWrap w:val="0"/>
            <w:vAlign w:val="center"/>
          </w:tcPr>
          <w:p w14:paraId="27B49C7C">
            <w:pPr>
              <w:snapToGrid w:val="0"/>
              <w:spacing w:before="120" w:line="360" w:lineRule="auto"/>
              <w:rPr>
                <w:rFonts w:ascii="宋体" w:hAnsi="宋体" w:cs="宋体"/>
                <w:sz w:val="24"/>
              </w:rPr>
            </w:pPr>
            <w:r>
              <w:rPr>
                <w:rFonts w:hint="eastAsia" w:ascii="宋体" w:hAnsi="宋体" w:cs="宋体"/>
                <w:sz w:val="24"/>
              </w:rPr>
              <w:t>单位地址：</w:t>
            </w:r>
          </w:p>
        </w:tc>
      </w:tr>
      <w:tr w14:paraId="5A52E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9" w:hRule="atLeast"/>
          <w:jc w:val="center"/>
        </w:trPr>
        <w:tc>
          <w:tcPr>
            <w:tcW w:w="4538" w:type="dxa"/>
            <w:tcBorders>
              <w:top w:val="single" w:color="auto" w:sz="4" w:space="0"/>
              <w:left w:val="single" w:color="auto" w:sz="4" w:space="0"/>
              <w:bottom w:val="single" w:color="auto" w:sz="4" w:space="0"/>
              <w:right w:val="single" w:color="auto" w:sz="4" w:space="0"/>
            </w:tcBorders>
            <w:noWrap w:val="0"/>
            <w:vAlign w:val="center"/>
          </w:tcPr>
          <w:p w14:paraId="6E029BB1">
            <w:pPr>
              <w:snapToGrid w:val="0"/>
              <w:spacing w:before="120" w:line="360" w:lineRule="auto"/>
              <w:rPr>
                <w:rFonts w:hint="eastAsia" w:ascii="宋体" w:hAnsi="宋体" w:cs="宋体"/>
                <w:sz w:val="24"/>
              </w:rPr>
            </w:pPr>
            <w:r>
              <w:rPr>
                <w:rFonts w:hint="eastAsia" w:ascii="宋体" w:hAnsi="宋体" w:cs="宋体"/>
                <w:sz w:val="24"/>
              </w:rPr>
              <w:t>法定代表人：（签字或盖章）</w:t>
            </w:r>
          </w:p>
        </w:tc>
        <w:tc>
          <w:tcPr>
            <w:tcW w:w="4822" w:type="dxa"/>
            <w:tcBorders>
              <w:top w:val="single" w:color="auto" w:sz="4" w:space="0"/>
              <w:left w:val="single" w:color="auto" w:sz="4" w:space="0"/>
              <w:bottom w:val="single" w:color="auto" w:sz="4" w:space="0"/>
              <w:right w:val="single" w:color="auto" w:sz="4" w:space="0"/>
            </w:tcBorders>
            <w:noWrap w:val="0"/>
            <w:vAlign w:val="center"/>
          </w:tcPr>
          <w:p w14:paraId="26CF0CA9">
            <w:pPr>
              <w:snapToGrid w:val="0"/>
              <w:spacing w:before="120" w:line="360" w:lineRule="auto"/>
              <w:rPr>
                <w:rFonts w:ascii="宋体" w:hAnsi="宋体" w:cs="宋体"/>
                <w:sz w:val="24"/>
              </w:rPr>
            </w:pPr>
            <w:r>
              <w:rPr>
                <w:rFonts w:hint="eastAsia" w:ascii="宋体" w:hAnsi="宋体" w:cs="宋体"/>
                <w:sz w:val="24"/>
              </w:rPr>
              <w:t>法定代表人：（签字或盖章）</w:t>
            </w:r>
          </w:p>
        </w:tc>
      </w:tr>
      <w:tr w14:paraId="4F525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1" w:hRule="atLeast"/>
          <w:jc w:val="center"/>
        </w:trPr>
        <w:tc>
          <w:tcPr>
            <w:tcW w:w="4538" w:type="dxa"/>
            <w:tcBorders>
              <w:top w:val="single" w:color="auto" w:sz="4" w:space="0"/>
              <w:left w:val="single" w:color="auto" w:sz="4" w:space="0"/>
              <w:bottom w:val="single" w:color="auto" w:sz="4" w:space="0"/>
              <w:right w:val="single" w:color="auto" w:sz="4" w:space="0"/>
            </w:tcBorders>
            <w:noWrap w:val="0"/>
            <w:vAlign w:val="center"/>
          </w:tcPr>
          <w:p w14:paraId="3A298C38">
            <w:pPr>
              <w:snapToGrid w:val="0"/>
              <w:spacing w:before="120" w:line="360" w:lineRule="auto"/>
              <w:rPr>
                <w:rFonts w:ascii="宋体" w:hAnsi="宋体" w:cs="宋体"/>
                <w:sz w:val="24"/>
              </w:rPr>
            </w:pPr>
            <w:r>
              <w:rPr>
                <w:rFonts w:hint="eastAsia" w:ascii="宋体" w:hAnsi="宋体" w:cs="宋体"/>
                <w:sz w:val="24"/>
              </w:rPr>
              <w:t>委托代理人：（签字或盖章）</w:t>
            </w:r>
          </w:p>
        </w:tc>
        <w:tc>
          <w:tcPr>
            <w:tcW w:w="4822" w:type="dxa"/>
            <w:tcBorders>
              <w:top w:val="single" w:color="auto" w:sz="4" w:space="0"/>
              <w:left w:val="single" w:color="auto" w:sz="4" w:space="0"/>
              <w:bottom w:val="single" w:color="auto" w:sz="4" w:space="0"/>
              <w:right w:val="single" w:color="auto" w:sz="4" w:space="0"/>
            </w:tcBorders>
            <w:noWrap w:val="0"/>
            <w:vAlign w:val="center"/>
          </w:tcPr>
          <w:p w14:paraId="4F57ACEA">
            <w:pPr>
              <w:snapToGrid w:val="0"/>
              <w:spacing w:before="120" w:line="360" w:lineRule="auto"/>
              <w:rPr>
                <w:rFonts w:ascii="宋体" w:hAnsi="宋体" w:cs="宋体"/>
                <w:sz w:val="24"/>
              </w:rPr>
            </w:pPr>
            <w:r>
              <w:rPr>
                <w:rFonts w:hint="eastAsia" w:ascii="宋体" w:hAnsi="宋体" w:cs="宋体"/>
                <w:sz w:val="24"/>
              </w:rPr>
              <w:t>委托代理人：（签字或盖章）</w:t>
            </w:r>
          </w:p>
        </w:tc>
      </w:tr>
      <w:tr w14:paraId="02F15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3" w:hRule="atLeast"/>
          <w:jc w:val="center"/>
        </w:trPr>
        <w:tc>
          <w:tcPr>
            <w:tcW w:w="4538" w:type="dxa"/>
            <w:tcBorders>
              <w:top w:val="single" w:color="auto" w:sz="4" w:space="0"/>
              <w:left w:val="single" w:color="auto" w:sz="4" w:space="0"/>
              <w:bottom w:val="single" w:color="auto" w:sz="4" w:space="0"/>
              <w:right w:val="single" w:color="auto" w:sz="4" w:space="0"/>
            </w:tcBorders>
            <w:noWrap w:val="0"/>
            <w:vAlign w:val="center"/>
          </w:tcPr>
          <w:p w14:paraId="044189FB">
            <w:pPr>
              <w:snapToGrid w:val="0"/>
              <w:spacing w:before="120" w:line="360" w:lineRule="auto"/>
              <w:rPr>
                <w:rFonts w:hint="default" w:ascii="宋体" w:hAnsi="宋体" w:eastAsia="宋体" w:cs="宋体"/>
                <w:sz w:val="24"/>
                <w:lang w:val="en-US" w:eastAsia="zh-CN"/>
              </w:rPr>
            </w:pPr>
            <w:r>
              <w:rPr>
                <w:rFonts w:hint="eastAsia" w:ascii="宋体" w:hAnsi="宋体" w:cs="宋体"/>
                <w:sz w:val="24"/>
              </w:rPr>
              <w:t>电话：0771-5</w:t>
            </w:r>
            <w:r>
              <w:rPr>
                <w:rFonts w:hint="eastAsia" w:ascii="宋体" w:hAnsi="宋体" w:cs="宋体"/>
                <w:sz w:val="24"/>
                <w:lang w:val="en-US" w:eastAsia="zh-CN"/>
              </w:rPr>
              <w:t>634385</w:t>
            </w:r>
          </w:p>
        </w:tc>
        <w:tc>
          <w:tcPr>
            <w:tcW w:w="4822" w:type="dxa"/>
            <w:tcBorders>
              <w:top w:val="single" w:color="auto" w:sz="4" w:space="0"/>
              <w:left w:val="single" w:color="auto" w:sz="4" w:space="0"/>
              <w:bottom w:val="single" w:color="auto" w:sz="4" w:space="0"/>
              <w:right w:val="single" w:color="auto" w:sz="4" w:space="0"/>
            </w:tcBorders>
            <w:noWrap w:val="0"/>
            <w:vAlign w:val="center"/>
          </w:tcPr>
          <w:p w14:paraId="54F8777C">
            <w:pPr>
              <w:snapToGrid w:val="0"/>
              <w:spacing w:before="120" w:line="360" w:lineRule="auto"/>
              <w:rPr>
                <w:rFonts w:ascii="宋体" w:hAnsi="宋体" w:cs="宋体"/>
                <w:sz w:val="24"/>
              </w:rPr>
            </w:pPr>
            <w:r>
              <w:rPr>
                <w:rFonts w:hint="eastAsia" w:ascii="宋体" w:hAnsi="宋体" w:cs="宋体"/>
                <w:sz w:val="24"/>
              </w:rPr>
              <w:t>电话：</w:t>
            </w:r>
          </w:p>
        </w:tc>
      </w:tr>
      <w:tr w14:paraId="7388E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jc w:val="center"/>
        </w:trPr>
        <w:tc>
          <w:tcPr>
            <w:tcW w:w="4538" w:type="dxa"/>
            <w:tcBorders>
              <w:top w:val="single" w:color="auto" w:sz="4" w:space="0"/>
              <w:left w:val="single" w:color="auto" w:sz="4" w:space="0"/>
              <w:bottom w:val="single" w:color="auto" w:sz="4" w:space="0"/>
              <w:right w:val="single" w:color="auto" w:sz="4" w:space="0"/>
            </w:tcBorders>
            <w:noWrap w:val="0"/>
            <w:vAlign w:val="center"/>
          </w:tcPr>
          <w:p w14:paraId="0B78A9D5">
            <w:pPr>
              <w:snapToGrid w:val="0"/>
              <w:spacing w:before="120" w:line="360" w:lineRule="auto"/>
              <w:rPr>
                <w:rFonts w:ascii="宋体" w:hAnsi="宋体" w:cs="宋体"/>
                <w:sz w:val="24"/>
              </w:rPr>
            </w:pPr>
            <w:r>
              <w:rPr>
                <w:rFonts w:hint="eastAsia" w:ascii="宋体" w:hAnsi="宋体" w:cs="宋体"/>
                <w:sz w:val="24"/>
              </w:rPr>
              <w:t>电子邮箱：</w:t>
            </w:r>
          </w:p>
        </w:tc>
        <w:tc>
          <w:tcPr>
            <w:tcW w:w="4822" w:type="dxa"/>
            <w:tcBorders>
              <w:top w:val="single" w:color="auto" w:sz="4" w:space="0"/>
              <w:left w:val="single" w:color="auto" w:sz="4" w:space="0"/>
              <w:bottom w:val="single" w:color="auto" w:sz="4" w:space="0"/>
              <w:right w:val="single" w:color="auto" w:sz="4" w:space="0"/>
            </w:tcBorders>
            <w:noWrap w:val="0"/>
            <w:vAlign w:val="center"/>
          </w:tcPr>
          <w:p w14:paraId="0D4D8D9D">
            <w:pPr>
              <w:snapToGrid w:val="0"/>
              <w:spacing w:before="120" w:line="360" w:lineRule="auto"/>
              <w:rPr>
                <w:rFonts w:ascii="宋体" w:hAnsi="宋体" w:cs="宋体"/>
                <w:sz w:val="24"/>
              </w:rPr>
            </w:pPr>
            <w:r>
              <w:rPr>
                <w:rFonts w:hint="eastAsia" w:ascii="宋体" w:hAnsi="宋体" w:cs="宋体"/>
                <w:sz w:val="24"/>
              </w:rPr>
              <w:t>电子邮箱：</w:t>
            </w:r>
          </w:p>
        </w:tc>
      </w:tr>
      <w:tr w14:paraId="2D04E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jc w:val="center"/>
        </w:trPr>
        <w:tc>
          <w:tcPr>
            <w:tcW w:w="4538" w:type="dxa"/>
            <w:tcBorders>
              <w:top w:val="single" w:color="auto" w:sz="4" w:space="0"/>
              <w:left w:val="single" w:color="auto" w:sz="4" w:space="0"/>
              <w:bottom w:val="single" w:color="auto" w:sz="4" w:space="0"/>
              <w:right w:val="single" w:color="auto" w:sz="4" w:space="0"/>
            </w:tcBorders>
            <w:noWrap w:val="0"/>
            <w:vAlign w:val="center"/>
          </w:tcPr>
          <w:p w14:paraId="1360D60D">
            <w:pPr>
              <w:snapToGrid w:val="0"/>
              <w:spacing w:before="120" w:line="360" w:lineRule="auto"/>
              <w:rPr>
                <w:rFonts w:ascii="宋体" w:hAnsi="宋体" w:cs="宋体"/>
                <w:sz w:val="24"/>
              </w:rPr>
            </w:pPr>
            <w:r>
              <w:rPr>
                <w:rFonts w:hint="eastAsia" w:ascii="宋体" w:hAnsi="宋体" w:cs="宋体"/>
                <w:sz w:val="24"/>
              </w:rPr>
              <w:t>开户银行：广西南宁建行医科大支行</w:t>
            </w:r>
          </w:p>
        </w:tc>
        <w:tc>
          <w:tcPr>
            <w:tcW w:w="4822" w:type="dxa"/>
            <w:tcBorders>
              <w:top w:val="single" w:color="auto" w:sz="4" w:space="0"/>
              <w:left w:val="single" w:color="auto" w:sz="4" w:space="0"/>
              <w:bottom w:val="single" w:color="auto" w:sz="4" w:space="0"/>
              <w:right w:val="single" w:color="auto" w:sz="4" w:space="0"/>
            </w:tcBorders>
            <w:noWrap w:val="0"/>
            <w:vAlign w:val="center"/>
          </w:tcPr>
          <w:p w14:paraId="43450FEA">
            <w:pPr>
              <w:snapToGrid w:val="0"/>
              <w:spacing w:before="120" w:line="360" w:lineRule="auto"/>
              <w:rPr>
                <w:rFonts w:ascii="宋体" w:hAnsi="宋体" w:cs="宋体"/>
                <w:sz w:val="24"/>
              </w:rPr>
            </w:pPr>
            <w:r>
              <w:rPr>
                <w:rFonts w:hint="eastAsia" w:ascii="宋体" w:hAnsi="宋体" w:cs="宋体"/>
                <w:sz w:val="24"/>
              </w:rPr>
              <w:t>开户银行：</w:t>
            </w:r>
          </w:p>
        </w:tc>
      </w:tr>
      <w:tr w14:paraId="2C100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1" w:hRule="atLeast"/>
          <w:jc w:val="center"/>
        </w:trPr>
        <w:tc>
          <w:tcPr>
            <w:tcW w:w="4538" w:type="dxa"/>
            <w:tcBorders>
              <w:top w:val="single" w:color="auto" w:sz="4" w:space="0"/>
              <w:left w:val="single" w:color="auto" w:sz="4" w:space="0"/>
              <w:bottom w:val="single" w:color="auto" w:sz="4" w:space="0"/>
              <w:right w:val="single" w:color="auto" w:sz="4" w:space="0"/>
            </w:tcBorders>
            <w:noWrap w:val="0"/>
            <w:vAlign w:val="center"/>
          </w:tcPr>
          <w:p w14:paraId="21C0318C">
            <w:pPr>
              <w:snapToGrid w:val="0"/>
              <w:spacing w:before="120" w:line="360" w:lineRule="auto"/>
              <w:rPr>
                <w:rFonts w:ascii="宋体" w:hAnsi="宋体" w:cs="宋体"/>
                <w:sz w:val="24"/>
              </w:rPr>
            </w:pPr>
            <w:r>
              <w:rPr>
                <w:rFonts w:hint="eastAsia" w:ascii="宋体" w:hAnsi="宋体" w:cs="宋体"/>
                <w:sz w:val="24"/>
              </w:rPr>
              <w:t>账号：4500 1604 5600 5050 1061</w:t>
            </w:r>
          </w:p>
        </w:tc>
        <w:tc>
          <w:tcPr>
            <w:tcW w:w="4822" w:type="dxa"/>
            <w:tcBorders>
              <w:top w:val="single" w:color="auto" w:sz="4" w:space="0"/>
              <w:left w:val="single" w:color="auto" w:sz="4" w:space="0"/>
              <w:bottom w:val="single" w:color="auto" w:sz="4" w:space="0"/>
              <w:right w:val="single" w:color="auto" w:sz="4" w:space="0"/>
            </w:tcBorders>
            <w:noWrap w:val="0"/>
            <w:vAlign w:val="center"/>
          </w:tcPr>
          <w:p w14:paraId="2B9F44E5">
            <w:pPr>
              <w:snapToGrid w:val="0"/>
              <w:spacing w:before="120" w:line="360" w:lineRule="auto"/>
              <w:rPr>
                <w:rFonts w:ascii="宋体" w:hAnsi="宋体" w:cs="宋体"/>
                <w:sz w:val="24"/>
              </w:rPr>
            </w:pPr>
            <w:r>
              <w:rPr>
                <w:rFonts w:hint="eastAsia" w:ascii="宋体" w:hAnsi="宋体" w:cs="宋体"/>
                <w:sz w:val="24"/>
              </w:rPr>
              <w:t>账号：</w:t>
            </w:r>
          </w:p>
        </w:tc>
      </w:tr>
      <w:tr w14:paraId="47D4D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1" w:hRule="atLeast"/>
          <w:jc w:val="center"/>
        </w:trPr>
        <w:tc>
          <w:tcPr>
            <w:tcW w:w="4538" w:type="dxa"/>
            <w:tcBorders>
              <w:top w:val="single" w:color="auto" w:sz="4" w:space="0"/>
              <w:left w:val="single" w:color="auto" w:sz="4" w:space="0"/>
              <w:bottom w:val="single" w:color="auto" w:sz="4" w:space="0"/>
              <w:right w:val="single" w:color="auto" w:sz="4" w:space="0"/>
            </w:tcBorders>
            <w:noWrap w:val="0"/>
            <w:vAlign w:val="center"/>
          </w:tcPr>
          <w:p w14:paraId="01168BD4">
            <w:pPr>
              <w:snapToGrid w:val="0"/>
              <w:spacing w:before="120" w:line="360" w:lineRule="auto"/>
              <w:rPr>
                <w:rFonts w:hint="default" w:ascii="宋体" w:hAnsi="宋体" w:eastAsia="宋体" w:cs="宋体"/>
                <w:sz w:val="24"/>
                <w:lang w:val="en-US" w:eastAsia="zh-CN"/>
              </w:rPr>
            </w:pPr>
            <w:r>
              <w:rPr>
                <w:rFonts w:hint="eastAsia" w:ascii="宋体" w:hAnsi="宋体" w:cs="宋体"/>
                <w:sz w:val="24"/>
              </w:rPr>
              <w:t>邮政编码：</w:t>
            </w:r>
            <w:r>
              <w:rPr>
                <w:rFonts w:hint="eastAsia" w:ascii="宋体" w:hAnsi="宋体" w:cs="宋体"/>
                <w:sz w:val="24"/>
                <w:lang w:val="en-US" w:eastAsia="zh-CN"/>
              </w:rPr>
              <w:t>530021</w:t>
            </w:r>
          </w:p>
        </w:tc>
        <w:tc>
          <w:tcPr>
            <w:tcW w:w="4822" w:type="dxa"/>
            <w:tcBorders>
              <w:top w:val="single" w:color="auto" w:sz="4" w:space="0"/>
              <w:left w:val="single" w:color="auto" w:sz="4" w:space="0"/>
              <w:bottom w:val="single" w:color="auto" w:sz="4" w:space="0"/>
              <w:right w:val="single" w:color="auto" w:sz="4" w:space="0"/>
            </w:tcBorders>
            <w:noWrap w:val="0"/>
            <w:vAlign w:val="center"/>
          </w:tcPr>
          <w:p w14:paraId="0980406E">
            <w:pPr>
              <w:snapToGrid w:val="0"/>
              <w:spacing w:before="120" w:line="360" w:lineRule="auto"/>
              <w:rPr>
                <w:rFonts w:ascii="宋体" w:hAnsi="宋体" w:cs="宋体"/>
                <w:sz w:val="24"/>
              </w:rPr>
            </w:pPr>
            <w:r>
              <w:rPr>
                <w:rFonts w:hint="eastAsia" w:ascii="宋体" w:hAnsi="宋体" w:cs="宋体"/>
                <w:sz w:val="24"/>
              </w:rPr>
              <w:t>邮政编码：</w:t>
            </w:r>
          </w:p>
        </w:tc>
      </w:tr>
    </w:tbl>
    <w:p w14:paraId="3D6BAE9B">
      <w:pPr>
        <w:rPr>
          <w:rFonts w:hint="eastAsia" w:ascii="宋体" w:hAnsi="宋体" w:eastAsia="宋体" w:cs="宋体"/>
          <w:b/>
          <w:bCs/>
          <w:color w:val="auto"/>
          <w:sz w:val="21"/>
          <w:szCs w:val="21"/>
          <w:highlight w:val="none"/>
        </w:rPr>
      </w:pPr>
    </w:p>
    <w:p w14:paraId="3804A633">
      <w:pPr>
        <w:spacing w:line="240" w:lineRule="auto"/>
        <w:ind w:left="0" w:leftChars="0" w:right="0" w:rightChars="0" w:firstLine="0" w:firstLineChars="0"/>
        <w:jc w:val="left"/>
        <w:rPr>
          <w:rFonts w:hint="eastAsia" w:ascii="宋体" w:hAnsi="宋体"/>
          <w:b/>
          <w:bCs/>
          <w:color w:val="auto"/>
          <w:sz w:val="32"/>
          <w:szCs w:val="32"/>
          <w:highlight w:val="none"/>
        </w:rPr>
      </w:pPr>
      <w:r>
        <w:rPr>
          <w:rFonts w:hint="eastAsia" w:ascii="宋体" w:hAnsi="宋体"/>
          <w:b/>
          <w:bCs/>
          <w:color w:val="auto"/>
          <w:sz w:val="32"/>
          <w:szCs w:val="32"/>
          <w:highlight w:val="none"/>
        </w:rPr>
        <w:t>其他文书、文件格式</w:t>
      </w:r>
    </w:p>
    <w:p w14:paraId="1019EDD0">
      <w:pPr>
        <w:pStyle w:val="19"/>
        <w:spacing w:line="360" w:lineRule="auto"/>
        <w:ind w:firstLine="400" w:firstLineChars="200"/>
        <w:contextualSpacing/>
        <w:rPr>
          <w:color w:val="auto"/>
          <w:highlight w:val="none"/>
        </w:rPr>
      </w:pPr>
    </w:p>
    <w:p w14:paraId="0170390B">
      <w:pPr>
        <w:spacing w:line="360" w:lineRule="auto"/>
        <w:jc w:val="center"/>
        <w:rPr>
          <w:rFonts w:hint="eastAsia" w:ascii="宋体" w:hAnsi="宋体"/>
          <w:b/>
          <w:bCs/>
          <w:color w:val="auto"/>
          <w:sz w:val="32"/>
          <w:szCs w:val="32"/>
          <w:highlight w:val="none"/>
        </w:rPr>
      </w:pPr>
      <w:r>
        <w:rPr>
          <w:rFonts w:hint="eastAsia" w:ascii="方正小标宋简体" w:hAnsi="方正小标宋简体" w:eastAsia="方正小标宋简体" w:cs="方正小标宋简体"/>
          <w:color w:val="auto"/>
          <w:sz w:val="44"/>
          <w:szCs w:val="44"/>
          <w:highlight w:val="none"/>
        </w:rPr>
        <w:t>质疑函</w:t>
      </w:r>
      <w:r>
        <w:rPr>
          <w:rFonts w:hint="eastAsia" w:ascii="方正小标宋简体" w:hAnsi="方正小标宋简体" w:eastAsia="方正小标宋简体" w:cs="方正小标宋简体"/>
          <w:color w:val="auto"/>
          <w:sz w:val="28"/>
          <w:szCs w:val="28"/>
          <w:highlight w:val="none"/>
        </w:rPr>
        <w:t>（格式）</w:t>
      </w:r>
    </w:p>
    <w:p w14:paraId="2BD4F062">
      <w:pPr>
        <w:pStyle w:val="19"/>
        <w:spacing w:line="360" w:lineRule="auto"/>
        <w:ind w:firstLine="422" w:firstLineChars="200"/>
        <w:contextualSpacing/>
        <w:rPr>
          <w:rFonts w:hAnsi="宋体"/>
          <w:b/>
          <w:bCs/>
          <w:color w:val="auto"/>
          <w:sz w:val="21"/>
          <w:highlight w:val="none"/>
        </w:rPr>
      </w:pPr>
      <w:r>
        <w:rPr>
          <w:rFonts w:hint="eastAsia" w:hAnsi="宋体"/>
          <w:b/>
          <w:bCs/>
          <w:color w:val="auto"/>
          <w:sz w:val="21"/>
          <w:highlight w:val="none"/>
        </w:rPr>
        <w:t>一、质疑供应商基本信息：</w:t>
      </w:r>
    </w:p>
    <w:p w14:paraId="2D2588DA">
      <w:pPr>
        <w:pStyle w:val="19"/>
        <w:spacing w:line="360" w:lineRule="auto"/>
        <w:ind w:firstLine="420" w:firstLineChars="200"/>
        <w:contextualSpacing/>
        <w:rPr>
          <w:rFonts w:hint="eastAsia" w:hAnsi="宋体"/>
          <w:bCs/>
          <w:color w:val="auto"/>
          <w:sz w:val="21"/>
          <w:highlight w:val="none"/>
          <w:u w:val="single"/>
        </w:rPr>
      </w:pPr>
      <w:r>
        <w:rPr>
          <w:rFonts w:hint="eastAsia" w:hAnsi="宋体"/>
          <w:bCs/>
          <w:color w:val="auto"/>
          <w:sz w:val="21"/>
          <w:highlight w:val="none"/>
        </w:rPr>
        <w:t>质疑供应商：</w:t>
      </w:r>
      <w:r>
        <w:rPr>
          <w:rFonts w:hint="eastAsia" w:hAnsi="宋体"/>
          <w:bCs/>
          <w:color w:val="auto"/>
          <w:sz w:val="21"/>
          <w:highlight w:val="none"/>
          <w:u w:val="single"/>
        </w:rPr>
        <w:t xml:space="preserve">                                       </w:t>
      </w:r>
      <w:r>
        <w:rPr>
          <w:rFonts w:hint="eastAsia" w:hAnsi="宋体"/>
          <w:bCs/>
          <w:color w:val="auto"/>
          <w:sz w:val="21"/>
          <w:highlight w:val="none"/>
        </w:rPr>
        <w:t xml:space="preserve">                 </w:t>
      </w:r>
    </w:p>
    <w:p w14:paraId="2930715A">
      <w:pPr>
        <w:pStyle w:val="19"/>
        <w:spacing w:line="360" w:lineRule="auto"/>
        <w:ind w:firstLine="420" w:firstLineChars="200"/>
        <w:contextualSpacing/>
        <w:rPr>
          <w:rFonts w:hint="eastAsia" w:hAnsi="宋体"/>
          <w:bCs/>
          <w:color w:val="auto"/>
          <w:sz w:val="21"/>
          <w:highlight w:val="none"/>
        </w:rPr>
      </w:pPr>
      <w:r>
        <w:rPr>
          <w:rFonts w:hAnsi="宋体"/>
          <w:bCs/>
          <w:color w:val="auto"/>
          <w:sz w:val="21"/>
          <w:highlight w:val="none"/>
        </w:rPr>
        <w:t>地址</w:t>
      </w:r>
      <w:r>
        <w:rPr>
          <w:rFonts w:hint="eastAsia" w:hAnsi="宋体"/>
          <w:bCs/>
          <w:color w:val="auto"/>
          <w:sz w:val="21"/>
          <w:highlight w:val="none"/>
        </w:rPr>
        <w:t>：</w:t>
      </w:r>
      <w:r>
        <w:rPr>
          <w:rFonts w:hint="eastAsia" w:hAnsi="宋体"/>
          <w:bCs/>
          <w:color w:val="auto"/>
          <w:sz w:val="21"/>
          <w:highlight w:val="none"/>
          <w:u w:val="single"/>
        </w:rPr>
        <w:t xml:space="preserve">                                          </w:t>
      </w:r>
      <w:r>
        <w:rPr>
          <w:rFonts w:hAnsi="宋体"/>
          <w:bCs/>
          <w:color w:val="auto"/>
          <w:sz w:val="21"/>
          <w:highlight w:val="none"/>
        </w:rPr>
        <w:t>邮编</w:t>
      </w:r>
      <w:r>
        <w:rPr>
          <w:rFonts w:hint="eastAsia" w:hAnsi="宋体"/>
          <w:bCs/>
          <w:color w:val="auto"/>
          <w:sz w:val="21"/>
          <w:highlight w:val="none"/>
        </w:rPr>
        <w:t>：</w:t>
      </w:r>
      <w:r>
        <w:rPr>
          <w:rFonts w:hint="eastAsia" w:hAnsi="宋体"/>
          <w:bCs/>
          <w:color w:val="auto"/>
          <w:sz w:val="21"/>
          <w:highlight w:val="none"/>
          <w:u w:val="single"/>
        </w:rPr>
        <w:t xml:space="preserve">                  </w:t>
      </w:r>
      <w:r>
        <w:rPr>
          <w:rFonts w:hint="eastAsia" w:hAnsi="宋体"/>
          <w:bCs/>
          <w:color w:val="auto"/>
          <w:sz w:val="21"/>
          <w:highlight w:val="none"/>
        </w:rPr>
        <w:t xml:space="preserve">                 </w:t>
      </w:r>
    </w:p>
    <w:p w14:paraId="6D8A01D3">
      <w:pPr>
        <w:pStyle w:val="19"/>
        <w:spacing w:line="360" w:lineRule="auto"/>
        <w:ind w:firstLine="420" w:firstLineChars="200"/>
        <w:contextualSpacing/>
        <w:rPr>
          <w:rFonts w:hint="eastAsia" w:hAnsi="宋体"/>
          <w:bCs/>
          <w:color w:val="auto"/>
          <w:sz w:val="21"/>
          <w:highlight w:val="none"/>
        </w:rPr>
      </w:pPr>
      <w:r>
        <w:rPr>
          <w:rFonts w:hAnsi="宋体"/>
          <w:bCs/>
          <w:color w:val="auto"/>
          <w:sz w:val="21"/>
          <w:highlight w:val="none"/>
        </w:rPr>
        <w:t>联系人</w:t>
      </w:r>
      <w:r>
        <w:rPr>
          <w:rFonts w:hint="eastAsia" w:hAnsi="宋体"/>
          <w:bCs/>
          <w:color w:val="auto"/>
          <w:sz w:val="21"/>
          <w:highlight w:val="none"/>
        </w:rPr>
        <w:t>：</w:t>
      </w:r>
      <w:r>
        <w:rPr>
          <w:rFonts w:hint="eastAsia" w:hAnsi="宋体"/>
          <w:bCs/>
          <w:color w:val="auto"/>
          <w:sz w:val="21"/>
          <w:highlight w:val="none"/>
          <w:u w:val="single"/>
        </w:rPr>
        <w:t xml:space="preserve">                     </w:t>
      </w:r>
      <w:r>
        <w:rPr>
          <w:rFonts w:hAnsi="宋体"/>
          <w:bCs/>
          <w:color w:val="auto"/>
          <w:sz w:val="21"/>
          <w:highlight w:val="none"/>
        </w:rPr>
        <w:t>联系电话</w:t>
      </w:r>
      <w:r>
        <w:rPr>
          <w:rFonts w:hint="eastAsia" w:hAnsi="宋体"/>
          <w:bCs/>
          <w:color w:val="auto"/>
          <w:sz w:val="21"/>
          <w:highlight w:val="none"/>
        </w:rPr>
        <w:t>：</w:t>
      </w:r>
      <w:r>
        <w:rPr>
          <w:rFonts w:hint="eastAsia" w:hAnsi="宋体"/>
          <w:bCs/>
          <w:color w:val="auto"/>
          <w:sz w:val="21"/>
          <w:highlight w:val="none"/>
          <w:u w:val="single"/>
        </w:rPr>
        <w:t xml:space="preserve">                 </w:t>
      </w:r>
    </w:p>
    <w:p w14:paraId="5D4A5C8A">
      <w:pPr>
        <w:pStyle w:val="19"/>
        <w:spacing w:line="360" w:lineRule="auto"/>
        <w:ind w:firstLine="420" w:firstLineChars="200"/>
        <w:contextualSpacing/>
        <w:rPr>
          <w:rFonts w:hint="eastAsia" w:hAnsi="宋体"/>
          <w:bCs/>
          <w:color w:val="auto"/>
          <w:sz w:val="21"/>
          <w:highlight w:val="none"/>
        </w:rPr>
      </w:pPr>
      <w:r>
        <w:rPr>
          <w:rFonts w:hint="eastAsia" w:hAnsi="宋体"/>
          <w:bCs/>
          <w:color w:val="auto"/>
          <w:sz w:val="21"/>
          <w:highlight w:val="none"/>
        </w:rPr>
        <w:t>授权代表：</w:t>
      </w:r>
      <w:r>
        <w:rPr>
          <w:rFonts w:hint="eastAsia" w:hAnsi="宋体"/>
          <w:bCs/>
          <w:color w:val="auto"/>
          <w:sz w:val="21"/>
          <w:highlight w:val="none"/>
          <w:u w:val="single"/>
        </w:rPr>
        <w:t xml:space="preserve">                      </w:t>
      </w:r>
    </w:p>
    <w:p w14:paraId="79124AEA">
      <w:pPr>
        <w:pStyle w:val="19"/>
        <w:spacing w:line="360" w:lineRule="auto"/>
        <w:ind w:firstLine="420" w:firstLineChars="200"/>
        <w:contextualSpacing/>
        <w:rPr>
          <w:rFonts w:hint="eastAsia" w:hAnsi="宋体"/>
          <w:bCs/>
          <w:color w:val="auto"/>
          <w:sz w:val="21"/>
          <w:highlight w:val="none"/>
          <w:u w:val="single"/>
        </w:rPr>
      </w:pPr>
      <w:r>
        <w:rPr>
          <w:rFonts w:hAnsi="宋体"/>
          <w:bCs/>
          <w:color w:val="auto"/>
          <w:sz w:val="21"/>
          <w:highlight w:val="none"/>
        </w:rPr>
        <w:t>联系</w:t>
      </w:r>
      <w:r>
        <w:rPr>
          <w:rFonts w:hint="eastAsia" w:hAnsi="宋体"/>
          <w:bCs/>
          <w:color w:val="auto"/>
          <w:sz w:val="21"/>
          <w:highlight w:val="none"/>
        </w:rPr>
        <w:t>电话：</w:t>
      </w:r>
      <w:r>
        <w:rPr>
          <w:rFonts w:hint="eastAsia" w:hAnsi="宋体"/>
          <w:bCs/>
          <w:color w:val="auto"/>
          <w:sz w:val="21"/>
          <w:highlight w:val="none"/>
          <w:u w:val="single"/>
        </w:rPr>
        <w:t xml:space="preserve">                      </w:t>
      </w:r>
    </w:p>
    <w:p w14:paraId="14CA0434">
      <w:pPr>
        <w:pStyle w:val="19"/>
        <w:spacing w:line="360" w:lineRule="auto"/>
        <w:ind w:firstLine="420" w:firstLineChars="200"/>
        <w:contextualSpacing/>
        <w:rPr>
          <w:rFonts w:hint="eastAsia" w:hAnsi="宋体"/>
          <w:bCs/>
          <w:color w:val="auto"/>
          <w:sz w:val="21"/>
          <w:highlight w:val="none"/>
        </w:rPr>
      </w:pPr>
      <w:r>
        <w:rPr>
          <w:rFonts w:hAnsi="宋体"/>
          <w:bCs/>
          <w:color w:val="auto"/>
          <w:sz w:val="21"/>
          <w:highlight w:val="none"/>
        </w:rPr>
        <w:t>地址</w:t>
      </w:r>
      <w:r>
        <w:rPr>
          <w:rFonts w:hint="eastAsia" w:hAnsi="宋体"/>
          <w:bCs/>
          <w:color w:val="auto"/>
          <w:sz w:val="21"/>
          <w:highlight w:val="none"/>
        </w:rPr>
        <w:t>：</w:t>
      </w:r>
      <w:r>
        <w:rPr>
          <w:rFonts w:hint="eastAsia" w:hAnsi="宋体"/>
          <w:bCs/>
          <w:color w:val="auto"/>
          <w:sz w:val="21"/>
          <w:highlight w:val="none"/>
          <w:u w:val="single"/>
        </w:rPr>
        <w:t xml:space="preserve">                 </w:t>
      </w:r>
      <w:r>
        <w:rPr>
          <w:rFonts w:hAnsi="宋体"/>
          <w:bCs/>
          <w:color w:val="auto"/>
          <w:sz w:val="21"/>
          <w:highlight w:val="none"/>
        </w:rPr>
        <w:t>邮编</w:t>
      </w:r>
      <w:r>
        <w:rPr>
          <w:rFonts w:hint="eastAsia" w:hAnsi="宋体"/>
          <w:bCs/>
          <w:color w:val="auto"/>
          <w:sz w:val="21"/>
          <w:highlight w:val="none"/>
        </w:rPr>
        <w:t>：</w:t>
      </w:r>
      <w:r>
        <w:rPr>
          <w:rFonts w:hint="eastAsia" w:hAnsi="宋体"/>
          <w:bCs/>
          <w:color w:val="auto"/>
          <w:sz w:val="21"/>
          <w:highlight w:val="none"/>
          <w:u w:val="single"/>
        </w:rPr>
        <w:t xml:space="preserve">                  </w:t>
      </w:r>
      <w:r>
        <w:rPr>
          <w:rFonts w:hint="eastAsia" w:hAnsi="宋体"/>
          <w:bCs/>
          <w:color w:val="auto"/>
          <w:sz w:val="21"/>
          <w:highlight w:val="none"/>
        </w:rPr>
        <w:t xml:space="preserve">     </w:t>
      </w:r>
    </w:p>
    <w:p w14:paraId="46269A14">
      <w:pPr>
        <w:pStyle w:val="19"/>
        <w:spacing w:line="360" w:lineRule="auto"/>
        <w:ind w:firstLine="422" w:firstLineChars="200"/>
        <w:contextualSpacing/>
        <w:rPr>
          <w:rFonts w:hint="eastAsia" w:hAnsi="宋体"/>
          <w:b/>
          <w:bCs/>
          <w:color w:val="auto"/>
          <w:sz w:val="21"/>
          <w:highlight w:val="none"/>
        </w:rPr>
      </w:pPr>
      <w:r>
        <w:rPr>
          <w:rFonts w:hint="eastAsia" w:hAnsi="宋体"/>
          <w:b/>
          <w:bCs/>
          <w:color w:val="auto"/>
          <w:sz w:val="21"/>
          <w:highlight w:val="none"/>
        </w:rPr>
        <w:t>二、质疑项目基本情况：</w:t>
      </w:r>
    </w:p>
    <w:p w14:paraId="299F7634">
      <w:pPr>
        <w:pStyle w:val="19"/>
        <w:spacing w:line="360" w:lineRule="auto"/>
        <w:ind w:left="25" w:leftChars="12" w:firstLine="413" w:firstLineChars="197"/>
        <w:contextualSpacing/>
        <w:rPr>
          <w:rFonts w:hint="eastAsia" w:hAnsi="宋体"/>
          <w:color w:val="auto"/>
          <w:sz w:val="21"/>
          <w:highlight w:val="none"/>
        </w:rPr>
      </w:pPr>
      <w:r>
        <w:rPr>
          <w:rFonts w:hint="eastAsia" w:hAnsi="宋体"/>
          <w:bCs/>
          <w:color w:val="auto"/>
          <w:sz w:val="21"/>
          <w:highlight w:val="none"/>
        </w:rPr>
        <w:t>质疑</w:t>
      </w:r>
      <w:r>
        <w:rPr>
          <w:rFonts w:hint="eastAsia" w:hAnsi="宋体"/>
          <w:color w:val="auto"/>
          <w:sz w:val="21"/>
          <w:highlight w:val="none"/>
        </w:rPr>
        <w:t>项目的名称：</w:t>
      </w:r>
      <w:r>
        <w:rPr>
          <w:rFonts w:hint="eastAsia" w:hAnsi="宋体"/>
          <w:bCs/>
          <w:color w:val="auto"/>
          <w:sz w:val="21"/>
          <w:highlight w:val="none"/>
          <w:u w:val="single"/>
        </w:rPr>
        <w:t xml:space="preserve">                                     </w:t>
      </w:r>
    </w:p>
    <w:p w14:paraId="1C3F8C94">
      <w:pPr>
        <w:pStyle w:val="19"/>
        <w:spacing w:line="360" w:lineRule="auto"/>
        <w:ind w:left="25" w:leftChars="12" w:firstLine="413" w:firstLineChars="197"/>
        <w:contextualSpacing/>
        <w:rPr>
          <w:rFonts w:hint="eastAsia" w:hAnsi="宋体"/>
          <w:color w:val="auto"/>
          <w:sz w:val="21"/>
          <w:highlight w:val="none"/>
        </w:rPr>
      </w:pPr>
      <w:r>
        <w:rPr>
          <w:rFonts w:hint="eastAsia" w:hAnsi="宋体"/>
          <w:bCs/>
          <w:color w:val="auto"/>
          <w:sz w:val="21"/>
          <w:highlight w:val="none"/>
        </w:rPr>
        <w:t>质疑</w:t>
      </w:r>
      <w:r>
        <w:rPr>
          <w:rFonts w:hint="eastAsia" w:hAnsi="宋体"/>
          <w:color w:val="auto"/>
          <w:sz w:val="21"/>
          <w:highlight w:val="none"/>
        </w:rPr>
        <w:t>项目的编号：</w:t>
      </w:r>
      <w:r>
        <w:rPr>
          <w:rFonts w:hint="eastAsia" w:hAnsi="宋体"/>
          <w:bCs/>
          <w:color w:val="auto"/>
          <w:sz w:val="21"/>
          <w:highlight w:val="none"/>
          <w:u w:val="single"/>
        </w:rPr>
        <w:t xml:space="preserve">                                     </w:t>
      </w:r>
    </w:p>
    <w:p w14:paraId="7D8C8400">
      <w:pPr>
        <w:pStyle w:val="19"/>
        <w:spacing w:line="360" w:lineRule="auto"/>
        <w:ind w:left="25" w:leftChars="12" w:firstLine="413" w:firstLineChars="197"/>
        <w:contextualSpacing/>
        <w:rPr>
          <w:rFonts w:hint="eastAsia" w:hAnsi="宋体"/>
          <w:color w:val="auto"/>
          <w:sz w:val="21"/>
          <w:highlight w:val="none"/>
        </w:rPr>
      </w:pPr>
      <w:r>
        <w:rPr>
          <w:rFonts w:hint="eastAsia" w:hAnsi="宋体"/>
          <w:color w:val="auto"/>
          <w:sz w:val="21"/>
          <w:highlight w:val="none"/>
        </w:rPr>
        <w:t>采购人名称：</w:t>
      </w:r>
      <w:r>
        <w:rPr>
          <w:rFonts w:hint="eastAsia" w:hAnsi="宋体"/>
          <w:bCs/>
          <w:color w:val="auto"/>
          <w:sz w:val="21"/>
          <w:highlight w:val="none"/>
          <w:u w:val="single"/>
        </w:rPr>
        <w:t xml:space="preserve">                                         </w:t>
      </w:r>
    </w:p>
    <w:p w14:paraId="57254330">
      <w:pPr>
        <w:pStyle w:val="19"/>
        <w:spacing w:line="360" w:lineRule="auto"/>
        <w:ind w:left="25" w:leftChars="12" w:firstLine="413" w:firstLineChars="197"/>
        <w:contextualSpacing/>
        <w:rPr>
          <w:rFonts w:hint="eastAsia" w:hAnsi="宋体"/>
          <w:color w:val="auto"/>
          <w:sz w:val="21"/>
          <w:highlight w:val="none"/>
        </w:rPr>
      </w:pPr>
      <w:r>
        <w:rPr>
          <w:rFonts w:hint="eastAsia" w:hAnsi="宋体"/>
          <w:color w:val="auto"/>
          <w:sz w:val="21"/>
          <w:highlight w:val="none"/>
        </w:rPr>
        <w:t>质疑事项：</w:t>
      </w:r>
    </w:p>
    <w:p w14:paraId="34684BF4">
      <w:pPr>
        <w:pStyle w:val="19"/>
        <w:spacing w:line="360" w:lineRule="auto"/>
        <w:ind w:left="25" w:leftChars="12" w:firstLine="308" w:firstLineChars="147"/>
        <w:contextualSpacing/>
        <w:rPr>
          <w:rFonts w:hint="eastAsia" w:hAnsi="宋体"/>
          <w:color w:val="auto"/>
          <w:sz w:val="21"/>
          <w:highlight w:val="none"/>
        </w:rPr>
      </w:pPr>
      <w:r>
        <w:rPr>
          <w:rFonts w:hint="eastAsia" w:hAnsi="宋体"/>
          <w:color w:val="auto"/>
          <w:sz w:val="21"/>
          <w:highlight w:val="none"/>
        </w:rPr>
        <w:t>□采购文件   采购文件获取日期：</w:t>
      </w:r>
      <w:r>
        <w:rPr>
          <w:rFonts w:hint="eastAsia" w:hAnsi="宋体"/>
          <w:bCs/>
          <w:color w:val="auto"/>
          <w:sz w:val="21"/>
          <w:highlight w:val="none"/>
          <w:u w:val="single"/>
        </w:rPr>
        <w:t xml:space="preserve">                                   </w:t>
      </w:r>
    </w:p>
    <w:p w14:paraId="6423E510">
      <w:pPr>
        <w:pStyle w:val="19"/>
        <w:spacing w:line="360" w:lineRule="auto"/>
        <w:ind w:left="25" w:leftChars="12" w:firstLine="308" w:firstLineChars="147"/>
        <w:contextualSpacing/>
        <w:rPr>
          <w:rFonts w:hint="eastAsia" w:hAnsi="宋体"/>
          <w:color w:val="auto"/>
          <w:sz w:val="21"/>
          <w:highlight w:val="none"/>
        </w:rPr>
      </w:pPr>
      <w:r>
        <w:rPr>
          <w:rFonts w:hint="eastAsia" w:hAnsi="宋体"/>
          <w:color w:val="auto"/>
          <w:sz w:val="21"/>
          <w:highlight w:val="none"/>
        </w:rPr>
        <w:t xml:space="preserve">□采购过程   </w:t>
      </w:r>
    </w:p>
    <w:p w14:paraId="0F2773C0">
      <w:pPr>
        <w:pStyle w:val="19"/>
        <w:spacing w:line="360" w:lineRule="auto"/>
        <w:ind w:left="25" w:leftChars="12" w:firstLine="308" w:firstLineChars="147"/>
        <w:contextualSpacing/>
        <w:rPr>
          <w:rFonts w:hint="eastAsia" w:hAnsi="宋体"/>
          <w:bCs/>
          <w:color w:val="auto"/>
          <w:sz w:val="21"/>
          <w:highlight w:val="none"/>
          <w:u w:val="single"/>
        </w:rPr>
      </w:pPr>
      <w:r>
        <w:rPr>
          <w:rFonts w:hint="eastAsia" w:hAnsi="宋体"/>
          <w:color w:val="auto"/>
          <w:sz w:val="21"/>
          <w:highlight w:val="none"/>
        </w:rPr>
        <w:t xml:space="preserve">□成交结果   </w:t>
      </w:r>
    </w:p>
    <w:p w14:paraId="1E6F19D1">
      <w:pPr>
        <w:pStyle w:val="19"/>
        <w:spacing w:line="360" w:lineRule="auto"/>
        <w:ind w:left="25" w:leftChars="12" w:firstLine="413" w:firstLineChars="196"/>
        <w:contextualSpacing/>
        <w:rPr>
          <w:rFonts w:hint="eastAsia" w:hAnsi="宋体"/>
          <w:b/>
          <w:color w:val="auto"/>
          <w:sz w:val="21"/>
          <w:highlight w:val="none"/>
        </w:rPr>
      </w:pPr>
      <w:r>
        <w:rPr>
          <w:rFonts w:hint="eastAsia" w:hAnsi="宋体"/>
          <w:b/>
          <w:color w:val="auto"/>
          <w:sz w:val="21"/>
          <w:highlight w:val="none"/>
        </w:rPr>
        <w:t>三、质疑事项具体内容</w:t>
      </w:r>
    </w:p>
    <w:p w14:paraId="1A1C3BD4">
      <w:pPr>
        <w:pStyle w:val="19"/>
        <w:spacing w:line="360" w:lineRule="auto"/>
        <w:ind w:left="25" w:leftChars="12" w:firstLine="413" w:firstLineChars="197"/>
        <w:contextualSpacing/>
        <w:rPr>
          <w:rFonts w:hint="eastAsia" w:hAnsi="宋体"/>
          <w:color w:val="auto"/>
          <w:sz w:val="21"/>
          <w:highlight w:val="none"/>
        </w:rPr>
      </w:pPr>
      <w:r>
        <w:rPr>
          <w:rFonts w:hint="eastAsia" w:hAnsi="宋体"/>
          <w:color w:val="auto"/>
          <w:sz w:val="21"/>
          <w:highlight w:val="none"/>
        </w:rPr>
        <w:t>质疑事项1：</w:t>
      </w:r>
      <w:r>
        <w:rPr>
          <w:rFonts w:hint="eastAsia" w:hAnsi="宋体"/>
          <w:bCs/>
          <w:color w:val="auto"/>
          <w:sz w:val="21"/>
          <w:highlight w:val="none"/>
          <w:u w:val="single"/>
        </w:rPr>
        <w:t xml:space="preserve">                                                                    </w:t>
      </w:r>
    </w:p>
    <w:p w14:paraId="15B673C4">
      <w:pPr>
        <w:pStyle w:val="19"/>
        <w:spacing w:line="360" w:lineRule="auto"/>
        <w:ind w:left="25" w:leftChars="12" w:firstLine="413" w:firstLineChars="197"/>
        <w:contextualSpacing/>
        <w:rPr>
          <w:rFonts w:hint="eastAsia" w:hAnsi="宋体"/>
          <w:color w:val="auto"/>
          <w:sz w:val="21"/>
          <w:highlight w:val="none"/>
        </w:rPr>
      </w:pPr>
      <w:r>
        <w:rPr>
          <w:rFonts w:hint="eastAsia" w:hAnsi="宋体"/>
          <w:color w:val="auto"/>
          <w:sz w:val="21"/>
          <w:highlight w:val="none"/>
        </w:rPr>
        <w:t>事实依据：</w:t>
      </w:r>
      <w:r>
        <w:rPr>
          <w:rFonts w:hint="eastAsia" w:hAnsi="宋体"/>
          <w:bCs/>
          <w:color w:val="auto"/>
          <w:sz w:val="21"/>
          <w:highlight w:val="none"/>
          <w:u w:val="single"/>
        </w:rPr>
        <w:t xml:space="preserve">                                                                      </w:t>
      </w:r>
    </w:p>
    <w:p w14:paraId="445B3877">
      <w:pPr>
        <w:pStyle w:val="19"/>
        <w:spacing w:line="360" w:lineRule="auto"/>
        <w:ind w:left="25" w:leftChars="12" w:firstLine="413" w:firstLineChars="197"/>
        <w:contextualSpacing/>
        <w:rPr>
          <w:rFonts w:hint="eastAsia" w:hAnsi="宋体"/>
          <w:color w:val="auto"/>
          <w:sz w:val="21"/>
          <w:highlight w:val="none"/>
        </w:rPr>
      </w:pPr>
      <w:r>
        <w:rPr>
          <w:rFonts w:hint="eastAsia" w:hAnsi="宋体"/>
          <w:color w:val="auto"/>
          <w:sz w:val="21"/>
          <w:highlight w:val="none"/>
        </w:rPr>
        <w:t>法律依据：</w:t>
      </w:r>
      <w:r>
        <w:rPr>
          <w:rFonts w:hint="eastAsia" w:hAnsi="宋体"/>
          <w:color w:val="auto"/>
          <w:sz w:val="21"/>
          <w:highlight w:val="none"/>
          <w:u w:val="single"/>
        </w:rPr>
        <w:t xml:space="preserve">                                                        </w:t>
      </w:r>
      <w:r>
        <w:rPr>
          <w:rFonts w:hint="eastAsia" w:hAnsi="宋体"/>
          <w:bCs/>
          <w:color w:val="auto"/>
          <w:sz w:val="21"/>
          <w:highlight w:val="none"/>
          <w:u w:val="single"/>
        </w:rPr>
        <w:t xml:space="preserve">               </w:t>
      </w:r>
    </w:p>
    <w:p w14:paraId="179739E5">
      <w:pPr>
        <w:pStyle w:val="19"/>
        <w:spacing w:line="360" w:lineRule="auto"/>
        <w:ind w:left="25" w:leftChars="12" w:firstLine="413" w:firstLineChars="197"/>
        <w:contextualSpacing/>
        <w:rPr>
          <w:rFonts w:hint="eastAsia" w:hAnsi="宋体"/>
          <w:color w:val="auto"/>
          <w:sz w:val="21"/>
          <w:highlight w:val="none"/>
        </w:rPr>
      </w:pPr>
      <w:r>
        <w:rPr>
          <w:rFonts w:hint="eastAsia" w:hAnsi="宋体"/>
          <w:color w:val="auto"/>
          <w:sz w:val="21"/>
          <w:highlight w:val="none"/>
        </w:rPr>
        <w:t>质疑事项2</w:t>
      </w:r>
    </w:p>
    <w:p w14:paraId="613C13B4">
      <w:pPr>
        <w:pStyle w:val="19"/>
        <w:spacing w:line="360" w:lineRule="auto"/>
        <w:ind w:left="25" w:leftChars="12" w:firstLine="413" w:firstLineChars="197"/>
        <w:contextualSpacing/>
        <w:rPr>
          <w:rFonts w:hint="eastAsia" w:hAnsi="宋体"/>
          <w:color w:val="auto"/>
          <w:sz w:val="21"/>
          <w:highlight w:val="none"/>
        </w:rPr>
      </w:pPr>
      <w:r>
        <w:rPr>
          <w:rFonts w:hAnsi="宋体"/>
          <w:color w:val="auto"/>
          <w:sz w:val="21"/>
          <w:highlight w:val="none"/>
        </w:rPr>
        <w:t>……</w:t>
      </w:r>
    </w:p>
    <w:p w14:paraId="78D45D82">
      <w:pPr>
        <w:pStyle w:val="19"/>
        <w:spacing w:line="360" w:lineRule="auto"/>
        <w:ind w:left="25" w:leftChars="12" w:firstLine="413" w:firstLineChars="197"/>
        <w:contextualSpacing/>
        <w:rPr>
          <w:rFonts w:hint="eastAsia" w:hAnsi="宋体"/>
          <w:color w:val="auto"/>
          <w:sz w:val="21"/>
          <w:highlight w:val="none"/>
        </w:rPr>
      </w:pPr>
      <w:r>
        <w:rPr>
          <w:rFonts w:hint="eastAsia" w:hAnsi="宋体"/>
          <w:color w:val="auto"/>
          <w:sz w:val="21"/>
          <w:highlight w:val="none"/>
        </w:rPr>
        <w:t>四、与质疑事项相关的质疑请求：</w:t>
      </w:r>
    </w:p>
    <w:p w14:paraId="1D4F5E40">
      <w:pPr>
        <w:pStyle w:val="19"/>
        <w:spacing w:line="360" w:lineRule="auto"/>
        <w:ind w:left="25" w:leftChars="12" w:firstLine="413" w:firstLineChars="197"/>
        <w:contextualSpacing/>
        <w:rPr>
          <w:rFonts w:hint="eastAsia" w:hAnsi="宋体"/>
          <w:color w:val="auto"/>
          <w:sz w:val="21"/>
          <w:highlight w:val="none"/>
        </w:rPr>
      </w:pPr>
      <w:r>
        <w:rPr>
          <w:rFonts w:hint="eastAsia" w:hAnsi="宋体"/>
          <w:color w:val="auto"/>
          <w:sz w:val="21"/>
          <w:highlight w:val="none"/>
        </w:rPr>
        <w:t>请求：</w:t>
      </w:r>
      <w:r>
        <w:rPr>
          <w:rFonts w:hint="eastAsia" w:hAnsi="宋体"/>
          <w:bCs/>
          <w:color w:val="auto"/>
          <w:sz w:val="21"/>
          <w:highlight w:val="none"/>
          <w:u w:val="single"/>
        </w:rPr>
        <w:t xml:space="preserve">                                                                </w:t>
      </w:r>
    </w:p>
    <w:p w14:paraId="013772AC">
      <w:pPr>
        <w:pStyle w:val="19"/>
        <w:spacing w:line="360" w:lineRule="auto"/>
        <w:ind w:left="25" w:leftChars="12" w:firstLine="308" w:firstLineChars="147"/>
        <w:contextualSpacing/>
        <w:rPr>
          <w:rFonts w:hint="eastAsia" w:hAnsi="宋体"/>
          <w:color w:val="auto"/>
          <w:sz w:val="21"/>
          <w:highlight w:val="none"/>
        </w:rPr>
      </w:pPr>
    </w:p>
    <w:p w14:paraId="69B4A3CA">
      <w:pPr>
        <w:pStyle w:val="19"/>
        <w:spacing w:line="360" w:lineRule="auto"/>
        <w:ind w:left="25" w:leftChars="12" w:firstLine="413" w:firstLineChars="197"/>
        <w:contextualSpacing/>
        <w:rPr>
          <w:rFonts w:hint="eastAsia" w:hAnsi="宋体"/>
          <w:color w:val="auto"/>
          <w:sz w:val="21"/>
          <w:highlight w:val="none"/>
        </w:rPr>
      </w:pPr>
      <w:r>
        <w:rPr>
          <w:rFonts w:hint="eastAsia" w:hAnsi="宋体"/>
          <w:color w:val="auto"/>
          <w:sz w:val="21"/>
          <w:highlight w:val="none"/>
        </w:rPr>
        <w:t>签字（签章）：                                       公章：</w:t>
      </w:r>
    </w:p>
    <w:p w14:paraId="4746CD08">
      <w:pPr>
        <w:pStyle w:val="19"/>
        <w:spacing w:line="360" w:lineRule="auto"/>
        <w:ind w:firstLine="420" w:firstLineChars="200"/>
        <w:contextualSpacing/>
        <w:rPr>
          <w:rFonts w:hint="eastAsia" w:hAnsi="宋体"/>
          <w:b/>
          <w:color w:val="auto"/>
          <w:sz w:val="21"/>
          <w:highlight w:val="none"/>
        </w:rPr>
      </w:pPr>
      <w:r>
        <w:rPr>
          <w:rFonts w:hint="eastAsia" w:hAnsi="宋体"/>
          <w:color w:val="auto"/>
          <w:sz w:val="21"/>
          <w:highlight w:val="none"/>
        </w:rPr>
        <w:t>日期：</w:t>
      </w:r>
    </w:p>
    <w:p w14:paraId="7B93E76D">
      <w:pPr>
        <w:pStyle w:val="19"/>
        <w:spacing w:line="360" w:lineRule="auto"/>
        <w:contextualSpacing/>
        <w:rPr>
          <w:rFonts w:hint="eastAsia" w:hAnsi="宋体"/>
          <w:b/>
          <w:color w:val="auto"/>
          <w:sz w:val="21"/>
          <w:highlight w:val="none"/>
        </w:rPr>
      </w:pPr>
      <w:r>
        <w:rPr>
          <w:rFonts w:hint="eastAsia" w:hAnsi="宋体"/>
          <w:b/>
          <w:color w:val="auto"/>
          <w:sz w:val="21"/>
          <w:highlight w:val="none"/>
        </w:rPr>
        <w:t>说明：</w:t>
      </w:r>
    </w:p>
    <w:p w14:paraId="5EB507A4">
      <w:pPr>
        <w:pStyle w:val="19"/>
        <w:spacing w:line="360" w:lineRule="auto"/>
        <w:ind w:left="25" w:leftChars="12" w:firstLine="310" w:firstLineChars="147"/>
        <w:contextualSpacing/>
        <w:rPr>
          <w:rFonts w:hint="eastAsia" w:hAnsi="宋体"/>
          <w:b/>
          <w:bCs/>
          <w:color w:val="auto"/>
          <w:sz w:val="21"/>
          <w:highlight w:val="none"/>
        </w:rPr>
      </w:pPr>
      <w:r>
        <w:rPr>
          <w:rFonts w:hint="eastAsia" w:hAnsi="宋体"/>
          <w:b/>
          <w:color w:val="auto"/>
          <w:sz w:val="21"/>
          <w:highlight w:val="none"/>
        </w:rPr>
        <w:t>1.供应商提出质疑时，应提交质疑函和必要的证明材料</w:t>
      </w:r>
      <w:r>
        <w:rPr>
          <w:rFonts w:hint="eastAsia" w:hAnsi="宋体"/>
          <w:b/>
          <w:bCs/>
          <w:color w:val="auto"/>
          <w:sz w:val="21"/>
          <w:highlight w:val="none"/>
        </w:rPr>
        <w:t>。</w:t>
      </w:r>
    </w:p>
    <w:p w14:paraId="71D1D79B">
      <w:pPr>
        <w:pStyle w:val="19"/>
        <w:spacing w:line="360" w:lineRule="auto"/>
        <w:ind w:left="25" w:leftChars="12" w:firstLine="310" w:firstLineChars="147"/>
        <w:contextualSpacing/>
        <w:rPr>
          <w:rFonts w:hint="eastAsia" w:hAnsi="宋体"/>
          <w:b/>
          <w:color w:val="auto"/>
          <w:sz w:val="21"/>
          <w:highlight w:val="none"/>
        </w:rPr>
      </w:pPr>
      <w:r>
        <w:rPr>
          <w:rFonts w:hint="eastAsia" w:hAnsi="宋体"/>
          <w:b/>
          <w:color w:val="auto"/>
          <w:sz w:val="21"/>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4077075A">
      <w:pPr>
        <w:pStyle w:val="19"/>
        <w:spacing w:line="360" w:lineRule="auto"/>
        <w:ind w:left="25" w:leftChars="12" w:firstLine="310" w:firstLineChars="147"/>
        <w:contextualSpacing/>
        <w:rPr>
          <w:rFonts w:hint="eastAsia" w:hAnsi="宋体"/>
          <w:b/>
          <w:color w:val="auto"/>
          <w:sz w:val="21"/>
          <w:highlight w:val="none"/>
        </w:rPr>
      </w:pPr>
      <w:r>
        <w:rPr>
          <w:rFonts w:hint="eastAsia" w:hAnsi="宋体"/>
          <w:b/>
          <w:color w:val="auto"/>
          <w:sz w:val="21"/>
          <w:highlight w:val="none"/>
        </w:rPr>
        <w:t>3.质疑函的质疑事项应具体、明确，并有必要的事实依据和法律依据。</w:t>
      </w:r>
    </w:p>
    <w:p w14:paraId="2E95AE46">
      <w:pPr>
        <w:pStyle w:val="19"/>
        <w:spacing w:line="360" w:lineRule="auto"/>
        <w:ind w:left="25" w:leftChars="12" w:firstLine="310" w:firstLineChars="147"/>
        <w:contextualSpacing/>
        <w:rPr>
          <w:rFonts w:hint="eastAsia" w:hAnsi="宋体"/>
          <w:b/>
          <w:color w:val="auto"/>
          <w:sz w:val="21"/>
          <w:highlight w:val="none"/>
        </w:rPr>
      </w:pPr>
      <w:r>
        <w:rPr>
          <w:rFonts w:hint="eastAsia" w:hAnsi="宋体"/>
          <w:b/>
          <w:color w:val="auto"/>
          <w:sz w:val="21"/>
          <w:highlight w:val="none"/>
        </w:rPr>
        <w:t>4.质疑函的质疑请求应与质疑事项相关。</w:t>
      </w:r>
    </w:p>
    <w:p w14:paraId="20E9CB5B">
      <w:pPr>
        <w:pStyle w:val="19"/>
        <w:spacing w:line="360" w:lineRule="auto"/>
        <w:ind w:left="25" w:leftChars="12" w:firstLine="310" w:firstLineChars="147"/>
        <w:contextualSpacing/>
        <w:rPr>
          <w:rFonts w:hint="eastAsia" w:hAnsi="宋体"/>
          <w:b/>
          <w:color w:val="auto"/>
          <w:sz w:val="21"/>
          <w:highlight w:val="none"/>
        </w:rPr>
      </w:pPr>
      <w:r>
        <w:rPr>
          <w:rFonts w:hint="eastAsia" w:hAnsi="宋体"/>
          <w:b/>
          <w:color w:val="auto"/>
          <w:sz w:val="21"/>
          <w:highlight w:val="none"/>
        </w:rPr>
        <w:t>5.质疑供应商为法人或者其他组织的，质疑函应由法定代表人、主要负责人，或者其授权代表签字或者盖章，并加盖公章。</w:t>
      </w:r>
    </w:p>
    <w:p w14:paraId="5A389EF4">
      <w:pPr>
        <w:pStyle w:val="19"/>
        <w:snapToGrid w:val="0"/>
        <w:rPr>
          <w:rFonts w:hint="eastAsia"/>
          <w:b/>
          <w:color w:val="auto"/>
          <w:sz w:val="24"/>
          <w:szCs w:val="24"/>
          <w:highlight w:val="none"/>
        </w:rPr>
      </w:pPr>
    </w:p>
    <w:p w14:paraId="67F13F00">
      <w:pPr>
        <w:rPr>
          <w:rFonts w:hint="eastAsia"/>
          <w:color w:val="auto"/>
          <w:sz w:val="32"/>
          <w:szCs w:val="40"/>
          <w:highlight w:val="none"/>
        </w:rPr>
      </w:pPr>
    </w:p>
    <w:p w14:paraId="084B6F8A">
      <w:pPr>
        <w:rPr>
          <w:rFonts w:hint="eastAsia"/>
          <w:color w:val="auto"/>
          <w:sz w:val="32"/>
          <w:szCs w:val="40"/>
          <w:highlight w:val="none"/>
        </w:rPr>
      </w:pPr>
    </w:p>
    <w:p w14:paraId="6F6758F7">
      <w:pPr>
        <w:rPr>
          <w:rFonts w:hint="eastAsia"/>
          <w:color w:val="auto"/>
          <w:sz w:val="32"/>
          <w:szCs w:val="40"/>
          <w:highlight w:val="none"/>
        </w:rPr>
      </w:pPr>
    </w:p>
    <w:p w14:paraId="37860544">
      <w:pPr>
        <w:rPr>
          <w:rFonts w:hint="eastAsia"/>
          <w:color w:val="auto"/>
          <w:sz w:val="32"/>
          <w:szCs w:val="40"/>
          <w:highlight w:val="none"/>
        </w:rPr>
      </w:pPr>
    </w:p>
    <w:p w14:paraId="12B2F0F2">
      <w:pPr>
        <w:rPr>
          <w:rFonts w:hint="eastAsia"/>
          <w:color w:val="auto"/>
          <w:sz w:val="32"/>
          <w:szCs w:val="40"/>
          <w:highlight w:val="none"/>
        </w:rPr>
      </w:pPr>
    </w:p>
    <w:p w14:paraId="60493139">
      <w:pPr>
        <w:rPr>
          <w:rFonts w:hint="eastAsia"/>
          <w:color w:val="auto"/>
          <w:sz w:val="32"/>
          <w:szCs w:val="40"/>
          <w:highlight w:val="none"/>
        </w:rPr>
      </w:pPr>
    </w:p>
    <w:p w14:paraId="5D0C8656">
      <w:pPr>
        <w:rPr>
          <w:rFonts w:hint="eastAsia"/>
          <w:color w:val="auto"/>
          <w:sz w:val="32"/>
          <w:szCs w:val="40"/>
          <w:highlight w:val="none"/>
        </w:rPr>
      </w:pPr>
    </w:p>
    <w:p w14:paraId="73AF5F36">
      <w:pPr>
        <w:rPr>
          <w:rFonts w:hint="eastAsia"/>
          <w:color w:val="auto"/>
          <w:sz w:val="32"/>
          <w:szCs w:val="40"/>
          <w:highlight w:val="none"/>
        </w:rPr>
      </w:pPr>
    </w:p>
    <w:p w14:paraId="25AA025A">
      <w:pPr>
        <w:rPr>
          <w:rFonts w:hint="eastAsia"/>
          <w:color w:val="auto"/>
          <w:sz w:val="32"/>
          <w:szCs w:val="40"/>
          <w:highlight w:val="none"/>
        </w:rPr>
      </w:pPr>
    </w:p>
    <w:p w14:paraId="28647774">
      <w:pPr>
        <w:rPr>
          <w:rFonts w:hint="eastAsia"/>
          <w:color w:val="auto"/>
          <w:sz w:val="32"/>
          <w:szCs w:val="40"/>
          <w:highlight w:val="none"/>
        </w:rPr>
      </w:pPr>
    </w:p>
    <w:p w14:paraId="3D7E7082">
      <w:pPr>
        <w:rPr>
          <w:rFonts w:hint="eastAsia"/>
          <w:color w:val="auto"/>
          <w:sz w:val="32"/>
          <w:szCs w:val="40"/>
          <w:highlight w:val="none"/>
        </w:rPr>
      </w:pPr>
    </w:p>
    <w:p w14:paraId="128BD0A8">
      <w:pPr>
        <w:rPr>
          <w:rFonts w:hint="eastAsia"/>
          <w:color w:val="auto"/>
          <w:sz w:val="32"/>
          <w:szCs w:val="40"/>
          <w:highlight w:val="none"/>
        </w:rPr>
      </w:pPr>
    </w:p>
    <w:p w14:paraId="1D095D64">
      <w:pPr>
        <w:rPr>
          <w:rFonts w:hint="eastAsia"/>
          <w:color w:val="auto"/>
          <w:sz w:val="32"/>
          <w:szCs w:val="40"/>
          <w:highlight w:val="none"/>
        </w:rPr>
      </w:pPr>
    </w:p>
    <w:p w14:paraId="1AD8F61D">
      <w:pPr>
        <w:rPr>
          <w:rFonts w:hint="eastAsia"/>
          <w:color w:val="auto"/>
          <w:sz w:val="32"/>
          <w:szCs w:val="40"/>
          <w:highlight w:val="none"/>
        </w:rPr>
      </w:pPr>
    </w:p>
    <w:p w14:paraId="54FF872C">
      <w:pPr>
        <w:spacing w:line="360" w:lineRule="auto"/>
        <w:jc w:val="center"/>
        <w:rPr>
          <w:rFonts w:hint="eastAsia" w:ascii="方正小标宋简体" w:hAnsi="方正小标宋简体" w:eastAsia="方正小标宋简体" w:cs="方正小标宋简体"/>
          <w:color w:val="auto"/>
          <w:sz w:val="24"/>
          <w:highlight w:val="none"/>
        </w:rPr>
      </w:pPr>
      <w:r>
        <w:rPr>
          <w:rFonts w:ascii="方正小标宋简体" w:hAnsi="方正小标宋简体" w:eastAsia="方正小标宋简体" w:cs="方正小标宋简体"/>
          <w:color w:val="auto"/>
          <w:sz w:val="44"/>
          <w:szCs w:val="44"/>
          <w:highlight w:val="none"/>
        </w:rPr>
        <w:br w:type="page"/>
      </w:r>
      <w:r>
        <w:rPr>
          <w:rFonts w:hint="eastAsia" w:ascii="方正小标宋简体" w:hAnsi="方正小标宋简体" w:eastAsia="方正小标宋简体" w:cs="方正小标宋简体"/>
          <w:color w:val="auto"/>
          <w:sz w:val="44"/>
          <w:szCs w:val="44"/>
          <w:highlight w:val="none"/>
        </w:rPr>
        <w:t>投诉书</w:t>
      </w:r>
      <w:r>
        <w:rPr>
          <w:rFonts w:hint="eastAsia" w:ascii="方正小标宋简体" w:hAnsi="方正小标宋简体" w:eastAsia="方正小标宋简体" w:cs="方正小标宋简体"/>
          <w:color w:val="auto"/>
          <w:sz w:val="28"/>
          <w:szCs w:val="28"/>
          <w:highlight w:val="none"/>
        </w:rPr>
        <w:t>（格式）</w:t>
      </w:r>
    </w:p>
    <w:p w14:paraId="4500947B">
      <w:pPr>
        <w:pStyle w:val="19"/>
        <w:snapToGrid w:val="0"/>
        <w:spacing w:line="360" w:lineRule="auto"/>
        <w:ind w:firstLine="422" w:firstLineChars="200"/>
        <w:rPr>
          <w:rFonts w:hAnsi="宋体"/>
          <w:b/>
          <w:bCs/>
          <w:color w:val="auto"/>
          <w:sz w:val="21"/>
          <w:highlight w:val="none"/>
        </w:rPr>
      </w:pPr>
      <w:r>
        <w:rPr>
          <w:rFonts w:hint="eastAsia" w:hAnsi="宋体"/>
          <w:b/>
          <w:bCs/>
          <w:color w:val="auto"/>
          <w:sz w:val="21"/>
          <w:highlight w:val="none"/>
        </w:rPr>
        <w:t>一、投诉相关主体基本情况：</w:t>
      </w:r>
    </w:p>
    <w:p w14:paraId="15E1F821">
      <w:pPr>
        <w:pStyle w:val="19"/>
        <w:snapToGrid w:val="0"/>
        <w:spacing w:line="360" w:lineRule="auto"/>
        <w:ind w:firstLine="420" w:firstLineChars="200"/>
        <w:rPr>
          <w:rFonts w:hint="eastAsia" w:hAnsi="宋体"/>
          <w:bCs/>
          <w:color w:val="auto"/>
          <w:sz w:val="21"/>
          <w:highlight w:val="none"/>
          <w:u w:val="single"/>
        </w:rPr>
      </w:pPr>
      <w:r>
        <w:rPr>
          <w:rFonts w:hint="eastAsia" w:hAnsi="宋体"/>
          <w:bCs/>
          <w:color w:val="auto"/>
          <w:sz w:val="21"/>
          <w:highlight w:val="none"/>
        </w:rPr>
        <w:t>供应商：</w:t>
      </w:r>
      <w:r>
        <w:rPr>
          <w:rFonts w:hint="eastAsia" w:hAnsi="宋体"/>
          <w:bCs/>
          <w:color w:val="auto"/>
          <w:sz w:val="21"/>
          <w:highlight w:val="none"/>
          <w:u w:val="single"/>
        </w:rPr>
        <w:t xml:space="preserve">                                                                        </w:t>
      </w:r>
      <w:r>
        <w:rPr>
          <w:rFonts w:hint="eastAsia" w:hAnsi="宋体"/>
          <w:bCs/>
          <w:color w:val="auto"/>
          <w:sz w:val="21"/>
          <w:highlight w:val="none"/>
        </w:rPr>
        <w:t xml:space="preserve">                 </w:t>
      </w:r>
    </w:p>
    <w:p w14:paraId="2EFBAF42">
      <w:pPr>
        <w:pStyle w:val="19"/>
        <w:snapToGrid w:val="0"/>
        <w:spacing w:line="360" w:lineRule="auto"/>
        <w:ind w:firstLine="420" w:firstLineChars="200"/>
        <w:rPr>
          <w:rFonts w:hint="eastAsia" w:hAnsi="宋体"/>
          <w:bCs/>
          <w:color w:val="auto"/>
          <w:sz w:val="21"/>
          <w:highlight w:val="none"/>
        </w:rPr>
      </w:pPr>
      <w:r>
        <w:rPr>
          <w:rFonts w:hAnsi="宋体"/>
          <w:bCs/>
          <w:color w:val="auto"/>
          <w:sz w:val="21"/>
          <w:highlight w:val="none"/>
        </w:rPr>
        <w:t>地址</w:t>
      </w:r>
      <w:r>
        <w:rPr>
          <w:rFonts w:hint="eastAsia" w:hAnsi="宋体"/>
          <w:bCs/>
          <w:color w:val="auto"/>
          <w:sz w:val="21"/>
          <w:highlight w:val="none"/>
        </w:rPr>
        <w:t>：</w:t>
      </w:r>
      <w:r>
        <w:rPr>
          <w:rFonts w:hint="eastAsia" w:hAnsi="宋体"/>
          <w:bCs/>
          <w:color w:val="auto"/>
          <w:sz w:val="21"/>
          <w:highlight w:val="none"/>
          <w:u w:val="single"/>
        </w:rPr>
        <w:t xml:space="preserve">                                          </w:t>
      </w:r>
      <w:r>
        <w:rPr>
          <w:rFonts w:hAnsi="宋体"/>
          <w:bCs/>
          <w:color w:val="auto"/>
          <w:sz w:val="21"/>
          <w:highlight w:val="none"/>
        </w:rPr>
        <w:t>邮编</w:t>
      </w:r>
      <w:r>
        <w:rPr>
          <w:rFonts w:hint="eastAsia" w:hAnsi="宋体"/>
          <w:bCs/>
          <w:color w:val="auto"/>
          <w:sz w:val="21"/>
          <w:highlight w:val="none"/>
        </w:rPr>
        <w:t>：</w:t>
      </w:r>
      <w:r>
        <w:rPr>
          <w:rFonts w:hint="eastAsia" w:hAnsi="宋体"/>
          <w:bCs/>
          <w:color w:val="auto"/>
          <w:sz w:val="21"/>
          <w:highlight w:val="none"/>
          <w:u w:val="single"/>
        </w:rPr>
        <w:t xml:space="preserve">                          </w:t>
      </w:r>
      <w:r>
        <w:rPr>
          <w:rFonts w:hint="eastAsia" w:hAnsi="宋体"/>
          <w:bCs/>
          <w:color w:val="auto"/>
          <w:sz w:val="21"/>
          <w:highlight w:val="none"/>
        </w:rPr>
        <w:t xml:space="preserve">                 </w:t>
      </w:r>
    </w:p>
    <w:p w14:paraId="3DA2EC81">
      <w:pPr>
        <w:pStyle w:val="19"/>
        <w:snapToGrid w:val="0"/>
        <w:spacing w:line="360" w:lineRule="auto"/>
        <w:ind w:firstLine="420" w:firstLineChars="200"/>
        <w:rPr>
          <w:rFonts w:hint="eastAsia" w:hAnsi="宋体"/>
          <w:bCs/>
          <w:color w:val="auto"/>
          <w:sz w:val="21"/>
          <w:highlight w:val="none"/>
          <w:u w:val="single"/>
        </w:rPr>
      </w:pPr>
      <w:r>
        <w:rPr>
          <w:rFonts w:hint="eastAsia" w:hAnsi="宋体"/>
          <w:bCs/>
          <w:color w:val="auto"/>
          <w:sz w:val="21"/>
          <w:highlight w:val="none"/>
        </w:rPr>
        <w:t>法定代表人/主要负责人：</w:t>
      </w:r>
      <w:r>
        <w:rPr>
          <w:rFonts w:hint="eastAsia" w:hAnsi="宋体"/>
          <w:bCs/>
          <w:color w:val="auto"/>
          <w:sz w:val="21"/>
          <w:highlight w:val="none"/>
          <w:u w:val="single"/>
        </w:rPr>
        <w:t xml:space="preserve">                                                         </w:t>
      </w:r>
    </w:p>
    <w:p w14:paraId="6D1F9829">
      <w:pPr>
        <w:pStyle w:val="19"/>
        <w:snapToGrid w:val="0"/>
        <w:spacing w:line="360" w:lineRule="auto"/>
        <w:ind w:firstLine="420" w:firstLineChars="200"/>
        <w:rPr>
          <w:rFonts w:hint="eastAsia" w:hAnsi="宋体"/>
          <w:bCs/>
          <w:color w:val="auto"/>
          <w:sz w:val="21"/>
          <w:highlight w:val="none"/>
        </w:rPr>
      </w:pPr>
      <w:r>
        <w:rPr>
          <w:rFonts w:hAnsi="宋体"/>
          <w:bCs/>
          <w:color w:val="auto"/>
          <w:sz w:val="21"/>
          <w:highlight w:val="none"/>
        </w:rPr>
        <w:t>联系电话</w:t>
      </w:r>
      <w:r>
        <w:rPr>
          <w:rFonts w:hint="eastAsia" w:hAnsi="宋体"/>
          <w:bCs/>
          <w:color w:val="auto"/>
          <w:sz w:val="21"/>
          <w:highlight w:val="none"/>
        </w:rPr>
        <w:t>：</w:t>
      </w:r>
      <w:r>
        <w:rPr>
          <w:rFonts w:hint="eastAsia" w:hAnsi="宋体"/>
          <w:bCs/>
          <w:color w:val="auto"/>
          <w:sz w:val="21"/>
          <w:highlight w:val="none"/>
          <w:u w:val="single"/>
        </w:rPr>
        <w:t xml:space="preserve">                                         </w:t>
      </w:r>
    </w:p>
    <w:p w14:paraId="2130F7E9">
      <w:pPr>
        <w:pStyle w:val="19"/>
        <w:snapToGrid w:val="0"/>
        <w:spacing w:line="360" w:lineRule="auto"/>
        <w:ind w:firstLine="420" w:firstLineChars="200"/>
        <w:rPr>
          <w:rFonts w:hint="eastAsia" w:hAnsi="宋体"/>
          <w:bCs/>
          <w:color w:val="auto"/>
          <w:sz w:val="21"/>
          <w:highlight w:val="none"/>
          <w:u w:val="single"/>
        </w:rPr>
      </w:pPr>
      <w:r>
        <w:rPr>
          <w:rFonts w:hint="eastAsia" w:hAnsi="宋体"/>
          <w:bCs/>
          <w:color w:val="auto"/>
          <w:sz w:val="21"/>
          <w:highlight w:val="none"/>
        </w:rPr>
        <w:t>授权代表：</w:t>
      </w:r>
      <w:r>
        <w:rPr>
          <w:rFonts w:hint="eastAsia" w:hAnsi="宋体"/>
          <w:bCs/>
          <w:color w:val="auto"/>
          <w:sz w:val="21"/>
          <w:highlight w:val="none"/>
          <w:u w:val="single"/>
        </w:rPr>
        <w:t xml:space="preserve">                                         </w:t>
      </w:r>
      <w:r>
        <w:rPr>
          <w:rFonts w:hAnsi="宋体"/>
          <w:bCs/>
          <w:color w:val="auto"/>
          <w:sz w:val="21"/>
          <w:highlight w:val="none"/>
        </w:rPr>
        <w:t>联系</w:t>
      </w:r>
      <w:r>
        <w:rPr>
          <w:rFonts w:hint="eastAsia" w:hAnsi="宋体"/>
          <w:bCs/>
          <w:color w:val="auto"/>
          <w:sz w:val="21"/>
          <w:highlight w:val="none"/>
        </w:rPr>
        <w:t>电话：</w:t>
      </w:r>
      <w:r>
        <w:rPr>
          <w:rFonts w:hint="eastAsia" w:hAnsi="宋体"/>
          <w:bCs/>
          <w:color w:val="auto"/>
          <w:sz w:val="21"/>
          <w:highlight w:val="none"/>
          <w:u w:val="single"/>
        </w:rPr>
        <w:t xml:space="preserve">                   </w:t>
      </w:r>
    </w:p>
    <w:p w14:paraId="49EAD1CA">
      <w:pPr>
        <w:pStyle w:val="19"/>
        <w:snapToGrid w:val="0"/>
        <w:spacing w:line="360" w:lineRule="auto"/>
        <w:ind w:firstLine="420" w:firstLineChars="200"/>
        <w:rPr>
          <w:rFonts w:hint="eastAsia" w:hAnsi="宋体"/>
          <w:bCs/>
          <w:color w:val="auto"/>
          <w:sz w:val="21"/>
          <w:highlight w:val="none"/>
          <w:u w:val="single"/>
        </w:rPr>
      </w:pPr>
      <w:r>
        <w:rPr>
          <w:rFonts w:hAnsi="宋体"/>
          <w:bCs/>
          <w:color w:val="auto"/>
          <w:sz w:val="21"/>
          <w:highlight w:val="none"/>
        </w:rPr>
        <w:t>地址</w:t>
      </w:r>
      <w:r>
        <w:rPr>
          <w:rFonts w:hint="eastAsia" w:hAnsi="宋体"/>
          <w:bCs/>
          <w:color w:val="auto"/>
          <w:sz w:val="21"/>
          <w:highlight w:val="none"/>
        </w:rPr>
        <w:t>：</w:t>
      </w:r>
      <w:r>
        <w:rPr>
          <w:rFonts w:hint="eastAsia" w:hAnsi="宋体"/>
          <w:bCs/>
          <w:color w:val="auto"/>
          <w:sz w:val="21"/>
          <w:highlight w:val="none"/>
          <w:u w:val="single"/>
        </w:rPr>
        <w:t xml:space="preserve">                                                            </w:t>
      </w:r>
    </w:p>
    <w:p w14:paraId="042B8F2C">
      <w:pPr>
        <w:pStyle w:val="19"/>
        <w:snapToGrid w:val="0"/>
        <w:spacing w:line="360" w:lineRule="auto"/>
        <w:ind w:firstLine="420" w:firstLineChars="200"/>
        <w:rPr>
          <w:rFonts w:hint="eastAsia" w:hAnsi="宋体"/>
          <w:bCs/>
          <w:color w:val="auto"/>
          <w:sz w:val="21"/>
          <w:highlight w:val="none"/>
        </w:rPr>
      </w:pPr>
      <w:r>
        <w:rPr>
          <w:rFonts w:hAnsi="宋体"/>
          <w:bCs/>
          <w:color w:val="auto"/>
          <w:sz w:val="21"/>
          <w:highlight w:val="none"/>
        </w:rPr>
        <w:t>邮编</w:t>
      </w:r>
      <w:r>
        <w:rPr>
          <w:rFonts w:hint="eastAsia" w:hAnsi="宋体"/>
          <w:bCs/>
          <w:color w:val="auto"/>
          <w:sz w:val="21"/>
          <w:highlight w:val="none"/>
        </w:rPr>
        <w:t>：</w:t>
      </w:r>
      <w:r>
        <w:rPr>
          <w:rFonts w:hint="eastAsia" w:hAnsi="宋体"/>
          <w:bCs/>
          <w:color w:val="auto"/>
          <w:sz w:val="21"/>
          <w:highlight w:val="none"/>
          <w:u w:val="single"/>
        </w:rPr>
        <w:t xml:space="preserve">         </w:t>
      </w:r>
      <w:r>
        <w:rPr>
          <w:rFonts w:hint="eastAsia" w:hAnsi="宋体"/>
          <w:bCs/>
          <w:color w:val="auto"/>
          <w:sz w:val="21"/>
          <w:highlight w:val="none"/>
        </w:rPr>
        <w:t xml:space="preserve">   </w:t>
      </w:r>
    </w:p>
    <w:p w14:paraId="1F3692B1">
      <w:pPr>
        <w:pStyle w:val="19"/>
        <w:snapToGrid w:val="0"/>
        <w:spacing w:line="360" w:lineRule="auto"/>
        <w:ind w:firstLine="420" w:firstLineChars="200"/>
        <w:rPr>
          <w:rFonts w:hint="eastAsia" w:hAnsi="宋体"/>
          <w:bCs/>
          <w:color w:val="auto"/>
          <w:sz w:val="21"/>
          <w:highlight w:val="none"/>
        </w:rPr>
      </w:pPr>
      <w:r>
        <w:rPr>
          <w:rFonts w:hint="eastAsia" w:hAnsi="宋体"/>
          <w:bCs/>
          <w:color w:val="auto"/>
          <w:sz w:val="21"/>
          <w:highlight w:val="none"/>
        </w:rPr>
        <w:t>被投诉人1：</w:t>
      </w:r>
    </w:p>
    <w:p w14:paraId="76103A12">
      <w:pPr>
        <w:pStyle w:val="19"/>
        <w:snapToGrid w:val="0"/>
        <w:spacing w:line="360" w:lineRule="auto"/>
        <w:ind w:firstLine="420" w:firstLineChars="200"/>
        <w:rPr>
          <w:rFonts w:hint="eastAsia" w:hAnsi="宋体"/>
          <w:bCs/>
          <w:color w:val="auto"/>
          <w:sz w:val="21"/>
          <w:highlight w:val="none"/>
          <w:u w:val="single"/>
        </w:rPr>
      </w:pPr>
      <w:r>
        <w:rPr>
          <w:rFonts w:hint="eastAsia" w:hAnsi="宋体"/>
          <w:bCs/>
          <w:color w:val="auto"/>
          <w:sz w:val="21"/>
          <w:highlight w:val="none"/>
        </w:rPr>
        <w:t>地址：</w:t>
      </w:r>
      <w:r>
        <w:rPr>
          <w:rFonts w:hint="eastAsia" w:hAnsi="宋体"/>
          <w:bCs/>
          <w:color w:val="auto"/>
          <w:sz w:val="21"/>
          <w:highlight w:val="none"/>
          <w:u w:val="single"/>
        </w:rPr>
        <w:t xml:space="preserve">                                                            </w:t>
      </w:r>
    </w:p>
    <w:p w14:paraId="279ED58B">
      <w:pPr>
        <w:pStyle w:val="19"/>
        <w:snapToGrid w:val="0"/>
        <w:spacing w:line="360" w:lineRule="auto"/>
        <w:ind w:firstLine="420" w:firstLineChars="200"/>
        <w:rPr>
          <w:rFonts w:hint="eastAsia" w:hAnsi="宋体"/>
          <w:bCs/>
          <w:color w:val="auto"/>
          <w:sz w:val="21"/>
          <w:highlight w:val="none"/>
        </w:rPr>
      </w:pPr>
      <w:r>
        <w:rPr>
          <w:rFonts w:hAnsi="宋体"/>
          <w:bCs/>
          <w:color w:val="auto"/>
          <w:sz w:val="21"/>
          <w:highlight w:val="none"/>
        </w:rPr>
        <w:t>邮编</w:t>
      </w:r>
      <w:r>
        <w:rPr>
          <w:rFonts w:hint="eastAsia" w:hAnsi="宋体"/>
          <w:bCs/>
          <w:color w:val="auto"/>
          <w:sz w:val="21"/>
          <w:highlight w:val="none"/>
        </w:rPr>
        <w:t>：</w:t>
      </w:r>
      <w:r>
        <w:rPr>
          <w:rFonts w:hint="eastAsia" w:hAnsi="宋体"/>
          <w:bCs/>
          <w:color w:val="auto"/>
          <w:sz w:val="21"/>
          <w:highlight w:val="none"/>
          <w:u w:val="single"/>
        </w:rPr>
        <w:t xml:space="preserve">         </w:t>
      </w:r>
      <w:r>
        <w:rPr>
          <w:rFonts w:hint="eastAsia" w:hAnsi="宋体"/>
          <w:bCs/>
          <w:color w:val="auto"/>
          <w:sz w:val="21"/>
          <w:highlight w:val="none"/>
        </w:rPr>
        <w:t xml:space="preserve">  </w:t>
      </w:r>
    </w:p>
    <w:p w14:paraId="4D0F3DF8">
      <w:pPr>
        <w:pStyle w:val="19"/>
        <w:snapToGrid w:val="0"/>
        <w:spacing w:line="360" w:lineRule="auto"/>
        <w:ind w:firstLine="420" w:firstLineChars="200"/>
        <w:rPr>
          <w:rFonts w:hint="eastAsia" w:hAnsi="宋体"/>
          <w:bCs/>
          <w:color w:val="auto"/>
          <w:sz w:val="21"/>
          <w:highlight w:val="none"/>
          <w:u w:val="single"/>
        </w:rPr>
      </w:pPr>
      <w:r>
        <w:rPr>
          <w:rFonts w:hint="eastAsia" w:hAnsi="宋体"/>
          <w:bCs/>
          <w:color w:val="auto"/>
          <w:sz w:val="21"/>
          <w:highlight w:val="none"/>
        </w:rPr>
        <w:t>联系人：</w:t>
      </w:r>
      <w:r>
        <w:rPr>
          <w:rFonts w:hint="eastAsia" w:hAnsi="宋体"/>
          <w:bCs/>
          <w:color w:val="auto"/>
          <w:sz w:val="21"/>
          <w:highlight w:val="none"/>
          <w:u w:val="single"/>
        </w:rPr>
        <w:t xml:space="preserve">                                                </w:t>
      </w:r>
      <w:r>
        <w:rPr>
          <w:rFonts w:hAnsi="宋体"/>
          <w:bCs/>
          <w:color w:val="auto"/>
          <w:sz w:val="21"/>
          <w:highlight w:val="none"/>
        </w:rPr>
        <w:t>联系</w:t>
      </w:r>
      <w:r>
        <w:rPr>
          <w:rFonts w:hint="eastAsia" w:hAnsi="宋体"/>
          <w:bCs/>
          <w:color w:val="auto"/>
          <w:sz w:val="21"/>
          <w:highlight w:val="none"/>
        </w:rPr>
        <w:t>电话：</w:t>
      </w:r>
      <w:r>
        <w:rPr>
          <w:rFonts w:hint="eastAsia" w:hAnsi="宋体"/>
          <w:bCs/>
          <w:color w:val="auto"/>
          <w:sz w:val="21"/>
          <w:highlight w:val="none"/>
          <w:u w:val="single"/>
        </w:rPr>
        <w:t xml:space="preserve">                </w:t>
      </w:r>
    </w:p>
    <w:p w14:paraId="200FAEA6">
      <w:pPr>
        <w:pStyle w:val="19"/>
        <w:snapToGrid w:val="0"/>
        <w:spacing w:line="360" w:lineRule="auto"/>
        <w:ind w:firstLine="420" w:firstLineChars="200"/>
        <w:rPr>
          <w:rFonts w:hint="eastAsia" w:hAnsi="宋体"/>
          <w:bCs/>
          <w:color w:val="auto"/>
          <w:sz w:val="21"/>
          <w:highlight w:val="none"/>
        </w:rPr>
      </w:pPr>
      <w:r>
        <w:rPr>
          <w:rFonts w:hint="eastAsia" w:hAnsi="宋体"/>
          <w:bCs/>
          <w:color w:val="auto"/>
          <w:sz w:val="21"/>
          <w:highlight w:val="none"/>
        </w:rPr>
        <w:t>被投诉人2：</w:t>
      </w:r>
    </w:p>
    <w:p w14:paraId="222EE63B">
      <w:pPr>
        <w:pStyle w:val="19"/>
        <w:snapToGrid w:val="0"/>
        <w:spacing w:line="360" w:lineRule="auto"/>
        <w:ind w:firstLine="420" w:firstLineChars="200"/>
        <w:rPr>
          <w:rFonts w:hint="eastAsia" w:hAnsi="宋体"/>
          <w:bCs/>
          <w:color w:val="auto"/>
          <w:sz w:val="21"/>
          <w:highlight w:val="none"/>
        </w:rPr>
      </w:pPr>
      <w:r>
        <w:rPr>
          <w:rFonts w:hAnsi="宋体"/>
          <w:bCs/>
          <w:color w:val="auto"/>
          <w:sz w:val="21"/>
          <w:highlight w:val="none"/>
        </w:rPr>
        <w:t>……</w:t>
      </w:r>
    </w:p>
    <w:p w14:paraId="33997C59">
      <w:pPr>
        <w:pStyle w:val="19"/>
        <w:snapToGrid w:val="0"/>
        <w:spacing w:line="360" w:lineRule="auto"/>
        <w:ind w:firstLine="420" w:firstLineChars="200"/>
        <w:rPr>
          <w:rFonts w:hint="eastAsia" w:hAnsi="宋体"/>
          <w:bCs/>
          <w:color w:val="auto"/>
          <w:sz w:val="21"/>
          <w:highlight w:val="none"/>
          <w:u w:val="single"/>
        </w:rPr>
      </w:pPr>
      <w:r>
        <w:rPr>
          <w:rFonts w:hint="eastAsia" w:hAnsi="宋体"/>
          <w:bCs/>
          <w:color w:val="auto"/>
          <w:sz w:val="21"/>
          <w:highlight w:val="none"/>
        </w:rPr>
        <w:t>相关供应商：</w:t>
      </w:r>
      <w:r>
        <w:rPr>
          <w:rFonts w:hint="eastAsia" w:hAnsi="宋体"/>
          <w:bCs/>
          <w:color w:val="auto"/>
          <w:sz w:val="21"/>
          <w:highlight w:val="none"/>
          <w:u w:val="single"/>
        </w:rPr>
        <w:t xml:space="preserve">                                                                       </w:t>
      </w:r>
    </w:p>
    <w:p w14:paraId="2850370B">
      <w:pPr>
        <w:pStyle w:val="19"/>
        <w:snapToGrid w:val="0"/>
        <w:spacing w:line="360" w:lineRule="auto"/>
        <w:ind w:firstLine="420" w:firstLineChars="200"/>
        <w:rPr>
          <w:rFonts w:hint="eastAsia" w:hAnsi="宋体"/>
          <w:bCs/>
          <w:color w:val="auto"/>
          <w:sz w:val="21"/>
          <w:highlight w:val="none"/>
          <w:u w:val="single"/>
        </w:rPr>
      </w:pPr>
      <w:r>
        <w:rPr>
          <w:rFonts w:hAnsi="宋体"/>
          <w:bCs/>
          <w:color w:val="auto"/>
          <w:sz w:val="21"/>
          <w:highlight w:val="none"/>
        </w:rPr>
        <w:t>地址</w:t>
      </w:r>
      <w:r>
        <w:rPr>
          <w:rFonts w:hint="eastAsia" w:hAnsi="宋体"/>
          <w:bCs/>
          <w:color w:val="auto"/>
          <w:sz w:val="21"/>
          <w:highlight w:val="none"/>
        </w:rPr>
        <w:t>：</w:t>
      </w:r>
      <w:r>
        <w:rPr>
          <w:rFonts w:hint="eastAsia" w:hAnsi="宋体"/>
          <w:bCs/>
          <w:color w:val="auto"/>
          <w:sz w:val="21"/>
          <w:highlight w:val="none"/>
          <w:u w:val="single"/>
        </w:rPr>
        <w:t xml:space="preserve">                                              </w:t>
      </w:r>
      <w:r>
        <w:rPr>
          <w:rFonts w:hAnsi="宋体"/>
          <w:bCs/>
          <w:color w:val="auto"/>
          <w:sz w:val="21"/>
          <w:highlight w:val="none"/>
        </w:rPr>
        <w:t>邮编</w:t>
      </w:r>
      <w:r>
        <w:rPr>
          <w:rFonts w:hint="eastAsia" w:hAnsi="宋体"/>
          <w:bCs/>
          <w:color w:val="auto"/>
          <w:sz w:val="21"/>
          <w:highlight w:val="none"/>
        </w:rPr>
        <w:t>：</w:t>
      </w:r>
      <w:r>
        <w:rPr>
          <w:rFonts w:hint="eastAsia" w:hAnsi="宋体"/>
          <w:bCs/>
          <w:color w:val="auto"/>
          <w:sz w:val="21"/>
          <w:highlight w:val="none"/>
          <w:u w:val="single"/>
        </w:rPr>
        <w:t xml:space="preserve">                         </w:t>
      </w:r>
    </w:p>
    <w:p w14:paraId="660AFC43">
      <w:pPr>
        <w:pStyle w:val="19"/>
        <w:snapToGrid w:val="0"/>
        <w:spacing w:line="360" w:lineRule="auto"/>
        <w:ind w:firstLine="420" w:firstLineChars="200"/>
        <w:rPr>
          <w:rFonts w:hint="eastAsia" w:hAnsi="宋体"/>
          <w:bCs/>
          <w:color w:val="auto"/>
          <w:sz w:val="21"/>
          <w:highlight w:val="none"/>
        </w:rPr>
      </w:pPr>
      <w:r>
        <w:rPr>
          <w:rFonts w:hint="eastAsia" w:hAnsi="宋体"/>
          <w:bCs/>
          <w:color w:val="auto"/>
          <w:sz w:val="21"/>
          <w:highlight w:val="none"/>
        </w:rPr>
        <w:t>联系人：</w:t>
      </w:r>
      <w:r>
        <w:rPr>
          <w:rFonts w:hint="eastAsia" w:hAnsi="宋体"/>
          <w:bCs/>
          <w:color w:val="auto"/>
          <w:sz w:val="21"/>
          <w:highlight w:val="none"/>
          <w:u w:val="single"/>
        </w:rPr>
        <w:t xml:space="preserve">                                            </w:t>
      </w:r>
      <w:r>
        <w:rPr>
          <w:rFonts w:hAnsi="宋体"/>
          <w:bCs/>
          <w:color w:val="auto"/>
          <w:sz w:val="21"/>
          <w:highlight w:val="none"/>
        </w:rPr>
        <w:t>联系</w:t>
      </w:r>
      <w:r>
        <w:rPr>
          <w:rFonts w:hint="eastAsia" w:hAnsi="宋体"/>
          <w:bCs/>
          <w:color w:val="auto"/>
          <w:sz w:val="21"/>
          <w:highlight w:val="none"/>
        </w:rPr>
        <w:t>电话：</w:t>
      </w:r>
      <w:r>
        <w:rPr>
          <w:rFonts w:hint="eastAsia" w:hAnsi="宋体"/>
          <w:bCs/>
          <w:color w:val="auto"/>
          <w:sz w:val="21"/>
          <w:highlight w:val="none"/>
          <w:u w:val="single"/>
        </w:rPr>
        <w:t xml:space="preserve">                     </w:t>
      </w:r>
      <w:r>
        <w:rPr>
          <w:rFonts w:hint="eastAsia" w:hAnsi="宋体"/>
          <w:bCs/>
          <w:color w:val="auto"/>
          <w:sz w:val="21"/>
          <w:highlight w:val="none"/>
        </w:rPr>
        <w:t xml:space="preserve">                </w:t>
      </w:r>
    </w:p>
    <w:p w14:paraId="0DC666BC">
      <w:pPr>
        <w:pStyle w:val="19"/>
        <w:snapToGrid w:val="0"/>
        <w:spacing w:line="360" w:lineRule="auto"/>
        <w:ind w:firstLine="422" w:firstLineChars="200"/>
        <w:rPr>
          <w:rFonts w:hint="eastAsia" w:hAnsi="宋体"/>
          <w:b/>
          <w:bCs/>
          <w:color w:val="auto"/>
          <w:sz w:val="21"/>
          <w:highlight w:val="none"/>
        </w:rPr>
      </w:pPr>
      <w:r>
        <w:rPr>
          <w:rFonts w:hint="eastAsia" w:hAnsi="宋体"/>
          <w:b/>
          <w:bCs/>
          <w:color w:val="auto"/>
          <w:sz w:val="21"/>
          <w:highlight w:val="none"/>
        </w:rPr>
        <w:t>二、投诉项目基本情况：</w:t>
      </w:r>
    </w:p>
    <w:p w14:paraId="5654B3CD">
      <w:pPr>
        <w:pStyle w:val="19"/>
        <w:spacing w:line="360" w:lineRule="auto"/>
        <w:ind w:left="25" w:leftChars="12" w:firstLine="413" w:firstLineChars="197"/>
        <w:rPr>
          <w:rFonts w:hint="eastAsia" w:hAnsi="宋体"/>
          <w:color w:val="auto"/>
          <w:sz w:val="21"/>
          <w:highlight w:val="none"/>
        </w:rPr>
      </w:pPr>
      <w:r>
        <w:rPr>
          <w:rFonts w:hint="eastAsia" w:hAnsi="宋体"/>
          <w:bCs/>
          <w:color w:val="auto"/>
          <w:sz w:val="21"/>
          <w:highlight w:val="none"/>
        </w:rPr>
        <w:t>采购</w:t>
      </w:r>
      <w:r>
        <w:rPr>
          <w:rFonts w:hint="eastAsia" w:hAnsi="宋体"/>
          <w:color w:val="auto"/>
          <w:sz w:val="21"/>
          <w:highlight w:val="none"/>
        </w:rPr>
        <w:t>项目的名称：</w:t>
      </w:r>
      <w:r>
        <w:rPr>
          <w:rFonts w:hint="eastAsia" w:hAnsi="宋体"/>
          <w:bCs/>
          <w:color w:val="auto"/>
          <w:sz w:val="21"/>
          <w:highlight w:val="none"/>
          <w:u w:val="single"/>
        </w:rPr>
        <w:t xml:space="preserve">                                                                   </w:t>
      </w:r>
    </w:p>
    <w:p w14:paraId="4BC8BBA0">
      <w:pPr>
        <w:pStyle w:val="19"/>
        <w:spacing w:line="360" w:lineRule="auto"/>
        <w:ind w:left="25" w:leftChars="12" w:firstLine="413" w:firstLineChars="197"/>
        <w:rPr>
          <w:rFonts w:hint="eastAsia" w:hAnsi="宋体"/>
          <w:color w:val="auto"/>
          <w:sz w:val="21"/>
          <w:highlight w:val="none"/>
        </w:rPr>
      </w:pPr>
      <w:r>
        <w:rPr>
          <w:rFonts w:hint="eastAsia" w:hAnsi="宋体"/>
          <w:bCs/>
          <w:color w:val="auto"/>
          <w:sz w:val="21"/>
          <w:highlight w:val="none"/>
        </w:rPr>
        <w:t>采购</w:t>
      </w:r>
      <w:r>
        <w:rPr>
          <w:rFonts w:hint="eastAsia" w:hAnsi="宋体"/>
          <w:color w:val="auto"/>
          <w:sz w:val="21"/>
          <w:highlight w:val="none"/>
        </w:rPr>
        <w:t>项目的编号：</w:t>
      </w:r>
      <w:r>
        <w:rPr>
          <w:rFonts w:hint="eastAsia" w:hAnsi="宋体"/>
          <w:bCs/>
          <w:color w:val="auto"/>
          <w:sz w:val="21"/>
          <w:highlight w:val="none"/>
          <w:u w:val="single"/>
        </w:rPr>
        <w:t xml:space="preserve">                                          </w:t>
      </w:r>
    </w:p>
    <w:p w14:paraId="79272905">
      <w:pPr>
        <w:pStyle w:val="19"/>
        <w:spacing w:line="360" w:lineRule="auto"/>
        <w:ind w:left="25" w:leftChars="12" w:firstLine="413" w:firstLineChars="197"/>
        <w:rPr>
          <w:rFonts w:hint="eastAsia" w:hAnsi="宋体"/>
          <w:bCs/>
          <w:color w:val="auto"/>
          <w:sz w:val="21"/>
          <w:highlight w:val="none"/>
          <w:u w:val="single"/>
        </w:rPr>
      </w:pPr>
      <w:r>
        <w:rPr>
          <w:rFonts w:hint="eastAsia" w:hAnsi="宋体"/>
          <w:color w:val="auto"/>
          <w:sz w:val="21"/>
          <w:highlight w:val="none"/>
        </w:rPr>
        <w:t>采购人名称：</w:t>
      </w:r>
      <w:r>
        <w:rPr>
          <w:rFonts w:hint="eastAsia" w:hAnsi="宋体"/>
          <w:bCs/>
          <w:color w:val="auto"/>
          <w:sz w:val="21"/>
          <w:highlight w:val="none"/>
          <w:u w:val="single"/>
        </w:rPr>
        <w:t xml:space="preserve">                                                                        </w:t>
      </w:r>
    </w:p>
    <w:p w14:paraId="3981C256">
      <w:pPr>
        <w:pStyle w:val="19"/>
        <w:spacing w:line="360" w:lineRule="auto"/>
        <w:ind w:left="25" w:leftChars="12" w:firstLine="413" w:firstLineChars="197"/>
        <w:rPr>
          <w:rFonts w:hint="eastAsia" w:hAnsi="宋体"/>
          <w:bCs/>
          <w:color w:val="auto"/>
          <w:sz w:val="21"/>
          <w:highlight w:val="none"/>
          <w:u w:val="single"/>
        </w:rPr>
      </w:pPr>
      <w:r>
        <w:rPr>
          <w:rFonts w:hint="eastAsia" w:hAnsi="宋体"/>
          <w:color w:val="auto"/>
          <w:sz w:val="21"/>
          <w:highlight w:val="none"/>
        </w:rPr>
        <w:t>代理机构名称：</w:t>
      </w:r>
      <w:r>
        <w:rPr>
          <w:rFonts w:hint="eastAsia" w:hAnsi="宋体"/>
          <w:bCs/>
          <w:color w:val="auto"/>
          <w:sz w:val="21"/>
          <w:highlight w:val="none"/>
          <w:u w:val="single"/>
        </w:rPr>
        <w:t xml:space="preserve">                                                                      </w:t>
      </w:r>
    </w:p>
    <w:p w14:paraId="63856F99">
      <w:pPr>
        <w:pStyle w:val="19"/>
        <w:spacing w:line="360" w:lineRule="auto"/>
        <w:ind w:left="25" w:leftChars="12" w:firstLine="413" w:firstLineChars="197"/>
        <w:rPr>
          <w:rFonts w:hint="eastAsia" w:hAnsi="宋体"/>
          <w:bCs/>
          <w:color w:val="auto"/>
          <w:sz w:val="21"/>
          <w:highlight w:val="none"/>
          <w:u w:val="single"/>
        </w:rPr>
      </w:pPr>
      <w:r>
        <w:rPr>
          <w:rFonts w:hint="eastAsia" w:hAnsi="宋体"/>
          <w:bCs/>
          <w:color w:val="auto"/>
          <w:sz w:val="21"/>
          <w:highlight w:val="none"/>
        </w:rPr>
        <w:t>竞争性磋商文件公告：</w:t>
      </w:r>
      <w:r>
        <w:rPr>
          <w:rFonts w:hint="eastAsia" w:hAnsi="宋体"/>
          <w:bCs/>
          <w:color w:val="auto"/>
          <w:sz w:val="21"/>
          <w:highlight w:val="none"/>
          <w:u w:val="single"/>
        </w:rPr>
        <w:t>是/否</w:t>
      </w:r>
      <w:r>
        <w:rPr>
          <w:rFonts w:hint="eastAsia" w:hAnsi="宋体"/>
          <w:bCs/>
          <w:color w:val="auto"/>
          <w:sz w:val="21"/>
          <w:highlight w:val="none"/>
        </w:rPr>
        <w:t>公告期限：</w:t>
      </w:r>
      <w:r>
        <w:rPr>
          <w:rFonts w:hint="eastAsia" w:hAnsi="宋体"/>
          <w:bCs/>
          <w:color w:val="auto"/>
          <w:sz w:val="21"/>
          <w:highlight w:val="none"/>
          <w:u w:val="single"/>
        </w:rPr>
        <w:t xml:space="preserve">                                                       </w:t>
      </w:r>
    </w:p>
    <w:p w14:paraId="1B5361F5">
      <w:pPr>
        <w:pStyle w:val="19"/>
        <w:spacing w:line="360" w:lineRule="auto"/>
        <w:ind w:left="25" w:leftChars="12" w:firstLine="413" w:firstLineChars="197"/>
        <w:rPr>
          <w:rFonts w:hint="eastAsia" w:hAnsi="宋体"/>
          <w:b/>
          <w:color w:val="auto"/>
          <w:sz w:val="21"/>
          <w:highlight w:val="none"/>
        </w:rPr>
      </w:pPr>
      <w:r>
        <w:rPr>
          <w:rFonts w:hint="eastAsia" w:hAnsi="宋体"/>
          <w:bCs/>
          <w:color w:val="auto"/>
          <w:sz w:val="21"/>
          <w:highlight w:val="none"/>
        </w:rPr>
        <w:t>采购结果公告：</w:t>
      </w:r>
      <w:r>
        <w:rPr>
          <w:rFonts w:hint="eastAsia" w:hAnsi="宋体"/>
          <w:bCs/>
          <w:color w:val="auto"/>
          <w:sz w:val="21"/>
          <w:highlight w:val="none"/>
          <w:u w:val="single"/>
        </w:rPr>
        <w:t>是/否</w:t>
      </w:r>
      <w:r>
        <w:rPr>
          <w:rFonts w:hint="eastAsia" w:hAnsi="宋体"/>
          <w:bCs/>
          <w:color w:val="auto"/>
          <w:sz w:val="21"/>
          <w:highlight w:val="none"/>
        </w:rPr>
        <w:t>公告期限：</w:t>
      </w:r>
      <w:r>
        <w:rPr>
          <w:rFonts w:hint="eastAsia" w:hAnsi="宋体"/>
          <w:bCs/>
          <w:color w:val="auto"/>
          <w:sz w:val="21"/>
          <w:highlight w:val="none"/>
          <w:u w:val="single"/>
        </w:rPr>
        <w:t xml:space="preserve">                                                       </w:t>
      </w:r>
    </w:p>
    <w:p w14:paraId="07927479">
      <w:pPr>
        <w:pStyle w:val="19"/>
        <w:spacing w:line="360" w:lineRule="auto"/>
        <w:ind w:left="25" w:leftChars="12" w:firstLine="413" w:firstLineChars="196"/>
        <w:rPr>
          <w:rFonts w:hint="eastAsia" w:hAnsi="宋体"/>
          <w:b/>
          <w:color w:val="auto"/>
          <w:sz w:val="21"/>
          <w:highlight w:val="none"/>
        </w:rPr>
      </w:pPr>
      <w:r>
        <w:rPr>
          <w:rFonts w:hint="eastAsia" w:hAnsi="宋体"/>
          <w:b/>
          <w:color w:val="auto"/>
          <w:sz w:val="21"/>
          <w:highlight w:val="none"/>
        </w:rPr>
        <w:t>三、质疑基本情况</w:t>
      </w:r>
    </w:p>
    <w:p w14:paraId="59D3DA0C">
      <w:pPr>
        <w:pStyle w:val="19"/>
        <w:spacing w:line="360" w:lineRule="auto"/>
        <w:ind w:firstLine="420" w:firstLineChars="200"/>
        <w:rPr>
          <w:rFonts w:hint="eastAsia" w:hAnsi="宋体"/>
          <w:color w:val="auto"/>
          <w:sz w:val="21"/>
          <w:highlight w:val="none"/>
        </w:rPr>
      </w:pPr>
      <w:r>
        <w:rPr>
          <w:rFonts w:hint="eastAsia" w:hAnsi="宋体"/>
          <w:color w:val="auto"/>
          <w:sz w:val="21"/>
          <w:highlight w:val="none"/>
        </w:rPr>
        <w:t>投诉人于</w:t>
      </w:r>
      <w:r>
        <w:rPr>
          <w:rFonts w:hint="eastAsia" w:hAnsi="宋体"/>
          <w:color w:val="auto"/>
          <w:sz w:val="21"/>
          <w:highlight w:val="none"/>
          <w:u w:val="single"/>
        </w:rPr>
        <w:t xml:space="preserve">      </w:t>
      </w:r>
      <w:r>
        <w:rPr>
          <w:rFonts w:hint="eastAsia" w:hAnsi="宋体"/>
          <w:color w:val="auto"/>
          <w:sz w:val="21"/>
          <w:highlight w:val="none"/>
        </w:rPr>
        <w:t>年</w:t>
      </w:r>
      <w:r>
        <w:rPr>
          <w:rFonts w:hint="eastAsia" w:hAnsi="宋体"/>
          <w:color w:val="auto"/>
          <w:sz w:val="21"/>
          <w:highlight w:val="none"/>
          <w:u w:val="single"/>
        </w:rPr>
        <w:t xml:space="preserve">   </w:t>
      </w:r>
      <w:r>
        <w:rPr>
          <w:rFonts w:hint="eastAsia" w:hAnsi="宋体"/>
          <w:color w:val="auto"/>
          <w:sz w:val="21"/>
          <w:highlight w:val="none"/>
        </w:rPr>
        <w:t>月</w:t>
      </w:r>
      <w:r>
        <w:rPr>
          <w:rFonts w:hint="eastAsia" w:hAnsi="宋体"/>
          <w:color w:val="auto"/>
          <w:sz w:val="21"/>
          <w:highlight w:val="none"/>
          <w:u w:val="single"/>
        </w:rPr>
        <w:t xml:space="preserve">   </w:t>
      </w:r>
      <w:r>
        <w:rPr>
          <w:rFonts w:hint="eastAsia" w:hAnsi="宋体"/>
          <w:color w:val="auto"/>
          <w:sz w:val="21"/>
          <w:highlight w:val="none"/>
        </w:rPr>
        <w:t>日，向</w:t>
      </w:r>
      <w:r>
        <w:rPr>
          <w:rFonts w:hint="eastAsia" w:hAnsi="宋体"/>
          <w:color w:val="auto"/>
          <w:sz w:val="21"/>
          <w:highlight w:val="none"/>
          <w:u w:val="single"/>
        </w:rPr>
        <w:t xml:space="preserve">                                </w:t>
      </w:r>
      <w:r>
        <w:rPr>
          <w:rFonts w:hint="eastAsia" w:hAnsi="宋体"/>
          <w:color w:val="auto"/>
          <w:sz w:val="21"/>
          <w:highlight w:val="none"/>
        </w:rPr>
        <w:t>提出质疑，质疑事项为：</w:t>
      </w:r>
    </w:p>
    <w:p w14:paraId="7ECEED17">
      <w:pPr>
        <w:pStyle w:val="19"/>
        <w:spacing w:line="360" w:lineRule="auto"/>
        <w:ind w:firstLine="241"/>
        <w:rPr>
          <w:rFonts w:hint="eastAsia" w:hAnsi="宋体"/>
          <w:bCs/>
          <w:color w:val="auto"/>
          <w:sz w:val="21"/>
          <w:highlight w:val="none"/>
          <w:u w:val="single"/>
        </w:rPr>
      </w:pPr>
      <w:r>
        <w:rPr>
          <w:rFonts w:hint="eastAsia" w:hAnsi="宋体"/>
          <w:color w:val="auto"/>
          <w:sz w:val="21"/>
          <w:highlight w:val="none"/>
        </w:rPr>
        <w:t xml:space="preserve">    </w:t>
      </w:r>
      <w:r>
        <w:rPr>
          <w:rFonts w:hint="eastAsia" w:hAnsi="宋体"/>
          <w:bCs/>
          <w:color w:val="auto"/>
          <w:sz w:val="21"/>
          <w:highlight w:val="none"/>
          <w:u w:val="single"/>
        </w:rPr>
        <w:t xml:space="preserve">                                                                                      </w:t>
      </w:r>
    </w:p>
    <w:p w14:paraId="5DDC8926">
      <w:pPr>
        <w:pStyle w:val="19"/>
        <w:spacing w:line="360" w:lineRule="auto"/>
        <w:ind w:firstLine="241"/>
        <w:rPr>
          <w:rFonts w:hint="eastAsia" w:hAnsi="宋体"/>
          <w:bCs/>
          <w:color w:val="auto"/>
          <w:sz w:val="21"/>
          <w:highlight w:val="none"/>
          <w:u w:val="single"/>
        </w:rPr>
      </w:pPr>
      <w:r>
        <w:rPr>
          <w:rFonts w:hint="eastAsia" w:hAnsi="宋体"/>
          <w:bCs/>
          <w:color w:val="auto"/>
          <w:sz w:val="21"/>
          <w:highlight w:val="none"/>
        </w:rPr>
        <w:t xml:space="preserve">    </w:t>
      </w:r>
      <w:r>
        <w:rPr>
          <w:rFonts w:hint="eastAsia" w:hAnsi="宋体"/>
          <w:bCs/>
          <w:color w:val="auto"/>
          <w:sz w:val="21"/>
          <w:highlight w:val="none"/>
          <w:u w:val="single"/>
        </w:rPr>
        <w:t xml:space="preserve">                                                                                      </w:t>
      </w:r>
    </w:p>
    <w:p w14:paraId="36E7E515">
      <w:pPr>
        <w:pStyle w:val="19"/>
        <w:spacing w:line="360" w:lineRule="auto"/>
        <w:ind w:firstLine="420" w:firstLineChars="200"/>
        <w:rPr>
          <w:rFonts w:hint="eastAsia" w:hAnsi="宋体"/>
          <w:color w:val="auto"/>
          <w:sz w:val="21"/>
          <w:highlight w:val="none"/>
        </w:rPr>
      </w:pPr>
      <w:r>
        <w:rPr>
          <w:rFonts w:hint="eastAsia" w:hAnsi="宋体"/>
          <w:bCs/>
          <w:color w:val="auto"/>
          <w:sz w:val="21"/>
          <w:highlight w:val="none"/>
          <w:u w:val="single"/>
        </w:rPr>
        <w:t>采购人/代理机构</w:t>
      </w:r>
      <w:r>
        <w:rPr>
          <w:rFonts w:hint="eastAsia" w:hAnsi="宋体"/>
          <w:bCs/>
          <w:color w:val="auto"/>
          <w:sz w:val="21"/>
          <w:highlight w:val="none"/>
        </w:rPr>
        <w:t>于</w:t>
      </w:r>
      <w:r>
        <w:rPr>
          <w:rFonts w:hint="eastAsia" w:hAnsi="宋体"/>
          <w:color w:val="auto"/>
          <w:sz w:val="21"/>
          <w:highlight w:val="none"/>
          <w:u w:val="single"/>
        </w:rPr>
        <w:t xml:space="preserve">      </w:t>
      </w:r>
      <w:r>
        <w:rPr>
          <w:rFonts w:hint="eastAsia" w:hAnsi="宋体"/>
          <w:color w:val="auto"/>
          <w:sz w:val="21"/>
          <w:highlight w:val="none"/>
        </w:rPr>
        <w:t>年</w:t>
      </w:r>
      <w:r>
        <w:rPr>
          <w:rFonts w:hint="eastAsia" w:hAnsi="宋体"/>
          <w:color w:val="auto"/>
          <w:sz w:val="21"/>
          <w:highlight w:val="none"/>
          <w:u w:val="single"/>
        </w:rPr>
        <w:t xml:space="preserve">   </w:t>
      </w:r>
      <w:r>
        <w:rPr>
          <w:rFonts w:hint="eastAsia" w:hAnsi="宋体"/>
          <w:color w:val="auto"/>
          <w:sz w:val="21"/>
          <w:highlight w:val="none"/>
        </w:rPr>
        <w:t>月</w:t>
      </w:r>
      <w:r>
        <w:rPr>
          <w:rFonts w:hint="eastAsia" w:hAnsi="宋体"/>
          <w:color w:val="auto"/>
          <w:sz w:val="21"/>
          <w:highlight w:val="none"/>
          <w:u w:val="single"/>
        </w:rPr>
        <w:t xml:space="preserve">   </w:t>
      </w:r>
      <w:r>
        <w:rPr>
          <w:rFonts w:hint="eastAsia" w:hAnsi="宋体"/>
          <w:color w:val="auto"/>
          <w:sz w:val="21"/>
          <w:highlight w:val="none"/>
        </w:rPr>
        <w:t>日，</w:t>
      </w:r>
      <w:r>
        <w:rPr>
          <w:rFonts w:hint="eastAsia" w:hAnsi="宋体"/>
          <w:bCs/>
          <w:color w:val="auto"/>
          <w:sz w:val="21"/>
          <w:highlight w:val="none"/>
        </w:rPr>
        <w:t xml:space="preserve">就质疑事项作出了答复/没有在法定期限内作出答复。                                                                                             </w:t>
      </w:r>
    </w:p>
    <w:p w14:paraId="528C1346">
      <w:pPr>
        <w:pStyle w:val="19"/>
        <w:spacing w:line="360" w:lineRule="auto"/>
        <w:ind w:left="25" w:leftChars="12" w:firstLine="413" w:firstLineChars="196"/>
        <w:rPr>
          <w:rFonts w:hint="eastAsia" w:hAnsi="宋体"/>
          <w:b/>
          <w:color w:val="auto"/>
          <w:sz w:val="21"/>
          <w:highlight w:val="none"/>
        </w:rPr>
      </w:pPr>
      <w:r>
        <w:rPr>
          <w:rFonts w:hint="eastAsia" w:hAnsi="宋体"/>
          <w:b/>
          <w:color w:val="auto"/>
          <w:sz w:val="21"/>
          <w:highlight w:val="none"/>
        </w:rPr>
        <w:t>四、投诉事项具体内容</w:t>
      </w:r>
    </w:p>
    <w:p w14:paraId="05C7FF2D">
      <w:pPr>
        <w:pStyle w:val="19"/>
        <w:spacing w:line="360" w:lineRule="auto"/>
        <w:ind w:left="25" w:leftChars="12" w:firstLine="413" w:firstLineChars="197"/>
        <w:rPr>
          <w:rFonts w:hint="eastAsia" w:hAnsi="宋体"/>
          <w:bCs/>
          <w:color w:val="auto"/>
          <w:sz w:val="21"/>
          <w:highlight w:val="none"/>
          <w:u w:val="single"/>
        </w:rPr>
      </w:pPr>
      <w:r>
        <w:rPr>
          <w:rFonts w:hint="eastAsia" w:hAnsi="宋体"/>
          <w:color w:val="auto"/>
          <w:sz w:val="21"/>
          <w:highlight w:val="none"/>
        </w:rPr>
        <w:t>投诉事项1：</w:t>
      </w:r>
      <w:r>
        <w:rPr>
          <w:rFonts w:hint="eastAsia" w:hAnsi="宋体"/>
          <w:bCs/>
          <w:color w:val="auto"/>
          <w:sz w:val="21"/>
          <w:highlight w:val="none"/>
          <w:u w:val="single"/>
        </w:rPr>
        <w:t xml:space="preserve">                                                                           </w:t>
      </w:r>
    </w:p>
    <w:p w14:paraId="5D0C196D">
      <w:pPr>
        <w:pStyle w:val="19"/>
        <w:spacing w:line="360" w:lineRule="auto"/>
        <w:ind w:firstLine="420" w:firstLineChars="200"/>
        <w:rPr>
          <w:rFonts w:hint="eastAsia" w:hAnsi="宋体"/>
          <w:bCs/>
          <w:color w:val="auto"/>
          <w:sz w:val="21"/>
          <w:highlight w:val="none"/>
          <w:u w:val="single"/>
        </w:rPr>
      </w:pPr>
      <w:r>
        <w:rPr>
          <w:rFonts w:hint="eastAsia" w:hAnsi="宋体"/>
          <w:bCs/>
          <w:color w:val="auto"/>
          <w:sz w:val="21"/>
          <w:highlight w:val="none"/>
        </w:rPr>
        <w:t>事实依据：</w:t>
      </w:r>
      <w:r>
        <w:rPr>
          <w:rFonts w:hint="eastAsia" w:hAnsi="宋体"/>
          <w:color w:val="auto"/>
          <w:sz w:val="21"/>
          <w:highlight w:val="none"/>
        </w:rPr>
        <w:t xml:space="preserve"> </w:t>
      </w:r>
      <w:r>
        <w:rPr>
          <w:rFonts w:hint="eastAsia" w:hAnsi="宋体"/>
          <w:bCs/>
          <w:color w:val="auto"/>
          <w:sz w:val="21"/>
          <w:highlight w:val="none"/>
          <w:u w:val="single"/>
        </w:rPr>
        <w:t xml:space="preserve">                                                                                      </w:t>
      </w:r>
    </w:p>
    <w:p w14:paraId="68932518">
      <w:pPr>
        <w:pStyle w:val="19"/>
        <w:spacing w:line="360" w:lineRule="auto"/>
        <w:ind w:left="25" w:leftChars="12" w:firstLine="413" w:firstLineChars="197"/>
        <w:rPr>
          <w:rFonts w:hint="eastAsia" w:hAnsi="宋体"/>
          <w:color w:val="auto"/>
          <w:sz w:val="21"/>
          <w:highlight w:val="none"/>
        </w:rPr>
      </w:pPr>
      <w:r>
        <w:rPr>
          <w:rFonts w:hint="eastAsia" w:hAnsi="宋体"/>
          <w:bCs/>
          <w:color w:val="auto"/>
          <w:sz w:val="21"/>
          <w:highlight w:val="none"/>
          <w:u w:val="single"/>
        </w:rPr>
        <w:t xml:space="preserve">                                                                                        </w:t>
      </w:r>
    </w:p>
    <w:p w14:paraId="5C337767">
      <w:pPr>
        <w:pStyle w:val="19"/>
        <w:spacing w:line="360" w:lineRule="auto"/>
        <w:ind w:firstLine="420" w:firstLineChars="200"/>
        <w:rPr>
          <w:rFonts w:hint="eastAsia" w:hAnsi="宋体"/>
          <w:bCs/>
          <w:color w:val="auto"/>
          <w:sz w:val="21"/>
          <w:highlight w:val="none"/>
          <w:u w:val="single"/>
        </w:rPr>
      </w:pPr>
      <w:r>
        <w:rPr>
          <w:rFonts w:hint="eastAsia" w:hAnsi="宋体"/>
          <w:bCs/>
          <w:color w:val="auto"/>
          <w:sz w:val="21"/>
          <w:highlight w:val="none"/>
        </w:rPr>
        <w:t>法律依据：</w:t>
      </w:r>
      <w:r>
        <w:rPr>
          <w:rFonts w:hint="eastAsia" w:hAnsi="宋体"/>
          <w:color w:val="auto"/>
          <w:sz w:val="21"/>
          <w:highlight w:val="none"/>
        </w:rPr>
        <w:t xml:space="preserve"> </w:t>
      </w:r>
      <w:r>
        <w:rPr>
          <w:rFonts w:hint="eastAsia" w:hAnsi="宋体"/>
          <w:bCs/>
          <w:color w:val="auto"/>
          <w:sz w:val="21"/>
          <w:highlight w:val="none"/>
          <w:u w:val="single"/>
        </w:rPr>
        <w:t xml:space="preserve">                                                                                      </w:t>
      </w:r>
    </w:p>
    <w:p w14:paraId="5F057B4F">
      <w:pPr>
        <w:pStyle w:val="19"/>
        <w:spacing w:line="360" w:lineRule="auto"/>
        <w:ind w:left="25" w:leftChars="12" w:firstLine="308" w:firstLineChars="147"/>
        <w:rPr>
          <w:rFonts w:hint="eastAsia" w:hAnsi="宋体"/>
          <w:bCs/>
          <w:color w:val="auto"/>
          <w:sz w:val="21"/>
          <w:highlight w:val="none"/>
          <w:u w:val="single"/>
        </w:rPr>
      </w:pPr>
      <w:r>
        <w:rPr>
          <w:rFonts w:hint="eastAsia" w:hAnsi="宋体"/>
          <w:bCs/>
          <w:color w:val="auto"/>
          <w:sz w:val="21"/>
          <w:highlight w:val="none"/>
        </w:rPr>
        <w:t xml:space="preserve"> </w:t>
      </w:r>
      <w:r>
        <w:rPr>
          <w:rFonts w:hint="eastAsia" w:hAnsi="宋体"/>
          <w:bCs/>
          <w:color w:val="auto"/>
          <w:sz w:val="21"/>
          <w:highlight w:val="none"/>
          <w:u w:val="single"/>
        </w:rPr>
        <w:t xml:space="preserve">                                                                                        </w:t>
      </w:r>
    </w:p>
    <w:p w14:paraId="16917602">
      <w:pPr>
        <w:pStyle w:val="19"/>
        <w:spacing w:line="360" w:lineRule="auto"/>
        <w:ind w:left="25" w:leftChars="12" w:firstLine="413" w:firstLineChars="197"/>
        <w:rPr>
          <w:rFonts w:hint="eastAsia" w:hAnsi="宋体"/>
          <w:bCs/>
          <w:color w:val="auto"/>
          <w:sz w:val="21"/>
          <w:highlight w:val="none"/>
        </w:rPr>
      </w:pPr>
      <w:r>
        <w:rPr>
          <w:rFonts w:hint="eastAsia" w:hAnsi="宋体"/>
          <w:color w:val="auto"/>
          <w:sz w:val="21"/>
          <w:highlight w:val="none"/>
        </w:rPr>
        <w:t xml:space="preserve">投诉事项2  </w:t>
      </w:r>
      <w:r>
        <w:rPr>
          <w:rFonts w:hint="eastAsia" w:hAnsi="宋体"/>
          <w:bCs/>
          <w:color w:val="auto"/>
          <w:sz w:val="21"/>
          <w:highlight w:val="none"/>
        </w:rPr>
        <w:t xml:space="preserve">   </w:t>
      </w:r>
    </w:p>
    <w:p w14:paraId="3F370B55">
      <w:pPr>
        <w:pStyle w:val="19"/>
        <w:spacing w:line="360" w:lineRule="auto"/>
        <w:ind w:left="25" w:leftChars="12" w:firstLine="413" w:firstLineChars="197"/>
        <w:rPr>
          <w:rFonts w:hint="eastAsia" w:hAnsi="宋体"/>
          <w:bCs/>
          <w:color w:val="auto"/>
          <w:sz w:val="21"/>
          <w:highlight w:val="none"/>
        </w:rPr>
      </w:pPr>
      <w:r>
        <w:rPr>
          <w:rFonts w:hAnsi="宋体"/>
          <w:bCs/>
          <w:color w:val="auto"/>
          <w:sz w:val="21"/>
          <w:highlight w:val="none"/>
        </w:rPr>
        <w:t>……</w:t>
      </w:r>
    </w:p>
    <w:p w14:paraId="345AA287">
      <w:pPr>
        <w:pStyle w:val="19"/>
        <w:spacing w:line="360" w:lineRule="auto"/>
        <w:ind w:left="25" w:leftChars="12" w:firstLine="413" w:firstLineChars="196"/>
        <w:rPr>
          <w:rFonts w:hint="eastAsia" w:hAnsi="宋体"/>
          <w:b/>
          <w:color w:val="auto"/>
          <w:sz w:val="21"/>
          <w:highlight w:val="none"/>
        </w:rPr>
      </w:pPr>
      <w:r>
        <w:rPr>
          <w:rFonts w:hint="eastAsia" w:hAnsi="宋体"/>
          <w:b/>
          <w:color w:val="auto"/>
          <w:sz w:val="21"/>
          <w:highlight w:val="none"/>
        </w:rPr>
        <w:t>五、与投诉事项相关的投诉请求：</w:t>
      </w:r>
    </w:p>
    <w:p w14:paraId="5A34D0D5">
      <w:pPr>
        <w:pStyle w:val="19"/>
        <w:spacing w:line="360" w:lineRule="auto"/>
        <w:ind w:left="25" w:leftChars="12" w:firstLine="413" w:firstLineChars="197"/>
        <w:rPr>
          <w:rFonts w:hint="eastAsia" w:hAnsi="宋体"/>
          <w:color w:val="auto"/>
          <w:sz w:val="21"/>
          <w:highlight w:val="none"/>
        </w:rPr>
      </w:pPr>
      <w:r>
        <w:rPr>
          <w:rFonts w:hint="eastAsia" w:hAnsi="宋体"/>
          <w:color w:val="auto"/>
          <w:sz w:val="21"/>
          <w:highlight w:val="none"/>
        </w:rPr>
        <w:t>请求：</w:t>
      </w:r>
      <w:r>
        <w:rPr>
          <w:rFonts w:hint="eastAsia" w:hAnsi="宋体"/>
          <w:bCs/>
          <w:color w:val="auto"/>
          <w:sz w:val="21"/>
          <w:highlight w:val="none"/>
          <w:u w:val="single"/>
        </w:rPr>
        <w:t xml:space="preserve">                                                                                 </w:t>
      </w:r>
    </w:p>
    <w:p w14:paraId="5907CDB6">
      <w:pPr>
        <w:pStyle w:val="19"/>
        <w:spacing w:line="360" w:lineRule="auto"/>
        <w:ind w:left="25" w:leftChars="12" w:firstLine="308" w:firstLineChars="147"/>
        <w:rPr>
          <w:rFonts w:hint="eastAsia" w:hAnsi="宋体"/>
          <w:color w:val="auto"/>
          <w:sz w:val="21"/>
          <w:highlight w:val="none"/>
        </w:rPr>
      </w:pPr>
    </w:p>
    <w:p w14:paraId="31C377B5">
      <w:pPr>
        <w:pStyle w:val="19"/>
        <w:spacing w:line="360" w:lineRule="auto"/>
        <w:ind w:left="25" w:leftChars="12" w:firstLine="413" w:firstLineChars="197"/>
        <w:rPr>
          <w:rFonts w:hint="eastAsia" w:hAnsi="宋体"/>
          <w:color w:val="auto"/>
          <w:sz w:val="21"/>
          <w:highlight w:val="none"/>
        </w:rPr>
      </w:pPr>
      <w:r>
        <w:rPr>
          <w:rFonts w:hint="eastAsia" w:hAnsi="宋体"/>
          <w:color w:val="auto"/>
          <w:sz w:val="21"/>
          <w:highlight w:val="none"/>
        </w:rPr>
        <w:t>签字（签章）：                                       公章：</w:t>
      </w:r>
    </w:p>
    <w:p w14:paraId="2C61B828">
      <w:pPr>
        <w:pStyle w:val="19"/>
        <w:spacing w:line="360" w:lineRule="auto"/>
        <w:ind w:left="25" w:leftChars="12" w:firstLine="308" w:firstLineChars="147"/>
        <w:rPr>
          <w:rFonts w:hint="eastAsia" w:hAnsi="宋体"/>
          <w:color w:val="auto"/>
          <w:sz w:val="21"/>
          <w:highlight w:val="none"/>
        </w:rPr>
      </w:pPr>
    </w:p>
    <w:p w14:paraId="538DD03C">
      <w:pPr>
        <w:pStyle w:val="19"/>
        <w:spacing w:line="360" w:lineRule="auto"/>
        <w:ind w:left="25" w:leftChars="12" w:firstLine="413" w:firstLineChars="197"/>
        <w:rPr>
          <w:rFonts w:hint="eastAsia" w:hAnsi="宋体"/>
          <w:color w:val="auto"/>
          <w:sz w:val="21"/>
          <w:highlight w:val="none"/>
        </w:rPr>
      </w:pPr>
      <w:r>
        <w:rPr>
          <w:rFonts w:hint="eastAsia" w:hAnsi="宋体"/>
          <w:color w:val="auto"/>
          <w:sz w:val="21"/>
          <w:highlight w:val="none"/>
        </w:rPr>
        <w:t>日期：</w:t>
      </w:r>
    </w:p>
    <w:p w14:paraId="1429A021">
      <w:pPr>
        <w:pStyle w:val="19"/>
        <w:spacing w:line="360" w:lineRule="auto"/>
        <w:ind w:left="25" w:leftChars="12" w:firstLine="413" w:firstLineChars="197"/>
        <w:rPr>
          <w:rFonts w:hint="eastAsia" w:hAnsi="宋体"/>
          <w:b/>
          <w:color w:val="auto"/>
          <w:sz w:val="21"/>
          <w:highlight w:val="none"/>
        </w:rPr>
      </w:pPr>
      <w:r>
        <w:rPr>
          <w:rFonts w:hint="eastAsia" w:hAnsi="宋体"/>
          <w:bCs/>
          <w:color w:val="auto"/>
          <w:sz w:val="21"/>
          <w:highlight w:val="none"/>
        </w:rPr>
        <w:t xml:space="preserve">                                                                                 </w:t>
      </w:r>
    </w:p>
    <w:p w14:paraId="4EBD09E8">
      <w:pPr>
        <w:pStyle w:val="19"/>
        <w:snapToGrid w:val="0"/>
        <w:spacing w:line="360" w:lineRule="auto"/>
        <w:rPr>
          <w:rFonts w:hint="eastAsia" w:hAnsi="宋体"/>
          <w:b/>
          <w:color w:val="auto"/>
          <w:sz w:val="21"/>
          <w:highlight w:val="none"/>
        </w:rPr>
      </w:pPr>
      <w:r>
        <w:rPr>
          <w:rFonts w:hint="eastAsia" w:hAnsi="宋体"/>
          <w:b/>
          <w:color w:val="auto"/>
          <w:sz w:val="21"/>
          <w:highlight w:val="none"/>
        </w:rPr>
        <w:t>说明：</w:t>
      </w:r>
    </w:p>
    <w:p w14:paraId="0A73F7AD">
      <w:pPr>
        <w:pStyle w:val="19"/>
        <w:spacing w:line="360" w:lineRule="auto"/>
        <w:ind w:left="25" w:leftChars="12" w:firstLine="310" w:firstLineChars="147"/>
        <w:rPr>
          <w:rFonts w:hint="eastAsia" w:hAnsi="宋体"/>
          <w:b/>
          <w:bCs/>
          <w:color w:val="auto"/>
          <w:sz w:val="21"/>
          <w:highlight w:val="none"/>
        </w:rPr>
      </w:pPr>
      <w:r>
        <w:rPr>
          <w:rFonts w:hint="eastAsia" w:hAnsi="宋体"/>
          <w:b/>
          <w:color w:val="auto"/>
          <w:sz w:val="21"/>
          <w:highlight w:val="none"/>
        </w:rPr>
        <w:t>1.投诉人提起投诉时，应当提交投诉书和必要的证明材料，并按照被投诉人和与投诉事项有关的供应商数量提供投诉书副本</w:t>
      </w:r>
      <w:r>
        <w:rPr>
          <w:rFonts w:hint="eastAsia" w:hAnsi="宋体"/>
          <w:b/>
          <w:bCs/>
          <w:color w:val="auto"/>
          <w:sz w:val="21"/>
          <w:highlight w:val="none"/>
        </w:rPr>
        <w:t>。</w:t>
      </w:r>
    </w:p>
    <w:p w14:paraId="253E6469">
      <w:pPr>
        <w:pStyle w:val="19"/>
        <w:spacing w:line="360" w:lineRule="auto"/>
        <w:ind w:left="25" w:leftChars="12" w:firstLine="310" w:firstLineChars="147"/>
        <w:rPr>
          <w:rFonts w:hint="eastAsia" w:hAnsi="宋体"/>
          <w:b/>
          <w:color w:val="auto"/>
          <w:sz w:val="21"/>
          <w:highlight w:val="none"/>
        </w:rPr>
      </w:pPr>
      <w:r>
        <w:rPr>
          <w:rFonts w:hint="eastAsia" w:hAnsi="宋体"/>
          <w:b/>
          <w:color w:val="auto"/>
          <w:sz w:val="21"/>
          <w:highlight w:val="none"/>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487F1D23">
      <w:pPr>
        <w:pStyle w:val="19"/>
        <w:spacing w:line="360" w:lineRule="auto"/>
        <w:ind w:left="25" w:leftChars="12" w:firstLine="310" w:firstLineChars="147"/>
        <w:rPr>
          <w:rFonts w:hint="eastAsia" w:hAnsi="宋体"/>
          <w:b/>
          <w:color w:val="auto"/>
          <w:sz w:val="21"/>
          <w:highlight w:val="none"/>
        </w:rPr>
      </w:pPr>
      <w:r>
        <w:rPr>
          <w:rFonts w:hint="eastAsia" w:hAnsi="宋体"/>
          <w:b/>
          <w:color w:val="auto"/>
          <w:sz w:val="21"/>
          <w:highlight w:val="none"/>
        </w:rPr>
        <w:t>3.投诉书应简要列明质疑事项，质疑函、质疑答复等作为附件材料提供。</w:t>
      </w:r>
    </w:p>
    <w:p w14:paraId="6E1C56BC">
      <w:pPr>
        <w:pStyle w:val="19"/>
        <w:spacing w:line="360" w:lineRule="auto"/>
        <w:ind w:left="25" w:leftChars="12" w:firstLine="310" w:firstLineChars="147"/>
        <w:rPr>
          <w:rFonts w:hint="eastAsia" w:hAnsi="宋体"/>
          <w:b/>
          <w:color w:val="auto"/>
          <w:sz w:val="21"/>
          <w:highlight w:val="none"/>
        </w:rPr>
      </w:pPr>
      <w:r>
        <w:rPr>
          <w:rFonts w:hint="eastAsia" w:hAnsi="宋体"/>
          <w:b/>
          <w:color w:val="auto"/>
          <w:sz w:val="21"/>
          <w:highlight w:val="none"/>
        </w:rPr>
        <w:t>4.投诉书的投诉事项应具体、明确，并有必要的事实依据和法律依据。</w:t>
      </w:r>
    </w:p>
    <w:p w14:paraId="53D58B86">
      <w:pPr>
        <w:pStyle w:val="19"/>
        <w:spacing w:line="360" w:lineRule="auto"/>
        <w:ind w:left="25" w:leftChars="12" w:firstLine="310" w:firstLineChars="147"/>
        <w:rPr>
          <w:rFonts w:hint="eastAsia" w:hAnsi="宋体"/>
          <w:b/>
          <w:color w:val="auto"/>
          <w:sz w:val="21"/>
          <w:highlight w:val="none"/>
        </w:rPr>
      </w:pPr>
      <w:r>
        <w:rPr>
          <w:rFonts w:hint="eastAsia" w:hAnsi="宋体"/>
          <w:b/>
          <w:color w:val="auto"/>
          <w:sz w:val="21"/>
          <w:highlight w:val="none"/>
        </w:rPr>
        <w:t>5.投诉书的投诉请求应与投诉事项相关。</w:t>
      </w:r>
    </w:p>
    <w:p w14:paraId="4D378E00">
      <w:pPr>
        <w:pStyle w:val="19"/>
        <w:spacing w:line="360" w:lineRule="auto"/>
        <w:ind w:left="25" w:leftChars="12" w:firstLine="310" w:firstLineChars="147"/>
        <w:rPr>
          <w:rFonts w:hint="eastAsia" w:hAnsi="宋体"/>
          <w:b/>
          <w:color w:val="auto"/>
          <w:highlight w:val="none"/>
        </w:rPr>
      </w:pPr>
      <w:r>
        <w:rPr>
          <w:rFonts w:hint="eastAsia" w:hAnsi="宋体"/>
          <w:b/>
          <w:color w:val="auto"/>
          <w:sz w:val="21"/>
          <w:highlight w:val="none"/>
        </w:rPr>
        <w:t>6.投诉人为法人或者其他组织的，投诉书应由法定代表人、主要负责人，或者其授权代表签字或者盖章，并加盖公章。</w:t>
      </w:r>
    </w:p>
    <w:p w14:paraId="2DC11C8A">
      <w:pPr>
        <w:spacing w:before="4"/>
        <w:rPr>
          <w:rFonts w:hint="eastAsia" w:ascii="宋体" w:hAnsi="宋体" w:cs="宋体"/>
          <w:color w:val="auto"/>
          <w:sz w:val="6"/>
          <w:szCs w:val="6"/>
          <w:highlight w:val="none"/>
        </w:rPr>
      </w:pPr>
    </w:p>
    <w:p w14:paraId="62970B3C">
      <w:pPr>
        <w:spacing w:before="4"/>
        <w:rPr>
          <w:rFonts w:hint="eastAsia" w:ascii="宋体" w:hAnsi="宋体" w:cs="宋体"/>
          <w:color w:val="auto"/>
          <w:sz w:val="6"/>
          <w:szCs w:val="6"/>
          <w:highlight w:val="none"/>
        </w:rPr>
      </w:pPr>
    </w:p>
    <w:p w14:paraId="17147A09">
      <w:pPr>
        <w:rPr>
          <w:rFonts w:hint="eastAsia" w:ascii="宋体" w:hAnsi="宋体" w:cs="宋体"/>
          <w:color w:val="auto"/>
          <w:sz w:val="6"/>
          <w:szCs w:val="6"/>
          <w:highlight w:val="none"/>
        </w:rPr>
      </w:pPr>
      <w:r>
        <w:rPr>
          <w:rFonts w:hint="eastAsia" w:ascii="宋体" w:hAnsi="宋体" w:cs="宋体"/>
          <w:color w:val="auto"/>
          <w:sz w:val="6"/>
          <w:szCs w:val="6"/>
          <w:highlight w:val="none"/>
        </w:rPr>
        <w:br w:type="page"/>
      </w:r>
    </w:p>
    <w:p w14:paraId="6AAA4A9E">
      <w:pPr>
        <w:snapToGrid w:val="0"/>
        <w:spacing w:line="480" w:lineRule="auto"/>
        <w:jc w:val="center"/>
        <w:rPr>
          <w:rStyle w:val="83"/>
          <w:rFonts w:hint="eastAsia" w:ascii="宋体" w:hAnsi="宋体" w:eastAsia="宋体" w:cs="宋体"/>
          <w:b/>
          <w:spacing w:val="10"/>
          <w:sz w:val="36"/>
          <w:szCs w:val="36"/>
          <w:highlight w:val="none"/>
          <w:lang w:val="zh-CN" w:eastAsia="zh-CN"/>
        </w:rPr>
      </w:pPr>
      <w:r>
        <w:rPr>
          <w:rStyle w:val="83"/>
          <w:rFonts w:hint="eastAsia" w:ascii="宋体" w:hAnsi="宋体" w:eastAsia="宋体" w:cs="宋体"/>
          <w:b/>
          <w:spacing w:val="10"/>
          <w:sz w:val="36"/>
          <w:szCs w:val="36"/>
          <w:highlight w:val="none"/>
          <w:lang w:val="zh-CN"/>
        </w:rPr>
        <w:t>退磋商保证金</w:t>
      </w:r>
      <w:r>
        <w:rPr>
          <w:rStyle w:val="83"/>
          <w:rFonts w:hint="eastAsia" w:ascii="宋体" w:hAnsi="宋体" w:eastAsia="宋体" w:cs="宋体"/>
          <w:b/>
          <w:spacing w:val="10"/>
          <w:sz w:val="36"/>
          <w:szCs w:val="36"/>
          <w:highlight w:val="none"/>
          <w:lang w:val="en-US" w:eastAsia="zh-CN"/>
        </w:rPr>
        <w:t>申请</w:t>
      </w:r>
    </w:p>
    <w:p w14:paraId="26E13AD1">
      <w:pPr>
        <w:pStyle w:val="19"/>
        <w:adjustRightInd w:val="0"/>
        <w:snapToGrid w:val="0"/>
        <w:spacing w:line="360" w:lineRule="auto"/>
        <w:rPr>
          <w:rFonts w:hAnsi="宋体"/>
          <w:bCs/>
          <w:sz w:val="24"/>
          <w:szCs w:val="24"/>
          <w:highlight w:val="none"/>
        </w:rPr>
      </w:pPr>
      <w:r>
        <w:rPr>
          <w:rFonts w:hint="eastAsia" w:hAnsi="宋体"/>
          <w:bCs/>
          <w:sz w:val="24"/>
          <w:szCs w:val="24"/>
          <w:highlight w:val="none"/>
        </w:rPr>
        <w:t>广西德元工程项目管理有限责任公司：</w:t>
      </w:r>
    </w:p>
    <w:p w14:paraId="2A4D31B1">
      <w:pPr>
        <w:pStyle w:val="19"/>
        <w:adjustRightInd w:val="0"/>
        <w:snapToGrid w:val="0"/>
        <w:spacing w:line="360" w:lineRule="auto"/>
        <w:ind w:firstLine="480" w:firstLineChars="200"/>
        <w:rPr>
          <w:rFonts w:hAnsi="宋体"/>
          <w:bCs/>
          <w:sz w:val="24"/>
          <w:szCs w:val="24"/>
          <w:highlight w:val="none"/>
        </w:rPr>
      </w:pPr>
      <w:r>
        <w:rPr>
          <w:rFonts w:hint="eastAsia" w:hAnsi="宋体"/>
          <w:bCs/>
          <w:sz w:val="24"/>
          <w:szCs w:val="24"/>
          <w:highlight w:val="none"/>
        </w:rPr>
        <w:t>我</w:t>
      </w:r>
      <w:r>
        <w:rPr>
          <w:rFonts w:hint="eastAsia" w:hAnsi="宋体"/>
          <w:bCs/>
          <w:sz w:val="24"/>
          <w:szCs w:val="24"/>
          <w:highlight w:val="none"/>
          <w:lang w:val="en-US" w:eastAsia="zh-CN"/>
        </w:rPr>
        <w:t>公司</w:t>
      </w:r>
      <w:r>
        <w:rPr>
          <w:rFonts w:hint="eastAsia" w:hAnsi="宋体"/>
          <w:bCs/>
          <w:sz w:val="24"/>
          <w:szCs w:val="24"/>
          <w:highlight w:val="none"/>
        </w:rPr>
        <w:t>参加项目名称：</w:t>
      </w:r>
      <w:r>
        <w:rPr>
          <w:rFonts w:hint="eastAsia" w:hAnsi="宋体"/>
          <w:bCs/>
          <w:sz w:val="24"/>
          <w:szCs w:val="24"/>
          <w:highlight w:val="none"/>
          <w:lang w:val="en-US" w:eastAsia="zh-CN"/>
        </w:rPr>
        <w:t xml:space="preserve">    </w:t>
      </w:r>
      <w:r>
        <w:rPr>
          <w:rFonts w:hint="eastAsia" w:hAnsi="宋体"/>
          <w:bCs/>
          <w:sz w:val="24"/>
          <w:szCs w:val="24"/>
          <w:highlight w:val="none"/>
        </w:rPr>
        <w:t>(项目编号：</w:t>
      </w:r>
      <w:r>
        <w:rPr>
          <w:rFonts w:hint="eastAsia" w:hAnsi="宋体"/>
          <w:bCs/>
          <w:sz w:val="24"/>
          <w:szCs w:val="24"/>
          <w:highlight w:val="none"/>
          <w:lang w:val="en-US" w:eastAsia="zh-CN"/>
        </w:rPr>
        <w:t xml:space="preserve">   </w:t>
      </w:r>
      <w:r>
        <w:rPr>
          <w:rFonts w:hint="eastAsia" w:hAnsi="宋体"/>
          <w:bCs/>
          <w:sz w:val="24"/>
          <w:szCs w:val="24"/>
          <w:highlight w:val="none"/>
        </w:rPr>
        <w:t>)缴纳的</w:t>
      </w:r>
      <w:r>
        <w:rPr>
          <w:rFonts w:hint="eastAsia" w:hAnsi="宋体"/>
          <w:bCs/>
          <w:sz w:val="24"/>
          <w:szCs w:val="24"/>
          <w:highlight w:val="none"/>
          <w:lang w:val="en-US" w:eastAsia="zh-CN"/>
        </w:rPr>
        <w:t>磋商</w:t>
      </w:r>
      <w:r>
        <w:rPr>
          <w:rFonts w:hint="eastAsia" w:hAnsi="宋体"/>
          <w:bCs/>
          <w:sz w:val="24"/>
          <w:szCs w:val="24"/>
          <w:highlight w:val="none"/>
        </w:rPr>
        <w:t>保证金情况如下：</w:t>
      </w:r>
    </w:p>
    <w:tbl>
      <w:tblPr>
        <w:tblStyle w:val="33"/>
        <w:tblW w:w="86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5"/>
        <w:gridCol w:w="2656"/>
        <w:gridCol w:w="2464"/>
        <w:gridCol w:w="1897"/>
      </w:tblGrid>
      <w:tr w14:paraId="4B3F8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1625" w:type="dxa"/>
            <w:noWrap w:val="0"/>
            <w:vAlign w:val="center"/>
          </w:tcPr>
          <w:p w14:paraId="5FAFC54C">
            <w:pPr>
              <w:jc w:val="center"/>
              <w:rPr>
                <w:sz w:val="24"/>
                <w:highlight w:val="none"/>
              </w:rPr>
            </w:pPr>
            <w:r>
              <w:rPr>
                <w:rFonts w:hint="eastAsia"/>
                <w:sz w:val="24"/>
                <w:highlight w:val="none"/>
              </w:rPr>
              <w:t>序号</w:t>
            </w:r>
          </w:p>
        </w:tc>
        <w:tc>
          <w:tcPr>
            <w:tcW w:w="2656" w:type="dxa"/>
            <w:noWrap w:val="0"/>
            <w:vAlign w:val="center"/>
          </w:tcPr>
          <w:p w14:paraId="6DD5485F">
            <w:pPr>
              <w:jc w:val="center"/>
              <w:rPr>
                <w:sz w:val="24"/>
                <w:highlight w:val="none"/>
              </w:rPr>
            </w:pPr>
            <w:r>
              <w:rPr>
                <w:rFonts w:hint="eastAsia"/>
                <w:sz w:val="24"/>
                <w:highlight w:val="none"/>
              </w:rPr>
              <w:t>缴纳金额（元）</w:t>
            </w:r>
          </w:p>
        </w:tc>
        <w:tc>
          <w:tcPr>
            <w:tcW w:w="2464" w:type="dxa"/>
            <w:noWrap w:val="0"/>
            <w:vAlign w:val="center"/>
          </w:tcPr>
          <w:p w14:paraId="52C33306">
            <w:pPr>
              <w:jc w:val="center"/>
              <w:rPr>
                <w:sz w:val="24"/>
                <w:highlight w:val="none"/>
              </w:rPr>
            </w:pPr>
            <w:r>
              <w:rPr>
                <w:rFonts w:hint="eastAsia"/>
                <w:sz w:val="24"/>
                <w:highlight w:val="none"/>
              </w:rPr>
              <w:t>缴纳时间</w:t>
            </w:r>
          </w:p>
        </w:tc>
        <w:tc>
          <w:tcPr>
            <w:tcW w:w="1897" w:type="dxa"/>
            <w:noWrap w:val="0"/>
            <w:vAlign w:val="center"/>
          </w:tcPr>
          <w:p w14:paraId="4EDE236C">
            <w:pPr>
              <w:jc w:val="center"/>
              <w:rPr>
                <w:rFonts w:hint="eastAsia" w:eastAsia="宋体"/>
                <w:sz w:val="24"/>
                <w:highlight w:val="none"/>
                <w:lang w:eastAsia="zh-CN"/>
              </w:rPr>
            </w:pPr>
            <w:r>
              <w:rPr>
                <w:rFonts w:hint="eastAsia"/>
                <w:sz w:val="24"/>
                <w:highlight w:val="none"/>
                <w:lang w:val="en-US" w:eastAsia="zh-CN"/>
              </w:rPr>
              <w:t>备注</w:t>
            </w:r>
          </w:p>
        </w:tc>
      </w:tr>
      <w:tr w14:paraId="54AD8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5" w:hRule="atLeast"/>
          <w:jc w:val="center"/>
        </w:trPr>
        <w:tc>
          <w:tcPr>
            <w:tcW w:w="1625" w:type="dxa"/>
            <w:noWrap w:val="0"/>
            <w:vAlign w:val="center"/>
          </w:tcPr>
          <w:p w14:paraId="50C4C10A">
            <w:pPr>
              <w:pStyle w:val="19"/>
              <w:adjustRightInd w:val="0"/>
              <w:snapToGrid w:val="0"/>
              <w:ind w:firstLine="420"/>
              <w:jc w:val="center"/>
              <w:rPr>
                <w:rFonts w:hAnsi="宋体"/>
                <w:bCs/>
                <w:sz w:val="24"/>
                <w:szCs w:val="24"/>
                <w:highlight w:val="none"/>
              </w:rPr>
            </w:pPr>
          </w:p>
        </w:tc>
        <w:tc>
          <w:tcPr>
            <w:tcW w:w="2656" w:type="dxa"/>
            <w:noWrap w:val="0"/>
            <w:vAlign w:val="center"/>
          </w:tcPr>
          <w:p w14:paraId="4FB4B20C">
            <w:pPr>
              <w:pStyle w:val="19"/>
              <w:adjustRightInd w:val="0"/>
              <w:snapToGrid w:val="0"/>
              <w:ind w:firstLine="420"/>
              <w:jc w:val="center"/>
              <w:rPr>
                <w:rFonts w:hAnsi="宋体"/>
                <w:bCs/>
                <w:sz w:val="24"/>
                <w:szCs w:val="24"/>
                <w:highlight w:val="none"/>
              </w:rPr>
            </w:pPr>
          </w:p>
        </w:tc>
        <w:tc>
          <w:tcPr>
            <w:tcW w:w="2464" w:type="dxa"/>
            <w:noWrap w:val="0"/>
            <w:vAlign w:val="center"/>
          </w:tcPr>
          <w:p w14:paraId="5A40A72F">
            <w:pPr>
              <w:pStyle w:val="19"/>
              <w:adjustRightInd w:val="0"/>
              <w:snapToGrid w:val="0"/>
              <w:ind w:firstLine="420"/>
              <w:jc w:val="center"/>
              <w:rPr>
                <w:rFonts w:hAnsi="宋体"/>
                <w:bCs/>
                <w:sz w:val="24"/>
                <w:szCs w:val="24"/>
                <w:highlight w:val="none"/>
              </w:rPr>
            </w:pPr>
          </w:p>
        </w:tc>
        <w:tc>
          <w:tcPr>
            <w:tcW w:w="1897" w:type="dxa"/>
            <w:noWrap w:val="0"/>
            <w:vAlign w:val="center"/>
          </w:tcPr>
          <w:p w14:paraId="18613DAF">
            <w:pPr>
              <w:pStyle w:val="19"/>
              <w:adjustRightInd w:val="0"/>
              <w:snapToGrid w:val="0"/>
              <w:ind w:firstLine="420"/>
              <w:rPr>
                <w:rFonts w:hAnsi="宋体"/>
                <w:bCs/>
                <w:sz w:val="24"/>
                <w:szCs w:val="24"/>
                <w:highlight w:val="none"/>
              </w:rPr>
            </w:pPr>
          </w:p>
        </w:tc>
      </w:tr>
      <w:tr w14:paraId="2A0D8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1625" w:type="dxa"/>
            <w:noWrap w:val="0"/>
            <w:vAlign w:val="center"/>
          </w:tcPr>
          <w:p w14:paraId="31442EAC">
            <w:pPr>
              <w:pStyle w:val="19"/>
              <w:adjustRightInd w:val="0"/>
              <w:snapToGrid w:val="0"/>
              <w:jc w:val="center"/>
              <w:rPr>
                <w:rFonts w:hAnsi="宋体"/>
                <w:bCs/>
                <w:sz w:val="24"/>
                <w:szCs w:val="24"/>
                <w:highlight w:val="none"/>
              </w:rPr>
            </w:pPr>
            <w:r>
              <w:rPr>
                <w:rFonts w:hint="eastAsia" w:hAnsi="宋体"/>
                <w:bCs/>
                <w:sz w:val="24"/>
                <w:szCs w:val="24"/>
                <w:highlight w:val="none"/>
              </w:rPr>
              <w:t>合计</w:t>
            </w:r>
          </w:p>
        </w:tc>
        <w:tc>
          <w:tcPr>
            <w:tcW w:w="7017" w:type="dxa"/>
            <w:gridSpan w:val="3"/>
            <w:noWrap w:val="0"/>
            <w:vAlign w:val="top"/>
          </w:tcPr>
          <w:p w14:paraId="41F29892">
            <w:pPr>
              <w:pStyle w:val="19"/>
              <w:adjustRightInd w:val="0"/>
              <w:snapToGrid w:val="0"/>
              <w:ind w:firstLine="420"/>
              <w:rPr>
                <w:rFonts w:hAnsi="宋体"/>
                <w:bCs/>
                <w:sz w:val="24"/>
                <w:szCs w:val="24"/>
                <w:highlight w:val="none"/>
              </w:rPr>
            </w:pPr>
          </w:p>
        </w:tc>
      </w:tr>
    </w:tbl>
    <w:p w14:paraId="2AE335A8">
      <w:pPr>
        <w:pStyle w:val="19"/>
        <w:adjustRightInd w:val="0"/>
        <w:snapToGrid w:val="0"/>
        <w:ind w:firstLine="420"/>
        <w:rPr>
          <w:rFonts w:hAnsi="宋体"/>
          <w:bCs/>
          <w:sz w:val="24"/>
          <w:szCs w:val="24"/>
          <w:highlight w:val="none"/>
        </w:rPr>
      </w:pPr>
    </w:p>
    <w:p w14:paraId="6E9B56E1">
      <w:pPr>
        <w:pStyle w:val="19"/>
        <w:adjustRightInd w:val="0"/>
        <w:snapToGrid w:val="0"/>
        <w:ind w:firstLine="420"/>
        <w:rPr>
          <w:rFonts w:hAnsi="宋体"/>
          <w:bCs/>
          <w:sz w:val="24"/>
          <w:szCs w:val="24"/>
          <w:highlight w:val="none"/>
        </w:rPr>
      </w:pPr>
      <w:r>
        <w:rPr>
          <w:rFonts w:hint="eastAsia" w:hAnsi="宋体"/>
          <w:bCs/>
          <w:sz w:val="24"/>
          <w:szCs w:val="24"/>
          <w:highlight w:val="none"/>
        </w:rPr>
        <w:t>请将</w:t>
      </w:r>
      <w:r>
        <w:rPr>
          <w:rFonts w:hint="eastAsia" w:hAnsi="宋体"/>
          <w:bCs/>
          <w:sz w:val="24"/>
          <w:szCs w:val="24"/>
          <w:highlight w:val="none"/>
          <w:lang w:val="en-US" w:eastAsia="zh-CN"/>
        </w:rPr>
        <w:t>磋商</w:t>
      </w:r>
      <w:r>
        <w:rPr>
          <w:rFonts w:hint="eastAsia" w:hAnsi="宋体"/>
          <w:bCs/>
          <w:sz w:val="24"/>
          <w:szCs w:val="24"/>
          <w:highlight w:val="none"/>
        </w:rPr>
        <w:t>保证金退至以下账户：</w:t>
      </w:r>
    </w:p>
    <w:p w14:paraId="7EF05121">
      <w:pPr>
        <w:pStyle w:val="19"/>
        <w:adjustRightInd w:val="0"/>
        <w:snapToGrid w:val="0"/>
        <w:ind w:firstLine="420"/>
        <w:rPr>
          <w:rFonts w:hAnsi="宋体"/>
          <w:bCs/>
          <w:sz w:val="24"/>
          <w:szCs w:val="24"/>
          <w:highlight w:val="none"/>
        </w:rPr>
      </w:pPr>
    </w:p>
    <w:p w14:paraId="79455A61">
      <w:pPr>
        <w:pStyle w:val="19"/>
        <w:adjustRightInd w:val="0"/>
        <w:snapToGrid w:val="0"/>
        <w:ind w:firstLine="420"/>
        <w:rPr>
          <w:rFonts w:hAnsi="宋体"/>
          <w:bCs/>
          <w:sz w:val="24"/>
          <w:szCs w:val="24"/>
          <w:highlight w:val="none"/>
          <w:u w:val="single"/>
        </w:rPr>
      </w:pPr>
      <w:r>
        <w:rPr>
          <w:rFonts w:hint="eastAsia" w:hAnsi="宋体"/>
          <w:bCs/>
          <w:sz w:val="24"/>
          <w:szCs w:val="24"/>
          <w:highlight w:val="none"/>
        </w:rPr>
        <w:t>账户名：</w:t>
      </w:r>
      <w:r>
        <w:rPr>
          <w:rFonts w:hint="eastAsia" w:hAnsi="宋体"/>
          <w:bCs/>
          <w:sz w:val="24"/>
          <w:szCs w:val="24"/>
          <w:highlight w:val="none"/>
          <w:u w:val="single"/>
        </w:rPr>
        <w:t xml:space="preserve">                                            </w:t>
      </w:r>
    </w:p>
    <w:p w14:paraId="791AD6F4">
      <w:pPr>
        <w:pStyle w:val="19"/>
        <w:adjustRightInd w:val="0"/>
        <w:snapToGrid w:val="0"/>
        <w:ind w:firstLine="420"/>
        <w:rPr>
          <w:rFonts w:hAnsi="宋体"/>
          <w:bCs/>
          <w:sz w:val="24"/>
          <w:szCs w:val="24"/>
          <w:highlight w:val="none"/>
        </w:rPr>
      </w:pPr>
    </w:p>
    <w:p w14:paraId="533A62B7">
      <w:pPr>
        <w:pStyle w:val="19"/>
        <w:adjustRightInd w:val="0"/>
        <w:snapToGrid w:val="0"/>
        <w:ind w:firstLine="420"/>
        <w:rPr>
          <w:rFonts w:hAnsi="宋体"/>
          <w:bCs/>
          <w:sz w:val="24"/>
          <w:szCs w:val="24"/>
          <w:highlight w:val="none"/>
          <w:u w:val="single"/>
        </w:rPr>
      </w:pPr>
      <w:r>
        <w:rPr>
          <w:rFonts w:hint="eastAsia" w:hAnsi="宋体"/>
          <w:bCs/>
          <w:sz w:val="24"/>
          <w:szCs w:val="24"/>
          <w:highlight w:val="none"/>
        </w:rPr>
        <w:t>开户行：</w:t>
      </w:r>
      <w:r>
        <w:rPr>
          <w:rFonts w:hint="eastAsia" w:hAnsi="宋体"/>
          <w:bCs/>
          <w:sz w:val="24"/>
          <w:szCs w:val="24"/>
          <w:highlight w:val="none"/>
          <w:u w:val="single"/>
        </w:rPr>
        <w:t xml:space="preserve">                                            </w:t>
      </w:r>
    </w:p>
    <w:p w14:paraId="31CE2FED">
      <w:pPr>
        <w:pStyle w:val="19"/>
        <w:adjustRightInd w:val="0"/>
        <w:snapToGrid w:val="0"/>
        <w:ind w:firstLine="420"/>
        <w:rPr>
          <w:rFonts w:hAnsi="宋体"/>
          <w:bCs/>
          <w:sz w:val="24"/>
          <w:szCs w:val="24"/>
          <w:highlight w:val="none"/>
        </w:rPr>
      </w:pPr>
    </w:p>
    <w:p w14:paraId="0FBF53EB">
      <w:pPr>
        <w:pStyle w:val="19"/>
        <w:adjustRightInd w:val="0"/>
        <w:snapToGrid w:val="0"/>
        <w:ind w:firstLine="420"/>
        <w:rPr>
          <w:rFonts w:hAnsi="宋体"/>
          <w:bCs/>
          <w:sz w:val="24"/>
          <w:szCs w:val="24"/>
          <w:highlight w:val="none"/>
          <w:u w:val="single"/>
        </w:rPr>
      </w:pPr>
      <w:r>
        <w:rPr>
          <w:rFonts w:hint="eastAsia" w:hAnsi="宋体"/>
          <w:bCs/>
          <w:sz w:val="24"/>
          <w:szCs w:val="24"/>
          <w:highlight w:val="none"/>
        </w:rPr>
        <w:t>账  号：</w:t>
      </w:r>
      <w:r>
        <w:rPr>
          <w:rFonts w:hint="eastAsia" w:hAnsi="宋体"/>
          <w:bCs/>
          <w:sz w:val="24"/>
          <w:szCs w:val="24"/>
          <w:highlight w:val="none"/>
          <w:u w:val="single"/>
        </w:rPr>
        <w:t xml:space="preserve">                                            </w:t>
      </w:r>
    </w:p>
    <w:p w14:paraId="1E4E969D">
      <w:pPr>
        <w:pStyle w:val="19"/>
        <w:adjustRightInd w:val="0"/>
        <w:snapToGrid w:val="0"/>
        <w:ind w:firstLine="420"/>
        <w:rPr>
          <w:rFonts w:hAnsi="宋体"/>
          <w:bCs/>
          <w:sz w:val="24"/>
          <w:szCs w:val="24"/>
          <w:highlight w:val="none"/>
        </w:rPr>
      </w:pPr>
    </w:p>
    <w:p w14:paraId="7662884A">
      <w:pPr>
        <w:pStyle w:val="19"/>
        <w:adjustRightInd w:val="0"/>
        <w:snapToGrid w:val="0"/>
        <w:ind w:firstLine="420"/>
        <w:rPr>
          <w:rFonts w:hAnsi="宋体"/>
          <w:bCs/>
          <w:sz w:val="24"/>
          <w:szCs w:val="24"/>
          <w:highlight w:val="none"/>
        </w:rPr>
      </w:pPr>
      <w:r>
        <w:rPr>
          <w:rFonts w:hint="eastAsia" w:hAnsi="宋体"/>
          <w:bCs/>
          <w:sz w:val="24"/>
          <w:szCs w:val="24"/>
          <w:highlight w:val="none"/>
        </w:rPr>
        <w:t>办退期限内，账户如有变动，我</w:t>
      </w:r>
      <w:r>
        <w:rPr>
          <w:rFonts w:hint="eastAsia" w:hAnsi="宋体"/>
          <w:bCs/>
          <w:sz w:val="24"/>
          <w:szCs w:val="24"/>
          <w:highlight w:val="none"/>
          <w:lang w:val="en-US" w:eastAsia="zh-CN"/>
        </w:rPr>
        <w:t>公司</w:t>
      </w:r>
      <w:r>
        <w:rPr>
          <w:rFonts w:hint="eastAsia" w:hAnsi="宋体"/>
          <w:bCs/>
          <w:sz w:val="24"/>
          <w:szCs w:val="24"/>
          <w:highlight w:val="none"/>
        </w:rPr>
        <w:t>将及时函告你们。</w:t>
      </w:r>
    </w:p>
    <w:p w14:paraId="70D9322F">
      <w:pPr>
        <w:pStyle w:val="19"/>
        <w:adjustRightInd w:val="0"/>
        <w:snapToGrid w:val="0"/>
        <w:ind w:firstLine="420"/>
        <w:rPr>
          <w:rFonts w:hAnsi="宋体"/>
          <w:bCs/>
          <w:sz w:val="24"/>
          <w:szCs w:val="24"/>
          <w:highlight w:val="none"/>
        </w:rPr>
      </w:pPr>
    </w:p>
    <w:p w14:paraId="2A4CE685">
      <w:pPr>
        <w:pStyle w:val="19"/>
        <w:adjustRightInd w:val="0"/>
        <w:snapToGrid w:val="0"/>
        <w:ind w:firstLine="420"/>
        <w:rPr>
          <w:rFonts w:hAnsi="宋体"/>
          <w:b/>
          <w:bCs/>
          <w:sz w:val="24"/>
          <w:szCs w:val="24"/>
          <w:highlight w:val="none"/>
          <w:u w:val="single"/>
        </w:rPr>
      </w:pPr>
      <w:r>
        <w:rPr>
          <w:rFonts w:hint="eastAsia" w:hAnsi="宋体"/>
          <w:bCs/>
          <w:sz w:val="24"/>
          <w:szCs w:val="24"/>
          <w:highlight w:val="none"/>
        </w:rPr>
        <w:t>联系人：</w:t>
      </w:r>
      <w:r>
        <w:rPr>
          <w:rFonts w:hint="eastAsia" w:hAnsi="宋体"/>
          <w:bCs/>
          <w:sz w:val="24"/>
          <w:szCs w:val="24"/>
          <w:highlight w:val="none"/>
          <w:u w:val="single"/>
        </w:rPr>
        <w:t xml:space="preserve">                   </w:t>
      </w:r>
      <w:r>
        <w:rPr>
          <w:rFonts w:hint="eastAsia" w:hAnsi="宋体"/>
          <w:bCs/>
          <w:sz w:val="24"/>
          <w:szCs w:val="24"/>
          <w:highlight w:val="none"/>
        </w:rPr>
        <w:t xml:space="preserve">             联系电话：</w:t>
      </w:r>
      <w:r>
        <w:rPr>
          <w:rFonts w:hint="eastAsia" w:hAnsi="宋体"/>
          <w:bCs/>
          <w:sz w:val="24"/>
          <w:szCs w:val="24"/>
          <w:highlight w:val="none"/>
          <w:u w:val="single"/>
        </w:rPr>
        <w:t xml:space="preserve">                     </w:t>
      </w:r>
    </w:p>
    <w:p w14:paraId="2CD3CF68">
      <w:pPr>
        <w:pStyle w:val="19"/>
        <w:adjustRightInd w:val="0"/>
        <w:snapToGrid w:val="0"/>
        <w:ind w:firstLine="422"/>
        <w:rPr>
          <w:rFonts w:hAnsi="宋体"/>
          <w:b/>
          <w:bCs/>
          <w:sz w:val="24"/>
          <w:szCs w:val="24"/>
          <w:highlight w:val="none"/>
          <w:u w:val="single"/>
        </w:rPr>
      </w:pPr>
    </w:p>
    <w:p w14:paraId="4663DA1A">
      <w:pPr>
        <w:pStyle w:val="19"/>
        <w:adjustRightInd w:val="0"/>
        <w:snapToGrid w:val="0"/>
        <w:ind w:firstLine="484" w:firstLineChars="202"/>
        <w:rPr>
          <w:sz w:val="24"/>
          <w:szCs w:val="24"/>
          <w:highlight w:val="none"/>
        </w:rPr>
      </w:pPr>
      <w:r>
        <w:rPr>
          <w:rFonts w:hint="eastAsia"/>
          <w:sz w:val="24"/>
          <w:szCs w:val="24"/>
          <w:highlight w:val="none"/>
        </w:rPr>
        <w:t>供应商名称（公章）：</w:t>
      </w:r>
      <w:r>
        <w:rPr>
          <w:rFonts w:hint="eastAsia"/>
          <w:sz w:val="24"/>
          <w:szCs w:val="24"/>
          <w:highlight w:val="none"/>
          <w:u w:val="single"/>
        </w:rPr>
        <w:t xml:space="preserve">                      </w:t>
      </w:r>
    </w:p>
    <w:p w14:paraId="0299DC64">
      <w:pPr>
        <w:pStyle w:val="19"/>
        <w:adjustRightInd w:val="0"/>
        <w:snapToGrid w:val="0"/>
        <w:ind w:firstLine="420"/>
        <w:rPr>
          <w:sz w:val="24"/>
          <w:szCs w:val="24"/>
          <w:highlight w:val="none"/>
        </w:rPr>
      </w:pPr>
    </w:p>
    <w:p w14:paraId="786BE74D">
      <w:pPr>
        <w:pStyle w:val="19"/>
        <w:adjustRightInd w:val="0"/>
        <w:snapToGrid w:val="0"/>
        <w:ind w:firstLine="484" w:firstLineChars="202"/>
        <w:rPr>
          <w:sz w:val="24"/>
          <w:szCs w:val="24"/>
          <w:highlight w:val="none"/>
          <w:u w:val="single"/>
        </w:rPr>
      </w:pPr>
      <w:r>
        <w:rPr>
          <w:rFonts w:hint="eastAsia"/>
          <w:sz w:val="24"/>
          <w:szCs w:val="24"/>
          <w:highlight w:val="none"/>
        </w:rPr>
        <w:t>法定代表人或委托代理人签字：</w:t>
      </w:r>
      <w:r>
        <w:rPr>
          <w:rFonts w:hint="eastAsia"/>
          <w:sz w:val="24"/>
          <w:szCs w:val="24"/>
          <w:highlight w:val="none"/>
          <w:u w:val="single"/>
        </w:rPr>
        <w:t xml:space="preserve">                           </w:t>
      </w:r>
    </w:p>
    <w:p w14:paraId="7B925BD2">
      <w:pPr>
        <w:pStyle w:val="19"/>
        <w:adjustRightInd w:val="0"/>
        <w:snapToGrid w:val="0"/>
        <w:ind w:firstLine="422"/>
        <w:rPr>
          <w:b/>
          <w:sz w:val="24"/>
          <w:szCs w:val="24"/>
          <w:highlight w:val="none"/>
        </w:rPr>
      </w:pPr>
    </w:p>
    <w:p w14:paraId="6EC6B5FF">
      <w:pPr>
        <w:pStyle w:val="19"/>
        <w:adjustRightInd w:val="0"/>
        <w:snapToGrid w:val="0"/>
        <w:ind w:firstLine="484" w:firstLineChars="202"/>
        <w:rPr>
          <w:sz w:val="24"/>
          <w:szCs w:val="24"/>
          <w:highlight w:val="none"/>
          <w:u w:val="single"/>
        </w:rPr>
      </w:pPr>
      <w:r>
        <w:rPr>
          <w:rFonts w:hint="eastAsia"/>
          <w:sz w:val="24"/>
          <w:szCs w:val="24"/>
          <w:highlight w:val="none"/>
        </w:rPr>
        <w:t>日期：</w:t>
      </w:r>
      <w:r>
        <w:rPr>
          <w:rFonts w:hint="eastAsia"/>
          <w:sz w:val="24"/>
          <w:szCs w:val="24"/>
          <w:highlight w:val="none"/>
          <w:u w:val="single"/>
        </w:rPr>
        <w:t xml:space="preserve">                 </w:t>
      </w:r>
    </w:p>
    <w:p w14:paraId="08C25A6E">
      <w:pPr>
        <w:pStyle w:val="19"/>
        <w:adjustRightInd w:val="0"/>
        <w:snapToGrid w:val="0"/>
        <w:ind w:firstLine="560"/>
        <w:rPr>
          <w:rFonts w:ascii="楷体_GB2312" w:hAnsi="华文楷体" w:eastAsia="楷体_GB2312"/>
          <w:b/>
          <w:sz w:val="28"/>
          <w:szCs w:val="28"/>
          <w:highlight w:val="none"/>
        </w:rPr>
      </w:pPr>
    </w:p>
    <w:p w14:paraId="2E711998">
      <w:pPr>
        <w:pStyle w:val="19"/>
        <w:adjustRightInd w:val="0"/>
        <w:snapToGrid w:val="0"/>
        <w:spacing w:line="360" w:lineRule="auto"/>
        <w:ind w:firstLine="562"/>
        <w:rPr>
          <w:rFonts w:hAnsi="宋体" w:cs="宋体"/>
          <w:b/>
          <w:bCs/>
          <w:sz w:val="32"/>
          <w:szCs w:val="32"/>
          <w:highlight w:val="none"/>
        </w:rPr>
      </w:pPr>
      <w:r>
        <w:rPr>
          <w:rFonts w:hint="eastAsia" w:hAnsi="宋体" w:cs="宋体"/>
          <w:b/>
          <w:sz w:val="28"/>
          <w:szCs w:val="28"/>
          <w:highlight w:val="none"/>
        </w:rPr>
        <w:t>注：</w:t>
      </w:r>
      <w:r>
        <w:rPr>
          <w:rFonts w:hint="eastAsia" w:hAnsi="宋体" w:cs="宋体"/>
          <w:b/>
          <w:sz w:val="28"/>
          <w:szCs w:val="28"/>
          <w:highlight w:val="none"/>
          <w:lang w:eastAsia="zh-CN"/>
        </w:rPr>
        <w:t>在</w:t>
      </w:r>
      <w:r>
        <w:rPr>
          <w:rFonts w:hint="eastAsia" w:hAnsi="宋体" w:cs="宋体"/>
          <w:b/>
          <w:sz w:val="28"/>
          <w:szCs w:val="28"/>
          <w:highlight w:val="none"/>
          <w:lang w:val="en-US" w:eastAsia="zh-CN"/>
        </w:rPr>
        <w:t>开标日当天</w:t>
      </w:r>
      <w:r>
        <w:rPr>
          <w:rFonts w:hint="eastAsia" w:hAnsi="宋体" w:cs="宋体"/>
          <w:b/>
          <w:sz w:val="28"/>
          <w:szCs w:val="28"/>
          <w:highlight w:val="none"/>
        </w:rPr>
        <w:t>请</w:t>
      </w:r>
      <w:r>
        <w:rPr>
          <w:rFonts w:hint="eastAsia" w:hAnsi="宋体" w:cs="宋体"/>
          <w:b/>
          <w:sz w:val="28"/>
          <w:szCs w:val="28"/>
          <w:highlight w:val="none"/>
          <w:lang w:val="en-US" w:eastAsia="zh-CN"/>
        </w:rPr>
        <w:t>将</w:t>
      </w:r>
      <w:r>
        <w:rPr>
          <w:rFonts w:hint="eastAsia" w:hAnsi="宋体" w:cs="宋体"/>
          <w:b/>
          <w:sz w:val="28"/>
          <w:szCs w:val="28"/>
          <w:highlight w:val="none"/>
        </w:rPr>
        <w:t>银行转账回执</w:t>
      </w:r>
      <w:r>
        <w:rPr>
          <w:rFonts w:hint="eastAsia" w:hAnsi="宋体" w:cs="宋体"/>
          <w:b/>
          <w:sz w:val="28"/>
          <w:szCs w:val="28"/>
          <w:highlight w:val="none"/>
          <w:lang w:val="en-US" w:eastAsia="zh-CN"/>
        </w:rPr>
        <w:t>+退磋商保证金申请的盖章扫描件发送至邮箱291323763@qq.com（备注：公司名称+退磋商保证金申请）</w:t>
      </w:r>
      <w:r>
        <w:rPr>
          <w:rFonts w:hint="eastAsia" w:hAnsi="宋体" w:cs="宋体"/>
          <w:b/>
          <w:sz w:val="28"/>
          <w:szCs w:val="28"/>
          <w:highlight w:val="none"/>
        </w:rPr>
        <w:t>。（保证金退还联系电话：0771-8028710）</w:t>
      </w:r>
    </w:p>
    <w:p w14:paraId="71F34482">
      <w:pPr>
        <w:pStyle w:val="16"/>
        <w:rPr>
          <w:rFonts w:hint="eastAsia"/>
        </w:rPr>
      </w:pPr>
    </w:p>
    <w:p w14:paraId="733D8C58">
      <w:pPr>
        <w:spacing w:before="4"/>
        <w:rPr>
          <w:rFonts w:hint="eastAsia" w:ascii="宋体" w:hAnsi="宋体" w:cs="宋体"/>
          <w:color w:val="auto"/>
          <w:sz w:val="6"/>
          <w:szCs w:val="6"/>
          <w:highlight w:val="none"/>
        </w:rPr>
      </w:pPr>
    </w:p>
    <w:p w14:paraId="13AB37DA">
      <w:pPr>
        <w:spacing w:before="4"/>
        <w:rPr>
          <w:rFonts w:hint="eastAsia" w:ascii="宋体" w:hAnsi="宋体" w:cs="宋体"/>
          <w:color w:val="auto"/>
          <w:sz w:val="6"/>
          <w:szCs w:val="6"/>
          <w:highlight w:val="none"/>
        </w:rPr>
      </w:pPr>
    </w:p>
    <w:p w14:paraId="5E234DFC">
      <w:pPr>
        <w:tabs>
          <w:tab w:val="left" w:pos="5598"/>
        </w:tabs>
        <w:spacing w:before="4"/>
        <w:rPr>
          <w:rFonts w:hint="eastAsia" w:ascii="宋体" w:hAnsi="宋体" w:eastAsia="宋体" w:cs="宋体"/>
          <w:color w:val="auto"/>
          <w:sz w:val="6"/>
          <w:szCs w:val="6"/>
          <w:highlight w:val="none"/>
          <w:lang w:eastAsia="zh-CN"/>
        </w:rPr>
      </w:pPr>
      <w:r>
        <w:rPr>
          <w:rFonts w:hint="eastAsia" w:ascii="宋体" w:hAnsi="宋体" w:cs="宋体"/>
          <w:color w:val="auto"/>
          <w:sz w:val="6"/>
          <w:szCs w:val="6"/>
          <w:highlight w:val="none"/>
          <w:lang w:eastAsia="zh-CN"/>
        </w:rPr>
        <w:tab/>
      </w:r>
    </w:p>
    <w:sectPr>
      <w:footerReference r:id="rId12" w:type="first"/>
      <w:footerReference r:id="rId11" w:type="default"/>
      <w:pgSz w:w="11906" w:h="16838"/>
      <w:pgMar w:top="1418" w:right="1418" w:bottom="1140" w:left="1418" w:header="851" w:footer="567" w:gutter="0"/>
      <w:pgBorders>
        <w:top w:val="none" w:sz="0" w:space="0"/>
        <w:left w:val="none" w:sz="0" w:space="0"/>
        <w:bottom w:val="none" w:sz="0" w:space="0"/>
        <w:right w:val="none" w:sz="0" w:space="0"/>
      </w:pgBorders>
      <w:pgNumType w:fmt="decimal"/>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1DF8BD0A-C745-4A11-A096-DEA377D38F94}"/>
  </w:font>
  <w:font w:name="Arial">
    <w:panose1 w:val="020B0604020202020204"/>
    <w:charset w:val="01"/>
    <w:family w:val="swiss"/>
    <w:pitch w:val="default"/>
    <w:sig w:usb0="E0002EFF" w:usb1="C000785B" w:usb2="00000009" w:usb3="00000000" w:csb0="400001FF" w:csb1="FFFF0000"/>
    <w:embedRegular r:id="rId2" w:fontKey="{80CF12AD-1D1E-47BF-B109-659646565F90}"/>
  </w:font>
  <w:font w:name="黑体">
    <w:panose1 w:val="02010609060101010101"/>
    <w:charset w:val="86"/>
    <w:family w:val="auto"/>
    <w:pitch w:val="default"/>
    <w:sig w:usb0="800002BF" w:usb1="38CF7CFA" w:usb2="00000016" w:usb3="00000000" w:csb0="00040001" w:csb1="00000000"/>
    <w:embedRegular r:id="rId3" w:fontKey="{4C763000-B748-4392-98A8-1B9DC23D294D}"/>
  </w:font>
  <w:font w:name="Courier New">
    <w:panose1 w:val="02070309020205020404"/>
    <w:charset w:val="01"/>
    <w:family w:val="modern"/>
    <w:pitch w:val="default"/>
    <w:sig w:usb0="E0002EFF" w:usb1="C0007843" w:usb2="00000009" w:usb3="00000000" w:csb0="400001FF" w:csb1="FFFF0000"/>
    <w:embedRegular r:id="rId4" w:fontKey="{E5747051-6C5A-46EB-B4D2-2384EF7C2AB1}"/>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等线 Light">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auto"/>
    <w:pitch w:val="default"/>
    <w:sig w:usb0="00000001" w:usb1="080E0000" w:usb2="00000000" w:usb3="00000000" w:csb0="00040000" w:csb1="00000000"/>
    <w:embedRegular r:id="rId5" w:fontKey="{EC63661A-AB8A-4EE1-A75D-D053126DE34A}"/>
  </w:font>
  <w:font w:name="Tahoma">
    <w:panose1 w:val="020B0604030504040204"/>
    <w:charset w:val="00"/>
    <w:family w:val="swiss"/>
    <w:pitch w:val="default"/>
    <w:sig w:usb0="E1002EFF" w:usb1="C000605B" w:usb2="00000029" w:usb3="00000000" w:csb0="200101FF" w:csb1="20280000"/>
  </w:font>
  <w:font w:name="Calibri Light">
    <w:panose1 w:val="020F0302020204030204"/>
    <w:charset w:val="00"/>
    <w:family w:val="swiss"/>
    <w:pitch w:val="default"/>
    <w:sig w:usb0="E4002EFF" w:usb1="C000247B" w:usb2="00000009" w:usb3="00000000" w:csb0="200001FF" w:csb1="00000000"/>
  </w:font>
  <w:font w:name="Arial Unicode MS">
    <w:altName w:val="宋体"/>
    <w:panose1 w:val="020B0604020202020204"/>
    <w:charset w:val="86"/>
    <w:family w:val="swiss"/>
    <w:pitch w:val="default"/>
    <w:sig w:usb0="00000000" w:usb1="00000000" w:usb2="0000003F" w:usb3="00000000" w:csb0="603F01FF" w:csb1="FFFF0000"/>
  </w:font>
  <w:font w:name="楷体_GB2312">
    <w:altName w:val="楷体"/>
    <w:panose1 w:val="02010609030101010101"/>
    <w:charset w:val="86"/>
    <w:family w:val="modern"/>
    <w:pitch w:val="default"/>
    <w:sig w:usb0="00000000" w:usb1="00000000" w:usb2="00000000" w:usb3="00000000" w:csb0="00040000" w:csb1="00000000"/>
    <w:embedRegular r:id="rId6" w:fontKey="{8669780A-B908-4856-B702-B1994CEC4205}"/>
  </w:font>
  <w:font w:name="楷体">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00000001" w:usb1="08000000" w:usb2="00000000" w:usb3="00000000" w:csb0="00040000" w:csb1="00000000"/>
    <w:embedRegular r:id="rId7" w:fontKey="{EC4051A8-D979-49BE-8BB7-A17DDAC7DD7E}"/>
  </w:font>
  <w:font w:name="华文楷体">
    <w:panose1 w:val="02010600040101010101"/>
    <w:charset w:val="86"/>
    <w:family w:val="auto"/>
    <w:pitch w:val="default"/>
    <w:sig w:usb0="00000287" w:usb1="080F0000" w:usb2="00000000" w:usb3="00000000" w:csb0="0004009F" w:csb1="DFD70000"/>
    <w:embedRegular r:id="rId8" w:fontKey="{BB46BA90-45CB-47EF-9386-C4C0ACA59853}"/>
  </w:font>
  <w:font w:name="WPSEMBED1">
    <w:panose1 w:val="02010609030101010101"/>
    <w:charset w:val="86"/>
    <w:family w:val="auto"/>
    <w:pitch w:val="default"/>
    <w:sig w:usb0="00000001" w:usb1="080E0000" w:usb2="00000000" w:usb3="00000000" w:csb0="00040000" w:csb1="00000000"/>
  </w:font>
  <w:font w:name="WPSEMBED2">
    <w:panose1 w:val="02000000000000000000"/>
    <w:charset w:val="86"/>
    <w:family w:val="auto"/>
    <w:pitch w:val="default"/>
    <w:sig w:usb0="00000001" w:usb1="08000000" w:usb2="00000000" w:usb3="00000000" w:csb0="00040000" w:csb1="00000000"/>
  </w:font>
  <w:font w:name="WPSEMBED3">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A228DE">
    <w:pPr>
      <w:pStyle w:val="23"/>
      <w:tabs>
        <w:tab w:val="left" w:pos="5730"/>
        <w:tab w:val="clear" w:pos="4153"/>
      </w:tabs>
      <w:rPr>
        <w:rFonts w:hint="eastAsia"/>
      </w:rPr>
    </w:pPr>
    <w:r>
      <w:rPr>
        <w:rFonts w:hint="eastAsia"/>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99572B">
    <w:pPr>
      <w:pStyle w:val="23"/>
      <w:ind w:right="360"/>
      <w:jc w:val="both"/>
      <w:rPr>
        <w:rFonts w:hint="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A725C1">
    <w:pPr>
      <w:pStyle w:val="23"/>
      <w:tabs>
        <w:tab w:val="center" w:pos="4439"/>
        <w:tab w:val="clear" w:pos="4153"/>
      </w:tabs>
      <w:jc w:val="both"/>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3610CF8">
                          <w:pPr>
                            <w:pStyle w:val="2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13610CF8">
                    <w:pPr>
                      <w:pStyle w:val="23"/>
                    </w:pPr>
                    <w:r>
                      <w:fldChar w:fldCharType="begin"/>
                    </w:r>
                    <w:r>
                      <w:instrText xml:space="preserve"> PAGE  \* MERGEFORMAT </w:instrText>
                    </w:r>
                    <w:r>
                      <w:fldChar w:fldCharType="separate"/>
                    </w:r>
                    <w:r>
                      <w:t>1</w:t>
                    </w:r>
                    <w:r>
                      <w:fldChar w:fldCharType="end"/>
                    </w:r>
                  </w:p>
                </w:txbxContent>
              </v:textbox>
            </v:shape>
          </w:pict>
        </mc:Fallback>
      </mc:AlternateContent>
    </w:r>
  </w:p>
  <w:p w14:paraId="79E78C03">
    <w:pPr>
      <w:pStyle w:val="2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33E17C">
    <w:pPr>
      <w:pStyle w:val="23"/>
      <w:tabs>
        <w:tab w:val="center" w:pos="4439"/>
        <w:tab w:val="clear" w:pos="4153"/>
      </w:tabs>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BA1904F">
                          <w:pPr>
                            <w:pStyle w:val="2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BA1904F">
                    <w:pPr>
                      <w:pStyle w:val="23"/>
                    </w:pPr>
                    <w:r>
                      <w:fldChar w:fldCharType="begin"/>
                    </w:r>
                    <w:r>
                      <w:instrText xml:space="preserve"> PAGE  \* MERGEFORMAT </w:instrText>
                    </w:r>
                    <w:r>
                      <w:fldChar w:fldCharType="separate"/>
                    </w:r>
                    <w:r>
                      <w:t>1</w:t>
                    </w:r>
                    <w:r>
                      <w:fldChar w:fldCharType="end"/>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51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2B3A356"/>
                      </w:txbxContent>
                    </wps:txbx>
                    <wps:bodyPr wrap="none" lIns="0" tIns="0" rIns="0" bIns="0" upright="0">
                      <a:spAutoFit/>
                    </wps:bodyPr>
                  </wps:wsp>
                </a:graphicData>
              </a:graphic>
            </wp:anchor>
          </w:drawing>
        </mc:Choice>
        <mc:Fallback>
          <w:pict>
            <v:shape id="文本框 5124"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LexRYzLAQAAnAMAAA4AAAAAAAAAAQAgAAAAHgEAAGRycy9lMm9E&#10;b2MueG1sUEsFBgAAAAAGAAYAWQEAAFsFAAAAAA==&#10;">
              <v:fill on="f" focussize="0,0"/>
              <v:stroke on="f"/>
              <v:imagedata o:title=""/>
              <o:lock v:ext="edit" aspectratio="f"/>
              <v:textbox inset="0mm,0mm,0mm,0mm" style="mso-fit-shape-to-text:t;">
                <w:txbxContent>
                  <w:p w14:paraId="02B3A356"/>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25A094">
    <w:pPr>
      <w:pStyle w:val="23"/>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4E012D6">
                          <w:pPr>
                            <w:pStyle w:val="23"/>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CWTNKnIAQAAmQMAAA4AAAAAAAAAAQAgAAAAHgEAAGRycy9lMm9Eb2Mu&#10;eG1sUEsFBgAAAAAGAAYAWQEAAFgFAAAAAA==&#10;">
              <v:fill on="f" focussize="0,0"/>
              <v:stroke on="f"/>
              <v:imagedata o:title=""/>
              <o:lock v:ext="edit" aspectratio="f"/>
              <v:textbox inset="0mm,0mm,0mm,0mm" style="mso-fit-shape-to-text:t;">
                <w:txbxContent>
                  <w:p w14:paraId="14E012D6">
                    <w:pPr>
                      <w:pStyle w:val="2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5A0604">
    <w:pPr>
      <w:pStyle w:val="23"/>
      <w:jc w:val="cente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1694EE2">
                          <w:pPr>
                            <w:pStyle w:val="23"/>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31694EE2">
                    <w:pPr>
                      <w:pStyle w:val="23"/>
                    </w:pPr>
                    <w:r>
                      <w:fldChar w:fldCharType="begin"/>
                    </w:r>
                    <w:r>
                      <w:instrText xml:space="preserve"> PAGE  \* MERGEFORMAT </w:instrText>
                    </w:r>
                    <w:r>
                      <w:fldChar w:fldCharType="separate"/>
                    </w:r>
                    <w:r>
                      <w:t>3</w:t>
                    </w:r>
                    <w:r>
                      <w:fldChar w:fldCharType="end"/>
                    </w:r>
                  </w:p>
                </w:txbxContent>
              </v:textbox>
            </v:shape>
          </w:pict>
        </mc:Fallback>
      </mc:AlternateContent>
    </w:r>
  </w:p>
  <w:p w14:paraId="1DEB58D7">
    <w:pPr>
      <w:pStyle w:val="23"/>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7958CD">
    <w:pPr>
      <w:pStyle w:val="23"/>
      <w:keepNext w:val="0"/>
      <w:keepLines w:val="0"/>
      <w:pageBreakBefore w:val="0"/>
      <w:widowControl w:val="0"/>
      <w:kinsoku/>
      <w:wordWrap/>
      <w:overflowPunct/>
      <w:topLinePunct w:val="0"/>
      <w:bidi w:val="0"/>
      <w:adjustRightInd/>
      <w:snapToGrid w:val="0"/>
      <w:textAlignment w:val="auto"/>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A84002">
                          <w:pPr>
                            <w:pStyle w:val="23"/>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7BA84002">
                    <w:pPr>
                      <w:pStyle w:val="23"/>
                    </w:pPr>
                    <w:r>
                      <w:fldChar w:fldCharType="begin"/>
                    </w:r>
                    <w:r>
                      <w:instrText xml:space="preserve"> PAGE  \* MERGEFORMAT </w:instrText>
                    </w:r>
                    <w:r>
                      <w:fldChar w:fldCharType="separate"/>
                    </w:r>
                    <w:r>
                      <w:t>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841F8E">
    <w:pPr>
      <w:pStyle w:val="24"/>
      <w:pBdr>
        <w:bottom w:val="none" w:color="auto" w:sz="0" w:space="1"/>
      </w:pBdr>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3417CE">
    <w:pPr>
      <w:pStyle w:val="24"/>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8BB029">
    <w:pPr>
      <w:pStyle w:val="24"/>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D25B72C"/>
    <w:multiLevelType w:val="singleLevel"/>
    <w:tmpl w:val="3D25B72C"/>
    <w:lvl w:ilvl="0" w:tentative="0">
      <w:start w:val="2"/>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2,3,4,5,6,7"/>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IyNTViMjA3MjY4ZmVjNTUyZmIyZmFmYTg4YjYyY2YifQ=="/>
  </w:docVars>
  <w:rsids>
    <w:rsidRoot w:val="00F34B14"/>
    <w:rsid w:val="00000672"/>
    <w:rsid w:val="00001013"/>
    <w:rsid w:val="00001799"/>
    <w:rsid w:val="00001AF2"/>
    <w:rsid w:val="00001ECA"/>
    <w:rsid w:val="00002D29"/>
    <w:rsid w:val="00002EAF"/>
    <w:rsid w:val="00003B93"/>
    <w:rsid w:val="0000474D"/>
    <w:rsid w:val="00005FDF"/>
    <w:rsid w:val="00006851"/>
    <w:rsid w:val="000070B3"/>
    <w:rsid w:val="000076B8"/>
    <w:rsid w:val="000109DC"/>
    <w:rsid w:val="00010D39"/>
    <w:rsid w:val="0001172C"/>
    <w:rsid w:val="00011BC9"/>
    <w:rsid w:val="00012854"/>
    <w:rsid w:val="00012EA6"/>
    <w:rsid w:val="00013359"/>
    <w:rsid w:val="000139CF"/>
    <w:rsid w:val="00013AA4"/>
    <w:rsid w:val="00013DFE"/>
    <w:rsid w:val="000141EA"/>
    <w:rsid w:val="00014CA1"/>
    <w:rsid w:val="00016ABC"/>
    <w:rsid w:val="00016DE6"/>
    <w:rsid w:val="000177DB"/>
    <w:rsid w:val="000179C9"/>
    <w:rsid w:val="00017CCC"/>
    <w:rsid w:val="00020227"/>
    <w:rsid w:val="00020263"/>
    <w:rsid w:val="00020455"/>
    <w:rsid w:val="00020813"/>
    <w:rsid w:val="000220B2"/>
    <w:rsid w:val="0002264C"/>
    <w:rsid w:val="00022731"/>
    <w:rsid w:val="00022792"/>
    <w:rsid w:val="00024463"/>
    <w:rsid w:val="00024E1C"/>
    <w:rsid w:val="00025461"/>
    <w:rsid w:val="00025636"/>
    <w:rsid w:val="00025E36"/>
    <w:rsid w:val="00026855"/>
    <w:rsid w:val="00026886"/>
    <w:rsid w:val="0002785D"/>
    <w:rsid w:val="000307BE"/>
    <w:rsid w:val="00030927"/>
    <w:rsid w:val="000313DC"/>
    <w:rsid w:val="000329E0"/>
    <w:rsid w:val="000352E9"/>
    <w:rsid w:val="00035494"/>
    <w:rsid w:val="00036125"/>
    <w:rsid w:val="000365AC"/>
    <w:rsid w:val="00036A07"/>
    <w:rsid w:val="00036C95"/>
    <w:rsid w:val="0003780B"/>
    <w:rsid w:val="00040571"/>
    <w:rsid w:val="00040973"/>
    <w:rsid w:val="0004156E"/>
    <w:rsid w:val="00041713"/>
    <w:rsid w:val="00041C18"/>
    <w:rsid w:val="00044263"/>
    <w:rsid w:val="0004440C"/>
    <w:rsid w:val="000451F1"/>
    <w:rsid w:val="00046B5E"/>
    <w:rsid w:val="000470CB"/>
    <w:rsid w:val="000479FF"/>
    <w:rsid w:val="000509D9"/>
    <w:rsid w:val="000512AF"/>
    <w:rsid w:val="00051ACB"/>
    <w:rsid w:val="000533E7"/>
    <w:rsid w:val="00055D41"/>
    <w:rsid w:val="00056EF6"/>
    <w:rsid w:val="00057CD6"/>
    <w:rsid w:val="00060370"/>
    <w:rsid w:val="00060DCE"/>
    <w:rsid w:val="000610E3"/>
    <w:rsid w:val="000614F3"/>
    <w:rsid w:val="000623B4"/>
    <w:rsid w:val="00062405"/>
    <w:rsid w:val="00062B42"/>
    <w:rsid w:val="000634A7"/>
    <w:rsid w:val="00063B0B"/>
    <w:rsid w:val="00063F81"/>
    <w:rsid w:val="00064847"/>
    <w:rsid w:val="00064F97"/>
    <w:rsid w:val="00065E08"/>
    <w:rsid w:val="000673E2"/>
    <w:rsid w:val="0007027E"/>
    <w:rsid w:val="0007063F"/>
    <w:rsid w:val="000707FD"/>
    <w:rsid w:val="00070949"/>
    <w:rsid w:val="00070CD2"/>
    <w:rsid w:val="000711E4"/>
    <w:rsid w:val="000720A1"/>
    <w:rsid w:val="000724D9"/>
    <w:rsid w:val="00072AED"/>
    <w:rsid w:val="00073F47"/>
    <w:rsid w:val="0007492F"/>
    <w:rsid w:val="00074ED8"/>
    <w:rsid w:val="00075B7E"/>
    <w:rsid w:val="00077ACA"/>
    <w:rsid w:val="00077C70"/>
    <w:rsid w:val="000813B5"/>
    <w:rsid w:val="0008191E"/>
    <w:rsid w:val="00081BA3"/>
    <w:rsid w:val="00081D2E"/>
    <w:rsid w:val="00081F89"/>
    <w:rsid w:val="00082619"/>
    <w:rsid w:val="00082D02"/>
    <w:rsid w:val="00083871"/>
    <w:rsid w:val="00083B91"/>
    <w:rsid w:val="0008473C"/>
    <w:rsid w:val="0008520B"/>
    <w:rsid w:val="000857DE"/>
    <w:rsid w:val="00085817"/>
    <w:rsid w:val="000860BD"/>
    <w:rsid w:val="0008694B"/>
    <w:rsid w:val="000871B8"/>
    <w:rsid w:val="00087B0A"/>
    <w:rsid w:val="000904D2"/>
    <w:rsid w:val="000916DA"/>
    <w:rsid w:val="00092442"/>
    <w:rsid w:val="000929EF"/>
    <w:rsid w:val="00092C26"/>
    <w:rsid w:val="000933BE"/>
    <w:rsid w:val="0009560F"/>
    <w:rsid w:val="0009588E"/>
    <w:rsid w:val="000959EE"/>
    <w:rsid w:val="00096DB9"/>
    <w:rsid w:val="00097183"/>
    <w:rsid w:val="000972CB"/>
    <w:rsid w:val="00097608"/>
    <w:rsid w:val="000A1175"/>
    <w:rsid w:val="000A13F3"/>
    <w:rsid w:val="000A23B1"/>
    <w:rsid w:val="000A2B0E"/>
    <w:rsid w:val="000A398F"/>
    <w:rsid w:val="000A448C"/>
    <w:rsid w:val="000A509C"/>
    <w:rsid w:val="000A54A7"/>
    <w:rsid w:val="000A5712"/>
    <w:rsid w:val="000A6007"/>
    <w:rsid w:val="000A65A6"/>
    <w:rsid w:val="000A70E3"/>
    <w:rsid w:val="000A7275"/>
    <w:rsid w:val="000A7A12"/>
    <w:rsid w:val="000A7A72"/>
    <w:rsid w:val="000B1202"/>
    <w:rsid w:val="000B13B8"/>
    <w:rsid w:val="000B1801"/>
    <w:rsid w:val="000B1D0C"/>
    <w:rsid w:val="000B2273"/>
    <w:rsid w:val="000B2BC6"/>
    <w:rsid w:val="000B2D03"/>
    <w:rsid w:val="000B37F2"/>
    <w:rsid w:val="000B3815"/>
    <w:rsid w:val="000B3C7B"/>
    <w:rsid w:val="000B4321"/>
    <w:rsid w:val="000B6A6B"/>
    <w:rsid w:val="000B6C95"/>
    <w:rsid w:val="000B79FC"/>
    <w:rsid w:val="000C1679"/>
    <w:rsid w:val="000C1EE3"/>
    <w:rsid w:val="000C3AE7"/>
    <w:rsid w:val="000C3CC9"/>
    <w:rsid w:val="000C6DE4"/>
    <w:rsid w:val="000C7202"/>
    <w:rsid w:val="000D0A89"/>
    <w:rsid w:val="000D1389"/>
    <w:rsid w:val="000D1798"/>
    <w:rsid w:val="000D2626"/>
    <w:rsid w:val="000D320C"/>
    <w:rsid w:val="000D341C"/>
    <w:rsid w:val="000D411D"/>
    <w:rsid w:val="000D4589"/>
    <w:rsid w:val="000D4809"/>
    <w:rsid w:val="000D73DD"/>
    <w:rsid w:val="000E18DC"/>
    <w:rsid w:val="000E1C51"/>
    <w:rsid w:val="000E28AB"/>
    <w:rsid w:val="000E2E3E"/>
    <w:rsid w:val="000E310E"/>
    <w:rsid w:val="000E3583"/>
    <w:rsid w:val="000E370E"/>
    <w:rsid w:val="000E3A72"/>
    <w:rsid w:val="000E3AF0"/>
    <w:rsid w:val="000E4E04"/>
    <w:rsid w:val="000E693B"/>
    <w:rsid w:val="000E6EC9"/>
    <w:rsid w:val="000E70B4"/>
    <w:rsid w:val="000E7B62"/>
    <w:rsid w:val="000F0E1E"/>
    <w:rsid w:val="000F1A1B"/>
    <w:rsid w:val="000F2A95"/>
    <w:rsid w:val="000F3281"/>
    <w:rsid w:val="000F32FD"/>
    <w:rsid w:val="000F3733"/>
    <w:rsid w:val="000F5F8B"/>
    <w:rsid w:val="000F6153"/>
    <w:rsid w:val="000F64AA"/>
    <w:rsid w:val="000F7AF4"/>
    <w:rsid w:val="000F7C33"/>
    <w:rsid w:val="000F7F0C"/>
    <w:rsid w:val="001004D6"/>
    <w:rsid w:val="00101820"/>
    <w:rsid w:val="00101D1B"/>
    <w:rsid w:val="00102676"/>
    <w:rsid w:val="001029C1"/>
    <w:rsid w:val="00103646"/>
    <w:rsid w:val="00103918"/>
    <w:rsid w:val="00104897"/>
    <w:rsid w:val="00104EDE"/>
    <w:rsid w:val="00105CDA"/>
    <w:rsid w:val="00106BEE"/>
    <w:rsid w:val="0010711C"/>
    <w:rsid w:val="00107BDF"/>
    <w:rsid w:val="00107C74"/>
    <w:rsid w:val="0011091C"/>
    <w:rsid w:val="00111266"/>
    <w:rsid w:val="001112EB"/>
    <w:rsid w:val="0011247D"/>
    <w:rsid w:val="00112FFB"/>
    <w:rsid w:val="00113678"/>
    <w:rsid w:val="00113A7D"/>
    <w:rsid w:val="00113C3E"/>
    <w:rsid w:val="00115132"/>
    <w:rsid w:val="00115E11"/>
    <w:rsid w:val="00115EEE"/>
    <w:rsid w:val="00115F56"/>
    <w:rsid w:val="00116CA9"/>
    <w:rsid w:val="00116F38"/>
    <w:rsid w:val="001170A4"/>
    <w:rsid w:val="00117AE7"/>
    <w:rsid w:val="00117B85"/>
    <w:rsid w:val="00117CBD"/>
    <w:rsid w:val="0012006A"/>
    <w:rsid w:val="00121979"/>
    <w:rsid w:val="00122064"/>
    <w:rsid w:val="00124341"/>
    <w:rsid w:val="00124492"/>
    <w:rsid w:val="00124B12"/>
    <w:rsid w:val="001250A0"/>
    <w:rsid w:val="001263B8"/>
    <w:rsid w:val="00130217"/>
    <w:rsid w:val="00130783"/>
    <w:rsid w:val="00130A47"/>
    <w:rsid w:val="00132B47"/>
    <w:rsid w:val="001337F8"/>
    <w:rsid w:val="001348B4"/>
    <w:rsid w:val="001351CB"/>
    <w:rsid w:val="00135530"/>
    <w:rsid w:val="00135947"/>
    <w:rsid w:val="001359A2"/>
    <w:rsid w:val="00135F92"/>
    <w:rsid w:val="00136020"/>
    <w:rsid w:val="0013641C"/>
    <w:rsid w:val="00136445"/>
    <w:rsid w:val="00137389"/>
    <w:rsid w:val="00140132"/>
    <w:rsid w:val="00141C9C"/>
    <w:rsid w:val="001424DE"/>
    <w:rsid w:val="0014277F"/>
    <w:rsid w:val="001434BE"/>
    <w:rsid w:val="00143AAD"/>
    <w:rsid w:val="00144050"/>
    <w:rsid w:val="00144369"/>
    <w:rsid w:val="0014479F"/>
    <w:rsid w:val="001452B4"/>
    <w:rsid w:val="00145320"/>
    <w:rsid w:val="001476D3"/>
    <w:rsid w:val="001505B6"/>
    <w:rsid w:val="001509CF"/>
    <w:rsid w:val="00150D1D"/>
    <w:rsid w:val="001525AA"/>
    <w:rsid w:val="00152A87"/>
    <w:rsid w:val="00152AC1"/>
    <w:rsid w:val="00153BB5"/>
    <w:rsid w:val="00154342"/>
    <w:rsid w:val="00154518"/>
    <w:rsid w:val="00155512"/>
    <w:rsid w:val="00156303"/>
    <w:rsid w:val="00156359"/>
    <w:rsid w:val="00156686"/>
    <w:rsid w:val="00156DD6"/>
    <w:rsid w:val="0016086E"/>
    <w:rsid w:val="00160D0C"/>
    <w:rsid w:val="00160DD1"/>
    <w:rsid w:val="00161172"/>
    <w:rsid w:val="00161998"/>
    <w:rsid w:val="00161E65"/>
    <w:rsid w:val="00162597"/>
    <w:rsid w:val="001629AF"/>
    <w:rsid w:val="001629FD"/>
    <w:rsid w:val="001630EF"/>
    <w:rsid w:val="0016428A"/>
    <w:rsid w:val="001647C9"/>
    <w:rsid w:val="00165627"/>
    <w:rsid w:val="00165987"/>
    <w:rsid w:val="001661A3"/>
    <w:rsid w:val="00167226"/>
    <w:rsid w:val="001677C9"/>
    <w:rsid w:val="0016782B"/>
    <w:rsid w:val="0016784D"/>
    <w:rsid w:val="00167853"/>
    <w:rsid w:val="00167887"/>
    <w:rsid w:val="00170C37"/>
    <w:rsid w:val="001720EF"/>
    <w:rsid w:val="00172CA8"/>
    <w:rsid w:val="00173256"/>
    <w:rsid w:val="00173B0E"/>
    <w:rsid w:val="00173E03"/>
    <w:rsid w:val="001747F4"/>
    <w:rsid w:val="0017512C"/>
    <w:rsid w:val="001756AF"/>
    <w:rsid w:val="0017586A"/>
    <w:rsid w:val="00175BA6"/>
    <w:rsid w:val="00175FDC"/>
    <w:rsid w:val="00176CA7"/>
    <w:rsid w:val="00176D0C"/>
    <w:rsid w:val="00176F8E"/>
    <w:rsid w:val="001778C5"/>
    <w:rsid w:val="00177E56"/>
    <w:rsid w:val="00177F0A"/>
    <w:rsid w:val="00180DA0"/>
    <w:rsid w:val="00181EAD"/>
    <w:rsid w:val="00182862"/>
    <w:rsid w:val="00184F57"/>
    <w:rsid w:val="00185091"/>
    <w:rsid w:val="00185544"/>
    <w:rsid w:val="00185617"/>
    <w:rsid w:val="00186FE1"/>
    <w:rsid w:val="00187A14"/>
    <w:rsid w:val="0019171E"/>
    <w:rsid w:val="00192368"/>
    <w:rsid w:val="001923A0"/>
    <w:rsid w:val="001928B1"/>
    <w:rsid w:val="00193537"/>
    <w:rsid w:val="00193846"/>
    <w:rsid w:val="00193CA5"/>
    <w:rsid w:val="00193FD7"/>
    <w:rsid w:val="00195424"/>
    <w:rsid w:val="001955FF"/>
    <w:rsid w:val="00197EDD"/>
    <w:rsid w:val="001A02B3"/>
    <w:rsid w:val="001A04BB"/>
    <w:rsid w:val="001A08D0"/>
    <w:rsid w:val="001A0E82"/>
    <w:rsid w:val="001A1B39"/>
    <w:rsid w:val="001A2120"/>
    <w:rsid w:val="001A2256"/>
    <w:rsid w:val="001A28C6"/>
    <w:rsid w:val="001A2E69"/>
    <w:rsid w:val="001A30F7"/>
    <w:rsid w:val="001A3C34"/>
    <w:rsid w:val="001A3EDE"/>
    <w:rsid w:val="001A4222"/>
    <w:rsid w:val="001A50EA"/>
    <w:rsid w:val="001A5E24"/>
    <w:rsid w:val="001A624D"/>
    <w:rsid w:val="001A6795"/>
    <w:rsid w:val="001A6B27"/>
    <w:rsid w:val="001A6D8B"/>
    <w:rsid w:val="001A6DAA"/>
    <w:rsid w:val="001A7717"/>
    <w:rsid w:val="001A793A"/>
    <w:rsid w:val="001B125A"/>
    <w:rsid w:val="001B1EBA"/>
    <w:rsid w:val="001B2142"/>
    <w:rsid w:val="001B2C23"/>
    <w:rsid w:val="001B2F2B"/>
    <w:rsid w:val="001B327A"/>
    <w:rsid w:val="001B35DE"/>
    <w:rsid w:val="001B3A13"/>
    <w:rsid w:val="001B3F5C"/>
    <w:rsid w:val="001B57C9"/>
    <w:rsid w:val="001B59FF"/>
    <w:rsid w:val="001B6512"/>
    <w:rsid w:val="001B65D7"/>
    <w:rsid w:val="001B6752"/>
    <w:rsid w:val="001B6768"/>
    <w:rsid w:val="001B6F1F"/>
    <w:rsid w:val="001B79E3"/>
    <w:rsid w:val="001B7ECC"/>
    <w:rsid w:val="001C025B"/>
    <w:rsid w:val="001C115F"/>
    <w:rsid w:val="001C1E3E"/>
    <w:rsid w:val="001C1EAB"/>
    <w:rsid w:val="001C25A7"/>
    <w:rsid w:val="001C318C"/>
    <w:rsid w:val="001C35C4"/>
    <w:rsid w:val="001C4287"/>
    <w:rsid w:val="001C4479"/>
    <w:rsid w:val="001C5190"/>
    <w:rsid w:val="001C6081"/>
    <w:rsid w:val="001C73EB"/>
    <w:rsid w:val="001C7B48"/>
    <w:rsid w:val="001C7CFB"/>
    <w:rsid w:val="001D0CFB"/>
    <w:rsid w:val="001D1A0D"/>
    <w:rsid w:val="001D2D0D"/>
    <w:rsid w:val="001D343C"/>
    <w:rsid w:val="001D58A1"/>
    <w:rsid w:val="001D58C2"/>
    <w:rsid w:val="001D5A8A"/>
    <w:rsid w:val="001D61CA"/>
    <w:rsid w:val="001D6E87"/>
    <w:rsid w:val="001D735E"/>
    <w:rsid w:val="001D73C8"/>
    <w:rsid w:val="001D7BC6"/>
    <w:rsid w:val="001E129E"/>
    <w:rsid w:val="001E175C"/>
    <w:rsid w:val="001E1B0E"/>
    <w:rsid w:val="001E3B63"/>
    <w:rsid w:val="001E5A94"/>
    <w:rsid w:val="001F2A2E"/>
    <w:rsid w:val="001F2FDF"/>
    <w:rsid w:val="001F3356"/>
    <w:rsid w:val="001F3C63"/>
    <w:rsid w:val="001F4460"/>
    <w:rsid w:val="001F711A"/>
    <w:rsid w:val="001F75B0"/>
    <w:rsid w:val="001F7822"/>
    <w:rsid w:val="0020057C"/>
    <w:rsid w:val="002008A0"/>
    <w:rsid w:val="00200CE5"/>
    <w:rsid w:val="00200F7C"/>
    <w:rsid w:val="002014DB"/>
    <w:rsid w:val="0020150B"/>
    <w:rsid w:val="00201E12"/>
    <w:rsid w:val="00202295"/>
    <w:rsid w:val="002033B5"/>
    <w:rsid w:val="0020382C"/>
    <w:rsid w:val="00203FBD"/>
    <w:rsid w:val="0020437A"/>
    <w:rsid w:val="0020454C"/>
    <w:rsid w:val="00204740"/>
    <w:rsid w:val="00205129"/>
    <w:rsid w:val="0020521F"/>
    <w:rsid w:val="0020532C"/>
    <w:rsid w:val="002114C7"/>
    <w:rsid w:val="0021302C"/>
    <w:rsid w:val="00213B1C"/>
    <w:rsid w:val="00213F1E"/>
    <w:rsid w:val="00214202"/>
    <w:rsid w:val="002148E3"/>
    <w:rsid w:val="0021552D"/>
    <w:rsid w:val="002156AE"/>
    <w:rsid w:val="00215E99"/>
    <w:rsid w:val="0022054D"/>
    <w:rsid w:val="00220A95"/>
    <w:rsid w:val="0022107B"/>
    <w:rsid w:val="00223DDB"/>
    <w:rsid w:val="00223FA4"/>
    <w:rsid w:val="00223FB0"/>
    <w:rsid w:val="00224067"/>
    <w:rsid w:val="0022421C"/>
    <w:rsid w:val="00224C4A"/>
    <w:rsid w:val="00224E83"/>
    <w:rsid w:val="00225664"/>
    <w:rsid w:val="0022663D"/>
    <w:rsid w:val="00227F2D"/>
    <w:rsid w:val="0023096E"/>
    <w:rsid w:val="00231851"/>
    <w:rsid w:val="002319FB"/>
    <w:rsid w:val="00231B89"/>
    <w:rsid w:val="00231F11"/>
    <w:rsid w:val="00231F5E"/>
    <w:rsid w:val="002346B4"/>
    <w:rsid w:val="00234F6E"/>
    <w:rsid w:val="002355BE"/>
    <w:rsid w:val="002358EA"/>
    <w:rsid w:val="00236578"/>
    <w:rsid w:val="00236DE9"/>
    <w:rsid w:val="00237342"/>
    <w:rsid w:val="00237D5A"/>
    <w:rsid w:val="00240AEF"/>
    <w:rsid w:val="00240D75"/>
    <w:rsid w:val="002415AE"/>
    <w:rsid w:val="00241D3C"/>
    <w:rsid w:val="00242109"/>
    <w:rsid w:val="00243189"/>
    <w:rsid w:val="002439AB"/>
    <w:rsid w:val="00243C19"/>
    <w:rsid w:val="00244AE8"/>
    <w:rsid w:val="00244DC9"/>
    <w:rsid w:val="00245587"/>
    <w:rsid w:val="002459B4"/>
    <w:rsid w:val="00245F2B"/>
    <w:rsid w:val="002466CD"/>
    <w:rsid w:val="00247F3A"/>
    <w:rsid w:val="00250122"/>
    <w:rsid w:val="00250755"/>
    <w:rsid w:val="00251043"/>
    <w:rsid w:val="00251C4A"/>
    <w:rsid w:val="0025271C"/>
    <w:rsid w:val="002533CD"/>
    <w:rsid w:val="002535EA"/>
    <w:rsid w:val="00254EAB"/>
    <w:rsid w:val="002557AF"/>
    <w:rsid w:val="0025589C"/>
    <w:rsid w:val="00255B62"/>
    <w:rsid w:val="002566B1"/>
    <w:rsid w:val="002575E3"/>
    <w:rsid w:val="00257A74"/>
    <w:rsid w:val="00257C5D"/>
    <w:rsid w:val="002603C1"/>
    <w:rsid w:val="002609A1"/>
    <w:rsid w:val="002612B1"/>
    <w:rsid w:val="002630BB"/>
    <w:rsid w:val="00263BBE"/>
    <w:rsid w:val="00266165"/>
    <w:rsid w:val="00266F2C"/>
    <w:rsid w:val="0027125E"/>
    <w:rsid w:val="00271767"/>
    <w:rsid w:val="00272293"/>
    <w:rsid w:val="002723C8"/>
    <w:rsid w:val="00273C2A"/>
    <w:rsid w:val="00273CBE"/>
    <w:rsid w:val="002746B1"/>
    <w:rsid w:val="00274BAD"/>
    <w:rsid w:val="002756BF"/>
    <w:rsid w:val="00282D56"/>
    <w:rsid w:val="0028352B"/>
    <w:rsid w:val="002835B0"/>
    <w:rsid w:val="00283BD5"/>
    <w:rsid w:val="00283C74"/>
    <w:rsid w:val="0028407E"/>
    <w:rsid w:val="0028410F"/>
    <w:rsid w:val="00284572"/>
    <w:rsid w:val="002850AA"/>
    <w:rsid w:val="00285221"/>
    <w:rsid w:val="00286FB5"/>
    <w:rsid w:val="00287763"/>
    <w:rsid w:val="00290606"/>
    <w:rsid w:val="002909B2"/>
    <w:rsid w:val="0029198B"/>
    <w:rsid w:val="00291D6D"/>
    <w:rsid w:val="00291FF1"/>
    <w:rsid w:val="00292AA2"/>
    <w:rsid w:val="00293361"/>
    <w:rsid w:val="00294401"/>
    <w:rsid w:val="00294F10"/>
    <w:rsid w:val="002952B1"/>
    <w:rsid w:val="00295D11"/>
    <w:rsid w:val="00296FB6"/>
    <w:rsid w:val="002A0001"/>
    <w:rsid w:val="002A0BD9"/>
    <w:rsid w:val="002A0C3A"/>
    <w:rsid w:val="002A0DF8"/>
    <w:rsid w:val="002A1130"/>
    <w:rsid w:val="002A1880"/>
    <w:rsid w:val="002A23B7"/>
    <w:rsid w:val="002A3A57"/>
    <w:rsid w:val="002A4B4F"/>
    <w:rsid w:val="002A500F"/>
    <w:rsid w:val="002A57A8"/>
    <w:rsid w:val="002A6DEF"/>
    <w:rsid w:val="002A770B"/>
    <w:rsid w:val="002B013E"/>
    <w:rsid w:val="002B058D"/>
    <w:rsid w:val="002B0C16"/>
    <w:rsid w:val="002B2AC5"/>
    <w:rsid w:val="002B3528"/>
    <w:rsid w:val="002B3539"/>
    <w:rsid w:val="002B4532"/>
    <w:rsid w:val="002B5042"/>
    <w:rsid w:val="002B69CC"/>
    <w:rsid w:val="002B6D71"/>
    <w:rsid w:val="002C03AE"/>
    <w:rsid w:val="002C0C1C"/>
    <w:rsid w:val="002C17CB"/>
    <w:rsid w:val="002C40E2"/>
    <w:rsid w:val="002C53AD"/>
    <w:rsid w:val="002C54C2"/>
    <w:rsid w:val="002C5D34"/>
    <w:rsid w:val="002C60BB"/>
    <w:rsid w:val="002C661A"/>
    <w:rsid w:val="002C71F0"/>
    <w:rsid w:val="002D0D6F"/>
    <w:rsid w:val="002D25FC"/>
    <w:rsid w:val="002D4AC6"/>
    <w:rsid w:val="002D5BF5"/>
    <w:rsid w:val="002D5EE8"/>
    <w:rsid w:val="002D7018"/>
    <w:rsid w:val="002D7360"/>
    <w:rsid w:val="002D7648"/>
    <w:rsid w:val="002D7C80"/>
    <w:rsid w:val="002E109C"/>
    <w:rsid w:val="002E193E"/>
    <w:rsid w:val="002E1A94"/>
    <w:rsid w:val="002E1D55"/>
    <w:rsid w:val="002E26C4"/>
    <w:rsid w:val="002E2734"/>
    <w:rsid w:val="002E30A5"/>
    <w:rsid w:val="002E4443"/>
    <w:rsid w:val="002E47E4"/>
    <w:rsid w:val="002E4BF9"/>
    <w:rsid w:val="002E4D61"/>
    <w:rsid w:val="002E68A7"/>
    <w:rsid w:val="002E6E6C"/>
    <w:rsid w:val="002F016E"/>
    <w:rsid w:val="002F0522"/>
    <w:rsid w:val="002F16DD"/>
    <w:rsid w:val="002F199D"/>
    <w:rsid w:val="002F213C"/>
    <w:rsid w:val="002F2453"/>
    <w:rsid w:val="002F352D"/>
    <w:rsid w:val="002F381E"/>
    <w:rsid w:val="002F4084"/>
    <w:rsid w:val="002F4A08"/>
    <w:rsid w:val="002F4ADB"/>
    <w:rsid w:val="002F531E"/>
    <w:rsid w:val="002F548D"/>
    <w:rsid w:val="002F5ACC"/>
    <w:rsid w:val="002F704B"/>
    <w:rsid w:val="002F72C3"/>
    <w:rsid w:val="002F768C"/>
    <w:rsid w:val="002F7D1E"/>
    <w:rsid w:val="00300201"/>
    <w:rsid w:val="0030025A"/>
    <w:rsid w:val="00302CCB"/>
    <w:rsid w:val="00302EFC"/>
    <w:rsid w:val="00303243"/>
    <w:rsid w:val="00303BCC"/>
    <w:rsid w:val="00303F2B"/>
    <w:rsid w:val="00303F8D"/>
    <w:rsid w:val="00304840"/>
    <w:rsid w:val="0030572D"/>
    <w:rsid w:val="0030586A"/>
    <w:rsid w:val="0030622D"/>
    <w:rsid w:val="00306811"/>
    <w:rsid w:val="00306F32"/>
    <w:rsid w:val="003074C5"/>
    <w:rsid w:val="00307A3C"/>
    <w:rsid w:val="00307FA4"/>
    <w:rsid w:val="00310290"/>
    <w:rsid w:val="00310CC1"/>
    <w:rsid w:val="00312504"/>
    <w:rsid w:val="00312A51"/>
    <w:rsid w:val="00312B89"/>
    <w:rsid w:val="00313026"/>
    <w:rsid w:val="00313913"/>
    <w:rsid w:val="0031421F"/>
    <w:rsid w:val="00314B31"/>
    <w:rsid w:val="00315A65"/>
    <w:rsid w:val="003165D7"/>
    <w:rsid w:val="00317BA7"/>
    <w:rsid w:val="00320BE2"/>
    <w:rsid w:val="00321886"/>
    <w:rsid w:val="00321EDC"/>
    <w:rsid w:val="00323694"/>
    <w:rsid w:val="00323BE7"/>
    <w:rsid w:val="00324C3A"/>
    <w:rsid w:val="00324D63"/>
    <w:rsid w:val="003255AF"/>
    <w:rsid w:val="003256EB"/>
    <w:rsid w:val="003259DB"/>
    <w:rsid w:val="00327E56"/>
    <w:rsid w:val="003314D9"/>
    <w:rsid w:val="00331653"/>
    <w:rsid w:val="00331A48"/>
    <w:rsid w:val="00331BCC"/>
    <w:rsid w:val="003330C9"/>
    <w:rsid w:val="0033364C"/>
    <w:rsid w:val="00334415"/>
    <w:rsid w:val="00335EA1"/>
    <w:rsid w:val="0033691E"/>
    <w:rsid w:val="00336A6A"/>
    <w:rsid w:val="00336CCB"/>
    <w:rsid w:val="003411D1"/>
    <w:rsid w:val="003416BA"/>
    <w:rsid w:val="00342148"/>
    <w:rsid w:val="00342E38"/>
    <w:rsid w:val="00342F99"/>
    <w:rsid w:val="0034575A"/>
    <w:rsid w:val="00345F57"/>
    <w:rsid w:val="00346A51"/>
    <w:rsid w:val="0034727B"/>
    <w:rsid w:val="00350458"/>
    <w:rsid w:val="00350E6C"/>
    <w:rsid w:val="003518A6"/>
    <w:rsid w:val="00351E7F"/>
    <w:rsid w:val="00352953"/>
    <w:rsid w:val="00353A8F"/>
    <w:rsid w:val="00354062"/>
    <w:rsid w:val="0035459E"/>
    <w:rsid w:val="00355C0D"/>
    <w:rsid w:val="003566A9"/>
    <w:rsid w:val="00356988"/>
    <w:rsid w:val="003569D3"/>
    <w:rsid w:val="00356CE9"/>
    <w:rsid w:val="003570BB"/>
    <w:rsid w:val="00357128"/>
    <w:rsid w:val="0035755E"/>
    <w:rsid w:val="00357A80"/>
    <w:rsid w:val="00361441"/>
    <w:rsid w:val="00361B8B"/>
    <w:rsid w:val="00363916"/>
    <w:rsid w:val="00363F39"/>
    <w:rsid w:val="003640FC"/>
    <w:rsid w:val="0036445C"/>
    <w:rsid w:val="00364627"/>
    <w:rsid w:val="00364AB0"/>
    <w:rsid w:val="00364D71"/>
    <w:rsid w:val="003667B0"/>
    <w:rsid w:val="003667DD"/>
    <w:rsid w:val="00366B48"/>
    <w:rsid w:val="00367764"/>
    <w:rsid w:val="00370316"/>
    <w:rsid w:val="003704C8"/>
    <w:rsid w:val="00370DC7"/>
    <w:rsid w:val="00371CBD"/>
    <w:rsid w:val="00371F20"/>
    <w:rsid w:val="003721E3"/>
    <w:rsid w:val="00372B98"/>
    <w:rsid w:val="003737B7"/>
    <w:rsid w:val="003739D4"/>
    <w:rsid w:val="003740CC"/>
    <w:rsid w:val="003745F4"/>
    <w:rsid w:val="0037491A"/>
    <w:rsid w:val="00374E79"/>
    <w:rsid w:val="0037529A"/>
    <w:rsid w:val="00375388"/>
    <w:rsid w:val="00375559"/>
    <w:rsid w:val="00375FB9"/>
    <w:rsid w:val="00376170"/>
    <w:rsid w:val="00376851"/>
    <w:rsid w:val="00376FA2"/>
    <w:rsid w:val="00377133"/>
    <w:rsid w:val="00377A3B"/>
    <w:rsid w:val="00377E3C"/>
    <w:rsid w:val="00380874"/>
    <w:rsid w:val="00380BBE"/>
    <w:rsid w:val="00381D70"/>
    <w:rsid w:val="0038235E"/>
    <w:rsid w:val="003829D0"/>
    <w:rsid w:val="0038326A"/>
    <w:rsid w:val="0038444F"/>
    <w:rsid w:val="003861F0"/>
    <w:rsid w:val="00387051"/>
    <w:rsid w:val="00387ECF"/>
    <w:rsid w:val="0039021B"/>
    <w:rsid w:val="003903F7"/>
    <w:rsid w:val="00390429"/>
    <w:rsid w:val="00390666"/>
    <w:rsid w:val="003906A0"/>
    <w:rsid w:val="00391E03"/>
    <w:rsid w:val="003931AF"/>
    <w:rsid w:val="0039366C"/>
    <w:rsid w:val="00393EC8"/>
    <w:rsid w:val="00395E42"/>
    <w:rsid w:val="00396409"/>
    <w:rsid w:val="00396A2D"/>
    <w:rsid w:val="00396FC3"/>
    <w:rsid w:val="003A0DB4"/>
    <w:rsid w:val="003A1A94"/>
    <w:rsid w:val="003A204E"/>
    <w:rsid w:val="003A2D25"/>
    <w:rsid w:val="003A5728"/>
    <w:rsid w:val="003A60E7"/>
    <w:rsid w:val="003A7092"/>
    <w:rsid w:val="003A72A1"/>
    <w:rsid w:val="003A7611"/>
    <w:rsid w:val="003A7D1F"/>
    <w:rsid w:val="003B0A61"/>
    <w:rsid w:val="003B0B6A"/>
    <w:rsid w:val="003B22F7"/>
    <w:rsid w:val="003B29CF"/>
    <w:rsid w:val="003B3A90"/>
    <w:rsid w:val="003B3D01"/>
    <w:rsid w:val="003B534F"/>
    <w:rsid w:val="003B751E"/>
    <w:rsid w:val="003B7A79"/>
    <w:rsid w:val="003C0FE1"/>
    <w:rsid w:val="003C151A"/>
    <w:rsid w:val="003C350C"/>
    <w:rsid w:val="003C3903"/>
    <w:rsid w:val="003C3BA0"/>
    <w:rsid w:val="003C4580"/>
    <w:rsid w:val="003C5658"/>
    <w:rsid w:val="003C5C5E"/>
    <w:rsid w:val="003C6746"/>
    <w:rsid w:val="003C7555"/>
    <w:rsid w:val="003C7898"/>
    <w:rsid w:val="003C7B16"/>
    <w:rsid w:val="003D0FF5"/>
    <w:rsid w:val="003D104E"/>
    <w:rsid w:val="003D11A3"/>
    <w:rsid w:val="003D1537"/>
    <w:rsid w:val="003D183C"/>
    <w:rsid w:val="003D2061"/>
    <w:rsid w:val="003D2D1B"/>
    <w:rsid w:val="003D48C7"/>
    <w:rsid w:val="003D4C27"/>
    <w:rsid w:val="003D7109"/>
    <w:rsid w:val="003D7C75"/>
    <w:rsid w:val="003D7CE8"/>
    <w:rsid w:val="003E0514"/>
    <w:rsid w:val="003E1032"/>
    <w:rsid w:val="003E12C8"/>
    <w:rsid w:val="003E1904"/>
    <w:rsid w:val="003E1E29"/>
    <w:rsid w:val="003E285E"/>
    <w:rsid w:val="003E3124"/>
    <w:rsid w:val="003E3300"/>
    <w:rsid w:val="003E3BBF"/>
    <w:rsid w:val="003E43D3"/>
    <w:rsid w:val="003E458E"/>
    <w:rsid w:val="003E48E1"/>
    <w:rsid w:val="003E50F4"/>
    <w:rsid w:val="003E59BB"/>
    <w:rsid w:val="003E6225"/>
    <w:rsid w:val="003E65AC"/>
    <w:rsid w:val="003E66AE"/>
    <w:rsid w:val="003E72B9"/>
    <w:rsid w:val="003E7612"/>
    <w:rsid w:val="003E7ED4"/>
    <w:rsid w:val="003F0E52"/>
    <w:rsid w:val="003F0F6B"/>
    <w:rsid w:val="003F1FC6"/>
    <w:rsid w:val="003F1FE3"/>
    <w:rsid w:val="003F20DF"/>
    <w:rsid w:val="003F2359"/>
    <w:rsid w:val="003F3232"/>
    <w:rsid w:val="003F3865"/>
    <w:rsid w:val="003F38AC"/>
    <w:rsid w:val="003F3D55"/>
    <w:rsid w:val="003F44E2"/>
    <w:rsid w:val="003F4632"/>
    <w:rsid w:val="003F47BA"/>
    <w:rsid w:val="003F4FE6"/>
    <w:rsid w:val="003F5638"/>
    <w:rsid w:val="003F59E9"/>
    <w:rsid w:val="003F6617"/>
    <w:rsid w:val="00402332"/>
    <w:rsid w:val="004025C2"/>
    <w:rsid w:val="00403195"/>
    <w:rsid w:val="004033A9"/>
    <w:rsid w:val="00403E55"/>
    <w:rsid w:val="0040407C"/>
    <w:rsid w:val="0040416C"/>
    <w:rsid w:val="00404681"/>
    <w:rsid w:val="00405445"/>
    <w:rsid w:val="00405AC1"/>
    <w:rsid w:val="00406923"/>
    <w:rsid w:val="00407198"/>
    <w:rsid w:val="0040763D"/>
    <w:rsid w:val="00410D17"/>
    <w:rsid w:val="00410EBA"/>
    <w:rsid w:val="00412039"/>
    <w:rsid w:val="00412AA9"/>
    <w:rsid w:val="00413442"/>
    <w:rsid w:val="00413821"/>
    <w:rsid w:val="00413BA5"/>
    <w:rsid w:val="004141A3"/>
    <w:rsid w:val="0041421A"/>
    <w:rsid w:val="00414909"/>
    <w:rsid w:val="0041582F"/>
    <w:rsid w:val="00416112"/>
    <w:rsid w:val="00417AE0"/>
    <w:rsid w:val="00417BAA"/>
    <w:rsid w:val="0042042B"/>
    <w:rsid w:val="00420B45"/>
    <w:rsid w:val="00420D7A"/>
    <w:rsid w:val="00421257"/>
    <w:rsid w:val="00422193"/>
    <w:rsid w:val="004223DE"/>
    <w:rsid w:val="00422A10"/>
    <w:rsid w:val="00424D17"/>
    <w:rsid w:val="00425DFD"/>
    <w:rsid w:val="004263A3"/>
    <w:rsid w:val="00427713"/>
    <w:rsid w:val="00427CCC"/>
    <w:rsid w:val="0043013A"/>
    <w:rsid w:val="00430421"/>
    <w:rsid w:val="00430A36"/>
    <w:rsid w:val="00430B4F"/>
    <w:rsid w:val="00431084"/>
    <w:rsid w:val="004310D7"/>
    <w:rsid w:val="004322D6"/>
    <w:rsid w:val="00432589"/>
    <w:rsid w:val="00432A94"/>
    <w:rsid w:val="00432C95"/>
    <w:rsid w:val="00433827"/>
    <w:rsid w:val="00433A40"/>
    <w:rsid w:val="00434B70"/>
    <w:rsid w:val="00435779"/>
    <w:rsid w:val="004360C8"/>
    <w:rsid w:val="00436823"/>
    <w:rsid w:val="004371D5"/>
    <w:rsid w:val="00437FA3"/>
    <w:rsid w:val="0044006B"/>
    <w:rsid w:val="0044033F"/>
    <w:rsid w:val="00440630"/>
    <w:rsid w:val="00440B89"/>
    <w:rsid w:val="00441F0F"/>
    <w:rsid w:val="00442965"/>
    <w:rsid w:val="004432B6"/>
    <w:rsid w:val="00444157"/>
    <w:rsid w:val="0044417C"/>
    <w:rsid w:val="0044433F"/>
    <w:rsid w:val="00444DB3"/>
    <w:rsid w:val="00445617"/>
    <w:rsid w:val="00445A2F"/>
    <w:rsid w:val="0044684E"/>
    <w:rsid w:val="00446F22"/>
    <w:rsid w:val="0045019F"/>
    <w:rsid w:val="00450320"/>
    <w:rsid w:val="004503A4"/>
    <w:rsid w:val="0045052E"/>
    <w:rsid w:val="00450555"/>
    <w:rsid w:val="004506FA"/>
    <w:rsid w:val="00450DC6"/>
    <w:rsid w:val="004516A5"/>
    <w:rsid w:val="00451753"/>
    <w:rsid w:val="00451E9C"/>
    <w:rsid w:val="0045226B"/>
    <w:rsid w:val="0045280F"/>
    <w:rsid w:val="004535AE"/>
    <w:rsid w:val="0045444D"/>
    <w:rsid w:val="0045463A"/>
    <w:rsid w:val="00454AC9"/>
    <w:rsid w:val="00455050"/>
    <w:rsid w:val="004554A3"/>
    <w:rsid w:val="00455A6E"/>
    <w:rsid w:val="00455EAD"/>
    <w:rsid w:val="004578EB"/>
    <w:rsid w:val="004604D5"/>
    <w:rsid w:val="00460697"/>
    <w:rsid w:val="0046117B"/>
    <w:rsid w:val="00461FC2"/>
    <w:rsid w:val="004639AD"/>
    <w:rsid w:val="00464AB7"/>
    <w:rsid w:val="00465DE5"/>
    <w:rsid w:val="00467EF8"/>
    <w:rsid w:val="00472429"/>
    <w:rsid w:val="004725E5"/>
    <w:rsid w:val="00472751"/>
    <w:rsid w:val="00473128"/>
    <w:rsid w:val="00475078"/>
    <w:rsid w:val="00475767"/>
    <w:rsid w:val="004761F7"/>
    <w:rsid w:val="004779A0"/>
    <w:rsid w:val="00480659"/>
    <w:rsid w:val="004808E3"/>
    <w:rsid w:val="00481016"/>
    <w:rsid w:val="0048204C"/>
    <w:rsid w:val="004821BB"/>
    <w:rsid w:val="0048237A"/>
    <w:rsid w:val="00482698"/>
    <w:rsid w:val="004826FE"/>
    <w:rsid w:val="004827D5"/>
    <w:rsid w:val="00482AF2"/>
    <w:rsid w:val="004830C9"/>
    <w:rsid w:val="00483347"/>
    <w:rsid w:val="00483E2E"/>
    <w:rsid w:val="00484B69"/>
    <w:rsid w:val="00485406"/>
    <w:rsid w:val="0048590F"/>
    <w:rsid w:val="00486D60"/>
    <w:rsid w:val="00491049"/>
    <w:rsid w:val="00491FA1"/>
    <w:rsid w:val="00492A25"/>
    <w:rsid w:val="004938A3"/>
    <w:rsid w:val="0049558B"/>
    <w:rsid w:val="00496350"/>
    <w:rsid w:val="0049797C"/>
    <w:rsid w:val="004A0DAD"/>
    <w:rsid w:val="004A1405"/>
    <w:rsid w:val="004A1FC6"/>
    <w:rsid w:val="004A2E5F"/>
    <w:rsid w:val="004A38C2"/>
    <w:rsid w:val="004A3C03"/>
    <w:rsid w:val="004A3DB7"/>
    <w:rsid w:val="004A463B"/>
    <w:rsid w:val="004A5088"/>
    <w:rsid w:val="004A5255"/>
    <w:rsid w:val="004A6CB0"/>
    <w:rsid w:val="004A70FF"/>
    <w:rsid w:val="004A7EDE"/>
    <w:rsid w:val="004B0D93"/>
    <w:rsid w:val="004B1FA4"/>
    <w:rsid w:val="004B23EC"/>
    <w:rsid w:val="004B29AC"/>
    <w:rsid w:val="004B35DF"/>
    <w:rsid w:val="004B3627"/>
    <w:rsid w:val="004B4922"/>
    <w:rsid w:val="004B57DF"/>
    <w:rsid w:val="004B5976"/>
    <w:rsid w:val="004B60F7"/>
    <w:rsid w:val="004B6A0C"/>
    <w:rsid w:val="004B722E"/>
    <w:rsid w:val="004B72E8"/>
    <w:rsid w:val="004C01A5"/>
    <w:rsid w:val="004C0412"/>
    <w:rsid w:val="004C2138"/>
    <w:rsid w:val="004C3940"/>
    <w:rsid w:val="004C51FD"/>
    <w:rsid w:val="004C65A8"/>
    <w:rsid w:val="004C6689"/>
    <w:rsid w:val="004C691F"/>
    <w:rsid w:val="004D139A"/>
    <w:rsid w:val="004D14DC"/>
    <w:rsid w:val="004D17C6"/>
    <w:rsid w:val="004D2858"/>
    <w:rsid w:val="004D2E49"/>
    <w:rsid w:val="004D35BA"/>
    <w:rsid w:val="004D38E5"/>
    <w:rsid w:val="004D3C5A"/>
    <w:rsid w:val="004D449A"/>
    <w:rsid w:val="004D4701"/>
    <w:rsid w:val="004D47C7"/>
    <w:rsid w:val="004D4AD8"/>
    <w:rsid w:val="004D4B2B"/>
    <w:rsid w:val="004D4F35"/>
    <w:rsid w:val="004D51EE"/>
    <w:rsid w:val="004D5D45"/>
    <w:rsid w:val="004D618D"/>
    <w:rsid w:val="004D62A9"/>
    <w:rsid w:val="004D6750"/>
    <w:rsid w:val="004D6FC3"/>
    <w:rsid w:val="004D7476"/>
    <w:rsid w:val="004D7716"/>
    <w:rsid w:val="004E0306"/>
    <w:rsid w:val="004E0572"/>
    <w:rsid w:val="004E1641"/>
    <w:rsid w:val="004E1686"/>
    <w:rsid w:val="004E1818"/>
    <w:rsid w:val="004E1990"/>
    <w:rsid w:val="004E25A8"/>
    <w:rsid w:val="004E3930"/>
    <w:rsid w:val="004E3ED9"/>
    <w:rsid w:val="004E5866"/>
    <w:rsid w:val="004E6097"/>
    <w:rsid w:val="004E61EF"/>
    <w:rsid w:val="004E63C6"/>
    <w:rsid w:val="004E67AC"/>
    <w:rsid w:val="004E76A7"/>
    <w:rsid w:val="004E7B03"/>
    <w:rsid w:val="004F0064"/>
    <w:rsid w:val="004F03B6"/>
    <w:rsid w:val="004F06AC"/>
    <w:rsid w:val="004F0E50"/>
    <w:rsid w:val="004F1D2A"/>
    <w:rsid w:val="004F2074"/>
    <w:rsid w:val="004F243F"/>
    <w:rsid w:val="004F252C"/>
    <w:rsid w:val="004F36A3"/>
    <w:rsid w:val="004F3E0C"/>
    <w:rsid w:val="004F4308"/>
    <w:rsid w:val="004F7160"/>
    <w:rsid w:val="00500258"/>
    <w:rsid w:val="00500B2D"/>
    <w:rsid w:val="00501A99"/>
    <w:rsid w:val="00503180"/>
    <w:rsid w:val="005038A4"/>
    <w:rsid w:val="00505450"/>
    <w:rsid w:val="005100B7"/>
    <w:rsid w:val="005105DE"/>
    <w:rsid w:val="005113C9"/>
    <w:rsid w:val="00512050"/>
    <w:rsid w:val="00512055"/>
    <w:rsid w:val="0051280C"/>
    <w:rsid w:val="00512842"/>
    <w:rsid w:val="005128BE"/>
    <w:rsid w:val="0051356F"/>
    <w:rsid w:val="00513E7C"/>
    <w:rsid w:val="005140BB"/>
    <w:rsid w:val="005142C6"/>
    <w:rsid w:val="00514FBE"/>
    <w:rsid w:val="00514FD9"/>
    <w:rsid w:val="0051550A"/>
    <w:rsid w:val="00515810"/>
    <w:rsid w:val="0051608F"/>
    <w:rsid w:val="00516480"/>
    <w:rsid w:val="00520815"/>
    <w:rsid w:val="00520843"/>
    <w:rsid w:val="00520EF8"/>
    <w:rsid w:val="005210F7"/>
    <w:rsid w:val="00521753"/>
    <w:rsid w:val="00521F1C"/>
    <w:rsid w:val="0052239D"/>
    <w:rsid w:val="005224EE"/>
    <w:rsid w:val="00522879"/>
    <w:rsid w:val="00523BB1"/>
    <w:rsid w:val="00524B23"/>
    <w:rsid w:val="0052570E"/>
    <w:rsid w:val="005260CD"/>
    <w:rsid w:val="00526265"/>
    <w:rsid w:val="0052655D"/>
    <w:rsid w:val="005265E0"/>
    <w:rsid w:val="00526BC3"/>
    <w:rsid w:val="00531761"/>
    <w:rsid w:val="0053248F"/>
    <w:rsid w:val="00532561"/>
    <w:rsid w:val="005327AB"/>
    <w:rsid w:val="00532AB8"/>
    <w:rsid w:val="00532D98"/>
    <w:rsid w:val="0053332A"/>
    <w:rsid w:val="0053358A"/>
    <w:rsid w:val="00534668"/>
    <w:rsid w:val="00534DDD"/>
    <w:rsid w:val="00535291"/>
    <w:rsid w:val="00535A94"/>
    <w:rsid w:val="00537874"/>
    <w:rsid w:val="0053795F"/>
    <w:rsid w:val="00537D3D"/>
    <w:rsid w:val="00540511"/>
    <w:rsid w:val="00540578"/>
    <w:rsid w:val="00540808"/>
    <w:rsid w:val="0054080E"/>
    <w:rsid w:val="00540D1A"/>
    <w:rsid w:val="00540EA1"/>
    <w:rsid w:val="00541E5A"/>
    <w:rsid w:val="0054358E"/>
    <w:rsid w:val="00543AF4"/>
    <w:rsid w:val="00543F53"/>
    <w:rsid w:val="00544191"/>
    <w:rsid w:val="0054440C"/>
    <w:rsid w:val="005448EC"/>
    <w:rsid w:val="00544C0A"/>
    <w:rsid w:val="00544F39"/>
    <w:rsid w:val="005457FB"/>
    <w:rsid w:val="005458CD"/>
    <w:rsid w:val="00546F90"/>
    <w:rsid w:val="00547EFB"/>
    <w:rsid w:val="005522F2"/>
    <w:rsid w:val="005531DF"/>
    <w:rsid w:val="00553874"/>
    <w:rsid w:val="00554577"/>
    <w:rsid w:val="00554AD8"/>
    <w:rsid w:val="00554F78"/>
    <w:rsid w:val="00555DA1"/>
    <w:rsid w:val="00556366"/>
    <w:rsid w:val="005565DF"/>
    <w:rsid w:val="00556BF7"/>
    <w:rsid w:val="00556E53"/>
    <w:rsid w:val="00557F60"/>
    <w:rsid w:val="00561730"/>
    <w:rsid w:val="00561B97"/>
    <w:rsid w:val="00562149"/>
    <w:rsid w:val="005640EB"/>
    <w:rsid w:val="0056684E"/>
    <w:rsid w:val="00567B5D"/>
    <w:rsid w:val="00570757"/>
    <w:rsid w:val="00573733"/>
    <w:rsid w:val="00573F8B"/>
    <w:rsid w:val="00574528"/>
    <w:rsid w:val="00574554"/>
    <w:rsid w:val="00574737"/>
    <w:rsid w:val="00574E06"/>
    <w:rsid w:val="005751BB"/>
    <w:rsid w:val="00576089"/>
    <w:rsid w:val="00576415"/>
    <w:rsid w:val="005764B1"/>
    <w:rsid w:val="00576852"/>
    <w:rsid w:val="00576D06"/>
    <w:rsid w:val="005779E4"/>
    <w:rsid w:val="00577A03"/>
    <w:rsid w:val="00580EC7"/>
    <w:rsid w:val="0058289C"/>
    <w:rsid w:val="005835A5"/>
    <w:rsid w:val="005836C7"/>
    <w:rsid w:val="0058408E"/>
    <w:rsid w:val="00585374"/>
    <w:rsid w:val="005854CA"/>
    <w:rsid w:val="00585FAB"/>
    <w:rsid w:val="005901F7"/>
    <w:rsid w:val="00590B77"/>
    <w:rsid w:val="00590D9A"/>
    <w:rsid w:val="005913A3"/>
    <w:rsid w:val="005940D4"/>
    <w:rsid w:val="00594A7B"/>
    <w:rsid w:val="0059580E"/>
    <w:rsid w:val="00595D90"/>
    <w:rsid w:val="00596A6F"/>
    <w:rsid w:val="00596D75"/>
    <w:rsid w:val="00596FCE"/>
    <w:rsid w:val="00597551"/>
    <w:rsid w:val="005A11BC"/>
    <w:rsid w:val="005A11CC"/>
    <w:rsid w:val="005A1525"/>
    <w:rsid w:val="005A1E17"/>
    <w:rsid w:val="005A2036"/>
    <w:rsid w:val="005A24EF"/>
    <w:rsid w:val="005A252B"/>
    <w:rsid w:val="005A2A8F"/>
    <w:rsid w:val="005A2FDF"/>
    <w:rsid w:val="005A3204"/>
    <w:rsid w:val="005A3341"/>
    <w:rsid w:val="005A3C3D"/>
    <w:rsid w:val="005A46EC"/>
    <w:rsid w:val="005A5EAE"/>
    <w:rsid w:val="005A6407"/>
    <w:rsid w:val="005A726C"/>
    <w:rsid w:val="005B07EC"/>
    <w:rsid w:val="005B2B11"/>
    <w:rsid w:val="005B32A4"/>
    <w:rsid w:val="005B3371"/>
    <w:rsid w:val="005B338D"/>
    <w:rsid w:val="005B33A1"/>
    <w:rsid w:val="005B3852"/>
    <w:rsid w:val="005B3BAF"/>
    <w:rsid w:val="005B4DA3"/>
    <w:rsid w:val="005B5BEE"/>
    <w:rsid w:val="005B77D2"/>
    <w:rsid w:val="005C019B"/>
    <w:rsid w:val="005C08D0"/>
    <w:rsid w:val="005C1AED"/>
    <w:rsid w:val="005C2136"/>
    <w:rsid w:val="005C2D8A"/>
    <w:rsid w:val="005C30F5"/>
    <w:rsid w:val="005C51A5"/>
    <w:rsid w:val="005C557A"/>
    <w:rsid w:val="005C566F"/>
    <w:rsid w:val="005C5C47"/>
    <w:rsid w:val="005C5F31"/>
    <w:rsid w:val="005C61DD"/>
    <w:rsid w:val="005C6438"/>
    <w:rsid w:val="005C6B8B"/>
    <w:rsid w:val="005C727F"/>
    <w:rsid w:val="005C7A0C"/>
    <w:rsid w:val="005D02E3"/>
    <w:rsid w:val="005D1F34"/>
    <w:rsid w:val="005D2C1F"/>
    <w:rsid w:val="005D34B2"/>
    <w:rsid w:val="005D3B54"/>
    <w:rsid w:val="005D40CD"/>
    <w:rsid w:val="005D6B59"/>
    <w:rsid w:val="005D784B"/>
    <w:rsid w:val="005E03E4"/>
    <w:rsid w:val="005E0454"/>
    <w:rsid w:val="005E05F6"/>
    <w:rsid w:val="005E2442"/>
    <w:rsid w:val="005E3111"/>
    <w:rsid w:val="005E3CA0"/>
    <w:rsid w:val="005E3F85"/>
    <w:rsid w:val="005E3FFA"/>
    <w:rsid w:val="005E4A5F"/>
    <w:rsid w:val="005E57B0"/>
    <w:rsid w:val="005E5B01"/>
    <w:rsid w:val="005E6C97"/>
    <w:rsid w:val="005E6D3B"/>
    <w:rsid w:val="005F009E"/>
    <w:rsid w:val="005F0DF1"/>
    <w:rsid w:val="005F1516"/>
    <w:rsid w:val="005F229E"/>
    <w:rsid w:val="005F2564"/>
    <w:rsid w:val="005F3822"/>
    <w:rsid w:val="005F4635"/>
    <w:rsid w:val="005F46F1"/>
    <w:rsid w:val="005F4900"/>
    <w:rsid w:val="005F4E52"/>
    <w:rsid w:val="005F572D"/>
    <w:rsid w:val="005F6181"/>
    <w:rsid w:val="005F6338"/>
    <w:rsid w:val="005F6D58"/>
    <w:rsid w:val="005F7383"/>
    <w:rsid w:val="0060058E"/>
    <w:rsid w:val="00602A3C"/>
    <w:rsid w:val="00603EFD"/>
    <w:rsid w:val="0060475B"/>
    <w:rsid w:val="00604BED"/>
    <w:rsid w:val="00604FB6"/>
    <w:rsid w:val="00605387"/>
    <w:rsid w:val="00606302"/>
    <w:rsid w:val="00606D8C"/>
    <w:rsid w:val="006076FD"/>
    <w:rsid w:val="0061143F"/>
    <w:rsid w:val="006114D8"/>
    <w:rsid w:val="00613553"/>
    <w:rsid w:val="00613601"/>
    <w:rsid w:val="00613791"/>
    <w:rsid w:val="00614AF6"/>
    <w:rsid w:val="006150D6"/>
    <w:rsid w:val="00615245"/>
    <w:rsid w:val="0061590D"/>
    <w:rsid w:val="0061732A"/>
    <w:rsid w:val="00617EEE"/>
    <w:rsid w:val="00620A1F"/>
    <w:rsid w:val="0062169D"/>
    <w:rsid w:val="0062181E"/>
    <w:rsid w:val="0062211B"/>
    <w:rsid w:val="00622BB7"/>
    <w:rsid w:val="00622C1E"/>
    <w:rsid w:val="00623389"/>
    <w:rsid w:val="00623DAA"/>
    <w:rsid w:val="00623FAF"/>
    <w:rsid w:val="006265C4"/>
    <w:rsid w:val="0062670C"/>
    <w:rsid w:val="0062678A"/>
    <w:rsid w:val="006270AF"/>
    <w:rsid w:val="006311E2"/>
    <w:rsid w:val="00633C69"/>
    <w:rsid w:val="00634367"/>
    <w:rsid w:val="00640082"/>
    <w:rsid w:val="00640291"/>
    <w:rsid w:val="00640EFE"/>
    <w:rsid w:val="00641D6D"/>
    <w:rsid w:val="00641FAC"/>
    <w:rsid w:val="006424D0"/>
    <w:rsid w:val="00643664"/>
    <w:rsid w:val="00643CAA"/>
    <w:rsid w:val="00644F16"/>
    <w:rsid w:val="006453F1"/>
    <w:rsid w:val="006455EB"/>
    <w:rsid w:val="006456C2"/>
    <w:rsid w:val="00645A65"/>
    <w:rsid w:val="006477F0"/>
    <w:rsid w:val="006478E4"/>
    <w:rsid w:val="0065171A"/>
    <w:rsid w:val="00652680"/>
    <w:rsid w:val="00652E4A"/>
    <w:rsid w:val="00653CDE"/>
    <w:rsid w:val="00654585"/>
    <w:rsid w:val="0065566E"/>
    <w:rsid w:val="00655AB6"/>
    <w:rsid w:val="00656061"/>
    <w:rsid w:val="00656281"/>
    <w:rsid w:val="0065636A"/>
    <w:rsid w:val="00657003"/>
    <w:rsid w:val="00660238"/>
    <w:rsid w:val="006602EF"/>
    <w:rsid w:val="00661277"/>
    <w:rsid w:val="006619E0"/>
    <w:rsid w:val="00663AE1"/>
    <w:rsid w:val="00663FEA"/>
    <w:rsid w:val="00664803"/>
    <w:rsid w:val="006657C5"/>
    <w:rsid w:val="006661A4"/>
    <w:rsid w:val="00666AC0"/>
    <w:rsid w:val="006670E0"/>
    <w:rsid w:val="006671B8"/>
    <w:rsid w:val="00667275"/>
    <w:rsid w:val="00667532"/>
    <w:rsid w:val="0066783E"/>
    <w:rsid w:val="00667E53"/>
    <w:rsid w:val="006711C4"/>
    <w:rsid w:val="006713AB"/>
    <w:rsid w:val="00672CA5"/>
    <w:rsid w:val="00673711"/>
    <w:rsid w:val="00673F82"/>
    <w:rsid w:val="00674F74"/>
    <w:rsid w:val="0067508F"/>
    <w:rsid w:val="00677576"/>
    <w:rsid w:val="0068051E"/>
    <w:rsid w:val="00680B9D"/>
    <w:rsid w:val="00681F13"/>
    <w:rsid w:val="0068231C"/>
    <w:rsid w:val="00682344"/>
    <w:rsid w:val="00682F28"/>
    <w:rsid w:val="00683515"/>
    <w:rsid w:val="00684842"/>
    <w:rsid w:val="006859AA"/>
    <w:rsid w:val="00685BD6"/>
    <w:rsid w:val="00686ABB"/>
    <w:rsid w:val="00687116"/>
    <w:rsid w:val="006878A6"/>
    <w:rsid w:val="00687D5F"/>
    <w:rsid w:val="00690437"/>
    <w:rsid w:val="00690DC3"/>
    <w:rsid w:val="00690E65"/>
    <w:rsid w:val="00690FB5"/>
    <w:rsid w:val="006911B7"/>
    <w:rsid w:val="00691387"/>
    <w:rsid w:val="0069188E"/>
    <w:rsid w:val="00691974"/>
    <w:rsid w:val="00692BF6"/>
    <w:rsid w:val="00692CE6"/>
    <w:rsid w:val="00693186"/>
    <w:rsid w:val="00693381"/>
    <w:rsid w:val="00693B6C"/>
    <w:rsid w:val="006942AE"/>
    <w:rsid w:val="00695421"/>
    <w:rsid w:val="006956FF"/>
    <w:rsid w:val="00697BD3"/>
    <w:rsid w:val="00697DFA"/>
    <w:rsid w:val="006A16D5"/>
    <w:rsid w:val="006A1772"/>
    <w:rsid w:val="006A1780"/>
    <w:rsid w:val="006A21DD"/>
    <w:rsid w:val="006A26C6"/>
    <w:rsid w:val="006A3302"/>
    <w:rsid w:val="006A3B28"/>
    <w:rsid w:val="006A418C"/>
    <w:rsid w:val="006A4FEE"/>
    <w:rsid w:val="006A5549"/>
    <w:rsid w:val="006A703E"/>
    <w:rsid w:val="006A7BE3"/>
    <w:rsid w:val="006A7D32"/>
    <w:rsid w:val="006B01D1"/>
    <w:rsid w:val="006B0DF4"/>
    <w:rsid w:val="006B16EA"/>
    <w:rsid w:val="006B1780"/>
    <w:rsid w:val="006B224E"/>
    <w:rsid w:val="006B376E"/>
    <w:rsid w:val="006B4589"/>
    <w:rsid w:val="006B4A81"/>
    <w:rsid w:val="006B5157"/>
    <w:rsid w:val="006B610E"/>
    <w:rsid w:val="006B6805"/>
    <w:rsid w:val="006B6C07"/>
    <w:rsid w:val="006B6DE0"/>
    <w:rsid w:val="006C16C3"/>
    <w:rsid w:val="006C2187"/>
    <w:rsid w:val="006C32F4"/>
    <w:rsid w:val="006C3C54"/>
    <w:rsid w:val="006C4B6B"/>
    <w:rsid w:val="006C4CE1"/>
    <w:rsid w:val="006C4F9F"/>
    <w:rsid w:val="006C653C"/>
    <w:rsid w:val="006C71A2"/>
    <w:rsid w:val="006C73EC"/>
    <w:rsid w:val="006C7E3D"/>
    <w:rsid w:val="006D0C1D"/>
    <w:rsid w:val="006D2E9D"/>
    <w:rsid w:val="006D4A4E"/>
    <w:rsid w:val="006D4C42"/>
    <w:rsid w:val="006D5389"/>
    <w:rsid w:val="006D53A2"/>
    <w:rsid w:val="006D5809"/>
    <w:rsid w:val="006D607E"/>
    <w:rsid w:val="006D6E12"/>
    <w:rsid w:val="006D70CB"/>
    <w:rsid w:val="006D715C"/>
    <w:rsid w:val="006D7363"/>
    <w:rsid w:val="006D774E"/>
    <w:rsid w:val="006E0754"/>
    <w:rsid w:val="006E2668"/>
    <w:rsid w:val="006E2D39"/>
    <w:rsid w:val="006E2D63"/>
    <w:rsid w:val="006E32B0"/>
    <w:rsid w:val="006E348E"/>
    <w:rsid w:val="006E396A"/>
    <w:rsid w:val="006E3D63"/>
    <w:rsid w:val="006E456B"/>
    <w:rsid w:val="006E58BF"/>
    <w:rsid w:val="006E5DD8"/>
    <w:rsid w:val="006E5EA1"/>
    <w:rsid w:val="006E6DEE"/>
    <w:rsid w:val="006E7D4B"/>
    <w:rsid w:val="006F0527"/>
    <w:rsid w:val="006F0760"/>
    <w:rsid w:val="006F11E2"/>
    <w:rsid w:val="006F2574"/>
    <w:rsid w:val="006F3231"/>
    <w:rsid w:val="006F3DE3"/>
    <w:rsid w:val="006F4787"/>
    <w:rsid w:val="006F4BE6"/>
    <w:rsid w:val="006F61D8"/>
    <w:rsid w:val="006F62B7"/>
    <w:rsid w:val="006F70BC"/>
    <w:rsid w:val="006F726C"/>
    <w:rsid w:val="006F7E7C"/>
    <w:rsid w:val="0070174E"/>
    <w:rsid w:val="007018DB"/>
    <w:rsid w:val="00701DE6"/>
    <w:rsid w:val="00702740"/>
    <w:rsid w:val="0070381B"/>
    <w:rsid w:val="0070796C"/>
    <w:rsid w:val="007109BB"/>
    <w:rsid w:val="00710EBF"/>
    <w:rsid w:val="007110B8"/>
    <w:rsid w:val="0071209F"/>
    <w:rsid w:val="007121DA"/>
    <w:rsid w:val="007125A2"/>
    <w:rsid w:val="00713DD9"/>
    <w:rsid w:val="00713F79"/>
    <w:rsid w:val="007148A8"/>
    <w:rsid w:val="00716AC8"/>
    <w:rsid w:val="00716E54"/>
    <w:rsid w:val="0072033C"/>
    <w:rsid w:val="00720B1B"/>
    <w:rsid w:val="00720EDC"/>
    <w:rsid w:val="00721062"/>
    <w:rsid w:val="00721E5D"/>
    <w:rsid w:val="007229D4"/>
    <w:rsid w:val="007230F8"/>
    <w:rsid w:val="0072318A"/>
    <w:rsid w:val="007233F4"/>
    <w:rsid w:val="00724044"/>
    <w:rsid w:val="007248D3"/>
    <w:rsid w:val="00724DF8"/>
    <w:rsid w:val="00725137"/>
    <w:rsid w:val="00725378"/>
    <w:rsid w:val="00727433"/>
    <w:rsid w:val="00727A43"/>
    <w:rsid w:val="00727FF2"/>
    <w:rsid w:val="00730550"/>
    <w:rsid w:val="00730C2A"/>
    <w:rsid w:val="00731434"/>
    <w:rsid w:val="00731E59"/>
    <w:rsid w:val="00731F63"/>
    <w:rsid w:val="007323E0"/>
    <w:rsid w:val="00732911"/>
    <w:rsid w:val="00732B4E"/>
    <w:rsid w:val="0073360F"/>
    <w:rsid w:val="00733721"/>
    <w:rsid w:val="00733DE2"/>
    <w:rsid w:val="00734142"/>
    <w:rsid w:val="007352EA"/>
    <w:rsid w:val="0073792F"/>
    <w:rsid w:val="00740C81"/>
    <w:rsid w:val="00740DA6"/>
    <w:rsid w:val="00741B4B"/>
    <w:rsid w:val="00741D1E"/>
    <w:rsid w:val="00741DD6"/>
    <w:rsid w:val="00741EE2"/>
    <w:rsid w:val="0074207F"/>
    <w:rsid w:val="00742367"/>
    <w:rsid w:val="00742EAA"/>
    <w:rsid w:val="00743360"/>
    <w:rsid w:val="00743818"/>
    <w:rsid w:val="00743857"/>
    <w:rsid w:val="007441FB"/>
    <w:rsid w:val="00744517"/>
    <w:rsid w:val="0074522A"/>
    <w:rsid w:val="00747295"/>
    <w:rsid w:val="00747386"/>
    <w:rsid w:val="00747829"/>
    <w:rsid w:val="00747DE2"/>
    <w:rsid w:val="007502D0"/>
    <w:rsid w:val="007504BF"/>
    <w:rsid w:val="007506CD"/>
    <w:rsid w:val="0075267F"/>
    <w:rsid w:val="007526EC"/>
    <w:rsid w:val="00753C48"/>
    <w:rsid w:val="00754250"/>
    <w:rsid w:val="00754FE4"/>
    <w:rsid w:val="00755216"/>
    <w:rsid w:val="00756236"/>
    <w:rsid w:val="00756271"/>
    <w:rsid w:val="00756348"/>
    <w:rsid w:val="0075641E"/>
    <w:rsid w:val="00756521"/>
    <w:rsid w:val="00756AB7"/>
    <w:rsid w:val="00757673"/>
    <w:rsid w:val="0076106D"/>
    <w:rsid w:val="007623FB"/>
    <w:rsid w:val="00762517"/>
    <w:rsid w:val="00763240"/>
    <w:rsid w:val="0076354C"/>
    <w:rsid w:val="0076376A"/>
    <w:rsid w:val="007648AD"/>
    <w:rsid w:val="0076504E"/>
    <w:rsid w:val="00767BFD"/>
    <w:rsid w:val="00767EA0"/>
    <w:rsid w:val="0077068F"/>
    <w:rsid w:val="00771EDF"/>
    <w:rsid w:val="00771FEC"/>
    <w:rsid w:val="007724B4"/>
    <w:rsid w:val="00772A90"/>
    <w:rsid w:val="00772F8D"/>
    <w:rsid w:val="0077408D"/>
    <w:rsid w:val="00774270"/>
    <w:rsid w:val="007743F6"/>
    <w:rsid w:val="00775679"/>
    <w:rsid w:val="0077574F"/>
    <w:rsid w:val="00775823"/>
    <w:rsid w:val="00777153"/>
    <w:rsid w:val="007774D0"/>
    <w:rsid w:val="007775E9"/>
    <w:rsid w:val="007777CC"/>
    <w:rsid w:val="00777B32"/>
    <w:rsid w:val="0078051E"/>
    <w:rsid w:val="00781089"/>
    <w:rsid w:val="00782B6A"/>
    <w:rsid w:val="007834AD"/>
    <w:rsid w:val="007838F3"/>
    <w:rsid w:val="00785184"/>
    <w:rsid w:val="007856FE"/>
    <w:rsid w:val="00785F46"/>
    <w:rsid w:val="007865F4"/>
    <w:rsid w:val="00786D5C"/>
    <w:rsid w:val="00786E96"/>
    <w:rsid w:val="00787BB6"/>
    <w:rsid w:val="00787DFF"/>
    <w:rsid w:val="00787F93"/>
    <w:rsid w:val="00791E6D"/>
    <w:rsid w:val="00791EB5"/>
    <w:rsid w:val="00793279"/>
    <w:rsid w:val="00793307"/>
    <w:rsid w:val="0079343F"/>
    <w:rsid w:val="00793696"/>
    <w:rsid w:val="007955DA"/>
    <w:rsid w:val="00796F65"/>
    <w:rsid w:val="007A11C2"/>
    <w:rsid w:val="007A18BB"/>
    <w:rsid w:val="007A27DD"/>
    <w:rsid w:val="007A41BF"/>
    <w:rsid w:val="007A490A"/>
    <w:rsid w:val="007A6268"/>
    <w:rsid w:val="007A7B95"/>
    <w:rsid w:val="007B0297"/>
    <w:rsid w:val="007B02FA"/>
    <w:rsid w:val="007B08C7"/>
    <w:rsid w:val="007B0F53"/>
    <w:rsid w:val="007B21AE"/>
    <w:rsid w:val="007B2570"/>
    <w:rsid w:val="007B3113"/>
    <w:rsid w:val="007B3304"/>
    <w:rsid w:val="007B3BF0"/>
    <w:rsid w:val="007B55FE"/>
    <w:rsid w:val="007B7490"/>
    <w:rsid w:val="007C0525"/>
    <w:rsid w:val="007C13F7"/>
    <w:rsid w:val="007C152F"/>
    <w:rsid w:val="007C218D"/>
    <w:rsid w:val="007C2D28"/>
    <w:rsid w:val="007C3E22"/>
    <w:rsid w:val="007C4E19"/>
    <w:rsid w:val="007C58C1"/>
    <w:rsid w:val="007C6218"/>
    <w:rsid w:val="007C6484"/>
    <w:rsid w:val="007C67C6"/>
    <w:rsid w:val="007C78BE"/>
    <w:rsid w:val="007C7A5D"/>
    <w:rsid w:val="007C7E59"/>
    <w:rsid w:val="007D0476"/>
    <w:rsid w:val="007D0B91"/>
    <w:rsid w:val="007D1452"/>
    <w:rsid w:val="007D1563"/>
    <w:rsid w:val="007D3DCB"/>
    <w:rsid w:val="007D460C"/>
    <w:rsid w:val="007D4996"/>
    <w:rsid w:val="007D4AD3"/>
    <w:rsid w:val="007D4B4D"/>
    <w:rsid w:val="007D5D19"/>
    <w:rsid w:val="007D5FDC"/>
    <w:rsid w:val="007D6176"/>
    <w:rsid w:val="007D69CD"/>
    <w:rsid w:val="007D6D68"/>
    <w:rsid w:val="007E06B1"/>
    <w:rsid w:val="007E1D01"/>
    <w:rsid w:val="007E32DA"/>
    <w:rsid w:val="007E4998"/>
    <w:rsid w:val="007E4A9C"/>
    <w:rsid w:val="007E6914"/>
    <w:rsid w:val="007E7F78"/>
    <w:rsid w:val="007F0179"/>
    <w:rsid w:val="007F2C13"/>
    <w:rsid w:val="007F2CEC"/>
    <w:rsid w:val="007F3435"/>
    <w:rsid w:val="007F531B"/>
    <w:rsid w:val="007F55DE"/>
    <w:rsid w:val="007F6C7C"/>
    <w:rsid w:val="007F762D"/>
    <w:rsid w:val="007F78F0"/>
    <w:rsid w:val="007F78FF"/>
    <w:rsid w:val="008001C5"/>
    <w:rsid w:val="0080058F"/>
    <w:rsid w:val="00800F6C"/>
    <w:rsid w:val="00801065"/>
    <w:rsid w:val="00802C0B"/>
    <w:rsid w:val="0080313A"/>
    <w:rsid w:val="00805040"/>
    <w:rsid w:val="008051FC"/>
    <w:rsid w:val="008055A9"/>
    <w:rsid w:val="008056C4"/>
    <w:rsid w:val="008057FD"/>
    <w:rsid w:val="00805D8B"/>
    <w:rsid w:val="0081010F"/>
    <w:rsid w:val="00810A0B"/>
    <w:rsid w:val="00810BB6"/>
    <w:rsid w:val="00810E1F"/>
    <w:rsid w:val="00810E8E"/>
    <w:rsid w:val="00812C44"/>
    <w:rsid w:val="008135E1"/>
    <w:rsid w:val="00813779"/>
    <w:rsid w:val="00813E26"/>
    <w:rsid w:val="0081481D"/>
    <w:rsid w:val="00814BE8"/>
    <w:rsid w:val="00814F6E"/>
    <w:rsid w:val="00815022"/>
    <w:rsid w:val="00815B84"/>
    <w:rsid w:val="008166F6"/>
    <w:rsid w:val="00816BE9"/>
    <w:rsid w:val="00817D10"/>
    <w:rsid w:val="0082194C"/>
    <w:rsid w:val="0082224E"/>
    <w:rsid w:val="00822518"/>
    <w:rsid w:val="008226F5"/>
    <w:rsid w:val="00823FC6"/>
    <w:rsid w:val="00824306"/>
    <w:rsid w:val="00825C74"/>
    <w:rsid w:val="00825CFA"/>
    <w:rsid w:val="00826AB9"/>
    <w:rsid w:val="00826E0E"/>
    <w:rsid w:val="00827D11"/>
    <w:rsid w:val="00827E0F"/>
    <w:rsid w:val="00827F6E"/>
    <w:rsid w:val="00831758"/>
    <w:rsid w:val="008317D9"/>
    <w:rsid w:val="0083279F"/>
    <w:rsid w:val="00833250"/>
    <w:rsid w:val="008334DB"/>
    <w:rsid w:val="00833B7F"/>
    <w:rsid w:val="00833E8E"/>
    <w:rsid w:val="00834906"/>
    <w:rsid w:val="00836075"/>
    <w:rsid w:val="00836417"/>
    <w:rsid w:val="00837526"/>
    <w:rsid w:val="00837B5A"/>
    <w:rsid w:val="008407A7"/>
    <w:rsid w:val="0084322B"/>
    <w:rsid w:val="0084341D"/>
    <w:rsid w:val="00843711"/>
    <w:rsid w:val="00843F81"/>
    <w:rsid w:val="00844087"/>
    <w:rsid w:val="008448F1"/>
    <w:rsid w:val="0084519E"/>
    <w:rsid w:val="00845CAE"/>
    <w:rsid w:val="008462C5"/>
    <w:rsid w:val="00846370"/>
    <w:rsid w:val="00846873"/>
    <w:rsid w:val="00847015"/>
    <w:rsid w:val="008477E7"/>
    <w:rsid w:val="00847C2B"/>
    <w:rsid w:val="00850272"/>
    <w:rsid w:val="008506B9"/>
    <w:rsid w:val="0085086F"/>
    <w:rsid w:val="00851822"/>
    <w:rsid w:val="00851C16"/>
    <w:rsid w:val="00852C4A"/>
    <w:rsid w:val="008532BF"/>
    <w:rsid w:val="008539B2"/>
    <w:rsid w:val="00853BF4"/>
    <w:rsid w:val="00854294"/>
    <w:rsid w:val="00854295"/>
    <w:rsid w:val="0085572E"/>
    <w:rsid w:val="00857374"/>
    <w:rsid w:val="0085788B"/>
    <w:rsid w:val="00857A9E"/>
    <w:rsid w:val="00857DE2"/>
    <w:rsid w:val="0086003D"/>
    <w:rsid w:val="008607CC"/>
    <w:rsid w:val="00863A8E"/>
    <w:rsid w:val="00863B59"/>
    <w:rsid w:val="00864025"/>
    <w:rsid w:val="0086407F"/>
    <w:rsid w:val="008645E3"/>
    <w:rsid w:val="00864E79"/>
    <w:rsid w:val="0086661F"/>
    <w:rsid w:val="00866A0D"/>
    <w:rsid w:val="00866DB5"/>
    <w:rsid w:val="0086701D"/>
    <w:rsid w:val="0086702B"/>
    <w:rsid w:val="008672E2"/>
    <w:rsid w:val="0086784E"/>
    <w:rsid w:val="0087121C"/>
    <w:rsid w:val="008719D4"/>
    <w:rsid w:val="00871FD2"/>
    <w:rsid w:val="00872084"/>
    <w:rsid w:val="00872827"/>
    <w:rsid w:val="00872A32"/>
    <w:rsid w:val="00874911"/>
    <w:rsid w:val="008754E4"/>
    <w:rsid w:val="00876EAE"/>
    <w:rsid w:val="00880106"/>
    <w:rsid w:val="00880F95"/>
    <w:rsid w:val="00882B44"/>
    <w:rsid w:val="008838AD"/>
    <w:rsid w:val="00883DA1"/>
    <w:rsid w:val="00885BC9"/>
    <w:rsid w:val="008864B3"/>
    <w:rsid w:val="008865E5"/>
    <w:rsid w:val="008871B0"/>
    <w:rsid w:val="00890B57"/>
    <w:rsid w:val="008916BA"/>
    <w:rsid w:val="00891DEB"/>
    <w:rsid w:val="0089217C"/>
    <w:rsid w:val="00892790"/>
    <w:rsid w:val="00893671"/>
    <w:rsid w:val="00894D50"/>
    <w:rsid w:val="00895838"/>
    <w:rsid w:val="00895A1E"/>
    <w:rsid w:val="00895A72"/>
    <w:rsid w:val="00895CDF"/>
    <w:rsid w:val="00896679"/>
    <w:rsid w:val="00896D8C"/>
    <w:rsid w:val="008A0FC9"/>
    <w:rsid w:val="008A1956"/>
    <w:rsid w:val="008A1A7C"/>
    <w:rsid w:val="008A2CE2"/>
    <w:rsid w:val="008A30EB"/>
    <w:rsid w:val="008A40D3"/>
    <w:rsid w:val="008A469C"/>
    <w:rsid w:val="008A5124"/>
    <w:rsid w:val="008A51D1"/>
    <w:rsid w:val="008A5DCE"/>
    <w:rsid w:val="008A75D3"/>
    <w:rsid w:val="008B04AE"/>
    <w:rsid w:val="008B05DD"/>
    <w:rsid w:val="008B07B8"/>
    <w:rsid w:val="008B17E8"/>
    <w:rsid w:val="008B2E7C"/>
    <w:rsid w:val="008B368E"/>
    <w:rsid w:val="008B399A"/>
    <w:rsid w:val="008B45F0"/>
    <w:rsid w:val="008B4A70"/>
    <w:rsid w:val="008B502F"/>
    <w:rsid w:val="008B6DFC"/>
    <w:rsid w:val="008B7227"/>
    <w:rsid w:val="008B7B00"/>
    <w:rsid w:val="008C02FB"/>
    <w:rsid w:val="008C04E0"/>
    <w:rsid w:val="008C191C"/>
    <w:rsid w:val="008C1DA4"/>
    <w:rsid w:val="008C2138"/>
    <w:rsid w:val="008C29B0"/>
    <w:rsid w:val="008C2CD5"/>
    <w:rsid w:val="008C3618"/>
    <w:rsid w:val="008C39E7"/>
    <w:rsid w:val="008C43AD"/>
    <w:rsid w:val="008C6118"/>
    <w:rsid w:val="008C6341"/>
    <w:rsid w:val="008C653D"/>
    <w:rsid w:val="008C731F"/>
    <w:rsid w:val="008C74D9"/>
    <w:rsid w:val="008C7B1D"/>
    <w:rsid w:val="008D1804"/>
    <w:rsid w:val="008D2050"/>
    <w:rsid w:val="008D317D"/>
    <w:rsid w:val="008D337B"/>
    <w:rsid w:val="008D3B2D"/>
    <w:rsid w:val="008D58D9"/>
    <w:rsid w:val="008D5AD4"/>
    <w:rsid w:val="008D695E"/>
    <w:rsid w:val="008D6DD5"/>
    <w:rsid w:val="008D6E59"/>
    <w:rsid w:val="008D7155"/>
    <w:rsid w:val="008D76E0"/>
    <w:rsid w:val="008E0B29"/>
    <w:rsid w:val="008E141A"/>
    <w:rsid w:val="008E1A44"/>
    <w:rsid w:val="008E211F"/>
    <w:rsid w:val="008E28E6"/>
    <w:rsid w:val="008E3232"/>
    <w:rsid w:val="008E3674"/>
    <w:rsid w:val="008E3B6C"/>
    <w:rsid w:val="008E3DE7"/>
    <w:rsid w:val="008E5227"/>
    <w:rsid w:val="008E562C"/>
    <w:rsid w:val="008E6540"/>
    <w:rsid w:val="008E77D4"/>
    <w:rsid w:val="008E7ADD"/>
    <w:rsid w:val="008F0869"/>
    <w:rsid w:val="008F091F"/>
    <w:rsid w:val="008F17B2"/>
    <w:rsid w:val="008F22B3"/>
    <w:rsid w:val="008F357B"/>
    <w:rsid w:val="008F44CA"/>
    <w:rsid w:val="008F49D3"/>
    <w:rsid w:val="008F52C0"/>
    <w:rsid w:val="008F6519"/>
    <w:rsid w:val="008F6BF2"/>
    <w:rsid w:val="008F7012"/>
    <w:rsid w:val="008F7ADA"/>
    <w:rsid w:val="008F7B17"/>
    <w:rsid w:val="00900042"/>
    <w:rsid w:val="0090008E"/>
    <w:rsid w:val="0090034B"/>
    <w:rsid w:val="0090087C"/>
    <w:rsid w:val="00901025"/>
    <w:rsid w:val="00901121"/>
    <w:rsid w:val="00901B35"/>
    <w:rsid w:val="00902623"/>
    <w:rsid w:val="00902A67"/>
    <w:rsid w:val="00902C5E"/>
    <w:rsid w:val="00902F6B"/>
    <w:rsid w:val="00903CF9"/>
    <w:rsid w:val="00904BE4"/>
    <w:rsid w:val="0090504A"/>
    <w:rsid w:val="009051F5"/>
    <w:rsid w:val="00905221"/>
    <w:rsid w:val="00905A7C"/>
    <w:rsid w:val="00905D7E"/>
    <w:rsid w:val="00907037"/>
    <w:rsid w:val="0091112C"/>
    <w:rsid w:val="0091160A"/>
    <w:rsid w:val="0091199D"/>
    <w:rsid w:val="00911B4E"/>
    <w:rsid w:val="00912E04"/>
    <w:rsid w:val="00913258"/>
    <w:rsid w:val="00913851"/>
    <w:rsid w:val="0091389B"/>
    <w:rsid w:val="00913BB0"/>
    <w:rsid w:val="0091456C"/>
    <w:rsid w:val="0091467B"/>
    <w:rsid w:val="00914C58"/>
    <w:rsid w:val="00914D78"/>
    <w:rsid w:val="0091564D"/>
    <w:rsid w:val="009156DA"/>
    <w:rsid w:val="00915774"/>
    <w:rsid w:val="00916BC5"/>
    <w:rsid w:val="0091726A"/>
    <w:rsid w:val="00917C01"/>
    <w:rsid w:val="00920184"/>
    <w:rsid w:val="00920EA4"/>
    <w:rsid w:val="00921792"/>
    <w:rsid w:val="00921BEA"/>
    <w:rsid w:val="009227BE"/>
    <w:rsid w:val="009238FD"/>
    <w:rsid w:val="00923998"/>
    <w:rsid w:val="00923DB4"/>
    <w:rsid w:val="0092420B"/>
    <w:rsid w:val="0092430E"/>
    <w:rsid w:val="009250FA"/>
    <w:rsid w:val="00926112"/>
    <w:rsid w:val="0092625F"/>
    <w:rsid w:val="00926B28"/>
    <w:rsid w:val="00926D9C"/>
    <w:rsid w:val="00927028"/>
    <w:rsid w:val="00927763"/>
    <w:rsid w:val="00927A2D"/>
    <w:rsid w:val="00927B37"/>
    <w:rsid w:val="0093183B"/>
    <w:rsid w:val="009321B1"/>
    <w:rsid w:val="00932ED7"/>
    <w:rsid w:val="0093422D"/>
    <w:rsid w:val="0093483B"/>
    <w:rsid w:val="00934CF9"/>
    <w:rsid w:val="00934DD7"/>
    <w:rsid w:val="00935CB2"/>
    <w:rsid w:val="009369A9"/>
    <w:rsid w:val="00936CF7"/>
    <w:rsid w:val="00937783"/>
    <w:rsid w:val="00937EAD"/>
    <w:rsid w:val="00937F28"/>
    <w:rsid w:val="00940FE1"/>
    <w:rsid w:val="00942306"/>
    <w:rsid w:val="009424B8"/>
    <w:rsid w:val="009432E2"/>
    <w:rsid w:val="00944668"/>
    <w:rsid w:val="00944DC6"/>
    <w:rsid w:val="00944F3C"/>
    <w:rsid w:val="009458B0"/>
    <w:rsid w:val="00945B52"/>
    <w:rsid w:val="00945B7A"/>
    <w:rsid w:val="00945F05"/>
    <w:rsid w:val="00946348"/>
    <w:rsid w:val="009463FF"/>
    <w:rsid w:val="00947224"/>
    <w:rsid w:val="00947797"/>
    <w:rsid w:val="009478A2"/>
    <w:rsid w:val="009514F1"/>
    <w:rsid w:val="009533BD"/>
    <w:rsid w:val="00953808"/>
    <w:rsid w:val="009539A6"/>
    <w:rsid w:val="00953CC3"/>
    <w:rsid w:val="00954032"/>
    <w:rsid w:val="00954537"/>
    <w:rsid w:val="0095472D"/>
    <w:rsid w:val="00955342"/>
    <w:rsid w:val="00955B67"/>
    <w:rsid w:val="00955FBB"/>
    <w:rsid w:val="0095694B"/>
    <w:rsid w:val="00956BD5"/>
    <w:rsid w:val="00956D84"/>
    <w:rsid w:val="009577B5"/>
    <w:rsid w:val="00957B44"/>
    <w:rsid w:val="009608E6"/>
    <w:rsid w:val="00960F57"/>
    <w:rsid w:val="00961C90"/>
    <w:rsid w:val="009629BB"/>
    <w:rsid w:val="00963A82"/>
    <w:rsid w:val="00965443"/>
    <w:rsid w:val="00965954"/>
    <w:rsid w:val="00965A21"/>
    <w:rsid w:val="00965E55"/>
    <w:rsid w:val="0096608E"/>
    <w:rsid w:val="00966522"/>
    <w:rsid w:val="00966C33"/>
    <w:rsid w:val="00970F18"/>
    <w:rsid w:val="00971CF1"/>
    <w:rsid w:val="00971F5D"/>
    <w:rsid w:val="009721E9"/>
    <w:rsid w:val="00973772"/>
    <w:rsid w:val="0097560A"/>
    <w:rsid w:val="00975E1E"/>
    <w:rsid w:val="00975E70"/>
    <w:rsid w:val="009761DE"/>
    <w:rsid w:val="009766FA"/>
    <w:rsid w:val="00977A95"/>
    <w:rsid w:val="00977CD6"/>
    <w:rsid w:val="0098048B"/>
    <w:rsid w:val="00980908"/>
    <w:rsid w:val="00980DF9"/>
    <w:rsid w:val="00981CD8"/>
    <w:rsid w:val="0098243D"/>
    <w:rsid w:val="00982D26"/>
    <w:rsid w:val="00983B6E"/>
    <w:rsid w:val="00983FE5"/>
    <w:rsid w:val="009849E9"/>
    <w:rsid w:val="00984AFF"/>
    <w:rsid w:val="00984E4B"/>
    <w:rsid w:val="009859E4"/>
    <w:rsid w:val="00987812"/>
    <w:rsid w:val="00990225"/>
    <w:rsid w:val="00991307"/>
    <w:rsid w:val="00992A13"/>
    <w:rsid w:val="00994AAD"/>
    <w:rsid w:val="00995150"/>
    <w:rsid w:val="00995475"/>
    <w:rsid w:val="00995D67"/>
    <w:rsid w:val="00997613"/>
    <w:rsid w:val="009A013B"/>
    <w:rsid w:val="009A02F4"/>
    <w:rsid w:val="009A06BF"/>
    <w:rsid w:val="009A0D17"/>
    <w:rsid w:val="009A2494"/>
    <w:rsid w:val="009A32B1"/>
    <w:rsid w:val="009A33A3"/>
    <w:rsid w:val="009A36F2"/>
    <w:rsid w:val="009A40C3"/>
    <w:rsid w:val="009A40D5"/>
    <w:rsid w:val="009A5268"/>
    <w:rsid w:val="009A57D0"/>
    <w:rsid w:val="009A6559"/>
    <w:rsid w:val="009A68FC"/>
    <w:rsid w:val="009A6CE4"/>
    <w:rsid w:val="009A7514"/>
    <w:rsid w:val="009A7E7A"/>
    <w:rsid w:val="009B0925"/>
    <w:rsid w:val="009B1584"/>
    <w:rsid w:val="009B18F0"/>
    <w:rsid w:val="009B1F4C"/>
    <w:rsid w:val="009B2471"/>
    <w:rsid w:val="009B314F"/>
    <w:rsid w:val="009B439C"/>
    <w:rsid w:val="009B49A1"/>
    <w:rsid w:val="009B4A6C"/>
    <w:rsid w:val="009B4DA8"/>
    <w:rsid w:val="009B519A"/>
    <w:rsid w:val="009B620C"/>
    <w:rsid w:val="009B6753"/>
    <w:rsid w:val="009B676C"/>
    <w:rsid w:val="009B6A26"/>
    <w:rsid w:val="009B743A"/>
    <w:rsid w:val="009C079D"/>
    <w:rsid w:val="009C0D70"/>
    <w:rsid w:val="009C13D1"/>
    <w:rsid w:val="009C2913"/>
    <w:rsid w:val="009C2BD4"/>
    <w:rsid w:val="009C3E72"/>
    <w:rsid w:val="009C490B"/>
    <w:rsid w:val="009C4AE8"/>
    <w:rsid w:val="009C5AFE"/>
    <w:rsid w:val="009C6606"/>
    <w:rsid w:val="009C690F"/>
    <w:rsid w:val="009C6CE5"/>
    <w:rsid w:val="009C6D50"/>
    <w:rsid w:val="009C7547"/>
    <w:rsid w:val="009D05EC"/>
    <w:rsid w:val="009D18D4"/>
    <w:rsid w:val="009D1A1F"/>
    <w:rsid w:val="009D2F60"/>
    <w:rsid w:val="009D3A2E"/>
    <w:rsid w:val="009D5ADE"/>
    <w:rsid w:val="009D5BAC"/>
    <w:rsid w:val="009D5C56"/>
    <w:rsid w:val="009D6265"/>
    <w:rsid w:val="009D64BD"/>
    <w:rsid w:val="009D6CB1"/>
    <w:rsid w:val="009D7F34"/>
    <w:rsid w:val="009E0286"/>
    <w:rsid w:val="009E153F"/>
    <w:rsid w:val="009E18C5"/>
    <w:rsid w:val="009E322A"/>
    <w:rsid w:val="009E393E"/>
    <w:rsid w:val="009E444E"/>
    <w:rsid w:val="009E4968"/>
    <w:rsid w:val="009E663C"/>
    <w:rsid w:val="009E684A"/>
    <w:rsid w:val="009E6BB1"/>
    <w:rsid w:val="009E6E14"/>
    <w:rsid w:val="009E794A"/>
    <w:rsid w:val="009E7C14"/>
    <w:rsid w:val="009F0494"/>
    <w:rsid w:val="009F0CD9"/>
    <w:rsid w:val="009F1A79"/>
    <w:rsid w:val="009F1F57"/>
    <w:rsid w:val="009F2DDD"/>
    <w:rsid w:val="009F31DE"/>
    <w:rsid w:val="009F3447"/>
    <w:rsid w:val="009F65F4"/>
    <w:rsid w:val="009F676B"/>
    <w:rsid w:val="009F6D2D"/>
    <w:rsid w:val="009F6D54"/>
    <w:rsid w:val="00A004DF"/>
    <w:rsid w:val="00A00FD5"/>
    <w:rsid w:val="00A012C0"/>
    <w:rsid w:val="00A019A8"/>
    <w:rsid w:val="00A01B03"/>
    <w:rsid w:val="00A01B89"/>
    <w:rsid w:val="00A0203F"/>
    <w:rsid w:val="00A02C66"/>
    <w:rsid w:val="00A02C84"/>
    <w:rsid w:val="00A0464C"/>
    <w:rsid w:val="00A050BB"/>
    <w:rsid w:val="00A0521B"/>
    <w:rsid w:val="00A054E0"/>
    <w:rsid w:val="00A05D91"/>
    <w:rsid w:val="00A0621A"/>
    <w:rsid w:val="00A0740B"/>
    <w:rsid w:val="00A07ED3"/>
    <w:rsid w:val="00A10CA8"/>
    <w:rsid w:val="00A10F9B"/>
    <w:rsid w:val="00A10FA1"/>
    <w:rsid w:val="00A11042"/>
    <w:rsid w:val="00A12579"/>
    <w:rsid w:val="00A12CDC"/>
    <w:rsid w:val="00A133D8"/>
    <w:rsid w:val="00A15655"/>
    <w:rsid w:val="00A160B0"/>
    <w:rsid w:val="00A1740C"/>
    <w:rsid w:val="00A17904"/>
    <w:rsid w:val="00A20069"/>
    <w:rsid w:val="00A2244D"/>
    <w:rsid w:val="00A2253D"/>
    <w:rsid w:val="00A2267F"/>
    <w:rsid w:val="00A22CDB"/>
    <w:rsid w:val="00A23C18"/>
    <w:rsid w:val="00A247B8"/>
    <w:rsid w:val="00A2495A"/>
    <w:rsid w:val="00A24C7A"/>
    <w:rsid w:val="00A24D8F"/>
    <w:rsid w:val="00A25B8B"/>
    <w:rsid w:val="00A266D3"/>
    <w:rsid w:val="00A2689F"/>
    <w:rsid w:val="00A26ECA"/>
    <w:rsid w:val="00A27461"/>
    <w:rsid w:val="00A27B41"/>
    <w:rsid w:val="00A27D67"/>
    <w:rsid w:val="00A30ABC"/>
    <w:rsid w:val="00A33B74"/>
    <w:rsid w:val="00A3467F"/>
    <w:rsid w:val="00A34B4C"/>
    <w:rsid w:val="00A35030"/>
    <w:rsid w:val="00A3551A"/>
    <w:rsid w:val="00A366A0"/>
    <w:rsid w:val="00A37209"/>
    <w:rsid w:val="00A37584"/>
    <w:rsid w:val="00A376E8"/>
    <w:rsid w:val="00A37F8E"/>
    <w:rsid w:val="00A41537"/>
    <w:rsid w:val="00A41737"/>
    <w:rsid w:val="00A41AD8"/>
    <w:rsid w:val="00A42B8F"/>
    <w:rsid w:val="00A42D8E"/>
    <w:rsid w:val="00A43254"/>
    <w:rsid w:val="00A43896"/>
    <w:rsid w:val="00A43A26"/>
    <w:rsid w:val="00A4414B"/>
    <w:rsid w:val="00A447A0"/>
    <w:rsid w:val="00A459F5"/>
    <w:rsid w:val="00A45FC0"/>
    <w:rsid w:val="00A46B74"/>
    <w:rsid w:val="00A47BF7"/>
    <w:rsid w:val="00A47ECC"/>
    <w:rsid w:val="00A50171"/>
    <w:rsid w:val="00A504FA"/>
    <w:rsid w:val="00A5102E"/>
    <w:rsid w:val="00A5132E"/>
    <w:rsid w:val="00A51375"/>
    <w:rsid w:val="00A51533"/>
    <w:rsid w:val="00A52D36"/>
    <w:rsid w:val="00A531D4"/>
    <w:rsid w:val="00A54572"/>
    <w:rsid w:val="00A575B8"/>
    <w:rsid w:val="00A61C60"/>
    <w:rsid w:val="00A61ECB"/>
    <w:rsid w:val="00A638A0"/>
    <w:rsid w:val="00A6410C"/>
    <w:rsid w:val="00A647B1"/>
    <w:rsid w:val="00A64DEF"/>
    <w:rsid w:val="00A654D2"/>
    <w:rsid w:val="00A665DF"/>
    <w:rsid w:val="00A6699F"/>
    <w:rsid w:val="00A67FCC"/>
    <w:rsid w:val="00A70AA5"/>
    <w:rsid w:val="00A70C03"/>
    <w:rsid w:val="00A70D0D"/>
    <w:rsid w:val="00A7103D"/>
    <w:rsid w:val="00A71256"/>
    <w:rsid w:val="00A7217B"/>
    <w:rsid w:val="00A73861"/>
    <w:rsid w:val="00A739A6"/>
    <w:rsid w:val="00A740ED"/>
    <w:rsid w:val="00A74C29"/>
    <w:rsid w:val="00A74C62"/>
    <w:rsid w:val="00A75EF9"/>
    <w:rsid w:val="00A7657C"/>
    <w:rsid w:val="00A7775D"/>
    <w:rsid w:val="00A81592"/>
    <w:rsid w:val="00A82486"/>
    <w:rsid w:val="00A8311C"/>
    <w:rsid w:val="00A835D0"/>
    <w:rsid w:val="00A84C5F"/>
    <w:rsid w:val="00A85930"/>
    <w:rsid w:val="00A863F7"/>
    <w:rsid w:val="00A86604"/>
    <w:rsid w:val="00A87519"/>
    <w:rsid w:val="00A9246D"/>
    <w:rsid w:val="00A92CCA"/>
    <w:rsid w:val="00A92F9F"/>
    <w:rsid w:val="00A93BD0"/>
    <w:rsid w:val="00A93CC2"/>
    <w:rsid w:val="00A94D4B"/>
    <w:rsid w:val="00A974CC"/>
    <w:rsid w:val="00AA2001"/>
    <w:rsid w:val="00AA2B5C"/>
    <w:rsid w:val="00AA32D2"/>
    <w:rsid w:val="00AA3B8B"/>
    <w:rsid w:val="00AA4016"/>
    <w:rsid w:val="00AA4B06"/>
    <w:rsid w:val="00AA4C1F"/>
    <w:rsid w:val="00AA4E80"/>
    <w:rsid w:val="00AA5328"/>
    <w:rsid w:val="00AA5393"/>
    <w:rsid w:val="00AA5D13"/>
    <w:rsid w:val="00AA63D4"/>
    <w:rsid w:val="00AB03FD"/>
    <w:rsid w:val="00AB2000"/>
    <w:rsid w:val="00AB38CB"/>
    <w:rsid w:val="00AB3BEC"/>
    <w:rsid w:val="00AB44E4"/>
    <w:rsid w:val="00AB4AEB"/>
    <w:rsid w:val="00AB4E5F"/>
    <w:rsid w:val="00AB5352"/>
    <w:rsid w:val="00AB56AE"/>
    <w:rsid w:val="00AB62D5"/>
    <w:rsid w:val="00AB65B5"/>
    <w:rsid w:val="00AB6DCD"/>
    <w:rsid w:val="00AB6EE0"/>
    <w:rsid w:val="00AB73DC"/>
    <w:rsid w:val="00AC17A2"/>
    <w:rsid w:val="00AC40B7"/>
    <w:rsid w:val="00AC4680"/>
    <w:rsid w:val="00AC516B"/>
    <w:rsid w:val="00AC531F"/>
    <w:rsid w:val="00AC5AAA"/>
    <w:rsid w:val="00AC5B36"/>
    <w:rsid w:val="00AC6377"/>
    <w:rsid w:val="00AC66A4"/>
    <w:rsid w:val="00AC6CB1"/>
    <w:rsid w:val="00AC75E9"/>
    <w:rsid w:val="00AC7D6D"/>
    <w:rsid w:val="00AD0091"/>
    <w:rsid w:val="00AD026F"/>
    <w:rsid w:val="00AD23EF"/>
    <w:rsid w:val="00AD2662"/>
    <w:rsid w:val="00AD307B"/>
    <w:rsid w:val="00AD4014"/>
    <w:rsid w:val="00AD41B3"/>
    <w:rsid w:val="00AD5721"/>
    <w:rsid w:val="00AD69F0"/>
    <w:rsid w:val="00AD7127"/>
    <w:rsid w:val="00AD730C"/>
    <w:rsid w:val="00AE123A"/>
    <w:rsid w:val="00AE1539"/>
    <w:rsid w:val="00AE28A7"/>
    <w:rsid w:val="00AE2A98"/>
    <w:rsid w:val="00AE2CF2"/>
    <w:rsid w:val="00AE3012"/>
    <w:rsid w:val="00AE310D"/>
    <w:rsid w:val="00AE3297"/>
    <w:rsid w:val="00AE33A6"/>
    <w:rsid w:val="00AE3729"/>
    <w:rsid w:val="00AE4CCE"/>
    <w:rsid w:val="00AE5C6A"/>
    <w:rsid w:val="00AE7280"/>
    <w:rsid w:val="00AF01FA"/>
    <w:rsid w:val="00AF033A"/>
    <w:rsid w:val="00AF1699"/>
    <w:rsid w:val="00AF1FD3"/>
    <w:rsid w:val="00AF272D"/>
    <w:rsid w:val="00AF2910"/>
    <w:rsid w:val="00AF34B8"/>
    <w:rsid w:val="00AF3896"/>
    <w:rsid w:val="00AF3FC2"/>
    <w:rsid w:val="00AF4D55"/>
    <w:rsid w:val="00AF4DEC"/>
    <w:rsid w:val="00B0098A"/>
    <w:rsid w:val="00B00A5F"/>
    <w:rsid w:val="00B029B8"/>
    <w:rsid w:val="00B02F60"/>
    <w:rsid w:val="00B02F94"/>
    <w:rsid w:val="00B032B8"/>
    <w:rsid w:val="00B04721"/>
    <w:rsid w:val="00B04B15"/>
    <w:rsid w:val="00B04B46"/>
    <w:rsid w:val="00B0534D"/>
    <w:rsid w:val="00B05685"/>
    <w:rsid w:val="00B05F9F"/>
    <w:rsid w:val="00B06368"/>
    <w:rsid w:val="00B068DA"/>
    <w:rsid w:val="00B06A00"/>
    <w:rsid w:val="00B06FC6"/>
    <w:rsid w:val="00B074C9"/>
    <w:rsid w:val="00B07D9D"/>
    <w:rsid w:val="00B11AE5"/>
    <w:rsid w:val="00B12F43"/>
    <w:rsid w:val="00B12FE6"/>
    <w:rsid w:val="00B1303F"/>
    <w:rsid w:val="00B1364A"/>
    <w:rsid w:val="00B13859"/>
    <w:rsid w:val="00B13EC9"/>
    <w:rsid w:val="00B14319"/>
    <w:rsid w:val="00B14A06"/>
    <w:rsid w:val="00B155A0"/>
    <w:rsid w:val="00B158E1"/>
    <w:rsid w:val="00B15AEE"/>
    <w:rsid w:val="00B16715"/>
    <w:rsid w:val="00B1768E"/>
    <w:rsid w:val="00B17910"/>
    <w:rsid w:val="00B20F18"/>
    <w:rsid w:val="00B21516"/>
    <w:rsid w:val="00B21A37"/>
    <w:rsid w:val="00B21D23"/>
    <w:rsid w:val="00B21F62"/>
    <w:rsid w:val="00B22CE0"/>
    <w:rsid w:val="00B23738"/>
    <w:rsid w:val="00B23BEF"/>
    <w:rsid w:val="00B247BB"/>
    <w:rsid w:val="00B2504A"/>
    <w:rsid w:val="00B25EE6"/>
    <w:rsid w:val="00B2685C"/>
    <w:rsid w:val="00B30CD6"/>
    <w:rsid w:val="00B3115A"/>
    <w:rsid w:val="00B31825"/>
    <w:rsid w:val="00B31A5C"/>
    <w:rsid w:val="00B31F49"/>
    <w:rsid w:val="00B32265"/>
    <w:rsid w:val="00B3276D"/>
    <w:rsid w:val="00B33B06"/>
    <w:rsid w:val="00B33C19"/>
    <w:rsid w:val="00B35067"/>
    <w:rsid w:val="00B35A15"/>
    <w:rsid w:val="00B35B45"/>
    <w:rsid w:val="00B36A99"/>
    <w:rsid w:val="00B40143"/>
    <w:rsid w:val="00B42264"/>
    <w:rsid w:val="00B434B2"/>
    <w:rsid w:val="00B43D45"/>
    <w:rsid w:val="00B44825"/>
    <w:rsid w:val="00B459AF"/>
    <w:rsid w:val="00B46319"/>
    <w:rsid w:val="00B468F2"/>
    <w:rsid w:val="00B469DE"/>
    <w:rsid w:val="00B47286"/>
    <w:rsid w:val="00B47EB4"/>
    <w:rsid w:val="00B50234"/>
    <w:rsid w:val="00B51BF4"/>
    <w:rsid w:val="00B52C68"/>
    <w:rsid w:val="00B5372B"/>
    <w:rsid w:val="00B542FE"/>
    <w:rsid w:val="00B54566"/>
    <w:rsid w:val="00B55A1B"/>
    <w:rsid w:val="00B561DB"/>
    <w:rsid w:val="00B5692B"/>
    <w:rsid w:val="00B56DF9"/>
    <w:rsid w:val="00B56E80"/>
    <w:rsid w:val="00B600BD"/>
    <w:rsid w:val="00B60C4A"/>
    <w:rsid w:val="00B61274"/>
    <w:rsid w:val="00B61DCE"/>
    <w:rsid w:val="00B62188"/>
    <w:rsid w:val="00B62F79"/>
    <w:rsid w:val="00B62F82"/>
    <w:rsid w:val="00B6306A"/>
    <w:rsid w:val="00B635E3"/>
    <w:rsid w:val="00B662FF"/>
    <w:rsid w:val="00B66679"/>
    <w:rsid w:val="00B70145"/>
    <w:rsid w:val="00B71A92"/>
    <w:rsid w:val="00B71B0A"/>
    <w:rsid w:val="00B721D8"/>
    <w:rsid w:val="00B730CA"/>
    <w:rsid w:val="00B732EA"/>
    <w:rsid w:val="00B7390A"/>
    <w:rsid w:val="00B747C5"/>
    <w:rsid w:val="00B74F2F"/>
    <w:rsid w:val="00B753ED"/>
    <w:rsid w:val="00B7665F"/>
    <w:rsid w:val="00B769BC"/>
    <w:rsid w:val="00B77349"/>
    <w:rsid w:val="00B7761E"/>
    <w:rsid w:val="00B80A3D"/>
    <w:rsid w:val="00B80B04"/>
    <w:rsid w:val="00B821E4"/>
    <w:rsid w:val="00B823E0"/>
    <w:rsid w:val="00B8260D"/>
    <w:rsid w:val="00B82B78"/>
    <w:rsid w:val="00B845B4"/>
    <w:rsid w:val="00B84662"/>
    <w:rsid w:val="00B84C74"/>
    <w:rsid w:val="00B85191"/>
    <w:rsid w:val="00B858A1"/>
    <w:rsid w:val="00B85FEC"/>
    <w:rsid w:val="00B864A3"/>
    <w:rsid w:val="00B86C2A"/>
    <w:rsid w:val="00B902A5"/>
    <w:rsid w:val="00B90420"/>
    <w:rsid w:val="00B90848"/>
    <w:rsid w:val="00B91146"/>
    <w:rsid w:val="00B913E4"/>
    <w:rsid w:val="00B91DB9"/>
    <w:rsid w:val="00B91FF3"/>
    <w:rsid w:val="00B925F8"/>
    <w:rsid w:val="00B9370E"/>
    <w:rsid w:val="00B93EFE"/>
    <w:rsid w:val="00B944B9"/>
    <w:rsid w:val="00B94956"/>
    <w:rsid w:val="00B94C7F"/>
    <w:rsid w:val="00B94E93"/>
    <w:rsid w:val="00B956B5"/>
    <w:rsid w:val="00B96DF2"/>
    <w:rsid w:val="00B96E18"/>
    <w:rsid w:val="00B96F5A"/>
    <w:rsid w:val="00B975DE"/>
    <w:rsid w:val="00BA0B39"/>
    <w:rsid w:val="00BA0CB2"/>
    <w:rsid w:val="00BA0E26"/>
    <w:rsid w:val="00BA138B"/>
    <w:rsid w:val="00BA305B"/>
    <w:rsid w:val="00BA31BF"/>
    <w:rsid w:val="00BA3C0F"/>
    <w:rsid w:val="00BA3FC7"/>
    <w:rsid w:val="00BA4075"/>
    <w:rsid w:val="00BA478B"/>
    <w:rsid w:val="00BA5224"/>
    <w:rsid w:val="00BA575E"/>
    <w:rsid w:val="00BA76B7"/>
    <w:rsid w:val="00BA7DDB"/>
    <w:rsid w:val="00BA7E3B"/>
    <w:rsid w:val="00BB078D"/>
    <w:rsid w:val="00BB079C"/>
    <w:rsid w:val="00BB0D7A"/>
    <w:rsid w:val="00BB10E1"/>
    <w:rsid w:val="00BB186A"/>
    <w:rsid w:val="00BB1C05"/>
    <w:rsid w:val="00BB2471"/>
    <w:rsid w:val="00BB3035"/>
    <w:rsid w:val="00BB3633"/>
    <w:rsid w:val="00BB39C1"/>
    <w:rsid w:val="00BB3DF5"/>
    <w:rsid w:val="00BB3EA7"/>
    <w:rsid w:val="00BB5D16"/>
    <w:rsid w:val="00BB6180"/>
    <w:rsid w:val="00BB69E6"/>
    <w:rsid w:val="00BB7323"/>
    <w:rsid w:val="00BB7BE5"/>
    <w:rsid w:val="00BC0139"/>
    <w:rsid w:val="00BC08BD"/>
    <w:rsid w:val="00BC11E8"/>
    <w:rsid w:val="00BC1B7A"/>
    <w:rsid w:val="00BC2C17"/>
    <w:rsid w:val="00BC3ACD"/>
    <w:rsid w:val="00BC3B20"/>
    <w:rsid w:val="00BC3EE4"/>
    <w:rsid w:val="00BC588C"/>
    <w:rsid w:val="00BC67FF"/>
    <w:rsid w:val="00BC6E73"/>
    <w:rsid w:val="00BC74D3"/>
    <w:rsid w:val="00BD0014"/>
    <w:rsid w:val="00BD01D8"/>
    <w:rsid w:val="00BD255F"/>
    <w:rsid w:val="00BD2895"/>
    <w:rsid w:val="00BD4236"/>
    <w:rsid w:val="00BD483B"/>
    <w:rsid w:val="00BD5CD4"/>
    <w:rsid w:val="00BD65D9"/>
    <w:rsid w:val="00BD6DF3"/>
    <w:rsid w:val="00BD6E09"/>
    <w:rsid w:val="00BD6EF9"/>
    <w:rsid w:val="00BE0ACB"/>
    <w:rsid w:val="00BE180B"/>
    <w:rsid w:val="00BE2260"/>
    <w:rsid w:val="00BE3917"/>
    <w:rsid w:val="00BE50FD"/>
    <w:rsid w:val="00BE51CA"/>
    <w:rsid w:val="00BE537F"/>
    <w:rsid w:val="00BE5D77"/>
    <w:rsid w:val="00BE6D47"/>
    <w:rsid w:val="00BE7032"/>
    <w:rsid w:val="00BE7330"/>
    <w:rsid w:val="00BF01C5"/>
    <w:rsid w:val="00BF061A"/>
    <w:rsid w:val="00BF066A"/>
    <w:rsid w:val="00BF14CC"/>
    <w:rsid w:val="00BF1821"/>
    <w:rsid w:val="00BF30B3"/>
    <w:rsid w:val="00BF4342"/>
    <w:rsid w:val="00BF4704"/>
    <w:rsid w:val="00BF4FFC"/>
    <w:rsid w:val="00BF5050"/>
    <w:rsid w:val="00BF50D1"/>
    <w:rsid w:val="00BF5422"/>
    <w:rsid w:val="00BF59B1"/>
    <w:rsid w:val="00BF6625"/>
    <w:rsid w:val="00BF6A78"/>
    <w:rsid w:val="00BF7695"/>
    <w:rsid w:val="00BF79B4"/>
    <w:rsid w:val="00BF7C61"/>
    <w:rsid w:val="00C01427"/>
    <w:rsid w:val="00C014C7"/>
    <w:rsid w:val="00C047AB"/>
    <w:rsid w:val="00C04E43"/>
    <w:rsid w:val="00C058AF"/>
    <w:rsid w:val="00C05D1E"/>
    <w:rsid w:val="00C075B6"/>
    <w:rsid w:val="00C110FD"/>
    <w:rsid w:val="00C124C1"/>
    <w:rsid w:val="00C128AE"/>
    <w:rsid w:val="00C12A5C"/>
    <w:rsid w:val="00C12BA8"/>
    <w:rsid w:val="00C13094"/>
    <w:rsid w:val="00C136D6"/>
    <w:rsid w:val="00C13D5B"/>
    <w:rsid w:val="00C141D7"/>
    <w:rsid w:val="00C154A3"/>
    <w:rsid w:val="00C16EB9"/>
    <w:rsid w:val="00C1711B"/>
    <w:rsid w:val="00C17AE2"/>
    <w:rsid w:val="00C20140"/>
    <w:rsid w:val="00C20F27"/>
    <w:rsid w:val="00C215CF"/>
    <w:rsid w:val="00C22250"/>
    <w:rsid w:val="00C2244B"/>
    <w:rsid w:val="00C22711"/>
    <w:rsid w:val="00C2280A"/>
    <w:rsid w:val="00C22B0D"/>
    <w:rsid w:val="00C22BFF"/>
    <w:rsid w:val="00C23522"/>
    <w:rsid w:val="00C240C1"/>
    <w:rsid w:val="00C24AED"/>
    <w:rsid w:val="00C250D0"/>
    <w:rsid w:val="00C252AC"/>
    <w:rsid w:val="00C25C0F"/>
    <w:rsid w:val="00C26567"/>
    <w:rsid w:val="00C26923"/>
    <w:rsid w:val="00C27214"/>
    <w:rsid w:val="00C27597"/>
    <w:rsid w:val="00C27E5E"/>
    <w:rsid w:val="00C30382"/>
    <w:rsid w:val="00C30772"/>
    <w:rsid w:val="00C30D6F"/>
    <w:rsid w:val="00C31063"/>
    <w:rsid w:val="00C31B7E"/>
    <w:rsid w:val="00C322D1"/>
    <w:rsid w:val="00C3242A"/>
    <w:rsid w:val="00C32A64"/>
    <w:rsid w:val="00C33201"/>
    <w:rsid w:val="00C33A39"/>
    <w:rsid w:val="00C34619"/>
    <w:rsid w:val="00C348D9"/>
    <w:rsid w:val="00C35D01"/>
    <w:rsid w:val="00C360B3"/>
    <w:rsid w:val="00C37027"/>
    <w:rsid w:val="00C37B19"/>
    <w:rsid w:val="00C37D56"/>
    <w:rsid w:val="00C40D4B"/>
    <w:rsid w:val="00C413CB"/>
    <w:rsid w:val="00C42752"/>
    <w:rsid w:val="00C42973"/>
    <w:rsid w:val="00C44206"/>
    <w:rsid w:val="00C46B95"/>
    <w:rsid w:val="00C4712A"/>
    <w:rsid w:val="00C47F88"/>
    <w:rsid w:val="00C5034F"/>
    <w:rsid w:val="00C50830"/>
    <w:rsid w:val="00C52479"/>
    <w:rsid w:val="00C5266E"/>
    <w:rsid w:val="00C52C59"/>
    <w:rsid w:val="00C5349E"/>
    <w:rsid w:val="00C539FF"/>
    <w:rsid w:val="00C544BD"/>
    <w:rsid w:val="00C54D3D"/>
    <w:rsid w:val="00C55A30"/>
    <w:rsid w:val="00C56384"/>
    <w:rsid w:val="00C568B6"/>
    <w:rsid w:val="00C60F8C"/>
    <w:rsid w:val="00C61794"/>
    <w:rsid w:val="00C61CB4"/>
    <w:rsid w:val="00C62A48"/>
    <w:rsid w:val="00C62AC4"/>
    <w:rsid w:val="00C62B59"/>
    <w:rsid w:val="00C62F96"/>
    <w:rsid w:val="00C631E1"/>
    <w:rsid w:val="00C638D8"/>
    <w:rsid w:val="00C63AE7"/>
    <w:rsid w:val="00C63D26"/>
    <w:rsid w:val="00C6540A"/>
    <w:rsid w:val="00C66248"/>
    <w:rsid w:val="00C668A1"/>
    <w:rsid w:val="00C67223"/>
    <w:rsid w:val="00C707B8"/>
    <w:rsid w:val="00C712AC"/>
    <w:rsid w:val="00C71C15"/>
    <w:rsid w:val="00C71F3D"/>
    <w:rsid w:val="00C72F53"/>
    <w:rsid w:val="00C73BA9"/>
    <w:rsid w:val="00C74035"/>
    <w:rsid w:val="00C748EA"/>
    <w:rsid w:val="00C75531"/>
    <w:rsid w:val="00C77818"/>
    <w:rsid w:val="00C8063F"/>
    <w:rsid w:val="00C81282"/>
    <w:rsid w:val="00C827B4"/>
    <w:rsid w:val="00C82B40"/>
    <w:rsid w:val="00C83214"/>
    <w:rsid w:val="00C8329F"/>
    <w:rsid w:val="00C84F8A"/>
    <w:rsid w:val="00C85BA4"/>
    <w:rsid w:val="00C8618F"/>
    <w:rsid w:val="00C8625D"/>
    <w:rsid w:val="00C87F3F"/>
    <w:rsid w:val="00C90372"/>
    <w:rsid w:val="00C9041F"/>
    <w:rsid w:val="00C9166B"/>
    <w:rsid w:val="00C91945"/>
    <w:rsid w:val="00C91A45"/>
    <w:rsid w:val="00C91FB4"/>
    <w:rsid w:val="00C92150"/>
    <w:rsid w:val="00C92328"/>
    <w:rsid w:val="00C92D42"/>
    <w:rsid w:val="00C938C2"/>
    <w:rsid w:val="00C93F8A"/>
    <w:rsid w:val="00C94EA1"/>
    <w:rsid w:val="00C95745"/>
    <w:rsid w:val="00C95902"/>
    <w:rsid w:val="00C962E3"/>
    <w:rsid w:val="00C978E2"/>
    <w:rsid w:val="00C97997"/>
    <w:rsid w:val="00CA10A2"/>
    <w:rsid w:val="00CA1D83"/>
    <w:rsid w:val="00CA25C0"/>
    <w:rsid w:val="00CA3451"/>
    <w:rsid w:val="00CA35C6"/>
    <w:rsid w:val="00CA4948"/>
    <w:rsid w:val="00CA4FA3"/>
    <w:rsid w:val="00CA4FF9"/>
    <w:rsid w:val="00CA52F9"/>
    <w:rsid w:val="00CA5368"/>
    <w:rsid w:val="00CA568B"/>
    <w:rsid w:val="00CA573A"/>
    <w:rsid w:val="00CA584D"/>
    <w:rsid w:val="00CA5C58"/>
    <w:rsid w:val="00CA5E67"/>
    <w:rsid w:val="00CB19D7"/>
    <w:rsid w:val="00CB19FE"/>
    <w:rsid w:val="00CB1C03"/>
    <w:rsid w:val="00CB1C3F"/>
    <w:rsid w:val="00CB2364"/>
    <w:rsid w:val="00CB304C"/>
    <w:rsid w:val="00CB3933"/>
    <w:rsid w:val="00CB5010"/>
    <w:rsid w:val="00CB53E8"/>
    <w:rsid w:val="00CB594A"/>
    <w:rsid w:val="00CB5CB2"/>
    <w:rsid w:val="00CB6979"/>
    <w:rsid w:val="00CB7DDE"/>
    <w:rsid w:val="00CC0A3D"/>
    <w:rsid w:val="00CC3C53"/>
    <w:rsid w:val="00CC3D24"/>
    <w:rsid w:val="00CC3F91"/>
    <w:rsid w:val="00CC47F1"/>
    <w:rsid w:val="00CC4ACD"/>
    <w:rsid w:val="00CC4B0A"/>
    <w:rsid w:val="00CC544A"/>
    <w:rsid w:val="00CC57EA"/>
    <w:rsid w:val="00CC5954"/>
    <w:rsid w:val="00CC629B"/>
    <w:rsid w:val="00CC6C4E"/>
    <w:rsid w:val="00CD009D"/>
    <w:rsid w:val="00CD05A2"/>
    <w:rsid w:val="00CD29D4"/>
    <w:rsid w:val="00CD2B5C"/>
    <w:rsid w:val="00CD2FF3"/>
    <w:rsid w:val="00CD3323"/>
    <w:rsid w:val="00CD38F5"/>
    <w:rsid w:val="00CD3BF2"/>
    <w:rsid w:val="00CD437E"/>
    <w:rsid w:val="00CD540B"/>
    <w:rsid w:val="00CD5DAD"/>
    <w:rsid w:val="00CD7037"/>
    <w:rsid w:val="00CD72C5"/>
    <w:rsid w:val="00CD79A7"/>
    <w:rsid w:val="00CE0331"/>
    <w:rsid w:val="00CE0789"/>
    <w:rsid w:val="00CE0E8D"/>
    <w:rsid w:val="00CE1A03"/>
    <w:rsid w:val="00CE2346"/>
    <w:rsid w:val="00CE25B2"/>
    <w:rsid w:val="00CE3529"/>
    <w:rsid w:val="00CE35C8"/>
    <w:rsid w:val="00CE3962"/>
    <w:rsid w:val="00CE4D0A"/>
    <w:rsid w:val="00CE4D1A"/>
    <w:rsid w:val="00CE4E8A"/>
    <w:rsid w:val="00CE5105"/>
    <w:rsid w:val="00CE56BD"/>
    <w:rsid w:val="00CE5EC0"/>
    <w:rsid w:val="00CE68AD"/>
    <w:rsid w:val="00CE6F9F"/>
    <w:rsid w:val="00CE781A"/>
    <w:rsid w:val="00CE7B08"/>
    <w:rsid w:val="00CE7D52"/>
    <w:rsid w:val="00CF0AB7"/>
    <w:rsid w:val="00CF1D74"/>
    <w:rsid w:val="00CF2BE2"/>
    <w:rsid w:val="00CF3DEB"/>
    <w:rsid w:val="00CF55F9"/>
    <w:rsid w:val="00CF7074"/>
    <w:rsid w:val="00CF7495"/>
    <w:rsid w:val="00D00E12"/>
    <w:rsid w:val="00D01CF9"/>
    <w:rsid w:val="00D02BF7"/>
    <w:rsid w:val="00D02FFD"/>
    <w:rsid w:val="00D0334D"/>
    <w:rsid w:val="00D0374D"/>
    <w:rsid w:val="00D044FF"/>
    <w:rsid w:val="00D06851"/>
    <w:rsid w:val="00D06D7B"/>
    <w:rsid w:val="00D06DA5"/>
    <w:rsid w:val="00D07191"/>
    <w:rsid w:val="00D07F1D"/>
    <w:rsid w:val="00D10558"/>
    <w:rsid w:val="00D11D4D"/>
    <w:rsid w:val="00D126DC"/>
    <w:rsid w:val="00D12B03"/>
    <w:rsid w:val="00D13E70"/>
    <w:rsid w:val="00D15FCD"/>
    <w:rsid w:val="00D16C58"/>
    <w:rsid w:val="00D17019"/>
    <w:rsid w:val="00D17FC8"/>
    <w:rsid w:val="00D20B44"/>
    <w:rsid w:val="00D21168"/>
    <w:rsid w:val="00D240C6"/>
    <w:rsid w:val="00D2438C"/>
    <w:rsid w:val="00D2585A"/>
    <w:rsid w:val="00D259B0"/>
    <w:rsid w:val="00D26C3F"/>
    <w:rsid w:val="00D27185"/>
    <w:rsid w:val="00D3028A"/>
    <w:rsid w:val="00D31CDD"/>
    <w:rsid w:val="00D33488"/>
    <w:rsid w:val="00D33AB3"/>
    <w:rsid w:val="00D33F24"/>
    <w:rsid w:val="00D34160"/>
    <w:rsid w:val="00D34400"/>
    <w:rsid w:val="00D346B8"/>
    <w:rsid w:val="00D34DCA"/>
    <w:rsid w:val="00D3575F"/>
    <w:rsid w:val="00D35AC8"/>
    <w:rsid w:val="00D36F87"/>
    <w:rsid w:val="00D37E4E"/>
    <w:rsid w:val="00D4056F"/>
    <w:rsid w:val="00D417D8"/>
    <w:rsid w:val="00D41F78"/>
    <w:rsid w:val="00D42E6C"/>
    <w:rsid w:val="00D4351C"/>
    <w:rsid w:val="00D4353A"/>
    <w:rsid w:val="00D43B80"/>
    <w:rsid w:val="00D44988"/>
    <w:rsid w:val="00D45B4C"/>
    <w:rsid w:val="00D45BA4"/>
    <w:rsid w:val="00D45EF6"/>
    <w:rsid w:val="00D471AF"/>
    <w:rsid w:val="00D471E2"/>
    <w:rsid w:val="00D4724F"/>
    <w:rsid w:val="00D50519"/>
    <w:rsid w:val="00D50614"/>
    <w:rsid w:val="00D50622"/>
    <w:rsid w:val="00D51601"/>
    <w:rsid w:val="00D51ECB"/>
    <w:rsid w:val="00D5264C"/>
    <w:rsid w:val="00D52BBC"/>
    <w:rsid w:val="00D537FE"/>
    <w:rsid w:val="00D53CC9"/>
    <w:rsid w:val="00D53DC6"/>
    <w:rsid w:val="00D54A6A"/>
    <w:rsid w:val="00D54B8F"/>
    <w:rsid w:val="00D55848"/>
    <w:rsid w:val="00D55951"/>
    <w:rsid w:val="00D559F0"/>
    <w:rsid w:val="00D57B4E"/>
    <w:rsid w:val="00D57EB6"/>
    <w:rsid w:val="00D608C0"/>
    <w:rsid w:val="00D60D6D"/>
    <w:rsid w:val="00D6128C"/>
    <w:rsid w:val="00D66D8B"/>
    <w:rsid w:val="00D672EF"/>
    <w:rsid w:val="00D70849"/>
    <w:rsid w:val="00D72297"/>
    <w:rsid w:val="00D72A1C"/>
    <w:rsid w:val="00D7308F"/>
    <w:rsid w:val="00D7313E"/>
    <w:rsid w:val="00D73580"/>
    <w:rsid w:val="00D73802"/>
    <w:rsid w:val="00D73C2C"/>
    <w:rsid w:val="00D73D52"/>
    <w:rsid w:val="00D745E7"/>
    <w:rsid w:val="00D7581F"/>
    <w:rsid w:val="00D770B5"/>
    <w:rsid w:val="00D774ED"/>
    <w:rsid w:val="00D777C3"/>
    <w:rsid w:val="00D7797C"/>
    <w:rsid w:val="00D77C44"/>
    <w:rsid w:val="00D77F88"/>
    <w:rsid w:val="00D81AFA"/>
    <w:rsid w:val="00D81EAA"/>
    <w:rsid w:val="00D81FE2"/>
    <w:rsid w:val="00D8259F"/>
    <w:rsid w:val="00D825F2"/>
    <w:rsid w:val="00D8285C"/>
    <w:rsid w:val="00D828B1"/>
    <w:rsid w:val="00D82A55"/>
    <w:rsid w:val="00D83D49"/>
    <w:rsid w:val="00D84181"/>
    <w:rsid w:val="00D846AD"/>
    <w:rsid w:val="00D84754"/>
    <w:rsid w:val="00D84F27"/>
    <w:rsid w:val="00D853F0"/>
    <w:rsid w:val="00D85862"/>
    <w:rsid w:val="00D86D47"/>
    <w:rsid w:val="00D8710C"/>
    <w:rsid w:val="00D873C6"/>
    <w:rsid w:val="00D9074A"/>
    <w:rsid w:val="00D9099E"/>
    <w:rsid w:val="00D9193A"/>
    <w:rsid w:val="00D923B2"/>
    <w:rsid w:val="00D92463"/>
    <w:rsid w:val="00D93E64"/>
    <w:rsid w:val="00D93F64"/>
    <w:rsid w:val="00D94CA4"/>
    <w:rsid w:val="00D95E99"/>
    <w:rsid w:val="00D965D5"/>
    <w:rsid w:val="00D97DA2"/>
    <w:rsid w:val="00DA0485"/>
    <w:rsid w:val="00DA1A3A"/>
    <w:rsid w:val="00DA2351"/>
    <w:rsid w:val="00DA249E"/>
    <w:rsid w:val="00DA29C6"/>
    <w:rsid w:val="00DA2D3D"/>
    <w:rsid w:val="00DA342B"/>
    <w:rsid w:val="00DA3855"/>
    <w:rsid w:val="00DA4C30"/>
    <w:rsid w:val="00DA5C8A"/>
    <w:rsid w:val="00DA6A44"/>
    <w:rsid w:val="00DA7A3C"/>
    <w:rsid w:val="00DB0E38"/>
    <w:rsid w:val="00DB145E"/>
    <w:rsid w:val="00DB1A94"/>
    <w:rsid w:val="00DB1D52"/>
    <w:rsid w:val="00DB1E2B"/>
    <w:rsid w:val="00DB1F62"/>
    <w:rsid w:val="00DB21E7"/>
    <w:rsid w:val="00DB2E03"/>
    <w:rsid w:val="00DB3742"/>
    <w:rsid w:val="00DB3E9B"/>
    <w:rsid w:val="00DB3F4B"/>
    <w:rsid w:val="00DB5375"/>
    <w:rsid w:val="00DB67C1"/>
    <w:rsid w:val="00DB6C0B"/>
    <w:rsid w:val="00DB70F4"/>
    <w:rsid w:val="00DB748A"/>
    <w:rsid w:val="00DC1056"/>
    <w:rsid w:val="00DC1442"/>
    <w:rsid w:val="00DC21D8"/>
    <w:rsid w:val="00DC282A"/>
    <w:rsid w:val="00DC2DE8"/>
    <w:rsid w:val="00DC34DC"/>
    <w:rsid w:val="00DC3780"/>
    <w:rsid w:val="00DC3ADA"/>
    <w:rsid w:val="00DC3CC6"/>
    <w:rsid w:val="00DC3F55"/>
    <w:rsid w:val="00DC4782"/>
    <w:rsid w:val="00DC514A"/>
    <w:rsid w:val="00DC6249"/>
    <w:rsid w:val="00DC67B1"/>
    <w:rsid w:val="00DC7FBC"/>
    <w:rsid w:val="00DD0019"/>
    <w:rsid w:val="00DD132B"/>
    <w:rsid w:val="00DD1725"/>
    <w:rsid w:val="00DD2159"/>
    <w:rsid w:val="00DD218B"/>
    <w:rsid w:val="00DD2A18"/>
    <w:rsid w:val="00DD3044"/>
    <w:rsid w:val="00DD3985"/>
    <w:rsid w:val="00DD61E8"/>
    <w:rsid w:val="00DD62C0"/>
    <w:rsid w:val="00DD64DE"/>
    <w:rsid w:val="00DD7859"/>
    <w:rsid w:val="00DD7B41"/>
    <w:rsid w:val="00DE0784"/>
    <w:rsid w:val="00DE0A1D"/>
    <w:rsid w:val="00DE15B2"/>
    <w:rsid w:val="00DE1A9A"/>
    <w:rsid w:val="00DE3617"/>
    <w:rsid w:val="00DE3D2C"/>
    <w:rsid w:val="00DE5E82"/>
    <w:rsid w:val="00DE5FA6"/>
    <w:rsid w:val="00DE6792"/>
    <w:rsid w:val="00DE6AA1"/>
    <w:rsid w:val="00DE7EF7"/>
    <w:rsid w:val="00DF015B"/>
    <w:rsid w:val="00DF02EC"/>
    <w:rsid w:val="00DF10FC"/>
    <w:rsid w:val="00DF1185"/>
    <w:rsid w:val="00DF1299"/>
    <w:rsid w:val="00DF1A70"/>
    <w:rsid w:val="00DF1E5F"/>
    <w:rsid w:val="00DF23A8"/>
    <w:rsid w:val="00DF2F27"/>
    <w:rsid w:val="00DF36B6"/>
    <w:rsid w:val="00DF4296"/>
    <w:rsid w:val="00DF5267"/>
    <w:rsid w:val="00DF53F0"/>
    <w:rsid w:val="00DF5F38"/>
    <w:rsid w:val="00DF6608"/>
    <w:rsid w:val="00DF6CCC"/>
    <w:rsid w:val="00DF6D0C"/>
    <w:rsid w:val="00DF6F64"/>
    <w:rsid w:val="00DF721E"/>
    <w:rsid w:val="00DF7549"/>
    <w:rsid w:val="00DF7B8A"/>
    <w:rsid w:val="00DF7C87"/>
    <w:rsid w:val="00E009B0"/>
    <w:rsid w:val="00E00A12"/>
    <w:rsid w:val="00E00B39"/>
    <w:rsid w:val="00E00C49"/>
    <w:rsid w:val="00E01823"/>
    <w:rsid w:val="00E01C9C"/>
    <w:rsid w:val="00E0219D"/>
    <w:rsid w:val="00E04C0F"/>
    <w:rsid w:val="00E0570B"/>
    <w:rsid w:val="00E06FB8"/>
    <w:rsid w:val="00E10913"/>
    <w:rsid w:val="00E10B87"/>
    <w:rsid w:val="00E121CE"/>
    <w:rsid w:val="00E12209"/>
    <w:rsid w:val="00E1478B"/>
    <w:rsid w:val="00E14FAC"/>
    <w:rsid w:val="00E15007"/>
    <w:rsid w:val="00E16277"/>
    <w:rsid w:val="00E16EC7"/>
    <w:rsid w:val="00E17DCC"/>
    <w:rsid w:val="00E219CE"/>
    <w:rsid w:val="00E21D93"/>
    <w:rsid w:val="00E23812"/>
    <w:rsid w:val="00E24071"/>
    <w:rsid w:val="00E24EBC"/>
    <w:rsid w:val="00E25149"/>
    <w:rsid w:val="00E2522C"/>
    <w:rsid w:val="00E2552F"/>
    <w:rsid w:val="00E2599B"/>
    <w:rsid w:val="00E2710C"/>
    <w:rsid w:val="00E272BD"/>
    <w:rsid w:val="00E27428"/>
    <w:rsid w:val="00E305B4"/>
    <w:rsid w:val="00E31AFA"/>
    <w:rsid w:val="00E31CB7"/>
    <w:rsid w:val="00E324EE"/>
    <w:rsid w:val="00E34DB1"/>
    <w:rsid w:val="00E35931"/>
    <w:rsid w:val="00E359FF"/>
    <w:rsid w:val="00E3699A"/>
    <w:rsid w:val="00E402C5"/>
    <w:rsid w:val="00E402F4"/>
    <w:rsid w:val="00E405F1"/>
    <w:rsid w:val="00E417DB"/>
    <w:rsid w:val="00E4198D"/>
    <w:rsid w:val="00E43054"/>
    <w:rsid w:val="00E43655"/>
    <w:rsid w:val="00E44440"/>
    <w:rsid w:val="00E46013"/>
    <w:rsid w:val="00E47099"/>
    <w:rsid w:val="00E47284"/>
    <w:rsid w:val="00E477C3"/>
    <w:rsid w:val="00E51E16"/>
    <w:rsid w:val="00E52DED"/>
    <w:rsid w:val="00E53730"/>
    <w:rsid w:val="00E5438D"/>
    <w:rsid w:val="00E54511"/>
    <w:rsid w:val="00E54E50"/>
    <w:rsid w:val="00E54EC9"/>
    <w:rsid w:val="00E55288"/>
    <w:rsid w:val="00E57577"/>
    <w:rsid w:val="00E60BD7"/>
    <w:rsid w:val="00E62043"/>
    <w:rsid w:val="00E626B9"/>
    <w:rsid w:val="00E627C9"/>
    <w:rsid w:val="00E630F3"/>
    <w:rsid w:val="00E6332F"/>
    <w:rsid w:val="00E637C9"/>
    <w:rsid w:val="00E639E6"/>
    <w:rsid w:val="00E6402D"/>
    <w:rsid w:val="00E6680A"/>
    <w:rsid w:val="00E66F0D"/>
    <w:rsid w:val="00E67741"/>
    <w:rsid w:val="00E67CAE"/>
    <w:rsid w:val="00E67E7F"/>
    <w:rsid w:val="00E70615"/>
    <w:rsid w:val="00E7161E"/>
    <w:rsid w:val="00E71B40"/>
    <w:rsid w:val="00E7207B"/>
    <w:rsid w:val="00E7347A"/>
    <w:rsid w:val="00E75A47"/>
    <w:rsid w:val="00E75BB6"/>
    <w:rsid w:val="00E75D8C"/>
    <w:rsid w:val="00E777BB"/>
    <w:rsid w:val="00E777F2"/>
    <w:rsid w:val="00E802C9"/>
    <w:rsid w:val="00E80BFB"/>
    <w:rsid w:val="00E80F0A"/>
    <w:rsid w:val="00E815D4"/>
    <w:rsid w:val="00E8291B"/>
    <w:rsid w:val="00E82E70"/>
    <w:rsid w:val="00E82F92"/>
    <w:rsid w:val="00E8395F"/>
    <w:rsid w:val="00E8410F"/>
    <w:rsid w:val="00E849D7"/>
    <w:rsid w:val="00E85E41"/>
    <w:rsid w:val="00E85EA1"/>
    <w:rsid w:val="00E86030"/>
    <w:rsid w:val="00E86703"/>
    <w:rsid w:val="00E900DA"/>
    <w:rsid w:val="00E90F03"/>
    <w:rsid w:val="00E91044"/>
    <w:rsid w:val="00E910D3"/>
    <w:rsid w:val="00E92154"/>
    <w:rsid w:val="00E923CF"/>
    <w:rsid w:val="00E93685"/>
    <w:rsid w:val="00E93B65"/>
    <w:rsid w:val="00E93C8C"/>
    <w:rsid w:val="00E95111"/>
    <w:rsid w:val="00E95FDF"/>
    <w:rsid w:val="00EA1198"/>
    <w:rsid w:val="00EA14C8"/>
    <w:rsid w:val="00EA2110"/>
    <w:rsid w:val="00EA283A"/>
    <w:rsid w:val="00EA2C90"/>
    <w:rsid w:val="00EA2E07"/>
    <w:rsid w:val="00EA383B"/>
    <w:rsid w:val="00EA48F3"/>
    <w:rsid w:val="00EA60BF"/>
    <w:rsid w:val="00EA6847"/>
    <w:rsid w:val="00EA7365"/>
    <w:rsid w:val="00EA763F"/>
    <w:rsid w:val="00EA77E9"/>
    <w:rsid w:val="00EB05D0"/>
    <w:rsid w:val="00EB1151"/>
    <w:rsid w:val="00EB1D49"/>
    <w:rsid w:val="00EB23D9"/>
    <w:rsid w:val="00EB39A0"/>
    <w:rsid w:val="00EB559F"/>
    <w:rsid w:val="00EB566C"/>
    <w:rsid w:val="00EB5A18"/>
    <w:rsid w:val="00EB5F3D"/>
    <w:rsid w:val="00EB6C97"/>
    <w:rsid w:val="00EC1CEB"/>
    <w:rsid w:val="00EC1DC0"/>
    <w:rsid w:val="00EC1DC2"/>
    <w:rsid w:val="00EC1E09"/>
    <w:rsid w:val="00EC21EC"/>
    <w:rsid w:val="00EC24B8"/>
    <w:rsid w:val="00EC268C"/>
    <w:rsid w:val="00EC3753"/>
    <w:rsid w:val="00EC4E71"/>
    <w:rsid w:val="00EC5F1C"/>
    <w:rsid w:val="00ED0365"/>
    <w:rsid w:val="00ED0865"/>
    <w:rsid w:val="00ED1C60"/>
    <w:rsid w:val="00ED2E25"/>
    <w:rsid w:val="00ED2EB9"/>
    <w:rsid w:val="00ED3722"/>
    <w:rsid w:val="00ED3A31"/>
    <w:rsid w:val="00ED4469"/>
    <w:rsid w:val="00ED44F6"/>
    <w:rsid w:val="00ED5424"/>
    <w:rsid w:val="00ED5F23"/>
    <w:rsid w:val="00ED6A63"/>
    <w:rsid w:val="00ED6DC0"/>
    <w:rsid w:val="00ED7A7A"/>
    <w:rsid w:val="00EE0327"/>
    <w:rsid w:val="00EE038C"/>
    <w:rsid w:val="00EE28C5"/>
    <w:rsid w:val="00EE2F09"/>
    <w:rsid w:val="00EE47C5"/>
    <w:rsid w:val="00EE490C"/>
    <w:rsid w:val="00EE4E57"/>
    <w:rsid w:val="00EE516C"/>
    <w:rsid w:val="00EE5415"/>
    <w:rsid w:val="00EE5738"/>
    <w:rsid w:val="00EE58BD"/>
    <w:rsid w:val="00EE5E59"/>
    <w:rsid w:val="00EE6C25"/>
    <w:rsid w:val="00EE73D0"/>
    <w:rsid w:val="00EE7CB0"/>
    <w:rsid w:val="00EF08A8"/>
    <w:rsid w:val="00EF167B"/>
    <w:rsid w:val="00EF41A8"/>
    <w:rsid w:val="00EF44FB"/>
    <w:rsid w:val="00EF4DF5"/>
    <w:rsid w:val="00EF5122"/>
    <w:rsid w:val="00EF5554"/>
    <w:rsid w:val="00EF579F"/>
    <w:rsid w:val="00EF5AD8"/>
    <w:rsid w:val="00EF6B90"/>
    <w:rsid w:val="00EF7807"/>
    <w:rsid w:val="00EF79F7"/>
    <w:rsid w:val="00F006C0"/>
    <w:rsid w:val="00F0125F"/>
    <w:rsid w:val="00F019AA"/>
    <w:rsid w:val="00F0267E"/>
    <w:rsid w:val="00F02686"/>
    <w:rsid w:val="00F030C0"/>
    <w:rsid w:val="00F03291"/>
    <w:rsid w:val="00F03A85"/>
    <w:rsid w:val="00F0459B"/>
    <w:rsid w:val="00F04E15"/>
    <w:rsid w:val="00F05DF3"/>
    <w:rsid w:val="00F069EA"/>
    <w:rsid w:val="00F06E85"/>
    <w:rsid w:val="00F070E5"/>
    <w:rsid w:val="00F07DDE"/>
    <w:rsid w:val="00F11675"/>
    <w:rsid w:val="00F12557"/>
    <w:rsid w:val="00F13599"/>
    <w:rsid w:val="00F13B28"/>
    <w:rsid w:val="00F14542"/>
    <w:rsid w:val="00F1520A"/>
    <w:rsid w:val="00F156A0"/>
    <w:rsid w:val="00F15730"/>
    <w:rsid w:val="00F176A6"/>
    <w:rsid w:val="00F202C2"/>
    <w:rsid w:val="00F212A8"/>
    <w:rsid w:val="00F212F6"/>
    <w:rsid w:val="00F22756"/>
    <w:rsid w:val="00F23248"/>
    <w:rsid w:val="00F23890"/>
    <w:rsid w:val="00F2504D"/>
    <w:rsid w:val="00F2637F"/>
    <w:rsid w:val="00F268F7"/>
    <w:rsid w:val="00F30B83"/>
    <w:rsid w:val="00F30BDB"/>
    <w:rsid w:val="00F30CF8"/>
    <w:rsid w:val="00F31EDF"/>
    <w:rsid w:val="00F32CDE"/>
    <w:rsid w:val="00F32D4C"/>
    <w:rsid w:val="00F3327E"/>
    <w:rsid w:val="00F337E0"/>
    <w:rsid w:val="00F338C3"/>
    <w:rsid w:val="00F34B14"/>
    <w:rsid w:val="00F34F58"/>
    <w:rsid w:val="00F35DA7"/>
    <w:rsid w:val="00F36A6A"/>
    <w:rsid w:val="00F40101"/>
    <w:rsid w:val="00F404F7"/>
    <w:rsid w:val="00F40CCA"/>
    <w:rsid w:val="00F40F46"/>
    <w:rsid w:val="00F42D97"/>
    <w:rsid w:val="00F436B2"/>
    <w:rsid w:val="00F43813"/>
    <w:rsid w:val="00F43FEE"/>
    <w:rsid w:val="00F44643"/>
    <w:rsid w:val="00F4492F"/>
    <w:rsid w:val="00F45A72"/>
    <w:rsid w:val="00F46723"/>
    <w:rsid w:val="00F4703B"/>
    <w:rsid w:val="00F4706D"/>
    <w:rsid w:val="00F476E1"/>
    <w:rsid w:val="00F47D1D"/>
    <w:rsid w:val="00F47F29"/>
    <w:rsid w:val="00F50016"/>
    <w:rsid w:val="00F50451"/>
    <w:rsid w:val="00F50A80"/>
    <w:rsid w:val="00F5118A"/>
    <w:rsid w:val="00F51A21"/>
    <w:rsid w:val="00F52614"/>
    <w:rsid w:val="00F5276E"/>
    <w:rsid w:val="00F52E9F"/>
    <w:rsid w:val="00F53304"/>
    <w:rsid w:val="00F53B81"/>
    <w:rsid w:val="00F540FE"/>
    <w:rsid w:val="00F556FF"/>
    <w:rsid w:val="00F55D12"/>
    <w:rsid w:val="00F5687F"/>
    <w:rsid w:val="00F56D3F"/>
    <w:rsid w:val="00F575C7"/>
    <w:rsid w:val="00F57FD0"/>
    <w:rsid w:val="00F60305"/>
    <w:rsid w:val="00F61B12"/>
    <w:rsid w:val="00F61C70"/>
    <w:rsid w:val="00F63264"/>
    <w:rsid w:val="00F634E4"/>
    <w:rsid w:val="00F6379E"/>
    <w:rsid w:val="00F64047"/>
    <w:rsid w:val="00F65171"/>
    <w:rsid w:val="00F6560D"/>
    <w:rsid w:val="00F67844"/>
    <w:rsid w:val="00F70799"/>
    <w:rsid w:val="00F70A8B"/>
    <w:rsid w:val="00F70B8D"/>
    <w:rsid w:val="00F71936"/>
    <w:rsid w:val="00F724FB"/>
    <w:rsid w:val="00F726B8"/>
    <w:rsid w:val="00F72A26"/>
    <w:rsid w:val="00F733C3"/>
    <w:rsid w:val="00F746A1"/>
    <w:rsid w:val="00F74820"/>
    <w:rsid w:val="00F75282"/>
    <w:rsid w:val="00F756DD"/>
    <w:rsid w:val="00F77518"/>
    <w:rsid w:val="00F77F4E"/>
    <w:rsid w:val="00F80047"/>
    <w:rsid w:val="00F800C7"/>
    <w:rsid w:val="00F8104D"/>
    <w:rsid w:val="00F8153F"/>
    <w:rsid w:val="00F81587"/>
    <w:rsid w:val="00F81769"/>
    <w:rsid w:val="00F8288F"/>
    <w:rsid w:val="00F8376E"/>
    <w:rsid w:val="00F84802"/>
    <w:rsid w:val="00F85B72"/>
    <w:rsid w:val="00F86540"/>
    <w:rsid w:val="00F865CE"/>
    <w:rsid w:val="00F86A37"/>
    <w:rsid w:val="00F8766F"/>
    <w:rsid w:val="00F90282"/>
    <w:rsid w:val="00F91082"/>
    <w:rsid w:val="00F9116D"/>
    <w:rsid w:val="00F91250"/>
    <w:rsid w:val="00F91342"/>
    <w:rsid w:val="00F91A9A"/>
    <w:rsid w:val="00F92634"/>
    <w:rsid w:val="00F933F3"/>
    <w:rsid w:val="00F93ABB"/>
    <w:rsid w:val="00F94D79"/>
    <w:rsid w:val="00F954FC"/>
    <w:rsid w:val="00F9658C"/>
    <w:rsid w:val="00F96E05"/>
    <w:rsid w:val="00F97A7F"/>
    <w:rsid w:val="00FA0889"/>
    <w:rsid w:val="00FA16E7"/>
    <w:rsid w:val="00FA31C7"/>
    <w:rsid w:val="00FA472D"/>
    <w:rsid w:val="00FA622F"/>
    <w:rsid w:val="00FA681F"/>
    <w:rsid w:val="00FA6D1A"/>
    <w:rsid w:val="00FB02DE"/>
    <w:rsid w:val="00FB0CBF"/>
    <w:rsid w:val="00FB18F6"/>
    <w:rsid w:val="00FB2A52"/>
    <w:rsid w:val="00FB2B7B"/>
    <w:rsid w:val="00FB2CDD"/>
    <w:rsid w:val="00FB3F92"/>
    <w:rsid w:val="00FB52C7"/>
    <w:rsid w:val="00FB57DC"/>
    <w:rsid w:val="00FB6E19"/>
    <w:rsid w:val="00FB71F6"/>
    <w:rsid w:val="00FB78C5"/>
    <w:rsid w:val="00FB7CF2"/>
    <w:rsid w:val="00FC07AF"/>
    <w:rsid w:val="00FC0AF8"/>
    <w:rsid w:val="00FC0B69"/>
    <w:rsid w:val="00FC1483"/>
    <w:rsid w:val="00FC1506"/>
    <w:rsid w:val="00FC1C47"/>
    <w:rsid w:val="00FC3102"/>
    <w:rsid w:val="00FC39ED"/>
    <w:rsid w:val="00FC4419"/>
    <w:rsid w:val="00FC47E2"/>
    <w:rsid w:val="00FC4AA5"/>
    <w:rsid w:val="00FC4B88"/>
    <w:rsid w:val="00FC4BB8"/>
    <w:rsid w:val="00FC5148"/>
    <w:rsid w:val="00FC6524"/>
    <w:rsid w:val="00FC6B58"/>
    <w:rsid w:val="00FC6E53"/>
    <w:rsid w:val="00FC75AC"/>
    <w:rsid w:val="00FC7984"/>
    <w:rsid w:val="00FD01BF"/>
    <w:rsid w:val="00FD0525"/>
    <w:rsid w:val="00FD0AB7"/>
    <w:rsid w:val="00FD297D"/>
    <w:rsid w:val="00FD2D13"/>
    <w:rsid w:val="00FD374D"/>
    <w:rsid w:val="00FD6071"/>
    <w:rsid w:val="00FD633B"/>
    <w:rsid w:val="00FE0794"/>
    <w:rsid w:val="00FE1041"/>
    <w:rsid w:val="00FE1A47"/>
    <w:rsid w:val="00FE24CB"/>
    <w:rsid w:val="00FE2FC2"/>
    <w:rsid w:val="00FE323F"/>
    <w:rsid w:val="00FE3473"/>
    <w:rsid w:val="00FE35CC"/>
    <w:rsid w:val="00FE4049"/>
    <w:rsid w:val="00FE4794"/>
    <w:rsid w:val="00FE480F"/>
    <w:rsid w:val="00FE4998"/>
    <w:rsid w:val="00FE56B7"/>
    <w:rsid w:val="00FE57DE"/>
    <w:rsid w:val="00FE7A68"/>
    <w:rsid w:val="00FF0231"/>
    <w:rsid w:val="00FF1C9B"/>
    <w:rsid w:val="00FF1D49"/>
    <w:rsid w:val="00FF203B"/>
    <w:rsid w:val="00FF2562"/>
    <w:rsid w:val="00FF2B6C"/>
    <w:rsid w:val="00FF3A41"/>
    <w:rsid w:val="00FF3E5B"/>
    <w:rsid w:val="00FF4C8E"/>
    <w:rsid w:val="00FF57E4"/>
    <w:rsid w:val="00FF62AA"/>
    <w:rsid w:val="00FF78E5"/>
    <w:rsid w:val="012C5FAF"/>
    <w:rsid w:val="013567D6"/>
    <w:rsid w:val="01484F41"/>
    <w:rsid w:val="017D08D9"/>
    <w:rsid w:val="01804A4C"/>
    <w:rsid w:val="01AF3D99"/>
    <w:rsid w:val="01C715DA"/>
    <w:rsid w:val="02200749"/>
    <w:rsid w:val="02397CB2"/>
    <w:rsid w:val="02511F9D"/>
    <w:rsid w:val="026B3007"/>
    <w:rsid w:val="026E2AF7"/>
    <w:rsid w:val="02A227A1"/>
    <w:rsid w:val="02C91AF7"/>
    <w:rsid w:val="02DC7A47"/>
    <w:rsid w:val="02E15645"/>
    <w:rsid w:val="02FE031F"/>
    <w:rsid w:val="030F52BB"/>
    <w:rsid w:val="034B1F9D"/>
    <w:rsid w:val="03556A03"/>
    <w:rsid w:val="03575D91"/>
    <w:rsid w:val="035B1D97"/>
    <w:rsid w:val="03A26EFC"/>
    <w:rsid w:val="03A314B8"/>
    <w:rsid w:val="03D82B98"/>
    <w:rsid w:val="03F83E8B"/>
    <w:rsid w:val="042963C8"/>
    <w:rsid w:val="04CB4231"/>
    <w:rsid w:val="04D41EBA"/>
    <w:rsid w:val="05067536"/>
    <w:rsid w:val="051E6A56"/>
    <w:rsid w:val="053E354F"/>
    <w:rsid w:val="05422329"/>
    <w:rsid w:val="05A131E3"/>
    <w:rsid w:val="05A53CF9"/>
    <w:rsid w:val="05AA2098"/>
    <w:rsid w:val="05BC439F"/>
    <w:rsid w:val="05C56868"/>
    <w:rsid w:val="05E80E12"/>
    <w:rsid w:val="05EA06E6"/>
    <w:rsid w:val="06125F9A"/>
    <w:rsid w:val="06472F82"/>
    <w:rsid w:val="06826810"/>
    <w:rsid w:val="06BF64E7"/>
    <w:rsid w:val="06EF31F8"/>
    <w:rsid w:val="07052361"/>
    <w:rsid w:val="0713487D"/>
    <w:rsid w:val="073E26AB"/>
    <w:rsid w:val="07591FC8"/>
    <w:rsid w:val="07707886"/>
    <w:rsid w:val="078E1A81"/>
    <w:rsid w:val="07A324A8"/>
    <w:rsid w:val="07B72767"/>
    <w:rsid w:val="07DE5D8C"/>
    <w:rsid w:val="07E13D6B"/>
    <w:rsid w:val="07F92E63"/>
    <w:rsid w:val="08017F69"/>
    <w:rsid w:val="08077E72"/>
    <w:rsid w:val="081302ED"/>
    <w:rsid w:val="08501E83"/>
    <w:rsid w:val="08552CD0"/>
    <w:rsid w:val="085E716A"/>
    <w:rsid w:val="08882DD0"/>
    <w:rsid w:val="088D794E"/>
    <w:rsid w:val="08B31ECE"/>
    <w:rsid w:val="08BD6586"/>
    <w:rsid w:val="08C068E7"/>
    <w:rsid w:val="08C21BCA"/>
    <w:rsid w:val="08FD4BD5"/>
    <w:rsid w:val="092F29BE"/>
    <w:rsid w:val="09364131"/>
    <w:rsid w:val="095D27C3"/>
    <w:rsid w:val="095E5D5B"/>
    <w:rsid w:val="0981726F"/>
    <w:rsid w:val="09BD6E82"/>
    <w:rsid w:val="09CC2AAC"/>
    <w:rsid w:val="09E16610"/>
    <w:rsid w:val="09E33EA2"/>
    <w:rsid w:val="0A027EFA"/>
    <w:rsid w:val="0A151234"/>
    <w:rsid w:val="0A2A7C4B"/>
    <w:rsid w:val="0A4C1970"/>
    <w:rsid w:val="0A6053C9"/>
    <w:rsid w:val="0A652D3E"/>
    <w:rsid w:val="0A741588"/>
    <w:rsid w:val="0A894972"/>
    <w:rsid w:val="0AA90B70"/>
    <w:rsid w:val="0AAE262A"/>
    <w:rsid w:val="0AAF1847"/>
    <w:rsid w:val="0AB70462"/>
    <w:rsid w:val="0B024724"/>
    <w:rsid w:val="0B0346CA"/>
    <w:rsid w:val="0B1758E1"/>
    <w:rsid w:val="0B2C354F"/>
    <w:rsid w:val="0B326F2A"/>
    <w:rsid w:val="0B334123"/>
    <w:rsid w:val="0B6A792F"/>
    <w:rsid w:val="0B804468"/>
    <w:rsid w:val="0B9F1C80"/>
    <w:rsid w:val="0BB73761"/>
    <w:rsid w:val="0BC6694E"/>
    <w:rsid w:val="0BD47E6F"/>
    <w:rsid w:val="0BF978D5"/>
    <w:rsid w:val="0C060244"/>
    <w:rsid w:val="0C1E2888"/>
    <w:rsid w:val="0C3B0AB9"/>
    <w:rsid w:val="0C610937"/>
    <w:rsid w:val="0C671ABD"/>
    <w:rsid w:val="0C92213C"/>
    <w:rsid w:val="0CC2027E"/>
    <w:rsid w:val="0CCA1272"/>
    <w:rsid w:val="0CD545C2"/>
    <w:rsid w:val="0CDC4308"/>
    <w:rsid w:val="0CE04074"/>
    <w:rsid w:val="0D177479"/>
    <w:rsid w:val="0D251E81"/>
    <w:rsid w:val="0D26294C"/>
    <w:rsid w:val="0D563BEF"/>
    <w:rsid w:val="0D84032B"/>
    <w:rsid w:val="0DB13EEB"/>
    <w:rsid w:val="0DB25F8E"/>
    <w:rsid w:val="0DB52116"/>
    <w:rsid w:val="0DC76B77"/>
    <w:rsid w:val="0DF9022C"/>
    <w:rsid w:val="0E9F4D1D"/>
    <w:rsid w:val="0ED85EC8"/>
    <w:rsid w:val="0F0E7B3C"/>
    <w:rsid w:val="0F2A74C4"/>
    <w:rsid w:val="0F343867"/>
    <w:rsid w:val="0F3876C0"/>
    <w:rsid w:val="0F452E31"/>
    <w:rsid w:val="0F5C08A7"/>
    <w:rsid w:val="0F690DB2"/>
    <w:rsid w:val="0FB2484E"/>
    <w:rsid w:val="0FC57EE5"/>
    <w:rsid w:val="0FE34B24"/>
    <w:rsid w:val="0FE51619"/>
    <w:rsid w:val="10233173"/>
    <w:rsid w:val="10413DF9"/>
    <w:rsid w:val="10446CC7"/>
    <w:rsid w:val="10A23DC1"/>
    <w:rsid w:val="10A27F31"/>
    <w:rsid w:val="10D80401"/>
    <w:rsid w:val="10EA019F"/>
    <w:rsid w:val="111A45E7"/>
    <w:rsid w:val="11300BBC"/>
    <w:rsid w:val="118C4D48"/>
    <w:rsid w:val="11927058"/>
    <w:rsid w:val="11DA3D05"/>
    <w:rsid w:val="11F03528"/>
    <w:rsid w:val="1202500A"/>
    <w:rsid w:val="12045226"/>
    <w:rsid w:val="12971BF6"/>
    <w:rsid w:val="13786592"/>
    <w:rsid w:val="137B1518"/>
    <w:rsid w:val="138A52B7"/>
    <w:rsid w:val="13AF4F03"/>
    <w:rsid w:val="13B8364F"/>
    <w:rsid w:val="13BB7B66"/>
    <w:rsid w:val="13C93A9B"/>
    <w:rsid w:val="13DD5D2E"/>
    <w:rsid w:val="13F858E5"/>
    <w:rsid w:val="14454E1C"/>
    <w:rsid w:val="14676A47"/>
    <w:rsid w:val="14736E66"/>
    <w:rsid w:val="147F458F"/>
    <w:rsid w:val="149A00A4"/>
    <w:rsid w:val="14A462A1"/>
    <w:rsid w:val="14D7F51A"/>
    <w:rsid w:val="14D964F6"/>
    <w:rsid w:val="151C17B1"/>
    <w:rsid w:val="15227E9D"/>
    <w:rsid w:val="1534169A"/>
    <w:rsid w:val="15B42ABF"/>
    <w:rsid w:val="15C03E03"/>
    <w:rsid w:val="15CE1DD3"/>
    <w:rsid w:val="15DD1430"/>
    <w:rsid w:val="162A25EB"/>
    <w:rsid w:val="163F682C"/>
    <w:rsid w:val="16414353"/>
    <w:rsid w:val="16593974"/>
    <w:rsid w:val="16735895"/>
    <w:rsid w:val="168E1562"/>
    <w:rsid w:val="16B965DF"/>
    <w:rsid w:val="16E60CA6"/>
    <w:rsid w:val="16EE19E5"/>
    <w:rsid w:val="16F107A4"/>
    <w:rsid w:val="16FD2A55"/>
    <w:rsid w:val="17067C1A"/>
    <w:rsid w:val="17173305"/>
    <w:rsid w:val="17366761"/>
    <w:rsid w:val="176F471D"/>
    <w:rsid w:val="177C01F0"/>
    <w:rsid w:val="17982698"/>
    <w:rsid w:val="179E3EFA"/>
    <w:rsid w:val="179F47EB"/>
    <w:rsid w:val="17B60D70"/>
    <w:rsid w:val="17CE6630"/>
    <w:rsid w:val="180A640E"/>
    <w:rsid w:val="180E04B2"/>
    <w:rsid w:val="18167A61"/>
    <w:rsid w:val="182B52BA"/>
    <w:rsid w:val="184B770B"/>
    <w:rsid w:val="18512847"/>
    <w:rsid w:val="18667C79"/>
    <w:rsid w:val="186F2078"/>
    <w:rsid w:val="186F27D5"/>
    <w:rsid w:val="18983200"/>
    <w:rsid w:val="18B90B18"/>
    <w:rsid w:val="18C227E2"/>
    <w:rsid w:val="18E84F59"/>
    <w:rsid w:val="18FF2998"/>
    <w:rsid w:val="194F322A"/>
    <w:rsid w:val="1A6368D1"/>
    <w:rsid w:val="1AA72BF2"/>
    <w:rsid w:val="1AAF5ECD"/>
    <w:rsid w:val="1AC42836"/>
    <w:rsid w:val="1AFF0AFE"/>
    <w:rsid w:val="1B2D6E1C"/>
    <w:rsid w:val="1B351052"/>
    <w:rsid w:val="1B3A1CDD"/>
    <w:rsid w:val="1B4F19F8"/>
    <w:rsid w:val="1B525CA0"/>
    <w:rsid w:val="1B5751D4"/>
    <w:rsid w:val="1B7912AF"/>
    <w:rsid w:val="1B831060"/>
    <w:rsid w:val="1B901908"/>
    <w:rsid w:val="1BA4678A"/>
    <w:rsid w:val="1BB96D4F"/>
    <w:rsid w:val="1BBE3550"/>
    <w:rsid w:val="1BD336C0"/>
    <w:rsid w:val="1BF81957"/>
    <w:rsid w:val="1BFA15A0"/>
    <w:rsid w:val="1C116575"/>
    <w:rsid w:val="1C6A6B78"/>
    <w:rsid w:val="1C7C71E2"/>
    <w:rsid w:val="1CE05E31"/>
    <w:rsid w:val="1D664EB6"/>
    <w:rsid w:val="1D7D5E5D"/>
    <w:rsid w:val="1DA87555"/>
    <w:rsid w:val="1DCA2E80"/>
    <w:rsid w:val="1E127C1F"/>
    <w:rsid w:val="1E276524"/>
    <w:rsid w:val="1E4C049A"/>
    <w:rsid w:val="1E78576B"/>
    <w:rsid w:val="1E7A512B"/>
    <w:rsid w:val="1EAFC22D"/>
    <w:rsid w:val="1ECC44FA"/>
    <w:rsid w:val="1EDA3596"/>
    <w:rsid w:val="1F063325"/>
    <w:rsid w:val="1F0D3297"/>
    <w:rsid w:val="1F122F1E"/>
    <w:rsid w:val="1F4C4878"/>
    <w:rsid w:val="1F775289"/>
    <w:rsid w:val="1F8B663F"/>
    <w:rsid w:val="1F995C43"/>
    <w:rsid w:val="1FA42BC5"/>
    <w:rsid w:val="1FA6791C"/>
    <w:rsid w:val="1FBC5DF5"/>
    <w:rsid w:val="1FC00ED9"/>
    <w:rsid w:val="1FC57DA2"/>
    <w:rsid w:val="1FD91AA0"/>
    <w:rsid w:val="1FF90588"/>
    <w:rsid w:val="1FFE2CFA"/>
    <w:rsid w:val="2056255B"/>
    <w:rsid w:val="206332CC"/>
    <w:rsid w:val="20C3623F"/>
    <w:rsid w:val="20DC3BAC"/>
    <w:rsid w:val="20DC5C9A"/>
    <w:rsid w:val="20E80E3E"/>
    <w:rsid w:val="21464F13"/>
    <w:rsid w:val="214E30F9"/>
    <w:rsid w:val="2167164F"/>
    <w:rsid w:val="21696E53"/>
    <w:rsid w:val="21781212"/>
    <w:rsid w:val="2186411B"/>
    <w:rsid w:val="21B31E7D"/>
    <w:rsid w:val="21B83F86"/>
    <w:rsid w:val="220B1CB9"/>
    <w:rsid w:val="221178A8"/>
    <w:rsid w:val="221213CF"/>
    <w:rsid w:val="221D28C4"/>
    <w:rsid w:val="22327A92"/>
    <w:rsid w:val="22330BF4"/>
    <w:rsid w:val="226707B8"/>
    <w:rsid w:val="22965A26"/>
    <w:rsid w:val="22AD3A68"/>
    <w:rsid w:val="23137077"/>
    <w:rsid w:val="231D53A2"/>
    <w:rsid w:val="236D5383"/>
    <w:rsid w:val="23B256E0"/>
    <w:rsid w:val="23B7504C"/>
    <w:rsid w:val="23B819CC"/>
    <w:rsid w:val="23BD5235"/>
    <w:rsid w:val="23CD374F"/>
    <w:rsid w:val="24083F87"/>
    <w:rsid w:val="24571307"/>
    <w:rsid w:val="24635DDC"/>
    <w:rsid w:val="24C15F91"/>
    <w:rsid w:val="24E11F9F"/>
    <w:rsid w:val="250E3F9A"/>
    <w:rsid w:val="25110A2A"/>
    <w:rsid w:val="251B1226"/>
    <w:rsid w:val="25697422"/>
    <w:rsid w:val="256C0944"/>
    <w:rsid w:val="25A93F50"/>
    <w:rsid w:val="25AF0536"/>
    <w:rsid w:val="25F82E84"/>
    <w:rsid w:val="26174F7C"/>
    <w:rsid w:val="263A44F2"/>
    <w:rsid w:val="26446DE3"/>
    <w:rsid w:val="26543C2E"/>
    <w:rsid w:val="2685748B"/>
    <w:rsid w:val="269669E7"/>
    <w:rsid w:val="26A270C1"/>
    <w:rsid w:val="26B4291F"/>
    <w:rsid w:val="26D7699F"/>
    <w:rsid w:val="26ED5A25"/>
    <w:rsid w:val="27366FDB"/>
    <w:rsid w:val="277A281B"/>
    <w:rsid w:val="27826579"/>
    <w:rsid w:val="27930D1F"/>
    <w:rsid w:val="279D5D96"/>
    <w:rsid w:val="27FE6547"/>
    <w:rsid w:val="28164D77"/>
    <w:rsid w:val="28392BBA"/>
    <w:rsid w:val="285A5409"/>
    <w:rsid w:val="285B3309"/>
    <w:rsid w:val="28665E9B"/>
    <w:rsid w:val="2895092D"/>
    <w:rsid w:val="28FA62DC"/>
    <w:rsid w:val="291C47AB"/>
    <w:rsid w:val="2928541E"/>
    <w:rsid w:val="293F2644"/>
    <w:rsid w:val="2944442E"/>
    <w:rsid w:val="29542197"/>
    <w:rsid w:val="295A4D86"/>
    <w:rsid w:val="295D104C"/>
    <w:rsid w:val="29640161"/>
    <w:rsid w:val="297D524A"/>
    <w:rsid w:val="29C235A5"/>
    <w:rsid w:val="29D26BE4"/>
    <w:rsid w:val="29D7261A"/>
    <w:rsid w:val="29D75F7F"/>
    <w:rsid w:val="29FF1D39"/>
    <w:rsid w:val="2A047719"/>
    <w:rsid w:val="2A355B25"/>
    <w:rsid w:val="2A790107"/>
    <w:rsid w:val="2A8A5D4D"/>
    <w:rsid w:val="2AA34511"/>
    <w:rsid w:val="2AC33130"/>
    <w:rsid w:val="2AC375D4"/>
    <w:rsid w:val="2AFC2AE6"/>
    <w:rsid w:val="2B060108"/>
    <w:rsid w:val="2B0F281A"/>
    <w:rsid w:val="2B365FF8"/>
    <w:rsid w:val="2B576F2D"/>
    <w:rsid w:val="2B774624"/>
    <w:rsid w:val="2BA45AD6"/>
    <w:rsid w:val="2BD84AAC"/>
    <w:rsid w:val="2BF1135B"/>
    <w:rsid w:val="2BF37A45"/>
    <w:rsid w:val="2BF65788"/>
    <w:rsid w:val="2BFE03AC"/>
    <w:rsid w:val="2C1F5474"/>
    <w:rsid w:val="2C3A0EA2"/>
    <w:rsid w:val="2C78177A"/>
    <w:rsid w:val="2C7A72BE"/>
    <w:rsid w:val="2C7F176E"/>
    <w:rsid w:val="2C9A7D75"/>
    <w:rsid w:val="2C9D2169"/>
    <w:rsid w:val="2CC17412"/>
    <w:rsid w:val="2CD11238"/>
    <w:rsid w:val="2D104D7E"/>
    <w:rsid w:val="2D1C2FCC"/>
    <w:rsid w:val="2D206CFF"/>
    <w:rsid w:val="2D3B60E9"/>
    <w:rsid w:val="2D7C1E99"/>
    <w:rsid w:val="2D9D09A3"/>
    <w:rsid w:val="2DB2318C"/>
    <w:rsid w:val="2DB807CB"/>
    <w:rsid w:val="2DCB3CED"/>
    <w:rsid w:val="2DE5101D"/>
    <w:rsid w:val="2DE75257"/>
    <w:rsid w:val="2DEE4968"/>
    <w:rsid w:val="2E36478B"/>
    <w:rsid w:val="2E467F71"/>
    <w:rsid w:val="2E494294"/>
    <w:rsid w:val="2E7A0AE8"/>
    <w:rsid w:val="2E913546"/>
    <w:rsid w:val="2E9976CE"/>
    <w:rsid w:val="2E9D4F14"/>
    <w:rsid w:val="2EB3374F"/>
    <w:rsid w:val="2EDE22D2"/>
    <w:rsid w:val="2EF01DEE"/>
    <w:rsid w:val="2EFA10EB"/>
    <w:rsid w:val="2F0D2BD5"/>
    <w:rsid w:val="2F18413C"/>
    <w:rsid w:val="2F2B5748"/>
    <w:rsid w:val="2F401D3C"/>
    <w:rsid w:val="2F5B24E1"/>
    <w:rsid w:val="2F8365A8"/>
    <w:rsid w:val="2FA379D4"/>
    <w:rsid w:val="2FA95C88"/>
    <w:rsid w:val="2FAA0181"/>
    <w:rsid w:val="2FAF4B80"/>
    <w:rsid w:val="302615E1"/>
    <w:rsid w:val="3041370F"/>
    <w:rsid w:val="30421257"/>
    <w:rsid w:val="30B87FED"/>
    <w:rsid w:val="30D64FD6"/>
    <w:rsid w:val="30E738F1"/>
    <w:rsid w:val="30EA2DD6"/>
    <w:rsid w:val="3102072B"/>
    <w:rsid w:val="31023FF8"/>
    <w:rsid w:val="311F7972"/>
    <w:rsid w:val="31230BAF"/>
    <w:rsid w:val="312B50A3"/>
    <w:rsid w:val="312B6FBF"/>
    <w:rsid w:val="31452479"/>
    <w:rsid w:val="31615451"/>
    <w:rsid w:val="3186135C"/>
    <w:rsid w:val="31894FD2"/>
    <w:rsid w:val="31AD03DD"/>
    <w:rsid w:val="31BF5DD7"/>
    <w:rsid w:val="31F66F86"/>
    <w:rsid w:val="31F676C4"/>
    <w:rsid w:val="32453A27"/>
    <w:rsid w:val="3263064A"/>
    <w:rsid w:val="32A43132"/>
    <w:rsid w:val="32AC0C06"/>
    <w:rsid w:val="32BF4B25"/>
    <w:rsid w:val="32F90662"/>
    <w:rsid w:val="33072928"/>
    <w:rsid w:val="33344EF5"/>
    <w:rsid w:val="3345674B"/>
    <w:rsid w:val="33775400"/>
    <w:rsid w:val="33977407"/>
    <w:rsid w:val="33A342A9"/>
    <w:rsid w:val="33C00B55"/>
    <w:rsid w:val="33C60961"/>
    <w:rsid w:val="33F22CD8"/>
    <w:rsid w:val="34007024"/>
    <w:rsid w:val="3409695D"/>
    <w:rsid w:val="341B590E"/>
    <w:rsid w:val="35080AA4"/>
    <w:rsid w:val="35101668"/>
    <w:rsid w:val="3537750C"/>
    <w:rsid w:val="3537798C"/>
    <w:rsid w:val="356B689E"/>
    <w:rsid w:val="357C4F4F"/>
    <w:rsid w:val="359C73A0"/>
    <w:rsid w:val="35B27654"/>
    <w:rsid w:val="35C13FC9"/>
    <w:rsid w:val="35E03E8F"/>
    <w:rsid w:val="35E060F4"/>
    <w:rsid w:val="35FFD7A0"/>
    <w:rsid w:val="363E7508"/>
    <w:rsid w:val="364257B6"/>
    <w:rsid w:val="365734D0"/>
    <w:rsid w:val="36CC15BF"/>
    <w:rsid w:val="372C4753"/>
    <w:rsid w:val="373710F6"/>
    <w:rsid w:val="373D24BC"/>
    <w:rsid w:val="37427140"/>
    <w:rsid w:val="379E0CEC"/>
    <w:rsid w:val="37A63A25"/>
    <w:rsid w:val="37D44BCF"/>
    <w:rsid w:val="37DDBC3F"/>
    <w:rsid w:val="37EA5922"/>
    <w:rsid w:val="37EC20DC"/>
    <w:rsid w:val="37FDE522"/>
    <w:rsid w:val="38276B93"/>
    <w:rsid w:val="38455ACD"/>
    <w:rsid w:val="38635F53"/>
    <w:rsid w:val="38813423"/>
    <w:rsid w:val="38AC3431"/>
    <w:rsid w:val="38E9042E"/>
    <w:rsid w:val="392F2E16"/>
    <w:rsid w:val="395F496C"/>
    <w:rsid w:val="396A4C2F"/>
    <w:rsid w:val="39A256BA"/>
    <w:rsid w:val="39B31189"/>
    <w:rsid w:val="39B53A46"/>
    <w:rsid w:val="39E00529"/>
    <w:rsid w:val="39EC676B"/>
    <w:rsid w:val="3A097A0A"/>
    <w:rsid w:val="3A0B64A7"/>
    <w:rsid w:val="3A2B3A09"/>
    <w:rsid w:val="3A361B71"/>
    <w:rsid w:val="3A4B6C9E"/>
    <w:rsid w:val="3A574DDA"/>
    <w:rsid w:val="3A5C4DB2"/>
    <w:rsid w:val="3AAF6AE1"/>
    <w:rsid w:val="3AB9CDD2"/>
    <w:rsid w:val="3AD3075A"/>
    <w:rsid w:val="3AF74C02"/>
    <w:rsid w:val="3B2373E9"/>
    <w:rsid w:val="3B770524"/>
    <w:rsid w:val="3B981B43"/>
    <w:rsid w:val="3BB23479"/>
    <w:rsid w:val="3BBA01EB"/>
    <w:rsid w:val="3BE86E9B"/>
    <w:rsid w:val="3C0059A5"/>
    <w:rsid w:val="3C134E78"/>
    <w:rsid w:val="3C261771"/>
    <w:rsid w:val="3C3570EA"/>
    <w:rsid w:val="3C5544FA"/>
    <w:rsid w:val="3C7E3523"/>
    <w:rsid w:val="3C7F0036"/>
    <w:rsid w:val="3CBD09B9"/>
    <w:rsid w:val="3CCA2A44"/>
    <w:rsid w:val="3CCFF230"/>
    <w:rsid w:val="3CE724EA"/>
    <w:rsid w:val="3D8F3346"/>
    <w:rsid w:val="3D9849A9"/>
    <w:rsid w:val="3DBF748D"/>
    <w:rsid w:val="3DDF0E7E"/>
    <w:rsid w:val="3DE869D4"/>
    <w:rsid w:val="3DF6345D"/>
    <w:rsid w:val="3E2B5515"/>
    <w:rsid w:val="3E344619"/>
    <w:rsid w:val="3E4D4F28"/>
    <w:rsid w:val="3E527EEA"/>
    <w:rsid w:val="3E8D1066"/>
    <w:rsid w:val="3EBF2959"/>
    <w:rsid w:val="3ED835C0"/>
    <w:rsid w:val="3ED92EC4"/>
    <w:rsid w:val="3EE13701"/>
    <w:rsid w:val="3EED2A1A"/>
    <w:rsid w:val="3F0264C5"/>
    <w:rsid w:val="3F0D6C18"/>
    <w:rsid w:val="3F177A97"/>
    <w:rsid w:val="3F1A4BB3"/>
    <w:rsid w:val="3F283A52"/>
    <w:rsid w:val="3F9410E8"/>
    <w:rsid w:val="3FA4132B"/>
    <w:rsid w:val="3FB325CB"/>
    <w:rsid w:val="3FBB6674"/>
    <w:rsid w:val="3FD55988"/>
    <w:rsid w:val="3FDE3474"/>
    <w:rsid w:val="3FDF04DD"/>
    <w:rsid w:val="3FFC68A8"/>
    <w:rsid w:val="3FFEA670"/>
    <w:rsid w:val="400242A3"/>
    <w:rsid w:val="40192BA6"/>
    <w:rsid w:val="40384169"/>
    <w:rsid w:val="40B80747"/>
    <w:rsid w:val="41064FAD"/>
    <w:rsid w:val="410A1661"/>
    <w:rsid w:val="410B1343"/>
    <w:rsid w:val="41193CBF"/>
    <w:rsid w:val="41606687"/>
    <w:rsid w:val="41766EA9"/>
    <w:rsid w:val="41B617E9"/>
    <w:rsid w:val="41B8730F"/>
    <w:rsid w:val="41DD3E7F"/>
    <w:rsid w:val="41DD7C7C"/>
    <w:rsid w:val="422275FD"/>
    <w:rsid w:val="42550A18"/>
    <w:rsid w:val="429D496A"/>
    <w:rsid w:val="42F473A1"/>
    <w:rsid w:val="43016A94"/>
    <w:rsid w:val="43291CE9"/>
    <w:rsid w:val="437217EA"/>
    <w:rsid w:val="43826B87"/>
    <w:rsid w:val="43AB7156"/>
    <w:rsid w:val="43C85104"/>
    <w:rsid w:val="4407632C"/>
    <w:rsid w:val="441E62C0"/>
    <w:rsid w:val="4450382F"/>
    <w:rsid w:val="44A06303"/>
    <w:rsid w:val="4521341D"/>
    <w:rsid w:val="45275022"/>
    <w:rsid w:val="45325D14"/>
    <w:rsid w:val="453671C4"/>
    <w:rsid w:val="454304E6"/>
    <w:rsid w:val="45536568"/>
    <w:rsid w:val="457163BA"/>
    <w:rsid w:val="45811C7C"/>
    <w:rsid w:val="45906116"/>
    <w:rsid w:val="45931B8C"/>
    <w:rsid w:val="45B6027F"/>
    <w:rsid w:val="45C645C6"/>
    <w:rsid w:val="45EF2552"/>
    <w:rsid w:val="45EF585C"/>
    <w:rsid w:val="45F601A1"/>
    <w:rsid w:val="460814C4"/>
    <w:rsid w:val="4623473A"/>
    <w:rsid w:val="46694C00"/>
    <w:rsid w:val="468B3EFB"/>
    <w:rsid w:val="469C1A35"/>
    <w:rsid w:val="46C13A0F"/>
    <w:rsid w:val="470A6193"/>
    <w:rsid w:val="472745EF"/>
    <w:rsid w:val="47385210"/>
    <w:rsid w:val="473C453F"/>
    <w:rsid w:val="4755115C"/>
    <w:rsid w:val="475F1DDD"/>
    <w:rsid w:val="47745769"/>
    <w:rsid w:val="47777325"/>
    <w:rsid w:val="47A616F6"/>
    <w:rsid w:val="47A61E03"/>
    <w:rsid w:val="47A6578C"/>
    <w:rsid w:val="47DC4F5C"/>
    <w:rsid w:val="47ED3A8B"/>
    <w:rsid w:val="47F91DF0"/>
    <w:rsid w:val="47FAC629"/>
    <w:rsid w:val="48914416"/>
    <w:rsid w:val="48B40671"/>
    <w:rsid w:val="48F0738F"/>
    <w:rsid w:val="48FB757B"/>
    <w:rsid w:val="49040ED6"/>
    <w:rsid w:val="4913642D"/>
    <w:rsid w:val="49340FFE"/>
    <w:rsid w:val="49682FBB"/>
    <w:rsid w:val="499B5738"/>
    <w:rsid w:val="499C7517"/>
    <w:rsid w:val="499F244D"/>
    <w:rsid w:val="49A14B2D"/>
    <w:rsid w:val="49B16E10"/>
    <w:rsid w:val="49EA0282"/>
    <w:rsid w:val="4A4B58F6"/>
    <w:rsid w:val="4A4F6337"/>
    <w:rsid w:val="4A7273C2"/>
    <w:rsid w:val="4A973F3F"/>
    <w:rsid w:val="4AF508B3"/>
    <w:rsid w:val="4AF96BC7"/>
    <w:rsid w:val="4B131B02"/>
    <w:rsid w:val="4B862A85"/>
    <w:rsid w:val="4BA3693A"/>
    <w:rsid w:val="4BBFD068"/>
    <w:rsid w:val="4BC602B7"/>
    <w:rsid w:val="4BF10E2F"/>
    <w:rsid w:val="4BFF2A7F"/>
    <w:rsid w:val="4C5E40F0"/>
    <w:rsid w:val="4C8F3363"/>
    <w:rsid w:val="4C910E89"/>
    <w:rsid w:val="4CC13400"/>
    <w:rsid w:val="4CC32FE0"/>
    <w:rsid w:val="4CEF36E2"/>
    <w:rsid w:val="4CEF4DC5"/>
    <w:rsid w:val="4D0478AD"/>
    <w:rsid w:val="4D467EC5"/>
    <w:rsid w:val="4D47586A"/>
    <w:rsid w:val="4DB27309"/>
    <w:rsid w:val="4E0657C6"/>
    <w:rsid w:val="4E1C6E78"/>
    <w:rsid w:val="4E257655"/>
    <w:rsid w:val="4E3D60CA"/>
    <w:rsid w:val="4E8A3DE2"/>
    <w:rsid w:val="4EF37BD9"/>
    <w:rsid w:val="4F275616"/>
    <w:rsid w:val="4F3124AF"/>
    <w:rsid w:val="4F372380"/>
    <w:rsid w:val="4F372FFB"/>
    <w:rsid w:val="4F5E7860"/>
    <w:rsid w:val="4F7218E2"/>
    <w:rsid w:val="4F9C1C34"/>
    <w:rsid w:val="4F9F6882"/>
    <w:rsid w:val="4FE87012"/>
    <w:rsid w:val="4FFE3398"/>
    <w:rsid w:val="500D4CCA"/>
    <w:rsid w:val="501C0EC1"/>
    <w:rsid w:val="5025116D"/>
    <w:rsid w:val="509B33CC"/>
    <w:rsid w:val="50CF01D2"/>
    <w:rsid w:val="50D43A3A"/>
    <w:rsid w:val="50EF35A0"/>
    <w:rsid w:val="5167665C"/>
    <w:rsid w:val="51C46535"/>
    <w:rsid w:val="521E12EE"/>
    <w:rsid w:val="52395ECD"/>
    <w:rsid w:val="52707792"/>
    <w:rsid w:val="527E5A0B"/>
    <w:rsid w:val="529203A4"/>
    <w:rsid w:val="52C10D75"/>
    <w:rsid w:val="53BB67EB"/>
    <w:rsid w:val="53C27FF8"/>
    <w:rsid w:val="53E42050"/>
    <w:rsid w:val="54280325"/>
    <w:rsid w:val="546155E5"/>
    <w:rsid w:val="548E3855"/>
    <w:rsid w:val="549E1A80"/>
    <w:rsid w:val="54C658F4"/>
    <w:rsid w:val="550C4BD7"/>
    <w:rsid w:val="554C1D56"/>
    <w:rsid w:val="555109BF"/>
    <w:rsid w:val="55572986"/>
    <w:rsid w:val="558E2819"/>
    <w:rsid w:val="55BB6F76"/>
    <w:rsid w:val="55CE2A14"/>
    <w:rsid w:val="55D2686D"/>
    <w:rsid w:val="55E70E47"/>
    <w:rsid w:val="56233DAE"/>
    <w:rsid w:val="56531D9B"/>
    <w:rsid w:val="565340FA"/>
    <w:rsid w:val="567C1625"/>
    <w:rsid w:val="568C38D5"/>
    <w:rsid w:val="56AD5F59"/>
    <w:rsid w:val="56B00020"/>
    <w:rsid w:val="56C8194B"/>
    <w:rsid w:val="56D39567"/>
    <w:rsid w:val="56F76773"/>
    <w:rsid w:val="574A2360"/>
    <w:rsid w:val="578F37C9"/>
    <w:rsid w:val="57B12A52"/>
    <w:rsid w:val="57CF2865"/>
    <w:rsid w:val="57E02CC4"/>
    <w:rsid w:val="57F1972C"/>
    <w:rsid w:val="57F436CE"/>
    <w:rsid w:val="584D7A3F"/>
    <w:rsid w:val="58D647FD"/>
    <w:rsid w:val="58FC71A2"/>
    <w:rsid w:val="59073F5C"/>
    <w:rsid w:val="5952374E"/>
    <w:rsid w:val="59931868"/>
    <w:rsid w:val="59B15867"/>
    <w:rsid w:val="59B32C72"/>
    <w:rsid w:val="59B43CF0"/>
    <w:rsid w:val="59F111B9"/>
    <w:rsid w:val="5A2F2CC8"/>
    <w:rsid w:val="5A5A0E47"/>
    <w:rsid w:val="5A6C6FE1"/>
    <w:rsid w:val="5A9A53AC"/>
    <w:rsid w:val="5AB66E35"/>
    <w:rsid w:val="5AE0768E"/>
    <w:rsid w:val="5AEE3C09"/>
    <w:rsid w:val="5AF7EE1A"/>
    <w:rsid w:val="5B0171D9"/>
    <w:rsid w:val="5B240EB6"/>
    <w:rsid w:val="5B2575EE"/>
    <w:rsid w:val="5B263D64"/>
    <w:rsid w:val="5B7B04AA"/>
    <w:rsid w:val="5B8338EA"/>
    <w:rsid w:val="5B9A7781"/>
    <w:rsid w:val="5BDBA285"/>
    <w:rsid w:val="5BF35102"/>
    <w:rsid w:val="5C10702D"/>
    <w:rsid w:val="5C152601"/>
    <w:rsid w:val="5C591F03"/>
    <w:rsid w:val="5C844566"/>
    <w:rsid w:val="5C8A1B2F"/>
    <w:rsid w:val="5CD728E8"/>
    <w:rsid w:val="5CEB584E"/>
    <w:rsid w:val="5D235B2D"/>
    <w:rsid w:val="5D2840F8"/>
    <w:rsid w:val="5D960964"/>
    <w:rsid w:val="5D9F2E8E"/>
    <w:rsid w:val="5DED1C97"/>
    <w:rsid w:val="5DFB1BA6"/>
    <w:rsid w:val="5E653F23"/>
    <w:rsid w:val="5E7D8330"/>
    <w:rsid w:val="5E937240"/>
    <w:rsid w:val="5EB17167"/>
    <w:rsid w:val="5EE23B4D"/>
    <w:rsid w:val="5EF54E90"/>
    <w:rsid w:val="5F093789"/>
    <w:rsid w:val="5F561B72"/>
    <w:rsid w:val="5F5FDEDA"/>
    <w:rsid w:val="5F7D7A1B"/>
    <w:rsid w:val="5F9B7562"/>
    <w:rsid w:val="5FAFC970"/>
    <w:rsid w:val="5FB27A33"/>
    <w:rsid w:val="5FCB361D"/>
    <w:rsid w:val="5FD0361E"/>
    <w:rsid w:val="602069B4"/>
    <w:rsid w:val="602B08C7"/>
    <w:rsid w:val="605709F3"/>
    <w:rsid w:val="606007BB"/>
    <w:rsid w:val="6061362E"/>
    <w:rsid w:val="60912DAE"/>
    <w:rsid w:val="60A34FEB"/>
    <w:rsid w:val="60AA20C1"/>
    <w:rsid w:val="60AC7F66"/>
    <w:rsid w:val="60ED35FB"/>
    <w:rsid w:val="61391F4A"/>
    <w:rsid w:val="614E5143"/>
    <w:rsid w:val="6151253D"/>
    <w:rsid w:val="619F4F2D"/>
    <w:rsid w:val="61A51807"/>
    <w:rsid w:val="61BF10D9"/>
    <w:rsid w:val="61D54EF5"/>
    <w:rsid w:val="61EA4938"/>
    <w:rsid w:val="62005985"/>
    <w:rsid w:val="620A57D7"/>
    <w:rsid w:val="620E01B9"/>
    <w:rsid w:val="62A96AD4"/>
    <w:rsid w:val="62AC22DC"/>
    <w:rsid w:val="62EC4C13"/>
    <w:rsid w:val="637D7F7A"/>
    <w:rsid w:val="638A3663"/>
    <w:rsid w:val="639A280D"/>
    <w:rsid w:val="63A22BFD"/>
    <w:rsid w:val="63A4729C"/>
    <w:rsid w:val="63F5471A"/>
    <w:rsid w:val="641937E6"/>
    <w:rsid w:val="64C86FBA"/>
    <w:rsid w:val="64DA3F5C"/>
    <w:rsid w:val="64E45EF7"/>
    <w:rsid w:val="64F8151B"/>
    <w:rsid w:val="65102DAB"/>
    <w:rsid w:val="65530F79"/>
    <w:rsid w:val="65837E55"/>
    <w:rsid w:val="660F30F2"/>
    <w:rsid w:val="66321575"/>
    <w:rsid w:val="66660838"/>
    <w:rsid w:val="6691014E"/>
    <w:rsid w:val="66A01F9C"/>
    <w:rsid w:val="66C87CCE"/>
    <w:rsid w:val="67114C48"/>
    <w:rsid w:val="67133E2D"/>
    <w:rsid w:val="67391EFE"/>
    <w:rsid w:val="67551256"/>
    <w:rsid w:val="67676736"/>
    <w:rsid w:val="676C3182"/>
    <w:rsid w:val="677435B2"/>
    <w:rsid w:val="679D472E"/>
    <w:rsid w:val="679F4001"/>
    <w:rsid w:val="67B62E31"/>
    <w:rsid w:val="67B8648B"/>
    <w:rsid w:val="67DDCA0F"/>
    <w:rsid w:val="67EF75F1"/>
    <w:rsid w:val="67F74044"/>
    <w:rsid w:val="68283D05"/>
    <w:rsid w:val="683055A2"/>
    <w:rsid w:val="683E7CBF"/>
    <w:rsid w:val="684F4F11"/>
    <w:rsid w:val="68525518"/>
    <w:rsid w:val="68A45648"/>
    <w:rsid w:val="68AB594D"/>
    <w:rsid w:val="68C77CB4"/>
    <w:rsid w:val="68E47F76"/>
    <w:rsid w:val="69124F16"/>
    <w:rsid w:val="692D4CEA"/>
    <w:rsid w:val="695232F6"/>
    <w:rsid w:val="69913E1E"/>
    <w:rsid w:val="69AFD319"/>
    <w:rsid w:val="69CD5C14"/>
    <w:rsid w:val="69CF0D33"/>
    <w:rsid w:val="69D374BD"/>
    <w:rsid w:val="69D73A51"/>
    <w:rsid w:val="69D838B3"/>
    <w:rsid w:val="69E93C5A"/>
    <w:rsid w:val="6A6C7AF7"/>
    <w:rsid w:val="6A837C0B"/>
    <w:rsid w:val="6AC124E1"/>
    <w:rsid w:val="6AC13E4D"/>
    <w:rsid w:val="6AC573D5"/>
    <w:rsid w:val="6AF71292"/>
    <w:rsid w:val="6AFE3735"/>
    <w:rsid w:val="6B026C08"/>
    <w:rsid w:val="6B7E6787"/>
    <w:rsid w:val="6B9946B3"/>
    <w:rsid w:val="6BB6C5D6"/>
    <w:rsid w:val="6BC26511"/>
    <w:rsid w:val="6BCB2743"/>
    <w:rsid w:val="6BDD4690"/>
    <w:rsid w:val="6BDECF04"/>
    <w:rsid w:val="6BF15048"/>
    <w:rsid w:val="6BF96657"/>
    <w:rsid w:val="6C220BC8"/>
    <w:rsid w:val="6C276F3A"/>
    <w:rsid w:val="6C7007C7"/>
    <w:rsid w:val="6CA976D1"/>
    <w:rsid w:val="6CC162E3"/>
    <w:rsid w:val="6CDBCB60"/>
    <w:rsid w:val="6D0B205B"/>
    <w:rsid w:val="6D0B5802"/>
    <w:rsid w:val="6D497313"/>
    <w:rsid w:val="6D6A3304"/>
    <w:rsid w:val="6DE07122"/>
    <w:rsid w:val="6DE76850"/>
    <w:rsid w:val="6E047BDE"/>
    <w:rsid w:val="6E0948CB"/>
    <w:rsid w:val="6E2B2A93"/>
    <w:rsid w:val="6E5D2A12"/>
    <w:rsid w:val="6E7855AD"/>
    <w:rsid w:val="6EA72431"/>
    <w:rsid w:val="6EDD450E"/>
    <w:rsid w:val="6F736574"/>
    <w:rsid w:val="6F9D0427"/>
    <w:rsid w:val="6FA81EC2"/>
    <w:rsid w:val="6FB20BD4"/>
    <w:rsid w:val="6FBA59BE"/>
    <w:rsid w:val="6FBB04F0"/>
    <w:rsid w:val="6FDF7275"/>
    <w:rsid w:val="6FFFDDBB"/>
    <w:rsid w:val="700775A4"/>
    <w:rsid w:val="70296B3E"/>
    <w:rsid w:val="70611204"/>
    <w:rsid w:val="7085418E"/>
    <w:rsid w:val="70976462"/>
    <w:rsid w:val="70AB7EBB"/>
    <w:rsid w:val="70EB4776"/>
    <w:rsid w:val="71003969"/>
    <w:rsid w:val="714D04AA"/>
    <w:rsid w:val="7165620F"/>
    <w:rsid w:val="717039F8"/>
    <w:rsid w:val="71714726"/>
    <w:rsid w:val="717C3606"/>
    <w:rsid w:val="718C55E2"/>
    <w:rsid w:val="718E1C49"/>
    <w:rsid w:val="718E96C9"/>
    <w:rsid w:val="71BB412E"/>
    <w:rsid w:val="71E400B9"/>
    <w:rsid w:val="72223914"/>
    <w:rsid w:val="723D036A"/>
    <w:rsid w:val="724D8FD3"/>
    <w:rsid w:val="727A0895"/>
    <w:rsid w:val="728269FA"/>
    <w:rsid w:val="72920AE4"/>
    <w:rsid w:val="72A93F87"/>
    <w:rsid w:val="72B03567"/>
    <w:rsid w:val="7358359C"/>
    <w:rsid w:val="73747930"/>
    <w:rsid w:val="737DDEA8"/>
    <w:rsid w:val="737F3903"/>
    <w:rsid w:val="739E4D03"/>
    <w:rsid w:val="73AC6E5E"/>
    <w:rsid w:val="73B9644B"/>
    <w:rsid w:val="73BFDD85"/>
    <w:rsid w:val="73D7DDD8"/>
    <w:rsid w:val="73EB99E7"/>
    <w:rsid w:val="741C4C2C"/>
    <w:rsid w:val="743EF7B5"/>
    <w:rsid w:val="7456013E"/>
    <w:rsid w:val="745B748A"/>
    <w:rsid w:val="746F2FAE"/>
    <w:rsid w:val="747F6524"/>
    <w:rsid w:val="74D13AD5"/>
    <w:rsid w:val="74FA2C30"/>
    <w:rsid w:val="75311864"/>
    <w:rsid w:val="75355FA6"/>
    <w:rsid w:val="75414891"/>
    <w:rsid w:val="754D5C4B"/>
    <w:rsid w:val="757B1640"/>
    <w:rsid w:val="759604A9"/>
    <w:rsid w:val="75C537CD"/>
    <w:rsid w:val="75DD7C48"/>
    <w:rsid w:val="75EC3A1E"/>
    <w:rsid w:val="75EF6096"/>
    <w:rsid w:val="7614728E"/>
    <w:rsid w:val="76211B6A"/>
    <w:rsid w:val="768604F8"/>
    <w:rsid w:val="76AA3E28"/>
    <w:rsid w:val="76C240A7"/>
    <w:rsid w:val="76C26F8C"/>
    <w:rsid w:val="76DA416A"/>
    <w:rsid w:val="772C0DA6"/>
    <w:rsid w:val="773F7994"/>
    <w:rsid w:val="775246B7"/>
    <w:rsid w:val="7755292F"/>
    <w:rsid w:val="77BC462D"/>
    <w:rsid w:val="77BF7034"/>
    <w:rsid w:val="77DF0D2C"/>
    <w:rsid w:val="781E69D1"/>
    <w:rsid w:val="78396526"/>
    <w:rsid w:val="78580A05"/>
    <w:rsid w:val="7901747F"/>
    <w:rsid w:val="790B14E0"/>
    <w:rsid w:val="79231E78"/>
    <w:rsid w:val="792E168A"/>
    <w:rsid w:val="7974D46C"/>
    <w:rsid w:val="79975481"/>
    <w:rsid w:val="7A263B6B"/>
    <w:rsid w:val="7A275881"/>
    <w:rsid w:val="7A650681"/>
    <w:rsid w:val="7A7B92A4"/>
    <w:rsid w:val="7A7E8A25"/>
    <w:rsid w:val="7A7F1A71"/>
    <w:rsid w:val="7A924E16"/>
    <w:rsid w:val="7AA12D47"/>
    <w:rsid w:val="7AAF3431"/>
    <w:rsid w:val="7ABE07EB"/>
    <w:rsid w:val="7AEBA268"/>
    <w:rsid w:val="7AF46346"/>
    <w:rsid w:val="7B0F5EBF"/>
    <w:rsid w:val="7B130FB9"/>
    <w:rsid w:val="7B18614D"/>
    <w:rsid w:val="7B475B0C"/>
    <w:rsid w:val="7B6A5565"/>
    <w:rsid w:val="7B77DF7B"/>
    <w:rsid w:val="7BD71E38"/>
    <w:rsid w:val="7BDBAAE1"/>
    <w:rsid w:val="7BEB5610"/>
    <w:rsid w:val="7BF63561"/>
    <w:rsid w:val="7BF64EDE"/>
    <w:rsid w:val="7BF9BDC0"/>
    <w:rsid w:val="7C10780F"/>
    <w:rsid w:val="7C31399B"/>
    <w:rsid w:val="7C400C1E"/>
    <w:rsid w:val="7C4A6EA9"/>
    <w:rsid w:val="7C5F1B5A"/>
    <w:rsid w:val="7C920051"/>
    <w:rsid w:val="7CA0063E"/>
    <w:rsid w:val="7CD6707B"/>
    <w:rsid w:val="7CF539D3"/>
    <w:rsid w:val="7D2C5EE0"/>
    <w:rsid w:val="7D3FA009"/>
    <w:rsid w:val="7D781125"/>
    <w:rsid w:val="7D7C783B"/>
    <w:rsid w:val="7D871368"/>
    <w:rsid w:val="7D965A4F"/>
    <w:rsid w:val="7DA41F1A"/>
    <w:rsid w:val="7DB506D8"/>
    <w:rsid w:val="7DD11708"/>
    <w:rsid w:val="7DEE4A4F"/>
    <w:rsid w:val="7DF70E6F"/>
    <w:rsid w:val="7DFF0109"/>
    <w:rsid w:val="7E37D784"/>
    <w:rsid w:val="7E3F60E7"/>
    <w:rsid w:val="7E6478FC"/>
    <w:rsid w:val="7E795155"/>
    <w:rsid w:val="7E7A0ECD"/>
    <w:rsid w:val="7E7D5F57"/>
    <w:rsid w:val="7E81400A"/>
    <w:rsid w:val="7EAE6230"/>
    <w:rsid w:val="7EB1FB18"/>
    <w:rsid w:val="7EBB39C0"/>
    <w:rsid w:val="7EBD579E"/>
    <w:rsid w:val="7EBF98B8"/>
    <w:rsid w:val="7EC167BD"/>
    <w:rsid w:val="7ED93E46"/>
    <w:rsid w:val="7EDF1AB2"/>
    <w:rsid w:val="7EF7EF0E"/>
    <w:rsid w:val="7EF96800"/>
    <w:rsid w:val="7F062A21"/>
    <w:rsid w:val="7F0E3631"/>
    <w:rsid w:val="7F210E45"/>
    <w:rsid w:val="7F272D9E"/>
    <w:rsid w:val="7F621043"/>
    <w:rsid w:val="7F692316"/>
    <w:rsid w:val="7F6D5E2D"/>
    <w:rsid w:val="7F77A865"/>
    <w:rsid w:val="7F7F6E16"/>
    <w:rsid w:val="7F9069FC"/>
    <w:rsid w:val="7F9BE0C6"/>
    <w:rsid w:val="7FAE84A0"/>
    <w:rsid w:val="7FB58DBA"/>
    <w:rsid w:val="7FB749AC"/>
    <w:rsid w:val="7FB7749C"/>
    <w:rsid w:val="7FCBE066"/>
    <w:rsid w:val="7FD05249"/>
    <w:rsid w:val="7FDE41CF"/>
    <w:rsid w:val="7FDF6467"/>
    <w:rsid w:val="7FDFBA70"/>
    <w:rsid w:val="7FE44850"/>
    <w:rsid w:val="7FF17E39"/>
    <w:rsid w:val="7FF77D03"/>
    <w:rsid w:val="7FFFCE99"/>
    <w:rsid w:val="7FFFE135"/>
    <w:rsid w:val="8CF7E319"/>
    <w:rsid w:val="8FF7EC84"/>
    <w:rsid w:val="9EA7E2C7"/>
    <w:rsid w:val="9F1F8CDC"/>
    <w:rsid w:val="9F772897"/>
    <w:rsid w:val="9FFE848D"/>
    <w:rsid w:val="A6D91145"/>
    <w:rsid w:val="A7353ADB"/>
    <w:rsid w:val="A7CFDC18"/>
    <w:rsid w:val="A7FF5599"/>
    <w:rsid w:val="AB6D6A5E"/>
    <w:rsid w:val="AFE37EF8"/>
    <w:rsid w:val="AFFB80DE"/>
    <w:rsid w:val="AFFF0231"/>
    <w:rsid w:val="B4F7A86B"/>
    <w:rsid w:val="B7A06398"/>
    <w:rsid w:val="B9E52285"/>
    <w:rsid w:val="BA7B23C6"/>
    <w:rsid w:val="BD77A211"/>
    <w:rsid w:val="BDFDCAA2"/>
    <w:rsid w:val="BDFFE5A6"/>
    <w:rsid w:val="BF3E3DEA"/>
    <w:rsid w:val="BFBC972E"/>
    <w:rsid w:val="BFBF6BF1"/>
    <w:rsid w:val="BFFFECCC"/>
    <w:rsid w:val="C3EFF317"/>
    <w:rsid w:val="C6DF54A2"/>
    <w:rsid w:val="C78E13F2"/>
    <w:rsid w:val="CAFF016D"/>
    <w:rsid w:val="CE9D6EF5"/>
    <w:rsid w:val="CFF7CC1A"/>
    <w:rsid w:val="D3FEA059"/>
    <w:rsid w:val="D5F76BE0"/>
    <w:rsid w:val="DBED36D9"/>
    <w:rsid w:val="DBFFA904"/>
    <w:rsid w:val="DD7F02BD"/>
    <w:rsid w:val="DE5DE7A1"/>
    <w:rsid w:val="DF7FAC11"/>
    <w:rsid w:val="DFEB4ADC"/>
    <w:rsid w:val="DFED2E2E"/>
    <w:rsid w:val="E7BD3679"/>
    <w:rsid w:val="E9FECB1F"/>
    <w:rsid w:val="E9FF32A4"/>
    <w:rsid w:val="EBB76726"/>
    <w:rsid w:val="EBBE4E9B"/>
    <w:rsid w:val="ECA71D3F"/>
    <w:rsid w:val="ECF2916C"/>
    <w:rsid w:val="EEF9963D"/>
    <w:rsid w:val="EF5B613C"/>
    <w:rsid w:val="EFCFD2D5"/>
    <w:rsid w:val="EFE8281D"/>
    <w:rsid w:val="EFFE870D"/>
    <w:rsid w:val="F2768958"/>
    <w:rsid w:val="F27F30BC"/>
    <w:rsid w:val="F3B52220"/>
    <w:rsid w:val="F3E92079"/>
    <w:rsid w:val="F3F7A2D7"/>
    <w:rsid w:val="F5FFC33A"/>
    <w:rsid w:val="F68BA03B"/>
    <w:rsid w:val="F6FE9E55"/>
    <w:rsid w:val="F773F015"/>
    <w:rsid w:val="F7FF1376"/>
    <w:rsid w:val="F7FFF15C"/>
    <w:rsid w:val="F9EE7F88"/>
    <w:rsid w:val="FB57B474"/>
    <w:rsid w:val="FB7E255A"/>
    <w:rsid w:val="FB7F54C0"/>
    <w:rsid w:val="FBA67C8F"/>
    <w:rsid w:val="FBA933C1"/>
    <w:rsid w:val="FBFB1261"/>
    <w:rsid w:val="FBFC96ED"/>
    <w:rsid w:val="FC572953"/>
    <w:rsid w:val="FCBD23A0"/>
    <w:rsid w:val="FDBD3E35"/>
    <w:rsid w:val="FDFBD4D2"/>
    <w:rsid w:val="FDFF7326"/>
    <w:rsid w:val="FE37B0AC"/>
    <w:rsid w:val="FE7F08D4"/>
    <w:rsid w:val="FEBF8A3A"/>
    <w:rsid w:val="FEDF500A"/>
    <w:rsid w:val="FEFD052E"/>
    <w:rsid w:val="FEFF2BA0"/>
    <w:rsid w:val="FEFFA799"/>
    <w:rsid w:val="FF6D4772"/>
    <w:rsid w:val="FF7F9E91"/>
    <w:rsid w:val="FFAD10D1"/>
    <w:rsid w:val="FFB731A1"/>
    <w:rsid w:val="FFBE292B"/>
    <w:rsid w:val="FFE60EDD"/>
    <w:rsid w:val="FFF7B963"/>
    <w:rsid w:val="FFFE5604"/>
    <w:rsid w:val="FFFF883A"/>
    <w:rsid w:val="FFFFEB92"/>
  </w:rsids>
  <m:mathPr>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0" w:semiHidden="0" w:name="heading 3"/>
    <w:lsdException w:qFormat="1" w:unhideWhenUsed="0" w:uiPriority="0" w:semiHidden="0" w:name="heading 4"/>
    <w:lsdException w:qFormat="1" w:unhideWhenUsed="0" w:uiPriority="9" w:semiHidden="0" w:name="heading 5"/>
    <w:lsdException w:qFormat="1" w:uiPriority="9" w:name="heading 6"/>
    <w:lsdException w:qFormat="1" w:unhideWhenUsed="0" w:uiPriority="0" w:semiHidden="0" w:name="heading 7"/>
    <w:lsdException w:qFormat="1" w:unhideWhenUsed="0" w:uiPriority="9" w:semiHidden="0" w:name="heading 8"/>
    <w:lsdException w:qFormat="1" w:uiPriority="9"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qFormat="1" w:unhideWhenUsed="0" w:uiPriority="99" w:semiHidden="0" w:name="index 8"/>
    <w:lsdException w:uiPriority="99" w:name="index 9"/>
    <w:lsdException w:qFormat="1"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nhideWhenUsed="0" w:uiPriority="35"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uiPriority="99" w:name="page number"/>
    <w:lsdException w:qFormat="1" w:uiPriority="99" w:semiHidden="0" w:name="endnote reference"/>
    <w:lsdException w:uiPriority="99" w:name="endnote text"/>
    <w:lsdException w:uiPriority="99" w:name="table of authorities"/>
    <w:lsdException w:uiPriority="99" w:name="macro"/>
    <w:lsdException w:uiPriority="99" w:name="toa heading"/>
    <w:lsdException w:qFormat="1" w:uiPriority="99" w:semiHidden="0" w:name="List"/>
    <w:lsdException w:uiPriority="99" w:name="List Bullet"/>
    <w:lsdException w:qFormat="1" w:unhideWhenUsed="0" w:uiPriority="0" w:semiHidden="0" w:name="List Number"/>
    <w:lsdException w:qFormat="1" w:uiPriority="99"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qFormat="1" w:uiPriority="99" w:semiHidden="0" w:name="Body Text First Indent"/>
    <w:lsdException w:uiPriority="99" w:name="Body Text First Indent 2"/>
    <w:lsdException w:uiPriority="99" w:name="Note Heading"/>
    <w:lsdException w:uiPriority="99" w:name="Body Text 2"/>
    <w:lsdException w:qFormat="1" w:uiPriority="99" w:semiHidden="0" w:name="Body Text 3"/>
    <w:lsdException w:uiPriority="99" w:name="Body Text Indent 2"/>
    <w:lsdException w:uiPriority="99" w:name="Body Text Indent 3"/>
    <w:lsdException w:qFormat="1" w:unhideWhenUsed="0" w:uiPriority="0" w:semiHidden="0"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semiHidden="0"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42"/>
    <w:qFormat/>
    <w:uiPriority w:val="9"/>
    <w:pPr>
      <w:keepNext/>
      <w:keepLines/>
      <w:spacing w:before="50" w:beforeLines="50" w:after="50" w:afterLines="50" w:line="360" w:lineRule="auto"/>
      <w:outlineLvl w:val="0"/>
    </w:pPr>
    <w:rPr>
      <w:rFonts w:ascii="Times New Roman" w:hAnsi="Times New Roman" w:eastAsia="宋体"/>
      <w:b/>
      <w:bCs/>
      <w:kern w:val="44"/>
      <w:sz w:val="44"/>
      <w:szCs w:val="44"/>
    </w:rPr>
  </w:style>
  <w:style w:type="paragraph" w:styleId="3">
    <w:name w:val="heading 2"/>
    <w:basedOn w:val="1"/>
    <w:next w:val="1"/>
    <w:link w:val="47"/>
    <w:qFormat/>
    <w:uiPriority w:val="9"/>
    <w:pPr>
      <w:keepNext/>
      <w:keepLines/>
      <w:spacing w:before="260" w:after="260" w:line="416" w:lineRule="auto"/>
      <w:outlineLvl w:val="1"/>
    </w:pPr>
    <w:rPr>
      <w:rFonts w:ascii="Cambria" w:hAnsi="Cambria"/>
      <w:b/>
      <w:bCs/>
      <w:sz w:val="32"/>
      <w:szCs w:val="32"/>
    </w:rPr>
  </w:style>
  <w:style w:type="paragraph" w:styleId="4">
    <w:name w:val="heading 3"/>
    <w:basedOn w:val="1"/>
    <w:next w:val="1"/>
    <w:qFormat/>
    <w:uiPriority w:val="0"/>
    <w:pPr>
      <w:spacing w:line="413" w:lineRule="auto"/>
      <w:ind w:firstLine="480" w:firstLineChars="200"/>
      <w:jc w:val="left"/>
      <w:outlineLvl w:val="2"/>
    </w:pPr>
    <w:rPr>
      <w:bCs/>
      <w:sz w:val="24"/>
      <w:szCs w:val="24"/>
    </w:rPr>
  </w:style>
  <w:style w:type="paragraph" w:styleId="5">
    <w:name w:val="heading 4"/>
    <w:basedOn w:val="1"/>
    <w:next w:val="1"/>
    <w:qFormat/>
    <w:uiPriority w:val="0"/>
    <w:pPr>
      <w:tabs>
        <w:tab w:val="left" w:pos="2155"/>
      </w:tabs>
      <w:adjustRightInd w:val="0"/>
      <w:spacing w:before="120" w:beforeLines="0" w:line="360" w:lineRule="auto"/>
      <w:ind w:left="2155" w:hanging="1078"/>
      <w:textAlignment w:val="baseline"/>
      <w:outlineLvl w:val="3"/>
    </w:pPr>
    <w:rPr>
      <w:rFonts w:ascii="Arial" w:eastAsia="黑体"/>
      <w:kern w:val="0"/>
      <w:sz w:val="28"/>
      <w:szCs w:val="20"/>
    </w:rPr>
  </w:style>
  <w:style w:type="paragraph" w:styleId="6">
    <w:name w:val="heading 5"/>
    <w:basedOn w:val="1"/>
    <w:next w:val="7"/>
    <w:link w:val="48"/>
    <w:qFormat/>
    <w:uiPriority w:val="9"/>
    <w:pPr>
      <w:keepNext/>
      <w:keepLines/>
      <w:spacing w:before="280" w:after="290" w:line="376" w:lineRule="auto"/>
      <w:outlineLvl w:val="4"/>
    </w:pPr>
    <w:rPr>
      <w:b/>
      <w:bCs/>
      <w:sz w:val="28"/>
      <w:szCs w:val="28"/>
    </w:rPr>
  </w:style>
  <w:style w:type="paragraph" w:styleId="8">
    <w:name w:val="heading 7"/>
    <w:basedOn w:val="1"/>
    <w:next w:val="1"/>
    <w:link w:val="49"/>
    <w:qFormat/>
    <w:uiPriority w:val="0"/>
    <w:pPr>
      <w:keepNext/>
      <w:keepLines/>
      <w:spacing w:before="240" w:after="64" w:line="320" w:lineRule="auto"/>
      <w:outlineLvl w:val="6"/>
    </w:pPr>
    <w:rPr>
      <w:b/>
      <w:bCs/>
      <w:sz w:val="24"/>
    </w:rPr>
  </w:style>
  <w:style w:type="paragraph" w:styleId="9">
    <w:name w:val="heading 8"/>
    <w:basedOn w:val="1"/>
    <w:next w:val="1"/>
    <w:link w:val="50"/>
    <w:qFormat/>
    <w:uiPriority w:val="9"/>
    <w:pPr>
      <w:keepNext/>
      <w:keepLines/>
      <w:spacing w:before="240" w:after="64" w:line="320" w:lineRule="auto"/>
      <w:outlineLvl w:val="7"/>
    </w:pPr>
    <w:rPr>
      <w:rFonts w:ascii="等线 Light" w:hAnsi="等线 Light" w:eastAsia="等线 Light"/>
      <w:sz w:val="24"/>
    </w:rPr>
  </w:style>
  <w:style w:type="character" w:default="1" w:styleId="35">
    <w:name w:val="Default Paragraph Font"/>
    <w:unhideWhenUsed/>
    <w:qFormat/>
    <w:uiPriority w:val="1"/>
  </w:style>
  <w:style w:type="table" w:default="1" w:styleId="33">
    <w:name w:val="Normal Table"/>
    <w:unhideWhenUsed/>
    <w:qFormat/>
    <w:uiPriority w:val="99"/>
    <w:tblPr>
      <w:tblCellMar>
        <w:top w:w="0" w:type="dxa"/>
        <w:left w:w="108" w:type="dxa"/>
        <w:bottom w:w="0" w:type="dxa"/>
        <w:right w:w="108" w:type="dxa"/>
      </w:tblCellMar>
    </w:tblPr>
  </w:style>
  <w:style w:type="paragraph" w:styleId="7">
    <w:name w:val="Normal Indent"/>
    <w:basedOn w:val="1"/>
    <w:qFormat/>
    <w:uiPriority w:val="0"/>
    <w:pPr>
      <w:ind w:firstLine="420"/>
    </w:pPr>
    <w:rPr>
      <w:szCs w:val="20"/>
    </w:rPr>
  </w:style>
  <w:style w:type="paragraph" w:styleId="10">
    <w:name w:val="index 8"/>
    <w:basedOn w:val="1"/>
    <w:next w:val="1"/>
    <w:qFormat/>
    <w:uiPriority w:val="99"/>
    <w:pPr>
      <w:ind w:left="1400" w:leftChars="1400"/>
    </w:pPr>
  </w:style>
  <w:style w:type="paragraph" w:styleId="11">
    <w:name w:val="List Number"/>
    <w:basedOn w:val="1"/>
    <w:qFormat/>
    <w:uiPriority w:val="0"/>
    <w:pPr>
      <w:widowControl/>
      <w:tabs>
        <w:tab w:val="left" w:pos="454"/>
        <w:tab w:val="left" w:pos="720"/>
        <w:tab w:val="left" w:pos="840"/>
      </w:tabs>
      <w:spacing w:after="50" w:afterLines="50"/>
      <w:ind w:left="454" w:hanging="284"/>
      <w:jc w:val="left"/>
    </w:pPr>
    <w:rPr>
      <w:kern w:val="0"/>
      <w:sz w:val="24"/>
      <w:szCs w:val="20"/>
    </w:rPr>
  </w:style>
  <w:style w:type="paragraph" w:styleId="12">
    <w:name w:val="caption"/>
    <w:basedOn w:val="1"/>
    <w:next w:val="1"/>
    <w:qFormat/>
    <w:uiPriority w:val="35"/>
    <w:rPr>
      <w:rFonts w:ascii="Arial" w:hAnsi="Arial" w:eastAsia="黑体"/>
      <w:sz w:val="20"/>
    </w:rPr>
  </w:style>
  <w:style w:type="paragraph" w:styleId="13">
    <w:name w:val="Document Map"/>
    <w:basedOn w:val="1"/>
    <w:link w:val="51"/>
    <w:unhideWhenUsed/>
    <w:qFormat/>
    <w:uiPriority w:val="99"/>
    <w:rPr>
      <w:rFonts w:ascii="宋体"/>
      <w:sz w:val="18"/>
      <w:szCs w:val="18"/>
    </w:rPr>
  </w:style>
  <w:style w:type="paragraph" w:styleId="14">
    <w:name w:val="annotation text"/>
    <w:basedOn w:val="1"/>
    <w:link w:val="52"/>
    <w:qFormat/>
    <w:uiPriority w:val="0"/>
    <w:pPr>
      <w:jc w:val="left"/>
    </w:pPr>
  </w:style>
  <w:style w:type="paragraph" w:styleId="15">
    <w:name w:val="Body Text 3"/>
    <w:basedOn w:val="1"/>
    <w:link w:val="53"/>
    <w:unhideWhenUsed/>
    <w:qFormat/>
    <w:uiPriority w:val="99"/>
    <w:pPr>
      <w:spacing w:after="120"/>
    </w:pPr>
    <w:rPr>
      <w:sz w:val="16"/>
      <w:szCs w:val="16"/>
    </w:rPr>
  </w:style>
  <w:style w:type="paragraph" w:styleId="16">
    <w:name w:val="Body Text"/>
    <w:basedOn w:val="1"/>
    <w:link w:val="54"/>
    <w:unhideWhenUsed/>
    <w:qFormat/>
    <w:uiPriority w:val="0"/>
    <w:pPr>
      <w:spacing w:after="120"/>
    </w:pPr>
  </w:style>
  <w:style w:type="paragraph" w:styleId="17">
    <w:name w:val="Body Text Indent"/>
    <w:basedOn w:val="1"/>
    <w:link w:val="55"/>
    <w:qFormat/>
    <w:uiPriority w:val="0"/>
    <w:pPr>
      <w:ind w:firstLine="830" w:firstLineChars="352"/>
    </w:pPr>
    <w:rPr>
      <w:rFonts w:ascii="仿宋_GB2312" w:eastAsia="仿宋_GB2312"/>
      <w:kern w:val="0"/>
      <w:sz w:val="32"/>
      <w:szCs w:val="20"/>
    </w:rPr>
  </w:style>
  <w:style w:type="paragraph" w:styleId="18">
    <w:name w:val="List 2"/>
    <w:basedOn w:val="1"/>
    <w:next w:val="19"/>
    <w:unhideWhenUsed/>
    <w:qFormat/>
    <w:uiPriority w:val="99"/>
    <w:pPr>
      <w:ind w:left="100" w:leftChars="200" w:hanging="200" w:hangingChars="200"/>
      <w:contextualSpacing/>
    </w:pPr>
  </w:style>
  <w:style w:type="paragraph" w:styleId="19">
    <w:name w:val="Plain Text"/>
    <w:basedOn w:val="1"/>
    <w:next w:val="10"/>
    <w:link w:val="56"/>
    <w:qFormat/>
    <w:uiPriority w:val="0"/>
    <w:rPr>
      <w:rFonts w:ascii="宋体" w:hAnsi="Courier New"/>
      <w:kern w:val="0"/>
      <w:sz w:val="20"/>
      <w:szCs w:val="21"/>
    </w:rPr>
  </w:style>
  <w:style w:type="paragraph" w:styleId="20">
    <w:name w:val="Block Text"/>
    <w:basedOn w:val="1"/>
    <w:qFormat/>
    <w:uiPriority w:val="0"/>
    <w:pPr>
      <w:spacing w:before="100" w:beforeAutospacing="1" w:after="100" w:afterAutospacing="1"/>
      <w:ind w:left="-2" w:leftChars="-1" w:right="26"/>
    </w:pPr>
    <w:rPr>
      <w:rFonts w:ascii="Arial" w:hAnsi="Arial" w:cs="Arial"/>
      <w:color w:val="000000"/>
      <w:szCs w:val="18"/>
    </w:rPr>
  </w:style>
  <w:style w:type="paragraph" w:styleId="21">
    <w:name w:val="Date"/>
    <w:basedOn w:val="1"/>
    <w:next w:val="1"/>
    <w:link w:val="57"/>
    <w:unhideWhenUsed/>
    <w:qFormat/>
    <w:uiPriority w:val="99"/>
    <w:pPr>
      <w:ind w:left="100" w:leftChars="2500"/>
    </w:pPr>
  </w:style>
  <w:style w:type="paragraph" w:styleId="22">
    <w:name w:val="Balloon Text"/>
    <w:basedOn w:val="1"/>
    <w:semiHidden/>
    <w:qFormat/>
    <w:uiPriority w:val="0"/>
    <w:rPr>
      <w:sz w:val="18"/>
      <w:szCs w:val="18"/>
    </w:rPr>
  </w:style>
  <w:style w:type="paragraph" w:styleId="23">
    <w:name w:val="footer"/>
    <w:basedOn w:val="1"/>
    <w:link w:val="58"/>
    <w:unhideWhenUsed/>
    <w:qFormat/>
    <w:uiPriority w:val="99"/>
    <w:pPr>
      <w:tabs>
        <w:tab w:val="center" w:pos="4153"/>
        <w:tab w:val="right" w:pos="8306"/>
      </w:tabs>
      <w:snapToGrid w:val="0"/>
      <w:jc w:val="left"/>
    </w:pPr>
    <w:rPr>
      <w:kern w:val="0"/>
      <w:sz w:val="18"/>
      <w:szCs w:val="18"/>
    </w:rPr>
  </w:style>
  <w:style w:type="paragraph" w:styleId="24">
    <w:name w:val="header"/>
    <w:basedOn w:val="1"/>
    <w:link w:val="59"/>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25">
    <w:name w:val="toc 1"/>
    <w:basedOn w:val="1"/>
    <w:next w:val="1"/>
    <w:unhideWhenUsed/>
    <w:qFormat/>
    <w:uiPriority w:val="39"/>
  </w:style>
  <w:style w:type="paragraph" w:styleId="26">
    <w:name w:val="List"/>
    <w:basedOn w:val="1"/>
    <w:unhideWhenUsed/>
    <w:qFormat/>
    <w:uiPriority w:val="99"/>
    <w:pPr>
      <w:ind w:left="200" w:hanging="200" w:hangingChars="200"/>
    </w:pPr>
    <w:rPr>
      <w:sz w:val="28"/>
    </w:rPr>
  </w:style>
  <w:style w:type="paragraph" w:styleId="27">
    <w:name w:val="toc 2"/>
    <w:basedOn w:val="1"/>
    <w:next w:val="1"/>
    <w:unhideWhenUsed/>
    <w:qFormat/>
    <w:uiPriority w:val="39"/>
    <w:pPr>
      <w:tabs>
        <w:tab w:val="right" w:leader="dot" w:pos="8296"/>
      </w:tabs>
      <w:ind w:left="420" w:leftChars="200"/>
    </w:pPr>
  </w:style>
  <w:style w:type="paragraph" w:styleId="28">
    <w:name w:val="HTML Preformatted"/>
    <w:basedOn w:val="1"/>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29">
    <w:name w:val="Normal (Web)"/>
    <w:basedOn w:val="1"/>
    <w:unhideWhenUsed/>
    <w:qFormat/>
    <w:uiPriority w:val="99"/>
    <w:pPr>
      <w:spacing w:before="0" w:beforeAutospacing="0" w:after="0" w:afterAutospacing="0"/>
      <w:ind w:left="0" w:right="0"/>
      <w:jc w:val="both"/>
    </w:pPr>
    <w:rPr>
      <w:rFonts w:hint="default" w:ascii="Calibri" w:hAnsi="Calibri" w:cs="Calibri"/>
      <w:kern w:val="0"/>
      <w:sz w:val="24"/>
      <w:szCs w:val="24"/>
      <w:lang w:val="en-US" w:eastAsia="zh-CN" w:bidi="ar"/>
    </w:rPr>
  </w:style>
  <w:style w:type="paragraph" w:styleId="30">
    <w:name w:val="index 1"/>
    <w:basedOn w:val="1"/>
    <w:next w:val="1"/>
    <w:qFormat/>
    <w:uiPriority w:val="0"/>
    <w:pPr>
      <w:spacing w:line="400" w:lineRule="exact"/>
      <w:ind w:firstLine="420" w:firstLineChars="200"/>
    </w:pPr>
    <w:rPr>
      <w:rFonts w:ascii="宋体" w:hAnsi="Courier New"/>
      <w:b/>
      <w:szCs w:val="20"/>
    </w:rPr>
  </w:style>
  <w:style w:type="paragraph" w:styleId="31">
    <w:name w:val="annotation subject"/>
    <w:basedOn w:val="14"/>
    <w:next w:val="14"/>
    <w:link w:val="60"/>
    <w:qFormat/>
    <w:uiPriority w:val="99"/>
    <w:rPr>
      <w:b/>
      <w:bCs/>
    </w:rPr>
  </w:style>
  <w:style w:type="paragraph" w:styleId="32">
    <w:name w:val="Body Text First Indent"/>
    <w:basedOn w:val="16"/>
    <w:next w:val="15"/>
    <w:unhideWhenUsed/>
    <w:qFormat/>
    <w:uiPriority w:val="99"/>
    <w:pPr>
      <w:spacing w:after="120" w:line="240" w:lineRule="auto"/>
      <w:ind w:firstLine="420" w:firstLineChars="100"/>
    </w:pPr>
    <w:rPr>
      <w:kern w:val="2"/>
      <w:sz w:val="21"/>
    </w:rPr>
  </w:style>
  <w:style w:type="table" w:styleId="34">
    <w:name w:val="Table Grid"/>
    <w:basedOn w:val="33"/>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36">
    <w:name w:val="Strong"/>
    <w:basedOn w:val="35"/>
    <w:qFormat/>
    <w:uiPriority w:val="22"/>
    <w:rPr>
      <w:b/>
    </w:rPr>
  </w:style>
  <w:style w:type="character" w:styleId="37">
    <w:name w:val="endnote reference"/>
    <w:unhideWhenUsed/>
    <w:qFormat/>
    <w:uiPriority w:val="99"/>
    <w:rPr>
      <w:vertAlign w:val="superscript"/>
    </w:rPr>
  </w:style>
  <w:style w:type="character" w:styleId="38">
    <w:name w:val="Hyperlink"/>
    <w:unhideWhenUsed/>
    <w:qFormat/>
    <w:uiPriority w:val="99"/>
    <w:rPr>
      <w:color w:val="0000FF"/>
      <w:u w:val="single"/>
    </w:rPr>
  </w:style>
  <w:style w:type="character" w:styleId="39">
    <w:name w:val="annotation reference"/>
    <w:qFormat/>
    <w:uiPriority w:val="0"/>
    <w:rPr>
      <w:sz w:val="21"/>
      <w:szCs w:val="21"/>
    </w:rPr>
  </w:style>
  <w:style w:type="character" w:customStyle="1" w:styleId="40">
    <w:name w:val="标题 1 字符1"/>
    <w:qFormat/>
    <w:uiPriority w:val="0"/>
    <w:rPr>
      <w:b/>
      <w:bCs/>
      <w:kern w:val="44"/>
      <w:sz w:val="44"/>
      <w:szCs w:val="44"/>
    </w:rPr>
  </w:style>
  <w:style w:type="character" w:customStyle="1" w:styleId="41">
    <w:name w:val="标题 2 Char"/>
    <w:qFormat/>
    <w:uiPriority w:val="9"/>
    <w:rPr>
      <w:rFonts w:ascii="Cambria" w:hAnsi="Cambria" w:eastAsia="宋体" w:cs="Times New Roman"/>
      <w:b/>
      <w:bCs/>
      <w:kern w:val="2"/>
      <w:sz w:val="32"/>
      <w:szCs w:val="32"/>
    </w:rPr>
  </w:style>
  <w:style w:type="character" w:customStyle="1" w:styleId="42">
    <w:name w:val="标题 1 Char"/>
    <w:link w:val="2"/>
    <w:qFormat/>
    <w:uiPriority w:val="9"/>
    <w:rPr>
      <w:rFonts w:ascii="Times New Roman" w:hAnsi="Times New Roman" w:eastAsia="宋体"/>
      <w:b/>
      <w:bCs/>
      <w:kern w:val="44"/>
      <w:sz w:val="44"/>
      <w:szCs w:val="44"/>
    </w:rPr>
  </w:style>
  <w:style w:type="paragraph" w:customStyle="1" w:styleId="43">
    <w:name w:val="Default"/>
    <w:next w:val="44"/>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44">
    <w:name w:val="正文文字 6"/>
    <w:next w:val="1"/>
    <w:qFormat/>
    <w:uiPriority w:val="0"/>
    <w:pPr>
      <w:widowControl w:val="0"/>
      <w:ind w:left="240"/>
      <w:jc w:val="both"/>
    </w:pPr>
    <w:rPr>
      <w:rFonts w:ascii="宋体" w:hAnsi="Calibri" w:eastAsia="宋体" w:cs="Times New Roman"/>
      <w:b/>
      <w:bCs/>
      <w:kern w:val="2"/>
      <w:sz w:val="32"/>
      <w:szCs w:val="32"/>
      <w:lang w:val="en-US" w:eastAsia="zh-CN" w:bidi="ar-SA"/>
    </w:rPr>
  </w:style>
  <w:style w:type="paragraph" w:customStyle="1" w:styleId="45">
    <w:name w:val="表格文字"/>
    <w:basedOn w:val="46"/>
    <w:qFormat/>
    <w:uiPriority w:val="0"/>
    <w:pPr>
      <w:spacing w:before="25" w:beforeLines="0" w:after="25" w:afterLines="0"/>
      <w:jc w:val="left"/>
    </w:pPr>
    <w:rPr>
      <w:bCs/>
      <w:spacing w:val="10"/>
      <w:kern w:val="0"/>
      <w:sz w:val="24"/>
      <w:szCs w:val="20"/>
    </w:rPr>
  </w:style>
  <w:style w:type="paragraph" w:customStyle="1" w:styleId="46">
    <w:name w:val="正文 New"/>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47">
    <w:name w:val="标题 2 Char1"/>
    <w:link w:val="3"/>
    <w:qFormat/>
    <w:uiPriority w:val="9"/>
    <w:rPr>
      <w:rFonts w:ascii="Cambria" w:hAnsi="Cambria" w:eastAsia="宋体" w:cs="Times New Roman"/>
      <w:b/>
      <w:bCs/>
      <w:kern w:val="2"/>
      <w:sz w:val="32"/>
      <w:szCs w:val="32"/>
    </w:rPr>
  </w:style>
  <w:style w:type="character" w:customStyle="1" w:styleId="48">
    <w:name w:val="标题 5 Char"/>
    <w:link w:val="6"/>
    <w:semiHidden/>
    <w:qFormat/>
    <w:uiPriority w:val="9"/>
    <w:rPr>
      <w:rFonts w:ascii="Times New Roman" w:hAnsi="Times New Roman"/>
      <w:b/>
      <w:bCs/>
      <w:kern w:val="2"/>
      <w:sz w:val="28"/>
      <w:szCs w:val="28"/>
    </w:rPr>
  </w:style>
  <w:style w:type="character" w:customStyle="1" w:styleId="49">
    <w:name w:val="标题 7 Char"/>
    <w:link w:val="8"/>
    <w:qFormat/>
    <w:uiPriority w:val="0"/>
    <w:rPr>
      <w:b/>
      <w:bCs/>
      <w:kern w:val="2"/>
      <w:sz w:val="24"/>
      <w:szCs w:val="24"/>
    </w:rPr>
  </w:style>
  <w:style w:type="character" w:customStyle="1" w:styleId="50">
    <w:name w:val="标题 8 Char1"/>
    <w:link w:val="9"/>
    <w:semiHidden/>
    <w:qFormat/>
    <w:uiPriority w:val="9"/>
    <w:rPr>
      <w:rFonts w:ascii="等线 Light" w:hAnsi="等线 Light" w:eastAsia="等线 Light" w:cs="Times New Roman"/>
      <w:kern w:val="2"/>
      <w:sz w:val="24"/>
      <w:szCs w:val="24"/>
    </w:rPr>
  </w:style>
  <w:style w:type="character" w:customStyle="1" w:styleId="51">
    <w:name w:val="文档结构图 Char"/>
    <w:link w:val="13"/>
    <w:semiHidden/>
    <w:qFormat/>
    <w:uiPriority w:val="99"/>
    <w:rPr>
      <w:rFonts w:ascii="宋体"/>
      <w:kern w:val="2"/>
      <w:sz w:val="18"/>
      <w:szCs w:val="18"/>
    </w:rPr>
  </w:style>
  <w:style w:type="character" w:customStyle="1" w:styleId="52">
    <w:name w:val="批注文字 Char1"/>
    <w:link w:val="14"/>
    <w:qFormat/>
    <w:uiPriority w:val="0"/>
    <w:rPr>
      <w:rFonts w:ascii="Times New Roman" w:hAnsi="Times New Roman"/>
      <w:kern w:val="2"/>
      <w:sz w:val="21"/>
      <w:szCs w:val="24"/>
    </w:rPr>
  </w:style>
  <w:style w:type="character" w:customStyle="1" w:styleId="53">
    <w:name w:val="正文文本 3 Char"/>
    <w:link w:val="15"/>
    <w:semiHidden/>
    <w:qFormat/>
    <w:uiPriority w:val="99"/>
    <w:rPr>
      <w:kern w:val="2"/>
      <w:sz w:val="16"/>
      <w:szCs w:val="16"/>
    </w:rPr>
  </w:style>
  <w:style w:type="character" w:customStyle="1" w:styleId="54">
    <w:name w:val="正文文本 Char1"/>
    <w:link w:val="16"/>
    <w:qFormat/>
    <w:uiPriority w:val="0"/>
    <w:rPr>
      <w:rFonts w:ascii="Times New Roman" w:hAnsi="Times New Roman"/>
      <w:kern w:val="2"/>
      <w:sz w:val="21"/>
      <w:szCs w:val="24"/>
    </w:rPr>
  </w:style>
  <w:style w:type="character" w:customStyle="1" w:styleId="55">
    <w:name w:val="正文文本缩进 Char"/>
    <w:link w:val="17"/>
    <w:qFormat/>
    <w:uiPriority w:val="0"/>
    <w:rPr>
      <w:rFonts w:ascii="仿宋_GB2312" w:hAnsi="Times New Roman" w:eastAsia="仿宋_GB2312" w:cs="Times New Roman"/>
      <w:sz w:val="32"/>
      <w:szCs w:val="20"/>
    </w:rPr>
  </w:style>
  <w:style w:type="character" w:customStyle="1" w:styleId="56">
    <w:name w:val="纯文本 Char1"/>
    <w:link w:val="19"/>
    <w:qFormat/>
    <w:uiPriority w:val="0"/>
    <w:rPr>
      <w:rFonts w:ascii="宋体" w:hAnsi="Courier New" w:eastAsia="宋体" w:cs="Courier New"/>
      <w:szCs w:val="21"/>
    </w:rPr>
  </w:style>
  <w:style w:type="character" w:customStyle="1" w:styleId="57">
    <w:name w:val="日期 Char"/>
    <w:link w:val="21"/>
    <w:semiHidden/>
    <w:qFormat/>
    <w:uiPriority w:val="99"/>
    <w:rPr>
      <w:rFonts w:ascii="Times New Roman" w:hAnsi="Times New Roman"/>
      <w:kern w:val="2"/>
      <w:sz w:val="21"/>
      <w:szCs w:val="24"/>
    </w:rPr>
  </w:style>
  <w:style w:type="character" w:customStyle="1" w:styleId="58">
    <w:name w:val="页脚 Char"/>
    <w:link w:val="23"/>
    <w:qFormat/>
    <w:uiPriority w:val="99"/>
    <w:rPr>
      <w:sz w:val="18"/>
      <w:szCs w:val="18"/>
    </w:rPr>
  </w:style>
  <w:style w:type="character" w:customStyle="1" w:styleId="59">
    <w:name w:val="页眉 Char"/>
    <w:link w:val="24"/>
    <w:qFormat/>
    <w:uiPriority w:val="99"/>
    <w:rPr>
      <w:sz w:val="18"/>
      <w:szCs w:val="18"/>
    </w:rPr>
  </w:style>
  <w:style w:type="character" w:customStyle="1" w:styleId="60">
    <w:name w:val="批注主题 Char"/>
    <w:link w:val="31"/>
    <w:qFormat/>
    <w:uiPriority w:val="99"/>
    <w:rPr>
      <w:rFonts w:ascii="Times New Roman" w:hAnsi="Times New Roman"/>
      <w:b/>
      <w:bCs/>
      <w:kern w:val="2"/>
      <w:sz w:val="21"/>
      <w:szCs w:val="24"/>
    </w:rPr>
  </w:style>
  <w:style w:type="character" w:customStyle="1" w:styleId="61">
    <w:name w:val="textcontents"/>
    <w:qFormat/>
    <w:uiPriority w:val="0"/>
  </w:style>
  <w:style w:type="character" w:customStyle="1" w:styleId="62">
    <w:name w:val="批注文字 Char"/>
    <w:qFormat/>
    <w:uiPriority w:val="0"/>
    <w:rPr>
      <w:rFonts w:ascii="Times New Roman" w:hAnsi="Times New Roman"/>
      <w:kern w:val="2"/>
      <w:sz w:val="21"/>
      <w:szCs w:val="24"/>
    </w:rPr>
  </w:style>
  <w:style w:type="character" w:customStyle="1" w:styleId="63">
    <w:name w:val="纯文本 字符"/>
    <w:qFormat/>
    <w:uiPriority w:val="0"/>
    <w:rPr>
      <w:rFonts w:ascii="宋体" w:hAnsi="Courier New" w:eastAsia="宋体" w:cs="Courier New"/>
      <w:szCs w:val="21"/>
    </w:rPr>
  </w:style>
  <w:style w:type="character" w:customStyle="1" w:styleId="64">
    <w:name w:val="纯文本 Char"/>
    <w:qFormat/>
    <w:uiPriority w:val="0"/>
    <w:rPr>
      <w:rFonts w:ascii="宋体" w:hAnsi="Courier New" w:eastAsia="宋体" w:cs="Courier New"/>
      <w:szCs w:val="21"/>
    </w:rPr>
  </w:style>
  <w:style w:type="character" w:customStyle="1" w:styleId="65">
    <w:name w:val="纯文本 字符2"/>
    <w:qFormat/>
    <w:uiPriority w:val="0"/>
    <w:rPr>
      <w:rFonts w:ascii="宋体" w:hAnsi="Courier New" w:eastAsia="宋体" w:cs="Courier New"/>
      <w:szCs w:val="21"/>
    </w:rPr>
  </w:style>
  <w:style w:type="character" w:customStyle="1" w:styleId="66">
    <w:name w:val="批注文字 字符1"/>
    <w:qFormat/>
    <w:uiPriority w:val="0"/>
    <w:rPr>
      <w:rFonts w:ascii="Times New Roman" w:hAnsi="Times New Roman"/>
      <w:kern w:val="2"/>
      <w:sz w:val="21"/>
      <w:szCs w:val="24"/>
    </w:rPr>
  </w:style>
  <w:style w:type="character" w:customStyle="1" w:styleId="67">
    <w:name w:val="正文文本 (26) + 间距 0 pt"/>
    <w:qFormat/>
    <w:uiPriority w:val="0"/>
    <w:rPr>
      <w:rFonts w:ascii="宋体" w:hAnsi="宋体" w:eastAsia="宋体" w:cs="宋体"/>
      <w:color w:val="000000"/>
      <w:spacing w:val="0"/>
      <w:w w:val="100"/>
      <w:position w:val="0"/>
      <w:sz w:val="22"/>
      <w:szCs w:val="22"/>
      <w:u w:val="none"/>
      <w:lang w:val="zh-CN" w:eastAsia="zh-CN" w:bidi="zh-CN"/>
    </w:rPr>
  </w:style>
  <w:style w:type="character" w:customStyle="1" w:styleId="68">
    <w:name w:val="纯文本 字符1"/>
    <w:qFormat/>
    <w:uiPriority w:val="0"/>
    <w:rPr>
      <w:rFonts w:ascii="宋体" w:hAnsi="Courier New"/>
    </w:rPr>
  </w:style>
  <w:style w:type="character" w:customStyle="1" w:styleId="69">
    <w:name w:val="正文文本 Char"/>
    <w:qFormat/>
    <w:uiPriority w:val="0"/>
    <w:rPr>
      <w:rFonts w:ascii="Times New Roman" w:hAnsi="Times New Roman"/>
      <w:kern w:val="2"/>
      <w:sz w:val="21"/>
      <w:szCs w:val="24"/>
    </w:rPr>
  </w:style>
  <w:style w:type="character" w:customStyle="1" w:styleId="70">
    <w:name w:val="批注文字 字符"/>
    <w:qFormat/>
    <w:uiPriority w:val="0"/>
    <w:rPr>
      <w:rFonts w:ascii="Times New Roman" w:hAnsi="Times New Roman"/>
      <w:kern w:val="2"/>
      <w:sz w:val="21"/>
      <w:szCs w:val="24"/>
    </w:rPr>
  </w:style>
  <w:style w:type="character" w:customStyle="1" w:styleId="71">
    <w:name w:val="标题 8 Char"/>
    <w:qFormat/>
    <w:uiPriority w:val="0"/>
    <w:rPr>
      <w:rFonts w:ascii="Arial" w:hAnsi="Arial" w:eastAsia="黑体"/>
      <w:kern w:val="2"/>
      <w:sz w:val="24"/>
      <w:szCs w:val="24"/>
    </w:rPr>
  </w:style>
  <w:style w:type="character" w:customStyle="1" w:styleId="72">
    <w:name w:val="apple-style-span"/>
    <w:qFormat/>
    <w:uiPriority w:val="0"/>
  </w:style>
  <w:style w:type="paragraph" w:customStyle="1" w:styleId="73">
    <w:name w:val="默认段落字体 Para Char Char Char Char Char Char Char Char Char1 Char Char Char Char"/>
    <w:basedOn w:val="1"/>
    <w:qFormat/>
    <w:uiPriority w:val="0"/>
    <w:rPr>
      <w:rFonts w:ascii="Tahoma" w:hAnsi="Tahoma"/>
      <w:sz w:val="24"/>
      <w:szCs w:val="20"/>
    </w:rPr>
  </w:style>
  <w:style w:type="paragraph" w:customStyle="1" w:styleId="74">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styleId="75">
    <w:name w:val="List Paragraph"/>
    <w:basedOn w:val="1"/>
    <w:qFormat/>
    <w:uiPriority w:val="34"/>
    <w:pPr>
      <w:ind w:firstLine="420" w:firstLineChars="200"/>
    </w:pPr>
  </w:style>
  <w:style w:type="paragraph" w:customStyle="1" w:styleId="76">
    <w:name w:val="Table Paragraph"/>
    <w:basedOn w:val="1"/>
    <w:qFormat/>
    <w:uiPriority w:val="1"/>
    <w:pPr>
      <w:jc w:val="left"/>
    </w:pPr>
    <w:rPr>
      <w:rFonts w:ascii="Calibri" w:hAnsi="Calibri"/>
      <w:kern w:val="0"/>
      <w:sz w:val="22"/>
      <w:szCs w:val="22"/>
      <w:lang w:eastAsia="en-US"/>
    </w:rPr>
  </w:style>
  <w:style w:type="character" w:customStyle="1" w:styleId="77">
    <w:name w:val="正文文本 字符"/>
    <w:qFormat/>
    <w:uiPriority w:val="0"/>
    <w:rPr>
      <w:rFonts w:ascii="Times New Roman" w:hAnsi="Times New Roman"/>
      <w:kern w:val="2"/>
      <w:sz w:val="21"/>
      <w:szCs w:val="24"/>
    </w:rPr>
  </w:style>
  <w:style w:type="character" w:customStyle="1" w:styleId="78">
    <w:name w:val="批注文字 Char2"/>
    <w:qFormat/>
    <w:uiPriority w:val="0"/>
    <w:rPr>
      <w:rFonts w:ascii="Times New Roman" w:hAnsi="Times New Roman"/>
      <w:kern w:val="2"/>
      <w:sz w:val="21"/>
      <w:szCs w:val="24"/>
    </w:rPr>
  </w:style>
  <w:style w:type="paragraph" w:customStyle="1" w:styleId="79">
    <w:name w:val="Title1"/>
    <w:basedOn w:val="1"/>
    <w:next w:val="1"/>
    <w:qFormat/>
    <w:uiPriority w:val="0"/>
    <w:pPr>
      <w:jc w:val="center"/>
      <w:outlineLvl w:val="0"/>
    </w:pPr>
    <w:rPr>
      <w:rFonts w:ascii="Calibri Light" w:hAnsi="Calibri Light" w:eastAsia="Arial Unicode MS" w:cs="Times New Roman"/>
      <w:b/>
    </w:rPr>
  </w:style>
  <w:style w:type="paragraph" w:customStyle="1" w:styleId="80">
    <w:name w:val="Table Text"/>
    <w:basedOn w:val="1"/>
    <w:semiHidden/>
    <w:qFormat/>
    <w:uiPriority w:val="0"/>
    <w:pPr>
      <w:widowControl/>
      <w:kinsoku w:val="0"/>
      <w:autoSpaceDE w:val="0"/>
      <w:autoSpaceDN w:val="0"/>
      <w:adjustRightInd w:val="0"/>
      <w:snapToGrid w:val="0"/>
      <w:jc w:val="left"/>
      <w:textAlignment w:val="baseline"/>
    </w:pPr>
    <w:rPr>
      <w:rFonts w:ascii="宋体" w:hAnsi="宋体" w:cs="宋体"/>
      <w:color w:val="000000"/>
      <w:kern w:val="0"/>
      <w:szCs w:val="21"/>
    </w:rPr>
  </w:style>
  <w:style w:type="paragraph" w:customStyle="1" w:styleId="81">
    <w:name w:val="_Style 1"/>
    <w:qFormat/>
    <w:uiPriority w:val="0"/>
    <w:pPr>
      <w:widowControl w:val="0"/>
      <w:ind w:firstLine="420" w:firstLineChars="200"/>
      <w:jc w:val="both"/>
    </w:pPr>
    <w:rPr>
      <w:rFonts w:ascii="Calibri" w:hAnsi="Calibri" w:eastAsia="宋体" w:cs="Times New Roman"/>
      <w:kern w:val="2"/>
      <w:sz w:val="21"/>
      <w:szCs w:val="22"/>
      <w:lang w:val="en-US" w:eastAsia="zh-CN" w:bidi="ar-SA"/>
    </w:rPr>
  </w:style>
  <w:style w:type="character" w:customStyle="1" w:styleId="82">
    <w:name w:val="font11"/>
    <w:qFormat/>
    <w:uiPriority w:val="0"/>
    <w:rPr>
      <w:rFonts w:hint="eastAsia" w:ascii="宋体" w:hAnsi="宋体" w:eastAsia="宋体" w:cs="宋体"/>
      <w:color w:val="000000"/>
      <w:sz w:val="24"/>
      <w:szCs w:val="24"/>
      <w:u w:val="none"/>
    </w:rPr>
  </w:style>
  <w:style w:type="character" w:customStyle="1" w:styleId="83">
    <w:name w:val="Font Style17"/>
    <w:qFormat/>
    <w:uiPriority w:val="0"/>
    <w:rPr>
      <w:rFonts w:ascii="黑体" w:eastAsia="黑体" w:cs="黑体"/>
      <w:sz w:val="28"/>
      <w:szCs w:val="28"/>
    </w:rPr>
  </w:style>
  <w:style w:type="paragraph" w:customStyle="1" w:styleId="84">
    <w:name w:val="正文1"/>
    <w:basedOn w:val="1"/>
    <w:qFormat/>
    <w:uiPriority w:val="0"/>
    <w:pPr>
      <w:adjustRightInd w:val="0"/>
      <w:spacing w:line="318" w:lineRule="atLeast"/>
      <w:ind w:left="369" w:firstLine="369"/>
      <w:textAlignment w:val="baseline"/>
    </w:pPr>
    <w:rPr>
      <w:rFonts w:ascii="宋体"/>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1" Type="http://schemas.openxmlformats.org/officeDocument/2006/relationships/fontTable" Target="fontTable.xml"/><Relationship Id="rId20" Type="http://schemas.openxmlformats.org/officeDocument/2006/relationships/customXml" Target="../customXml/item2.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image" Target="media/image4.png"/><Relationship Id="rId16" Type="http://schemas.openxmlformats.org/officeDocument/2006/relationships/image" Target="media/image3.jpeg"/><Relationship Id="rId15" Type="http://schemas.openxmlformats.org/officeDocument/2006/relationships/image" Target="media/image2.jpeg"/><Relationship Id="rId14" Type="http://schemas.openxmlformats.org/officeDocument/2006/relationships/image" Target="media/image1.jpeg"/><Relationship Id="rId13" Type="http://schemas.openxmlformats.org/officeDocument/2006/relationships/theme" Target="theme/theme1.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47519603-0116-4341-a0b9-70acff2d71d6</errorID>
      <errorWord>Zhongxinhengtai</errorWord>
      <group>L1_English</group>
      <groupName>英文问题</groupName>
      <ability>L2_Other_Grammar</ability>
      <abilityName>其他语法问题</abilityName>
      <candidateList>
        <item>Zhongxin Hengtai</item>
      </candidateList>
      <explain>名词使用不当, 建议将Zhongxinhengtai修改为Zhongxin Hengtai</explain>
      <paraID> 30FADA5</paraID>
      <start>8</start>
      <end>23</end>
      <status>unmodified</status>
      <modifiedWord/>
      <trackRevisions>false</trackRevisions>
    </reviewItem>
    <reviewItem>
      <errorID>d207608e-60ee-4fad-8e40-8f4bafd053ba</errorID>
      <errorWord>上午00:00</errorWord>
      <group>L1_Knowledge</group>
      <groupName>知识性问题</groupName>
      <ability>L2_Time</ability>
      <abilityName>日期时间</abilityName>
      <candidateList/>
      <explain>时间与前缀不匹配，可能的时间前缀有“下午、晚上、凌晨、午夜”。</explain>
      <paraID>1969A35D</paraID>
      <start>27</start>
      <end>34</end>
      <status>unmodified</status>
      <modifiedWord/>
      <trackRevisions>false</trackRevisions>
    </reviewItem>
    <reviewItem>
      <errorID>080a6fa5-1ed7-4e98-ae7e-42be3ee32ae8</errorID>
      <errorWord>备配</errorWord>
      <group>L1_Word</group>
      <groupName>字词问题</groupName>
      <ability>L2_Typo</ability>
      <abilityName>字词错误</abilityName>
      <candidateList>
        <item>配备</item>
      </candidateList>
      <explain>❶〈动〉根据需要分配（人力或物力）：～骨干力量｜～三辆吉普车。❷〈动〉布置（兵力）：按地形～火力。❸〈名〉成套的设备、装备等：现代化的～。</explain>
      <paraID>7D55B8F0</paraID>
      <start>8</start>
      <end>10</end>
      <status>unmodified</status>
      <modifiedWord/>
      <trackRevisions>false</trackRevisions>
    </reviewItem>
    <reviewItem>
      <errorID>8452f3df-ab9b-4455-8397-02a8a258a3bd</errorID>
      <errorWord>”</errorWord>
      <group>L1_Punc</group>
      <groupName>标点问题</groupName>
      <ability>L2_Punc</ability>
      <abilityName>标点符号检查</abilityName>
      <candidateList/>
      <explain>此处标点可能未正确匹配，请检查句子中是否存在标点冗余、缺失或使用错误的情况。</explain>
      <paraID>45C57968</paraID>
      <start>224</start>
      <end>225</end>
      <status>unmodified</status>
      <modifiedWord/>
      <trackRevisions>false</trackRevisions>
    </reviewItem>
    <reviewItem>
      <errorID>d35499ab-a09f-4cad-a75d-a9c188667cba</errorID>
      <errorWord>，是</errorWord>
      <group>L1_Word</group>
      <groupName>字词问题</groupName>
      <ability>L2_Typo</ability>
      <abilityName>字词错误</abilityName>
      <candidateList>
        <item>，</item>
      </candidateList>
      <explain/>
      <paraID> E394A81</paraID>
      <start>35</start>
      <end>37</end>
      <status>unmodified</status>
      <modifiedWord/>
      <trackRevisions>false</trackRevisions>
    </reviewItem>
    <reviewItem>
      <errorID>23552c2c-a202-4556-aa7d-5542565fd330</errorID>
      <errorWord>葵花籽</errorWord>
      <group>L1_Knowledge</group>
      <groupName>知识性问题</groupName>
      <ability>L2_Knowledge</ability>
      <abilityName>其他知识</abilityName>
      <candidateList>
        <item>葵花子</item>
      </candidateList>
      <explain/>
      <paraID>19C9D6BD</paraID>
      <start>0</start>
      <end>3</end>
      <status>unmodified</status>
      <modifiedWord/>
      <trackRevisions>false</trackRevisions>
    </reviewItem>
    <reviewItem>
      <errorID>b3833d9c-72c6-4c72-8427-76a6febdb92a</errorID>
      <errorWord>菱角</errorWord>
      <group>L1_Word</group>
      <groupName>字词问题</groupName>
      <ability>L2_Typo</ability>
      <abilityName>字词错误</abilityName>
      <candidateList>
        <item>棱角</item>
      </candidateList>
      <explain>〈名〉❶棱和角：河沟里的石头多半没有～。❷比喻显露出来的锋芒：他很有心计，但表面不露～。</explain>
      <paraID>5F812777</paraID>
      <start>22</start>
      <end>24</end>
      <status>unmodified</status>
      <modifiedWord/>
      <trackRevisions>false</trackRevisions>
    </reviewItem>
    <reviewItem>
      <errorID>12c98453-f1c9-4f5e-ac00-fcc770fbf41b</errorID>
      <errorWord>桔</errorWord>
      <group>L1_Word</group>
      <groupName>字词问题</groupName>
      <ability>L2_Typo</ability>
      <abilityName>字词错误</abilityName>
      <candidateList>
        <item>橘</item>
      </candidateList>
      <explain>存在发音相同字词的误用。</explain>
      <paraID>4F99E6DC</paraID>
      <start>2</start>
      <end>3</end>
      <status>unmodified</status>
      <modifiedWord/>
      <trackRevisions>false</trackRevisions>
    </reviewItem>
    <reviewItem>
      <errorID>0a0d72e5-ec64-4960-9116-bc4e5cdf07d0</errorID>
      <errorWord>裏</errorWord>
      <group>L1_Word</group>
      <groupName>字词问题</groupName>
      <ability>L2_Fanti</ability>
      <abilityName>繁转简</abilityName>
      <candidateList>
        <item>里</item>
      </candidateList>
      <explain>（裏、裡）•li〈名〉方位词。❶里面；内部（跟“外”相对）：手～｜箱子～｜话～有话。❷附在“这、那、哪”等字后边表示地点：这～｜那～｜头～。</explain>
      <paraID> C5CBA6D</paraID>
      <start>28</start>
      <end>29</end>
      <status>unmodified</status>
      <modifiedWord/>
      <trackRevisions>false</trackRevisions>
    </reviewItem>
    <reviewItem>
      <errorID>176e2d9e-a104-4188-857b-b1b9db672b16</errorID>
      <errorWord>边接</errorWord>
      <group>L1_Word</group>
      <groupName>字词问题</groupName>
      <ability>L2_Typo</ability>
      <abilityName>字词错误</abilityName>
      <candidateList>
        <item>连接</item>
      </candidateList>
      <explain>（联接）liánjiē〈动〉❶（事物）互相衔接：山岭～。❷使连接：～线路。</explain>
      <paraID>43D4A71C</paraID>
      <start>32</start>
      <end>34</end>
      <status>unmodified</status>
      <modifiedWord/>
      <trackRevisions>false</trackRevisions>
    </reviewItem>
    <reviewItem>
      <errorID>30eee42d-62e7-4487-bb09-356fbe51dfd0</errorID>
      <errorWord>外型</errorWord>
      <group>L1_Word</group>
      <groupName>字词问题</groupName>
      <ability>L2_Typo</ability>
      <abilityName>字词错误</abilityName>
      <candidateList>
        <item>外形</item>
      </candidateList>
      <explain>存在发音相同字词的误用。</explain>
      <paraID>61877AE5</paraID>
      <start>36</start>
      <end>38</end>
      <status>unmodified</status>
      <modifiedWord/>
      <trackRevisions>false</trackRevisions>
    </reviewItem>
    <reviewItem>
      <errorID>3e95956b-bfa7-4c89-8b00-55d0f99d35f4</errorID>
      <errorWord>厚身</errorWord>
      <group>L1_Word</group>
      <groupName>字词问题</groupName>
      <ability>L2_Typo</ability>
      <abilityName>字词错误</abilityName>
      <candidateList>
        <item>厚实</item>
      </candidateList>
      <explain/>
      <paraID>11589B5B</paraID>
      <start>19</start>
      <end>21</end>
      <status>unmodified</status>
      <modifiedWord/>
      <trackRevisions>false</trackRevisions>
    </reviewItem>
    <reviewItem>
      <errorID>0eef77b7-7ab8-4a79-a757-c5f9027ac6f6</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1F0D01C</paraID>
      <start>24</start>
      <end>25</end>
      <status>unmodified</status>
      <modifiedWord/>
      <trackRevisions>false</trackRevisions>
    </reviewItem>
    <reviewItem>
      <errorID>ea427327-6b11-4747-b334-f47ce41a8a18</errorID>
      <errorWord>-</errorWord>
      <group>L1_Format</group>
      <groupName>格式问题</groupName>
      <ability>L2_HalfPunc</ability>
      <abilityName>全半角检查</abilityName>
      <candidateList>
        <item>－</item>
      </candidateList>
      <explain>文本全半角错误。</explain>
      <paraID>6F891EF8</paraID>
      <start>25</start>
      <end>26</end>
      <status>unmodified</status>
      <modifiedWord/>
      <trackRevisions>false</trackRevisions>
    </reviewItem>
    <reviewItem>
      <errorID>680c972b-33da-47f6-9d5d-0e91df220b41</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29134F49</paraID>
      <start>8</start>
      <end>9</end>
      <status>unmodified</status>
      <modifiedWord/>
      <trackRevisions>false</trackRevisions>
    </reviewItem>
    <reviewItem>
      <errorID>b8ade57f-fa02-48e9-b618-5cf788fe97f4</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640B9A0D</paraID>
      <start>25</start>
      <end>26</end>
      <status>unmodified</status>
      <modifiedWord/>
      <trackRevisions>false</trackRevisions>
    </reviewItem>
    <reviewItem>
      <errorID>9a524610-978d-4633-8537-d2de1ec754e3</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10241EBB</paraID>
      <start>20</start>
      <end>21</end>
      <status>unmodified</status>
      <modifiedWord/>
      <trackRevisions>false</trackRevisions>
    </reviewItem>
    <reviewItem>
      <errorID>a20d8c03-bd88-4279-a371-45c465f3fae2</errorID>
      <errorWord>:</errorWord>
      <group>L1_Format</group>
      <groupName>格式问题</groupName>
      <ability>L2_HalfPunc</ability>
      <abilityName>全半角检查</abilityName>
      <candidateList>
        <item>：</item>
      </candidateList>
      <explain>文本全半角错误。</explain>
      <paraID>348B4789</paraID>
      <start>14</start>
      <end>15</end>
      <status>unmodified</status>
      <modifiedWord/>
      <trackRevisions>false</trackRevisions>
    </reviewItem>
    <reviewItem>
      <errorID>c7d55253-7fdf-4d65-ab5e-d221183d8577</errorID>
      <errorWord>下午14:30</errorWord>
      <group>L1_Knowledge</group>
      <groupName>知识性问题</groupName>
      <ability>L2_Time</ability>
      <abilityName>日期时间</abilityName>
      <candidateList>
        <item>14:30</item>
      </candidateList>
      <explain>24小时制的时间，不需要强调“下午”。</explain>
      <paraID>677375C3</paraID>
      <start>30</start>
      <end>37</end>
      <status>unmodified</status>
      <modifiedWord/>
      <trackRevisions>false</trackRevisions>
    </reviewItem>
    <reviewItem>
      <errorID>b265c534-ee9b-4fc4-8046-001e5c133686</errorID>
      <errorWord>（</errorWord>
      <group>L1_Punc</group>
      <groupName>标点问题</groupName>
      <ability>L2_Punc</ability>
      <abilityName>标点符号检查</abilityName>
      <candidateList/>
      <explain>此处标点可能未正确匹配，请检查句子中是否存在标点冗余、缺失或使用错误的情况。</explain>
      <paraID>61E6B8D4</paraID>
      <start>58</start>
      <end>59</end>
      <status>unmodified</status>
      <modifiedWord/>
      <trackRevisions>false</trackRevisions>
    </reviewItem>
    <reviewItem>
      <errorID>db91df85-70c7-42ba-89d1-ac67e4ca3727</errorID>
      <errorWord>法律、法规</errorWord>
      <group>L1_Word</group>
      <groupName>字词问题</groupName>
      <ability>L2_Typo</ability>
      <abilityName>字词错误</abilityName>
      <candidateList>
        <item>法律法规</item>
      </candidateList>
      <explain/>
      <paraID>7E0E0195</paraID>
      <start>38</start>
      <end>43</end>
      <status>unmodified</status>
      <modifiedWord/>
      <trackRevisions>false</trackRevisions>
    </reviewItem>
    <reviewItem>
      <errorID>4e206c57-841e-416b-b8af-7e5eb7a919fd</errorID>
      <errorWord>4%-6%</errorWord>
      <group>L1_Knowledge</group>
      <groupName>知识性问题</groupName>
      <ability>L2_Knowledge</ability>
      <abilityName>其他知识</abilityName>
      <candidateList>
        <item>4%—6%</item>
      </candidateList>
      <explain>1. “4%-6%”中的单位“%”仅出现在后一个数字上，容易引起歧义；根据《现代汉语标点符号数字用法规范手册》，数字表示范围两边需要使用统一的格式。2. 根据标点国标 4.13 中的规则，数字、时间或地域连接符应使用（视觉上更长的）“—”或“～”。</explain>
      <paraID>261F57DA</paraID>
      <start>203</start>
      <end>208</end>
      <status>unmodified</status>
      <modifiedWord/>
      <trackRevisions>false</trackRevisions>
    </reviewItem>
    <reviewItem>
      <errorID>5fb08fbe-208a-4364-bbaa-5d8634bf1d85</errorID>
      <errorWord>件</errorWord>
      <group>L1_Word</group>
      <groupName>字词问题</groupName>
      <ability>L2_Typo</ability>
      <abilityName>字词错误</abilityName>
      <candidateList>
        <item>件和</item>
      </candidateList>
      <explain/>
      <paraID>6D410114</paraID>
      <start>25</start>
      <end>26</end>
      <status>unmodified</status>
      <modifiedWord/>
      <trackRevisions>false</trackRevisions>
    </reviewItem>
    <reviewItem>
      <errorID>f20afa70-90fa-403c-8067-a4b341bf1b41</errorID>
      <errorWord>（</errorWord>
      <group>L1_Punc</group>
      <groupName>标点问题</groupName>
      <ability>L2_Punc</ability>
      <abilityName>标点符号检查</abilityName>
      <candidateList/>
      <explain>此处标点可能未正确匹配，请检查句子中是否存在标点冗余、缺失或使用错误的情况。</explain>
      <paraID>2DC274C6</paraID>
      <start>60</start>
      <end>61</end>
      <status>unmodified</status>
      <modifiedWord/>
      <trackRevisions>false</trackRevisions>
    </reviewItem>
    <reviewItem>
      <errorID>0516399d-e9ec-4f1f-b313-3fc24d290db4</errorID>
      <errorWord>100～500万</errorWord>
      <group>L1_Knowledge</group>
      <groupName>知识性问题</groupName>
      <ability>L2_Knowledge</ability>
      <abilityName>其他知识</abilityName>
      <candidateList>
        <item>100万～500万</item>
      </candidateList>
      <explain>1. “100～500万”中的单位“万”仅出现在后一个数字上，容易引起歧义；根据《现代汉语标点符号数字用法规范手册》，数字表示范围两边需要使用统一的格式。2.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14EE48E5</paraID>
      <start>0</start>
      <end>8</end>
      <status>unmodified</status>
      <modifiedWord/>
      <trackRevisions>false</trackRevisions>
    </reviewItem>
    <reviewItem>
      <errorID>3412d4cf-0e40-4b02-b012-7cd2d6af10dc</errorID>
      <errorWord>500～1000万</errorWord>
      <group>L1_Knowledge</group>
      <groupName>知识性问题</groupName>
      <ability>L2_Knowledge</ability>
      <abilityName>其他知识</abilityName>
      <candidateList>
        <item>500万～1000万</item>
      </candidateList>
      <explain>1. “500～1000万”中的单位“万”仅出现在后一个数字上，容易引起歧义；根据《现代汉语标点符号数字用法规范手册》，数字表示范围两边需要使用统一的格式。2.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44F8BB6D</paraID>
      <start>0</start>
      <end>9</end>
      <status>unmodified</status>
      <modifiedWord/>
      <trackRevisions>false</trackRevisions>
    </reviewItem>
    <reviewItem>
      <errorID>6ccf807c-8704-4f53-9d62-e00e47994130</errorID>
      <errorWord>1000～5000万</errorWord>
      <group>L1_Knowledge</group>
      <groupName>知识性问题</groupName>
      <ability>L2_Knowledge</ability>
      <abilityName>其他知识</abilityName>
      <candidateList>
        <item>1000万～5000万</item>
      </candidateList>
      <explain>1. “1000～5000万”中的单位“万”仅出现在后一个数字上，容易引起歧义；根据《现代汉语标点符号数字用法规范手册》，数字表示范围两边需要使用统一的格式。2.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68099A5B</paraID>
      <start>0</start>
      <end>10</end>
      <status>unmodified</status>
      <modifiedWord/>
      <trackRevisions>false</trackRevisions>
    </reviewItem>
    <reviewItem>
      <errorID>cb351e3f-6161-414f-9902-7f558fdbf91c</errorID>
      <errorWord>1～5亿</errorWord>
      <group>L1_Knowledge</group>
      <groupName>知识性问题</groupName>
      <ability>L2_Knowledge</ability>
      <abilityName>其他知识</abilityName>
      <candidateList>
        <item>1亿～5亿</item>
      </candidateList>
      <explain>1. “1～5亿”中的单位“亿”仅出现在后一个数字上，容易引起歧义；根据《现代汉语标点符号数字用法规范手册》，数字表示范围两边需要使用统一的格式。2. 根据标点国标 4.13 中的规则，数字、时间或地域连接符应使用（视觉上更长的）“—”或“～”。</explain>
      <paraID>79597CD7</paraID>
      <start>0</start>
      <end>4</end>
      <status>unmodified</status>
      <modifiedWord/>
      <trackRevisions>false</trackRevisions>
    </reviewItem>
    <reviewItem>
      <errorID>6b99a436-c4bb-4a9f-bebf-2b3824c719bc</errorID>
      <errorWord>5～10亿</errorWord>
      <group>L1_Knowledge</group>
      <groupName>知识性问题</groupName>
      <ability>L2_Knowledge</ability>
      <abilityName>其他知识</abilityName>
      <candidateList>
        <item>5亿～10亿</item>
      </candidateList>
      <explain>1. “5～10亿”中的单位“亿”仅出现在后一个数字上，容易引起歧义；根据《现代汉语标点符号数字用法规范手册》，数字表示范围两边需要使用统一的格式。2. 根据标点国标 4.13 中的规则，数字、时间或地域连接符应使用（视觉上更长的）“—”或“～”。</explain>
      <paraID>263DFFA0</paraID>
      <start>0</start>
      <end>5</end>
      <status>unmodified</status>
      <modifiedWord/>
      <trackRevisions>false</trackRevisions>
    </reviewItem>
    <reviewItem>
      <errorID>05ecf887-6903-4330-8db8-8584f659c712</errorID>
      <errorWord>10～50亿</errorWord>
      <group>L1_Knowledge</group>
      <groupName>知识性问题</groupName>
      <ability>L2_Knowledge</ability>
      <abilityName>其他知识</abilityName>
      <candidateList>
        <item>10亿～50亿</item>
      </candidateList>
      <explain>1. “10～50亿”中的单位“亿”仅出现在后一个数字上，容易引起歧义；根据《现代汉语标点符号数字用法规范手册》，数字表示范围两边需要使用统一的格式。2. 根据标点国标 4.13 中的规则，数字、时间或地域连接符应使用（视觉上更长的）“—”或“～”。</explain>
      <paraID>31F5F041</paraID>
      <start>0</start>
      <end>6</end>
      <status>unmodified</status>
      <modifiedWord/>
      <trackRevisions>false</trackRevisions>
    </reviewItem>
    <reviewItem>
      <errorID>00a4f50f-b0cd-4e87-9a1b-00d32e6be905</errorID>
      <errorWord>50～100亿</errorWord>
      <group>L1_Knowledge</group>
      <groupName>知识性问题</groupName>
      <ability>L2_Knowledge</ability>
      <abilityName>其他知识</abilityName>
      <candidateList>
        <item>50亿～100亿</item>
      </candidateList>
      <explain>1. “50～100亿”中的单位“亿”仅出现在后一个数字上，容易引起歧义；根据《现代汉语标点符号数字用法规范手册》，数字表示范围两边需要使用统一的格式。2. 根据标点国标 4.13 中的规则，数字、时间或地域连接符应使用（视觉上更长的）“—”或“～”。</explain>
      <paraID>74CA45E6</paraID>
      <start>0</start>
      <end>7</end>
      <status>unmodified</status>
      <modifiedWord/>
      <trackRevisions>false</trackRevisions>
    </reviewItem>
    <reviewItem>
      <errorID>f97f5aa2-b0dc-4b00-8913-00d7c8c5ed44</errorID>
      <errorWord>亿</errorWord>
      <group>L1_Word</group>
      <groupName>字词问题</groupName>
      <ability>L2_Typo</ability>
      <abilityName>字词错误</abilityName>
      <candidateList>
        <item>亿元</item>
      </candidateList>
      <explain/>
      <paraID> E14BEF3</paraID>
      <start>3</start>
      <end>4</end>
      <status>unmodified</status>
      <modifiedWord/>
      <trackRevisions>false</trackRevisions>
    </reviewItem>
    <reviewItem>
      <errorID>4811fe82-6d96-4cd3-b2b8-f8545a9b6301</errorID>
      <errorWord>，</errorWord>
      <group>L1_Word</group>
      <groupName>字词问题</groupName>
      <ability>L2_Typo</ability>
      <abilityName>字词错误</abilityName>
      <candidateList>
        <item>，在</item>
      </candidateList>
      <explain/>
      <paraID> ACA474E</paraID>
      <start>63</start>
      <end>64</end>
      <status>unmodified</status>
      <modifiedWord/>
      <trackRevisions>false</trackRevisions>
    </reviewItem>
    <reviewItem>
      <errorID>904e7612-5cec-4811-8f10-b0b1f06da16b</errorID>
      <errorWord>法律、法规</errorWord>
      <group>L1_Word</group>
      <groupName>字词问题</groupName>
      <ability>L2_Typo</ability>
      <abilityName>字词错误</abilityName>
      <candidateList>
        <item>法律法规</item>
      </candidateList>
      <explain/>
      <paraID>285D10E4</paraID>
      <start>3</start>
      <end>8</end>
      <status>unmodified</status>
      <modifiedWord/>
      <trackRevisions>false</trackRevisions>
    </reviewItem>
    <reviewItem>
      <errorID>209ce81e-03e4-47e4-9f64-58861b65bf85</errorID>
      <errorWord>包含有</errorWord>
      <group>L1_Word</group>
      <groupName>字词问题</groupName>
      <ability>L2_Typo</ability>
      <abilityName>字词错误</abilityName>
      <candidateList>
        <item>包含</item>
      </candidateList>
      <explain>〈动〉里边含有：这句话～好几层意思。</explain>
      <paraID> E82FDF2</paraID>
      <start>38</start>
      <end>41</end>
      <status>unmodified</status>
      <modifiedWord/>
      <trackRevisions>false</trackRevisions>
    </reviewItem>
    <reviewItem>
      <errorID>96cc39b9-3d4e-4a91-91af-5015c9debabb</errorID>
      <errorWord>包含有</errorWord>
      <group>L1_Word</group>
      <groupName>字词问题</groupName>
      <ability>L2_Typo</ability>
      <abilityName>字词错误</abilityName>
      <candidateList>
        <item>包含</item>
      </candidateList>
      <explain>〈动〉里边含有：这句话～好几层意思。</explain>
      <paraID> 143D1DD</paraID>
      <start>41</start>
      <end>44</end>
      <status>unmodified</status>
      <modifiedWord/>
      <trackRevisions>false</trackRevisions>
    </reviewItem>
    <reviewItem>
      <errorID>f1969d66-3838-4d18-a58b-347ece127877</errorID>
      <errorWord>）</errorWord>
      <group>L1_Punc</group>
      <groupName>标点问题</groupName>
      <ability>L2_Punc</ability>
      <abilityName>标点符号检查</abilityName>
      <candidateList/>
      <explain>此处标点可能未正确匹配，请检查句子中是否存在标点冗余、缺失或使用错误的情况。</explain>
      <paraID> B9B1E2D</paraID>
      <start>134</start>
      <end>135</end>
      <status>unmodified</status>
      <modifiedWord/>
      <trackRevisions>false</trackRevisions>
    </reviewItem>
    <reviewItem>
      <errorID>d9dcc7ab-377d-45d6-8439-6d1e3cc23a32</errorID>
      <errorWord>“/</errorWord>
      <group>L1_Punc</group>
      <groupName>标点问题</groupName>
      <ability>L2_Punc</ability>
      <abilityName>标点符号检查</abilityName>
      <candidateList>
        <item>“</item>
      </candidateList>
      <explain/>
      <paraID>   CDD25</paraID>
      <start>15</start>
      <end>17</end>
      <status>unmodified</status>
      <modifiedWord/>
      <trackRevisions>false</trackRevisions>
    </reviewItem>
    <reviewItem>
      <errorID>552c80eb-4afd-4611-9898-d2951769efb1</errorID>
      <errorWord>股东大会</errorWord>
      <group>L1_Word</group>
      <groupName>字词问题</groupName>
      <ability>L2_Typo</ability>
      <abilityName>字词错误</abilityName>
      <candidateList>
        <item>股东会</item>
      </candidateList>
      <explain/>
      <paraID>379E061C</paraID>
      <start>113</start>
      <end>117</end>
      <status>unmodified</status>
      <modifiedWord/>
      <trackRevisions>false</trackRevisions>
    </reviewItem>
    <reviewItem>
      <errorID>d65a23e5-32d8-4ec0-8d3c-7f794812a14d</errorID>
      <errorWord>须</errorWord>
      <group>L1_Word</group>
      <groupName>字词问题</groupName>
      <ability>L2_Typo</ability>
      <abilityName>字词错误</abilityName>
      <candidateList>
        <item>需</item>
      </candidateList>
      <explain>存在发音相同字词的误用。</explain>
      <paraID>1BB8CD27</paraID>
      <start>82</start>
      <end>83</end>
      <status>unmodified</status>
      <modifiedWord/>
      <trackRevisions>false</trackRevisions>
    </reviewItem>
    <reviewItem>
      <errorID>feffbf3b-d0b3-4055-bf16-79e216fe50a7</errorID>
      <errorWord>“/</errorWord>
      <group>L1_Punc</group>
      <groupName>标点问题</groupName>
      <ability>L2_Punc</ability>
      <abilityName>标点符号检查</abilityName>
      <candidateList>
        <item>“</item>
      </candidateList>
      <explain/>
      <paraID>3AF3A171</paraID>
      <start>15</start>
      <end>17</end>
      <status>unmodified</status>
      <modifiedWord/>
      <trackRevisions>false</trackRevisions>
    </reviewItem>
    <reviewItem>
      <errorID>8704ff4d-ad1c-4d5e-a438-7f9e07ea5727</errorID>
      <errorWord>“/</errorWord>
      <group>L1_Punc</group>
      <groupName>标点问题</groupName>
      <ability>L2_Punc</ability>
      <abilityName>标点符号检查</abilityName>
      <candidateList>
        <item>“</item>
      </candidateList>
      <explain/>
      <paraID>485CA98A</paraID>
      <start>15</start>
      <end>17</end>
      <status>unmodified</status>
      <modifiedWord/>
      <trackRevisions>false</trackRevisions>
    </reviewItem>
    <reviewItem>
      <errorID>e6774227-2631-4116-aed8-716445ca1a3d</errorID>
      <errorWord>“/</errorWord>
      <group>L1_Punc</group>
      <groupName>标点问题</groupName>
      <ability>L2_Punc</ability>
      <abilityName>标点符号检查</abilityName>
      <candidateList>
        <item>“</item>
      </candidateList>
      <explain/>
      <paraID>7E8DE6C6</paraID>
      <start>15</start>
      <end>17</end>
      <status>unmodified</status>
      <modifiedWord/>
      <trackRevisions>false</trackRevisions>
    </reviewItem>
    <reviewItem>
      <errorID>f2894c0f-bbd4-4cd1-b879-74cd6df816af</errorID>
      <errorWord>“/</errorWord>
      <group>L1_Punc</group>
      <groupName>标点问题</groupName>
      <ability>L2_Punc</ability>
      <abilityName>标点符号检查</abilityName>
      <candidateList>
        <item>“</item>
      </candidateList>
      <explain/>
      <paraID>5B6FF719</paraID>
      <start>14</start>
      <end>16</end>
      <status>unmodified</status>
      <modifiedWord/>
      <trackRevisions>false</trackRevisions>
    </reviewItem>
    <reviewItem>
      <errorID>331c4f42-5a34-4efb-b161-c58df9005b32</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5A42C326</paraID>
      <start>37</start>
      <end>40</end>
      <status>unmodified</status>
      <modifiedWord/>
      <trackRevisions>false</trackRevisions>
    </reviewItem>
    <reviewItem>
      <errorID>f5f48b80-b5fe-498a-827f-ac0b49a508da</errorID>
      <errorWord>“/</errorWord>
      <group>L1_Punc</group>
      <groupName>标点问题</groupName>
      <ability>L2_Punc</ability>
      <abilityName>标点符号检查</abilityName>
      <candidateList>
        <item>“</item>
      </candidateList>
      <explain/>
      <paraID>39ED25F8</paraID>
      <start>15</start>
      <end>17</end>
      <status>unmodified</status>
      <modifiedWord/>
      <trackRevisions>false</trackRevisions>
    </reviewItem>
    <reviewItem>
      <errorID>beee9058-feca-452f-b4a2-2211bf7a1840</errorID>
      <errorWord>“/</errorWord>
      <group>L1_Punc</group>
      <groupName>标点问题</groupName>
      <ability>L2_Punc</ability>
      <abilityName>标点符号检查</abilityName>
      <candidateList>
        <item>“</item>
      </candidateList>
      <explain/>
      <paraID> 20B698C</paraID>
      <start>13</start>
      <end>15</end>
      <status>unmodified</status>
      <modifiedWord/>
      <trackRevisions>false</trackRevisions>
    </reviewItem>
    <reviewItem>
      <errorID>6e71e1eb-f7c6-4db9-8fa7-d55c5523f74c</errorID>
      <errorWord>:</errorWord>
      <group>L1_Format</group>
      <groupName>格式问题</groupName>
      <ability>L2_HalfPunc</ability>
      <abilityName>全半角检查</abilityName>
      <candidateList>
        <item>：</item>
      </candidateList>
      <explain>文本全半角错误。</explain>
      <paraID>6B7C5F94</paraID>
      <start>1</start>
      <end>2</end>
      <status>unmodified</status>
      <modifiedWord/>
      <trackRevisions>false</trackRevisions>
    </reviewItem>
    <reviewItem>
      <errorID>a11ee3b4-d495-4fd4-a7be-bf243b794af3</errorID>
      <errorWord>[2026]6184号</errorWord>
      <group>L1_Knowledge</group>
      <groupName>知识性问题</groupName>
      <ability>L2_Knowledge</ability>
      <abilityName>其他知识</abilityName>
      <candidateList>
        <item>〔2026〕6184号</item>
      </candidateList>
      <explain>发文字号格式错误。</explain>
      <paraID>1563F57F</paraID>
      <start>10</start>
      <end>21</end>
      <status>unmodified</status>
      <modifiedWord/>
      <trackRevisions>false</trackRevisions>
    </reviewItem>
    <reviewItem>
      <errorID>4b8eaee0-cb68-472f-808d-202ec79fdb6d</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4E27FE81</paraID>
      <start>15</start>
      <end>18</end>
      <status>unmodified</status>
      <modifiedWord/>
      <trackRevisions>false</trackRevisions>
    </reviewItem>
    <reviewItem>
      <errorID>b2b852de-50b0-48f6-b12a-f9ff01f23f85</errorID>
      <errorWord>法律、法规</errorWord>
      <group>L1_Word</group>
      <groupName>字词问题</groupName>
      <ability>L2_Typo</ability>
      <abilityName>字词错误</abilityName>
      <candidateList>
        <item>法律法规</item>
      </candidateList>
      <explain/>
      <paraID>4E27FE81</paraID>
      <start>30</start>
      <end>35</end>
      <status>unmodified</status>
      <modifiedWord/>
      <trackRevisions>false</trackRevisions>
    </reviewItem>
    <reviewItem>
      <errorID>c6fee6f8-b1c3-492f-af00-6e9d1612ded2</errorID>
      <errorWord>”</errorWord>
      <group>L1_Punc</group>
      <groupName>标点问题</groupName>
      <ability>L2_Punc</ability>
      <abilityName>标点符号检查</abilityName>
      <candidateList/>
      <explain>此处标点可能未正确匹配，请检查句子中是否存在标点冗余、缺失或使用错误的情况。</explain>
      <paraID> 13DB047</paraID>
      <start>219</start>
      <end>220</end>
      <status>unmodified</status>
      <modifiedWord/>
      <trackRevisions>false</trackRevisions>
    </reviewItem>
    <reviewItem>
      <errorID>c576042a-c6d2-427f-ae72-68ccbfb88322</errorID>
      <errorWord>属</errorWord>
      <group>L1_Word</group>
      <groupName>字词问题</groupName>
      <ability>L2_Typo</ability>
      <abilityName>字词错误</abilityName>
      <candidateList>
        <item>属于</item>
      </candidateList>
      <explain/>
      <paraID>4E961A7D</paraID>
      <start>25</start>
      <end>26</end>
      <status>unmodified</status>
      <modifiedWord/>
      <trackRevisions>false</trackRevisions>
    </reviewItem>
    <reviewItem>
      <errorID>a0b974e3-0ab3-4aa9-9898-d3713297c822</errorID>
      <errorWord>(</errorWord>
      <group>L1_Format</group>
      <groupName>格式问题</groupName>
      <ability>L2_HalfPunc</ability>
      <abilityName>全半角检查</abilityName>
      <candidateList>
        <item>（</item>
      </candidateList>
      <explain>文本全半角错误。</explain>
      <paraID>57538A2C</paraID>
      <start>0</start>
      <end>1</end>
      <status>unmodified</status>
      <modifiedWord/>
      <trackRevisions>false</trackRevisions>
    </reviewItem>
    <reviewItem>
      <errorID>47ceec7b-87c3-4684-ae61-c2f3c9db32e6</errorID>
      <errorWord>可附件</errorWord>
      <group>L1_Word</group>
      <groupName>字词问题</groupName>
      <ability>L2_Typo</ability>
      <abilityName>字词错误</abilityName>
      <candidateList>
        <item>见附件</item>
      </candidateList>
      <explain/>
      <paraID> 3D712D8</paraID>
      <start>98</start>
      <end>101</end>
      <status>unmodified</status>
      <modifiedWord/>
      <trackRevisions>false</trackRevisions>
    </reviewItem>
    <reviewItem>
      <errorID>6282ee27-dd52-45c9-9792-3d36b2c8198b</errorID>
      <errorWord>提出质疑</errorWord>
      <group>L1_Grammar</group>
      <groupName>语法问题</groupName>
      <ability>L2_Grammar</ability>
      <abilityName>语法错误</abilityName>
      <candidateList>
        <item>质疑</item>
      </candidateList>
      <explain>〈动〉提出疑问：～问难。</explain>
      <paraID>59D3DA0C</paraID>
      <start>53</start>
      <end>57</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0ccfd13-922a-4f5d-98a2-b13a8927813c}">
  <ds:schemaRefs/>
</ds:datastoreItem>
</file>

<file path=docProps/app.xml><?xml version="1.0" encoding="utf-8"?>
<Properties xmlns="http://schemas.openxmlformats.org/officeDocument/2006/extended-properties" xmlns:vt="http://schemas.openxmlformats.org/officeDocument/2006/docPropsVTypes">
  <Pages>85</Pages>
  <Words>1672</Words>
  <Characters>2021</Characters>
  <Lines>363</Lines>
  <Paragraphs>102</Paragraphs>
  <TotalTime>84</TotalTime>
  <ScaleCrop>false</ScaleCrop>
  <LinksUpToDate>false</LinksUpToDate>
  <CharactersWithSpaces>2106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2024-08-10T17:48:00Z</dcterms:created>
  <dc:creator>KWZB</dc:creator>
  <cp:lastModifiedBy>LDD</cp:lastModifiedBy>
  <cp:lastPrinted>2026-06-29T10:28:00Z</cp:lastPrinted>
  <dcterms:modified xsi:type="dcterms:W3CDTF">2026-07-13T06:36:04Z</dcterms:modified>
  <dc:title>竞争性谈判文件规范</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84A2DA52E5A3461DB22DE25F8C9FA0DF_13</vt:lpwstr>
  </property>
  <property fmtid="{D5CDD505-2E9C-101B-9397-08002B2CF9AE}" pid="4" name="KSOTemplateDocerSaveRecord">
    <vt:lpwstr>eyJoZGlkIjoiYzAwZmYzN2U1MjQwYzhlOTQwMTgwNTQwNjg2ZTI0ZGYiLCJ1c2VySWQiOiI1Mjc5MDkyNzEifQ==</vt:lpwstr>
  </property>
</Properties>
</file>