
<file path=[Content_Types].xml><?xml version="1.0" encoding="utf-8"?>
<Types xmlns="http://schemas.openxmlformats.org/package/2006/content-types">
  <Default Extension="xml" ContentType="application/xml"/>
  <Default Extension="jpeg" ContentType="image/jpeg"/>
  <Default Extension="JPG" ContentType="image/.jpg"/>
  <Default Extension="rels" ContentType="application/vnd.openxmlformats-package.relationships+xml"/>
  <Override PartName="/customXml/itemProps1.xml" ContentType="application/vnd.openxmlformats-officedocument.customXmlProperties+xml"/>
  <Override PartName="/docProps/app.xml" ContentType="application/vnd.openxmlformats-officedocument.extended-properties+xml"/>
  <Override PartName="/docProps/core.xml" ContentType="application/vnd.openxmlformats-package.core-properties+xml"/>
  <Override PartName="/docProps/custom.xml" ContentType="application/vnd.openxmlformats-officedocument.custom-properties+xml"/>
  <Override PartName="/word/document.xml" ContentType="application/vnd.openxmlformats-officedocument.wordprocessingml.document.main+xml"/>
  <Override PartName="/word/fontTable.xml" ContentType="application/vnd.openxmlformats-officedocument.wordprocessingml.fontTable+xml"/>
  <Override PartName="/word/footer1.xml" ContentType="application/vnd.openxmlformats-officedocument.wordprocessingml.footer+xml"/>
  <Override PartName="/word/footer10.xml" ContentType="application/vnd.openxmlformats-officedocument.wordprocessingml.footer+xml"/>
  <Override PartName="/word/footer11.xml" ContentType="application/vnd.openxmlformats-officedocument.wordprocessingml.footer+xml"/>
  <Override PartName="/word/footer2.xml" ContentType="application/vnd.openxmlformats-officedocument.wordprocessingml.footer+xml"/>
  <Override PartName="/word/footer3.xml" ContentType="application/vnd.openxmlformats-officedocument.wordprocessingml.footer+xml"/>
  <Override PartName="/word/footer4.xml" ContentType="application/vnd.openxmlformats-officedocument.wordprocessingml.footer+xml"/>
  <Override PartName="/word/footer5.xml" ContentType="application/vnd.openxmlformats-officedocument.wordprocessingml.footer+xml"/>
  <Override PartName="/word/footer6.xml" ContentType="application/vnd.openxmlformats-officedocument.wordprocessingml.footer+xml"/>
  <Override PartName="/word/footer7.xml" ContentType="application/vnd.openxmlformats-officedocument.wordprocessingml.footer+xml"/>
  <Override PartName="/word/footer8.xml" ContentType="application/vnd.openxmlformats-officedocument.wordprocessingml.footer+xml"/>
  <Override PartName="/word/footer9.xml" ContentType="application/vnd.openxmlformats-officedocument.wordprocessingml.footer+xml"/>
  <Override PartName="/word/header1.xml" ContentType="application/vnd.openxmlformats-officedocument.wordprocessingml.header+xml"/>
  <Override PartName="/word/header2.xml" ContentType="application/vnd.openxmlformats-officedocument.wordprocessingml.header+xml"/>
  <Override PartName="/word/header3.xml" ContentType="application/vnd.openxmlformats-officedocument.wordprocessingml.header+xml"/>
  <Override PartName="/word/header4.xml" ContentType="application/vnd.openxmlformats-officedocument.wordprocessingml.header+xml"/>
  <Override PartName="/word/numbering.xml" ContentType="application/vnd.openxmlformats-officedocument.wordprocessingml.numbering+xml"/>
  <Override PartName="/word/settings.xml" ContentType="application/vnd.openxmlformats-officedocument.wordprocessingml.settings+xml"/>
  <Override PartName="/word/styles.xml" ContentType="application/vnd.openxmlformats-officedocument.wordprocessingml.styles+xml"/>
  <Override PartName="/word/theme/theme1.xml" ContentType="application/vnd.openxmlformats-officedocument.theme+xml"/>
</Types>
</file>

<file path=_rels/.rels><?xml version="1.0" encoding="UTF-8" standalone="yes"?>
<Relationships xmlns="http://schemas.openxmlformats.org/package/2006/relationships"><Relationship Id="rId4" Type="http://schemas.openxmlformats.org/officeDocument/2006/relationships/officeDocument" Target="word/document.xml"/><Relationship Id="rId2" Type="http://schemas.openxmlformats.org/package/2006/relationships/metadata/core-properties" Target="docProps/core.xml"/><Relationship Id="rId1" Type="http://schemas.openxmlformats.org/officeDocument/2006/relationships/extended-properties" Target="docProps/app.xml"/><Relationship Id="rId3" Type="http://schemas.openxmlformats.org/officeDocument/2006/relationships/custom-properties" Target="docProps/custom.xml"/></Relationships>
</file>

<file path=word/document.xml><?xml version="1.0" encoding="utf-8"?>
<w:document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http://schemas.openxmlformats.org/wordprocessingml/2006/main" xmlns:w14="http://schemas.microsoft.com/office/word/2010/wordml" xmlns:w10="urn:schemas-microsoft-com:office:word"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body>
    <w:p w14:paraId="39EB5CAF">
      <w:pPr>
        <w:rPr>
          <w:rFonts w:hint="eastAsia" w:ascii="楷体_GB2312" w:hAnsi="宋体" w:eastAsia="楷体_GB2312"/>
          <w:b/>
          <w:sz w:val="48"/>
          <w:szCs w:val="48"/>
          <w:highlight w:val="none"/>
          <w:lang w:eastAsia="zh-CN"/>
        </w:rPr>
      </w:pPr>
      <w:r>
        <w:rPr>
          <w:rFonts w:hint="eastAsia" w:ascii="楷体_GB2312" w:hAnsi="宋体" w:eastAsia="楷体_GB2312"/>
          <w:b/>
          <w:sz w:val="48"/>
          <w:szCs w:val="48"/>
          <w:highlight w:val="none"/>
          <w:lang w:eastAsia="zh-CN"/>
        </w:rPr>
        <w:drawing>
          <wp:inline distT="0" distB="0" distL="114300" distR="114300">
            <wp:extent cx="6047105" cy="8280400"/>
            <wp:effectExtent l="0" t="0" r="10795" b="6350"/>
            <wp:docPr id="13" name="图片 13" descr="微信图片_20260707110302_425_4"/>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3" name="图片 13" descr="微信图片_20260707110302_425_4"/>
                    <pic:cNvPicPr>
                      <a:picLocks noChangeAspect="1"/>
                    </pic:cNvPicPr>
                  </pic:nvPicPr>
                  <pic:blipFill>
                    <a:blip r:embed="rId19"/>
                    <a:stretch>
                      <a:fillRect/>
                    </a:stretch>
                  </pic:blipFill>
                  <pic:spPr>
                    <a:xfrm>
                      <a:off x="0" y="0"/>
                      <a:ext cx="6047105" cy="8280400"/>
                    </a:xfrm>
                    <a:prstGeom prst="rect">
                      <a:avLst/>
                    </a:prstGeom>
                  </pic:spPr>
                </pic:pic>
              </a:graphicData>
            </a:graphic>
          </wp:inline>
        </w:drawing>
      </w:r>
    </w:p>
    <w:p w14:paraId="3B4DF6B1">
      <w:pPr>
        <w:rPr>
          <w:rFonts w:hint="eastAsia" w:ascii="楷体_GB2312" w:hAnsi="宋体" w:eastAsia="楷体_GB2312"/>
          <w:b/>
          <w:sz w:val="48"/>
          <w:szCs w:val="48"/>
          <w:highlight w:val="none"/>
        </w:rPr>
      </w:pPr>
      <w:r>
        <w:rPr>
          <w:rFonts w:hint="eastAsia" w:ascii="楷体_GB2312" w:hAnsi="宋体" w:eastAsia="楷体_GB2312"/>
          <w:b/>
          <w:sz w:val="48"/>
          <w:szCs w:val="48"/>
          <w:highlight w:val="none"/>
        </w:rPr>
        <w:br w:type="page"/>
      </w:r>
    </w:p>
    <w:p w14:paraId="1B9C400D">
      <w:pPr>
        <w:jc w:val="center"/>
        <w:rPr>
          <w:rFonts w:hint="eastAsia" w:ascii="楷体_GB2312" w:hAnsi="宋体" w:eastAsia="楷体_GB2312"/>
          <w:b/>
          <w:sz w:val="48"/>
          <w:szCs w:val="48"/>
          <w:highlight w:val="none"/>
        </w:rPr>
      </w:pPr>
    </w:p>
    <w:p w14:paraId="40537CFF">
      <w:pPr>
        <w:jc w:val="center"/>
        <w:rPr>
          <w:rFonts w:ascii="宋体" w:hAnsi="宋体"/>
          <w:b/>
          <w:bCs/>
          <w:sz w:val="28"/>
          <w:szCs w:val="28"/>
          <w:highlight w:val="none"/>
        </w:rPr>
      </w:pPr>
      <w:bookmarkStart w:id="2051" w:name="_GoBack"/>
      <w:bookmarkEnd w:id="2051"/>
      <w:r>
        <w:rPr>
          <w:rFonts w:hint="eastAsia" w:ascii="楷体_GB2312" w:hAnsi="宋体" w:eastAsia="楷体_GB2312"/>
          <w:b/>
          <w:sz w:val="48"/>
          <w:szCs w:val="48"/>
          <w:highlight w:val="none"/>
        </w:rPr>
        <w:t>广西德元工程项目管理有限责任公司</w:t>
      </w:r>
    </w:p>
    <w:p w14:paraId="2973CEEF">
      <w:pPr>
        <w:jc w:val="center"/>
        <w:rPr>
          <w:rFonts w:ascii="宋体" w:hAnsi="宋体"/>
          <w:b/>
          <w:bCs/>
          <w:sz w:val="28"/>
          <w:szCs w:val="28"/>
          <w:highlight w:val="none"/>
        </w:rPr>
      </w:pPr>
    </w:p>
    <w:p w14:paraId="08C197CE">
      <w:pPr>
        <w:pStyle w:val="2"/>
        <w:rPr>
          <w:highlight w:val="none"/>
        </w:rPr>
      </w:pPr>
    </w:p>
    <w:p w14:paraId="170F3C30">
      <w:pPr>
        <w:keepNext w:val="0"/>
        <w:keepLines w:val="0"/>
        <w:pageBreakBefore w:val="0"/>
        <w:widowControl w:val="0"/>
        <w:kinsoku/>
        <w:wordWrap/>
        <w:overflowPunct/>
        <w:topLinePunct w:val="0"/>
        <w:autoSpaceDE/>
        <w:autoSpaceDN/>
        <w:bidi w:val="0"/>
        <w:adjustRightInd/>
        <w:snapToGrid/>
        <w:spacing w:before="0" w:beforeLines="50" w:line="600" w:lineRule="auto"/>
        <w:jc w:val="center"/>
        <w:textAlignment w:val="auto"/>
        <w:rPr>
          <w:rFonts w:ascii="宋体" w:hAnsi="宋体"/>
          <w:b/>
          <w:bCs/>
          <w:sz w:val="28"/>
          <w:szCs w:val="28"/>
          <w:highlight w:val="none"/>
        </w:rPr>
      </w:pPr>
      <w:r>
        <w:rPr>
          <w:rFonts w:hint="eastAsia" w:ascii="宋体" w:hAnsi="宋体"/>
          <w:b/>
          <w:bCs/>
          <w:sz w:val="28"/>
          <w:szCs w:val="28"/>
          <w:highlight w:val="none"/>
        </w:rPr>
        <w:drawing>
          <wp:inline distT="0" distB="0" distL="0" distR="0">
            <wp:extent cx="1408430" cy="1409700"/>
            <wp:effectExtent l="0" t="0" r="1270" b="0"/>
            <wp:docPr id="11" name="图片 2" descr="QQ图片20240710112505"/>
            <wp:cNvGraphicFramePr>
              <a:graphicFrameLocks xmlns:a="http://schemas.openxmlformats.org/drawingml/2006/main" noChangeAspect="1"/>
            </wp:cNvGraphicFramePr>
            <a:graphic xmlns:a="http://schemas.openxmlformats.org/drawingml/2006/main">
              <a:graphicData uri="http://schemas.openxmlformats.org/drawingml/2006/picture">
                <pic:pic xmlns:pic="http://schemas.openxmlformats.org/drawingml/2006/picture">
                  <pic:nvPicPr>
                    <pic:cNvPr id="11" name="图片 2" descr="QQ图片20240710112505"/>
                    <pic:cNvPicPr>
                      <a:picLocks noChangeAspect="1"/>
                    </pic:cNvPicPr>
                  </pic:nvPicPr>
                  <pic:blipFill>
                    <a:blip r:embed="rId20"/>
                    <a:stretch>
                      <a:fillRect/>
                    </a:stretch>
                  </pic:blipFill>
                  <pic:spPr>
                    <a:xfrm>
                      <a:off x="0" y="0"/>
                      <a:ext cx="1408430" cy="1409700"/>
                    </a:xfrm>
                    <a:prstGeom prst="rect">
                      <a:avLst/>
                    </a:prstGeom>
                    <a:noFill/>
                    <a:ln>
                      <a:noFill/>
                    </a:ln>
                  </pic:spPr>
                </pic:pic>
              </a:graphicData>
            </a:graphic>
          </wp:inline>
        </w:drawing>
      </w:r>
    </w:p>
    <w:p w14:paraId="1CEAA60B">
      <w:pPr>
        <w:spacing w:line="360" w:lineRule="auto"/>
        <w:ind w:firstLine="0"/>
        <w:rPr>
          <w:rFonts w:hint="eastAsia" w:ascii="宋体" w:hAnsi="宋体"/>
          <w:b/>
          <w:sz w:val="32"/>
          <w:szCs w:val="32"/>
          <w:highlight w:val="none"/>
          <w:lang w:val="en-US" w:eastAsia="zh-CN"/>
        </w:rPr>
      </w:pPr>
    </w:p>
    <w:p w14:paraId="30567914">
      <w:pPr>
        <w:spacing w:line="360" w:lineRule="auto"/>
        <w:ind w:firstLine="0"/>
        <w:jc w:val="center"/>
        <w:rPr>
          <w:rFonts w:hint="default" w:ascii="宋体" w:hAnsi="宋体" w:eastAsia="宋体"/>
          <w:b/>
          <w:sz w:val="48"/>
          <w:szCs w:val="48"/>
          <w:highlight w:val="none"/>
          <w:lang w:val="en-US" w:eastAsia="zh-CN"/>
        </w:rPr>
      </w:pPr>
      <w:r>
        <w:rPr>
          <w:rFonts w:hint="eastAsia" w:ascii="宋体" w:hAnsi="宋体"/>
          <w:b/>
          <w:sz w:val="84"/>
          <w:szCs w:val="84"/>
          <w:highlight w:val="none"/>
          <w:lang w:val="en-US" w:eastAsia="zh-CN"/>
        </w:rPr>
        <w:t>竞争性磋商文件</w:t>
      </w:r>
    </w:p>
    <w:p w14:paraId="001D01A3">
      <w:pPr>
        <w:spacing w:line="360" w:lineRule="auto"/>
        <w:ind w:firstLine="602"/>
        <w:rPr>
          <w:rFonts w:hint="eastAsia" w:ascii="宋体" w:hAnsi="宋体"/>
          <w:b/>
          <w:sz w:val="30"/>
          <w:szCs w:val="30"/>
          <w:highlight w:val="none"/>
        </w:rPr>
      </w:pPr>
    </w:p>
    <w:p w14:paraId="7ACB8862">
      <w:pPr>
        <w:pStyle w:val="2"/>
        <w:rPr>
          <w:rFonts w:hint="eastAsia"/>
          <w:highlight w:val="none"/>
        </w:rPr>
      </w:pPr>
    </w:p>
    <w:p w14:paraId="00E98D31">
      <w:pPr>
        <w:spacing w:line="360" w:lineRule="auto"/>
        <w:ind w:firstLine="602"/>
        <w:rPr>
          <w:rFonts w:ascii="宋体" w:hAnsi="宋体"/>
          <w:b/>
          <w:sz w:val="30"/>
          <w:szCs w:val="30"/>
          <w:highlight w:val="none"/>
        </w:rPr>
      </w:pPr>
      <w:r>
        <w:rPr>
          <w:rFonts w:hint="eastAsia" w:ascii="宋体" w:hAnsi="宋体"/>
          <w:b/>
          <w:sz w:val="30"/>
          <w:szCs w:val="30"/>
          <w:highlight w:val="none"/>
        </w:rPr>
        <w:t>项目名称：</w:t>
      </w:r>
      <w:r>
        <w:rPr>
          <w:rFonts w:hint="eastAsia" w:ascii="宋体" w:hAnsi="宋体"/>
          <w:b/>
          <w:sz w:val="30"/>
          <w:szCs w:val="30"/>
          <w:highlight w:val="none"/>
          <w:lang w:eastAsia="zh-CN"/>
        </w:rPr>
        <w:t>2026级本科生新生宿舍修缮项目</w:t>
      </w:r>
      <w:r>
        <w:rPr>
          <w:rFonts w:hint="eastAsia" w:ascii="宋体" w:hAnsi="宋体"/>
          <w:b/>
          <w:sz w:val="30"/>
          <w:szCs w:val="30"/>
          <w:highlight w:val="none"/>
        </w:rPr>
        <w:t xml:space="preserve">  </w:t>
      </w:r>
    </w:p>
    <w:p w14:paraId="0F3BFB51">
      <w:pPr>
        <w:spacing w:line="360" w:lineRule="auto"/>
        <w:rPr>
          <w:rFonts w:ascii="宋体" w:hAnsi="宋体"/>
          <w:b/>
          <w:sz w:val="30"/>
          <w:szCs w:val="30"/>
          <w:highlight w:val="none"/>
        </w:rPr>
      </w:pPr>
    </w:p>
    <w:p w14:paraId="7775C415">
      <w:pPr>
        <w:spacing w:line="360" w:lineRule="auto"/>
        <w:ind w:firstLine="602"/>
        <w:rPr>
          <w:rFonts w:ascii="宋体" w:hAnsi="宋体"/>
          <w:b/>
          <w:sz w:val="30"/>
          <w:szCs w:val="30"/>
          <w:highlight w:val="none"/>
        </w:rPr>
      </w:pPr>
      <w:r>
        <w:rPr>
          <w:rFonts w:hint="eastAsia" w:ascii="宋体" w:hAnsi="宋体"/>
          <w:b/>
          <w:sz w:val="30"/>
          <w:szCs w:val="30"/>
          <w:highlight w:val="none"/>
        </w:rPr>
        <w:t>项目编号：GXZC2026-C2-002099-GXDY</w:t>
      </w:r>
      <w:r>
        <w:rPr>
          <w:rFonts w:hint="eastAsia" w:ascii="宋体" w:hAnsi="宋体"/>
          <w:b/>
          <w:sz w:val="30"/>
          <w:szCs w:val="30"/>
          <w:highlight w:val="none"/>
          <w:lang w:eastAsia="zh-CN"/>
        </w:rPr>
        <w:t xml:space="preserve">   </w:t>
      </w:r>
      <w:r>
        <w:rPr>
          <w:rFonts w:hint="eastAsia" w:ascii="宋体" w:hAnsi="宋体"/>
          <w:b/>
          <w:sz w:val="30"/>
          <w:szCs w:val="30"/>
          <w:highlight w:val="none"/>
        </w:rPr>
        <w:t xml:space="preserve">  </w:t>
      </w:r>
    </w:p>
    <w:p w14:paraId="079113EB">
      <w:pPr>
        <w:spacing w:line="360" w:lineRule="auto"/>
        <w:jc w:val="center"/>
        <w:rPr>
          <w:rFonts w:ascii="宋体" w:hAnsi="宋体"/>
          <w:b/>
          <w:sz w:val="30"/>
          <w:szCs w:val="30"/>
          <w:highlight w:val="none"/>
        </w:rPr>
      </w:pPr>
    </w:p>
    <w:p w14:paraId="3B39BA3F">
      <w:pPr>
        <w:spacing w:line="600" w:lineRule="auto"/>
        <w:ind w:firstLine="602"/>
        <w:rPr>
          <w:rFonts w:hint="eastAsia" w:ascii="宋体" w:hAnsi="宋体"/>
          <w:b/>
          <w:sz w:val="30"/>
          <w:szCs w:val="30"/>
          <w:highlight w:val="none"/>
        </w:rPr>
      </w:pPr>
      <w:r>
        <w:rPr>
          <w:rFonts w:hint="eastAsia" w:ascii="宋体" w:hAnsi="宋体"/>
          <w:b/>
          <w:sz w:val="30"/>
          <w:szCs w:val="30"/>
          <w:highlight w:val="none"/>
        </w:rPr>
        <w:t>采 购 人：广西医科大学</w:t>
      </w:r>
    </w:p>
    <w:p w14:paraId="7F33FFA7">
      <w:pPr>
        <w:pStyle w:val="602"/>
        <w:ind w:firstLine="600"/>
        <w:rPr>
          <w:sz w:val="30"/>
          <w:szCs w:val="30"/>
          <w:highlight w:val="none"/>
        </w:rPr>
      </w:pPr>
    </w:p>
    <w:p w14:paraId="2232E67C">
      <w:pPr>
        <w:spacing w:line="600" w:lineRule="auto"/>
        <w:ind w:firstLine="602"/>
        <w:rPr>
          <w:rFonts w:ascii="宋体" w:hAnsi="宋体"/>
          <w:b/>
          <w:sz w:val="30"/>
          <w:szCs w:val="30"/>
          <w:highlight w:val="none"/>
        </w:rPr>
      </w:pPr>
      <w:r>
        <w:rPr>
          <w:rFonts w:hint="eastAsia" w:ascii="宋体" w:hAnsi="宋体"/>
          <w:b/>
          <w:sz w:val="30"/>
          <w:szCs w:val="30"/>
          <w:highlight w:val="none"/>
        </w:rPr>
        <w:t>采购代理机构：广西德元工程项目管理有限责任公司</w:t>
      </w:r>
    </w:p>
    <w:p w14:paraId="670BA814">
      <w:pPr>
        <w:pStyle w:val="602"/>
        <w:ind w:firstLine="600"/>
        <w:rPr>
          <w:sz w:val="30"/>
          <w:szCs w:val="30"/>
          <w:highlight w:val="none"/>
        </w:rPr>
      </w:pPr>
    </w:p>
    <w:p w14:paraId="39FD071C">
      <w:pPr>
        <w:spacing w:line="600" w:lineRule="auto"/>
        <w:ind w:firstLine="602"/>
        <w:rPr>
          <w:rFonts w:hint="default" w:ascii="方正小标宋简体" w:hAnsi="Courier New" w:eastAsia="宋体" w:cs="Courier New"/>
          <w:b/>
          <w:sz w:val="36"/>
          <w:szCs w:val="36"/>
          <w:highlight w:val="none"/>
          <w:lang w:val="en-US" w:eastAsia="zh-CN"/>
        </w:rPr>
        <w:sectPr>
          <w:headerReference r:id="rId3" w:type="default"/>
          <w:footerReference r:id="rId4" w:type="default"/>
          <w:pgSz w:w="11906" w:h="16838"/>
          <w:pgMar w:top="1467" w:right="1247" w:bottom="1247" w:left="1467" w:header="871" w:footer="992" w:gutter="0"/>
          <w:cols w:space="720" w:num="1"/>
        </w:sectPr>
      </w:pPr>
      <w:r>
        <w:rPr>
          <w:rFonts w:hint="eastAsia" w:ascii="宋体" w:hAnsi="宋体"/>
          <w:b/>
          <w:sz w:val="30"/>
          <w:szCs w:val="30"/>
          <w:highlight w:val="none"/>
        </w:rPr>
        <w:t>日   期：202</w:t>
      </w:r>
      <w:r>
        <w:rPr>
          <w:rFonts w:hint="eastAsia" w:ascii="宋体" w:hAnsi="宋体"/>
          <w:b/>
          <w:sz w:val="30"/>
          <w:szCs w:val="30"/>
          <w:highlight w:val="none"/>
          <w:lang w:val="en-US" w:eastAsia="zh-CN"/>
        </w:rPr>
        <w:t xml:space="preserve">6 </w:t>
      </w:r>
      <w:r>
        <w:rPr>
          <w:rFonts w:hint="eastAsia" w:ascii="宋体" w:hAnsi="宋体"/>
          <w:b/>
          <w:sz w:val="30"/>
          <w:szCs w:val="30"/>
          <w:highlight w:val="none"/>
        </w:rPr>
        <w:t xml:space="preserve">年 </w:t>
      </w:r>
      <w:r>
        <w:rPr>
          <w:rFonts w:hint="eastAsia" w:ascii="宋体" w:hAnsi="宋体"/>
          <w:b/>
          <w:sz w:val="30"/>
          <w:szCs w:val="30"/>
          <w:highlight w:val="none"/>
          <w:lang w:val="en-US" w:eastAsia="zh-CN"/>
        </w:rPr>
        <w:t xml:space="preserve">7 </w:t>
      </w:r>
      <w:r>
        <w:rPr>
          <w:rFonts w:hint="eastAsia" w:ascii="宋体" w:hAnsi="宋体"/>
          <w:b/>
          <w:sz w:val="30"/>
          <w:szCs w:val="30"/>
          <w:highlight w:val="none"/>
        </w:rPr>
        <w:t>月</w:t>
      </w:r>
      <w:r>
        <w:rPr>
          <w:rFonts w:hint="eastAsia" w:ascii="宋体" w:hAnsi="宋体"/>
          <w:b/>
          <w:sz w:val="30"/>
          <w:szCs w:val="30"/>
          <w:highlight w:val="none"/>
          <w:lang w:val="en-US" w:eastAsia="zh-CN"/>
        </w:rPr>
        <w:t xml:space="preserve"> 7 日</w:t>
      </w:r>
    </w:p>
    <w:p w14:paraId="20122ACE">
      <w:pPr>
        <w:pStyle w:val="28"/>
        <w:rPr>
          <w:rFonts w:hint="eastAsia" w:ascii="宋体" w:hAnsi="宋体" w:cs="宋体"/>
          <w:b/>
          <w:spacing w:val="-6"/>
          <w:sz w:val="44"/>
          <w:szCs w:val="44"/>
          <w:highlight w:val="none"/>
        </w:rPr>
      </w:pPr>
      <w:r>
        <w:rPr>
          <w:rFonts w:hint="eastAsia" w:hAnsi="宋体" w:eastAsia="宋体" w:cs="宋体"/>
          <w:b/>
          <w:bCs/>
          <w:sz w:val="30"/>
          <w:szCs w:val="30"/>
          <w:highlight w:val="none"/>
          <w:lang w:val="en-US" w:eastAsia="zh-CN"/>
        </w:rPr>
        <w:t xml:space="preserve">                     </w:t>
      </w:r>
      <w:r>
        <w:rPr>
          <w:rFonts w:hint="eastAsia" w:ascii="宋体" w:hAnsi="宋体" w:cs="宋体"/>
          <w:b/>
          <w:bCs/>
          <w:sz w:val="30"/>
          <w:szCs w:val="30"/>
          <w:highlight w:val="none"/>
        </w:rPr>
        <w:t xml:space="preserve"> </w:t>
      </w:r>
      <w:r>
        <w:rPr>
          <w:rFonts w:hint="eastAsia" w:ascii="宋体" w:hAnsi="宋体" w:cs="宋体"/>
          <w:b/>
          <w:spacing w:val="-6"/>
          <w:sz w:val="44"/>
          <w:szCs w:val="44"/>
          <w:highlight w:val="none"/>
        </w:rPr>
        <w:t>目  录</w:t>
      </w:r>
    </w:p>
    <w:p w14:paraId="71B0C985">
      <w:pPr>
        <w:rPr>
          <w:rFonts w:hint="eastAsia"/>
          <w:highlight w:val="none"/>
        </w:rPr>
      </w:pPr>
    </w:p>
    <w:p w14:paraId="71AAE0FA">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b w:val="0"/>
          <w:spacing w:val="0"/>
          <w:sz w:val="24"/>
          <w:szCs w:val="24"/>
          <w:highlight w:val="none"/>
        </w:rPr>
        <w:fldChar w:fldCharType="begin"/>
      </w:r>
      <w:r>
        <w:rPr>
          <w:rFonts w:hint="eastAsia" w:ascii="宋体" w:hAnsi="宋体" w:eastAsia="宋体" w:cs="宋体"/>
          <w:b w:val="0"/>
          <w:spacing w:val="0"/>
          <w:sz w:val="24"/>
          <w:szCs w:val="24"/>
          <w:highlight w:val="none"/>
        </w:rPr>
        <w:instrText xml:space="preserve">TOC \o "1-2" \h \u </w:instrText>
      </w:r>
      <w:r>
        <w:rPr>
          <w:rFonts w:hint="eastAsia" w:ascii="宋体" w:hAnsi="宋体" w:eastAsia="宋体" w:cs="宋体"/>
          <w:b w:val="0"/>
          <w:spacing w:val="0"/>
          <w:sz w:val="24"/>
          <w:szCs w:val="24"/>
          <w:highlight w:val="none"/>
        </w:rPr>
        <w:fldChar w:fldCharType="separate"/>
      </w: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_Toc23693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lang w:val="en-US" w:eastAsia="zh-CN"/>
        </w:rPr>
        <w:t xml:space="preserve">第一章  </w:t>
      </w:r>
      <w:r>
        <w:rPr>
          <w:rFonts w:hint="eastAsia" w:ascii="宋体" w:hAnsi="宋体" w:eastAsia="宋体" w:cs="宋体"/>
          <w:sz w:val="24"/>
          <w:szCs w:val="24"/>
          <w:highlight w:val="none"/>
        </w:rPr>
        <w:t>竞争性磋商公告</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_Toc23693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2</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2206CB36">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_Toc32580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val="0"/>
          <w:sz w:val="24"/>
          <w:szCs w:val="24"/>
          <w:highlight w:val="none"/>
        </w:rPr>
        <w:t>第二章</w:t>
      </w:r>
      <w:r>
        <w:rPr>
          <w:rFonts w:hint="eastAsia" w:ascii="宋体" w:hAnsi="宋体" w:eastAsia="宋体" w:cs="宋体"/>
          <w:bCs w:val="0"/>
          <w:sz w:val="24"/>
          <w:szCs w:val="24"/>
          <w:highlight w:val="none"/>
          <w:lang w:val="en-US" w:eastAsia="zh-CN"/>
        </w:rPr>
        <w:t xml:space="preserve">  </w:t>
      </w:r>
      <w:r>
        <w:rPr>
          <w:rFonts w:hint="eastAsia" w:ascii="宋体" w:hAnsi="宋体" w:eastAsia="宋体" w:cs="宋体"/>
          <w:bCs w:val="0"/>
          <w:sz w:val="24"/>
          <w:szCs w:val="24"/>
          <w:highlight w:val="none"/>
        </w:rPr>
        <w:t>采购需求</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_Toc32580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7AAD613B">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_Toc32012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val="0"/>
          <w:sz w:val="24"/>
          <w:szCs w:val="24"/>
          <w:highlight w:val="none"/>
        </w:rPr>
        <w:t>第三章</w:t>
      </w:r>
      <w:r>
        <w:rPr>
          <w:rFonts w:hint="eastAsia" w:ascii="宋体" w:hAnsi="宋体" w:eastAsia="宋体" w:cs="宋体"/>
          <w:bCs w:val="0"/>
          <w:sz w:val="24"/>
          <w:szCs w:val="24"/>
          <w:highlight w:val="none"/>
          <w:lang w:val="en-US" w:eastAsia="zh-CN"/>
        </w:rPr>
        <w:t xml:space="preserve">  </w:t>
      </w:r>
      <w:r>
        <w:rPr>
          <w:rFonts w:hint="eastAsia" w:ascii="宋体" w:hAnsi="宋体" w:eastAsia="宋体" w:cs="宋体"/>
          <w:bCs w:val="0"/>
          <w:sz w:val="24"/>
          <w:szCs w:val="24"/>
          <w:highlight w:val="none"/>
        </w:rPr>
        <w:t>供应商须知</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_Toc32012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71FD0E9D">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_Toc4567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第一节 供应商须知前附表</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_Toc4567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9</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5E5F9A9D">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_Toc10559 </w:instrText>
      </w:r>
      <w:r>
        <w:rPr>
          <w:rFonts w:hint="eastAsia" w:ascii="宋体" w:hAnsi="宋体" w:eastAsia="宋体" w:cs="宋体"/>
          <w:spacing w:val="0"/>
          <w:sz w:val="24"/>
          <w:szCs w:val="24"/>
          <w:highlight w:val="none"/>
        </w:rPr>
        <w:fldChar w:fldCharType="separate"/>
      </w:r>
      <w:r>
        <w:rPr>
          <w:rFonts w:hint="eastAsia" w:ascii="宋体" w:hAnsi="宋体" w:eastAsia="宋体" w:cs="宋体"/>
          <w:bCs w:val="0"/>
          <w:sz w:val="24"/>
          <w:szCs w:val="24"/>
          <w:highlight w:val="none"/>
        </w:rPr>
        <w:t>第二节 供应商须知正文</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_Toc10559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18</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10A0167D">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_Toc8477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第四章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评审程序、评审方法和评审标准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_Toc8477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32</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6AC1CBA0">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_Toc243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第一节 评审程序和评审方法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_Toc243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32</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17498ACD">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_Toc17933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lang w:val="en-US" w:eastAsia="zh-CN"/>
        </w:rPr>
        <w:t xml:space="preserve">第二节 </w:t>
      </w:r>
      <w:r>
        <w:rPr>
          <w:rFonts w:hint="eastAsia" w:ascii="宋体" w:hAnsi="宋体" w:eastAsia="宋体" w:cs="宋体"/>
          <w:sz w:val="24"/>
          <w:szCs w:val="24"/>
          <w:highlight w:val="none"/>
        </w:rPr>
        <w:t>评审标准</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_Toc17933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38</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1A0D20A8">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_Toc22561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第五章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工程量清单</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_Toc22561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43</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59617ACA">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_Toc4142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1.工程量清单编制说明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_Toc4142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44</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2CD9EF1A">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_Toc9687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2.招标控制价编制说明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_Toc9687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46</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3A88E955">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_Toc20827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3.竞标报价（已标价工程量清单）编制说明</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_Toc20827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47</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082E1431">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_Toc22405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第六章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响应文件格式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_Toc22405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49</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059FBC07">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_Toc83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第一节 封面格式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_Toc83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50</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22556B0B">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_Toc5046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第二节 资格证明文件格式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_Toc5046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51</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7E702C6E">
      <w:pPr>
        <w:pStyle w:val="47"/>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_Toc12571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第三节 报价商务技术文件格式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_Toc12571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62</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30E748AB">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_Toc3953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第七章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合同文本</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_Toc3953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79</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541C77B2">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_Toc22858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rPr>
        <w:t>第</w:t>
      </w:r>
      <w:r>
        <w:rPr>
          <w:rFonts w:hint="eastAsia" w:ascii="宋体" w:hAnsi="宋体" w:eastAsia="宋体" w:cs="宋体"/>
          <w:sz w:val="24"/>
          <w:szCs w:val="24"/>
          <w:highlight w:val="none"/>
          <w:lang w:eastAsia="zh-CN"/>
        </w:rPr>
        <w:t>八</w:t>
      </w:r>
      <w:r>
        <w:rPr>
          <w:rFonts w:hint="eastAsia" w:ascii="宋体" w:hAnsi="宋体" w:eastAsia="宋体" w:cs="宋体"/>
          <w:sz w:val="24"/>
          <w:szCs w:val="24"/>
          <w:highlight w:val="none"/>
        </w:rPr>
        <w:t>章</w:t>
      </w:r>
      <w:r>
        <w:rPr>
          <w:rFonts w:hint="eastAsia" w:ascii="宋体" w:hAnsi="宋体" w:eastAsia="宋体" w:cs="宋体"/>
          <w:sz w:val="24"/>
          <w:szCs w:val="24"/>
          <w:highlight w:val="none"/>
          <w:lang w:val="en-US" w:eastAsia="zh-CN"/>
        </w:rPr>
        <w:t xml:space="preserve">  </w:t>
      </w:r>
      <w:r>
        <w:rPr>
          <w:rFonts w:hint="eastAsia" w:ascii="宋体" w:hAnsi="宋体" w:eastAsia="宋体" w:cs="宋体"/>
          <w:sz w:val="24"/>
          <w:szCs w:val="24"/>
          <w:highlight w:val="none"/>
        </w:rPr>
        <w:t>质疑、投诉材料格式</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_Toc22858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132</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03C69AAF">
      <w:pPr>
        <w:pStyle w:val="38"/>
        <w:tabs>
          <w:tab w:val="right" w:leader="dot" w:pos="9040"/>
        </w:tabs>
        <w:spacing w:line="360" w:lineRule="auto"/>
        <w:rPr>
          <w:rFonts w:hint="eastAsia" w:ascii="宋体" w:hAnsi="宋体" w:eastAsia="宋体" w:cs="宋体"/>
          <w:sz w:val="24"/>
          <w:szCs w:val="24"/>
          <w:highlight w:val="none"/>
        </w:rPr>
      </w:pPr>
      <w:r>
        <w:rPr>
          <w:rFonts w:hint="eastAsia" w:ascii="宋体" w:hAnsi="宋体" w:eastAsia="宋体" w:cs="宋体"/>
          <w:spacing w:val="0"/>
          <w:sz w:val="24"/>
          <w:szCs w:val="24"/>
          <w:highlight w:val="none"/>
        </w:rPr>
        <w:fldChar w:fldCharType="begin"/>
      </w:r>
      <w:r>
        <w:rPr>
          <w:rFonts w:hint="eastAsia" w:ascii="宋体" w:hAnsi="宋体" w:eastAsia="宋体" w:cs="宋体"/>
          <w:spacing w:val="0"/>
          <w:sz w:val="24"/>
          <w:szCs w:val="24"/>
          <w:highlight w:val="none"/>
        </w:rPr>
        <w:instrText xml:space="preserve"> HYPERLINK \l _Toc29666 </w:instrText>
      </w:r>
      <w:r>
        <w:rPr>
          <w:rFonts w:hint="eastAsia" w:ascii="宋体" w:hAnsi="宋体" w:eastAsia="宋体" w:cs="宋体"/>
          <w:spacing w:val="0"/>
          <w:sz w:val="24"/>
          <w:szCs w:val="24"/>
          <w:highlight w:val="none"/>
        </w:rPr>
        <w:fldChar w:fldCharType="separate"/>
      </w:r>
      <w:r>
        <w:rPr>
          <w:rFonts w:hint="eastAsia" w:ascii="宋体" w:hAnsi="宋体" w:eastAsia="宋体" w:cs="宋体"/>
          <w:sz w:val="24"/>
          <w:szCs w:val="24"/>
          <w:highlight w:val="none"/>
          <w:lang w:val="en-US" w:eastAsia="zh-CN"/>
        </w:rPr>
        <w:t>其他文件：</w:t>
      </w:r>
      <w:r>
        <w:rPr>
          <w:rFonts w:hint="eastAsia" w:ascii="宋体" w:hAnsi="宋体" w:eastAsia="宋体" w:cs="宋体"/>
          <w:spacing w:val="10"/>
          <w:sz w:val="24"/>
          <w:szCs w:val="24"/>
          <w:highlight w:val="none"/>
          <w:lang w:val="zh-CN"/>
        </w:rPr>
        <w:t>退磋商保证金</w:t>
      </w:r>
      <w:r>
        <w:rPr>
          <w:rFonts w:hint="eastAsia" w:ascii="宋体" w:hAnsi="宋体" w:eastAsia="宋体" w:cs="宋体"/>
          <w:spacing w:val="10"/>
          <w:sz w:val="24"/>
          <w:szCs w:val="24"/>
          <w:highlight w:val="none"/>
          <w:lang w:val="en-US" w:eastAsia="zh-CN"/>
        </w:rPr>
        <w:t>申请</w:t>
      </w:r>
      <w:r>
        <w:rPr>
          <w:rFonts w:hint="eastAsia" w:ascii="宋体" w:hAnsi="宋体" w:eastAsia="宋体" w:cs="宋体"/>
          <w:sz w:val="24"/>
          <w:szCs w:val="24"/>
          <w:highlight w:val="none"/>
        </w:rPr>
        <w:tab/>
      </w:r>
      <w:r>
        <w:rPr>
          <w:rFonts w:hint="eastAsia" w:ascii="宋体" w:hAnsi="宋体" w:eastAsia="宋体" w:cs="宋体"/>
          <w:sz w:val="24"/>
          <w:szCs w:val="24"/>
          <w:highlight w:val="none"/>
        </w:rPr>
        <w:fldChar w:fldCharType="begin"/>
      </w:r>
      <w:r>
        <w:rPr>
          <w:rFonts w:hint="eastAsia" w:ascii="宋体" w:hAnsi="宋体" w:eastAsia="宋体" w:cs="宋体"/>
          <w:sz w:val="24"/>
          <w:szCs w:val="24"/>
          <w:highlight w:val="none"/>
        </w:rPr>
        <w:instrText xml:space="preserve"> PAGEREF _Toc29666 \h </w:instrText>
      </w:r>
      <w:r>
        <w:rPr>
          <w:rFonts w:hint="eastAsia" w:ascii="宋体" w:hAnsi="宋体" w:eastAsia="宋体" w:cs="宋体"/>
          <w:sz w:val="24"/>
          <w:szCs w:val="24"/>
          <w:highlight w:val="none"/>
        </w:rPr>
        <w:fldChar w:fldCharType="separate"/>
      </w:r>
      <w:r>
        <w:rPr>
          <w:rFonts w:hint="eastAsia" w:ascii="宋体" w:hAnsi="宋体" w:eastAsia="宋体" w:cs="宋体"/>
          <w:sz w:val="24"/>
          <w:szCs w:val="24"/>
          <w:highlight w:val="none"/>
        </w:rPr>
        <w:t>137</w:t>
      </w:r>
      <w:r>
        <w:rPr>
          <w:rFonts w:hint="eastAsia" w:ascii="宋体" w:hAnsi="宋体" w:eastAsia="宋体" w:cs="宋体"/>
          <w:sz w:val="24"/>
          <w:szCs w:val="24"/>
          <w:highlight w:val="none"/>
        </w:rPr>
        <w:fldChar w:fldCharType="end"/>
      </w:r>
      <w:r>
        <w:rPr>
          <w:rFonts w:hint="eastAsia" w:ascii="宋体" w:hAnsi="宋体" w:eastAsia="宋体" w:cs="宋体"/>
          <w:spacing w:val="0"/>
          <w:sz w:val="24"/>
          <w:szCs w:val="24"/>
          <w:highlight w:val="none"/>
        </w:rPr>
        <w:fldChar w:fldCharType="end"/>
      </w:r>
    </w:p>
    <w:p w14:paraId="56669AD1">
      <w:pPr>
        <w:spacing w:line="360" w:lineRule="auto"/>
        <w:jc w:val="center"/>
        <w:rPr>
          <w:rFonts w:hint="eastAsia" w:ascii="宋体" w:hAnsi="宋体" w:cs="宋体"/>
          <w:spacing w:val="0"/>
          <w:sz w:val="28"/>
          <w:szCs w:val="28"/>
          <w:highlight w:val="none"/>
        </w:rPr>
      </w:pPr>
      <w:r>
        <w:rPr>
          <w:rFonts w:hint="eastAsia" w:ascii="宋体" w:hAnsi="宋体" w:eastAsia="宋体" w:cs="宋体"/>
          <w:spacing w:val="0"/>
          <w:sz w:val="24"/>
          <w:szCs w:val="24"/>
          <w:highlight w:val="none"/>
        </w:rPr>
        <w:fldChar w:fldCharType="end"/>
      </w:r>
    </w:p>
    <w:p w14:paraId="3BDFCD53">
      <w:pPr>
        <w:bidi w:val="0"/>
        <w:rPr>
          <w:rFonts w:hint="eastAsia"/>
          <w:highlight w:val="none"/>
        </w:rPr>
      </w:pPr>
    </w:p>
    <w:p w14:paraId="7F8B93BD">
      <w:pPr>
        <w:rPr>
          <w:rFonts w:hint="eastAsia" w:ascii="宋体" w:hAnsi="宋体" w:cs="宋体"/>
          <w:spacing w:val="-6"/>
          <w:sz w:val="24"/>
          <w:highlight w:val="none"/>
        </w:rPr>
      </w:pPr>
    </w:p>
    <w:p w14:paraId="531B123A">
      <w:pPr>
        <w:bidi w:val="0"/>
        <w:rPr>
          <w:rFonts w:hint="eastAsia"/>
          <w:highlight w:val="none"/>
        </w:rPr>
      </w:pPr>
    </w:p>
    <w:p w14:paraId="5C2A9ED4">
      <w:pPr>
        <w:rPr>
          <w:rFonts w:hint="eastAsia" w:ascii="宋体" w:hAnsi="宋体" w:cs="宋体"/>
          <w:b/>
          <w:spacing w:val="-6"/>
          <w:sz w:val="24"/>
          <w:highlight w:val="none"/>
        </w:rPr>
      </w:pPr>
    </w:p>
    <w:p w14:paraId="0D75C2CE">
      <w:pPr>
        <w:pStyle w:val="35"/>
        <w:rPr>
          <w:rFonts w:hint="eastAsia" w:ascii="宋体" w:hAnsi="宋体" w:cs="宋体"/>
          <w:b/>
          <w:spacing w:val="-6"/>
          <w:sz w:val="24"/>
          <w:szCs w:val="24"/>
          <w:highlight w:val="none"/>
        </w:rPr>
      </w:pPr>
    </w:p>
    <w:p w14:paraId="79DB4AB5">
      <w:pPr>
        <w:pStyle w:val="35"/>
        <w:rPr>
          <w:rFonts w:hint="eastAsia" w:ascii="宋体" w:hAnsi="宋体" w:cs="宋体"/>
          <w:b/>
          <w:spacing w:val="-6"/>
          <w:sz w:val="24"/>
          <w:szCs w:val="24"/>
          <w:highlight w:val="none"/>
        </w:rPr>
      </w:pPr>
    </w:p>
    <w:p w14:paraId="0BE047CC">
      <w:pPr>
        <w:pStyle w:val="35"/>
        <w:rPr>
          <w:rFonts w:hint="eastAsia" w:ascii="宋体" w:hAnsi="宋体" w:cs="宋体"/>
          <w:b/>
          <w:spacing w:val="-6"/>
          <w:sz w:val="24"/>
          <w:szCs w:val="24"/>
          <w:highlight w:val="none"/>
        </w:rPr>
      </w:pPr>
    </w:p>
    <w:p w14:paraId="28B69B4F">
      <w:pPr>
        <w:pStyle w:val="35"/>
        <w:rPr>
          <w:rFonts w:hint="eastAsia" w:ascii="宋体" w:hAnsi="宋体" w:cs="宋体"/>
          <w:b/>
          <w:spacing w:val="-6"/>
          <w:sz w:val="24"/>
          <w:szCs w:val="24"/>
          <w:highlight w:val="none"/>
        </w:rPr>
      </w:pPr>
    </w:p>
    <w:p w14:paraId="35D40FED">
      <w:pPr>
        <w:pStyle w:val="35"/>
        <w:rPr>
          <w:rFonts w:hint="eastAsia" w:ascii="宋体" w:hAnsi="宋体" w:cs="宋体"/>
          <w:b/>
          <w:spacing w:val="-6"/>
          <w:sz w:val="24"/>
          <w:szCs w:val="24"/>
          <w:highlight w:val="none"/>
        </w:rPr>
      </w:pPr>
    </w:p>
    <w:p w14:paraId="6BEEDC08">
      <w:pPr>
        <w:pStyle w:val="35"/>
        <w:rPr>
          <w:rFonts w:hint="eastAsia" w:ascii="宋体" w:hAnsi="宋体" w:cs="宋体"/>
          <w:b/>
          <w:spacing w:val="-6"/>
          <w:sz w:val="24"/>
          <w:szCs w:val="24"/>
          <w:highlight w:val="none"/>
        </w:rPr>
      </w:pPr>
    </w:p>
    <w:p w14:paraId="55FF518B">
      <w:pPr>
        <w:pStyle w:val="35"/>
        <w:rPr>
          <w:rFonts w:hint="eastAsia" w:ascii="宋体" w:hAnsi="宋体" w:cs="宋体"/>
          <w:b/>
          <w:spacing w:val="-6"/>
          <w:sz w:val="24"/>
          <w:szCs w:val="24"/>
          <w:highlight w:val="none"/>
        </w:rPr>
      </w:pPr>
    </w:p>
    <w:p w14:paraId="360B42FC">
      <w:pPr>
        <w:pStyle w:val="3"/>
        <w:bidi w:val="0"/>
        <w:jc w:val="center"/>
        <w:rPr>
          <w:rFonts w:hint="eastAsia"/>
          <w:highlight w:val="none"/>
        </w:rPr>
      </w:pPr>
      <w:bookmarkStart w:id="0" w:name="_Toc23693"/>
      <w:r>
        <w:rPr>
          <w:rFonts w:hint="eastAsia"/>
          <w:highlight w:val="none"/>
          <w:lang w:val="en-US" w:eastAsia="zh-CN"/>
        </w:rPr>
        <w:t xml:space="preserve">第一章  </w:t>
      </w:r>
      <w:r>
        <w:rPr>
          <w:rFonts w:hint="eastAsia"/>
          <w:highlight w:val="none"/>
        </w:rPr>
        <w:t>竞争性磋商公告</w:t>
      </w:r>
      <w:bookmarkEnd w:id="0"/>
    </w:p>
    <w:tbl>
      <w:tblPr>
        <w:tblStyle w:val="56"/>
        <w:tblpPr w:leftFromText="180" w:rightFromText="180" w:vertAnchor="text" w:tblpX="38" w:tblpY="134"/>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68"/>
      </w:tblGrid>
      <w:tr w14:paraId="6B41370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789" w:hRule="atLeast"/>
        </w:trPr>
        <w:tc>
          <w:tcPr>
            <w:tcW w:w="9068" w:type="dxa"/>
            <w:noWrap w:val="0"/>
            <w:vAlign w:val="top"/>
          </w:tcPr>
          <w:p w14:paraId="1F2E8CCE">
            <w:pPr>
              <w:keepNext w:val="0"/>
              <w:keepLines w:val="0"/>
              <w:suppressLineNumbers w:val="0"/>
              <w:spacing w:before="0" w:beforeAutospacing="0" w:after="0" w:afterAutospacing="0" w:line="400" w:lineRule="exact"/>
              <w:ind w:left="0" w:right="0" w:firstLine="420"/>
              <w:rPr>
                <w:rFonts w:hint="eastAsia" w:ascii="宋体" w:hAnsi="宋体" w:cs="宋体"/>
                <w:szCs w:val="21"/>
                <w:highlight w:val="none"/>
              </w:rPr>
            </w:pPr>
            <w:r>
              <w:rPr>
                <w:rFonts w:hint="eastAsia" w:ascii="宋体" w:hAnsi="宋体" w:cs="宋体"/>
                <w:szCs w:val="21"/>
                <w:highlight w:val="none"/>
              </w:rPr>
              <w:t>项目概况</w:t>
            </w:r>
          </w:p>
          <w:p w14:paraId="077607F9">
            <w:pPr>
              <w:keepNext w:val="0"/>
              <w:keepLines w:val="0"/>
              <w:suppressLineNumbers w:val="0"/>
              <w:spacing w:before="0" w:beforeAutospacing="0" w:after="0" w:afterAutospacing="0" w:line="400" w:lineRule="exact"/>
              <w:ind w:left="0" w:right="0" w:firstLine="420"/>
              <w:rPr>
                <w:rFonts w:hint="eastAsia" w:ascii="宋体" w:hAnsi="宋体" w:cs="宋体"/>
                <w:szCs w:val="21"/>
                <w:highlight w:val="none"/>
              </w:rPr>
            </w:pPr>
            <w:r>
              <w:rPr>
                <w:rFonts w:hint="eastAsia" w:ascii="宋体" w:hAnsi="宋体" w:cs="宋体"/>
                <w:highlight w:val="none"/>
                <w:u w:val="single"/>
              </w:rPr>
              <w:t xml:space="preserve"> </w:t>
            </w:r>
            <w:r>
              <w:rPr>
                <w:rFonts w:hint="eastAsia" w:ascii="宋体" w:hAnsi="宋体" w:cs="宋体"/>
                <w:highlight w:val="none"/>
                <w:u w:val="single"/>
                <w:lang w:eastAsia="zh-CN"/>
              </w:rPr>
              <w:t>2026级本科生新生宿舍修缮项目</w:t>
            </w:r>
            <w:r>
              <w:rPr>
                <w:rFonts w:hint="eastAsia" w:ascii="宋体" w:hAnsi="宋体" w:cs="宋体"/>
                <w:highlight w:val="none"/>
                <w:u w:val="single"/>
              </w:rPr>
              <w:t xml:space="preserve"> </w:t>
            </w:r>
            <w:r>
              <w:rPr>
                <w:rFonts w:hint="eastAsia" w:ascii="宋体" w:hAnsi="宋体" w:cs="宋体"/>
                <w:highlight w:val="none"/>
              </w:rPr>
              <w:t>的潜在供应商</w:t>
            </w:r>
            <w:r>
              <w:rPr>
                <w:rFonts w:hint="eastAsia" w:ascii="宋体" w:hAnsi="宋体" w:cs="宋体"/>
                <w:highlight w:val="none"/>
                <w:lang w:val="en-US" w:eastAsia="zh-CN"/>
              </w:rPr>
              <w:t>应在</w:t>
            </w:r>
            <w:r>
              <w:rPr>
                <w:rFonts w:hint="eastAsia" w:ascii="宋体" w:hAnsi="宋体" w:cs="宋体"/>
                <w:highlight w:val="none"/>
                <w:u w:val="single"/>
              </w:rPr>
              <w:t>广西政府采购云平台（https://www.gcy.zfcg.gxzf.gov.cn/）</w:t>
            </w:r>
            <w:r>
              <w:rPr>
                <w:rFonts w:hint="eastAsia" w:ascii="宋体" w:hAnsi="宋体" w:cs="宋体"/>
                <w:highlight w:val="none"/>
              </w:rPr>
              <w:t>获取采购文件，并于</w:t>
            </w:r>
            <w:r>
              <w:rPr>
                <w:rFonts w:hint="eastAsia" w:ascii="宋体" w:hAnsi="宋体" w:cs="宋体"/>
                <w:highlight w:val="none"/>
                <w:u w:val="single"/>
              </w:rPr>
              <w:t>202</w:t>
            </w:r>
            <w:r>
              <w:rPr>
                <w:rFonts w:hint="eastAsia" w:ascii="宋体" w:hAnsi="宋体" w:cs="宋体"/>
                <w:highlight w:val="none"/>
                <w:u w:val="single"/>
                <w:lang w:val="en-US" w:eastAsia="zh-CN"/>
              </w:rPr>
              <w:t xml:space="preserve">6 </w:t>
            </w:r>
            <w:r>
              <w:rPr>
                <w:rFonts w:hint="eastAsia" w:ascii="宋体" w:hAnsi="宋体" w:cs="宋体"/>
                <w:highlight w:val="none"/>
                <w:u w:val="single"/>
              </w:rPr>
              <w:t xml:space="preserve">年 </w:t>
            </w:r>
            <w:r>
              <w:rPr>
                <w:rFonts w:hint="eastAsia" w:ascii="宋体" w:hAnsi="宋体" w:cs="宋体"/>
                <w:highlight w:val="none"/>
                <w:u w:val="single"/>
                <w:lang w:val="en-US" w:eastAsia="zh-CN"/>
              </w:rPr>
              <w:t xml:space="preserve">7 </w:t>
            </w:r>
            <w:r>
              <w:rPr>
                <w:rFonts w:hint="eastAsia" w:ascii="宋体" w:hAnsi="宋体" w:cs="宋体"/>
                <w:highlight w:val="none"/>
                <w:u w:val="single"/>
              </w:rPr>
              <w:t>月</w:t>
            </w:r>
            <w:r>
              <w:rPr>
                <w:rFonts w:hint="eastAsia" w:ascii="宋体" w:hAnsi="宋体" w:cs="宋体"/>
                <w:highlight w:val="none"/>
                <w:u w:val="single"/>
                <w:lang w:val="en-US" w:eastAsia="zh-CN"/>
              </w:rPr>
              <w:t xml:space="preserve"> 20 </w:t>
            </w:r>
            <w:r>
              <w:rPr>
                <w:rFonts w:hint="eastAsia" w:ascii="宋体" w:hAnsi="宋体" w:cs="宋体"/>
                <w:highlight w:val="none"/>
                <w:u w:val="single"/>
              </w:rPr>
              <w:t>日09</w:t>
            </w:r>
            <w:r>
              <w:rPr>
                <w:rFonts w:hint="eastAsia" w:ascii="宋体" w:hAnsi="宋体" w:cs="宋体"/>
                <w:highlight w:val="none"/>
                <w:u w:val="single"/>
                <w:lang w:val="en-US" w:eastAsia="zh-CN"/>
              </w:rPr>
              <w:t>:</w:t>
            </w:r>
            <w:r>
              <w:rPr>
                <w:rFonts w:hint="eastAsia" w:ascii="宋体" w:hAnsi="宋体" w:cs="宋体"/>
                <w:highlight w:val="none"/>
                <w:u w:val="single"/>
              </w:rPr>
              <w:t>30</w:t>
            </w:r>
            <w:r>
              <w:rPr>
                <w:rFonts w:hint="eastAsia" w:ascii="宋体" w:hAnsi="宋体" w:cs="宋体"/>
                <w:highlight w:val="none"/>
              </w:rPr>
              <w:t>（北京时间）前提交响应文件。</w:t>
            </w:r>
          </w:p>
        </w:tc>
      </w:tr>
    </w:tbl>
    <w:p w14:paraId="5748222E">
      <w:pPr>
        <w:keepNext w:val="0"/>
        <w:keepLines w:val="0"/>
        <w:pageBreakBefore w:val="0"/>
        <w:widowControl w:val="0"/>
        <w:bidi w:val="0"/>
        <w:spacing w:line="480" w:lineRule="exact"/>
        <w:ind w:firstLine="422"/>
        <w:rPr>
          <w:rFonts w:hint="eastAsia" w:ascii="宋体" w:hAnsi="宋体" w:cs="宋体"/>
          <w:szCs w:val="21"/>
          <w:highlight w:val="none"/>
        </w:rPr>
      </w:pPr>
      <w:bookmarkStart w:id="1" w:name="_Toc35393798"/>
      <w:bookmarkStart w:id="2" w:name="_Toc28359012"/>
      <w:bookmarkStart w:id="3" w:name="_Toc35393629"/>
      <w:bookmarkStart w:id="4" w:name="_Toc28359089"/>
      <w:r>
        <w:rPr>
          <w:rFonts w:hint="eastAsia" w:ascii="宋体" w:hAnsi="宋体" w:cs="宋体"/>
          <w:b/>
          <w:bCs/>
          <w:szCs w:val="21"/>
          <w:highlight w:val="none"/>
        </w:rPr>
        <w:t>一、项目基本情况</w:t>
      </w:r>
      <w:bookmarkEnd w:id="1"/>
      <w:bookmarkEnd w:id="2"/>
      <w:bookmarkEnd w:id="3"/>
      <w:bookmarkEnd w:id="4"/>
    </w:p>
    <w:p w14:paraId="37BF4086">
      <w:pPr>
        <w:keepNext w:val="0"/>
        <w:keepLines w:val="0"/>
        <w:pageBreakBefore w:val="0"/>
        <w:widowControl w:val="0"/>
        <w:bidi w:val="0"/>
        <w:spacing w:line="480" w:lineRule="exact"/>
        <w:ind w:firstLine="420"/>
        <w:rPr>
          <w:rFonts w:hint="eastAsia" w:ascii="宋体" w:hAnsi="宋体" w:eastAsia="宋体" w:cs="宋体"/>
          <w:szCs w:val="21"/>
          <w:highlight w:val="none"/>
          <w:lang w:eastAsia="zh-CN"/>
        </w:rPr>
      </w:pPr>
      <w:r>
        <w:rPr>
          <w:rFonts w:hint="eastAsia" w:ascii="宋体" w:hAnsi="宋体" w:cs="宋体"/>
          <w:szCs w:val="21"/>
          <w:highlight w:val="none"/>
        </w:rPr>
        <w:t>项目编号：GXZC2026-C2-002099-GXDY</w:t>
      </w:r>
      <w:r>
        <w:rPr>
          <w:rFonts w:hint="eastAsia" w:ascii="宋体" w:hAnsi="宋体" w:cs="宋体"/>
          <w:szCs w:val="21"/>
          <w:highlight w:val="none"/>
          <w:lang w:eastAsia="zh-CN"/>
        </w:rPr>
        <w:t xml:space="preserve">   </w:t>
      </w:r>
    </w:p>
    <w:p w14:paraId="11617EBD">
      <w:pPr>
        <w:keepNext w:val="0"/>
        <w:keepLines w:val="0"/>
        <w:pageBreakBefore w:val="0"/>
        <w:widowControl w:val="0"/>
        <w:bidi w:val="0"/>
        <w:spacing w:line="480" w:lineRule="exact"/>
        <w:ind w:firstLine="420"/>
        <w:rPr>
          <w:rFonts w:hint="eastAsia" w:ascii="宋体" w:hAnsi="宋体" w:eastAsia="宋体" w:cs="宋体"/>
          <w:szCs w:val="21"/>
          <w:highlight w:val="none"/>
          <w:u w:val="single"/>
          <w:lang w:eastAsia="zh-CN"/>
        </w:rPr>
      </w:pPr>
      <w:r>
        <w:rPr>
          <w:rFonts w:hint="eastAsia" w:ascii="宋体" w:hAnsi="宋体" w:cs="宋体"/>
          <w:szCs w:val="21"/>
          <w:highlight w:val="none"/>
        </w:rPr>
        <w:t>项目名称：</w:t>
      </w:r>
      <w:r>
        <w:rPr>
          <w:rFonts w:hint="eastAsia" w:ascii="宋体" w:hAnsi="宋体" w:cs="宋体"/>
          <w:szCs w:val="21"/>
          <w:highlight w:val="none"/>
          <w:lang w:eastAsia="zh-CN"/>
        </w:rPr>
        <w:t>2026级本科生新生宿舍修缮项目</w:t>
      </w:r>
    </w:p>
    <w:p w14:paraId="2A5015C6">
      <w:pPr>
        <w:keepNext w:val="0"/>
        <w:keepLines w:val="0"/>
        <w:pageBreakBefore w:val="0"/>
        <w:widowControl w:val="0"/>
        <w:bidi w:val="0"/>
        <w:spacing w:line="480" w:lineRule="exact"/>
        <w:ind w:firstLine="420"/>
        <w:rPr>
          <w:rFonts w:hint="eastAsia" w:ascii="宋体" w:hAnsi="宋体" w:cs="宋体"/>
          <w:szCs w:val="21"/>
          <w:highlight w:val="none"/>
        </w:rPr>
      </w:pPr>
      <w:r>
        <w:rPr>
          <w:rFonts w:hint="eastAsia" w:ascii="宋体" w:hAnsi="宋体" w:cs="宋体"/>
          <w:szCs w:val="21"/>
          <w:highlight w:val="none"/>
        </w:rPr>
        <w:t>采购方式：竞争性磋商</w:t>
      </w:r>
    </w:p>
    <w:p w14:paraId="73063B48">
      <w:pPr>
        <w:keepNext w:val="0"/>
        <w:keepLines w:val="0"/>
        <w:pageBreakBefore w:val="0"/>
        <w:widowControl w:val="0"/>
        <w:bidi w:val="0"/>
        <w:spacing w:line="480" w:lineRule="exact"/>
        <w:ind w:firstLine="420"/>
        <w:rPr>
          <w:rFonts w:hint="eastAsia" w:ascii="宋体" w:hAnsi="宋体" w:cs="宋体"/>
          <w:szCs w:val="21"/>
          <w:highlight w:val="none"/>
        </w:rPr>
      </w:pPr>
      <w:r>
        <w:rPr>
          <w:rFonts w:hint="eastAsia" w:ascii="宋体" w:hAnsi="宋体" w:cs="宋体"/>
          <w:szCs w:val="21"/>
          <w:highlight w:val="none"/>
        </w:rPr>
        <w:t>预算总金额</w:t>
      </w:r>
      <w:r>
        <w:rPr>
          <w:rFonts w:hint="eastAsia" w:ascii="宋体" w:hAnsi="宋体" w:eastAsia="宋体" w:cs="宋体"/>
          <w:sz w:val="21"/>
          <w:szCs w:val="21"/>
          <w:highlight w:val="none"/>
        </w:rPr>
        <w:t>（元）</w:t>
      </w:r>
      <w:r>
        <w:rPr>
          <w:rFonts w:hint="eastAsia" w:ascii="宋体" w:hAnsi="宋体" w:cs="宋体"/>
          <w:szCs w:val="21"/>
          <w:highlight w:val="none"/>
        </w:rPr>
        <w:t>：</w:t>
      </w:r>
      <w:r>
        <w:rPr>
          <w:rFonts w:hint="eastAsia" w:ascii="宋体" w:hAnsi="宋体" w:cs="宋体"/>
          <w:szCs w:val="21"/>
          <w:highlight w:val="none"/>
          <w:lang w:eastAsia="zh-CN"/>
        </w:rPr>
        <w:t>1904892.99</w:t>
      </w:r>
    </w:p>
    <w:p w14:paraId="47D4FCBC">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采购需求：</w:t>
      </w:r>
    </w:p>
    <w:p w14:paraId="7BFA5A46">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标项名称：2026级本科生新生宿舍修缮项目</w:t>
      </w:r>
    </w:p>
    <w:p w14:paraId="30AAF456">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数量：1</w:t>
      </w:r>
    </w:p>
    <w:p w14:paraId="523596B5">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预算金额（元）：</w:t>
      </w:r>
      <w:r>
        <w:rPr>
          <w:rFonts w:hint="eastAsia" w:ascii="宋体" w:hAnsi="宋体" w:cs="宋体"/>
          <w:szCs w:val="21"/>
          <w:highlight w:val="none"/>
          <w:lang w:eastAsia="zh-CN"/>
        </w:rPr>
        <w:t>1904892.99</w:t>
      </w:r>
    </w:p>
    <w:p w14:paraId="747E486F">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简要规格描述或项目基本概况介绍、用途：2026级本科生新生宿舍修缮项目1项，具体内容详见第二章《采购需求》</w:t>
      </w:r>
      <w:r>
        <w:rPr>
          <w:rFonts w:hint="eastAsia" w:ascii="宋体" w:hAnsi="宋体" w:cs="宋体"/>
          <w:sz w:val="21"/>
          <w:szCs w:val="21"/>
          <w:highlight w:val="none"/>
          <w:lang w:val="en-US" w:eastAsia="zh-CN"/>
        </w:rPr>
        <w:t>、工程量清单及施工方案</w:t>
      </w:r>
      <w:r>
        <w:rPr>
          <w:rFonts w:hint="eastAsia" w:ascii="宋体" w:hAnsi="宋体" w:eastAsia="宋体" w:cs="宋体"/>
          <w:sz w:val="21"/>
          <w:szCs w:val="21"/>
          <w:highlight w:val="none"/>
        </w:rPr>
        <w:t>。</w:t>
      </w:r>
    </w:p>
    <w:p w14:paraId="54286220">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最高限价（元）：</w:t>
      </w:r>
      <w:r>
        <w:rPr>
          <w:rFonts w:hint="eastAsia" w:ascii="宋体" w:hAnsi="宋体" w:cs="宋体"/>
          <w:szCs w:val="21"/>
          <w:highlight w:val="none"/>
          <w:lang w:eastAsia="zh-CN"/>
        </w:rPr>
        <w:t>1904892.99</w:t>
      </w:r>
    </w:p>
    <w:p w14:paraId="05FF91FA">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合同履约期限：</w:t>
      </w:r>
      <w:r>
        <w:rPr>
          <w:rFonts w:hint="eastAsia" w:ascii="宋体" w:hAnsi="宋体" w:cs="宋体"/>
          <w:sz w:val="21"/>
          <w:szCs w:val="21"/>
          <w:highlight w:val="none"/>
          <w:lang w:val="en-US" w:eastAsia="zh-CN"/>
        </w:rPr>
        <w:t>35</w:t>
      </w:r>
      <w:r>
        <w:rPr>
          <w:rFonts w:hint="eastAsia" w:ascii="宋体" w:hAnsi="宋体" w:eastAsia="宋体" w:cs="宋体"/>
          <w:sz w:val="21"/>
          <w:szCs w:val="21"/>
          <w:highlight w:val="none"/>
          <w:lang w:val="en-US" w:eastAsia="zh-CN"/>
        </w:rPr>
        <w:t>个</w:t>
      </w:r>
      <w:r>
        <w:rPr>
          <w:rFonts w:hint="eastAsia" w:ascii="宋体" w:hAnsi="宋体" w:eastAsia="宋体" w:cs="宋体"/>
          <w:sz w:val="21"/>
          <w:szCs w:val="21"/>
          <w:highlight w:val="none"/>
        </w:rPr>
        <w:t>日历天。</w:t>
      </w:r>
    </w:p>
    <w:p w14:paraId="3F9CE1DC">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本标项（否）接受联合体投标。 </w:t>
      </w:r>
    </w:p>
    <w:p w14:paraId="70870F4B">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备注：/。</w:t>
      </w:r>
    </w:p>
    <w:p w14:paraId="4A03574E">
      <w:pPr>
        <w:keepNext w:val="0"/>
        <w:keepLines w:val="0"/>
        <w:pageBreakBefore w:val="0"/>
        <w:bidi w:val="0"/>
        <w:spacing w:line="480" w:lineRule="exact"/>
        <w:ind w:firstLine="422"/>
        <w:rPr>
          <w:rFonts w:hint="eastAsia" w:ascii="宋体" w:hAnsi="宋体" w:eastAsia="宋体" w:cs="宋体"/>
          <w:b/>
          <w:bCs/>
          <w:sz w:val="21"/>
          <w:szCs w:val="21"/>
          <w:highlight w:val="none"/>
        </w:rPr>
      </w:pPr>
      <w:bookmarkStart w:id="5" w:name="_Toc28359090"/>
      <w:bookmarkStart w:id="6" w:name="_Toc35393799"/>
      <w:bookmarkStart w:id="7" w:name="_Toc35393630"/>
      <w:bookmarkStart w:id="8" w:name="_Toc28359013"/>
      <w:r>
        <w:rPr>
          <w:rFonts w:hint="eastAsia" w:ascii="宋体" w:hAnsi="宋体" w:eastAsia="宋体" w:cs="宋体"/>
          <w:b/>
          <w:bCs/>
          <w:sz w:val="21"/>
          <w:szCs w:val="21"/>
          <w:highlight w:val="none"/>
        </w:rPr>
        <w:t>二、申请人的资格要求：</w:t>
      </w:r>
      <w:bookmarkEnd w:id="5"/>
      <w:bookmarkEnd w:id="6"/>
      <w:bookmarkEnd w:id="7"/>
      <w:bookmarkEnd w:id="8"/>
    </w:p>
    <w:p w14:paraId="60EED00E">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1、满足《中华人民共和国政府采购法》第二十二条规定；</w:t>
      </w:r>
    </w:p>
    <w:p w14:paraId="164A027E">
      <w:pPr>
        <w:keepNext w:val="0"/>
        <w:keepLines w:val="0"/>
        <w:pageBreakBefore w:val="0"/>
        <w:bidi w:val="0"/>
        <w:spacing w:line="480" w:lineRule="exact"/>
        <w:ind w:firstLine="420"/>
        <w:rPr>
          <w:rFonts w:hint="eastAsia" w:ascii="宋体" w:hAnsi="宋体" w:eastAsia="宋体" w:cs="宋体"/>
          <w:sz w:val="21"/>
          <w:szCs w:val="21"/>
          <w:highlight w:val="none"/>
        </w:rPr>
      </w:pPr>
      <w:bookmarkStart w:id="9" w:name="_Toc28359091"/>
      <w:bookmarkStart w:id="10" w:name="_Toc28359014"/>
      <w:r>
        <w:rPr>
          <w:rFonts w:hint="eastAsia" w:ascii="宋体" w:hAnsi="宋体" w:eastAsia="宋体" w:cs="宋体"/>
          <w:sz w:val="21"/>
          <w:szCs w:val="21"/>
          <w:highlight w:val="none"/>
        </w:rPr>
        <w:t>2、落实政府采购政策需满足的资格要求：本项目专门面向中小微企业采购；</w:t>
      </w:r>
    </w:p>
    <w:p w14:paraId="40879A57">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3、本项目的特定资格要求：</w:t>
      </w:r>
      <w:bookmarkStart w:id="11" w:name="_Toc35393800"/>
      <w:bookmarkStart w:id="12" w:name="_Toc35393631"/>
    </w:p>
    <w:p w14:paraId="6BD8A8B6">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3.1具备建筑工程施工总承包三级（含）以上资质，并同时具有在省级及以上建设行政主管部门颁发的安全生产许可证，并在人员、设备、资金等方面具备相应的施工能力；</w:t>
      </w:r>
    </w:p>
    <w:p w14:paraId="66787AD7">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3.2拟派项目经理</w:t>
      </w:r>
      <w:r>
        <w:rPr>
          <w:rFonts w:hint="eastAsia" w:ascii="宋体" w:hAnsi="宋体" w:cs="宋体"/>
          <w:szCs w:val="21"/>
          <w:highlight w:val="none"/>
        </w:rPr>
        <w:t>要求为供应商本企业人员</w:t>
      </w:r>
      <w:r>
        <w:rPr>
          <w:rFonts w:hint="eastAsia" w:ascii="宋体" w:hAnsi="宋体" w:cs="宋体"/>
          <w:szCs w:val="21"/>
          <w:highlight w:val="none"/>
          <w:lang w:eastAsia="zh-CN"/>
        </w:rPr>
        <w:t>，</w:t>
      </w:r>
      <w:r>
        <w:rPr>
          <w:rFonts w:hint="eastAsia" w:ascii="宋体" w:hAnsi="宋体" w:eastAsia="宋体" w:cs="宋体"/>
          <w:sz w:val="21"/>
          <w:szCs w:val="21"/>
          <w:highlight w:val="none"/>
        </w:rPr>
        <w:t>须具备建筑工程专业二级（含</w:t>
      </w:r>
      <w:r>
        <w:rPr>
          <w:rFonts w:hint="eastAsia" w:ascii="宋体" w:hAnsi="宋体" w:eastAsia="宋体" w:cs="宋体"/>
          <w:sz w:val="21"/>
          <w:szCs w:val="21"/>
          <w:highlight w:val="none"/>
          <w:lang w:eastAsia="zh-CN"/>
        </w:rPr>
        <w:t>二</w:t>
      </w:r>
      <w:r>
        <w:rPr>
          <w:rFonts w:hint="eastAsia" w:ascii="宋体" w:hAnsi="宋体" w:eastAsia="宋体" w:cs="宋体"/>
          <w:sz w:val="21"/>
          <w:szCs w:val="21"/>
          <w:highlight w:val="none"/>
        </w:rPr>
        <w:t>级）以上注册建造师资格，具有有效的安全生产考核B证。本项目不接受有在建、已中标未开工或已列为其他项目中标（成交）候选人第一名的建造师作为项目经理（符合《广西壮族自治区建筑市场诚信卡管理暂行办法》第十六条第一款及桂建管﹝2016﹞70号、桂建管〔2020〕11号文除外）</w:t>
      </w:r>
      <w:r>
        <w:rPr>
          <w:rFonts w:hint="eastAsia" w:ascii="宋体" w:hAnsi="宋体" w:eastAsia="宋体" w:cs="宋体"/>
          <w:sz w:val="21"/>
          <w:szCs w:val="21"/>
          <w:highlight w:val="none"/>
          <w:lang w:eastAsia="zh-CN"/>
        </w:rPr>
        <w:t>；</w:t>
      </w:r>
      <w:bookmarkEnd w:id="9"/>
      <w:bookmarkEnd w:id="10"/>
      <w:bookmarkEnd w:id="11"/>
      <w:bookmarkEnd w:id="12"/>
    </w:p>
    <w:p w14:paraId="44C30BD0">
      <w:pPr>
        <w:keepNext w:val="0"/>
        <w:keepLines w:val="0"/>
        <w:pageBreakBefore w:val="0"/>
        <w:bidi w:val="0"/>
        <w:spacing w:line="480" w:lineRule="exact"/>
        <w:ind w:firstLine="420"/>
        <w:rPr>
          <w:highlight w:val="none"/>
        </w:rPr>
      </w:pPr>
      <w:bookmarkStart w:id="13" w:name="_Toc35393805"/>
      <w:bookmarkStart w:id="14" w:name="_Toc28359018"/>
      <w:bookmarkStart w:id="15" w:name="_Toc28359095"/>
      <w:bookmarkStart w:id="16" w:name="_Toc35393636"/>
      <w:r>
        <w:rPr>
          <w:rFonts w:hint="eastAsia" w:ascii="宋体" w:hAnsi="宋体" w:eastAsia="宋体" w:cs="宋体"/>
          <w:sz w:val="21"/>
          <w:szCs w:val="21"/>
          <w:highlight w:val="none"/>
        </w:rPr>
        <w:t xml:space="preserve">3.3 </w:t>
      </w:r>
      <w:r>
        <w:rPr>
          <w:rFonts w:hint="eastAsia" w:ascii="宋体" w:hAnsi="宋体" w:cs="宋体"/>
          <w:szCs w:val="21"/>
          <w:highlight w:val="none"/>
        </w:rPr>
        <w:t>配备不少于1名专职安全生产管理人员，</w:t>
      </w:r>
      <w:r>
        <w:rPr>
          <w:rFonts w:hint="eastAsia" w:ascii="宋体" w:hAnsi="宋体" w:eastAsia="宋体" w:cs="宋体"/>
          <w:sz w:val="21"/>
          <w:szCs w:val="21"/>
          <w:highlight w:val="none"/>
          <w:lang w:eastAsia="zh-CN"/>
        </w:rPr>
        <w:t>拟派</w:t>
      </w:r>
      <w:r>
        <w:rPr>
          <w:rFonts w:hint="eastAsia" w:ascii="宋体" w:hAnsi="宋体" w:eastAsia="宋体" w:cs="宋体"/>
          <w:sz w:val="21"/>
          <w:szCs w:val="21"/>
          <w:highlight w:val="none"/>
        </w:rPr>
        <w:t>安全员</w:t>
      </w:r>
      <w:r>
        <w:rPr>
          <w:rFonts w:hint="eastAsia" w:ascii="宋体" w:hAnsi="宋体" w:cs="宋体"/>
          <w:sz w:val="21"/>
          <w:szCs w:val="21"/>
          <w:highlight w:val="none"/>
          <w:lang w:val="en-US" w:eastAsia="zh-CN"/>
        </w:rPr>
        <w:t>须</w:t>
      </w:r>
      <w:r>
        <w:rPr>
          <w:rFonts w:hint="eastAsia" w:ascii="宋体" w:hAnsi="宋体" w:eastAsia="宋体" w:cs="宋体"/>
          <w:sz w:val="21"/>
          <w:szCs w:val="21"/>
          <w:highlight w:val="none"/>
        </w:rPr>
        <w:t>具备有效的安全生产考核合格证书(C类)</w:t>
      </w:r>
      <w:r>
        <w:rPr>
          <w:rFonts w:hint="eastAsia" w:ascii="宋体" w:hAnsi="宋体" w:eastAsia="宋体" w:cs="宋体"/>
          <w:sz w:val="21"/>
          <w:szCs w:val="21"/>
          <w:highlight w:val="none"/>
          <w:lang w:eastAsia="zh-CN"/>
        </w:rPr>
        <w:t>；</w:t>
      </w:r>
    </w:p>
    <w:p w14:paraId="50A55BC1">
      <w:pPr>
        <w:keepNext w:val="0"/>
        <w:keepLines w:val="0"/>
        <w:pageBreakBefore w:val="0"/>
        <w:bidi w:val="0"/>
        <w:spacing w:line="480" w:lineRule="exact"/>
        <w:ind w:firstLine="420"/>
        <w:rPr>
          <w:rFonts w:hint="eastAsia"/>
          <w:highlight w:val="none"/>
        </w:rPr>
      </w:pPr>
      <w:r>
        <w:rPr>
          <w:rFonts w:hint="eastAsia"/>
          <w:highlight w:val="none"/>
          <w:lang w:val="en-US" w:eastAsia="zh-CN"/>
        </w:rPr>
        <w:t xml:space="preserve">3.4 </w:t>
      </w:r>
      <w:r>
        <w:rPr>
          <w:rFonts w:hint="eastAsia"/>
          <w:highlight w:val="none"/>
        </w:rPr>
        <w:t>施工员、质量员、材料员：具有相应施工现场专业人员职业培训合格证书并在有效期内。</w:t>
      </w:r>
    </w:p>
    <w:p w14:paraId="5AA830BE">
      <w:pPr>
        <w:keepNext w:val="0"/>
        <w:keepLines w:val="0"/>
        <w:pageBreakBefore w:val="0"/>
        <w:bidi w:val="0"/>
        <w:spacing w:line="480" w:lineRule="exact"/>
        <w:ind w:firstLine="42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三、获取竞争性磋商文件</w:t>
      </w:r>
    </w:p>
    <w:p w14:paraId="6C2BA502">
      <w:pPr>
        <w:keepNext w:val="0"/>
        <w:keepLines w:val="0"/>
        <w:pageBreakBefore w:val="0"/>
        <w:bidi w:val="0"/>
        <w:spacing w:line="480" w:lineRule="exact"/>
        <w:ind w:firstLine="420"/>
        <w:rPr>
          <w:rFonts w:hint="eastAsia" w:ascii="宋体" w:hAnsi="宋体" w:eastAsia="宋体" w:cs="宋体"/>
          <w:sz w:val="21"/>
          <w:szCs w:val="21"/>
          <w:highlight w:val="none"/>
        </w:rPr>
      </w:pPr>
      <w:bookmarkStart w:id="17" w:name="_Toc28359005"/>
      <w:bookmarkStart w:id="18" w:name="_Toc28359082"/>
      <w:bookmarkStart w:id="19" w:name="_Toc35393624"/>
      <w:bookmarkStart w:id="20" w:name="_Toc35393793"/>
      <w:r>
        <w:rPr>
          <w:rFonts w:hint="eastAsia" w:ascii="宋体" w:hAnsi="宋体" w:eastAsia="宋体" w:cs="宋体"/>
          <w:sz w:val="21"/>
          <w:szCs w:val="21"/>
          <w:highlight w:val="none"/>
        </w:rPr>
        <w:t>时间：</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202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年 </w:t>
      </w:r>
      <w:r>
        <w:rPr>
          <w:rFonts w:hint="eastAsia" w:ascii="宋体" w:hAnsi="宋体" w:cs="宋体"/>
          <w:sz w:val="21"/>
          <w:szCs w:val="21"/>
          <w:highlight w:val="none"/>
          <w:lang w:val="en-US" w:eastAsia="zh-CN"/>
        </w:rPr>
        <w:t xml:space="preserve">7 </w:t>
      </w:r>
      <w:r>
        <w:rPr>
          <w:rFonts w:hint="eastAsia" w:ascii="宋体" w:hAnsi="宋体" w:eastAsia="宋体" w:cs="宋体"/>
          <w:sz w:val="21"/>
          <w:szCs w:val="21"/>
          <w:highlight w:val="none"/>
        </w:rPr>
        <w:t xml:space="preserve">月 </w:t>
      </w:r>
      <w:r>
        <w:rPr>
          <w:rFonts w:hint="eastAsia" w:ascii="宋体" w:hAnsi="宋体" w:cs="宋体"/>
          <w:sz w:val="21"/>
          <w:szCs w:val="21"/>
          <w:highlight w:val="none"/>
          <w:lang w:val="en-US" w:eastAsia="zh-CN"/>
        </w:rPr>
        <w:t xml:space="preserve">7 </w:t>
      </w:r>
      <w:r>
        <w:rPr>
          <w:rFonts w:hint="eastAsia" w:ascii="宋体" w:hAnsi="宋体" w:eastAsia="宋体" w:cs="宋体"/>
          <w:sz w:val="21"/>
          <w:szCs w:val="21"/>
          <w:highlight w:val="none"/>
        </w:rPr>
        <w:t>日至</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202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 xml:space="preserve">年 </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rPr>
        <w:t xml:space="preserve"> 月 </w:t>
      </w:r>
      <w:r>
        <w:rPr>
          <w:rFonts w:hint="eastAsia" w:ascii="宋体" w:hAnsi="宋体" w:cs="宋体"/>
          <w:sz w:val="21"/>
          <w:szCs w:val="21"/>
          <w:highlight w:val="none"/>
          <w:lang w:val="en-US" w:eastAsia="zh-CN"/>
        </w:rPr>
        <w:t xml:space="preserve">14 </w:t>
      </w:r>
      <w:r>
        <w:rPr>
          <w:rFonts w:hint="eastAsia" w:ascii="宋体" w:hAnsi="宋体" w:eastAsia="宋体" w:cs="宋体"/>
          <w:sz w:val="21"/>
          <w:szCs w:val="21"/>
          <w:highlight w:val="none"/>
        </w:rPr>
        <w:t>日，每天上午00:00:00至12:00:00，下午12:00:00至23:59:59（北京时间，法定节假日除外）</w:t>
      </w:r>
    </w:p>
    <w:p w14:paraId="1720DE0C">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地点：广西政府采购云平台（https://www.gcy.zfcg.gxzf.gov.cn/）  </w:t>
      </w:r>
    </w:p>
    <w:p w14:paraId="5F9E549B">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方式：网上下载。本项目不发放纸质采购文件，潜在供应商可自行在广西政府采购云平台（https://www.gcy.zfcg.gxzf.gov.cn/）下载采购文件（操作路径：登录广西政府采购云平台-项目采购-获取采购文件-找到本项目-点击“申请获取采购文件”），电子响应文件制作需要基于广西政府采购云平台获取的采购文件编制。</w:t>
      </w:r>
    </w:p>
    <w:p w14:paraId="511F632F">
      <w:pPr>
        <w:keepNext w:val="0"/>
        <w:keepLines w:val="0"/>
        <w:pageBreakBefore w:val="0"/>
        <w:bidi w:val="0"/>
        <w:spacing w:line="480" w:lineRule="exact"/>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售价：0元。</w:t>
      </w:r>
    </w:p>
    <w:p w14:paraId="6443C4B9">
      <w:pPr>
        <w:keepNext w:val="0"/>
        <w:keepLines w:val="0"/>
        <w:pageBreakBefore w:val="0"/>
        <w:bidi w:val="0"/>
        <w:spacing w:line="480" w:lineRule="exact"/>
        <w:ind w:firstLine="422"/>
        <w:rPr>
          <w:rFonts w:hint="eastAsia" w:ascii="宋体" w:hAnsi="宋体" w:eastAsia="宋体" w:cs="宋体"/>
          <w:b/>
          <w:bCs/>
          <w:sz w:val="21"/>
          <w:szCs w:val="21"/>
          <w:highlight w:val="none"/>
        </w:rPr>
      </w:pPr>
      <w:r>
        <w:rPr>
          <w:rFonts w:hint="eastAsia" w:ascii="宋体" w:hAnsi="宋体" w:eastAsia="宋体" w:cs="宋体"/>
          <w:b/>
          <w:bCs/>
          <w:sz w:val="21"/>
          <w:szCs w:val="21"/>
          <w:highlight w:val="none"/>
        </w:rPr>
        <w:t>四、</w:t>
      </w:r>
      <w:bookmarkEnd w:id="17"/>
      <w:bookmarkEnd w:id="18"/>
      <w:bookmarkEnd w:id="19"/>
      <w:bookmarkEnd w:id="20"/>
      <w:r>
        <w:rPr>
          <w:rFonts w:hint="eastAsia" w:ascii="宋体" w:hAnsi="宋体" w:eastAsia="宋体" w:cs="宋体"/>
          <w:b/>
          <w:bCs/>
          <w:sz w:val="21"/>
          <w:szCs w:val="21"/>
          <w:highlight w:val="none"/>
        </w:rPr>
        <w:t>响应文件提交</w:t>
      </w:r>
    </w:p>
    <w:p w14:paraId="3F3A3EEE">
      <w:pPr>
        <w:spacing w:line="360" w:lineRule="auto"/>
        <w:ind w:firstLine="420"/>
        <w:rPr>
          <w:rFonts w:ascii="宋体" w:hAnsi="宋体" w:cs="宋体"/>
          <w:color w:val="000000"/>
          <w:sz w:val="21"/>
          <w:szCs w:val="21"/>
          <w:highlight w:val="none"/>
        </w:rPr>
      </w:pPr>
      <w:r>
        <w:rPr>
          <w:rFonts w:hint="eastAsia" w:ascii="宋体" w:hAnsi="宋体" w:cs="宋体"/>
          <w:color w:val="000000"/>
          <w:sz w:val="21"/>
          <w:szCs w:val="21"/>
          <w:highlight w:val="none"/>
        </w:rPr>
        <w:t>截止时间：</w:t>
      </w:r>
      <w:r>
        <w:rPr>
          <w:rFonts w:hint="eastAsia" w:ascii="宋体" w:hAnsi="宋体" w:cs="宋体"/>
          <w:color w:val="000000"/>
          <w:sz w:val="21"/>
          <w:szCs w:val="21"/>
          <w:highlight w:val="none"/>
          <w:lang w:eastAsia="zh-CN"/>
        </w:rPr>
        <w:t xml:space="preserve">2026 </w:t>
      </w:r>
      <w:r>
        <w:rPr>
          <w:rFonts w:hint="eastAsia" w:ascii="宋体" w:hAnsi="宋体" w:cs="宋体"/>
          <w:color w:val="000000"/>
          <w:sz w:val="21"/>
          <w:szCs w:val="21"/>
          <w:highlight w:val="none"/>
        </w:rPr>
        <w:t xml:space="preserve">年 </w:t>
      </w:r>
      <w:r>
        <w:rPr>
          <w:rFonts w:hint="eastAsia" w:ascii="宋体" w:hAnsi="宋体" w:cs="宋体"/>
          <w:color w:val="000000"/>
          <w:sz w:val="21"/>
          <w:szCs w:val="21"/>
          <w:highlight w:val="none"/>
          <w:lang w:val="en-US" w:eastAsia="zh-CN"/>
        </w:rPr>
        <w:t xml:space="preserve">7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 xml:space="preserve"> 20 </w:t>
      </w:r>
      <w:r>
        <w:rPr>
          <w:rFonts w:hint="eastAsia" w:ascii="宋体" w:hAnsi="宋体" w:cs="宋体"/>
          <w:color w:val="000000"/>
          <w:sz w:val="21"/>
          <w:szCs w:val="21"/>
          <w:highlight w:val="none"/>
        </w:rPr>
        <w:t>日 09:30（北京时间）</w:t>
      </w:r>
    </w:p>
    <w:p w14:paraId="7CC325E4">
      <w:pPr>
        <w:spacing w:line="360" w:lineRule="auto"/>
        <w:ind w:firstLine="420"/>
        <w:rPr>
          <w:rFonts w:ascii="宋体" w:hAnsi="宋体" w:cs="宋体"/>
          <w:color w:val="000000"/>
          <w:sz w:val="21"/>
          <w:szCs w:val="21"/>
          <w:highlight w:val="none"/>
        </w:rPr>
      </w:pPr>
      <w:r>
        <w:rPr>
          <w:rFonts w:hint="eastAsia" w:ascii="宋体" w:hAnsi="宋体" w:cs="宋体"/>
          <w:color w:val="000000"/>
          <w:sz w:val="21"/>
          <w:szCs w:val="21"/>
          <w:highlight w:val="none"/>
        </w:rPr>
        <w:t>地点：通过政采云平台实行在线投标响应 </w:t>
      </w:r>
    </w:p>
    <w:p w14:paraId="6FBC6C9F">
      <w:pPr>
        <w:spacing w:line="360" w:lineRule="auto"/>
        <w:ind w:firstLine="422"/>
        <w:rPr>
          <w:rFonts w:ascii="宋体" w:hAnsi="宋体" w:cs="宋体"/>
          <w:color w:val="000000"/>
          <w:sz w:val="21"/>
          <w:szCs w:val="21"/>
          <w:highlight w:val="none"/>
        </w:rPr>
      </w:pPr>
      <w:r>
        <w:rPr>
          <w:rFonts w:hint="eastAsia" w:ascii="宋体" w:hAnsi="宋体" w:cs="宋体"/>
          <w:b/>
          <w:bCs/>
          <w:color w:val="000000"/>
          <w:sz w:val="21"/>
          <w:szCs w:val="21"/>
          <w:highlight w:val="none"/>
        </w:rPr>
        <w:t>五、响应文件开启</w:t>
      </w:r>
    </w:p>
    <w:p w14:paraId="7B26250F">
      <w:pPr>
        <w:spacing w:line="360" w:lineRule="auto"/>
        <w:ind w:firstLine="420"/>
        <w:rPr>
          <w:rFonts w:ascii="宋体" w:hAnsi="宋体" w:cs="宋体"/>
          <w:color w:val="000000"/>
          <w:sz w:val="21"/>
          <w:szCs w:val="21"/>
          <w:highlight w:val="none"/>
        </w:rPr>
      </w:pPr>
      <w:r>
        <w:rPr>
          <w:rFonts w:hint="eastAsia" w:ascii="宋体" w:hAnsi="宋体" w:cs="宋体"/>
          <w:color w:val="000000"/>
          <w:sz w:val="21"/>
          <w:szCs w:val="21"/>
          <w:highlight w:val="none"/>
        </w:rPr>
        <w:t>开启时间：</w:t>
      </w:r>
      <w:r>
        <w:rPr>
          <w:rFonts w:hint="eastAsia" w:ascii="宋体" w:hAnsi="宋体" w:cs="宋体"/>
          <w:color w:val="000000"/>
          <w:sz w:val="21"/>
          <w:szCs w:val="21"/>
          <w:highlight w:val="none"/>
          <w:lang w:eastAsia="zh-CN"/>
        </w:rPr>
        <w:t xml:space="preserve">2026 </w:t>
      </w:r>
      <w:r>
        <w:rPr>
          <w:rFonts w:hint="eastAsia" w:ascii="宋体" w:hAnsi="宋体" w:cs="宋体"/>
          <w:color w:val="000000"/>
          <w:sz w:val="21"/>
          <w:szCs w:val="21"/>
          <w:highlight w:val="none"/>
        </w:rPr>
        <w:t xml:space="preserve">年 </w:t>
      </w:r>
      <w:r>
        <w:rPr>
          <w:rFonts w:hint="eastAsia" w:ascii="宋体" w:hAnsi="宋体" w:cs="宋体"/>
          <w:color w:val="000000"/>
          <w:sz w:val="21"/>
          <w:szCs w:val="21"/>
          <w:highlight w:val="none"/>
          <w:lang w:val="en-US" w:eastAsia="zh-CN"/>
        </w:rPr>
        <w:t xml:space="preserve">7 </w:t>
      </w:r>
      <w:r>
        <w:rPr>
          <w:rFonts w:hint="eastAsia" w:ascii="宋体" w:hAnsi="宋体" w:cs="宋体"/>
          <w:color w:val="000000"/>
          <w:sz w:val="21"/>
          <w:szCs w:val="21"/>
          <w:highlight w:val="none"/>
        </w:rPr>
        <w:t>月</w:t>
      </w:r>
      <w:r>
        <w:rPr>
          <w:rFonts w:hint="eastAsia" w:ascii="宋体" w:hAnsi="宋体" w:cs="宋体"/>
          <w:color w:val="000000"/>
          <w:sz w:val="21"/>
          <w:szCs w:val="21"/>
          <w:highlight w:val="none"/>
          <w:lang w:val="en-US" w:eastAsia="zh-CN"/>
        </w:rPr>
        <w:t xml:space="preserve"> 20 </w:t>
      </w:r>
      <w:r>
        <w:rPr>
          <w:rFonts w:hint="eastAsia" w:ascii="宋体" w:hAnsi="宋体" w:cs="宋体"/>
          <w:color w:val="000000"/>
          <w:sz w:val="21"/>
          <w:szCs w:val="21"/>
          <w:highlight w:val="none"/>
        </w:rPr>
        <w:t>日 09:30（北京时间）</w:t>
      </w:r>
    </w:p>
    <w:p w14:paraId="1288AF69">
      <w:pPr>
        <w:spacing w:line="360" w:lineRule="auto"/>
        <w:ind w:firstLine="420"/>
        <w:rPr>
          <w:rFonts w:ascii="宋体" w:hAnsi="宋体" w:cs="宋体"/>
          <w:color w:val="000000"/>
          <w:sz w:val="21"/>
          <w:szCs w:val="21"/>
          <w:highlight w:val="none"/>
        </w:rPr>
      </w:pPr>
      <w:r>
        <w:rPr>
          <w:rFonts w:hint="eastAsia" w:ascii="宋体" w:hAnsi="宋体" w:cs="宋体"/>
          <w:color w:val="000000"/>
          <w:sz w:val="21"/>
          <w:szCs w:val="21"/>
          <w:highlight w:val="none"/>
        </w:rPr>
        <w:t>地点：通过政采云平台实行在线解密开启 </w:t>
      </w:r>
    </w:p>
    <w:p w14:paraId="59C3F7F9">
      <w:pPr>
        <w:spacing w:line="360" w:lineRule="auto"/>
        <w:ind w:firstLine="422"/>
        <w:rPr>
          <w:rFonts w:hint="eastAsia" w:asciiTheme="minorEastAsia" w:hAnsiTheme="minorEastAsia" w:eastAsiaTheme="minorEastAsia" w:cstheme="minorEastAsia"/>
          <w:b/>
          <w:bCs/>
          <w:color w:val="000000"/>
          <w:sz w:val="21"/>
          <w:szCs w:val="21"/>
          <w:highlight w:val="none"/>
        </w:rPr>
      </w:pPr>
      <w:r>
        <w:rPr>
          <w:rFonts w:hint="eastAsia" w:asciiTheme="minorEastAsia" w:hAnsiTheme="minorEastAsia" w:eastAsiaTheme="minorEastAsia" w:cstheme="minorEastAsia"/>
          <w:b/>
          <w:bCs/>
          <w:color w:val="000000"/>
          <w:sz w:val="21"/>
          <w:szCs w:val="21"/>
          <w:highlight w:val="none"/>
        </w:rPr>
        <w:t>六、公告期限</w:t>
      </w:r>
    </w:p>
    <w:p w14:paraId="0DE04DD7">
      <w:pPr>
        <w:spacing w:line="360" w:lineRule="auto"/>
        <w:ind w:firstLine="42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自本公告发布之日起5个工作日。</w:t>
      </w:r>
    </w:p>
    <w:p w14:paraId="0C760EF8">
      <w:pPr>
        <w:spacing w:line="360" w:lineRule="auto"/>
        <w:ind w:firstLine="422"/>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b/>
          <w:bCs/>
          <w:color w:val="000000"/>
          <w:sz w:val="21"/>
          <w:szCs w:val="21"/>
          <w:highlight w:val="none"/>
        </w:rPr>
        <w:t>七、其他补充事宜</w:t>
      </w:r>
      <w:r>
        <w:rPr>
          <w:rFonts w:hint="eastAsia" w:asciiTheme="minorEastAsia" w:hAnsiTheme="minorEastAsia" w:eastAsiaTheme="minorEastAsia" w:cstheme="minorEastAsia"/>
          <w:color w:val="000000"/>
          <w:sz w:val="21"/>
          <w:szCs w:val="21"/>
          <w:highlight w:val="none"/>
        </w:rPr>
        <w:t> </w:t>
      </w:r>
    </w:p>
    <w:p w14:paraId="6617ECE4">
      <w:pPr>
        <w:spacing w:line="360" w:lineRule="auto"/>
        <w:ind w:firstLine="420"/>
        <w:rPr>
          <w:rFonts w:hint="eastAsia" w:ascii="宋体" w:hAnsi="宋体" w:eastAsia="宋体" w:cs="宋体"/>
          <w:color w:val="000000"/>
          <w:sz w:val="21"/>
          <w:szCs w:val="21"/>
          <w:highlight w:val="none"/>
        </w:rPr>
      </w:pPr>
      <w:r>
        <w:rPr>
          <w:rFonts w:hint="eastAsia" w:ascii="宋体" w:hAnsi="宋体" w:eastAsia="宋体" w:cs="宋体"/>
          <w:color w:val="000000"/>
          <w:sz w:val="21"/>
          <w:szCs w:val="21"/>
          <w:highlight w:val="none"/>
        </w:rPr>
        <w:t>1.本项目需缴纳磋商保证金</w:t>
      </w:r>
      <w:r>
        <w:rPr>
          <w:rFonts w:hint="eastAsia" w:ascii="宋体" w:hAnsi="宋体" w:eastAsia="宋体" w:cs="宋体"/>
          <w:color w:val="000000"/>
          <w:sz w:val="21"/>
          <w:szCs w:val="21"/>
          <w:highlight w:val="none"/>
          <w:lang w:eastAsia="zh-CN"/>
        </w:rPr>
        <w:t>，</w:t>
      </w:r>
      <w:r>
        <w:rPr>
          <w:rFonts w:hint="eastAsia" w:ascii="宋体" w:hAnsi="宋体" w:eastAsia="宋体" w:cs="宋体"/>
          <w:sz w:val="21"/>
          <w:szCs w:val="21"/>
          <w:highlight w:val="none"/>
        </w:rPr>
        <w:t>人民币</w:t>
      </w:r>
      <w:r>
        <w:rPr>
          <w:rFonts w:hint="eastAsia" w:ascii="宋体" w:hAnsi="宋体" w:eastAsia="宋体" w:cs="宋体"/>
          <w:sz w:val="21"/>
          <w:szCs w:val="21"/>
          <w:highlight w:val="none"/>
          <w:lang w:val="en-US" w:eastAsia="zh-CN"/>
        </w:rPr>
        <w:t>壹万玖仟元整</w:t>
      </w:r>
      <w:r>
        <w:rPr>
          <w:rFonts w:hint="eastAsia" w:ascii="宋体" w:hAnsi="宋体" w:eastAsia="宋体" w:cs="宋体"/>
          <w:sz w:val="21"/>
          <w:szCs w:val="21"/>
          <w:highlight w:val="none"/>
        </w:rPr>
        <w:t>（￥</w:t>
      </w:r>
      <w:r>
        <w:rPr>
          <w:rFonts w:hint="eastAsia" w:ascii="宋体" w:hAnsi="宋体" w:eastAsia="宋体" w:cs="宋体"/>
          <w:sz w:val="21"/>
          <w:szCs w:val="21"/>
          <w:highlight w:val="none"/>
          <w:lang w:val="en-US" w:eastAsia="zh-CN"/>
        </w:rPr>
        <w:t>19</w:t>
      </w:r>
      <w:r>
        <w:rPr>
          <w:rFonts w:hint="eastAsia" w:ascii="宋体" w:hAnsi="宋体" w:eastAsia="宋体" w:cs="宋体"/>
          <w:sz w:val="21"/>
          <w:szCs w:val="21"/>
          <w:highlight w:val="none"/>
        </w:rPr>
        <w:t>000.00元）</w:t>
      </w:r>
      <w:r>
        <w:rPr>
          <w:rFonts w:hint="eastAsia" w:ascii="宋体" w:hAnsi="宋体" w:eastAsia="宋体" w:cs="宋体"/>
          <w:color w:val="000000"/>
          <w:sz w:val="21"/>
          <w:szCs w:val="21"/>
          <w:highlight w:val="none"/>
        </w:rPr>
        <w:t>。</w:t>
      </w:r>
    </w:p>
    <w:p w14:paraId="59AA7D22">
      <w:pPr>
        <w:keepNext w:val="0"/>
        <w:keepLines w:val="0"/>
        <w:pageBreakBefore w:val="0"/>
        <w:bidi w:val="0"/>
        <w:spacing w:line="360" w:lineRule="auto"/>
        <w:ind w:firstLine="420"/>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2. 信息公告发布媒体：</w:t>
      </w:r>
      <w:r>
        <w:rPr>
          <w:rFonts w:hint="eastAsia" w:ascii="宋体" w:hAnsi="宋体" w:eastAsia="宋体" w:cs="宋体"/>
          <w:sz w:val="21"/>
          <w:szCs w:val="21"/>
          <w:highlight w:val="none"/>
        </w:rPr>
        <w:t>http://www.ccgp.gov.cn(中国政府采购网)，http://zfcg.gxzf.gov.cn(广西政府采购网)。</w:t>
      </w:r>
    </w:p>
    <w:p w14:paraId="0E27F057">
      <w:pPr>
        <w:keepNext w:val="0"/>
        <w:keepLines w:val="0"/>
        <w:pageBreakBefore w:val="0"/>
        <w:widowControl/>
        <w:bidi w:val="0"/>
        <w:spacing w:line="360" w:lineRule="auto"/>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 xml:space="preserve">3.本项目需要落实的政府采购政策 </w:t>
      </w:r>
    </w:p>
    <w:p w14:paraId="4B27C4E0">
      <w:pPr>
        <w:keepNext w:val="0"/>
        <w:keepLines w:val="0"/>
        <w:pageBreakBefore w:val="0"/>
        <w:widowControl/>
        <w:bidi w:val="0"/>
        <w:spacing w:line="360" w:lineRule="auto"/>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 xml:space="preserve">（1）政府采购促进中小企业发展。 </w:t>
      </w:r>
    </w:p>
    <w:p w14:paraId="4CAA553E">
      <w:pPr>
        <w:keepNext w:val="0"/>
        <w:keepLines w:val="0"/>
        <w:pageBreakBefore w:val="0"/>
        <w:widowControl/>
        <w:bidi w:val="0"/>
        <w:spacing w:line="360" w:lineRule="auto"/>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 xml:space="preserve">（2）政府采购支持监狱企业发展。 </w:t>
      </w:r>
    </w:p>
    <w:p w14:paraId="5C266F0D">
      <w:pPr>
        <w:keepNext w:val="0"/>
        <w:keepLines w:val="0"/>
        <w:pageBreakBefore w:val="0"/>
        <w:widowControl/>
        <w:bidi w:val="0"/>
        <w:spacing w:line="360" w:lineRule="auto"/>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 xml:space="preserve">（3）政府采购促进残疾人就业政策。 </w:t>
      </w:r>
    </w:p>
    <w:p w14:paraId="0A06EA91">
      <w:pPr>
        <w:keepNext w:val="0"/>
        <w:keepLines w:val="0"/>
        <w:pageBreakBefore w:val="0"/>
        <w:widowControl/>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（4）本项目专门面向中</w:t>
      </w:r>
      <w:r>
        <w:rPr>
          <w:rFonts w:hint="eastAsia" w:ascii="宋体" w:hAnsi="宋体" w:eastAsia="宋体" w:cs="宋体"/>
          <w:sz w:val="21"/>
          <w:szCs w:val="21"/>
          <w:highlight w:val="none"/>
        </w:rPr>
        <w:t>小微企业采购</w:t>
      </w:r>
      <w:r>
        <w:rPr>
          <w:rFonts w:hint="eastAsia" w:ascii="宋体" w:hAnsi="宋体" w:eastAsia="宋体" w:cs="宋体"/>
          <w:sz w:val="21"/>
          <w:szCs w:val="21"/>
          <w:highlight w:val="none"/>
          <w:lang w:bidi="ar"/>
        </w:rPr>
        <w:t xml:space="preserve">。 </w:t>
      </w:r>
    </w:p>
    <w:p w14:paraId="3042FAD6">
      <w:pPr>
        <w:keepNext w:val="0"/>
        <w:keepLines w:val="0"/>
        <w:pageBreakBefore w:val="0"/>
        <w:widowControl/>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bidi="ar"/>
        </w:rPr>
        <w:t>（5）本项目中小企业划分标准所属行业：</w:t>
      </w:r>
      <w:r>
        <w:rPr>
          <w:rFonts w:hint="eastAsia" w:ascii="宋体" w:hAnsi="宋体" w:eastAsia="宋体" w:cs="宋体"/>
          <w:b/>
          <w:bCs/>
          <w:sz w:val="21"/>
          <w:szCs w:val="21"/>
          <w:highlight w:val="none"/>
          <w:lang w:bidi="ar"/>
        </w:rPr>
        <w:t>“建筑业”。</w:t>
      </w:r>
    </w:p>
    <w:p w14:paraId="34328631">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 xml:space="preserve">4.“广西政府采购云平台”平台电子投标相关事宜说明： </w:t>
      </w:r>
    </w:p>
    <w:p w14:paraId="139105A5">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（1）本项目为全流程电子化采购项目，通过“广西政府采购云平台”</w:t>
      </w:r>
    </w:p>
    <w:p w14:paraId="4710BAE1">
      <w:pPr>
        <w:keepNext w:val="0"/>
        <w:keepLines w:val="0"/>
        <w:pageBreakBefore w:val="0"/>
        <w:bidi w:val="0"/>
        <w:spacing w:line="480" w:lineRule="exact"/>
        <w:rPr>
          <w:rFonts w:hint="eastAsia" w:ascii="宋体" w:hAnsi="宋体" w:eastAsia="宋体" w:cs="宋体"/>
          <w:sz w:val="21"/>
          <w:szCs w:val="21"/>
          <w:highlight w:val="none"/>
        </w:rPr>
      </w:pPr>
      <w:r>
        <w:rPr>
          <w:rFonts w:hint="eastAsia" w:ascii="宋体" w:hAnsi="宋体" w:eastAsia="宋体" w:cs="宋体"/>
          <w:sz w:val="21"/>
          <w:szCs w:val="21"/>
          <w:highlight w:val="none"/>
        </w:rPr>
        <w:t>（https://www.gcy.zfcg.gxzf.gov.cn/）实行在线电子竞标，供应商应先安装“广西政府采购云平台新版客户端”（新版客户端下载路径：请自行前往广西政府采购网（访问地址http://zfcg.gxzf.gov.cn/）—办事服务—下载专区），并按照本项目竞争性磋商文件和“广西政府采购云平台”的要求编制、加密后在竞标截止时间前通过网络上传至 “广西政府采购云平台”，供应商在“广西政府采购云平台”提交电子响应文件时，请填写参加远程开标活动经办人联系方式。供应商登录“广西政府采购云平台”，依次进入“服务中心-项目采购-操作流程-电子招投标-政府采购项目电子交易管理操作指南-供应商”查看电子竞标具体操作流程。</w:t>
      </w:r>
    </w:p>
    <w:p w14:paraId="6CFFB21F">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2）未进行网上注册并办理数字证书（CA认证）的供应商将无法参与本项目政府采购活动，供应商应当在竞标截止时间前，完成电子交易平台上的CA数字证书办理及响应文件的提交（供应商可登录“广西政府采购网”，依次进入“办事服务-下载专区”或者登陆“广西政府采购云平台”，依次进入“服务中心-入驻与配置”中查看CA数字证书办理操作流程。如在操作过程中遇到问题或者需要技术支持，请致电广西政府采购云平台客服热线：95763）。</w:t>
      </w:r>
    </w:p>
    <w:p w14:paraId="0B1F5EF9">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（3）CA证书在线解密：供应商竞标时，需凭制作响应文件时用来加密的有效数字证书（CA认证）登录“广西政府采购云平台”电子开标大厅现场按规定时间对加密的响应文件进行解密，否则后果自负。</w:t>
      </w:r>
    </w:p>
    <w:p w14:paraId="5C57903D">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注：1）为确保网上操作合法、有效和安全，请供应商确保在电子投标过程中能够对相关数据电文进行加密和使用电子签章，妥善保管CA数字证书并使用有效的CA数字证书参与整个采购活动。2）供应商应当在竞标截止时间前完成电子响应文件的上传、提交，竞标截止时间前可以补充、修改或者撤回响应文件。补充或者修改响应文件的，应当先行撤回原响应文件，补充、修改后重新上传、提交，提交响应文件截止时间前未完成上传、提交的，视为撤回响应文件。提交响应文件截止时间以后上传递交的响应文件，“广西政府采购云平台”将予以拒收。</w:t>
      </w:r>
    </w:p>
    <w:p w14:paraId="37F0AB8F">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（4）供应商需要在具备有摄像头及语音功能且互联网网络状况良好的电脑登录“广西政府采购云平台”远程开标大厅参与本次磋商，否则后果自负。</w:t>
      </w:r>
    </w:p>
    <w:p w14:paraId="0C2739F9">
      <w:pPr>
        <w:keepNext w:val="0"/>
        <w:keepLines w:val="0"/>
        <w:pageBreakBefore w:val="0"/>
        <w:bidi w:val="0"/>
        <w:spacing w:line="480" w:lineRule="exact"/>
        <w:ind w:left="210" w:firstLine="210"/>
        <w:rPr>
          <w:rFonts w:hint="eastAsia" w:ascii="宋体" w:hAnsi="宋体" w:eastAsia="宋体" w:cs="宋体"/>
          <w:sz w:val="21"/>
          <w:szCs w:val="21"/>
          <w:highlight w:val="none"/>
        </w:rPr>
      </w:pPr>
      <w:r>
        <w:rPr>
          <w:rFonts w:hint="eastAsia" w:ascii="宋体" w:hAnsi="宋体" w:eastAsia="宋体" w:cs="宋体"/>
          <w:sz w:val="21"/>
          <w:szCs w:val="21"/>
          <w:highlight w:val="none"/>
        </w:rPr>
        <w:t>（5）若对项目采购电子交易系统操作有疑问，可登录“广西政府采购云平台”（https://www.gcy.zfcg.gxzf.gov.cn/），点击右侧咨询小采，获取采小蜜智能服务管家帮助，或拨打广西政府采购云平台服务热线95763获取热线服务帮助。</w:t>
      </w:r>
    </w:p>
    <w:p w14:paraId="196473E9">
      <w:pPr>
        <w:keepNext w:val="0"/>
        <w:keepLines w:val="0"/>
        <w:pageBreakBefore w:val="0"/>
        <w:bidi w:val="0"/>
        <w:spacing w:line="480" w:lineRule="exact"/>
        <w:ind w:left="210" w:firstLine="420"/>
        <w:rPr>
          <w:rFonts w:hint="eastAsia" w:ascii="宋体" w:hAnsi="宋体" w:eastAsia="宋体" w:cs="宋体"/>
          <w:sz w:val="21"/>
          <w:szCs w:val="21"/>
          <w:highlight w:val="none"/>
        </w:rPr>
      </w:pPr>
      <w:r>
        <w:rPr>
          <w:rFonts w:hint="eastAsia" w:ascii="宋体" w:hAnsi="宋体" w:eastAsia="宋体" w:cs="宋体"/>
          <w:sz w:val="21"/>
          <w:szCs w:val="21"/>
          <w:highlight w:val="none"/>
        </w:rPr>
        <w:t>5.监督部门：自治区财政厅     联系方式：0771-5331810    </w:t>
      </w:r>
      <w:bookmarkEnd w:id="13"/>
      <w:bookmarkEnd w:id="14"/>
      <w:bookmarkEnd w:id="15"/>
      <w:bookmarkEnd w:id="16"/>
    </w:p>
    <w:p w14:paraId="4E808363">
      <w:pPr>
        <w:keepNext w:val="0"/>
        <w:keepLines w:val="0"/>
        <w:pageBreakBefore w:val="0"/>
        <w:bidi w:val="0"/>
        <w:spacing w:line="480" w:lineRule="exact"/>
        <w:ind w:firstLine="422"/>
        <w:rPr>
          <w:rFonts w:hint="eastAsia" w:ascii="宋体" w:hAnsi="宋体" w:eastAsia="宋体" w:cs="宋体"/>
          <w:bCs/>
          <w:sz w:val="21"/>
          <w:szCs w:val="21"/>
          <w:highlight w:val="none"/>
        </w:rPr>
      </w:pPr>
      <w:bookmarkStart w:id="21" w:name="_Toc26924"/>
      <w:bookmarkStart w:id="22" w:name="_Toc31707"/>
      <w:r>
        <w:rPr>
          <w:rFonts w:hint="eastAsia" w:ascii="宋体" w:hAnsi="宋体" w:eastAsia="宋体" w:cs="宋体"/>
          <w:b/>
          <w:sz w:val="21"/>
          <w:szCs w:val="21"/>
          <w:highlight w:val="none"/>
        </w:rPr>
        <w:t>八、凡对本次采购提出询问，请按以下方式联系</w:t>
      </w:r>
    </w:p>
    <w:p w14:paraId="11D319F1">
      <w:pPr>
        <w:keepNext w:val="0"/>
        <w:keepLines w:val="0"/>
        <w:pageBreakBefore w:val="0"/>
        <w:bidi w:val="0"/>
        <w:spacing w:line="480" w:lineRule="exact"/>
        <w:ind w:firstLine="420"/>
        <w:jc w:val="left"/>
        <w:rPr>
          <w:rFonts w:hint="eastAsia" w:ascii="宋体" w:hAnsi="宋体" w:eastAsia="宋体" w:cs="宋体"/>
          <w:sz w:val="21"/>
          <w:szCs w:val="21"/>
          <w:highlight w:val="none"/>
        </w:rPr>
      </w:pPr>
      <w:bookmarkStart w:id="23" w:name="_Toc28359019"/>
      <w:bookmarkStart w:id="24" w:name="_Toc35393806"/>
      <w:bookmarkStart w:id="25" w:name="_Toc28359096"/>
      <w:bookmarkStart w:id="26" w:name="_Toc35393637"/>
      <w:r>
        <w:rPr>
          <w:rFonts w:hint="eastAsia" w:ascii="宋体" w:hAnsi="宋体" w:eastAsia="宋体" w:cs="宋体"/>
          <w:sz w:val="21"/>
          <w:szCs w:val="21"/>
          <w:highlight w:val="none"/>
        </w:rPr>
        <w:t>1.采购人信息</w:t>
      </w:r>
      <w:bookmarkEnd w:id="23"/>
      <w:bookmarkEnd w:id="24"/>
      <w:bookmarkEnd w:id="25"/>
      <w:bookmarkEnd w:id="26"/>
    </w:p>
    <w:p w14:paraId="3907F710">
      <w:pPr>
        <w:keepNext w:val="0"/>
        <w:keepLines w:val="0"/>
        <w:pageBreakBefore w:val="0"/>
        <w:bidi w:val="0"/>
        <w:spacing w:line="480" w:lineRule="exact"/>
        <w:ind w:firstLine="420"/>
        <w:jc w:val="left"/>
        <w:rPr>
          <w:rFonts w:hint="eastAsia" w:ascii="宋体" w:hAnsi="宋体" w:eastAsia="宋体" w:cs="宋体"/>
          <w:sz w:val="21"/>
          <w:szCs w:val="21"/>
          <w:highlight w:val="none"/>
        </w:rPr>
      </w:pPr>
      <w:bookmarkStart w:id="27" w:name="_Toc28359097"/>
      <w:bookmarkStart w:id="28" w:name="_Toc35393807"/>
      <w:bookmarkStart w:id="29" w:name="_Toc35393638"/>
      <w:bookmarkStart w:id="30" w:name="_Toc28359020"/>
      <w:r>
        <w:rPr>
          <w:rFonts w:hint="eastAsia" w:ascii="宋体" w:hAnsi="宋体" w:eastAsia="宋体" w:cs="宋体"/>
          <w:sz w:val="21"/>
          <w:szCs w:val="21"/>
          <w:highlight w:val="none"/>
        </w:rPr>
        <w:t>名    称：广西医科大学 </w:t>
      </w:r>
    </w:p>
    <w:p w14:paraId="7C6BAEFF">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    址：广西南宁市双拥路</w:t>
      </w:r>
      <w:r>
        <w:rPr>
          <w:rFonts w:hint="eastAsia" w:ascii="宋体" w:hAnsi="宋体" w:eastAsia="宋体" w:cs="宋体"/>
          <w:sz w:val="21"/>
          <w:szCs w:val="21"/>
          <w:highlight w:val="none"/>
          <w:lang w:val="en-US" w:eastAsia="zh-CN"/>
        </w:rPr>
        <w:t>22</w:t>
      </w:r>
      <w:r>
        <w:rPr>
          <w:rFonts w:hint="eastAsia" w:ascii="宋体" w:hAnsi="宋体" w:eastAsia="宋体" w:cs="宋体"/>
          <w:sz w:val="21"/>
          <w:szCs w:val="21"/>
          <w:highlight w:val="none"/>
        </w:rPr>
        <w:t>号 </w:t>
      </w:r>
    </w:p>
    <w:p w14:paraId="53F42679">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项目联系人：</w:t>
      </w:r>
      <w:r>
        <w:rPr>
          <w:rFonts w:hint="eastAsia" w:ascii="宋体" w:hAnsi="宋体" w:cs="宋体"/>
          <w:sz w:val="21"/>
          <w:szCs w:val="21"/>
          <w:highlight w:val="none"/>
          <w:lang w:val="en-US" w:eastAsia="zh-CN"/>
        </w:rPr>
        <w:t>刘昭华</w:t>
      </w:r>
      <w:r>
        <w:rPr>
          <w:rFonts w:hint="eastAsia" w:ascii="宋体" w:hAnsi="宋体" w:eastAsia="宋体" w:cs="宋体"/>
          <w:sz w:val="21"/>
          <w:szCs w:val="21"/>
          <w:highlight w:val="none"/>
        </w:rPr>
        <w:t> </w:t>
      </w:r>
    </w:p>
    <w:p w14:paraId="1A8313F3">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项目联系方式：0771-5358884</w:t>
      </w:r>
    </w:p>
    <w:p w14:paraId="37541011">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lang w:val="en-US" w:eastAsia="zh-CN"/>
        </w:rPr>
        <w:t>2.</w:t>
      </w:r>
      <w:r>
        <w:rPr>
          <w:rFonts w:hint="eastAsia" w:ascii="宋体" w:hAnsi="宋体" w:eastAsia="宋体" w:cs="宋体"/>
          <w:sz w:val="21"/>
          <w:szCs w:val="21"/>
          <w:highlight w:val="none"/>
        </w:rPr>
        <w:t>采购代理机构信息</w:t>
      </w:r>
      <w:bookmarkEnd w:id="27"/>
      <w:bookmarkEnd w:id="28"/>
      <w:bookmarkEnd w:id="29"/>
      <w:bookmarkEnd w:id="30"/>
      <w:bookmarkStart w:id="31" w:name="_Toc35393639"/>
      <w:bookmarkStart w:id="32" w:name="_Toc28359021"/>
      <w:bookmarkStart w:id="33" w:name="_Toc35393808"/>
      <w:bookmarkStart w:id="34" w:name="_Toc28359098"/>
    </w:p>
    <w:p w14:paraId="324D95C1">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名 称：广西德元工程项目管理有限责任公司            </w:t>
      </w:r>
    </w:p>
    <w:p w14:paraId="4888A9F3">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地 址：南宁市良庆区凯旋路15号绿地中心七号楼八楼              </w:t>
      </w:r>
    </w:p>
    <w:p w14:paraId="1ED2D7C6">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项目联系人：李丹             </w:t>
      </w:r>
    </w:p>
    <w:p w14:paraId="4D92F4F5">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项目联系方式：0771-8028710 </w:t>
      </w:r>
      <w:bookmarkEnd w:id="31"/>
      <w:bookmarkEnd w:id="32"/>
      <w:bookmarkEnd w:id="33"/>
      <w:bookmarkEnd w:id="34"/>
    </w:p>
    <w:p w14:paraId="104A5C6C">
      <w:pPr>
        <w:keepNext w:val="0"/>
        <w:keepLines w:val="0"/>
        <w:pageBreakBefore w:val="0"/>
        <w:bidi w:val="0"/>
        <w:spacing w:line="480" w:lineRule="exact"/>
        <w:ind w:firstLine="42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　　</w:t>
      </w:r>
    </w:p>
    <w:p w14:paraId="5DC958C3">
      <w:pPr>
        <w:keepNext w:val="0"/>
        <w:keepLines w:val="0"/>
        <w:pageBreakBefore w:val="0"/>
        <w:bidi w:val="0"/>
        <w:spacing w:line="480" w:lineRule="exact"/>
        <w:ind w:firstLine="3360"/>
        <w:jc w:val="left"/>
        <w:rPr>
          <w:rFonts w:hint="eastAsia" w:ascii="宋体" w:hAnsi="宋体" w:eastAsia="宋体" w:cs="宋体"/>
          <w:sz w:val="21"/>
          <w:szCs w:val="21"/>
          <w:highlight w:val="none"/>
        </w:rPr>
      </w:pPr>
    </w:p>
    <w:p w14:paraId="31E5D7CB">
      <w:pPr>
        <w:keepNext w:val="0"/>
        <w:keepLines w:val="0"/>
        <w:pageBreakBefore w:val="0"/>
        <w:bidi w:val="0"/>
        <w:spacing w:line="360" w:lineRule="auto"/>
        <w:ind w:firstLine="3780"/>
        <w:jc w:val="left"/>
        <w:rPr>
          <w:rFonts w:hint="eastAsia" w:ascii="宋体" w:hAnsi="宋体" w:eastAsia="宋体" w:cs="宋体"/>
          <w:sz w:val="21"/>
          <w:szCs w:val="21"/>
          <w:highlight w:val="none"/>
        </w:rPr>
      </w:pPr>
      <w:r>
        <w:rPr>
          <w:rFonts w:hint="eastAsia" w:ascii="宋体" w:hAnsi="宋体" w:eastAsia="宋体" w:cs="宋体"/>
          <w:sz w:val="21"/>
          <w:szCs w:val="21"/>
          <w:highlight w:val="none"/>
        </w:rPr>
        <w:t>广西德元工程项目管理有限责任公司</w:t>
      </w:r>
    </w:p>
    <w:p w14:paraId="3286A633">
      <w:pPr>
        <w:pStyle w:val="18"/>
        <w:spacing w:line="360" w:lineRule="auto"/>
        <w:ind w:firstLine="420"/>
        <w:jc w:val="center"/>
        <w:rPr>
          <w:rFonts w:hint="eastAsia" w:ascii="宋体" w:hAnsi="宋体" w:eastAsia="宋体" w:cs="宋体"/>
          <w:sz w:val="21"/>
          <w:szCs w:val="21"/>
          <w:highlight w:val="none"/>
          <w:u w:val="single"/>
        </w:rPr>
        <w:sectPr>
          <w:headerReference r:id="rId5" w:type="default"/>
          <w:footerReference r:id="rId6" w:type="default"/>
          <w:pgSz w:w="11906" w:h="16838"/>
          <w:pgMar w:top="1134" w:right="1312" w:bottom="1134" w:left="1554" w:header="720" w:footer="720" w:gutter="0"/>
          <w:pgNumType w:start="1"/>
          <w:cols w:space="720" w:num="1"/>
        </w:sectPr>
      </w:pPr>
      <w:r>
        <w:rPr>
          <w:rFonts w:hint="eastAsia" w:ascii="宋体" w:hAnsi="宋体" w:eastAsia="宋体" w:cs="宋体"/>
          <w:sz w:val="21"/>
          <w:szCs w:val="21"/>
          <w:highlight w:val="none"/>
        </w:rPr>
        <w:t xml:space="preserve">          202</w:t>
      </w:r>
      <w:r>
        <w:rPr>
          <w:rFonts w:hint="eastAsia" w:ascii="宋体" w:hAnsi="宋体" w:cs="宋体"/>
          <w:sz w:val="21"/>
          <w:szCs w:val="21"/>
          <w:highlight w:val="none"/>
          <w:lang w:val="en-US" w:eastAsia="zh-CN"/>
        </w:rPr>
        <w:t>6</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年</w:t>
      </w:r>
      <w:r>
        <w:rPr>
          <w:rFonts w:hint="eastAsia" w:ascii="宋体" w:hAnsi="宋体" w:eastAsia="宋体" w:cs="宋体"/>
          <w:sz w:val="21"/>
          <w:szCs w:val="21"/>
          <w:highlight w:val="none"/>
          <w:lang w:val="en-US" w:eastAsia="zh-CN"/>
        </w:rPr>
        <w:t xml:space="preserve"> </w:t>
      </w:r>
      <w:r>
        <w:rPr>
          <w:rFonts w:hint="eastAsia" w:ascii="宋体" w:hAnsi="宋体" w:cs="宋体"/>
          <w:sz w:val="21"/>
          <w:szCs w:val="21"/>
          <w:highlight w:val="none"/>
          <w:lang w:val="en-US" w:eastAsia="zh-CN"/>
        </w:rPr>
        <w:t>7</w:t>
      </w:r>
      <w:r>
        <w:rPr>
          <w:rFonts w:hint="eastAsia" w:ascii="宋体" w:hAnsi="宋体" w:eastAsia="宋体" w:cs="宋体"/>
          <w:sz w:val="21"/>
          <w:szCs w:val="21"/>
          <w:highlight w:val="none"/>
          <w:lang w:val="en-US" w:eastAsia="zh-CN"/>
        </w:rPr>
        <w:t xml:space="preserve"> </w:t>
      </w:r>
      <w:r>
        <w:rPr>
          <w:rFonts w:hint="eastAsia" w:ascii="宋体" w:hAnsi="宋体" w:eastAsia="宋体" w:cs="宋体"/>
          <w:sz w:val="21"/>
          <w:szCs w:val="21"/>
          <w:highlight w:val="none"/>
        </w:rPr>
        <w:t>月</w:t>
      </w:r>
      <w:r>
        <w:rPr>
          <w:rFonts w:hint="eastAsia" w:ascii="宋体" w:hAnsi="宋体" w:cs="宋体"/>
          <w:sz w:val="21"/>
          <w:szCs w:val="21"/>
          <w:highlight w:val="none"/>
          <w:lang w:val="en-US" w:eastAsia="zh-CN"/>
        </w:rPr>
        <w:t xml:space="preserve"> 7 </w:t>
      </w:r>
      <w:r>
        <w:rPr>
          <w:rFonts w:hint="eastAsia" w:ascii="宋体" w:hAnsi="宋体" w:eastAsia="宋体" w:cs="宋体"/>
          <w:sz w:val="21"/>
          <w:szCs w:val="21"/>
          <w:highlight w:val="none"/>
        </w:rPr>
        <w:t>日</w:t>
      </w:r>
      <w:bookmarkEnd w:id="21"/>
      <w:bookmarkEnd w:id="22"/>
    </w:p>
    <w:p w14:paraId="796E54D6">
      <w:pPr>
        <w:pStyle w:val="3"/>
        <w:spacing w:before="0" w:after="0" w:line="600" w:lineRule="auto"/>
        <w:jc w:val="center"/>
        <w:rPr>
          <w:rFonts w:ascii="宋体" w:hAnsi="宋体" w:cs="Arial"/>
          <w:szCs w:val="21"/>
          <w:highlight w:val="none"/>
          <w:u w:val="single"/>
        </w:rPr>
      </w:pPr>
      <w:bookmarkStart w:id="35" w:name="_Toc1176"/>
      <w:bookmarkStart w:id="36" w:name="_Toc120174189"/>
      <w:bookmarkStart w:id="37" w:name="_Toc32580"/>
      <w:bookmarkStart w:id="38" w:name="PO_TDCUS_ITEM_PB_REQ_FILE_1_1_1"/>
      <w:r>
        <w:rPr>
          <w:rFonts w:hint="eastAsia" w:ascii="宋体" w:hAnsi="宋体" w:cs="宋体"/>
          <w:bCs w:val="0"/>
          <w:sz w:val="32"/>
          <w:szCs w:val="32"/>
          <w:highlight w:val="none"/>
        </w:rPr>
        <w:t>第二章</w:t>
      </w:r>
      <w:r>
        <w:rPr>
          <w:rFonts w:hint="eastAsia" w:ascii="宋体" w:hAnsi="宋体" w:cs="宋体"/>
          <w:bCs w:val="0"/>
          <w:sz w:val="32"/>
          <w:szCs w:val="32"/>
          <w:highlight w:val="none"/>
          <w:lang w:val="en-US" w:eastAsia="zh-CN"/>
        </w:rPr>
        <w:t xml:space="preserve">  </w:t>
      </w:r>
      <w:r>
        <w:rPr>
          <w:rFonts w:hint="eastAsia" w:ascii="宋体" w:hAnsi="宋体" w:cs="宋体"/>
          <w:bCs w:val="0"/>
          <w:sz w:val="32"/>
          <w:szCs w:val="32"/>
          <w:highlight w:val="none"/>
        </w:rPr>
        <w:t>采购需求</w:t>
      </w:r>
      <w:bookmarkEnd w:id="35"/>
      <w:bookmarkEnd w:id="36"/>
      <w:bookmarkEnd w:id="37"/>
      <w:r>
        <w:rPr>
          <w:highlight w:val="none"/>
        </w:rPr>
        <w:t>﻿</w:t>
      </w:r>
    </w:p>
    <w:tbl>
      <w:tblPr>
        <w:tblStyle w:val="56"/>
        <w:tblW w:w="9328" w:type="dxa"/>
        <w:jc w:val="center"/>
        <w:tblBorders>
          <w:top w:val="single" w:color="auto" w:sz="4" w:space="0"/>
          <w:left w:val="single" w:color="auto" w:sz="4" w:space="0"/>
          <w:bottom w:val="single" w:color="auto" w:sz="4" w:space="0"/>
          <w:right w:val="single" w:color="auto" w:sz="4" w:space="0"/>
          <w:insideH w:val="none" w:color="auto" w:sz="0" w:space="0"/>
          <w:insideV w:val="none" w:color="auto" w:sz="0" w:space="0"/>
        </w:tblBorders>
        <w:tblLayout w:type="fixed"/>
        <w:tblCellMar>
          <w:top w:w="0" w:type="dxa"/>
          <w:left w:w="108" w:type="dxa"/>
          <w:bottom w:w="0" w:type="dxa"/>
          <w:right w:w="108" w:type="dxa"/>
        </w:tblCellMar>
      </w:tblPr>
      <w:tblGrid>
        <w:gridCol w:w="1312"/>
        <w:gridCol w:w="840"/>
        <w:gridCol w:w="7176"/>
      </w:tblGrid>
      <w:tr w14:paraId="3124A408">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35" w:hRule="atLeast"/>
          <w:jc w:val="center"/>
        </w:trPr>
        <w:tc>
          <w:tcPr>
            <w:tcW w:w="9328" w:type="dxa"/>
            <w:gridSpan w:val="3"/>
            <w:tcBorders>
              <w:top w:val="single" w:color="auto" w:sz="4" w:space="0"/>
              <w:left w:val="single" w:color="auto" w:sz="4" w:space="0"/>
              <w:right w:val="single" w:color="auto" w:sz="4" w:space="0"/>
            </w:tcBorders>
            <w:noWrap w:val="0"/>
            <w:vAlign w:val="center"/>
          </w:tcPr>
          <w:p w14:paraId="52D0F1C5">
            <w:pPr>
              <w:keepNext w:val="0"/>
              <w:keepLines w:val="0"/>
              <w:suppressLineNumbers w:val="0"/>
              <w:spacing w:before="0" w:beforeAutospacing="0" w:after="0" w:afterAutospacing="0" w:line="440" w:lineRule="exact"/>
              <w:ind w:left="0" w:right="0"/>
              <w:jc w:val="center"/>
              <w:rPr>
                <w:rFonts w:hint="eastAsia" w:ascii="宋体" w:hAnsi="宋体" w:cs="宋体"/>
                <w:b/>
                <w:sz w:val="24"/>
                <w:highlight w:val="none"/>
              </w:rPr>
            </w:pPr>
            <w:r>
              <w:rPr>
                <w:rFonts w:hint="eastAsia" w:ascii="宋体" w:hAnsi="宋体" w:cs="宋体"/>
                <w:b/>
                <w:sz w:val="32"/>
                <w:szCs w:val="32"/>
                <w:highlight w:val="none"/>
              </w:rPr>
              <w:t>采购需求一览表</w:t>
            </w:r>
          </w:p>
        </w:tc>
      </w:tr>
      <w:tr w14:paraId="4D7E46AD">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815" w:hRule="atLeast"/>
          <w:jc w:val="center"/>
        </w:trPr>
        <w:tc>
          <w:tcPr>
            <w:tcW w:w="1312" w:type="dxa"/>
            <w:tcBorders>
              <w:top w:val="single" w:color="auto" w:sz="4" w:space="0"/>
              <w:left w:val="single" w:color="auto" w:sz="4" w:space="0"/>
              <w:bottom w:val="single" w:color="auto" w:sz="4" w:space="0"/>
              <w:right w:val="single" w:color="auto" w:sz="4" w:space="0"/>
            </w:tcBorders>
            <w:noWrap w:val="0"/>
            <w:vAlign w:val="center"/>
          </w:tcPr>
          <w:p w14:paraId="67034E77">
            <w:pPr>
              <w:keepNext w:val="0"/>
              <w:keepLines w:val="0"/>
              <w:suppressLineNumbers w:val="0"/>
              <w:spacing w:before="0" w:beforeAutospacing="0" w:after="0" w:afterAutospacing="0" w:line="440" w:lineRule="exact"/>
              <w:ind w:left="0" w:right="0"/>
              <w:jc w:val="center"/>
              <w:rPr>
                <w:rFonts w:hint="eastAsia" w:ascii="宋体" w:hAnsi="宋体" w:cs="宋体"/>
                <w:b/>
                <w:highlight w:val="none"/>
              </w:rPr>
            </w:pPr>
            <w:r>
              <w:rPr>
                <w:rFonts w:hint="eastAsia" w:ascii="宋体" w:hAnsi="宋体" w:cs="宋体"/>
                <w:b/>
                <w:highlight w:val="none"/>
              </w:rPr>
              <w:t>标的的名称</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2DBB2D8B">
            <w:pPr>
              <w:keepNext w:val="0"/>
              <w:keepLines w:val="0"/>
              <w:suppressLineNumbers w:val="0"/>
              <w:spacing w:before="0" w:beforeAutospacing="0" w:after="0" w:afterAutospacing="0" w:line="440" w:lineRule="exact"/>
              <w:ind w:left="0" w:right="0"/>
              <w:jc w:val="center"/>
              <w:rPr>
                <w:rFonts w:hint="eastAsia" w:ascii="宋体" w:hAnsi="宋体" w:cs="宋体"/>
                <w:b/>
                <w:highlight w:val="none"/>
              </w:rPr>
            </w:pPr>
            <w:r>
              <w:rPr>
                <w:rFonts w:hint="eastAsia" w:ascii="宋体" w:hAnsi="宋体" w:cs="宋体"/>
                <w:b/>
                <w:highlight w:val="none"/>
              </w:rPr>
              <w:t>数量/单位</w:t>
            </w:r>
          </w:p>
        </w:tc>
        <w:tc>
          <w:tcPr>
            <w:tcW w:w="7176" w:type="dxa"/>
            <w:tcBorders>
              <w:top w:val="single" w:color="auto" w:sz="4" w:space="0"/>
              <w:left w:val="single" w:color="auto" w:sz="4" w:space="0"/>
              <w:bottom w:val="single" w:color="auto" w:sz="4" w:space="0"/>
              <w:right w:val="single" w:color="auto" w:sz="4" w:space="0"/>
            </w:tcBorders>
            <w:noWrap w:val="0"/>
            <w:vAlign w:val="center"/>
          </w:tcPr>
          <w:p w14:paraId="1026C060">
            <w:pPr>
              <w:keepNext w:val="0"/>
              <w:keepLines w:val="0"/>
              <w:suppressLineNumbers w:val="0"/>
              <w:spacing w:before="0" w:beforeAutospacing="0" w:after="0" w:afterAutospacing="0" w:line="440" w:lineRule="exact"/>
              <w:ind w:left="0" w:right="0"/>
              <w:jc w:val="center"/>
              <w:rPr>
                <w:rFonts w:hint="eastAsia" w:ascii="宋体" w:hAnsi="宋体" w:cs="宋体"/>
                <w:b/>
                <w:sz w:val="24"/>
                <w:highlight w:val="none"/>
              </w:rPr>
            </w:pPr>
            <w:r>
              <w:rPr>
                <w:rFonts w:hint="eastAsia" w:ascii="宋体" w:hAnsi="宋体" w:cs="宋体"/>
                <w:szCs w:val="21"/>
                <w:highlight w:val="none"/>
              </w:rPr>
              <w:t>▲</w:t>
            </w:r>
            <w:r>
              <w:rPr>
                <w:rFonts w:hint="eastAsia" w:ascii="宋体" w:hAnsi="宋体" w:cs="宋体"/>
                <w:b/>
                <w:highlight w:val="none"/>
              </w:rPr>
              <w:t>采购清单</w:t>
            </w:r>
            <w:r>
              <w:rPr>
                <w:rFonts w:hint="default" w:ascii="宋体" w:hAnsi="宋体" w:cs="宋体"/>
                <w:b/>
                <w:highlight w:val="none"/>
              </w:rPr>
              <w:t>及技术参数</w:t>
            </w:r>
          </w:p>
        </w:tc>
      </w:tr>
      <w:tr w14:paraId="0E14BDEF">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36" w:hRule="atLeast"/>
          <w:jc w:val="center"/>
        </w:trPr>
        <w:tc>
          <w:tcPr>
            <w:tcW w:w="1312" w:type="dxa"/>
            <w:tcBorders>
              <w:top w:val="single" w:color="auto" w:sz="4" w:space="0"/>
              <w:left w:val="single" w:color="auto" w:sz="4" w:space="0"/>
              <w:bottom w:val="single" w:color="auto" w:sz="4" w:space="0"/>
              <w:right w:val="single" w:color="auto" w:sz="4" w:space="0"/>
            </w:tcBorders>
            <w:noWrap w:val="0"/>
            <w:vAlign w:val="center"/>
          </w:tcPr>
          <w:p w14:paraId="435FB09B">
            <w:pPr>
              <w:keepNext w:val="0"/>
              <w:keepLines w:val="0"/>
              <w:suppressLineNumbers w:val="0"/>
              <w:spacing w:before="0" w:beforeAutospacing="0" w:after="0" w:afterAutospacing="0" w:line="440" w:lineRule="exact"/>
              <w:ind w:left="0" w:right="0"/>
              <w:jc w:val="center"/>
              <w:rPr>
                <w:rFonts w:hint="eastAsia" w:ascii="宋体" w:hAnsi="宋体" w:eastAsia="宋体" w:cs="宋体"/>
                <w:highlight w:val="none"/>
                <w:lang w:eastAsia="zh-CN"/>
              </w:rPr>
            </w:pPr>
            <w:r>
              <w:rPr>
                <w:rFonts w:hint="eastAsia" w:ascii="宋体" w:hAnsi="宋体" w:cs="宋体"/>
                <w:highlight w:val="none"/>
                <w:lang w:eastAsia="zh-CN"/>
              </w:rPr>
              <w:t>2026级本科生新生宿舍修缮项目</w:t>
            </w:r>
          </w:p>
        </w:tc>
        <w:tc>
          <w:tcPr>
            <w:tcW w:w="840" w:type="dxa"/>
            <w:tcBorders>
              <w:top w:val="single" w:color="auto" w:sz="4" w:space="0"/>
              <w:left w:val="single" w:color="auto" w:sz="4" w:space="0"/>
              <w:bottom w:val="single" w:color="auto" w:sz="4" w:space="0"/>
              <w:right w:val="single" w:color="auto" w:sz="4" w:space="0"/>
            </w:tcBorders>
            <w:noWrap w:val="0"/>
            <w:vAlign w:val="center"/>
          </w:tcPr>
          <w:p w14:paraId="05931456">
            <w:pPr>
              <w:keepNext w:val="0"/>
              <w:keepLines w:val="0"/>
              <w:suppressLineNumbers w:val="0"/>
              <w:spacing w:before="0" w:beforeAutospacing="0" w:after="0" w:afterAutospacing="0" w:line="440" w:lineRule="exact"/>
              <w:ind w:left="0" w:right="0"/>
              <w:jc w:val="center"/>
              <w:rPr>
                <w:rFonts w:hint="eastAsia" w:ascii="宋体" w:hAnsi="宋体" w:cs="宋体"/>
                <w:highlight w:val="none"/>
              </w:rPr>
            </w:pPr>
            <w:r>
              <w:rPr>
                <w:rFonts w:hint="eastAsia" w:ascii="宋体" w:hAnsi="宋体" w:cs="宋体"/>
                <w:highlight w:val="none"/>
              </w:rPr>
              <w:t>1项</w:t>
            </w:r>
          </w:p>
        </w:tc>
        <w:tc>
          <w:tcPr>
            <w:tcW w:w="7176" w:type="dxa"/>
            <w:tcBorders>
              <w:top w:val="single" w:color="auto" w:sz="4" w:space="0"/>
              <w:left w:val="single" w:color="auto" w:sz="4" w:space="0"/>
              <w:bottom w:val="single" w:color="auto" w:sz="4" w:space="0"/>
              <w:right w:val="single" w:color="auto" w:sz="4" w:space="0"/>
            </w:tcBorders>
            <w:noWrap w:val="0"/>
            <w:vAlign w:val="top"/>
          </w:tcPr>
          <w:p w14:paraId="1DF88A6C">
            <w:pPr>
              <w:pStyle w:val="18"/>
              <w:keepNext w:val="0"/>
              <w:keepLines w:val="0"/>
              <w:suppressLineNumbers w:val="0"/>
              <w:spacing w:before="0" w:beforeAutospacing="0" w:after="0" w:afterAutospacing="0" w:line="360" w:lineRule="auto"/>
              <w:ind w:left="0" w:right="0"/>
              <w:rPr>
                <w:rFonts w:hint="eastAsia" w:ascii="宋体" w:hAnsi="宋体" w:cs="宋体"/>
                <w:b/>
                <w:sz w:val="21"/>
                <w:szCs w:val="21"/>
                <w:highlight w:val="none"/>
              </w:rPr>
            </w:pPr>
            <w:r>
              <w:rPr>
                <w:rFonts w:hint="eastAsia" w:ascii="宋体" w:hAnsi="宋体" w:cs="宋体"/>
                <w:b/>
                <w:sz w:val="21"/>
                <w:szCs w:val="21"/>
                <w:highlight w:val="none"/>
              </w:rPr>
              <w:t>一、项目概况</w:t>
            </w:r>
          </w:p>
          <w:p w14:paraId="720A04BF">
            <w:pPr>
              <w:pStyle w:val="18"/>
              <w:keepNext w:val="0"/>
              <w:keepLines w:val="0"/>
              <w:suppressLineNumbers w:val="0"/>
              <w:spacing w:before="0" w:beforeAutospacing="0" w:after="0" w:afterAutospacing="0" w:line="360" w:lineRule="auto"/>
              <w:ind w:left="0" w:right="0" w:firstLine="422"/>
              <w:rPr>
                <w:rFonts w:hint="eastAsia" w:ascii="宋体" w:hAnsi="宋体" w:cs="宋体"/>
                <w:sz w:val="21"/>
                <w:szCs w:val="21"/>
                <w:highlight w:val="none"/>
              </w:rPr>
            </w:pPr>
            <w:r>
              <w:rPr>
                <w:rFonts w:hint="eastAsia" w:ascii="宋体" w:hAnsi="宋体" w:cs="宋体"/>
                <w:b/>
                <w:sz w:val="21"/>
                <w:szCs w:val="21"/>
                <w:highlight w:val="none"/>
              </w:rPr>
              <w:t>建设单位：</w:t>
            </w:r>
            <w:r>
              <w:rPr>
                <w:rFonts w:hint="eastAsia" w:ascii="宋体" w:hAnsi="宋体" w:cs="宋体"/>
                <w:bCs/>
                <w:sz w:val="21"/>
                <w:szCs w:val="21"/>
                <w:highlight w:val="none"/>
              </w:rPr>
              <w:t>广西医科大学</w:t>
            </w:r>
          </w:p>
          <w:p w14:paraId="0F21D1EE">
            <w:pPr>
              <w:pStyle w:val="18"/>
              <w:keepNext w:val="0"/>
              <w:keepLines w:val="0"/>
              <w:suppressLineNumbers w:val="0"/>
              <w:spacing w:before="0" w:beforeAutospacing="0" w:after="0" w:afterAutospacing="0" w:line="360" w:lineRule="auto"/>
              <w:ind w:left="0" w:right="0" w:firstLine="422"/>
              <w:rPr>
                <w:rFonts w:hint="eastAsia" w:ascii="宋体" w:hAnsi="宋体" w:cs="宋体"/>
                <w:bCs/>
                <w:sz w:val="21"/>
                <w:szCs w:val="21"/>
                <w:highlight w:val="none"/>
              </w:rPr>
            </w:pPr>
            <w:r>
              <w:rPr>
                <w:rFonts w:hint="eastAsia" w:ascii="宋体" w:hAnsi="宋体" w:cs="宋体"/>
                <w:b/>
                <w:sz w:val="21"/>
                <w:szCs w:val="21"/>
                <w:highlight w:val="none"/>
              </w:rPr>
              <w:t>项目</w:t>
            </w:r>
            <w:r>
              <w:rPr>
                <w:rFonts w:hint="default" w:ascii="宋体" w:hAnsi="宋体" w:cs="宋体"/>
                <w:b/>
                <w:sz w:val="21"/>
                <w:szCs w:val="21"/>
                <w:highlight w:val="none"/>
              </w:rPr>
              <w:t>概况</w:t>
            </w:r>
            <w:r>
              <w:rPr>
                <w:rFonts w:hint="eastAsia" w:ascii="宋体" w:hAnsi="宋体" w:cs="宋体"/>
                <w:b/>
                <w:sz w:val="21"/>
                <w:szCs w:val="21"/>
                <w:highlight w:val="none"/>
              </w:rPr>
              <w:t>：</w:t>
            </w:r>
            <w:r>
              <w:rPr>
                <w:rFonts w:hint="eastAsia" w:ascii="宋体" w:hAnsi="宋体" w:cs="宋体"/>
                <w:b w:val="0"/>
                <w:bCs/>
                <w:sz w:val="21"/>
                <w:szCs w:val="21"/>
                <w:highlight w:val="none"/>
                <w:lang w:eastAsia="zh-CN"/>
              </w:rPr>
              <w:t>2026级本科生新生宿舍修缮项目工程量清单范围内的墙面、天面修缮等内容</w:t>
            </w:r>
            <w:r>
              <w:rPr>
                <w:rFonts w:hint="eastAsia" w:ascii="宋体" w:hAnsi="宋体" w:cs="宋体"/>
                <w:b w:val="0"/>
                <w:bCs/>
                <w:sz w:val="21"/>
                <w:szCs w:val="21"/>
                <w:highlight w:val="none"/>
              </w:rPr>
              <w:t>。具体详见施工</w:t>
            </w:r>
            <w:r>
              <w:rPr>
                <w:rFonts w:hint="eastAsia" w:ascii="宋体" w:hAnsi="宋体" w:cs="宋体"/>
                <w:b w:val="0"/>
                <w:bCs/>
                <w:sz w:val="21"/>
                <w:szCs w:val="21"/>
                <w:highlight w:val="none"/>
                <w:lang w:val="en-US" w:eastAsia="zh-CN"/>
              </w:rPr>
              <w:t>方案</w:t>
            </w:r>
            <w:r>
              <w:rPr>
                <w:rFonts w:hint="eastAsia" w:ascii="宋体" w:hAnsi="宋体" w:cs="宋体"/>
                <w:b w:val="0"/>
                <w:bCs/>
                <w:sz w:val="21"/>
                <w:szCs w:val="21"/>
                <w:highlight w:val="none"/>
              </w:rPr>
              <w:t>和工程量清单要求范围内所有内容</w:t>
            </w:r>
            <w:r>
              <w:rPr>
                <w:rFonts w:hint="eastAsia" w:ascii="宋体" w:hAnsi="宋体" w:cs="宋体"/>
                <w:bCs/>
                <w:sz w:val="21"/>
                <w:szCs w:val="21"/>
                <w:highlight w:val="none"/>
              </w:rPr>
              <w:t>。</w:t>
            </w:r>
          </w:p>
          <w:p w14:paraId="10208EDB">
            <w:pPr>
              <w:pStyle w:val="18"/>
              <w:keepNext w:val="0"/>
              <w:keepLines w:val="0"/>
              <w:suppressLineNumbers w:val="0"/>
              <w:spacing w:before="0" w:beforeAutospacing="0" w:after="0" w:afterAutospacing="0" w:line="360" w:lineRule="auto"/>
              <w:ind w:left="0" w:right="0" w:firstLine="422"/>
              <w:rPr>
                <w:rFonts w:hint="eastAsia" w:ascii="宋体" w:hAnsi="宋体" w:cs="宋体"/>
                <w:sz w:val="21"/>
                <w:szCs w:val="21"/>
                <w:highlight w:val="none"/>
              </w:rPr>
            </w:pPr>
            <w:r>
              <w:rPr>
                <w:rFonts w:hint="eastAsia" w:ascii="宋体" w:hAnsi="宋体" w:cs="宋体"/>
                <w:b/>
                <w:sz w:val="21"/>
                <w:szCs w:val="21"/>
                <w:highlight w:val="none"/>
              </w:rPr>
              <w:t>建设地点：</w:t>
            </w:r>
            <w:r>
              <w:rPr>
                <w:rFonts w:hint="eastAsia" w:ascii="宋体" w:hAnsi="宋体" w:cs="宋体"/>
                <w:bCs/>
                <w:sz w:val="21"/>
                <w:szCs w:val="21"/>
                <w:highlight w:val="none"/>
              </w:rPr>
              <w:t>广西医科大学</w:t>
            </w:r>
            <w:r>
              <w:rPr>
                <w:rFonts w:hint="eastAsia" w:ascii="宋体" w:hAnsi="宋体" w:cs="宋体"/>
                <w:bCs/>
                <w:sz w:val="21"/>
                <w:szCs w:val="21"/>
                <w:highlight w:val="none"/>
                <w:lang w:val="en-US" w:eastAsia="zh-CN"/>
              </w:rPr>
              <w:t>武鸣校区</w:t>
            </w:r>
            <w:r>
              <w:rPr>
                <w:rFonts w:hint="eastAsia" w:ascii="宋体" w:hAnsi="宋体" w:cs="宋体"/>
                <w:sz w:val="21"/>
                <w:szCs w:val="21"/>
                <w:highlight w:val="none"/>
              </w:rPr>
              <w:t>。</w:t>
            </w:r>
          </w:p>
          <w:p w14:paraId="241DD31F">
            <w:pPr>
              <w:pStyle w:val="18"/>
              <w:keepNext w:val="0"/>
              <w:keepLines w:val="0"/>
              <w:suppressLineNumbers w:val="0"/>
              <w:spacing w:before="0" w:beforeAutospacing="0" w:after="0" w:afterAutospacing="0" w:line="360" w:lineRule="auto"/>
              <w:ind w:left="0" w:right="0" w:firstLine="422"/>
              <w:rPr>
                <w:rFonts w:hint="eastAsia" w:ascii="宋体" w:hAnsi="宋体" w:eastAsia="宋体" w:cs="宋体"/>
                <w:sz w:val="21"/>
                <w:szCs w:val="21"/>
                <w:highlight w:val="none"/>
                <w:lang w:eastAsia="zh-CN"/>
              </w:rPr>
            </w:pPr>
            <w:r>
              <w:rPr>
                <w:rFonts w:hint="eastAsia" w:ascii="宋体" w:hAnsi="宋体" w:cs="宋体"/>
                <w:b/>
                <w:sz w:val="21"/>
                <w:szCs w:val="21"/>
                <w:highlight w:val="none"/>
              </w:rPr>
              <w:t>要求工期：</w:t>
            </w:r>
            <w:r>
              <w:rPr>
                <w:rFonts w:hint="eastAsia" w:ascii="宋体" w:hAnsi="宋体" w:cs="宋体"/>
                <w:sz w:val="21"/>
                <w:szCs w:val="21"/>
                <w:highlight w:val="none"/>
                <w:lang w:val="en-US" w:eastAsia="zh-CN"/>
              </w:rPr>
              <w:t>35个</w:t>
            </w:r>
            <w:r>
              <w:rPr>
                <w:rFonts w:hint="eastAsia" w:ascii="宋体" w:hAnsi="宋体" w:cs="宋体"/>
                <w:sz w:val="21"/>
                <w:szCs w:val="21"/>
                <w:highlight w:val="none"/>
              </w:rPr>
              <w:t>日历天</w:t>
            </w:r>
            <w:r>
              <w:rPr>
                <w:rFonts w:hint="eastAsia" w:ascii="宋体" w:hAnsi="宋体" w:cs="宋体"/>
                <w:sz w:val="21"/>
                <w:szCs w:val="21"/>
                <w:highlight w:val="none"/>
                <w:lang w:eastAsia="zh-CN"/>
              </w:rPr>
              <w:t>。</w:t>
            </w:r>
          </w:p>
          <w:p w14:paraId="45A3D481">
            <w:pPr>
              <w:pStyle w:val="18"/>
              <w:keepNext w:val="0"/>
              <w:keepLines w:val="0"/>
              <w:suppressLineNumbers w:val="0"/>
              <w:spacing w:before="0" w:beforeAutospacing="0" w:after="0" w:afterAutospacing="0" w:line="360" w:lineRule="auto"/>
              <w:ind w:left="0" w:right="0" w:firstLine="422"/>
              <w:rPr>
                <w:rFonts w:hint="eastAsia" w:ascii="宋体" w:hAnsi="宋体" w:cs="宋体"/>
                <w:sz w:val="21"/>
                <w:szCs w:val="21"/>
                <w:highlight w:val="none"/>
              </w:rPr>
            </w:pPr>
            <w:r>
              <w:rPr>
                <w:rFonts w:hint="eastAsia" w:ascii="宋体" w:hAnsi="宋体" w:cs="宋体"/>
                <w:b/>
                <w:sz w:val="21"/>
                <w:szCs w:val="21"/>
                <w:highlight w:val="none"/>
              </w:rPr>
              <w:t>报价形式：</w:t>
            </w:r>
            <w:r>
              <w:rPr>
                <w:rFonts w:hint="eastAsia" w:ascii="宋体" w:hAnsi="宋体" w:cs="宋体"/>
                <w:sz w:val="21"/>
                <w:szCs w:val="21"/>
                <w:highlight w:val="none"/>
              </w:rPr>
              <w:t>工程量清单报价。</w:t>
            </w:r>
          </w:p>
          <w:p w14:paraId="37205771">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sz w:val="21"/>
                <w:szCs w:val="21"/>
                <w:highlight w:val="none"/>
              </w:rPr>
              <w:t>注：不论磋商结果如何，磋商供应商均应自行承担所有参与竞标有关的全部费用。</w:t>
            </w:r>
          </w:p>
          <w:p w14:paraId="6B714887">
            <w:pPr>
              <w:pStyle w:val="18"/>
              <w:keepNext w:val="0"/>
              <w:keepLines w:val="0"/>
              <w:suppressLineNumbers w:val="0"/>
              <w:spacing w:before="0" w:beforeAutospacing="0" w:after="0" w:afterAutospacing="0" w:line="360" w:lineRule="auto"/>
              <w:ind w:left="0" w:right="0" w:firstLine="422"/>
              <w:rPr>
                <w:rFonts w:hint="eastAsia" w:ascii="宋体" w:hAnsi="宋体" w:cs="宋体"/>
                <w:sz w:val="21"/>
                <w:szCs w:val="21"/>
                <w:highlight w:val="none"/>
              </w:rPr>
            </w:pPr>
            <w:r>
              <w:rPr>
                <w:rFonts w:hint="eastAsia" w:ascii="宋体" w:hAnsi="宋体" w:cs="宋体"/>
                <w:b/>
                <w:sz w:val="21"/>
                <w:szCs w:val="21"/>
                <w:highlight w:val="none"/>
              </w:rPr>
              <w:t xml:space="preserve">质量要求: </w:t>
            </w:r>
            <w:r>
              <w:rPr>
                <w:rFonts w:hint="eastAsia" w:ascii="宋体" w:hAnsi="宋体" w:cs="宋体"/>
                <w:sz w:val="21"/>
                <w:szCs w:val="21"/>
                <w:highlight w:val="none"/>
              </w:rPr>
              <w:t>符合国家、建设部现行有关标准、规范要求，工程质量达到国家及行业现行施工验收规范合格标准。</w:t>
            </w:r>
          </w:p>
          <w:p w14:paraId="4D91884F">
            <w:pPr>
              <w:pStyle w:val="18"/>
              <w:keepNext w:val="0"/>
              <w:keepLines w:val="0"/>
              <w:suppressLineNumbers w:val="0"/>
              <w:spacing w:before="0" w:beforeAutospacing="0" w:after="0" w:afterAutospacing="0" w:line="360" w:lineRule="auto"/>
              <w:ind w:left="0" w:right="0" w:firstLine="422"/>
              <w:rPr>
                <w:rFonts w:hint="eastAsia" w:ascii="宋体" w:hAnsi="宋体" w:cs="宋体"/>
                <w:sz w:val="21"/>
                <w:szCs w:val="21"/>
                <w:highlight w:val="none"/>
              </w:rPr>
            </w:pPr>
            <w:r>
              <w:rPr>
                <w:rFonts w:hint="eastAsia" w:ascii="宋体" w:hAnsi="宋体" w:cs="宋体"/>
                <w:b/>
                <w:bCs/>
                <w:sz w:val="21"/>
                <w:szCs w:val="21"/>
                <w:highlight w:val="none"/>
              </w:rPr>
              <w:t>所属行业：</w:t>
            </w:r>
            <w:r>
              <w:rPr>
                <w:rFonts w:hint="eastAsia" w:ascii="宋体" w:hAnsi="宋体" w:cs="宋体"/>
                <w:sz w:val="21"/>
                <w:szCs w:val="21"/>
                <w:highlight w:val="none"/>
              </w:rPr>
              <w:t>建筑业</w:t>
            </w:r>
          </w:p>
          <w:p w14:paraId="3A3601DA">
            <w:pPr>
              <w:pStyle w:val="18"/>
              <w:keepNext w:val="0"/>
              <w:keepLines w:val="0"/>
              <w:suppressLineNumbers w:val="0"/>
              <w:spacing w:before="0" w:beforeAutospacing="0" w:after="0" w:afterAutospacing="0" w:line="360" w:lineRule="auto"/>
              <w:ind w:left="0" w:right="0"/>
              <w:rPr>
                <w:rFonts w:hint="eastAsia" w:ascii="宋体" w:hAnsi="宋体" w:cs="宋体"/>
                <w:b/>
                <w:sz w:val="21"/>
                <w:szCs w:val="21"/>
                <w:highlight w:val="none"/>
              </w:rPr>
            </w:pPr>
            <w:r>
              <w:rPr>
                <w:rFonts w:hint="eastAsia" w:ascii="宋体" w:hAnsi="宋体" w:cs="宋体"/>
                <w:b/>
                <w:sz w:val="21"/>
                <w:szCs w:val="21"/>
                <w:highlight w:val="none"/>
              </w:rPr>
              <w:t>二、工程量清单</w:t>
            </w:r>
          </w:p>
          <w:p w14:paraId="4FC26C10">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sz w:val="21"/>
                <w:szCs w:val="21"/>
                <w:highlight w:val="none"/>
              </w:rPr>
              <w:t>另册发放（供应商通过广西政府采购云平台https://www.gcy.zfcg.gxzf.gov.cn/ 在线获取）</w:t>
            </w:r>
          </w:p>
          <w:p w14:paraId="18485F63">
            <w:pPr>
              <w:pStyle w:val="18"/>
              <w:keepNext w:val="0"/>
              <w:keepLines w:val="0"/>
              <w:suppressLineNumbers w:val="0"/>
              <w:spacing w:before="0" w:beforeAutospacing="0" w:after="0" w:afterAutospacing="0" w:line="360" w:lineRule="auto"/>
              <w:ind w:left="0" w:right="0"/>
              <w:rPr>
                <w:rFonts w:hint="eastAsia" w:ascii="宋体" w:hAnsi="宋体" w:cs="宋体"/>
                <w:b/>
                <w:sz w:val="21"/>
                <w:szCs w:val="21"/>
                <w:highlight w:val="none"/>
              </w:rPr>
            </w:pPr>
            <w:r>
              <w:rPr>
                <w:rFonts w:hint="eastAsia" w:ascii="宋体" w:hAnsi="宋体" w:cs="宋体"/>
                <w:b/>
                <w:sz w:val="21"/>
                <w:szCs w:val="21"/>
                <w:highlight w:val="none"/>
              </w:rPr>
              <w:t>三、</w:t>
            </w:r>
            <w:r>
              <w:rPr>
                <w:rFonts w:hint="eastAsia" w:ascii="宋体" w:hAnsi="宋体" w:cs="宋体"/>
                <w:b w:val="0"/>
                <w:bCs/>
                <w:sz w:val="21"/>
                <w:szCs w:val="21"/>
                <w:highlight w:val="none"/>
              </w:rPr>
              <w:t>施工</w:t>
            </w:r>
            <w:r>
              <w:rPr>
                <w:rFonts w:hint="eastAsia" w:ascii="宋体" w:hAnsi="宋体" w:cs="宋体"/>
                <w:b w:val="0"/>
                <w:bCs/>
                <w:sz w:val="21"/>
                <w:szCs w:val="21"/>
                <w:highlight w:val="none"/>
                <w:lang w:val="en-US" w:eastAsia="zh-CN"/>
              </w:rPr>
              <w:t>方案</w:t>
            </w:r>
          </w:p>
          <w:p w14:paraId="22DEDC34">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sz w:val="21"/>
                <w:szCs w:val="21"/>
                <w:highlight w:val="none"/>
              </w:rPr>
              <w:t>另册发放（供应商通过广西政府采购云平台 https://www.gcy.zfcg.gxzf.gov.cn/在线获取）</w:t>
            </w:r>
          </w:p>
          <w:p w14:paraId="10C0452E">
            <w:pPr>
              <w:pStyle w:val="18"/>
              <w:keepNext w:val="0"/>
              <w:keepLines w:val="0"/>
              <w:suppressLineNumbers w:val="0"/>
              <w:spacing w:before="0" w:beforeAutospacing="0" w:after="0" w:afterAutospacing="0" w:line="360" w:lineRule="auto"/>
              <w:ind w:left="0" w:right="0"/>
              <w:rPr>
                <w:rFonts w:hint="eastAsia" w:ascii="宋体" w:hAnsi="宋体" w:cs="宋体"/>
                <w:b/>
                <w:sz w:val="21"/>
                <w:szCs w:val="21"/>
                <w:highlight w:val="none"/>
              </w:rPr>
            </w:pPr>
            <w:r>
              <w:rPr>
                <w:rFonts w:hint="eastAsia" w:ascii="宋体" w:hAnsi="宋体" w:cs="宋体"/>
                <w:b/>
                <w:sz w:val="21"/>
                <w:szCs w:val="21"/>
                <w:highlight w:val="none"/>
              </w:rPr>
              <w:t>四、技术标准和要求</w:t>
            </w:r>
          </w:p>
          <w:p w14:paraId="6918D30C">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sz w:val="21"/>
                <w:szCs w:val="21"/>
                <w:highlight w:val="none"/>
              </w:rPr>
              <w:t>本项目技术规范采用现行国家相关标准、行业标准、</w:t>
            </w:r>
            <w:r>
              <w:rPr>
                <w:rFonts w:hint="default" w:ascii="宋体" w:hAnsi="宋体" w:cs="宋体"/>
                <w:sz w:val="21"/>
                <w:szCs w:val="21"/>
                <w:highlight w:val="none"/>
              </w:rPr>
              <w:t>地方标准</w:t>
            </w:r>
            <w:r>
              <w:rPr>
                <w:rFonts w:hint="eastAsia" w:ascii="宋体" w:hAnsi="宋体" w:cs="宋体"/>
                <w:sz w:val="21"/>
                <w:szCs w:val="21"/>
                <w:highlight w:val="none"/>
              </w:rPr>
              <w:t>或者其他</w:t>
            </w:r>
            <w:r>
              <w:rPr>
                <w:rFonts w:hint="default" w:ascii="宋体" w:hAnsi="宋体" w:cs="宋体"/>
                <w:sz w:val="21"/>
                <w:szCs w:val="21"/>
                <w:highlight w:val="none"/>
              </w:rPr>
              <w:t>标准、规范</w:t>
            </w:r>
            <w:r>
              <w:rPr>
                <w:rFonts w:hint="eastAsia" w:ascii="宋体" w:hAnsi="宋体" w:cs="宋体"/>
                <w:sz w:val="21"/>
                <w:szCs w:val="21"/>
                <w:highlight w:val="none"/>
              </w:rPr>
              <w:t>。</w:t>
            </w:r>
          </w:p>
          <w:p w14:paraId="45A097FF">
            <w:pPr>
              <w:pStyle w:val="18"/>
              <w:keepNext w:val="0"/>
              <w:keepLines w:val="0"/>
              <w:suppressLineNumbers w:val="0"/>
              <w:spacing w:before="0" w:beforeAutospacing="0" w:after="0" w:afterAutospacing="0" w:line="360" w:lineRule="auto"/>
              <w:ind w:left="0" w:right="0"/>
              <w:rPr>
                <w:rFonts w:hint="eastAsia" w:ascii="宋体" w:hAnsi="宋体" w:cs="宋体"/>
                <w:b/>
                <w:sz w:val="21"/>
                <w:szCs w:val="21"/>
                <w:highlight w:val="none"/>
              </w:rPr>
            </w:pPr>
            <w:r>
              <w:rPr>
                <w:rFonts w:hint="eastAsia" w:ascii="宋体" w:hAnsi="宋体" w:cs="宋体"/>
                <w:b/>
                <w:sz w:val="21"/>
                <w:szCs w:val="21"/>
                <w:highlight w:val="none"/>
              </w:rPr>
              <w:t>五、人员要求</w:t>
            </w:r>
          </w:p>
          <w:p w14:paraId="7046081F">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sz w:val="21"/>
                <w:szCs w:val="21"/>
                <w:highlight w:val="none"/>
              </w:rPr>
              <w:t>拟投入本工程的项目经理、安全员</w:t>
            </w:r>
            <w:r>
              <w:rPr>
                <w:rFonts w:hint="eastAsia" w:ascii="宋体" w:hAnsi="宋体" w:cs="宋体"/>
                <w:sz w:val="21"/>
                <w:szCs w:val="21"/>
                <w:highlight w:val="none"/>
                <w:lang w:eastAsia="zh-CN"/>
              </w:rPr>
              <w:t>、施工员、质量员、材料员</w:t>
            </w:r>
            <w:r>
              <w:rPr>
                <w:rFonts w:hint="eastAsia" w:ascii="宋体" w:hAnsi="宋体" w:cs="宋体"/>
                <w:sz w:val="21"/>
                <w:szCs w:val="21"/>
                <w:highlight w:val="none"/>
              </w:rPr>
              <w:t>必须是本单位的在岗人员。</w:t>
            </w:r>
          </w:p>
          <w:p w14:paraId="4C412E3A">
            <w:pPr>
              <w:pStyle w:val="18"/>
              <w:keepNext w:val="0"/>
              <w:keepLines w:val="0"/>
              <w:suppressLineNumbers w:val="0"/>
              <w:spacing w:before="0" w:beforeAutospacing="0" w:after="0" w:afterAutospacing="0" w:line="360" w:lineRule="auto"/>
              <w:ind w:left="0" w:right="0" w:firstLine="420"/>
              <w:rPr>
                <w:rFonts w:hint="eastAsia" w:ascii="宋体" w:hAnsi="宋体" w:cs="宋体"/>
                <w:color w:val="auto"/>
                <w:sz w:val="21"/>
                <w:szCs w:val="21"/>
                <w:highlight w:val="none"/>
              </w:rPr>
            </w:pPr>
            <w:r>
              <w:rPr>
                <w:rFonts w:hint="eastAsia" w:ascii="宋体" w:hAnsi="宋体" w:cs="宋体"/>
                <w:sz w:val="21"/>
                <w:szCs w:val="21"/>
                <w:highlight w:val="none"/>
              </w:rPr>
              <w:t>项目经理持有建筑工程专业二级（含</w:t>
            </w:r>
            <w:r>
              <w:rPr>
                <w:rFonts w:hint="eastAsia" w:ascii="宋体" w:hAnsi="宋体" w:cs="宋体"/>
                <w:sz w:val="21"/>
                <w:szCs w:val="21"/>
                <w:highlight w:val="none"/>
                <w:lang w:val="en-US" w:eastAsia="zh-CN"/>
              </w:rPr>
              <w:t>二级</w:t>
            </w:r>
            <w:r>
              <w:rPr>
                <w:rFonts w:hint="eastAsia" w:ascii="宋体" w:hAnsi="宋体" w:cs="宋体"/>
                <w:sz w:val="21"/>
                <w:szCs w:val="21"/>
                <w:highlight w:val="none"/>
              </w:rPr>
              <w:t>）</w:t>
            </w:r>
            <w:r>
              <w:rPr>
                <w:rFonts w:hint="eastAsia" w:ascii="宋体" w:hAnsi="宋体" w:cs="宋体"/>
                <w:sz w:val="21"/>
                <w:szCs w:val="21"/>
                <w:highlight w:val="none"/>
                <w:lang w:val="en-US" w:eastAsia="zh-CN"/>
              </w:rPr>
              <w:t>以上</w:t>
            </w:r>
            <w:r>
              <w:rPr>
                <w:rFonts w:hint="eastAsia" w:ascii="宋体" w:hAnsi="宋体" w:cs="宋体"/>
                <w:sz w:val="21"/>
                <w:szCs w:val="21"/>
                <w:highlight w:val="none"/>
              </w:rPr>
              <w:t>注册建造师执业资格，具备有效的安全生产考核合格证书（B类）</w:t>
            </w:r>
            <w:r>
              <w:rPr>
                <w:rFonts w:hint="eastAsia" w:ascii="宋体" w:hAnsi="宋体" w:cs="宋体"/>
                <w:sz w:val="21"/>
                <w:szCs w:val="21"/>
                <w:highlight w:val="none"/>
                <w:lang w:eastAsia="zh-CN"/>
              </w:rPr>
              <w:t>，本项目不接受有在建、已中标未开工或已列为其他项目中标（成交）候选人第一名的建造师作为项目经理（符合《广西壮族自治区建筑市场诚信卡管理暂行办法》第十六条第一款及桂建管﹝2016﹞70号、桂建管〔2020〕11号文除外）</w:t>
            </w:r>
            <w:r>
              <w:rPr>
                <w:rFonts w:hint="eastAsia" w:ascii="宋体" w:hAnsi="宋体" w:cs="宋体"/>
                <w:sz w:val="21"/>
                <w:szCs w:val="21"/>
                <w:highlight w:val="none"/>
              </w:rPr>
              <w:t>。</w:t>
            </w:r>
            <w:r>
              <w:rPr>
                <w:rFonts w:hint="eastAsia" w:ascii="宋体" w:hAnsi="宋体" w:cs="宋体"/>
                <w:color w:val="auto"/>
                <w:sz w:val="21"/>
                <w:szCs w:val="21"/>
                <w:highlight w:val="none"/>
              </w:rPr>
              <w:t xml:space="preserve"> </w:t>
            </w:r>
          </w:p>
          <w:p w14:paraId="7D8956D2">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color w:val="auto"/>
                <w:sz w:val="21"/>
                <w:szCs w:val="21"/>
                <w:highlight w:val="none"/>
              </w:rPr>
              <w:t>根据</w:t>
            </w:r>
            <w:r>
              <w:rPr>
                <w:rFonts w:hint="eastAsia" w:ascii="宋体" w:hAnsi="宋体" w:cs="宋体"/>
                <w:sz w:val="21"/>
                <w:szCs w:val="21"/>
                <w:highlight w:val="none"/>
              </w:rPr>
              <w:t>《建筑施工企业安全生产管理机构设置及专职安全生产管理人员配备办法》（建质〔2008〕91号）的规定，</w:t>
            </w:r>
            <w:r>
              <w:rPr>
                <w:rFonts w:hint="eastAsia" w:ascii="宋体" w:hAnsi="宋体" w:cs="宋体"/>
                <w:color w:val="auto"/>
                <w:sz w:val="21"/>
                <w:szCs w:val="21"/>
                <w:highlight w:val="none"/>
              </w:rPr>
              <w:t>配备不少于1名专职安全生产管理人员，</w:t>
            </w:r>
            <w:r>
              <w:rPr>
                <w:rFonts w:hint="eastAsia" w:ascii="宋体" w:hAnsi="宋体" w:cs="宋体"/>
                <w:sz w:val="21"/>
                <w:szCs w:val="21"/>
                <w:highlight w:val="none"/>
              </w:rPr>
              <w:t>具备有效的安全生产考核合格证书（C类）。</w:t>
            </w:r>
          </w:p>
          <w:p w14:paraId="561BD3F4">
            <w:pPr>
              <w:pStyle w:val="18"/>
              <w:keepNext w:val="0"/>
              <w:keepLines w:val="0"/>
              <w:suppressLineNumbers w:val="0"/>
              <w:spacing w:before="0" w:beforeAutospacing="0" w:after="0" w:afterAutospacing="0" w:line="360" w:lineRule="auto"/>
              <w:ind w:left="0" w:right="0" w:firstLine="420"/>
              <w:rPr>
                <w:rFonts w:hint="eastAsia" w:ascii="宋体" w:hAnsi="宋体" w:cs="宋体"/>
                <w:sz w:val="21"/>
                <w:szCs w:val="21"/>
                <w:highlight w:val="none"/>
              </w:rPr>
            </w:pPr>
            <w:r>
              <w:rPr>
                <w:rFonts w:hint="eastAsia" w:ascii="宋体" w:hAnsi="宋体" w:cs="宋体"/>
                <w:sz w:val="21"/>
                <w:szCs w:val="21"/>
                <w:highlight w:val="none"/>
              </w:rPr>
              <w:t>施工员、质量员、材料员具有相应施工现场专业人员职业培训合格证书并在有效期内。</w:t>
            </w:r>
          </w:p>
        </w:tc>
      </w:tr>
      <w:tr w14:paraId="25EDDF6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35" w:hRule="atLeast"/>
          <w:jc w:val="center"/>
        </w:trPr>
        <w:tc>
          <w:tcPr>
            <w:tcW w:w="9328" w:type="dxa"/>
            <w:gridSpan w:val="3"/>
            <w:tcBorders>
              <w:top w:val="single" w:color="auto" w:sz="4" w:space="0"/>
              <w:left w:val="single" w:color="auto" w:sz="4" w:space="0"/>
              <w:bottom w:val="single" w:color="auto" w:sz="4" w:space="0"/>
              <w:right w:val="single" w:color="auto" w:sz="4" w:space="0"/>
            </w:tcBorders>
            <w:noWrap w:val="0"/>
            <w:vAlign w:val="center"/>
          </w:tcPr>
          <w:p w14:paraId="7527E5E1">
            <w:pPr>
              <w:keepNext w:val="0"/>
              <w:keepLines w:val="0"/>
              <w:suppressLineNumbers w:val="0"/>
              <w:spacing w:before="0" w:beforeAutospacing="0" w:after="0" w:afterAutospacing="0" w:line="440" w:lineRule="exact"/>
              <w:ind w:left="0" w:right="0"/>
              <w:jc w:val="left"/>
              <w:rPr>
                <w:rFonts w:hint="eastAsia" w:ascii="宋体" w:hAnsi="宋体" w:cs="宋体"/>
                <w:b/>
                <w:szCs w:val="21"/>
                <w:highlight w:val="none"/>
              </w:rPr>
            </w:pPr>
            <w:r>
              <w:rPr>
                <w:rFonts w:hint="eastAsia" w:ascii="宋体" w:hAnsi="宋体" w:cs="宋体"/>
                <w:szCs w:val="21"/>
                <w:highlight w:val="none"/>
              </w:rPr>
              <w:t>▲</w:t>
            </w:r>
            <w:r>
              <w:rPr>
                <w:rFonts w:hint="eastAsia" w:ascii="宋体" w:hAnsi="宋体" w:cs="宋体"/>
                <w:b/>
                <w:highlight w:val="none"/>
              </w:rPr>
              <w:t>商务条款</w:t>
            </w:r>
          </w:p>
        </w:tc>
      </w:tr>
      <w:tr w14:paraId="4A183F87">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680" w:hRule="atLeast"/>
          <w:jc w:val="center"/>
        </w:trPr>
        <w:tc>
          <w:tcPr>
            <w:tcW w:w="2152" w:type="dxa"/>
            <w:gridSpan w:val="2"/>
            <w:tcBorders>
              <w:top w:val="single" w:color="auto" w:sz="4" w:space="0"/>
              <w:left w:val="single" w:color="auto" w:sz="4" w:space="0"/>
              <w:bottom w:val="single" w:color="auto" w:sz="4" w:space="0"/>
              <w:right w:val="single" w:color="auto" w:sz="4" w:space="0"/>
            </w:tcBorders>
            <w:noWrap w:val="0"/>
            <w:vAlign w:val="top"/>
          </w:tcPr>
          <w:p w14:paraId="26C978BA">
            <w:pPr>
              <w:keepNext w:val="0"/>
              <w:keepLines w:val="0"/>
              <w:widowControl/>
              <w:numPr>
                <w:ilvl w:val="0"/>
                <w:numId w:val="2"/>
              </w:numPr>
              <w:suppressLineNumbers w:val="0"/>
              <w:spacing w:before="0" w:beforeAutospacing="0" w:after="0" w:afterAutospacing="0" w:line="440" w:lineRule="exact"/>
              <w:ind w:left="0" w:right="0"/>
              <w:rPr>
                <w:rFonts w:hint="default" w:ascii="宋体" w:hAnsi="宋体" w:cs="宋体"/>
                <w:szCs w:val="21"/>
                <w:highlight w:val="none"/>
              </w:rPr>
            </w:pPr>
            <w:r>
              <w:rPr>
                <w:rFonts w:hint="eastAsia" w:ascii="宋体" w:hAnsi="宋体" w:cs="宋体"/>
                <w:b/>
                <w:szCs w:val="21"/>
                <w:highlight w:val="none"/>
              </w:rPr>
              <w:t>合同签订期</w:t>
            </w:r>
          </w:p>
        </w:tc>
        <w:tc>
          <w:tcPr>
            <w:tcW w:w="7176" w:type="dxa"/>
            <w:tcBorders>
              <w:top w:val="single" w:color="auto" w:sz="4" w:space="0"/>
              <w:left w:val="single" w:color="auto" w:sz="4" w:space="0"/>
              <w:bottom w:val="single" w:color="auto" w:sz="4" w:space="0"/>
              <w:right w:val="single" w:color="auto" w:sz="4" w:space="0"/>
            </w:tcBorders>
            <w:noWrap w:val="0"/>
            <w:vAlign w:val="center"/>
          </w:tcPr>
          <w:p w14:paraId="4C397F36">
            <w:pPr>
              <w:keepNext w:val="0"/>
              <w:keepLines w:val="0"/>
              <w:widowControl/>
              <w:suppressLineNumbers w:val="0"/>
              <w:spacing w:before="0" w:beforeAutospacing="0" w:after="0" w:afterAutospacing="0" w:line="440" w:lineRule="exact"/>
              <w:ind w:left="0" w:right="0"/>
              <w:rPr>
                <w:rFonts w:hint="eastAsia" w:ascii="宋体" w:hAnsi="宋体" w:cs="宋体"/>
                <w:b/>
                <w:szCs w:val="21"/>
                <w:highlight w:val="none"/>
              </w:rPr>
            </w:pPr>
            <w:r>
              <w:rPr>
                <w:rFonts w:hint="eastAsia" w:ascii="宋体" w:hAnsi="宋体" w:cs="宋体"/>
                <w:szCs w:val="21"/>
                <w:highlight w:val="none"/>
              </w:rPr>
              <w:t>自成交通知书发出之日起25日内。</w:t>
            </w:r>
          </w:p>
        </w:tc>
      </w:tr>
      <w:tr w14:paraId="2725E19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980" w:hRule="atLeast"/>
          <w:jc w:val="center"/>
        </w:trPr>
        <w:tc>
          <w:tcPr>
            <w:tcW w:w="2152" w:type="dxa"/>
            <w:gridSpan w:val="2"/>
            <w:tcBorders>
              <w:top w:val="single" w:color="auto" w:sz="4" w:space="0"/>
              <w:left w:val="single" w:color="auto" w:sz="4" w:space="0"/>
              <w:bottom w:val="single" w:color="auto" w:sz="4" w:space="0"/>
              <w:right w:val="single" w:color="auto" w:sz="4" w:space="0"/>
            </w:tcBorders>
            <w:noWrap w:val="0"/>
            <w:vAlign w:val="top"/>
          </w:tcPr>
          <w:p w14:paraId="51C6F870">
            <w:pPr>
              <w:keepNext w:val="0"/>
              <w:keepLines w:val="0"/>
              <w:widowControl/>
              <w:suppressLineNumbers w:val="0"/>
              <w:spacing w:before="0" w:beforeAutospacing="0" w:after="0" w:afterAutospacing="0" w:line="440" w:lineRule="exact"/>
              <w:ind w:left="0" w:right="0"/>
              <w:rPr>
                <w:rFonts w:hint="eastAsia" w:ascii="宋体" w:hAnsi="宋体" w:cs="宋体"/>
                <w:b/>
                <w:szCs w:val="21"/>
                <w:highlight w:val="none"/>
              </w:rPr>
            </w:pPr>
            <w:r>
              <w:rPr>
                <w:rFonts w:hint="eastAsia" w:ascii="宋体" w:hAnsi="宋体" w:cs="宋体"/>
                <w:b/>
                <w:szCs w:val="21"/>
                <w:highlight w:val="none"/>
              </w:rPr>
              <w:t>二、合同履行期限（工期）</w:t>
            </w:r>
          </w:p>
        </w:tc>
        <w:tc>
          <w:tcPr>
            <w:tcW w:w="7176" w:type="dxa"/>
            <w:tcBorders>
              <w:top w:val="single" w:color="auto" w:sz="4" w:space="0"/>
              <w:left w:val="single" w:color="auto" w:sz="4" w:space="0"/>
              <w:bottom w:val="single" w:color="auto" w:sz="4" w:space="0"/>
              <w:right w:val="single" w:color="auto" w:sz="4" w:space="0"/>
            </w:tcBorders>
            <w:noWrap w:val="0"/>
            <w:vAlign w:val="center"/>
          </w:tcPr>
          <w:p w14:paraId="1A6184B8">
            <w:pPr>
              <w:keepNext w:val="0"/>
              <w:keepLines w:val="0"/>
              <w:widowControl/>
              <w:suppressLineNumbers w:val="0"/>
              <w:spacing w:before="0" w:beforeAutospacing="0" w:after="0" w:afterAutospacing="0" w:line="440" w:lineRule="exact"/>
              <w:ind w:left="0" w:right="0"/>
              <w:rPr>
                <w:rFonts w:hint="eastAsia" w:ascii="宋体" w:hAnsi="宋体" w:cs="宋体"/>
                <w:b/>
                <w:szCs w:val="21"/>
                <w:highlight w:val="none"/>
              </w:rPr>
            </w:pPr>
            <w:r>
              <w:rPr>
                <w:rFonts w:hint="eastAsia" w:ascii="宋体" w:hAnsi="宋体" w:cs="宋体"/>
                <w:szCs w:val="21"/>
                <w:highlight w:val="none"/>
                <w:lang w:val="en-US" w:eastAsia="zh-CN"/>
              </w:rPr>
              <w:t>35个</w:t>
            </w:r>
            <w:r>
              <w:rPr>
                <w:rFonts w:hint="eastAsia" w:ascii="宋体" w:hAnsi="宋体" w:cs="宋体"/>
                <w:szCs w:val="21"/>
                <w:highlight w:val="none"/>
              </w:rPr>
              <w:t>日历天。</w:t>
            </w:r>
          </w:p>
        </w:tc>
      </w:tr>
      <w:tr w14:paraId="14CF50F2">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3160" w:hRule="atLeast"/>
          <w:jc w:val="center"/>
        </w:trPr>
        <w:tc>
          <w:tcPr>
            <w:tcW w:w="2152" w:type="dxa"/>
            <w:gridSpan w:val="2"/>
            <w:tcBorders>
              <w:top w:val="single" w:color="auto" w:sz="4" w:space="0"/>
              <w:left w:val="single" w:color="auto" w:sz="4" w:space="0"/>
              <w:bottom w:val="single" w:color="auto" w:sz="4" w:space="0"/>
              <w:right w:val="single" w:color="auto" w:sz="4" w:space="0"/>
            </w:tcBorders>
            <w:noWrap w:val="0"/>
            <w:vAlign w:val="center"/>
          </w:tcPr>
          <w:p w14:paraId="35EDD535">
            <w:pPr>
              <w:keepNext w:val="0"/>
              <w:keepLines w:val="0"/>
              <w:widowControl/>
              <w:suppressLineNumbers w:val="0"/>
              <w:spacing w:before="0" w:beforeAutospacing="0" w:after="0" w:afterAutospacing="0" w:line="440" w:lineRule="exact"/>
              <w:ind w:left="0" w:right="0"/>
              <w:rPr>
                <w:rFonts w:hint="eastAsia" w:ascii="宋体" w:hAnsi="宋体" w:cs="宋体"/>
                <w:b/>
                <w:szCs w:val="21"/>
                <w:highlight w:val="none"/>
              </w:rPr>
            </w:pPr>
            <w:r>
              <w:rPr>
                <w:rFonts w:hint="eastAsia" w:ascii="宋体" w:hAnsi="宋体" w:cs="宋体"/>
                <w:b/>
                <w:szCs w:val="21"/>
                <w:highlight w:val="none"/>
              </w:rPr>
              <w:t>三、付款方式</w:t>
            </w:r>
          </w:p>
        </w:tc>
        <w:tc>
          <w:tcPr>
            <w:tcW w:w="7176" w:type="dxa"/>
            <w:tcBorders>
              <w:top w:val="single" w:color="auto" w:sz="4" w:space="0"/>
              <w:left w:val="single" w:color="auto" w:sz="4" w:space="0"/>
              <w:bottom w:val="single" w:color="auto" w:sz="4" w:space="0"/>
              <w:right w:val="single" w:color="auto" w:sz="4" w:space="0"/>
            </w:tcBorders>
            <w:noWrap w:val="0"/>
            <w:vAlign w:val="center"/>
          </w:tcPr>
          <w:p w14:paraId="513E6F4D">
            <w:pPr>
              <w:keepNext w:val="0"/>
              <w:keepLines w:val="0"/>
              <w:widowControl/>
              <w:suppressLineNumbers w:val="0"/>
              <w:spacing w:before="0" w:beforeAutospacing="0" w:after="0" w:afterAutospacing="0" w:line="360" w:lineRule="auto"/>
              <w:ind w:left="0" w:right="0" w:firstLine="420"/>
              <w:jc w:val="left"/>
              <w:rPr>
                <w:rFonts w:hint="default" w:ascii="宋体" w:hAnsi="宋体" w:cs="宋体"/>
                <w:szCs w:val="21"/>
                <w:highlight w:val="none"/>
                <w:u w:val="none"/>
              </w:rPr>
            </w:pPr>
            <w:r>
              <w:rPr>
                <w:rFonts w:hint="eastAsia" w:ascii="宋体" w:hAnsi="宋体" w:cs="宋体"/>
                <w:szCs w:val="21"/>
                <w:highlight w:val="none"/>
              </w:rPr>
              <w:t>1</w:t>
            </w:r>
            <w:r>
              <w:rPr>
                <w:rFonts w:hint="eastAsia" w:ascii="宋体" w:hAnsi="宋体" w:cs="宋体"/>
                <w:szCs w:val="21"/>
                <w:highlight w:val="none"/>
                <w:u w:val="none"/>
              </w:rPr>
              <w:t>、预付款：合同签订后10个工作日内采购人预付合同价款（扣安全文明施工费、暂列金、暂估价</w:t>
            </w:r>
            <w:r>
              <w:rPr>
                <w:rFonts w:hint="eastAsia" w:ascii="宋体" w:hAnsi="宋体" w:cs="宋体"/>
                <w:szCs w:val="21"/>
                <w:highlight w:val="none"/>
                <w:u w:val="none"/>
                <w:lang w:eastAsia="zh-CN"/>
              </w:rPr>
              <w:t>（</w:t>
            </w:r>
            <w:r>
              <w:rPr>
                <w:rFonts w:hint="eastAsia" w:ascii="宋体" w:hAnsi="宋体" w:cs="宋体"/>
                <w:szCs w:val="21"/>
                <w:highlight w:val="none"/>
                <w:u w:val="none"/>
                <w:lang w:val="en-US" w:eastAsia="zh-CN"/>
              </w:rPr>
              <w:t>专业工程暂估价、</w:t>
            </w:r>
            <w:r>
              <w:rPr>
                <w:rFonts w:hint="eastAsia" w:ascii="宋体" w:hAnsi="宋体" w:cs="宋体"/>
                <w:szCs w:val="21"/>
                <w:highlight w:val="none"/>
                <w:u w:val="none"/>
              </w:rPr>
              <w:t>材料和工程设备暂估价</w:t>
            </w:r>
            <w:r>
              <w:rPr>
                <w:rFonts w:hint="eastAsia" w:ascii="宋体" w:hAnsi="宋体" w:cs="宋体"/>
                <w:szCs w:val="21"/>
                <w:highlight w:val="none"/>
                <w:u w:val="none"/>
                <w:lang w:eastAsia="zh-CN"/>
              </w:rPr>
              <w:t>）</w:t>
            </w:r>
            <w:r>
              <w:rPr>
                <w:rFonts w:hint="eastAsia" w:ascii="宋体" w:hAnsi="宋体" w:cs="宋体"/>
                <w:szCs w:val="21"/>
                <w:highlight w:val="none"/>
                <w:u w:val="none"/>
              </w:rPr>
              <w:t>及甲供材）的30%给成交供应商作为本工程的施工备料款</w:t>
            </w:r>
            <w:r>
              <w:rPr>
                <w:rFonts w:hint="eastAsia" w:ascii="宋体" w:hAnsi="宋体" w:cs="宋体"/>
                <w:szCs w:val="21"/>
                <w:highlight w:val="none"/>
                <w:u w:val="none"/>
                <w:lang w:eastAsia="zh-CN"/>
              </w:rPr>
              <w:t>。</w:t>
            </w:r>
            <w:r>
              <w:rPr>
                <w:rFonts w:hint="eastAsia" w:ascii="宋体" w:hAnsi="宋体" w:cs="宋体"/>
                <w:szCs w:val="21"/>
                <w:highlight w:val="none"/>
                <w:u w:val="none"/>
              </w:rPr>
              <w:t xml:space="preserve">此预付款在项目工程进度款中一次性扣回。 </w:t>
            </w:r>
          </w:p>
          <w:p w14:paraId="733C3BEA">
            <w:pPr>
              <w:keepNext w:val="0"/>
              <w:keepLines w:val="0"/>
              <w:suppressLineNumbers w:val="0"/>
              <w:spacing w:before="0" w:beforeAutospacing="0" w:after="0" w:afterAutospacing="0" w:line="360" w:lineRule="auto"/>
              <w:ind w:left="0" w:right="0" w:firstLine="420"/>
              <w:rPr>
                <w:rFonts w:hint="default" w:ascii="宋体" w:hAnsi="宋体" w:cs="宋体"/>
                <w:szCs w:val="21"/>
                <w:highlight w:val="none"/>
                <w:u w:val="none"/>
              </w:rPr>
            </w:pPr>
            <w:r>
              <w:rPr>
                <w:rFonts w:hint="eastAsia" w:ascii="宋体" w:hAnsi="宋体" w:cs="宋体"/>
                <w:szCs w:val="21"/>
                <w:highlight w:val="none"/>
                <w:u w:val="none"/>
              </w:rPr>
              <w:t>2、进度款支付：工程进度款按月支付，合同内工程进度款支付额为当月实际已完成工程量价款的80%；合同外新增工程量按实际完成工程量价款的60%支付进度款。工程竣工验收合格，工程结算经采购人聘任的社会中介机构或自治区财政厅财政投资评审中心审定后，采购人应在收到成交供应商全额有效发票7个工作日内支付至结算总价的</w:t>
            </w:r>
            <w:r>
              <w:rPr>
                <w:rFonts w:hint="default" w:ascii="宋体" w:hAnsi="宋体" w:cs="宋体"/>
                <w:szCs w:val="21"/>
                <w:highlight w:val="none"/>
                <w:u w:val="none"/>
              </w:rPr>
              <w:t>9</w:t>
            </w:r>
            <w:r>
              <w:rPr>
                <w:rFonts w:hint="eastAsia" w:ascii="宋体" w:hAnsi="宋体" w:cs="宋体"/>
                <w:szCs w:val="21"/>
                <w:highlight w:val="none"/>
                <w:u w:val="none"/>
                <w:lang w:val="en-US" w:eastAsia="zh-CN"/>
              </w:rPr>
              <w:t>7</w:t>
            </w:r>
            <w:r>
              <w:rPr>
                <w:rFonts w:hint="eastAsia" w:ascii="宋体" w:hAnsi="宋体" w:cs="宋体"/>
                <w:szCs w:val="21"/>
                <w:highlight w:val="none"/>
                <w:u w:val="none"/>
              </w:rPr>
              <w:t>%，扣除结算总价的</w:t>
            </w:r>
            <w:r>
              <w:rPr>
                <w:rFonts w:hint="eastAsia" w:ascii="宋体" w:hAnsi="宋体" w:cs="宋体"/>
                <w:szCs w:val="21"/>
                <w:highlight w:val="none"/>
                <w:u w:val="none"/>
                <w:lang w:val="en-US" w:eastAsia="zh-CN"/>
              </w:rPr>
              <w:t>3</w:t>
            </w:r>
            <w:r>
              <w:rPr>
                <w:rFonts w:hint="eastAsia" w:ascii="宋体" w:hAnsi="宋体" w:cs="宋体"/>
                <w:szCs w:val="21"/>
                <w:highlight w:val="none"/>
                <w:u w:val="none"/>
              </w:rPr>
              <w:t>%作为工程质量保证金，待缺陷责任期满后7个工作日内一次性无息退还保证金给成交供应商。</w:t>
            </w:r>
          </w:p>
          <w:p w14:paraId="48EB47EB">
            <w:pPr>
              <w:keepNext w:val="0"/>
              <w:keepLines w:val="0"/>
              <w:widowControl/>
              <w:suppressLineNumbers w:val="0"/>
              <w:spacing w:before="0" w:beforeAutospacing="0" w:after="0" w:afterAutospacing="0" w:line="360" w:lineRule="auto"/>
              <w:ind w:left="0" w:right="0" w:firstLine="420"/>
              <w:jc w:val="left"/>
              <w:rPr>
                <w:rFonts w:hint="eastAsia" w:ascii="宋体" w:hAnsi="宋体" w:cs="宋体"/>
                <w:b/>
                <w:szCs w:val="21"/>
                <w:highlight w:val="none"/>
              </w:rPr>
            </w:pPr>
            <w:r>
              <w:rPr>
                <w:rFonts w:hint="eastAsia" w:ascii="宋体" w:hAnsi="宋体" w:cs="宋体"/>
                <w:szCs w:val="21"/>
                <w:highlight w:val="none"/>
                <w:u w:val="none"/>
              </w:rPr>
              <w:t>最后结算金额以采购人聘任的社会中介机构或自治区财政厅财政投资评审中心审核为准。</w:t>
            </w:r>
          </w:p>
        </w:tc>
      </w:tr>
      <w:tr w14:paraId="08D2987E">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05" w:hRule="atLeast"/>
          <w:jc w:val="center"/>
        </w:trPr>
        <w:tc>
          <w:tcPr>
            <w:tcW w:w="2152" w:type="dxa"/>
            <w:gridSpan w:val="2"/>
            <w:tcBorders>
              <w:top w:val="single" w:color="auto" w:sz="4" w:space="0"/>
              <w:left w:val="single" w:color="auto" w:sz="4" w:space="0"/>
              <w:bottom w:val="single" w:color="auto" w:sz="4" w:space="0"/>
              <w:right w:val="single" w:color="auto" w:sz="4" w:space="0"/>
            </w:tcBorders>
            <w:noWrap w:val="0"/>
            <w:vAlign w:val="center"/>
          </w:tcPr>
          <w:p w14:paraId="1747BEF8">
            <w:pPr>
              <w:keepNext w:val="0"/>
              <w:keepLines w:val="0"/>
              <w:widowControl/>
              <w:suppressLineNumbers w:val="0"/>
              <w:spacing w:before="0" w:beforeAutospacing="0" w:after="0" w:afterAutospacing="0" w:line="440" w:lineRule="exact"/>
              <w:ind w:left="0" w:right="0"/>
              <w:rPr>
                <w:rFonts w:hint="eastAsia" w:ascii="宋体" w:hAnsi="宋体" w:cs="宋体"/>
                <w:b/>
                <w:szCs w:val="21"/>
                <w:highlight w:val="none"/>
              </w:rPr>
            </w:pPr>
            <w:r>
              <w:rPr>
                <w:rFonts w:hint="eastAsia" w:ascii="宋体" w:hAnsi="宋体" w:cs="宋体"/>
                <w:b/>
                <w:szCs w:val="21"/>
                <w:highlight w:val="none"/>
                <w:lang w:eastAsia="zh-CN"/>
              </w:rPr>
              <w:t>四</w:t>
            </w:r>
            <w:r>
              <w:rPr>
                <w:rFonts w:hint="eastAsia" w:ascii="宋体" w:hAnsi="宋体" w:cs="宋体"/>
                <w:b/>
                <w:szCs w:val="21"/>
                <w:highlight w:val="none"/>
              </w:rPr>
              <w:t>、其他要求</w:t>
            </w:r>
          </w:p>
        </w:tc>
        <w:tc>
          <w:tcPr>
            <w:tcW w:w="7176" w:type="dxa"/>
            <w:tcBorders>
              <w:top w:val="single" w:color="auto" w:sz="4" w:space="0"/>
              <w:left w:val="single" w:color="auto" w:sz="4" w:space="0"/>
              <w:bottom w:val="single" w:color="auto" w:sz="4" w:space="0"/>
              <w:right w:val="single" w:color="auto" w:sz="4" w:space="0"/>
            </w:tcBorders>
            <w:noWrap w:val="0"/>
            <w:vAlign w:val="center"/>
          </w:tcPr>
          <w:p w14:paraId="1120BC7F">
            <w:pPr>
              <w:keepNext w:val="0"/>
              <w:keepLines w:val="0"/>
              <w:widowControl/>
              <w:suppressLineNumbers w:val="0"/>
              <w:spacing w:before="0" w:beforeAutospacing="0" w:after="0" w:afterAutospacing="0" w:line="440" w:lineRule="exact"/>
              <w:ind w:left="0" w:right="0" w:firstLine="420"/>
              <w:rPr>
                <w:rFonts w:hint="eastAsia" w:ascii="宋体" w:hAnsi="宋体" w:cs="宋体"/>
                <w:bCs/>
                <w:szCs w:val="21"/>
                <w:highlight w:val="none"/>
              </w:rPr>
            </w:pPr>
            <w:r>
              <w:rPr>
                <w:rFonts w:hint="eastAsia" w:ascii="宋体" w:hAnsi="宋体" w:cs="宋体"/>
                <w:bCs/>
                <w:szCs w:val="21"/>
                <w:highlight w:val="none"/>
                <w:lang w:val="en-US" w:eastAsia="zh-CN"/>
              </w:rPr>
              <w:t>1</w:t>
            </w:r>
            <w:r>
              <w:rPr>
                <w:rFonts w:hint="eastAsia" w:ascii="宋体" w:hAnsi="宋体" w:cs="宋体"/>
                <w:bCs/>
                <w:szCs w:val="21"/>
                <w:highlight w:val="none"/>
              </w:rPr>
              <w:t>、竣工结算报送要求</w:t>
            </w:r>
          </w:p>
          <w:p w14:paraId="7277338C">
            <w:pPr>
              <w:keepNext w:val="0"/>
              <w:keepLines w:val="0"/>
              <w:widowControl/>
              <w:suppressLineNumbers w:val="0"/>
              <w:spacing w:before="0" w:beforeAutospacing="0" w:after="0" w:afterAutospacing="0" w:line="440" w:lineRule="exact"/>
              <w:ind w:left="0" w:right="0" w:firstLine="420"/>
              <w:rPr>
                <w:rFonts w:hint="default" w:ascii="宋体" w:hAnsi="宋体" w:cs="宋体"/>
                <w:bCs/>
                <w:szCs w:val="21"/>
                <w:highlight w:val="none"/>
              </w:rPr>
            </w:pPr>
            <w:r>
              <w:rPr>
                <w:rFonts w:hint="eastAsia" w:ascii="宋体" w:hAnsi="宋体" w:cs="宋体"/>
                <w:bCs/>
                <w:szCs w:val="21"/>
                <w:highlight w:val="none"/>
              </w:rPr>
              <w:t>成交供应商编报的工程竣工结算审减率大于6%的，计取结算违约金，并由采购人从成交供应商工程竣工结算款中扣除。</w:t>
            </w:r>
          </w:p>
          <w:p w14:paraId="0DA2A2BD">
            <w:pPr>
              <w:keepNext w:val="0"/>
              <w:keepLines w:val="0"/>
              <w:widowControl/>
              <w:suppressLineNumbers w:val="0"/>
              <w:spacing w:before="0" w:beforeAutospacing="0" w:after="0" w:afterAutospacing="0" w:line="440" w:lineRule="exact"/>
              <w:ind w:left="0" w:right="0" w:firstLine="420"/>
              <w:rPr>
                <w:rFonts w:hint="default" w:ascii="宋体" w:hAnsi="宋体" w:cs="宋体"/>
                <w:bCs/>
                <w:szCs w:val="21"/>
                <w:highlight w:val="none"/>
              </w:rPr>
            </w:pPr>
            <w:r>
              <w:rPr>
                <w:rFonts w:hint="eastAsia" w:ascii="宋体" w:hAnsi="宋体" w:cs="宋体"/>
                <w:bCs/>
                <w:szCs w:val="21"/>
                <w:highlight w:val="none"/>
              </w:rPr>
              <w:t>成交供应商结算违约金=送审额×（净核减额/送审额-6%）×10%，净核减额=送审额-审定额。</w:t>
            </w:r>
          </w:p>
          <w:p w14:paraId="4D3C5DBD">
            <w:pPr>
              <w:keepNext w:val="0"/>
              <w:keepLines w:val="0"/>
              <w:widowControl/>
              <w:suppressLineNumbers w:val="0"/>
              <w:spacing w:before="0" w:beforeAutospacing="0" w:after="0" w:afterAutospacing="0" w:line="440" w:lineRule="exact"/>
              <w:ind w:left="0" w:right="0" w:firstLine="420"/>
              <w:rPr>
                <w:rFonts w:hint="eastAsia" w:ascii="宋体" w:hAnsi="宋体" w:cs="宋体"/>
                <w:szCs w:val="21"/>
                <w:highlight w:val="none"/>
                <w:lang w:val="en-US" w:eastAsia="zh-CN"/>
              </w:rPr>
            </w:pPr>
            <w:r>
              <w:rPr>
                <w:rFonts w:hint="eastAsia" w:ascii="宋体" w:hAnsi="宋体" w:cs="宋体"/>
                <w:bCs/>
                <w:szCs w:val="21"/>
                <w:highlight w:val="none"/>
                <w:lang w:eastAsia="zh-CN"/>
              </w:rPr>
              <w:t>2、</w:t>
            </w:r>
            <w:r>
              <w:rPr>
                <w:rFonts w:hint="eastAsia" w:ascii="宋体" w:hAnsi="宋体" w:cs="宋体"/>
                <w:bCs/>
                <w:szCs w:val="21"/>
                <w:highlight w:val="none"/>
              </w:rPr>
              <w:t>在未交付使用前，成交供应商应采取一切合理的预防措施，防止人员伤亡，财产损失，费用由成交供应商自行承担。</w:t>
            </w:r>
          </w:p>
          <w:p w14:paraId="357773DF">
            <w:pPr>
              <w:keepNext w:val="0"/>
              <w:keepLines w:val="0"/>
              <w:widowControl/>
              <w:suppressLineNumbers w:val="0"/>
              <w:spacing w:before="0" w:beforeAutospacing="0" w:after="0" w:afterAutospacing="0" w:line="440" w:lineRule="exact"/>
              <w:ind w:left="0" w:right="0" w:firstLine="420"/>
              <w:rPr>
                <w:rFonts w:hint="eastAsia" w:ascii="宋体" w:hAnsi="宋体" w:cs="宋体"/>
                <w:b/>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本项目如有国家相关标准、行业标准、地方标准或者其他标准、规范的，应执行相应的标准、规范。如具体采购需求与标准、规范不一致的，高于标准、规范的按具体采购需求执行，低于标准、规范的按标准、规范执行。</w:t>
            </w:r>
          </w:p>
        </w:tc>
      </w:tr>
      <w:tr w14:paraId="6E4E1474">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720" w:hRule="atLeast"/>
          <w:jc w:val="center"/>
        </w:trPr>
        <w:tc>
          <w:tcPr>
            <w:tcW w:w="9328" w:type="dxa"/>
            <w:gridSpan w:val="3"/>
            <w:tcBorders>
              <w:top w:val="single" w:color="auto" w:sz="4" w:space="0"/>
              <w:left w:val="single" w:color="auto" w:sz="4" w:space="0"/>
              <w:bottom w:val="single" w:color="auto" w:sz="4" w:space="0"/>
              <w:right w:val="single" w:color="auto" w:sz="4" w:space="0"/>
            </w:tcBorders>
            <w:noWrap w:val="0"/>
            <w:vAlign w:val="center"/>
          </w:tcPr>
          <w:p w14:paraId="3C919DCC">
            <w:pPr>
              <w:keepNext w:val="0"/>
              <w:keepLines w:val="0"/>
              <w:suppressLineNumbers w:val="0"/>
              <w:spacing w:before="0" w:beforeAutospacing="0" w:after="0" w:afterAutospacing="0" w:line="440" w:lineRule="exact"/>
              <w:ind w:left="0" w:right="0"/>
              <w:jc w:val="center"/>
              <w:rPr>
                <w:rFonts w:hint="eastAsia" w:ascii="宋体" w:hAnsi="宋体" w:cs="宋体"/>
                <w:b/>
                <w:szCs w:val="21"/>
                <w:highlight w:val="none"/>
              </w:rPr>
            </w:pPr>
            <w:r>
              <w:rPr>
                <w:rFonts w:hint="eastAsia" w:ascii="宋体" w:hAnsi="宋体" w:cs="宋体"/>
                <w:b/>
                <w:highlight w:val="none"/>
              </w:rPr>
              <w:t>其他说明</w:t>
            </w:r>
          </w:p>
        </w:tc>
      </w:tr>
      <w:tr w14:paraId="2B5EE48A">
        <w:tblPrEx>
          <w:tblBorders>
            <w:top w:val="single" w:color="auto" w:sz="4" w:space="0"/>
            <w:left w:val="single" w:color="auto" w:sz="4" w:space="0"/>
            <w:bottom w:val="single" w:color="auto" w:sz="4" w:space="0"/>
            <w:right w:val="single" w:color="auto" w:sz="4" w:space="0"/>
            <w:insideH w:val="none" w:color="auto" w:sz="0" w:space="0"/>
            <w:insideV w:val="none" w:color="auto" w:sz="0" w:space="0"/>
          </w:tblBorders>
          <w:tblCellMar>
            <w:top w:w="0" w:type="dxa"/>
            <w:left w:w="108" w:type="dxa"/>
            <w:bottom w:w="0" w:type="dxa"/>
            <w:right w:w="108" w:type="dxa"/>
          </w:tblCellMar>
        </w:tblPrEx>
        <w:trPr>
          <w:trHeight w:val="2358" w:hRule="atLeast"/>
          <w:jc w:val="center"/>
        </w:trPr>
        <w:tc>
          <w:tcPr>
            <w:tcW w:w="9328" w:type="dxa"/>
            <w:gridSpan w:val="3"/>
            <w:tcBorders>
              <w:top w:val="single" w:color="auto" w:sz="4" w:space="0"/>
              <w:left w:val="single" w:color="auto" w:sz="4" w:space="0"/>
              <w:bottom w:val="single" w:color="auto" w:sz="4" w:space="0"/>
              <w:right w:val="single" w:color="auto" w:sz="4" w:space="0"/>
            </w:tcBorders>
            <w:noWrap w:val="0"/>
            <w:vAlign w:val="center"/>
          </w:tcPr>
          <w:p w14:paraId="18474D43">
            <w:pPr>
              <w:keepNext w:val="0"/>
              <w:keepLines w:val="0"/>
              <w:widowControl/>
              <w:suppressLineNumbers w:val="0"/>
              <w:shd w:val="clear" w:color="auto" w:fill="FFFFFF"/>
              <w:spacing w:before="0" w:beforeAutospacing="0" w:after="0" w:afterAutospacing="0" w:line="440" w:lineRule="exact"/>
              <w:ind w:left="0" w:right="0"/>
              <w:rPr>
                <w:rFonts w:hint="eastAsia" w:ascii="宋体" w:hAnsi="宋体" w:cs="宋体"/>
                <w:highlight w:val="none"/>
              </w:rPr>
            </w:pPr>
            <w:r>
              <w:rPr>
                <w:rFonts w:hint="eastAsia" w:ascii="宋体" w:hAnsi="宋体" w:cs="宋体"/>
                <w:highlight w:val="none"/>
              </w:rPr>
              <w:t>与本项目有关的文件等附件资料及其获取方式：</w:t>
            </w:r>
          </w:p>
          <w:p w14:paraId="3D81B3CF">
            <w:pPr>
              <w:keepNext w:val="0"/>
              <w:keepLines w:val="0"/>
              <w:widowControl/>
              <w:suppressLineNumbers w:val="0"/>
              <w:shd w:val="clear" w:color="auto" w:fill="FFFFFF"/>
              <w:spacing w:before="0" w:beforeAutospacing="0" w:after="0" w:afterAutospacing="0" w:line="440" w:lineRule="exact"/>
              <w:ind w:left="0" w:right="0" w:firstLine="420"/>
              <w:rPr>
                <w:rFonts w:hint="eastAsia" w:ascii="宋体" w:hAnsi="宋体" w:cs="宋体"/>
                <w:highlight w:val="none"/>
              </w:rPr>
            </w:pPr>
            <w:r>
              <w:rPr>
                <w:rFonts w:hint="eastAsia" w:ascii="宋体" w:hAnsi="宋体" w:cs="宋体"/>
                <w:highlight w:val="none"/>
              </w:rPr>
              <w:t>资料名称：工程量清单、</w:t>
            </w:r>
            <w:r>
              <w:rPr>
                <w:rFonts w:hint="eastAsia" w:ascii="宋体" w:hAnsi="宋体" w:cs="宋体"/>
                <w:b w:val="0"/>
                <w:bCs/>
                <w:sz w:val="21"/>
                <w:szCs w:val="21"/>
                <w:highlight w:val="none"/>
              </w:rPr>
              <w:t>施工</w:t>
            </w:r>
            <w:r>
              <w:rPr>
                <w:rFonts w:hint="eastAsia" w:ascii="宋体" w:hAnsi="宋体" w:cs="宋体"/>
                <w:b w:val="0"/>
                <w:bCs/>
                <w:sz w:val="21"/>
                <w:szCs w:val="21"/>
                <w:highlight w:val="none"/>
                <w:lang w:val="en-US" w:eastAsia="zh-CN"/>
              </w:rPr>
              <w:t>方案</w:t>
            </w:r>
            <w:r>
              <w:rPr>
                <w:rFonts w:hint="eastAsia" w:ascii="宋体" w:hAnsi="宋体" w:cs="宋体"/>
                <w:highlight w:val="none"/>
              </w:rPr>
              <w:t>等。</w:t>
            </w:r>
          </w:p>
          <w:p w14:paraId="55FEF254">
            <w:pPr>
              <w:keepNext w:val="0"/>
              <w:keepLines w:val="0"/>
              <w:widowControl/>
              <w:suppressLineNumbers w:val="0"/>
              <w:shd w:val="clear" w:color="auto" w:fill="FFFFFF"/>
              <w:spacing w:before="0" w:beforeAutospacing="0" w:after="0" w:afterAutospacing="0" w:line="440" w:lineRule="exact"/>
              <w:ind w:left="0" w:right="0" w:firstLine="420"/>
              <w:rPr>
                <w:rFonts w:hint="eastAsia" w:ascii="宋体" w:hAnsi="宋体" w:cs="宋体"/>
                <w:szCs w:val="21"/>
                <w:highlight w:val="none"/>
              </w:rPr>
            </w:pPr>
            <w:r>
              <w:rPr>
                <w:rFonts w:hint="eastAsia" w:ascii="宋体" w:hAnsi="宋体" w:cs="宋体"/>
                <w:highlight w:val="none"/>
              </w:rPr>
              <w:t>获取方式：网上下载。供应商可自行在广西政府采购云平台 https://www.gcy.zfcg.gxzf.gov.cn/下载（操作路径：登录“广西政府采购云平台”-项目采购-获取采购文件-找到本项目-点击“工程量清单、</w:t>
            </w:r>
            <w:r>
              <w:rPr>
                <w:rFonts w:hint="eastAsia" w:ascii="宋体" w:hAnsi="宋体" w:cs="宋体"/>
                <w:b w:val="0"/>
                <w:bCs/>
                <w:sz w:val="21"/>
                <w:szCs w:val="21"/>
                <w:highlight w:val="none"/>
              </w:rPr>
              <w:t>施工</w:t>
            </w:r>
            <w:r>
              <w:rPr>
                <w:rFonts w:hint="eastAsia" w:ascii="宋体" w:hAnsi="宋体" w:cs="宋体"/>
                <w:b w:val="0"/>
                <w:bCs/>
                <w:sz w:val="21"/>
                <w:szCs w:val="21"/>
                <w:highlight w:val="none"/>
                <w:lang w:val="en-US" w:eastAsia="zh-CN"/>
              </w:rPr>
              <w:t>方案</w:t>
            </w:r>
            <w:r>
              <w:rPr>
                <w:rFonts w:hint="eastAsia" w:ascii="宋体" w:hAnsi="宋体" w:cs="宋体"/>
                <w:highlight w:val="none"/>
              </w:rPr>
              <w:t>等”）。</w:t>
            </w:r>
          </w:p>
        </w:tc>
      </w:tr>
    </w:tbl>
    <w:p w14:paraId="0CB5DE8B">
      <w:pPr>
        <w:pStyle w:val="28"/>
        <w:jc w:val="left"/>
        <w:rPr>
          <w:rFonts w:hint="eastAsia" w:hAnsi="宋体" w:cs="宋体"/>
          <w:sz w:val="32"/>
          <w:szCs w:val="32"/>
          <w:highlight w:val="none"/>
        </w:rPr>
        <w:sectPr>
          <w:pgSz w:w="11906" w:h="16838"/>
          <w:pgMar w:top="1134" w:right="1312" w:bottom="1134" w:left="1554" w:header="720" w:footer="720" w:gutter="0"/>
          <w:cols w:space="720" w:num="1"/>
        </w:sectPr>
      </w:pPr>
    </w:p>
    <w:p w14:paraId="1C9A71CA">
      <w:pPr>
        <w:pStyle w:val="3"/>
        <w:spacing w:before="0" w:after="0" w:line="360" w:lineRule="auto"/>
        <w:jc w:val="center"/>
        <w:rPr>
          <w:rFonts w:hint="eastAsia" w:ascii="宋体" w:hAnsi="宋体" w:cs="宋体"/>
          <w:highlight w:val="none"/>
        </w:rPr>
      </w:pPr>
      <w:bookmarkStart w:id="39" w:name="_Toc32012"/>
      <w:bookmarkStart w:id="40" w:name="_Toc31859"/>
      <w:bookmarkStart w:id="41" w:name="_Toc120174190"/>
      <w:r>
        <w:rPr>
          <w:rFonts w:hint="eastAsia" w:ascii="宋体" w:hAnsi="宋体" w:cs="宋体"/>
          <w:bCs w:val="0"/>
          <w:sz w:val="32"/>
          <w:szCs w:val="32"/>
          <w:highlight w:val="none"/>
        </w:rPr>
        <w:t>第三章</w:t>
      </w:r>
      <w:r>
        <w:rPr>
          <w:rFonts w:hint="eastAsia" w:ascii="宋体" w:hAnsi="宋体" w:cs="宋体"/>
          <w:bCs w:val="0"/>
          <w:sz w:val="32"/>
          <w:szCs w:val="32"/>
          <w:highlight w:val="none"/>
          <w:lang w:val="en-US" w:eastAsia="zh-CN"/>
        </w:rPr>
        <w:t xml:space="preserve">  </w:t>
      </w:r>
      <w:r>
        <w:rPr>
          <w:rFonts w:hint="eastAsia" w:ascii="宋体" w:hAnsi="宋体" w:cs="宋体"/>
          <w:bCs w:val="0"/>
          <w:sz w:val="32"/>
          <w:szCs w:val="32"/>
          <w:highlight w:val="none"/>
        </w:rPr>
        <w:t>供应商须知</w:t>
      </w:r>
      <w:bookmarkEnd w:id="39"/>
      <w:bookmarkEnd w:id="40"/>
      <w:bookmarkEnd w:id="41"/>
    </w:p>
    <w:p w14:paraId="5EE9A6AE">
      <w:pPr>
        <w:pStyle w:val="4"/>
        <w:spacing w:before="0" w:after="0" w:line="360" w:lineRule="auto"/>
        <w:jc w:val="center"/>
        <w:rPr>
          <w:rFonts w:hint="eastAsia" w:ascii="宋体" w:hAnsi="宋体" w:cs="宋体"/>
          <w:b w:val="0"/>
          <w:highlight w:val="none"/>
        </w:rPr>
      </w:pPr>
      <w:bookmarkStart w:id="42" w:name="_Toc120174191"/>
      <w:bookmarkStart w:id="43" w:name="_Toc4567"/>
      <w:bookmarkStart w:id="44" w:name="_Toc13981"/>
      <w:r>
        <w:rPr>
          <w:rFonts w:hint="eastAsia" w:ascii="宋体" w:hAnsi="宋体" w:cs="宋体"/>
          <w:b w:val="0"/>
          <w:highlight w:val="none"/>
        </w:rPr>
        <w:t>第一节 供应商须知前附表</w:t>
      </w:r>
      <w:bookmarkEnd w:id="42"/>
      <w:bookmarkEnd w:id="43"/>
      <w:bookmarkEnd w:id="44"/>
    </w:p>
    <w:tbl>
      <w:tblPr>
        <w:tblStyle w:val="56"/>
        <w:tblW w:w="0" w:type="auto"/>
        <w:jc w:val="cente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Layout w:type="fixed"/>
        <w:tblCellMar>
          <w:top w:w="0" w:type="dxa"/>
          <w:left w:w="108" w:type="dxa"/>
          <w:bottom w:w="0" w:type="dxa"/>
          <w:right w:w="108" w:type="dxa"/>
        </w:tblCellMar>
      </w:tblPr>
      <w:tblGrid>
        <w:gridCol w:w="846"/>
        <w:gridCol w:w="1336"/>
        <w:gridCol w:w="6764"/>
      </w:tblGrid>
      <w:tr w14:paraId="1361B18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93" w:hRule="atLeast"/>
          <w:jc w:val="center"/>
        </w:trPr>
        <w:tc>
          <w:tcPr>
            <w:tcW w:w="472" w:type="pct"/>
            <w:noWrap w:val="0"/>
            <w:vAlign w:val="center"/>
          </w:tcPr>
          <w:p w14:paraId="745549FB">
            <w:pPr>
              <w:keepNext w:val="0"/>
              <w:keepLines w:val="0"/>
              <w:suppressLineNumbers w:val="0"/>
              <w:spacing w:before="0" w:beforeAutospacing="0" w:after="0" w:afterAutospacing="0" w:line="400" w:lineRule="exact"/>
              <w:ind w:left="0" w:right="0"/>
              <w:jc w:val="center"/>
              <w:rPr>
                <w:rFonts w:hint="eastAsia" w:ascii="宋体" w:hAnsi="宋体" w:cs="宋体"/>
                <w:b/>
                <w:szCs w:val="21"/>
                <w:highlight w:val="none"/>
              </w:rPr>
            </w:pPr>
            <w:r>
              <w:rPr>
                <w:rFonts w:hint="eastAsia" w:ascii="宋体" w:hAnsi="宋体" w:cs="宋体"/>
                <w:b/>
                <w:szCs w:val="21"/>
                <w:highlight w:val="none"/>
              </w:rPr>
              <w:t>条款号</w:t>
            </w:r>
          </w:p>
        </w:tc>
        <w:tc>
          <w:tcPr>
            <w:tcW w:w="747" w:type="pct"/>
            <w:noWrap w:val="0"/>
            <w:vAlign w:val="center"/>
          </w:tcPr>
          <w:p w14:paraId="2AD501B4">
            <w:pPr>
              <w:keepNext w:val="0"/>
              <w:keepLines w:val="0"/>
              <w:suppressLineNumbers w:val="0"/>
              <w:spacing w:before="0" w:beforeAutospacing="0" w:after="0" w:afterAutospacing="0" w:line="400" w:lineRule="exact"/>
              <w:ind w:left="0" w:right="0"/>
              <w:jc w:val="center"/>
              <w:rPr>
                <w:rFonts w:hint="eastAsia" w:ascii="宋体" w:hAnsi="宋体" w:cs="宋体"/>
                <w:b/>
                <w:szCs w:val="21"/>
                <w:highlight w:val="none"/>
              </w:rPr>
            </w:pPr>
            <w:r>
              <w:rPr>
                <w:rFonts w:hint="eastAsia" w:ascii="宋体" w:hAnsi="宋体" w:cs="宋体"/>
                <w:b/>
                <w:szCs w:val="21"/>
                <w:highlight w:val="none"/>
              </w:rPr>
              <w:t>条款内容</w:t>
            </w:r>
          </w:p>
        </w:tc>
        <w:tc>
          <w:tcPr>
            <w:tcW w:w="3779" w:type="pct"/>
            <w:noWrap w:val="0"/>
            <w:vAlign w:val="center"/>
          </w:tcPr>
          <w:p w14:paraId="1E919793">
            <w:pPr>
              <w:keepNext w:val="0"/>
              <w:keepLines w:val="0"/>
              <w:suppressLineNumbers w:val="0"/>
              <w:spacing w:before="0" w:beforeAutospacing="0" w:after="0" w:afterAutospacing="0" w:line="400" w:lineRule="exact"/>
              <w:ind w:left="0" w:right="0"/>
              <w:jc w:val="center"/>
              <w:rPr>
                <w:rFonts w:hint="eastAsia" w:ascii="宋体" w:hAnsi="宋体" w:cs="宋体"/>
                <w:b/>
                <w:szCs w:val="21"/>
                <w:highlight w:val="none"/>
              </w:rPr>
            </w:pPr>
            <w:r>
              <w:rPr>
                <w:rFonts w:hint="eastAsia" w:ascii="宋体" w:hAnsi="宋体" w:cs="宋体"/>
                <w:b/>
                <w:szCs w:val="21"/>
                <w:highlight w:val="none"/>
              </w:rPr>
              <w:t>具体要求</w:t>
            </w:r>
          </w:p>
        </w:tc>
      </w:tr>
      <w:tr w14:paraId="6558D16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738F92DB">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3.1</w:t>
            </w:r>
          </w:p>
        </w:tc>
        <w:tc>
          <w:tcPr>
            <w:tcW w:w="747" w:type="pct"/>
            <w:noWrap w:val="0"/>
            <w:vAlign w:val="center"/>
          </w:tcPr>
          <w:p w14:paraId="56DD01EA">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供应商资格条件</w:t>
            </w:r>
          </w:p>
        </w:tc>
        <w:tc>
          <w:tcPr>
            <w:tcW w:w="3779" w:type="pct"/>
            <w:noWrap w:val="0"/>
            <w:vAlign w:val="center"/>
          </w:tcPr>
          <w:p w14:paraId="3AE4EE70">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供应商资格条件要求详见公告。</w:t>
            </w:r>
          </w:p>
        </w:tc>
      </w:tr>
      <w:tr w14:paraId="549DB83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1F0D8187">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5.1</w:t>
            </w:r>
          </w:p>
        </w:tc>
        <w:tc>
          <w:tcPr>
            <w:tcW w:w="747" w:type="pct"/>
            <w:noWrap w:val="0"/>
            <w:vAlign w:val="center"/>
          </w:tcPr>
          <w:p w14:paraId="5CA19FEC">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是否接受联合体竞标</w:t>
            </w:r>
          </w:p>
        </w:tc>
        <w:tc>
          <w:tcPr>
            <w:tcW w:w="3779" w:type="pct"/>
            <w:noWrap w:val="0"/>
            <w:vAlign w:val="center"/>
          </w:tcPr>
          <w:p w14:paraId="6B4462F7">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否</w:t>
            </w:r>
          </w:p>
        </w:tc>
      </w:tr>
      <w:tr w14:paraId="2DDC64CF">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5E765260">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6.1</w:t>
            </w:r>
          </w:p>
        </w:tc>
        <w:tc>
          <w:tcPr>
            <w:tcW w:w="747" w:type="pct"/>
            <w:noWrap w:val="0"/>
            <w:vAlign w:val="center"/>
          </w:tcPr>
          <w:p w14:paraId="3EA70184">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是否允许分包</w:t>
            </w:r>
          </w:p>
        </w:tc>
        <w:tc>
          <w:tcPr>
            <w:tcW w:w="3779" w:type="pct"/>
            <w:noWrap w:val="0"/>
            <w:vAlign w:val="center"/>
          </w:tcPr>
          <w:p w14:paraId="5F631071">
            <w:pPr>
              <w:pStyle w:val="18"/>
              <w:keepNext w:val="0"/>
              <w:keepLines w:val="0"/>
              <w:suppressLineNumbers w:val="0"/>
              <w:spacing w:before="0" w:beforeAutospacing="0" w:after="0" w:afterAutospacing="0" w:line="400" w:lineRule="exact"/>
              <w:ind w:left="0" w:right="0"/>
              <w:jc w:val="both"/>
              <w:rPr>
                <w:rFonts w:hint="eastAsia" w:ascii="宋体" w:hAnsi="宋体" w:cs="宋体"/>
                <w:sz w:val="21"/>
                <w:szCs w:val="22"/>
                <w:highlight w:val="none"/>
              </w:rPr>
            </w:pPr>
            <w:r>
              <w:rPr>
                <w:rFonts w:hint="eastAsia" w:ascii="宋体" w:hAnsi="宋体" w:cs="宋体"/>
                <w:sz w:val="24"/>
                <w:highlight w:val="none"/>
              </w:rPr>
              <w:t>☑</w:t>
            </w:r>
            <w:r>
              <w:rPr>
                <w:rFonts w:hint="eastAsia" w:ascii="宋体" w:hAnsi="宋体" w:cs="宋体"/>
                <w:sz w:val="21"/>
                <w:szCs w:val="22"/>
                <w:highlight w:val="none"/>
              </w:rPr>
              <w:t>不允许分包</w:t>
            </w:r>
          </w:p>
          <w:p w14:paraId="673B9BD8">
            <w:pPr>
              <w:pStyle w:val="18"/>
              <w:keepNext w:val="0"/>
              <w:keepLines w:val="0"/>
              <w:suppressLineNumbers w:val="0"/>
              <w:spacing w:before="0" w:beforeAutospacing="0" w:after="0" w:afterAutospacing="0" w:line="400" w:lineRule="exact"/>
              <w:ind w:left="0" w:right="0"/>
              <w:jc w:val="both"/>
              <w:rPr>
                <w:rFonts w:hint="eastAsia" w:ascii="宋体" w:hAnsi="宋体" w:cs="宋体"/>
                <w:sz w:val="21"/>
                <w:szCs w:val="22"/>
                <w:highlight w:val="none"/>
              </w:rPr>
            </w:pPr>
            <w:r>
              <w:rPr>
                <w:rFonts w:hint="eastAsia" w:ascii="宋体" w:hAnsi="宋体" w:cs="宋体"/>
                <w:sz w:val="21"/>
                <w:szCs w:val="22"/>
                <w:highlight w:val="none"/>
              </w:rPr>
              <w:t>□允许分包</w:t>
            </w:r>
          </w:p>
          <w:p w14:paraId="765D1399">
            <w:pPr>
              <w:pStyle w:val="18"/>
              <w:keepNext w:val="0"/>
              <w:keepLines w:val="0"/>
              <w:suppressLineNumbers w:val="0"/>
              <w:spacing w:before="0" w:beforeAutospacing="0" w:after="0" w:afterAutospacing="0" w:line="400" w:lineRule="exact"/>
              <w:ind w:left="0" w:right="0"/>
              <w:jc w:val="both"/>
              <w:rPr>
                <w:rFonts w:hint="eastAsia" w:ascii="宋体" w:hAnsi="宋体" w:cs="宋体"/>
                <w:sz w:val="21"/>
                <w:szCs w:val="22"/>
                <w:highlight w:val="none"/>
              </w:rPr>
            </w:pPr>
            <w:r>
              <w:rPr>
                <w:rFonts w:hint="eastAsia" w:ascii="宋体" w:hAnsi="宋体" w:cs="宋体"/>
                <w:sz w:val="21"/>
                <w:szCs w:val="22"/>
                <w:highlight w:val="none"/>
              </w:rPr>
              <w:t>分包内容：/。</w:t>
            </w:r>
          </w:p>
          <w:p w14:paraId="428CA408">
            <w:pPr>
              <w:pStyle w:val="18"/>
              <w:keepNext w:val="0"/>
              <w:keepLines w:val="0"/>
              <w:suppressLineNumbers w:val="0"/>
              <w:spacing w:before="0" w:beforeAutospacing="0" w:after="0" w:afterAutospacing="0" w:line="400" w:lineRule="exact"/>
              <w:ind w:left="0" w:right="0"/>
              <w:jc w:val="both"/>
              <w:rPr>
                <w:rFonts w:hint="eastAsia" w:ascii="宋体" w:hAnsi="宋体" w:cs="宋体"/>
                <w:szCs w:val="21"/>
                <w:highlight w:val="none"/>
              </w:rPr>
            </w:pPr>
            <w:r>
              <w:rPr>
                <w:rFonts w:hint="eastAsia" w:ascii="宋体" w:hAnsi="宋体" w:cs="宋体"/>
                <w:sz w:val="21"/>
                <w:szCs w:val="22"/>
                <w:highlight w:val="none"/>
              </w:rPr>
              <w:t>分包金额或者比例：/。</w:t>
            </w:r>
          </w:p>
        </w:tc>
      </w:tr>
      <w:tr w14:paraId="3BEE0EA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15" w:hRule="atLeast"/>
          <w:jc w:val="center"/>
        </w:trPr>
        <w:tc>
          <w:tcPr>
            <w:tcW w:w="472" w:type="pct"/>
            <w:noWrap w:val="0"/>
            <w:vAlign w:val="center"/>
          </w:tcPr>
          <w:p w14:paraId="5A7B4662">
            <w:pPr>
              <w:keepNext w:val="0"/>
              <w:keepLines w:val="0"/>
              <w:suppressLineNumbers w:val="0"/>
              <w:spacing w:before="0" w:beforeAutospacing="0" w:after="0" w:afterAutospacing="0" w:line="400" w:lineRule="exact"/>
              <w:ind w:left="0" w:right="0"/>
              <w:jc w:val="center"/>
              <w:rPr>
                <w:rFonts w:hint="default" w:ascii="宋体" w:hAnsi="宋体" w:cs="宋体"/>
                <w:szCs w:val="21"/>
                <w:highlight w:val="none"/>
              </w:rPr>
            </w:pPr>
            <w:r>
              <w:rPr>
                <w:rFonts w:hint="eastAsia" w:ascii="宋体" w:hAnsi="宋体" w:cs="宋体"/>
                <w:szCs w:val="21"/>
                <w:highlight w:val="none"/>
              </w:rPr>
              <w:t>7.1</w:t>
            </w:r>
          </w:p>
        </w:tc>
        <w:tc>
          <w:tcPr>
            <w:tcW w:w="747" w:type="pct"/>
            <w:noWrap w:val="0"/>
            <w:vAlign w:val="center"/>
          </w:tcPr>
          <w:p w14:paraId="30D6B5CC">
            <w:pPr>
              <w:keepNext w:val="0"/>
              <w:keepLines w:val="0"/>
              <w:suppressLineNumbers w:val="0"/>
              <w:spacing w:before="0" w:beforeAutospacing="0" w:after="0" w:afterAutospacing="0" w:line="400" w:lineRule="exact"/>
              <w:ind w:left="0" w:right="0"/>
              <w:jc w:val="center"/>
              <w:rPr>
                <w:rFonts w:hint="eastAsia" w:ascii="宋体" w:hAnsi="宋体" w:cs="宋体"/>
                <w:b/>
                <w:szCs w:val="21"/>
                <w:highlight w:val="none"/>
              </w:rPr>
            </w:pPr>
            <w:r>
              <w:rPr>
                <w:rFonts w:hint="default" w:ascii="宋体" w:hAnsi="宋体" w:cs="Times New Roman"/>
                <w:szCs w:val="21"/>
                <w:highlight w:val="none"/>
              </w:rPr>
              <w:t>踏勘现场</w:t>
            </w:r>
          </w:p>
        </w:tc>
        <w:tc>
          <w:tcPr>
            <w:tcW w:w="3779" w:type="pct"/>
            <w:noWrap w:val="0"/>
            <w:vAlign w:val="center"/>
          </w:tcPr>
          <w:p w14:paraId="08F988A1">
            <w:pPr>
              <w:keepNext w:val="0"/>
              <w:keepLines w:val="0"/>
              <w:suppressLineNumbers w:val="0"/>
              <w:spacing w:before="0" w:beforeAutospacing="0" w:after="0" w:afterAutospacing="0" w:line="400" w:lineRule="exact"/>
              <w:ind w:left="0" w:right="0"/>
              <w:rPr>
                <w:rFonts w:hint="eastAsia" w:ascii="宋体" w:hAnsi="宋体" w:cs="宋体"/>
                <w:b/>
                <w:szCs w:val="21"/>
                <w:highlight w:val="none"/>
              </w:rPr>
            </w:pPr>
            <w:r>
              <w:rPr>
                <w:rFonts w:hint="eastAsia" w:ascii="宋体" w:hAnsi="宋体" w:cs="宋体"/>
                <w:bCs/>
                <w:szCs w:val="21"/>
                <w:highlight w:val="none"/>
              </w:rPr>
              <w:t>不组织，建议根据需要自行前往</w:t>
            </w:r>
            <w:r>
              <w:rPr>
                <w:rFonts w:hint="default" w:ascii="宋体" w:hAnsi="宋体" w:cs="Times New Roman"/>
                <w:szCs w:val="21"/>
                <w:highlight w:val="none"/>
              </w:rPr>
              <w:t>踏勘现场</w:t>
            </w:r>
          </w:p>
        </w:tc>
      </w:tr>
      <w:tr w14:paraId="60E169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549597BD">
            <w:pPr>
              <w:keepNext w:val="0"/>
              <w:keepLines w:val="0"/>
              <w:suppressLineNumbers w:val="0"/>
              <w:spacing w:before="0" w:beforeAutospacing="0" w:after="0" w:afterAutospacing="0" w:line="400" w:lineRule="exact"/>
              <w:ind w:left="0" w:right="0"/>
              <w:jc w:val="center"/>
              <w:rPr>
                <w:rFonts w:hint="eastAsia" w:ascii="宋体" w:hAnsi="宋体" w:cs="宋体"/>
                <w:szCs w:val="21"/>
                <w:highlight w:val="none"/>
              </w:rPr>
            </w:pPr>
            <w:r>
              <w:rPr>
                <w:rFonts w:hint="eastAsia" w:ascii="宋体" w:hAnsi="宋体" w:cs="宋体"/>
                <w:szCs w:val="21"/>
                <w:highlight w:val="none"/>
              </w:rPr>
              <w:t>12.1.1</w:t>
            </w:r>
          </w:p>
        </w:tc>
        <w:tc>
          <w:tcPr>
            <w:tcW w:w="747" w:type="pct"/>
            <w:noWrap w:val="0"/>
            <w:vAlign w:val="center"/>
          </w:tcPr>
          <w:p w14:paraId="1DC8F5B3">
            <w:pPr>
              <w:keepNext w:val="0"/>
              <w:keepLines w:val="0"/>
              <w:suppressLineNumbers w:val="0"/>
              <w:spacing w:before="0" w:beforeAutospacing="0" w:after="0" w:afterAutospacing="0" w:line="400" w:lineRule="exact"/>
              <w:ind w:left="0" w:right="0"/>
              <w:jc w:val="center"/>
              <w:rPr>
                <w:rFonts w:hint="eastAsia" w:ascii="宋体" w:hAnsi="宋体" w:cs="宋体"/>
                <w:b/>
                <w:szCs w:val="21"/>
                <w:highlight w:val="none"/>
              </w:rPr>
            </w:pPr>
            <w:r>
              <w:rPr>
                <w:rFonts w:hint="eastAsia" w:ascii="宋体" w:hAnsi="宋体" w:cs="宋体"/>
                <w:b/>
                <w:szCs w:val="21"/>
                <w:highlight w:val="none"/>
              </w:rPr>
              <w:t>资格证明</w:t>
            </w:r>
          </w:p>
          <w:p w14:paraId="5F285512">
            <w:pPr>
              <w:keepNext w:val="0"/>
              <w:keepLines w:val="0"/>
              <w:suppressLineNumbers w:val="0"/>
              <w:spacing w:before="0" w:beforeAutospacing="0" w:after="0" w:afterAutospacing="0" w:line="400" w:lineRule="exact"/>
              <w:ind w:left="0" w:right="0"/>
              <w:jc w:val="center"/>
              <w:rPr>
                <w:rFonts w:hint="eastAsia" w:ascii="宋体" w:hAnsi="宋体" w:cs="宋体"/>
                <w:b/>
                <w:szCs w:val="21"/>
                <w:highlight w:val="none"/>
              </w:rPr>
            </w:pPr>
            <w:r>
              <w:rPr>
                <w:rFonts w:hint="eastAsia" w:ascii="宋体" w:hAnsi="宋体" w:cs="宋体"/>
                <w:b/>
                <w:szCs w:val="21"/>
                <w:highlight w:val="none"/>
              </w:rPr>
              <w:t>文件组成</w:t>
            </w:r>
          </w:p>
        </w:tc>
        <w:tc>
          <w:tcPr>
            <w:tcW w:w="3779" w:type="pct"/>
            <w:noWrap w:val="0"/>
            <w:vAlign w:val="top"/>
          </w:tcPr>
          <w:p w14:paraId="3BA40579">
            <w:pPr>
              <w:pStyle w:val="18"/>
              <w:keepNext w:val="0"/>
              <w:keepLines w:val="0"/>
              <w:suppressLineNumbers w:val="0"/>
              <w:spacing w:before="0" w:beforeAutospacing="0" w:after="0" w:afterAutospacing="0" w:line="360" w:lineRule="auto"/>
              <w:ind w:left="0" w:right="0"/>
              <w:rPr>
                <w:rFonts w:hint="eastAsia" w:ascii="宋体" w:hAnsi="宋体" w:cs="宋体"/>
                <w:sz w:val="21"/>
                <w:szCs w:val="21"/>
                <w:highlight w:val="none"/>
              </w:rPr>
            </w:pPr>
            <w:r>
              <w:rPr>
                <w:rFonts w:hint="eastAsia" w:ascii="宋体" w:hAnsi="宋体" w:cs="宋体"/>
                <w:sz w:val="21"/>
                <w:szCs w:val="21"/>
                <w:highlight w:val="none"/>
              </w:rPr>
              <w:t>1.供应商为法人或者其他组织的提供其营业执照等证明文件（如营业执照或者事业单位法人证书或者执业许可证等）</w:t>
            </w:r>
            <w:r>
              <w:rPr>
                <w:rFonts w:hint="eastAsia" w:ascii="宋体" w:hAnsi="宋体" w:cs="宋体"/>
                <w:sz w:val="21"/>
                <w:szCs w:val="21"/>
                <w:highlight w:val="none"/>
                <w:lang w:eastAsia="zh-CN"/>
              </w:rPr>
              <w:t>；</w:t>
            </w:r>
            <w:r>
              <w:rPr>
                <w:rFonts w:hint="eastAsia" w:ascii="宋体" w:hAnsi="宋体" w:cs="宋体"/>
                <w:sz w:val="21"/>
                <w:szCs w:val="21"/>
                <w:highlight w:val="none"/>
              </w:rPr>
              <w:t>（</w:t>
            </w:r>
            <w:r>
              <w:rPr>
                <w:rFonts w:hint="eastAsia" w:ascii="宋体" w:hAnsi="宋体" w:cs="宋体"/>
                <w:b/>
                <w:sz w:val="21"/>
                <w:szCs w:val="21"/>
                <w:highlight w:val="none"/>
              </w:rPr>
              <w:t>必须提供，否则响应文件按无效响应处理</w:t>
            </w:r>
            <w:r>
              <w:rPr>
                <w:rFonts w:hint="eastAsia" w:ascii="宋体" w:hAnsi="宋体" w:cs="宋体"/>
                <w:sz w:val="21"/>
                <w:szCs w:val="21"/>
                <w:highlight w:val="none"/>
              </w:rPr>
              <w:t>）</w:t>
            </w:r>
          </w:p>
          <w:p w14:paraId="3E8D9175">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lang w:val="en-US" w:eastAsia="zh-CN"/>
              </w:rPr>
              <w:t>2</w:t>
            </w:r>
            <w:r>
              <w:rPr>
                <w:rFonts w:hint="eastAsia" w:ascii="宋体" w:hAnsi="宋体" w:cs="宋体"/>
                <w:szCs w:val="21"/>
                <w:highlight w:val="none"/>
              </w:rPr>
              <w:t>.供应商提供</w:t>
            </w:r>
            <w:r>
              <w:rPr>
                <w:rFonts w:hint="eastAsia" w:ascii="宋体" w:hAnsi="宋体" w:cs="宋体"/>
                <w:szCs w:val="21"/>
                <w:highlight w:val="none"/>
                <w:lang w:val="en-US" w:eastAsia="zh-CN"/>
              </w:rPr>
              <w:t>2026年1月以来任意</w:t>
            </w:r>
            <w:r>
              <w:rPr>
                <w:rFonts w:hint="eastAsia" w:ascii="宋体" w:hAnsi="宋体" w:cs="宋体"/>
                <w:szCs w:val="21"/>
                <w:highlight w:val="none"/>
              </w:rPr>
              <w:t>连续三个月依缴纳税费或依法免缴税费的证明；依法免税的供应商，必须提供相应文件证明其依法免税。从取得营业执照时间起到首次响应文件提交截止时间为止不足要求月数的，只需提供从取得营业执照起的依法缴纳税收相应</w:t>
            </w:r>
            <w:r>
              <w:rPr>
                <w:rFonts w:hint="eastAsia" w:ascii="宋体" w:hAnsi="宋体" w:cs="Times New Roman"/>
                <w:szCs w:val="21"/>
                <w:highlight w:val="none"/>
              </w:rPr>
              <w:t>证明文件</w:t>
            </w:r>
            <w:r>
              <w:rPr>
                <w:rFonts w:hint="eastAsia" w:ascii="宋体" w:hAnsi="宋体" w:cs="宋体"/>
                <w:szCs w:val="21"/>
                <w:highlight w:val="none"/>
              </w:rPr>
              <w:t>）；（</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6E9EE49A">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lang w:val="en-US" w:eastAsia="zh-CN"/>
              </w:rPr>
              <w:t>3</w:t>
            </w:r>
            <w:r>
              <w:rPr>
                <w:rFonts w:hint="eastAsia" w:ascii="宋体" w:hAnsi="宋体" w:cs="宋体"/>
                <w:szCs w:val="21"/>
                <w:highlight w:val="none"/>
              </w:rPr>
              <w:t>.供应商提供</w:t>
            </w:r>
            <w:r>
              <w:rPr>
                <w:rFonts w:hint="eastAsia" w:ascii="宋体" w:hAnsi="宋体" w:cs="宋体"/>
                <w:szCs w:val="21"/>
                <w:highlight w:val="none"/>
                <w:lang w:val="en-US" w:eastAsia="zh-CN"/>
              </w:rPr>
              <w:t>2026年1月以来任意</w:t>
            </w:r>
            <w:r>
              <w:rPr>
                <w:rFonts w:hint="eastAsia" w:ascii="宋体" w:hAnsi="宋体" w:cs="宋体"/>
                <w:szCs w:val="21"/>
                <w:highlight w:val="none"/>
              </w:rPr>
              <w:t>连续三个月的依法缴纳社保费及医保费的缴费凭证复印件；</w:t>
            </w:r>
            <w:r>
              <w:rPr>
                <w:rFonts w:hint="eastAsia" w:ascii="宋体" w:hAnsi="宋体" w:cs="Times New Roman"/>
                <w:szCs w:val="21"/>
                <w:highlight w:val="none"/>
              </w:rPr>
              <w:t>依法不需要缴纳社会保障资金或医疗保障资金的供应商，必须提供相应文件证明不需要缴纳社会保障资金或医疗保障资金。从取得营业执照时间起到响应文件提交截止时间为止不足要求月数的只需提供从取得营业执照起的依法缴纳社会保障资金及医疗保障资金的相应证明文件并作说明</w:t>
            </w:r>
            <w:r>
              <w:rPr>
                <w:rFonts w:hint="eastAsia" w:ascii="宋体" w:hAnsi="宋体" w:cs="宋体"/>
                <w:szCs w:val="21"/>
                <w:highlight w:val="none"/>
              </w:rPr>
              <w:t>）；（</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4716098B">
            <w:pPr>
              <w:keepNext w:val="0"/>
              <w:keepLines w:val="0"/>
              <w:widowControl/>
              <w:suppressLineNumbers w:val="0"/>
              <w:spacing w:before="0" w:beforeAutospacing="0" w:after="0" w:afterAutospacing="0" w:line="360" w:lineRule="auto"/>
              <w:ind w:left="0" w:right="0"/>
              <w:rPr>
                <w:rFonts w:hint="eastAsia" w:ascii="宋体" w:hAnsi="宋体" w:cs="宋体"/>
                <w:bCs/>
                <w:szCs w:val="21"/>
                <w:highlight w:val="none"/>
              </w:rPr>
            </w:pPr>
            <w:r>
              <w:rPr>
                <w:rFonts w:hint="eastAsia" w:ascii="宋体" w:hAnsi="宋体" w:cs="宋体"/>
                <w:szCs w:val="21"/>
                <w:highlight w:val="none"/>
                <w:lang w:val="en-US" w:eastAsia="zh-CN"/>
              </w:rPr>
              <w:t>4</w:t>
            </w:r>
            <w:r>
              <w:rPr>
                <w:rFonts w:hint="eastAsia" w:ascii="宋体" w:hAnsi="宋体" w:cs="宋体"/>
                <w:szCs w:val="21"/>
                <w:highlight w:val="none"/>
              </w:rPr>
              <w:t>.</w:t>
            </w:r>
            <w:r>
              <w:rPr>
                <w:rFonts w:hint="eastAsia" w:ascii="宋体" w:hAnsi="宋体" w:cs="Times New Roman"/>
                <w:szCs w:val="21"/>
                <w:highlight w:val="none"/>
              </w:rPr>
              <w:t>供应商财务状况报告:</w:t>
            </w:r>
            <w:r>
              <w:rPr>
                <w:rFonts w:hint="eastAsia" w:ascii="宋体" w:hAnsi="宋体" w:cs="Times New Roman"/>
                <w:color w:val="000000"/>
                <w:szCs w:val="21"/>
                <w:highlight w:val="none"/>
              </w:rPr>
              <w:t>供应商财务报表复印件：①如提供经第三方会计师事务所审计的，必须是202</w:t>
            </w:r>
            <w:r>
              <w:rPr>
                <w:rFonts w:hint="eastAsia" w:ascii="宋体" w:hAnsi="宋体" w:cs="Times New Roman"/>
                <w:color w:val="000000"/>
                <w:szCs w:val="21"/>
                <w:highlight w:val="none"/>
                <w:lang w:val="en-US" w:eastAsia="zh-CN"/>
              </w:rPr>
              <w:t>5</w:t>
            </w:r>
            <w:r>
              <w:rPr>
                <w:rFonts w:hint="eastAsia" w:ascii="宋体" w:hAnsi="宋体" w:cs="Times New Roman"/>
                <w:color w:val="000000"/>
                <w:szCs w:val="21"/>
                <w:highlight w:val="none"/>
              </w:rPr>
              <w:t>年财务报告（财务报告至少包括三表及其附注）；②如提供供应商自行出具的202</w:t>
            </w:r>
            <w:r>
              <w:rPr>
                <w:rFonts w:hint="eastAsia" w:ascii="宋体" w:hAnsi="宋体" w:cs="Times New Roman"/>
                <w:color w:val="000000"/>
                <w:szCs w:val="21"/>
                <w:highlight w:val="none"/>
                <w:lang w:val="en-US" w:eastAsia="zh-CN"/>
              </w:rPr>
              <w:t>5</w:t>
            </w:r>
            <w:r>
              <w:rPr>
                <w:rFonts w:hint="eastAsia" w:ascii="宋体" w:hAnsi="宋体" w:cs="Times New Roman"/>
                <w:color w:val="000000"/>
                <w:szCs w:val="21"/>
                <w:highlight w:val="none"/>
              </w:rPr>
              <w:t>年度财务报表，财务报表必须至少包含资产负债表、利润表、现金流量表；③新成立不足一年的供应商应提供公司成立日之后次月起至响应文件递交截止月前的财务报表，且财务报表必须至少包含资产负债表、利润表、现金流量表。以上未按要求提供材料的，磋商小组将取消其磋商资格】，或供应商其开户银行出具的资信证明复印件（说明：供应商其开户银行出具的资信证明指：反映供应商资金结算无异常，无违规透支，无理拒付、无逾期（垫款）和欠息等不良记录，结算纪律良好的相关证明，并非指存款证明。如所提供该证明仅为存款数额信息的将作无效证明处理，并按磋商无效处理）；</w:t>
            </w:r>
            <w:r>
              <w:rPr>
                <w:rFonts w:hint="eastAsia" w:ascii="宋体" w:hAnsi="宋体" w:cs="宋体"/>
                <w:bCs/>
                <w:szCs w:val="21"/>
                <w:highlight w:val="none"/>
              </w:rPr>
              <w:t>（</w:t>
            </w:r>
            <w:r>
              <w:rPr>
                <w:rFonts w:hint="eastAsia" w:ascii="宋体" w:hAnsi="宋体" w:cs="宋体"/>
                <w:b/>
                <w:szCs w:val="21"/>
                <w:highlight w:val="none"/>
              </w:rPr>
              <w:t>必须提供，否则响应文件按无效响应处理</w:t>
            </w:r>
            <w:r>
              <w:rPr>
                <w:rFonts w:hint="eastAsia" w:ascii="宋体" w:hAnsi="宋体" w:cs="宋体"/>
                <w:bCs/>
                <w:szCs w:val="21"/>
                <w:highlight w:val="none"/>
              </w:rPr>
              <w:t>）</w:t>
            </w:r>
          </w:p>
          <w:p w14:paraId="4C790E64">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lang w:val="en-US" w:eastAsia="zh-CN"/>
              </w:rPr>
              <w:t>5</w:t>
            </w:r>
            <w:r>
              <w:rPr>
                <w:rFonts w:hint="eastAsia" w:ascii="宋体" w:hAnsi="宋体" w:cs="宋体"/>
                <w:szCs w:val="21"/>
                <w:highlight w:val="none"/>
              </w:rPr>
              <w:t>. 供应商直接控股、管理关系信息表（格式后附）；（</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2AE0C879">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lang w:val="en-US" w:eastAsia="zh-CN"/>
              </w:rPr>
              <w:t>6</w:t>
            </w:r>
            <w:r>
              <w:rPr>
                <w:rFonts w:hint="eastAsia" w:ascii="宋体" w:hAnsi="宋体" w:cs="宋体"/>
                <w:szCs w:val="21"/>
                <w:highlight w:val="none"/>
              </w:rPr>
              <w:t>. 竞标声明（格式后附）；（</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35480F60">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Times New Roman"/>
                <w:highlight w:val="none"/>
                <w:lang w:val="en-US" w:eastAsia="zh-CN"/>
              </w:rPr>
              <w:t>7</w:t>
            </w:r>
            <w:r>
              <w:rPr>
                <w:rFonts w:hint="eastAsia" w:ascii="宋体" w:hAnsi="宋体" w:cs="Times New Roman"/>
                <w:highlight w:val="none"/>
              </w:rPr>
              <w:t>. 落实政府采购政策需满足的资格要求</w:t>
            </w:r>
            <w:r>
              <w:rPr>
                <w:rFonts w:hint="eastAsia" w:ascii="宋体" w:hAnsi="宋体" w:cs="Times New Roman"/>
                <w:highlight w:val="none"/>
                <w:lang w:eastAsia="zh-CN"/>
              </w:rPr>
              <w:t>：</w:t>
            </w:r>
            <w:r>
              <w:rPr>
                <w:rFonts w:hint="eastAsia" w:ascii="宋体" w:hAnsi="宋体" w:cs="Times New Roman"/>
                <w:highlight w:val="none"/>
              </w:rPr>
              <w:t>中小企业声明函或者残疾人福利性单位声明函或者供应商属于监狱企业的证明材料（格式后附）；</w:t>
            </w:r>
            <w:r>
              <w:rPr>
                <w:rFonts w:hint="eastAsia" w:ascii="宋体" w:hAnsi="宋体" w:cs="宋体"/>
                <w:szCs w:val="21"/>
                <w:highlight w:val="none"/>
              </w:rPr>
              <w:t>（</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61DAEE93">
            <w:pPr>
              <w:pStyle w:val="18"/>
              <w:keepNext w:val="0"/>
              <w:keepLines w:val="0"/>
              <w:suppressLineNumbers w:val="0"/>
              <w:spacing w:before="0" w:beforeAutospacing="0" w:after="0" w:afterAutospacing="0" w:line="360" w:lineRule="auto"/>
              <w:ind w:left="0" w:right="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8.采购人或采购代理机构根据竞争性磋商公告对应的特定资格要求及特定条件设置供应商提供的资格证明材料：</w:t>
            </w:r>
            <w:r>
              <w:rPr>
                <w:rFonts w:hint="eastAsia" w:ascii="宋体" w:hAnsi="宋体" w:cs="宋体"/>
                <w:b/>
                <w:bCs/>
                <w:sz w:val="21"/>
                <w:szCs w:val="21"/>
                <w:highlight w:val="none"/>
              </w:rPr>
              <w:t>（必须提供，否则响应文件按无效响应处理）</w:t>
            </w:r>
          </w:p>
          <w:p w14:paraId="74246B24">
            <w:pPr>
              <w:pStyle w:val="18"/>
              <w:keepNext w:val="0"/>
              <w:keepLines w:val="0"/>
              <w:suppressLineNumbers w:val="0"/>
              <w:spacing w:before="0" w:beforeAutospacing="0" w:after="0" w:afterAutospacing="0" w:line="360" w:lineRule="auto"/>
              <w:ind w:left="0" w:right="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8.1 具备建筑工程施工总承包三级（含）以上资质，并同时具有在省级及以上建设行政主管部门颁发的安全生产许可证，并在人员、设备、资金等方面具备相应的施工能力；</w:t>
            </w:r>
          </w:p>
          <w:p w14:paraId="37DA7178">
            <w:pPr>
              <w:pStyle w:val="18"/>
              <w:keepNext w:val="0"/>
              <w:keepLines w:val="0"/>
              <w:suppressLineNumbers w:val="0"/>
              <w:spacing w:before="0" w:beforeAutospacing="0" w:after="0" w:afterAutospacing="0" w:line="360" w:lineRule="auto"/>
              <w:ind w:left="0" w:right="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8.2拟派项目经理要求为供应商本企业人员，须具备建筑工程专业二级（含二级）以上注册建造师资格，具有有效的安全生产考核B证。本项目不接受有在建、已中标未开工或已列为其他项目中标（成交）候选人第一名的建造师作为项目经理（符合《广西壮族自治区建筑市场诚信卡管理暂行办法》第十六条第一款及桂建管﹝2016﹞70号、桂建管〔2020〕11号文除外）；</w:t>
            </w:r>
          </w:p>
          <w:p w14:paraId="4BCDD780">
            <w:pPr>
              <w:pStyle w:val="18"/>
              <w:keepNext w:val="0"/>
              <w:keepLines w:val="0"/>
              <w:suppressLineNumbers w:val="0"/>
              <w:spacing w:before="0" w:beforeAutospacing="0" w:after="0" w:afterAutospacing="0" w:line="360" w:lineRule="auto"/>
              <w:ind w:left="0" w:right="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 xml:space="preserve">8.3 </w:t>
            </w:r>
            <w:r>
              <w:rPr>
                <w:rFonts w:hint="eastAsia" w:ascii="宋体" w:hAnsi="宋体" w:cs="宋体"/>
                <w:sz w:val="21"/>
                <w:szCs w:val="21"/>
                <w:highlight w:val="none"/>
              </w:rPr>
              <w:t>配备不少于1名专职安全生产管理人员，</w:t>
            </w:r>
            <w:r>
              <w:rPr>
                <w:rFonts w:hint="eastAsia" w:ascii="宋体" w:hAnsi="宋体" w:eastAsia="宋体" w:cs="宋体"/>
                <w:sz w:val="21"/>
                <w:szCs w:val="21"/>
                <w:highlight w:val="none"/>
                <w:lang w:eastAsia="zh-CN"/>
              </w:rPr>
              <w:t>拟派</w:t>
            </w:r>
            <w:r>
              <w:rPr>
                <w:rFonts w:hint="eastAsia" w:ascii="宋体" w:hAnsi="宋体" w:eastAsia="宋体" w:cs="宋体"/>
                <w:sz w:val="21"/>
                <w:szCs w:val="21"/>
                <w:highlight w:val="none"/>
              </w:rPr>
              <w:t>安全员</w:t>
            </w:r>
            <w:r>
              <w:rPr>
                <w:rFonts w:hint="eastAsia" w:ascii="宋体" w:hAnsi="宋体" w:cs="宋体"/>
                <w:sz w:val="21"/>
                <w:szCs w:val="21"/>
                <w:highlight w:val="none"/>
                <w:lang w:val="en-US" w:eastAsia="zh-CN"/>
              </w:rPr>
              <w:t>须</w:t>
            </w:r>
            <w:r>
              <w:rPr>
                <w:rFonts w:hint="eastAsia" w:ascii="宋体" w:hAnsi="宋体" w:eastAsia="宋体" w:cs="宋体"/>
                <w:sz w:val="21"/>
                <w:szCs w:val="21"/>
                <w:highlight w:val="none"/>
              </w:rPr>
              <w:t>具备有效的安全生产考核合格证书(C类)</w:t>
            </w:r>
            <w:r>
              <w:rPr>
                <w:rFonts w:hint="eastAsia" w:ascii="宋体" w:hAnsi="宋体" w:cs="宋体"/>
                <w:sz w:val="21"/>
                <w:szCs w:val="21"/>
                <w:highlight w:val="none"/>
                <w:lang w:val="en-US" w:eastAsia="zh-CN"/>
              </w:rPr>
              <w:t>；</w:t>
            </w:r>
          </w:p>
          <w:p w14:paraId="09DDA21B">
            <w:pPr>
              <w:pStyle w:val="18"/>
              <w:keepNext w:val="0"/>
              <w:keepLines w:val="0"/>
              <w:suppressLineNumbers w:val="0"/>
              <w:spacing w:before="0" w:beforeAutospacing="0" w:after="0" w:afterAutospacing="0" w:line="360" w:lineRule="auto"/>
              <w:ind w:left="0" w:right="0"/>
              <w:rPr>
                <w:rFonts w:hint="eastAsia" w:ascii="宋体" w:hAnsi="宋体" w:cs="宋体"/>
                <w:sz w:val="21"/>
                <w:szCs w:val="21"/>
                <w:highlight w:val="none"/>
                <w:lang w:val="en-US" w:eastAsia="zh-CN"/>
              </w:rPr>
            </w:pPr>
            <w:r>
              <w:rPr>
                <w:rFonts w:hint="eastAsia" w:ascii="宋体" w:hAnsi="宋体" w:cs="宋体"/>
                <w:sz w:val="21"/>
                <w:szCs w:val="21"/>
                <w:highlight w:val="none"/>
                <w:lang w:val="en-US" w:eastAsia="zh-CN"/>
              </w:rPr>
              <w:t>8.4 施工员、质量员、材料员：具有相应施工现场专业人员职业培训合格证书并在有效期内。</w:t>
            </w:r>
          </w:p>
          <w:p w14:paraId="477D7DF3">
            <w:pPr>
              <w:keepNext w:val="0"/>
              <w:keepLines w:val="0"/>
              <w:suppressLineNumbers w:val="0"/>
              <w:spacing w:before="0" w:beforeAutospacing="0" w:after="0" w:afterAutospacing="0" w:line="360" w:lineRule="auto"/>
              <w:ind w:left="0" w:right="0"/>
              <w:jc w:val="left"/>
              <w:rPr>
                <w:rFonts w:hint="eastAsia" w:ascii="宋体" w:hAnsi="宋体" w:cs="Times New Roman"/>
                <w:szCs w:val="21"/>
                <w:highlight w:val="none"/>
              </w:rPr>
            </w:pPr>
            <w:r>
              <w:rPr>
                <w:rFonts w:hint="eastAsia" w:ascii="宋体" w:hAnsi="宋体" w:cs="Times New Roman"/>
                <w:szCs w:val="21"/>
                <w:highlight w:val="none"/>
                <w:lang w:val="en-US" w:eastAsia="zh-CN"/>
              </w:rPr>
              <w:t>9</w:t>
            </w:r>
            <w:r>
              <w:rPr>
                <w:rFonts w:hint="eastAsia" w:ascii="宋体" w:hAnsi="宋体" w:cs="Times New Roman"/>
                <w:szCs w:val="21"/>
                <w:highlight w:val="none"/>
              </w:rPr>
              <w:t xml:space="preserve">. </w:t>
            </w:r>
            <w:r>
              <w:rPr>
                <w:rFonts w:hint="eastAsia" w:ascii="宋体" w:hAnsi="宋体"/>
                <w:color w:val="000000"/>
                <w:szCs w:val="21"/>
                <w:highlight w:val="none"/>
                <w:lang w:val="en-US" w:eastAsia="zh-CN"/>
              </w:rPr>
              <w:t>磋商保证金缴纳证明；</w:t>
            </w:r>
            <w:r>
              <w:rPr>
                <w:rFonts w:hint="eastAsia" w:ascii="宋体" w:hAnsi="宋体"/>
                <w:color w:val="000000"/>
                <w:szCs w:val="21"/>
                <w:highlight w:val="none"/>
              </w:rPr>
              <w:t>（</w:t>
            </w:r>
            <w:r>
              <w:rPr>
                <w:rFonts w:hint="eastAsia" w:ascii="宋体" w:hAnsi="宋体"/>
                <w:b/>
                <w:bCs/>
                <w:color w:val="000000"/>
                <w:szCs w:val="21"/>
                <w:highlight w:val="none"/>
              </w:rPr>
              <w:t>必</w:t>
            </w:r>
            <w:r>
              <w:rPr>
                <w:rFonts w:hint="eastAsia" w:ascii="宋体" w:hAnsi="宋体"/>
                <w:b/>
                <w:color w:val="000000"/>
                <w:szCs w:val="21"/>
                <w:highlight w:val="none"/>
              </w:rPr>
              <w:t>须提供，否则响应文件按无效响应处理</w:t>
            </w:r>
            <w:r>
              <w:rPr>
                <w:rFonts w:hint="eastAsia" w:ascii="宋体" w:hAnsi="宋体"/>
                <w:color w:val="000000"/>
                <w:szCs w:val="21"/>
                <w:highlight w:val="none"/>
              </w:rPr>
              <w:t>）</w:t>
            </w:r>
          </w:p>
          <w:p w14:paraId="50F42ECE">
            <w:pPr>
              <w:keepNext w:val="0"/>
              <w:keepLines w:val="0"/>
              <w:suppressLineNumbers w:val="0"/>
              <w:spacing w:before="0" w:beforeAutospacing="0" w:after="0" w:afterAutospacing="0" w:line="360" w:lineRule="auto"/>
              <w:ind w:left="0" w:right="0"/>
              <w:jc w:val="left"/>
              <w:rPr>
                <w:rFonts w:hint="eastAsia" w:ascii="宋体" w:hAnsi="宋体" w:cs="宋体"/>
                <w:szCs w:val="21"/>
                <w:highlight w:val="none"/>
              </w:rPr>
            </w:pPr>
            <w:r>
              <w:rPr>
                <w:rFonts w:hint="eastAsia" w:ascii="宋体" w:hAnsi="宋体" w:cs="宋体"/>
                <w:szCs w:val="21"/>
                <w:highlight w:val="none"/>
                <w:lang w:val="en-US" w:eastAsia="zh-CN"/>
              </w:rPr>
              <w:t xml:space="preserve">10. </w:t>
            </w:r>
            <w:r>
              <w:rPr>
                <w:rFonts w:hint="eastAsia" w:ascii="宋体" w:hAnsi="宋体" w:cs="宋体"/>
                <w:szCs w:val="21"/>
                <w:highlight w:val="none"/>
              </w:rPr>
              <w:t>除磋商文件规定必须提供以外，供应商认为需要提供的其他证明材。料；</w:t>
            </w:r>
          </w:p>
          <w:p w14:paraId="6460D7B5">
            <w:pPr>
              <w:keepNext w:val="0"/>
              <w:keepLines w:val="0"/>
              <w:suppressLineNumbers w:val="0"/>
              <w:spacing w:before="0" w:beforeAutospacing="0" w:after="0" w:afterAutospacing="0" w:line="360" w:lineRule="auto"/>
              <w:ind w:left="0" w:right="0" w:firstLine="422"/>
              <w:jc w:val="left"/>
              <w:rPr>
                <w:rFonts w:hint="eastAsia" w:ascii="宋体" w:hAnsi="宋体" w:cs="宋体"/>
                <w:b/>
                <w:szCs w:val="21"/>
                <w:highlight w:val="none"/>
              </w:rPr>
            </w:pPr>
            <w:r>
              <w:rPr>
                <w:rFonts w:hint="eastAsia" w:ascii="宋体" w:hAnsi="宋体" w:cs="宋体"/>
                <w:b/>
                <w:szCs w:val="21"/>
                <w:highlight w:val="none"/>
              </w:rPr>
              <w:t>注：以上标明“必须提供”的材料属于</w:t>
            </w:r>
            <w:r>
              <w:rPr>
                <w:rFonts w:hint="eastAsia" w:ascii="宋体" w:hAnsi="宋体" w:cs="宋体"/>
                <w:b/>
                <w:szCs w:val="21"/>
                <w:highlight w:val="none"/>
                <w:lang w:eastAsia="zh-CN"/>
              </w:rPr>
              <w:t>原</w:t>
            </w:r>
            <w:r>
              <w:rPr>
                <w:rFonts w:hint="eastAsia" w:ascii="宋体" w:hAnsi="宋体" w:cs="宋体"/>
                <w:b/>
                <w:szCs w:val="21"/>
                <w:highlight w:val="none"/>
              </w:rPr>
              <w:t>件的扫描件的，必须加盖供应商电子公章，否则响应文件按无效响应处理。</w:t>
            </w:r>
          </w:p>
        </w:tc>
      </w:tr>
      <w:tr w14:paraId="5410B406">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10F5730C">
            <w:pPr>
              <w:keepNext w:val="0"/>
              <w:keepLines w:val="0"/>
              <w:suppressLineNumbers w:val="0"/>
              <w:spacing w:before="0" w:beforeAutospacing="0" w:after="0" w:afterAutospacing="0" w:line="400" w:lineRule="exact"/>
              <w:ind w:left="0" w:right="0"/>
              <w:rPr>
                <w:rFonts w:hint="default" w:ascii="宋体" w:hAnsi="宋体" w:cs="宋体"/>
                <w:szCs w:val="21"/>
                <w:highlight w:val="none"/>
              </w:rPr>
            </w:pPr>
            <w:r>
              <w:rPr>
                <w:rFonts w:hint="eastAsia" w:ascii="宋体" w:hAnsi="宋体" w:cs="宋体"/>
                <w:szCs w:val="21"/>
                <w:highlight w:val="none"/>
              </w:rPr>
              <w:t>12.1.2</w:t>
            </w:r>
          </w:p>
        </w:tc>
        <w:tc>
          <w:tcPr>
            <w:tcW w:w="747" w:type="pct"/>
            <w:noWrap w:val="0"/>
            <w:vAlign w:val="center"/>
          </w:tcPr>
          <w:p w14:paraId="2F09224D">
            <w:pPr>
              <w:keepNext w:val="0"/>
              <w:keepLines w:val="0"/>
              <w:widowControl/>
              <w:suppressLineNumbers w:val="0"/>
              <w:spacing w:before="0" w:beforeAutospacing="0" w:after="0" w:afterAutospacing="0" w:line="360" w:lineRule="auto"/>
              <w:ind w:left="0" w:right="0"/>
              <w:rPr>
                <w:rFonts w:hint="eastAsia" w:ascii="宋体" w:hAnsi="宋体" w:cs="宋体"/>
                <w:b/>
                <w:bCs/>
                <w:szCs w:val="22"/>
                <w:highlight w:val="none"/>
              </w:rPr>
            </w:pPr>
            <w:r>
              <w:rPr>
                <w:rFonts w:hint="eastAsia" w:ascii="宋体" w:hAnsi="宋体" w:cs="宋体"/>
                <w:b/>
                <w:bCs/>
                <w:szCs w:val="21"/>
                <w:highlight w:val="none"/>
              </w:rPr>
              <w:t>报价商务技术文件</w:t>
            </w:r>
          </w:p>
        </w:tc>
        <w:tc>
          <w:tcPr>
            <w:tcW w:w="3779" w:type="pct"/>
            <w:noWrap w:val="0"/>
            <w:vAlign w:val="center"/>
          </w:tcPr>
          <w:p w14:paraId="70AFB01C">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1.无串通竞标行为的承诺函（格式后附）；（</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5CCA6BC4">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2. 磋商函及其附录、磋商报价表（格式后附）；（</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7B75D697">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3.法定代表人身份证明书及法定代表人有效身份证正反面复印件（格式后附）；（</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20204E87">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4.法定代表人授权委托书及委托代理人有效身份证正反面复印件（格式后附）；（</w:t>
            </w:r>
            <w:r>
              <w:rPr>
                <w:rFonts w:hint="eastAsia" w:ascii="宋体" w:hAnsi="宋体" w:cs="宋体"/>
                <w:b/>
                <w:szCs w:val="21"/>
                <w:highlight w:val="none"/>
              </w:rPr>
              <w:t>委托时必须提供，否则响应文件按无效响应处理</w:t>
            </w:r>
            <w:r>
              <w:rPr>
                <w:rFonts w:hint="eastAsia" w:ascii="宋体" w:hAnsi="宋体" w:cs="宋体"/>
                <w:szCs w:val="21"/>
                <w:highlight w:val="none"/>
              </w:rPr>
              <w:t>）</w:t>
            </w:r>
          </w:p>
          <w:p w14:paraId="1AC26166">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 xml:space="preserve">5. </w:t>
            </w:r>
            <w:r>
              <w:rPr>
                <w:rFonts w:hint="eastAsia" w:ascii="宋体" w:hAnsi="宋体" w:cs="宋体"/>
                <w:spacing w:val="-2"/>
                <w:szCs w:val="21"/>
                <w:highlight w:val="none"/>
              </w:rPr>
              <w:t>已标价的工程量清单</w:t>
            </w:r>
            <w:r>
              <w:rPr>
                <w:rFonts w:hint="eastAsia" w:ascii="宋体" w:hAnsi="宋体" w:cs="宋体"/>
                <w:b/>
                <w:bCs/>
                <w:spacing w:val="-2"/>
                <w:szCs w:val="21"/>
                <w:highlight w:val="none"/>
              </w:rPr>
              <w:t>（必须提供，否则响应文件按无效响应处理，价格合计须与磋</w:t>
            </w:r>
            <w:r>
              <w:rPr>
                <w:rFonts w:hint="eastAsia" w:ascii="宋体" w:hAnsi="宋体" w:cs="宋体"/>
                <w:b/>
                <w:bCs/>
                <w:spacing w:val="-10"/>
                <w:szCs w:val="21"/>
                <w:highlight w:val="none"/>
              </w:rPr>
              <w:t>商总报价一致，如磋商后提交最终报价总价改变，则须相应调整并提交已标价工程量</w:t>
            </w:r>
            <w:r>
              <w:rPr>
                <w:rFonts w:hint="eastAsia" w:ascii="宋体" w:hAnsi="宋体" w:cs="宋体"/>
                <w:b/>
                <w:bCs/>
                <w:szCs w:val="21"/>
                <w:highlight w:val="none"/>
              </w:rPr>
              <w:t>清单）；</w:t>
            </w:r>
          </w:p>
          <w:p w14:paraId="3F976579">
            <w:pPr>
              <w:pStyle w:val="20"/>
              <w:keepNext w:val="0"/>
              <w:keepLines w:val="0"/>
              <w:widowControl/>
              <w:suppressLineNumbers w:val="0"/>
              <w:spacing w:before="0" w:beforeAutospacing="0" w:afterAutospacing="0" w:line="360" w:lineRule="auto"/>
              <w:ind w:left="0" w:right="0"/>
              <w:rPr>
                <w:rFonts w:hint="eastAsia" w:ascii="宋体" w:hAnsi="宋体" w:cs="宋体"/>
                <w:sz w:val="21"/>
                <w:szCs w:val="21"/>
                <w:highlight w:val="none"/>
              </w:rPr>
            </w:pPr>
            <w:r>
              <w:rPr>
                <w:rFonts w:hint="eastAsia" w:ascii="宋体" w:hAnsi="宋体" w:cs="宋体"/>
                <w:sz w:val="21"/>
                <w:szCs w:val="21"/>
                <w:highlight w:val="none"/>
              </w:rPr>
              <w:t>6. 供应商廉政承诺（格式后附）；（</w:t>
            </w:r>
            <w:r>
              <w:rPr>
                <w:rFonts w:hint="eastAsia" w:ascii="宋体" w:hAnsi="宋体" w:cs="宋体"/>
                <w:b/>
                <w:sz w:val="21"/>
                <w:szCs w:val="21"/>
                <w:highlight w:val="none"/>
              </w:rPr>
              <w:t>必须提供，否则响应文件按无效响应处理</w:t>
            </w:r>
            <w:r>
              <w:rPr>
                <w:rFonts w:hint="eastAsia" w:ascii="宋体" w:hAnsi="宋体" w:cs="宋体"/>
                <w:sz w:val="21"/>
                <w:szCs w:val="21"/>
                <w:highlight w:val="none"/>
              </w:rPr>
              <w:t>）</w:t>
            </w:r>
          </w:p>
          <w:p w14:paraId="78FA8427">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7. 建设工程项目管理承诺书；（</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595B200C">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8. 施工组织计划书（格式自拟）；（</w:t>
            </w:r>
            <w:r>
              <w:rPr>
                <w:rFonts w:hint="eastAsia" w:ascii="宋体" w:hAnsi="宋体" w:cs="宋体"/>
                <w:b/>
                <w:szCs w:val="21"/>
                <w:highlight w:val="none"/>
              </w:rPr>
              <w:t>必须提供，否则响应文件按无效响应处理</w:t>
            </w:r>
            <w:r>
              <w:rPr>
                <w:rFonts w:hint="eastAsia" w:ascii="宋体" w:hAnsi="宋体" w:cs="宋体"/>
                <w:szCs w:val="21"/>
                <w:highlight w:val="none"/>
              </w:rPr>
              <w:t>）</w:t>
            </w:r>
          </w:p>
          <w:p w14:paraId="3135F17D">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9. 项目管理机构配备情况表（格式附后）；</w:t>
            </w:r>
          </w:p>
          <w:p w14:paraId="206FF48B">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10.售后服务承诺书（格式自拟）；</w:t>
            </w:r>
          </w:p>
          <w:p w14:paraId="775F66E6">
            <w:pPr>
              <w:keepNext w:val="0"/>
              <w:keepLines w:val="0"/>
              <w:widowControl/>
              <w:suppressLineNumbers w:val="0"/>
              <w:spacing w:before="0" w:beforeAutospacing="0" w:after="0" w:afterAutospacing="0" w:line="360" w:lineRule="auto"/>
              <w:ind w:left="0" w:right="0"/>
              <w:rPr>
                <w:rFonts w:hint="eastAsia" w:ascii="宋体" w:hAnsi="宋体" w:cs="宋体"/>
                <w:szCs w:val="21"/>
                <w:highlight w:val="none"/>
              </w:rPr>
            </w:pPr>
            <w:r>
              <w:rPr>
                <w:rFonts w:hint="eastAsia" w:ascii="宋体" w:hAnsi="宋体" w:cs="宋体"/>
                <w:szCs w:val="21"/>
                <w:highlight w:val="none"/>
              </w:rPr>
              <w:t>11.对应项目发包要求提供的其他有关资料（格式自拟）；</w:t>
            </w:r>
          </w:p>
          <w:p w14:paraId="22E96535">
            <w:pPr>
              <w:keepNext w:val="0"/>
              <w:keepLines w:val="0"/>
              <w:suppressLineNumbers w:val="0"/>
              <w:spacing w:before="0" w:beforeAutospacing="0" w:after="0" w:afterAutospacing="0" w:line="400" w:lineRule="exact"/>
              <w:ind w:left="0" w:right="0"/>
              <w:contextualSpacing/>
              <w:rPr>
                <w:rFonts w:hint="eastAsia" w:ascii="宋体" w:hAnsi="宋体" w:cs="宋体"/>
                <w:b/>
                <w:szCs w:val="21"/>
                <w:highlight w:val="none"/>
              </w:rPr>
            </w:pPr>
            <w:r>
              <w:rPr>
                <w:rFonts w:hint="eastAsia" w:ascii="宋体" w:hAnsi="宋体" w:cs="宋体"/>
                <w:b/>
                <w:szCs w:val="21"/>
                <w:highlight w:val="none"/>
              </w:rPr>
              <w:t>注：以上标明“必须提供”的材料属于复印件的扫描件的，必须加盖供应商电子公章，否则响应文件按无效响应处理。</w:t>
            </w:r>
          </w:p>
        </w:tc>
      </w:tr>
      <w:tr w14:paraId="09D6BE37">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5BD9A620">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12.2</w:t>
            </w:r>
          </w:p>
        </w:tc>
        <w:tc>
          <w:tcPr>
            <w:tcW w:w="747" w:type="pct"/>
            <w:noWrap w:val="0"/>
            <w:vAlign w:val="center"/>
          </w:tcPr>
          <w:p w14:paraId="76AC79C2">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响应文件电子版要求</w:t>
            </w:r>
          </w:p>
        </w:tc>
        <w:tc>
          <w:tcPr>
            <w:tcW w:w="3779" w:type="pct"/>
            <w:noWrap w:val="0"/>
            <w:vAlign w:val="center"/>
          </w:tcPr>
          <w:p w14:paraId="449A98C9">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1.响应文件电子版要求：按照本采购文件“第</w:t>
            </w:r>
            <w:r>
              <w:rPr>
                <w:rFonts w:hint="eastAsia" w:ascii="宋体" w:hAnsi="宋体" w:cs="宋体"/>
                <w:szCs w:val="21"/>
                <w:highlight w:val="none"/>
                <w:lang w:eastAsia="zh-CN"/>
              </w:rPr>
              <w:t>六</w:t>
            </w:r>
            <w:r>
              <w:rPr>
                <w:rFonts w:hint="eastAsia" w:ascii="宋体" w:hAnsi="宋体" w:cs="宋体"/>
                <w:szCs w:val="21"/>
                <w:highlight w:val="none"/>
              </w:rPr>
              <w:t>章 响应文件格式”编写（第</w:t>
            </w:r>
            <w:r>
              <w:rPr>
                <w:rFonts w:hint="eastAsia" w:ascii="宋体" w:hAnsi="宋体" w:cs="宋体"/>
                <w:szCs w:val="21"/>
                <w:highlight w:val="none"/>
                <w:lang w:eastAsia="zh-CN"/>
              </w:rPr>
              <w:t>六</w:t>
            </w:r>
            <w:r>
              <w:rPr>
                <w:rFonts w:hint="eastAsia" w:ascii="宋体" w:hAnsi="宋体" w:cs="宋体"/>
                <w:szCs w:val="21"/>
                <w:highlight w:val="none"/>
              </w:rPr>
              <w:t>章未附格式的，由供应商自行拟定），不可涂改并在规定加盖公章处加盖电子公章，</w:t>
            </w:r>
            <w:r>
              <w:rPr>
                <w:rFonts w:hint="eastAsia" w:ascii="宋体" w:hAnsi="宋体" w:cs="宋体"/>
                <w:b/>
                <w:szCs w:val="21"/>
                <w:highlight w:val="none"/>
              </w:rPr>
              <w:t>否则响应文件按无效响应处理</w:t>
            </w:r>
            <w:r>
              <w:rPr>
                <w:rFonts w:hint="eastAsia" w:ascii="宋体" w:hAnsi="宋体" w:cs="宋体"/>
                <w:szCs w:val="21"/>
                <w:highlight w:val="none"/>
              </w:rPr>
              <w:t>。</w:t>
            </w:r>
          </w:p>
          <w:p w14:paraId="502452E1">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2.响应文件电子版密封方式：电子响应文件通过平台有效CA加密后在“</w:t>
            </w:r>
            <w:r>
              <w:rPr>
                <w:rFonts w:hint="eastAsia" w:ascii="宋体" w:hAnsi="宋体" w:cs="宋体"/>
                <w:highlight w:val="none"/>
              </w:rPr>
              <w:t>广西政府采购云平台</w:t>
            </w:r>
            <w:r>
              <w:rPr>
                <w:rFonts w:hint="eastAsia" w:ascii="宋体" w:hAnsi="宋体" w:cs="宋体"/>
                <w:szCs w:val="21"/>
                <w:highlight w:val="none"/>
              </w:rPr>
              <w:t>”投送。（操作方式见公告附件“电子响应文件制作与投送教程” ）</w:t>
            </w:r>
          </w:p>
        </w:tc>
      </w:tr>
      <w:tr w14:paraId="5BB158F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5C5951CB">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15.2</w:t>
            </w:r>
          </w:p>
        </w:tc>
        <w:tc>
          <w:tcPr>
            <w:tcW w:w="747" w:type="pct"/>
            <w:noWrap w:val="0"/>
            <w:vAlign w:val="center"/>
          </w:tcPr>
          <w:p w14:paraId="64985B58">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响应报价要求</w:t>
            </w:r>
          </w:p>
        </w:tc>
        <w:tc>
          <w:tcPr>
            <w:tcW w:w="3779" w:type="pct"/>
            <w:noWrap w:val="0"/>
            <w:vAlign w:val="center"/>
          </w:tcPr>
          <w:p w14:paraId="58110081">
            <w:pPr>
              <w:keepNext w:val="0"/>
              <w:keepLines w:val="0"/>
              <w:suppressLineNumbers w:val="0"/>
              <w:spacing w:before="0" w:beforeAutospacing="0" w:after="0" w:afterAutospacing="0" w:line="440" w:lineRule="exact"/>
              <w:ind w:left="0" w:right="0"/>
              <w:rPr>
                <w:rFonts w:hint="eastAsia" w:ascii="宋体" w:hAnsi="宋体" w:cs="宋体"/>
                <w:szCs w:val="21"/>
                <w:highlight w:val="none"/>
              </w:rPr>
            </w:pPr>
            <w:r>
              <w:rPr>
                <w:rFonts w:hint="eastAsia" w:ascii="宋体" w:hAnsi="宋体" w:cs="宋体"/>
                <w:szCs w:val="21"/>
                <w:highlight w:val="none"/>
              </w:rPr>
              <w:t>1.本工程招标控制价（最高限价）：</w:t>
            </w:r>
            <w:r>
              <w:rPr>
                <w:rFonts w:hint="eastAsia" w:ascii="宋体" w:hAnsi="宋体" w:cs="宋体"/>
                <w:szCs w:val="21"/>
                <w:highlight w:val="none"/>
                <w:lang w:eastAsia="zh-CN"/>
              </w:rPr>
              <w:t>1904892.99</w:t>
            </w:r>
            <w:r>
              <w:rPr>
                <w:rFonts w:hint="eastAsia" w:ascii="宋体" w:hAnsi="宋体" w:cs="宋体"/>
                <w:szCs w:val="21"/>
                <w:highlight w:val="none"/>
              </w:rPr>
              <w:t>元，响应报价不得高于最高限价，否则竞标无效。</w:t>
            </w:r>
          </w:p>
          <w:p w14:paraId="2209079B">
            <w:pPr>
              <w:keepNext w:val="0"/>
              <w:keepLines w:val="0"/>
              <w:suppressLineNumbers w:val="0"/>
              <w:spacing w:before="0" w:beforeAutospacing="0" w:after="0" w:afterAutospacing="0" w:line="440" w:lineRule="exact"/>
              <w:ind w:left="0" w:right="0"/>
              <w:rPr>
                <w:rFonts w:hint="eastAsia" w:ascii="宋体" w:hAnsi="宋体" w:cs="宋体"/>
                <w:szCs w:val="21"/>
                <w:highlight w:val="none"/>
              </w:rPr>
            </w:pPr>
            <w:r>
              <w:rPr>
                <w:rFonts w:hint="eastAsia" w:ascii="宋体" w:hAnsi="宋体" w:cs="宋体"/>
                <w:szCs w:val="21"/>
                <w:highlight w:val="none"/>
              </w:rPr>
              <w:t>2.本项目的计税方式：</w:t>
            </w:r>
          </w:p>
          <w:p w14:paraId="2069AAFC">
            <w:pPr>
              <w:keepNext w:val="0"/>
              <w:keepLines w:val="0"/>
              <w:suppressLineNumbers w:val="0"/>
              <w:spacing w:before="0" w:beforeAutospacing="0" w:after="0" w:afterAutospacing="0" w:line="440" w:lineRule="exact"/>
              <w:ind w:left="0" w:right="0"/>
              <w:rPr>
                <w:rFonts w:hint="eastAsia" w:ascii="宋体" w:hAnsi="宋体" w:cs="宋体"/>
                <w:szCs w:val="21"/>
                <w:highlight w:val="none"/>
              </w:rPr>
            </w:pPr>
            <w:r>
              <w:rPr>
                <w:rFonts w:hint="eastAsia" w:ascii="宋体" w:hAnsi="宋体" w:cs="宋体"/>
                <w:szCs w:val="21"/>
                <w:highlight w:val="none"/>
              </w:rPr>
              <w:t>☑一般计税法         □简易计税法</w:t>
            </w:r>
          </w:p>
          <w:p w14:paraId="4C03E4AF">
            <w:pPr>
              <w:keepNext w:val="0"/>
              <w:keepLines w:val="0"/>
              <w:suppressLineNumbers w:val="0"/>
              <w:spacing w:before="0" w:beforeAutospacing="0" w:after="0" w:afterAutospacing="0" w:line="440" w:lineRule="exact"/>
              <w:ind w:left="0" w:right="0"/>
              <w:rPr>
                <w:rFonts w:hint="eastAsia" w:ascii="宋体" w:hAnsi="宋体" w:cs="宋体"/>
                <w:szCs w:val="21"/>
                <w:highlight w:val="none"/>
              </w:rPr>
            </w:pPr>
            <w:r>
              <w:rPr>
                <w:rFonts w:hint="eastAsia" w:ascii="宋体" w:hAnsi="宋体" w:cs="宋体"/>
                <w:szCs w:val="21"/>
                <w:highlight w:val="none"/>
              </w:rPr>
              <w:t>【备注：按照《关于全面推开营业税改征增值税试点的通知》（财税〔2016〕36号）规定，营改增后，建设工程计价分为一般计税方法和简易计税方法。除清包工工程、甲供工程的建设工程可采用简易计税方法外，其他一般纳税人提供建筑服务的建设工程，采用一般计税方法。】</w:t>
            </w:r>
          </w:p>
          <w:p w14:paraId="5C53DBB7">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宋体"/>
                <w:szCs w:val="21"/>
                <w:highlight w:val="none"/>
              </w:rPr>
              <w:t>3.</w:t>
            </w:r>
            <w:r>
              <w:rPr>
                <w:rFonts w:hint="eastAsia" w:ascii="宋体" w:hAnsi="宋体" w:cs="Times New Roman"/>
                <w:szCs w:val="21"/>
                <w:highlight w:val="none"/>
              </w:rPr>
              <w:t>本工程磋商报价采用工程量清单报价。</w:t>
            </w:r>
          </w:p>
          <w:p w14:paraId="4873DA8B">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（1)供应商必须就所竞标的全部内容作完整报价，漏项报价的或有选择的或有条件的报价，其竞标将视为无效。</w:t>
            </w:r>
          </w:p>
          <w:p w14:paraId="004CE893">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2)本项目采用工程量清单报价方式，供应商应使用符合该数据交换标准的计价软件导入电子工程量清单，填写单价和计算总额价，完成已标价工程量清单的编制。严禁供应商修改工程量清单的项目结构、标段名称、单项工程名称、单位工程名称、项目编码、项目名称、项目特征、计量单位、工程量、清单顺序和序号。供应商不得对工程量清单项目进行增减调整。</w:t>
            </w:r>
          </w:p>
          <w:p w14:paraId="60EB4555">
            <w:pPr>
              <w:keepNext w:val="0"/>
              <w:keepLines w:val="0"/>
              <w:suppressLineNumbers w:val="0"/>
              <w:spacing w:before="0" w:beforeAutospacing="0" w:after="0" w:afterAutospacing="0" w:line="440" w:lineRule="exact"/>
              <w:ind w:left="0" w:right="0"/>
              <w:rPr>
                <w:rFonts w:hint="default" w:ascii="Times New Roman" w:hAnsi="宋体" w:cs="Times New Roman"/>
                <w:b/>
                <w:bCs/>
                <w:szCs w:val="21"/>
                <w:highlight w:val="none"/>
              </w:rPr>
            </w:pPr>
            <w:r>
              <w:rPr>
                <w:rFonts w:hint="eastAsia" w:ascii="宋体" w:hAnsi="宋体" w:cs="Times New Roman"/>
                <w:szCs w:val="21"/>
                <w:highlight w:val="none"/>
              </w:rPr>
              <w:t>（3）设计变更、签证工程的计价方法：①国家和自治区政策性调整有关费用标准的，按文件规定执行。②发包人招标预算编制说明中暂定的价格实际发生时由双方协商定价。③招标工程量清单中漏项、施工</w:t>
            </w:r>
            <w:r>
              <w:rPr>
                <w:rFonts w:hint="eastAsia" w:ascii="宋体" w:hAnsi="宋体" w:cs="Times New Roman"/>
                <w:szCs w:val="21"/>
                <w:highlight w:val="none"/>
                <w:lang w:eastAsia="zh-CN"/>
              </w:rPr>
              <w:t>方案</w:t>
            </w:r>
            <w:r>
              <w:rPr>
                <w:rFonts w:hint="eastAsia" w:ascii="宋体" w:hAnsi="宋体" w:cs="Times New Roman"/>
                <w:szCs w:val="21"/>
                <w:highlight w:val="none"/>
              </w:rPr>
              <w:t>上标有的内容施工时作为增加工程签证，结算时按实际发生工程量进行结算。</w:t>
            </w:r>
          </w:p>
          <w:p w14:paraId="65CA9908">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（4）磋商单位应认真填写工程量清单中所列的所有各细目的单价和合价，填写工程量清单时应注意：</w:t>
            </w:r>
          </w:p>
          <w:p w14:paraId="0F8755A0">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①有工程数量的应报单价和合价。</w:t>
            </w:r>
          </w:p>
          <w:p w14:paraId="6820FC0A">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②无工程数量的项目不报价。</w:t>
            </w:r>
          </w:p>
          <w:p w14:paraId="60E1BD26">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5）磋商供应商应按采购代理机构提供的工程量清单中列出的工程项目和工程量填报单价和合价。每一项目只允许有一个报价。任何有选择的报价将不予接受。磋商供应商未填单价或合价的工程项目在实施后，采购人将不予以支付，并视为该项费用已包括在其他有价款的单价或合价内，磋商供应商必须完成工程量清单中未填入单价或总额价的工程细目，但不能得到支付与结算。</w:t>
            </w:r>
          </w:p>
          <w:p w14:paraId="2923BB62">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6）采购人所提供的工程量清单，应认为已包括按正常施工工艺完成工程量清单项目各单项的有关内容。凡工程量清单所示工程所必不可少的附属工程、相关工程、衔接与后续工程所需的费用，供应商应计入相关项目的单价中。</w:t>
            </w:r>
          </w:p>
          <w:p w14:paraId="59AAB6DD">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（7）供应商的竞标报价须按竞争性磋商文件及澄清答疑中所确认的工程量清单及清单顺序进行报价，否则，将视为实质上不响应竞争性磋商文件的要求。</w:t>
            </w:r>
          </w:p>
          <w:p w14:paraId="789CA210">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（8）按采购预算控制价明细施工，工程最终按实际工程结算。</w:t>
            </w:r>
          </w:p>
          <w:p w14:paraId="1B0997BB">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（9）承包方式：固定综合单价包干，包工包料。</w:t>
            </w:r>
          </w:p>
          <w:p w14:paraId="4FB1AE22">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10）磋商供应商的临时占地（含预制厂、料厂、拌和站、借弃土场、项目部驻地等）租用费（含拆迁补偿）、临时用地的环保、恢复及所有临时性占地的青苗补偿及地面附着物发生的费用均由磋商供应商负责；由于磋商供应商原因引起工期延长造成磋商供应商临时占地的租用费增加由磋商供应商负责。以上费用在磋商价中自行考虑。</w:t>
            </w:r>
          </w:p>
          <w:p w14:paraId="1EB18D1A">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（11）磋商供应商在报价中所报的单价和合价，以及磋商报价汇总表中的价格均包括完成该工程项目的成本、利润、税金、开办费、技术措施费、大型机械进出场费、风险费、政策性文件规定费用等所有费用。</w:t>
            </w:r>
          </w:p>
          <w:p w14:paraId="25AF63CF">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（12）磋商供应商可先到工地踏勘以充分了解工地位置、情况、道路、储存空间、装卸限制及任何其他足以影响承包价的情况，任何因忽视或误解工地情况而导致的索赔或工期延长申请将不被批准。</w:t>
            </w:r>
          </w:p>
          <w:p w14:paraId="78A126AB">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（13）磋商货币</w:t>
            </w:r>
          </w:p>
          <w:p w14:paraId="27CBBE4F">
            <w:pPr>
              <w:keepNext w:val="0"/>
              <w:keepLines w:val="0"/>
              <w:suppressLineNumbers w:val="0"/>
              <w:spacing w:before="0" w:beforeAutospacing="0" w:after="0" w:afterAutospacing="0" w:line="440" w:lineRule="exact"/>
              <w:ind w:left="0" w:right="0"/>
              <w:jc w:val="left"/>
              <w:rPr>
                <w:rFonts w:hint="default" w:ascii="宋体" w:hAnsi="宋体" w:cs="Times New Roman"/>
                <w:szCs w:val="21"/>
                <w:highlight w:val="none"/>
              </w:rPr>
            </w:pPr>
            <w:r>
              <w:rPr>
                <w:rFonts w:hint="eastAsia" w:ascii="宋体" w:hAnsi="宋体" w:cs="Times New Roman"/>
                <w:szCs w:val="21"/>
                <w:highlight w:val="none"/>
              </w:rPr>
              <w:t>响应文件报价中的单价和合价全部采用人民币表示。</w:t>
            </w:r>
          </w:p>
          <w:p w14:paraId="61906B7F">
            <w:pPr>
              <w:keepNext w:val="0"/>
              <w:keepLines w:val="0"/>
              <w:suppressLineNumbers w:val="0"/>
              <w:spacing w:before="0" w:beforeAutospacing="0" w:after="0" w:afterAutospacing="0" w:line="440" w:lineRule="exact"/>
              <w:ind w:left="0" w:right="0"/>
              <w:rPr>
                <w:rFonts w:hint="default" w:ascii="宋体" w:hAnsi="宋体" w:cs="宋体"/>
                <w:szCs w:val="21"/>
                <w:highlight w:val="none"/>
              </w:rPr>
            </w:pPr>
            <w:r>
              <w:rPr>
                <w:rFonts w:hint="eastAsia" w:ascii="宋体" w:hAnsi="宋体" w:cs="Times New Roman"/>
                <w:szCs w:val="21"/>
                <w:highlight w:val="none"/>
              </w:rPr>
              <w:t>（14）本项目采用多次报价（最多二次）方式，</w:t>
            </w:r>
            <w:r>
              <w:rPr>
                <w:rFonts w:hint="eastAsia" w:ascii="宋体" w:hAnsi="宋体" w:cs="Times New Roman"/>
                <w:b/>
                <w:bCs/>
                <w:szCs w:val="21"/>
                <w:highlight w:val="none"/>
              </w:rPr>
              <w:t>磋商供应商的最后报价如有变动，则必须以工程量清单报价表的格式编制提交，不得以总价下浮的方式做报价，否则作无效磋商处理</w:t>
            </w:r>
            <w:r>
              <w:rPr>
                <w:rFonts w:hint="eastAsia" w:ascii="宋体" w:hAnsi="宋体" w:cs="Times New Roman"/>
                <w:szCs w:val="21"/>
                <w:highlight w:val="none"/>
              </w:rPr>
              <w:t>。磋商供应商须提前做好相关准备并按时提交最后报价文件。</w:t>
            </w:r>
          </w:p>
        </w:tc>
      </w:tr>
      <w:tr w14:paraId="02B1BB6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90" w:hRule="atLeast"/>
          <w:jc w:val="center"/>
        </w:trPr>
        <w:tc>
          <w:tcPr>
            <w:tcW w:w="472" w:type="pct"/>
            <w:noWrap w:val="0"/>
            <w:vAlign w:val="center"/>
          </w:tcPr>
          <w:p w14:paraId="38958B44">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16.2</w:t>
            </w:r>
          </w:p>
        </w:tc>
        <w:tc>
          <w:tcPr>
            <w:tcW w:w="747" w:type="pct"/>
            <w:noWrap w:val="0"/>
            <w:vAlign w:val="center"/>
          </w:tcPr>
          <w:p w14:paraId="1F7022C6">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竞标有效期</w:t>
            </w:r>
          </w:p>
        </w:tc>
        <w:tc>
          <w:tcPr>
            <w:tcW w:w="3779" w:type="pct"/>
            <w:noWrap w:val="0"/>
            <w:vAlign w:val="center"/>
          </w:tcPr>
          <w:p w14:paraId="037EF095">
            <w:pPr>
              <w:pStyle w:val="14"/>
              <w:keepNext w:val="0"/>
              <w:keepLines w:val="0"/>
              <w:numPr>
                <w:ilvl w:val="0"/>
                <w:numId w:val="0"/>
              </w:numPr>
              <w:suppressLineNumbers w:val="0"/>
              <w:tabs>
                <w:tab w:val="left" w:pos="720"/>
                <w:tab w:val="left" w:pos="840"/>
              </w:tabs>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自首次响应文件提交截止之日起90日。</w:t>
            </w:r>
          </w:p>
        </w:tc>
      </w:tr>
      <w:tr w14:paraId="55EFFFD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535" w:hRule="atLeast"/>
          <w:jc w:val="center"/>
        </w:trPr>
        <w:tc>
          <w:tcPr>
            <w:tcW w:w="472" w:type="pct"/>
            <w:noWrap w:val="0"/>
            <w:vAlign w:val="center"/>
          </w:tcPr>
          <w:p w14:paraId="2C1163AC">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17.1</w:t>
            </w:r>
          </w:p>
        </w:tc>
        <w:tc>
          <w:tcPr>
            <w:tcW w:w="747" w:type="pct"/>
            <w:noWrap w:val="0"/>
            <w:vAlign w:val="center"/>
          </w:tcPr>
          <w:p w14:paraId="478BCA5E">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磋商保证金</w:t>
            </w:r>
          </w:p>
        </w:tc>
        <w:tc>
          <w:tcPr>
            <w:tcW w:w="3779" w:type="pct"/>
            <w:noWrap w:val="0"/>
            <w:vAlign w:val="center"/>
          </w:tcPr>
          <w:p w14:paraId="665F3591">
            <w:pPr>
              <w:keepNext w:val="0"/>
              <w:keepLines w:val="0"/>
              <w:pageBreakBefore w:val="0"/>
              <w:widowControl w:val="0"/>
              <w:suppressLineNumbers w:val="0"/>
              <w:bidi w:val="0"/>
              <w:spacing w:before="0" w:beforeAutospacing="0" w:after="0" w:afterAutospacing="0" w:line="440" w:lineRule="exact"/>
              <w:ind w:left="0" w:right="0"/>
              <w:rPr>
                <w:rFonts w:hint="eastAsia" w:ascii="宋体" w:hAnsi="宋体" w:cs="Times New Roman"/>
                <w:szCs w:val="21"/>
                <w:highlight w:val="none"/>
                <w:lang w:eastAsia="zh-CN"/>
              </w:rPr>
            </w:pPr>
            <w:r>
              <w:rPr>
                <w:rFonts w:hint="eastAsia" w:ascii="宋体" w:hAnsi="宋体" w:cs="Times New Roman"/>
                <w:szCs w:val="21"/>
                <w:highlight w:val="none"/>
                <w:lang w:eastAsia="zh-CN"/>
              </w:rPr>
              <w:t>本项目收取磋商保证金。</w:t>
            </w:r>
          </w:p>
          <w:p w14:paraId="348C7F65">
            <w:pPr>
              <w:keepNext w:val="0"/>
              <w:keepLines w:val="0"/>
              <w:pageBreakBefore w:val="0"/>
              <w:widowControl w:val="0"/>
              <w:suppressLineNumbers w:val="0"/>
              <w:bidi w:val="0"/>
              <w:spacing w:before="0" w:beforeAutospacing="0" w:after="0" w:afterAutospacing="0" w:line="440" w:lineRule="exact"/>
              <w:ind w:left="0" w:right="0"/>
              <w:rPr>
                <w:rFonts w:hint="eastAsia" w:ascii="宋体" w:hAnsi="宋体" w:eastAsia="宋体" w:cs="宋体"/>
                <w:color w:val="auto"/>
                <w:sz w:val="21"/>
                <w:szCs w:val="21"/>
                <w:highlight w:val="none"/>
              </w:rPr>
            </w:pPr>
            <w:r>
              <w:rPr>
                <w:rFonts w:hint="eastAsia" w:asciiTheme="minorEastAsia" w:hAnsiTheme="minorEastAsia" w:eastAsiaTheme="minorEastAsia" w:cstheme="minorEastAsia"/>
                <w:color w:val="auto"/>
                <w:sz w:val="21"/>
                <w:szCs w:val="21"/>
                <w:highlight w:val="none"/>
              </w:rPr>
              <w:t>具体规定如下：</w:t>
            </w:r>
            <w:r>
              <w:rPr>
                <w:rFonts w:hint="eastAsia" w:asciiTheme="minorEastAsia" w:hAnsiTheme="minorEastAsia" w:eastAsiaTheme="minorEastAsia" w:cstheme="minorEastAsia"/>
                <w:b/>
                <w:bCs/>
                <w:color w:val="auto"/>
                <w:sz w:val="21"/>
                <w:szCs w:val="21"/>
                <w:highlight w:val="none"/>
              </w:rPr>
              <w:t>磋商保证</w:t>
            </w:r>
            <w:r>
              <w:rPr>
                <w:rFonts w:hint="eastAsia" w:ascii="宋体" w:hAnsi="宋体" w:eastAsia="宋体" w:cs="宋体"/>
                <w:b/>
                <w:bCs/>
                <w:color w:val="auto"/>
                <w:sz w:val="21"/>
                <w:szCs w:val="21"/>
                <w:highlight w:val="none"/>
              </w:rPr>
              <w:t>金</w:t>
            </w:r>
            <w:r>
              <w:rPr>
                <w:rFonts w:hint="eastAsia" w:ascii="宋体" w:hAnsi="宋体" w:eastAsia="宋体" w:cs="宋体"/>
                <w:b/>
                <w:bCs/>
                <w:color w:val="auto"/>
                <w:sz w:val="21"/>
                <w:szCs w:val="21"/>
                <w:highlight w:val="none"/>
                <w:lang w:val="en-US" w:eastAsia="zh-CN"/>
              </w:rPr>
              <w:t>金额：</w:t>
            </w:r>
            <w:r>
              <w:rPr>
                <w:rFonts w:hint="eastAsia" w:ascii="宋体" w:hAnsi="宋体" w:eastAsia="宋体" w:cs="宋体"/>
                <w:b/>
                <w:bCs/>
                <w:color w:val="auto"/>
                <w:sz w:val="21"/>
                <w:szCs w:val="21"/>
                <w:highlight w:val="none"/>
              </w:rPr>
              <w:t>¥</w:t>
            </w:r>
            <w:r>
              <w:rPr>
                <w:rFonts w:hint="eastAsia" w:ascii="宋体" w:hAnsi="宋体" w:eastAsia="宋体" w:cs="宋体"/>
                <w:b/>
                <w:bCs/>
                <w:color w:val="auto"/>
                <w:sz w:val="21"/>
                <w:szCs w:val="21"/>
                <w:highlight w:val="none"/>
                <w:u w:val="none"/>
                <w:lang w:val="en-US" w:eastAsia="zh-CN"/>
              </w:rPr>
              <w:t>19</w:t>
            </w:r>
            <w:r>
              <w:rPr>
                <w:rFonts w:hint="eastAsia" w:ascii="宋体" w:hAnsi="宋体" w:eastAsia="宋体" w:cs="宋体"/>
                <w:b/>
                <w:bCs/>
                <w:color w:val="auto"/>
                <w:sz w:val="21"/>
                <w:szCs w:val="21"/>
                <w:highlight w:val="none"/>
                <w:u w:val="none"/>
              </w:rPr>
              <w:t>000.00元</w:t>
            </w:r>
          </w:p>
          <w:p w14:paraId="1F1D005F">
            <w:pPr>
              <w:keepNext w:val="0"/>
              <w:keepLines w:val="0"/>
              <w:pageBreakBefore w:val="0"/>
              <w:widowControl w:val="0"/>
              <w:suppressLineNumbers w:val="0"/>
              <w:bidi w:val="0"/>
              <w:spacing w:before="0" w:beforeAutospacing="0" w:after="0" w:afterAutospacing="0" w:line="440" w:lineRule="exact"/>
              <w:ind w:left="0" w:right="0" w:firstLine="420"/>
              <w:rPr>
                <w:rFonts w:hint="eastAsia" w:asciiTheme="minorEastAsia" w:hAnsiTheme="minorEastAsia" w:eastAsiaTheme="minorEastAsia" w:cstheme="minorEastAsia"/>
                <w:color w:val="000000"/>
                <w:sz w:val="21"/>
                <w:szCs w:val="21"/>
                <w:highlight w:val="none"/>
              </w:rPr>
            </w:pPr>
            <w:r>
              <w:rPr>
                <w:rFonts w:hint="eastAsia" w:ascii="宋体" w:hAnsi="宋体" w:eastAsia="宋体" w:cs="宋体"/>
                <w:color w:val="auto"/>
                <w:sz w:val="21"/>
                <w:szCs w:val="21"/>
                <w:highlight w:val="none"/>
              </w:rPr>
              <w:t>磋商保证金的交纳方式：</w:t>
            </w:r>
            <w:r>
              <w:rPr>
                <w:rFonts w:hint="eastAsia" w:ascii="宋体" w:hAnsi="宋体" w:eastAsia="宋体" w:cs="宋体"/>
                <w:color w:val="000000"/>
                <w:sz w:val="21"/>
                <w:szCs w:val="21"/>
                <w:highlight w:val="none"/>
              </w:rPr>
              <w:t>磋商保证金的缴纳方式：银行转账、支票、汇票、本票或者金融、保险</w:t>
            </w:r>
            <w:r>
              <w:rPr>
                <w:rFonts w:hint="eastAsia" w:asciiTheme="minorEastAsia" w:hAnsiTheme="minorEastAsia" w:eastAsiaTheme="minorEastAsia" w:cstheme="minorEastAsia"/>
                <w:color w:val="000000"/>
                <w:sz w:val="21"/>
                <w:szCs w:val="21"/>
                <w:highlight w:val="none"/>
              </w:rPr>
              <w:t>、担保机构出具的保函，禁止采用现金方式。采用银行转账方式的，在首次响应文件提交截止时间前交至采购代理机构指定账户并且到账。</w:t>
            </w:r>
          </w:p>
          <w:p w14:paraId="7230925F">
            <w:pPr>
              <w:keepNext w:val="0"/>
              <w:keepLines w:val="0"/>
              <w:pageBreakBefore w:val="0"/>
              <w:widowControl w:val="0"/>
              <w:suppressLineNumbers w:val="0"/>
              <w:bidi w:val="0"/>
              <w:spacing w:before="0" w:beforeAutospacing="0" w:after="0" w:afterAutospacing="0" w:line="440" w:lineRule="exact"/>
              <w:ind w:left="0" w:right="0" w:firstLine="42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开户名称：广西德元工程项目管理有限责任公司</w:t>
            </w:r>
          </w:p>
          <w:p w14:paraId="562FB3A7">
            <w:pPr>
              <w:keepNext w:val="0"/>
              <w:keepLines w:val="0"/>
              <w:pageBreakBefore w:val="0"/>
              <w:widowControl w:val="0"/>
              <w:suppressLineNumbers w:val="0"/>
              <w:bidi w:val="0"/>
              <w:spacing w:before="0" w:beforeAutospacing="0" w:after="0" w:afterAutospacing="0" w:line="440" w:lineRule="exact"/>
              <w:ind w:left="0" w:right="0" w:firstLine="42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开户银行: 中国银行柳州市八一支行</w:t>
            </w:r>
          </w:p>
          <w:p w14:paraId="2C446ABB">
            <w:pPr>
              <w:keepNext w:val="0"/>
              <w:keepLines w:val="0"/>
              <w:pageBreakBefore w:val="0"/>
              <w:widowControl w:val="0"/>
              <w:suppressLineNumbers w:val="0"/>
              <w:bidi w:val="0"/>
              <w:spacing w:before="0" w:beforeAutospacing="0" w:after="0" w:afterAutospacing="0" w:line="440" w:lineRule="exact"/>
              <w:ind w:left="0" w:right="0" w:firstLine="42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银行账号：6158  6557  4841</w:t>
            </w:r>
          </w:p>
          <w:p w14:paraId="3D752BCD">
            <w:pPr>
              <w:keepNext w:val="0"/>
              <w:keepLines w:val="0"/>
              <w:pageBreakBefore w:val="0"/>
              <w:widowControl w:val="0"/>
              <w:suppressLineNumbers w:val="0"/>
              <w:bidi w:val="0"/>
              <w:spacing w:before="0" w:beforeAutospacing="0" w:after="0" w:afterAutospacing="0" w:line="440" w:lineRule="exact"/>
              <w:ind w:left="0" w:right="0" w:firstLine="420"/>
              <w:rPr>
                <w:rFonts w:hint="eastAsia" w:asciiTheme="minorEastAsia" w:hAnsiTheme="minorEastAsia" w:eastAsiaTheme="minorEastAsia" w:cstheme="minorEastAsia"/>
                <w:color w:val="000000"/>
                <w:sz w:val="21"/>
                <w:szCs w:val="21"/>
                <w:highlight w:val="none"/>
              </w:rPr>
            </w:pPr>
            <w:r>
              <w:rPr>
                <w:rFonts w:hint="eastAsia" w:asciiTheme="minorEastAsia" w:hAnsiTheme="minorEastAsia" w:eastAsiaTheme="minorEastAsia" w:cstheme="minorEastAsia"/>
                <w:color w:val="000000"/>
                <w:sz w:val="21"/>
                <w:szCs w:val="21"/>
                <w:highlight w:val="none"/>
              </w:rPr>
              <w:t>用途/备注：</w:t>
            </w:r>
            <w:r>
              <w:rPr>
                <w:rFonts w:hint="eastAsia" w:asciiTheme="minorEastAsia" w:hAnsiTheme="minorEastAsia" w:eastAsiaTheme="minorEastAsia" w:cstheme="minorEastAsia"/>
                <w:color w:val="000000"/>
                <w:sz w:val="21"/>
                <w:szCs w:val="21"/>
                <w:highlight w:val="none"/>
                <w:lang w:val="en-US" w:eastAsia="zh-CN"/>
              </w:rPr>
              <w:t>本科生宿舍修缮</w:t>
            </w:r>
            <w:r>
              <w:rPr>
                <w:rFonts w:hint="eastAsia" w:asciiTheme="minorEastAsia" w:hAnsiTheme="minorEastAsia" w:eastAsiaTheme="minorEastAsia" w:cstheme="minorEastAsia"/>
                <w:color w:val="000000"/>
                <w:sz w:val="21"/>
                <w:szCs w:val="21"/>
                <w:highlight w:val="none"/>
              </w:rPr>
              <w:t>保证金</w:t>
            </w:r>
          </w:p>
          <w:p w14:paraId="1D5DCE0A">
            <w:pPr>
              <w:keepNext w:val="0"/>
              <w:keepLines w:val="0"/>
              <w:pageBreakBefore w:val="0"/>
              <w:widowControl w:val="0"/>
              <w:suppressLineNumbers w:val="0"/>
              <w:bidi w:val="0"/>
              <w:spacing w:before="0" w:beforeAutospacing="0" w:after="0" w:afterAutospacing="0" w:line="440" w:lineRule="exact"/>
              <w:ind w:left="0" w:right="0" w:firstLine="420"/>
              <w:rPr>
                <w:rFonts w:hint="eastAsia" w:asciiTheme="minorEastAsia" w:hAnsiTheme="minorEastAsia" w:eastAsiaTheme="minorEastAsia" w:cstheme="minorEastAsia"/>
                <w:color w:val="auto"/>
                <w:sz w:val="21"/>
                <w:szCs w:val="21"/>
                <w:highlight w:val="none"/>
              </w:rPr>
            </w:pPr>
            <w:r>
              <w:rPr>
                <w:rFonts w:hint="eastAsia" w:asciiTheme="minorEastAsia" w:hAnsiTheme="minorEastAsia" w:eastAsiaTheme="minorEastAsia" w:cstheme="minorEastAsia"/>
                <w:color w:val="000000"/>
                <w:sz w:val="21"/>
                <w:szCs w:val="21"/>
                <w:highlight w:val="none"/>
              </w:rPr>
              <w:t xml:space="preserve">采用支票、汇票、本票或者保函等方式的，在首次响应文件提交截止时间前，供应商必须提交密封的支票、汇票、本票或者保函原件。否则视为无效磋商保证金。 </w:t>
            </w:r>
          </w:p>
          <w:p w14:paraId="772A1196">
            <w:pPr>
              <w:keepNext w:val="0"/>
              <w:keepLines w:val="0"/>
              <w:pageBreakBefore w:val="0"/>
              <w:widowControl w:val="0"/>
              <w:suppressLineNumbers w:val="0"/>
              <w:bidi w:val="0"/>
              <w:spacing w:before="0" w:beforeAutospacing="0" w:after="0" w:afterAutospacing="0" w:line="440" w:lineRule="exact"/>
              <w:ind w:left="0" w:right="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备注：</w:t>
            </w:r>
          </w:p>
          <w:p w14:paraId="24CB8C3E">
            <w:pPr>
              <w:keepNext w:val="0"/>
              <w:keepLines w:val="0"/>
              <w:pageBreakBefore w:val="0"/>
              <w:widowControl w:val="0"/>
              <w:suppressLineNumbers w:val="0"/>
              <w:bidi w:val="0"/>
              <w:spacing w:before="0" w:beforeAutospacing="0" w:after="0" w:afterAutospacing="0" w:line="440" w:lineRule="exact"/>
              <w:ind w:left="0" w:right="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1</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磋商保证金在响应文件提交截止时间后提交的，或者不按规定交纳方式交纳的，或者未足额交纳的（包含保函额度不足的），视为无效磋商保证金。</w:t>
            </w:r>
          </w:p>
          <w:p w14:paraId="6073F410">
            <w:pPr>
              <w:keepNext w:val="0"/>
              <w:keepLines w:val="0"/>
              <w:pageBreakBefore w:val="0"/>
              <w:widowControl w:val="0"/>
              <w:suppressLineNumbers w:val="0"/>
              <w:bidi w:val="0"/>
              <w:spacing w:before="0" w:beforeAutospacing="0" w:after="0" w:afterAutospacing="0" w:line="440" w:lineRule="exact"/>
              <w:ind w:left="0" w:right="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2</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供应商采用现钞方式或者从个人账户（自然人竞标除外）转出的磋商保证金，视为无效磋商保证金。</w:t>
            </w:r>
          </w:p>
          <w:p w14:paraId="46C2B5BD">
            <w:pPr>
              <w:keepNext w:val="0"/>
              <w:keepLines w:val="0"/>
              <w:pageBreakBefore w:val="0"/>
              <w:widowControl w:val="0"/>
              <w:suppressLineNumbers w:val="0"/>
              <w:bidi w:val="0"/>
              <w:spacing w:before="0" w:beforeAutospacing="0" w:after="0" w:afterAutospacing="0" w:line="440" w:lineRule="exact"/>
              <w:ind w:left="0" w:right="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3</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支票、汇票或者本票出现无效或者背书情形的，视为无效磋商保证金。</w:t>
            </w:r>
          </w:p>
          <w:p w14:paraId="5B27E6DB">
            <w:pPr>
              <w:keepNext w:val="0"/>
              <w:keepLines w:val="0"/>
              <w:pageBreakBefore w:val="0"/>
              <w:widowControl w:val="0"/>
              <w:suppressLineNumbers w:val="0"/>
              <w:bidi w:val="0"/>
              <w:spacing w:before="0" w:beforeAutospacing="0" w:after="0" w:afterAutospacing="0" w:line="440" w:lineRule="exact"/>
              <w:ind w:left="0" w:right="0"/>
              <w:rPr>
                <w:rFonts w:hint="eastAsia" w:asciiTheme="minorEastAsia" w:hAnsiTheme="minorEastAsia" w:eastAsiaTheme="minorEastAsia" w:cstheme="minorEastAsia"/>
                <w:b/>
                <w:color w:val="auto"/>
                <w:szCs w:val="21"/>
                <w:highlight w:val="none"/>
              </w:rPr>
            </w:pPr>
            <w:r>
              <w:rPr>
                <w:rFonts w:hint="eastAsia" w:asciiTheme="minorEastAsia" w:hAnsiTheme="minorEastAsia" w:eastAsiaTheme="minorEastAsia" w:cstheme="minorEastAsia"/>
                <w:b/>
                <w:color w:val="auto"/>
                <w:szCs w:val="21"/>
                <w:highlight w:val="none"/>
              </w:rPr>
              <w:t>4</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保函有效期低于竞标有效期的，视为无效磋商保证金。</w:t>
            </w:r>
          </w:p>
          <w:p w14:paraId="0162C20F">
            <w:pPr>
              <w:pStyle w:val="2"/>
              <w:keepNext w:val="0"/>
              <w:keepLines w:val="0"/>
              <w:pageBreakBefore w:val="0"/>
              <w:widowControl w:val="0"/>
              <w:suppressLineNumbers w:val="0"/>
              <w:bidi w:val="0"/>
              <w:spacing w:before="0" w:beforeAutospacing="0" w:after="0" w:afterAutospacing="0" w:line="440" w:lineRule="exact"/>
              <w:ind w:left="0" w:right="0" w:firstLine="0"/>
              <w:rPr>
                <w:rFonts w:hint="eastAsia"/>
                <w:highlight w:val="none"/>
              </w:rPr>
            </w:pPr>
            <w:r>
              <w:rPr>
                <w:rFonts w:hint="eastAsia" w:asciiTheme="minorEastAsia" w:hAnsiTheme="minorEastAsia" w:eastAsiaTheme="minorEastAsia" w:cstheme="minorEastAsia"/>
                <w:b/>
                <w:color w:val="auto"/>
                <w:szCs w:val="21"/>
                <w:highlight w:val="none"/>
              </w:rPr>
              <w:t>5</w:t>
            </w:r>
            <w:r>
              <w:rPr>
                <w:rFonts w:hint="eastAsia" w:asciiTheme="minorEastAsia" w:hAnsiTheme="minorEastAsia" w:eastAsiaTheme="minorEastAsia" w:cstheme="minorEastAsia"/>
                <w:b/>
                <w:color w:val="auto"/>
                <w:szCs w:val="21"/>
                <w:highlight w:val="none"/>
                <w:lang w:val="en-US" w:eastAsia="zh-CN"/>
              </w:rPr>
              <w:t>.</w:t>
            </w:r>
            <w:r>
              <w:rPr>
                <w:rFonts w:hint="eastAsia" w:asciiTheme="minorEastAsia" w:hAnsiTheme="minorEastAsia" w:eastAsiaTheme="minorEastAsia" w:cstheme="minorEastAsia"/>
                <w:b/>
                <w:color w:val="auto"/>
                <w:szCs w:val="21"/>
                <w:highlight w:val="none"/>
              </w:rPr>
              <w:t>采用金融、担保机构出具保函的，必须为无条件保函，否则视为无效磋商保证金。</w:t>
            </w:r>
          </w:p>
        </w:tc>
      </w:tr>
      <w:tr w14:paraId="4992EA7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58" w:hRule="atLeast"/>
          <w:jc w:val="center"/>
        </w:trPr>
        <w:tc>
          <w:tcPr>
            <w:tcW w:w="472" w:type="pct"/>
            <w:vMerge w:val="restart"/>
            <w:noWrap w:val="0"/>
            <w:vAlign w:val="center"/>
          </w:tcPr>
          <w:p w14:paraId="5B03C6B2">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20.1</w:t>
            </w:r>
          </w:p>
        </w:tc>
        <w:tc>
          <w:tcPr>
            <w:tcW w:w="747" w:type="pct"/>
            <w:noWrap w:val="0"/>
            <w:vAlign w:val="center"/>
          </w:tcPr>
          <w:p w14:paraId="6ED0F413">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首次响应文件提交起止时间</w:t>
            </w:r>
          </w:p>
        </w:tc>
        <w:tc>
          <w:tcPr>
            <w:tcW w:w="3779" w:type="pct"/>
            <w:noWrap w:val="0"/>
            <w:vAlign w:val="center"/>
          </w:tcPr>
          <w:p w14:paraId="26921C5D">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详见竞争性磋商公告。</w:t>
            </w:r>
          </w:p>
        </w:tc>
      </w:tr>
      <w:tr w14:paraId="32AEE70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72" w:type="pct"/>
            <w:vMerge w:val="continue"/>
            <w:noWrap w:val="0"/>
            <w:vAlign w:val="center"/>
          </w:tcPr>
          <w:p w14:paraId="22EA7241">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p>
        </w:tc>
        <w:tc>
          <w:tcPr>
            <w:tcW w:w="747" w:type="pct"/>
            <w:noWrap w:val="0"/>
            <w:vAlign w:val="center"/>
          </w:tcPr>
          <w:p w14:paraId="526F9363">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首次响应文件提交地点</w:t>
            </w:r>
          </w:p>
        </w:tc>
        <w:tc>
          <w:tcPr>
            <w:tcW w:w="3779" w:type="pct"/>
            <w:noWrap w:val="0"/>
            <w:vAlign w:val="center"/>
          </w:tcPr>
          <w:p w14:paraId="770B49BE">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详见竞争性磋商公告。</w:t>
            </w:r>
          </w:p>
        </w:tc>
      </w:tr>
      <w:tr w14:paraId="0746D7A4">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72" w:type="pct"/>
            <w:noWrap w:val="0"/>
            <w:vAlign w:val="center"/>
          </w:tcPr>
          <w:p w14:paraId="4CC4C5C2">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20.6</w:t>
            </w:r>
          </w:p>
        </w:tc>
        <w:tc>
          <w:tcPr>
            <w:tcW w:w="747" w:type="pct"/>
            <w:noWrap w:val="0"/>
            <w:vAlign w:val="center"/>
          </w:tcPr>
          <w:p w14:paraId="2C9AEB67">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备份响应文件</w:t>
            </w:r>
          </w:p>
        </w:tc>
        <w:tc>
          <w:tcPr>
            <w:tcW w:w="3779" w:type="pct"/>
            <w:noWrap w:val="0"/>
            <w:vAlign w:val="center"/>
          </w:tcPr>
          <w:p w14:paraId="162BC946">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本项目不接受备份响应文件。</w:t>
            </w:r>
          </w:p>
        </w:tc>
      </w:tr>
      <w:tr w14:paraId="5E2FBB5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72" w:type="pct"/>
            <w:noWrap w:val="0"/>
            <w:vAlign w:val="center"/>
          </w:tcPr>
          <w:p w14:paraId="2848EF4D">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21</w:t>
            </w:r>
          </w:p>
        </w:tc>
        <w:tc>
          <w:tcPr>
            <w:tcW w:w="747" w:type="pct"/>
            <w:noWrap w:val="0"/>
            <w:vAlign w:val="center"/>
          </w:tcPr>
          <w:p w14:paraId="04194580">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首次响应文件的退回</w:t>
            </w:r>
          </w:p>
        </w:tc>
        <w:tc>
          <w:tcPr>
            <w:tcW w:w="3779" w:type="pct"/>
            <w:noWrap w:val="0"/>
            <w:vAlign w:val="center"/>
          </w:tcPr>
          <w:p w14:paraId="719A56F6">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详见竞争性磋商公告。</w:t>
            </w:r>
          </w:p>
        </w:tc>
      </w:tr>
      <w:tr w14:paraId="7D48BC6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422" w:hRule="atLeast"/>
          <w:jc w:val="center"/>
        </w:trPr>
        <w:tc>
          <w:tcPr>
            <w:tcW w:w="472" w:type="pct"/>
            <w:noWrap w:val="0"/>
            <w:vAlign w:val="center"/>
          </w:tcPr>
          <w:p w14:paraId="6E9AF533">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25</w:t>
            </w:r>
          </w:p>
        </w:tc>
        <w:tc>
          <w:tcPr>
            <w:tcW w:w="747" w:type="pct"/>
            <w:noWrap w:val="0"/>
            <w:vAlign w:val="center"/>
          </w:tcPr>
          <w:p w14:paraId="4C91B6C6">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首次</w:t>
            </w:r>
            <w:r>
              <w:rPr>
                <w:rFonts w:hint="default" w:ascii="宋体" w:hAnsi="宋体" w:cs="宋体"/>
                <w:szCs w:val="21"/>
                <w:highlight w:val="none"/>
              </w:rPr>
              <w:t>响应文件</w:t>
            </w:r>
            <w:r>
              <w:rPr>
                <w:rFonts w:hint="eastAsia" w:ascii="宋体" w:hAnsi="宋体" w:cs="宋体"/>
                <w:szCs w:val="21"/>
                <w:highlight w:val="none"/>
              </w:rPr>
              <w:t>的</w:t>
            </w:r>
            <w:r>
              <w:rPr>
                <w:rFonts w:hint="default" w:ascii="宋体" w:hAnsi="宋体" w:cs="宋体"/>
                <w:szCs w:val="21"/>
                <w:highlight w:val="none"/>
              </w:rPr>
              <w:t>开启</w:t>
            </w:r>
          </w:p>
        </w:tc>
        <w:tc>
          <w:tcPr>
            <w:tcW w:w="3779" w:type="pct"/>
            <w:noWrap w:val="0"/>
            <w:vAlign w:val="center"/>
          </w:tcPr>
          <w:p w14:paraId="2B857B2B">
            <w:pPr>
              <w:keepNext w:val="0"/>
              <w:keepLines w:val="0"/>
              <w:suppressLineNumbers w:val="0"/>
              <w:spacing w:before="0" w:beforeAutospacing="0" w:after="0" w:afterAutospacing="0" w:line="400" w:lineRule="exact"/>
              <w:ind w:left="0" w:right="0"/>
              <w:rPr>
                <w:rFonts w:hint="default" w:ascii="宋体" w:hAnsi="宋体" w:cs="宋体"/>
                <w:szCs w:val="21"/>
                <w:highlight w:val="none"/>
              </w:rPr>
            </w:pPr>
            <w:r>
              <w:rPr>
                <w:rFonts w:hint="eastAsia" w:ascii="宋体" w:hAnsi="宋体" w:cs="宋体"/>
                <w:szCs w:val="21"/>
                <w:highlight w:val="none"/>
              </w:rPr>
              <w:t>首次</w:t>
            </w:r>
            <w:r>
              <w:rPr>
                <w:rFonts w:hint="default" w:ascii="宋体" w:hAnsi="宋体" w:cs="宋体"/>
                <w:szCs w:val="21"/>
                <w:highlight w:val="none"/>
              </w:rPr>
              <w:t>响应文件开启时间</w:t>
            </w:r>
            <w:r>
              <w:rPr>
                <w:rFonts w:hint="eastAsia" w:ascii="宋体" w:hAnsi="宋体" w:cs="宋体"/>
                <w:szCs w:val="21"/>
                <w:highlight w:val="none"/>
              </w:rPr>
              <w:t>详见</w:t>
            </w:r>
            <w:r>
              <w:rPr>
                <w:rFonts w:hint="default" w:ascii="宋体" w:hAnsi="宋体" w:cs="宋体"/>
                <w:szCs w:val="21"/>
                <w:highlight w:val="none"/>
              </w:rPr>
              <w:t>竞争性磋商公告</w:t>
            </w:r>
            <w:r>
              <w:rPr>
                <w:rFonts w:hint="eastAsia" w:ascii="宋体" w:hAnsi="宋体" w:cs="宋体"/>
                <w:szCs w:val="21"/>
                <w:highlight w:val="none"/>
              </w:rPr>
              <w:t>。</w:t>
            </w:r>
          </w:p>
          <w:p w14:paraId="2FAD891A">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首次</w:t>
            </w:r>
            <w:r>
              <w:rPr>
                <w:rFonts w:hint="default" w:ascii="宋体" w:hAnsi="宋体" w:cs="宋体"/>
                <w:szCs w:val="21"/>
                <w:highlight w:val="none"/>
              </w:rPr>
              <w:t>响应文件解密时间：</w:t>
            </w:r>
            <w:r>
              <w:rPr>
                <w:rFonts w:hint="eastAsia" w:ascii="宋体" w:hAnsi="宋体" w:cs="宋体"/>
                <w:szCs w:val="21"/>
                <w:highlight w:val="none"/>
                <w:u w:val="single"/>
              </w:rPr>
              <w:t>30</w:t>
            </w:r>
            <w:r>
              <w:rPr>
                <w:rFonts w:hint="eastAsia" w:ascii="宋体" w:hAnsi="宋体" w:cs="宋体"/>
                <w:szCs w:val="21"/>
                <w:highlight w:val="none"/>
              </w:rPr>
              <w:t>分钟。</w:t>
            </w:r>
          </w:p>
        </w:tc>
      </w:tr>
      <w:tr w14:paraId="5787214E">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960" w:hRule="atLeast"/>
          <w:jc w:val="center"/>
        </w:trPr>
        <w:tc>
          <w:tcPr>
            <w:tcW w:w="472" w:type="pct"/>
            <w:vMerge w:val="restart"/>
            <w:noWrap w:val="0"/>
            <w:vAlign w:val="center"/>
          </w:tcPr>
          <w:p w14:paraId="40D6013A">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26.2</w:t>
            </w:r>
          </w:p>
        </w:tc>
        <w:tc>
          <w:tcPr>
            <w:tcW w:w="747" w:type="pct"/>
            <w:noWrap w:val="0"/>
            <w:vAlign w:val="center"/>
          </w:tcPr>
          <w:p w14:paraId="52587D46">
            <w:pPr>
              <w:keepNext w:val="0"/>
              <w:keepLines w:val="0"/>
              <w:suppressLineNumbers w:val="0"/>
              <w:spacing w:before="0" w:beforeAutospacing="0" w:after="0" w:afterAutospacing="0" w:line="400" w:lineRule="exact"/>
              <w:ind w:left="0" w:right="0"/>
              <w:rPr>
                <w:rFonts w:hint="eastAsia" w:ascii="宋体" w:hAnsi="宋体" w:cs="宋体"/>
                <w:b/>
                <w:szCs w:val="21"/>
                <w:highlight w:val="none"/>
              </w:rPr>
            </w:pPr>
            <w:r>
              <w:rPr>
                <w:rFonts w:hint="eastAsia" w:ascii="宋体" w:hAnsi="宋体" w:cs="宋体"/>
                <w:b/>
                <w:szCs w:val="21"/>
                <w:highlight w:val="none"/>
              </w:rPr>
              <w:t>负偏离要求</w:t>
            </w:r>
          </w:p>
        </w:tc>
        <w:tc>
          <w:tcPr>
            <w:tcW w:w="3779" w:type="pct"/>
            <w:noWrap w:val="0"/>
            <w:vAlign w:val="center"/>
          </w:tcPr>
          <w:p w14:paraId="20AD10E1">
            <w:pPr>
              <w:keepNext w:val="0"/>
              <w:keepLines w:val="0"/>
              <w:suppressLineNumbers w:val="0"/>
              <w:spacing w:before="0" w:beforeAutospacing="0" w:after="0" w:afterAutospacing="0" w:line="400" w:lineRule="exact"/>
              <w:ind w:left="0" w:right="0"/>
              <w:rPr>
                <w:rFonts w:hint="eastAsia" w:ascii="宋体" w:hAnsi="宋体" w:cs="宋体"/>
                <w:b/>
                <w:szCs w:val="21"/>
                <w:highlight w:val="none"/>
              </w:rPr>
            </w:pPr>
            <w:r>
              <w:rPr>
                <w:rFonts w:hint="eastAsia" w:ascii="宋体" w:hAnsi="宋体" w:cs="宋体"/>
                <w:b/>
                <w:szCs w:val="21"/>
                <w:highlight w:val="none"/>
              </w:rPr>
              <w:t>商务条款评审中允许负偏离的条款数为</w:t>
            </w:r>
            <w:r>
              <w:rPr>
                <w:rFonts w:hint="eastAsia" w:ascii="宋体" w:hAnsi="宋体" w:cs="宋体"/>
                <w:b/>
                <w:szCs w:val="21"/>
                <w:highlight w:val="none"/>
                <w:u w:val="single"/>
              </w:rPr>
              <w:t xml:space="preserve"> 0 </w:t>
            </w:r>
            <w:r>
              <w:rPr>
                <w:rFonts w:hint="eastAsia" w:ascii="宋体" w:hAnsi="宋体" w:cs="宋体"/>
                <w:b/>
                <w:szCs w:val="21"/>
                <w:highlight w:val="none"/>
              </w:rPr>
              <w:t>项。</w:t>
            </w:r>
          </w:p>
          <w:p w14:paraId="2D89A3FE">
            <w:pPr>
              <w:keepNext w:val="0"/>
              <w:keepLines w:val="0"/>
              <w:suppressLineNumbers w:val="0"/>
              <w:spacing w:before="0" w:beforeAutospacing="0" w:after="0" w:afterAutospacing="0" w:line="400" w:lineRule="exact"/>
              <w:ind w:left="0" w:right="0"/>
              <w:rPr>
                <w:rFonts w:hint="eastAsia" w:ascii="宋体" w:hAnsi="宋体" w:cs="宋体"/>
                <w:b/>
                <w:szCs w:val="21"/>
                <w:highlight w:val="none"/>
              </w:rPr>
            </w:pPr>
            <w:r>
              <w:rPr>
                <w:rFonts w:hint="eastAsia" w:ascii="宋体" w:hAnsi="宋体" w:cs="宋体"/>
                <w:b/>
                <w:szCs w:val="21"/>
                <w:highlight w:val="none"/>
              </w:rPr>
              <w:t>服务需求评审中允许负偏离的条款数为</w:t>
            </w:r>
            <w:r>
              <w:rPr>
                <w:rFonts w:hint="eastAsia" w:ascii="宋体" w:hAnsi="宋体" w:cs="宋体"/>
                <w:b/>
                <w:szCs w:val="21"/>
                <w:highlight w:val="none"/>
                <w:u w:val="single"/>
              </w:rPr>
              <w:t xml:space="preserve"> 0 </w:t>
            </w:r>
            <w:r>
              <w:rPr>
                <w:rFonts w:hint="eastAsia" w:ascii="宋体" w:hAnsi="宋体" w:cs="宋体"/>
                <w:b/>
                <w:szCs w:val="21"/>
                <w:highlight w:val="none"/>
              </w:rPr>
              <w:t>项。</w:t>
            </w:r>
          </w:p>
        </w:tc>
      </w:tr>
      <w:tr w14:paraId="7838A2E9">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1770" w:hRule="atLeast"/>
          <w:jc w:val="center"/>
        </w:trPr>
        <w:tc>
          <w:tcPr>
            <w:tcW w:w="472" w:type="pct"/>
            <w:vMerge w:val="continue"/>
            <w:noWrap w:val="0"/>
            <w:vAlign w:val="center"/>
          </w:tcPr>
          <w:p w14:paraId="6589B65A">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p>
        </w:tc>
        <w:tc>
          <w:tcPr>
            <w:tcW w:w="747" w:type="pct"/>
            <w:noWrap w:val="0"/>
            <w:vAlign w:val="center"/>
          </w:tcPr>
          <w:p w14:paraId="025AC5A4">
            <w:pPr>
              <w:keepNext w:val="0"/>
              <w:keepLines w:val="0"/>
              <w:suppressLineNumbers w:val="0"/>
              <w:spacing w:before="0" w:beforeAutospacing="0" w:after="0" w:afterAutospacing="0" w:line="400" w:lineRule="exact"/>
              <w:ind w:left="0" w:right="0"/>
              <w:rPr>
                <w:rFonts w:hint="eastAsia" w:ascii="宋体" w:hAnsi="宋体" w:cs="宋体"/>
                <w:b/>
                <w:szCs w:val="21"/>
                <w:highlight w:val="none"/>
              </w:rPr>
            </w:pPr>
            <w:r>
              <w:rPr>
                <w:rFonts w:hint="eastAsia" w:ascii="宋体" w:hAnsi="宋体" w:cs="宋体"/>
                <w:b/>
                <w:szCs w:val="21"/>
                <w:highlight w:val="none"/>
              </w:rPr>
              <w:t>磋商</w:t>
            </w:r>
            <w:r>
              <w:rPr>
                <w:rFonts w:hint="default" w:ascii="宋体" w:hAnsi="宋体" w:cs="宋体"/>
                <w:b/>
                <w:szCs w:val="21"/>
                <w:highlight w:val="none"/>
              </w:rPr>
              <w:t>的顺序</w:t>
            </w:r>
          </w:p>
        </w:tc>
        <w:tc>
          <w:tcPr>
            <w:tcW w:w="3779" w:type="pct"/>
            <w:noWrap w:val="0"/>
            <w:vAlign w:val="center"/>
          </w:tcPr>
          <w:p w14:paraId="7BC69245">
            <w:pPr>
              <w:pStyle w:val="18"/>
              <w:keepNext w:val="0"/>
              <w:keepLines w:val="0"/>
              <w:suppressLineNumbers w:val="0"/>
              <w:spacing w:before="0" w:beforeAutospacing="0" w:after="0" w:afterAutospacing="0" w:line="400" w:lineRule="exact"/>
              <w:ind w:left="0" w:right="0"/>
              <w:jc w:val="both"/>
              <w:rPr>
                <w:rFonts w:hint="eastAsia" w:ascii="宋体" w:hAnsi="宋体" w:cs="宋体"/>
                <w:sz w:val="21"/>
                <w:szCs w:val="22"/>
                <w:highlight w:val="none"/>
              </w:rPr>
            </w:pPr>
            <w:r>
              <w:rPr>
                <w:rFonts w:hint="eastAsia" w:ascii="宋体" w:hAnsi="宋体" w:cs="宋体"/>
                <w:sz w:val="21"/>
                <w:szCs w:val="22"/>
                <w:highlight w:val="none"/>
              </w:rPr>
              <w:t>□按照提交首次响应文件的顺序，通知磋商时，若某供应商不在通知现场时，该供应商排序到最后磋商，按照签到的顺序由其下一位供应商先参与磋商。</w:t>
            </w:r>
          </w:p>
          <w:p w14:paraId="689E2DBB">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 w:val="22"/>
                <w:szCs w:val="22"/>
                <w:highlight w:val="none"/>
              </w:rPr>
              <w:t>☑</w:t>
            </w:r>
            <w:r>
              <w:rPr>
                <w:rFonts w:hint="eastAsia" w:ascii="宋体" w:hAnsi="宋体" w:cs="宋体"/>
                <w:szCs w:val="21"/>
                <w:highlight w:val="none"/>
              </w:rPr>
              <w:t>随机排序。</w:t>
            </w:r>
          </w:p>
        </w:tc>
      </w:tr>
      <w:tr w14:paraId="0EE3BFD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trHeight w:val="620" w:hRule="atLeast"/>
          <w:jc w:val="center"/>
        </w:trPr>
        <w:tc>
          <w:tcPr>
            <w:tcW w:w="472" w:type="pct"/>
            <w:noWrap w:val="0"/>
            <w:vAlign w:val="center"/>
          </w:tcPr>
          <w:p w14:paraId="361EEB72">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28</w:t>
            </w:r>
          </w:p>
        </w:tc>
        <w:tc>
          <w:tcPr>
            <w:tcW w:w="747" w:type="pct"/>
            <w:noWrap w:val="0"/>
            <w:vAlign w:val="center"/>
          </w:tcPr>
          <w:p w14:paraId="3C9D458C">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履约保证金</w:t>
            </w:r>
          </w:p>
        </w:tc>
        <w:tc>
          <w:tcPr>
            <w:tcW w:w="3779" w:type="pct"/>
            <w:noWrap w:val="0"/>
            <w:vAlign w:val="center"/>
          </w:tcPr>
          <w:p w14:paraId="77FAC4BE">
            <w:pPr>
              <w:keepNext w:val="0"/>
              <w:keepLines w:val="0"/>
              <w:suppressLineNumbers w:val="0"/>
              <w:spacing w:before="0" w:beforeAutospacing="0" w:after="0" w:afterAutospacing="0" w:line="360" w:lineRule="auto"/>
              <w:ind w:left="0" w:right="0"/>
              <w:rPr>
                <w:rFonts w:hint="eastAsia" w:ascii="宋体" w:hAnsi="宋体" w:cs="宋体"/>
                <w:highlight w:val="none"/>
              </w:rPr>
            </w:pPr>
            <w:r>
              <w:rPr>
                <w:rFonts w:hint="eastAsia" w:ascii="宋体" w:hAnsi="宋体" w:cs="宋体"/>
                <w:highlight w:val="none"/>
              </w:rPr>
              <w:t>履约保证金金额：合同金额的</w:t>
            </w:r>
            <w:r>
              <w:rPr>
                <w:rFonts w:hint="eastAsia" w:ascii="宋体" w:hAnsi="宋体" w:cs="宋体"/>
                <w:highlight w:val="none"/>
                <w:lang w:val="en-US" w:eastAsia="zh-CN"/>
              </w:rPr>
              <w:t>2</w:t>
            </w:r>
            <w:r>
              <w:rPr>
                <w:rFonts w:hint="eastAsia" w:ascii="宋体" w:hAnsi="宋体" w:cs="宋体"/>
                <w:highlight w:val="none"/>
              </w:rPr>
              <w:t>% 。</w:t>
            </w:r>
          </w:p>
          <w:p w14:paraId="48A4C94B">
            <w:pPr>
              <w:keepNext w:val="0"/>
              <w:keepLines w:val="0"/>
              <w:suppressLineNumbers w:val="0"/>
              <w:spacing w:before="0" w:beforeAutospacing="0" w:after="0" w:afterAutospacing="0" w:line="360" w:lineRule="auto"/>
              <w:ind w:left="0" w:right="0"/>
              <w:rPr>
                <w:rFonts w:hint="eastAsia" w:ascii="宋体" w:hAnsi="宋体" w:cs="宋体"/>
                <w:highlight w:val="none"/>
              </w:rPr>
            </w:pPr>
            <w:r>
              <w:rPr>
                <w:rFonts w:hint="eastAsia" w:ascii="宋体" w:hAnsi="宋体" w:cs="宋体"/>
                <w:highlight w:val="none"/>
              </w:rPr>
              <w:t>履约保证金提交方式：</w:t>
            </w:r>
            <w:r>
              <w:rPr>
                <w:rFonts w:hint="eastAsia" w:ascii="宋体" w:hAnsi="宋体" w:cs="宋体"/>
                <w:highlight w:val="none"/>
                <w:lang w:val="en-US" w:eastAsia="zh-CN"/>
              </w:rPr>
              <w:t>成交供应商</w:t>
            </w:r>
            <w:r>
              <w:rPr>
                <w:rFonts w:hint="eastAsia" w:ascii="宋体" w:hAnsi="宋体" w:cs="宋体"/>
                <w:highlight w:val="none"/>
              </w:rPr>
              <w:t>在收到</w:t>
            </w:r>
            <w:r>
              <w:rPr>
                <w:rFonts w:hint="eastAsia" w:ascii="宋体" w:hAnsi="宋体" w:cs="宋体"/>
                <w:highlight w:val="none"/>
                <w:lang w:val="en-US" w:eastAsia="zh-CN"/>
              </w:rPr>
              <w:t>成交</w:t>
            </w:r>
            <w:r>
              <w:rPr>
                <w:rFonts w:hint="eastAsia" w:ascii="宋体" w:hAnsi="宋体" w:cs="宋体"/>
                <w:highlight w:val="none"/>
              </w:rPr>
              <w:t>通知书后，须在7日内缴纳履约保证金到指定账户</w:t>
            </w:r>
            <w:r>
              <w:rPr>
                <w:rFonts w:hint="eastAsia" w:ascii="宋体" w:hAnsi="宋体" w:cs="宋体"/>
                <w:highlight w:val="none"/>
                <w:lang w:eastAsia="zh-CN"/>
              </w:rPr>
              <w:t>，</w:t>
            </w:r>
            <w:r>
              <w:rPr>
                <w:rFonts w:hint="eastAsia" w:ascii="宋体" w:hAnsi="宋体" w:cs="宋体"/>
                <w:highlight w:val="none"/>
              </w:rPr>
              <w:t>银行转账、支票、汇票、本票或者金融机构、担保机构出具的保函等非现金方式。</w:t>
            </w:r>
          </w:p>
          <w:p w14:paraId="301F2628">
            <w:pPr>
              <w:keepNext w:val="0"/>
              <w:keepLines w:val="0"/>
              <w:suppressLineNumbers w:val="0"/>
              <w:spacing w:before="0" w:beforeAutospacing="0" w:after="0" w:afterAutospacing="0" w:line="360" w:lineRule="auto"/>
              <w:ind w:left="0" w:right="0"/>
              <w:rPr>
                <w:rFonts w:hint="eastAsia" w:ascii="宋体" w:hAnsi="宋体" w:cs="宋体"/>
                <w:highlight w:val="none"/>
              </w:rPr>
            </w:pPr>
            <w:r>
              <w:rPr>
                <w:rFonts w:hint="eastAsia" w:ascii="宋体" w:hAnsi="宋体" w:cs="宋体"/>
                <w:highlight w:val="none"/>
              </w:rPr>
              <w:t>履约保证金退付方式、时问及条件：</w:t>
            </w:r>
            <w:r>
              <w:rPr>
                <w:rFonts w:hint="eastAsia" w:ascii="宋体" w:hAnsi="宋体" w:cs="宋体"/>
                <w:highlight w:val="none"/>
                <w:lang w:val="en-US" w:eastAsia="zh-CN"/>
              </w:rPr>
              <w:t>在项目竣工验收合格完成后，</w:t>
            </w:r>
            <w:r>
              <w:rPr>
                <w:rFonts w:hint="eastAsia" w:ascii="宋体" w:hAnsi="宋体" w:cs="宋体"/>
                <w:highlight w:val="none"/>
              </w:rPr>
              <w:t>由成交供应商向履约保证金收取单位提供《广西壮族自治区政府采购项目合同验收书》、《政府采购项目履约保证金退付意见书》（详见桂财采〔2015〕22号），采购人在收到合格材料后 15个工作日内办理退还手续（不计利息），履约保证金按原账户退回。</w:t>
            </w:r>
          </w:p>
          <w:p w14:paraId="7B0178B4">
            <w:pPr>
              <w:keepNext w:val="0"/>
              <w:keepLines w:val="0"/>
              <w:suppressLineNumbers w:val="0"/>
              <w:spacing w:before="0" w:beforeAutospacing="0" w:after="0" w:afterAutospacing="0" w:line="360" w:lineRule="auto"/>
              <w:ind w:left="0" w:right="0"/>
              <w:rPr>
                <w:rFonts w:hint="eastAsia" w:ascii="宋体" w:hAnsi="宋体" w:cs="宋体"/>
                <w:highlight w:val="none"/>
              </w:rPr>
            </w:pPr>
            <w:r>
              <w:rPr>
                <w:rFonts w:hint="eastAsia" w:ascii="宋体" w:hAnsi="宋体" w:cs="宋体"/>
                <w:highlight w:val="none"/>
              </w:rPr>
              <w:t>缴纳履约保证金指定账户的信息：</w:t>
            </w:r>
          </w:p>
          <w:p w14:paraId="27726ED6">
            <w:pPr>
              <w:pStyle w:val="2"/>
              <w:keepNext w:val="0"/>
              <w:keepLines w:val="0"/>
              <w:suppressLineNumbers w:val="0"/>
              <w:spacing w:before="0" w:beforeAutospacing="0" w:after="0" w:afterAutospacing="0" w:line="360" w:lineRule="auto"/>
              <w:ind w:left="0" w:right="0"/>
              <w:rPr>
                <w:rFonts w:hint="default" w:ascii="宋体" w:hAnsi="宋体" w:cs="宋体"/>
                <w:highlight w:val="none"/>
              </w:rPr>
            </w:pPr>
            <w:r>
              <w:rPr>
                <w:rFonts w:hint="eastAsia" w:ascii="宋体" w:hAnsi="宋体" w:cs="宋体"/>
                <w:highlight w:val="none"/>
              </w:rPr>
              <w:t>开户名称：广西医科大学</w:t>
            </w:r>
          </w:p>
          <w:p w14:paraId="1E1864F6">
            <w:pPr>
              <w:pStyle w:val="2"/>
              <w:keepNext w:val="0"/>
              <w:keepLines w:val="0"/>
              <w:suppressLineNumbers w:val="0"/>
              <w:spacing w:before="0" w:beforeAutospacing="0" w:after="0" w:afterAutospacing="0" w:line="360" w:lineRule="auto"/>
              <w:ind w:left="0" w:right="0"/>
              <w:rPr>
                <w:rFonts w:hint="eastAsia" w:ascii="宋体" w:hAnsi="宋体" w:cs="宋体"/>
                <w:highlight w:val="none"/>
              </w:rPr>
            </w:pPr>
            <w:r>
              <w:rPr>
                <w:rFonts w:hint="eastAsia" w:ascii="宋体" w:hAnsi="宋体" w:cs="宋体"/>
                <w:highlight w:val="none"/>
              </w:rPr>
              <w:t>开户银行：</w:t>
            </w:r>
            <w:r>
              <w:rPr>
                <w:rFonts w:hint="eastAsia" w:ascii="宋体" w:hAnsi="宋体" w:cs="宋体"/>
                <w:szCs w:val="21"/>
                <w:highlight w:val="none"/>
              </w:rPr>
              <w:t>中行南宁市医科大支行</w:t>
            </w:r>
          </w:p>
          <w:p w14:paraId="7D5023CD">
            <w:pPr>
              <w:pStyle w:val="2"/>
              <w:keepNext w:val="0"/>
              <w:keepLines w:val="0"/>
              <w:suppressLineNumbers w:val="0"/>
              <w:spacing w:before="0" w:beforeAutospacing="0" w:after="0" w:afterAutospacing="0" w:line="360" w:lineRule="auto"/>
              <w:ind w:left="0" w:right="0"/>
              <w:rPr>
                <w:rFonts w:hint="default" w:ascii="Times New Roman" w:hAnsi="Times New Roman" w:cs="Times New Roman"/>
                <w:highlight w:val="none"/>
              </w:rPr>
            </w:pPr>
            <w:r>
              <w:rPr>
                <w:rFonts w:hint="eastAsia" w:ascii="宋体" w:hAnsi="宋体" w:cs="宋体"/>
                <w:highlight w:val="none"/>
              </w:rPr>
              <w:t>银行账号：</w:t>
            </w:r>
            <w:r>
              <w:rPr>
                <w:rFonts w:hint="eastAsia" w:ascii="宋体" w:hAnsi="宋体" w:cs="宋体"/>
                <w:szCs w:val="21"/>
                <w:highlight w:val="none"/>
              </w:rPr>
              <w:t>622357485287</w:t>
            </w:r>
          </w:p>
          <w:p w14:paraId="4889A9D0">
            <w:pPr>
              <w:keepNext w:val="0"/>
              <w:keepLines w:val="0"/>
              <w:suppressLineNumbers w:val="0"/>
              <w:spacing w:before="0" w:beforeAutospacing="0" w:after="0" w:afterAutospacing="0" w:line="360" w:lineRule="auto"/>
              <w:ind w:left="0" w:right="0"/>
              <w:contextualSpacing/>
              <w:rPr>
                <w:rFonts w:hint="default" w:ascii="宋体" w:hAnsi="宋体" w:cs="宋体"/>
                <w:b/>
                <w:szCs w:val="21"/>
                <w:highlight w:val="none"/>
              </w:rPr>
            </w:pPr>
            <w:r>
              <w:rPr>
                <w:rFonts w:hint="eastAsia" w:ascii="宋体" w:hAnsi="宋体" w:cs="宋体"/>
                <w:b/>
                <w:szCs w:val="21"/>
                <w:highlight w:val="none"/>
              </w:rPr>
              <w:t>1</w:t>
            </w:r>
            <w:r>
              <w:rPr>
                <w:rFonts w:hint="default" w:ascii="宋体" w:hAnsi="宋体" w:cs="宋体"/>
                <w:b/>
                <w:szCs w:val="21"/>
                <w:highlight w:val="none"/>
              </w:rPr>
              <w:t>.</w:t>
            </w:r>
            <w:bookmarkStart w:id="45" w:name="_Hlk54170335"/>
            <w:r>
              <w:rPr>
                <w:rFonts w:hint="eastAsia" w:ascii="宋体" w:hAnsi="宋体" w:cs="Times New Roman"/>
                <w:b/>
                <w:szCs w:val="21"/>
                <w:highlight w:val="none"/>
              </w:rPr>
              <w:t>根据《广西壮族自治区财政厅关于进一步发挥政府采购政策功能促进企业发展的通知》（桂财采〔2022〕30号）规定，对中小企业收取的履约保证金数额不得超过政府采购合同金额的2%。采购人可根据供应商的资信等情况减免履约保证金。</w:t>
            </w:r>
            <w:bookmarkEnd w:id="45"/>
          </w:p>
          <w:p w14:paraId="50389083">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b/>
                <w:szCs w:val="21"/>
                <w:highlight w:val="none"/>
              </w:rPr>
              <w:t>2</w:t>
            </w:r>
            <w:r>
              <w:rPr>
                <w:rFonts w:hint="default" w:ascii="宋体" w:hAnsi="宋体" w:cs="宋体"/>
                <w:b/>
                <w:szCs w:val="21"/>
                <w:highlight w:val="none"/>
              </w:rPr>
              <w:t>.</w:t>
            </w:r>
            <w:r>
              <w:rPr>
                <w:rFonts w:hint="eastAsia" w:ascii="宋体" w:hAnsi="宋体" w:cs="宋体"/>
                <w:b/>
                <w:szCs w:val="21"/>
                <w:highlight w:val="none"/>
              </w:rPr>
              <w:t>履约保证金不足额缴纳的，或者银行、保险机构出具的保函额度不足的或者保函有效期低于合同履行期限（即签订采购合同之日起至履行完合同约定的权利及义务之日止）的，不予签订合同。</w:t>
            </w:r>
            <w:r>
              <w:rPr>
                <w:rFonts w:hint="eastAsia" w:ascii="宋体" w:hAnsi="宋体" w:cs="宋体"/>
                <w:b/>
                <w:szCs w:val="21"/>
                <w:highlight w:val="none"/>
              </w:rPr>
              <w:br w:type="textWrapping"/>
            </w:r>
            <w:r>
              <w:rPr>
                <w:rFonts w:hint="default" w:ascii="宋体" w:hAnsi="宋体" w:cs="宋体"/>
                <w:b/>
                <w:szCs w:val="21"/>
                <w:highlight w:val="none"/>
              </w:rPr>
              <w:t>3.</w:t>
            </w:r>
            <w:r>
              <w:rPr>
                <w:rFonts w:hint="eastAsia" w:ascii="宋体" w:hAnsi="宋体" w:cs="宋体"/>
                <w:b/>
                <w:szCs w:val="21"/>
                <w:highlight w:val="none"/>
              </w:rPr>
              <w:t>采用银行、保险机构出具的保函的，必须为无条件保函，否则不予签订合同。</w:t>
            </w:r>
          </w:p>
        </w:tc>
      </w:tr>
      <w:tr w14:paraId="2D7FD47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0D21C73A">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29.5</w:t>
            </w:r>
          </w:p>
        </w:tc>
        <w:tc>
          <w:tcPr>
            <w:tcW w:w="747" w:type="pct"/>
            <w:noWrap w:val="0"/>
            <w:vAlign w:val="center"/>
          </w:tcPr>
          <w:p w14:paraId="3764CB04">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签订合同携带的材料</w:t>
            </w:r>
          </w:p>
        </w:tc>
        <w:tc>
          <w:tcPr>
            <w:tcW w:w="3779" w:type="pct"/>
            <w:noWrap w:val="0"/>
            <w:vAlign w:val="center"/>
          </w:tcPr>
          <w:p w14:paraId="3D2E677B">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使用的有效CA证书加盖单位电子公章</w:t>
            </w:r>
          </w:p>
        </w:tc>
      </w:tr>
      <w:tr w14:paraId="77610F5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vMerge w:val="restart"/>
            <w:noWrap w:val="0"/>
            <w:vAlign w:val="center"/>
          </w:tcPr>
          <w:p w14:paraId="6D8A0AAE">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31.2</w:t>
            </w:r>
          </w:p>
        </w:tc>
        <w:tc>
          <w:tcPr>
            <w:tcW w:w="747" w:type="pct"/>
            <w:noWrap w:val="0"/>
            <w:vAlign w:val="center"/>
          </w:tcPr>
          <w:p w14:paraId="0EF9E25E">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接收质疑函方式</w:t>
            </w:r>
          </w:p>
        </w:tc>
        <w:tc>
          <w:tcPr>
            <w:tcW w:w="3779" w:type="pct"/>
            <w:noWrap w:val="0"/>
            <w:vAlign w:val="center"/>
          </w:tcPr>
          <w:p w14:paraId="26B9A880">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以书面形式</w:t>
            </w:r>
          </w:p>
        </w:tc>
      </w:tr>
      <w:tr w14:paraId="2D61682C">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vMerge w:val="continue"/>
            <w:noWrap w:val="0"/>
            <w:vAlign w:val="center"/>
          </w:tcPr>
          <w:p w14:paraId="002A8527">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p>
        </w:tc>
        <w:tc>
          <w:tcPr>
            <w:tcW w:w="747" w:type="pct"/>
            <w:noWrap w:val="0"/>
            <w:vAlign w:val="center"/>
          </w:tcPr>
          <w:p w14:paraId="11C3EAFF">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质疑联系部门及联系方式</w:t>
            </w:r>
          </w:p>
        </w:tc>
        <w:tc>
          <w:tcPr>
            <w:tcW w:w="3779" w:type="pct"/>
            <w:noWrap w:val="0"/>
            <w:vAlign w:val="center"/>
          </w:tcPr>
          <w:p w14:paraId="0CF6B20B">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广西德元工程项目管理有限责任公司</w:t>
            </w:r>
          </w:p>
          <w:p w14:paraId="653AA56F">
            <w:pPr>
              <w:keepNext w:val="0"/>
              <w:keepLines w:val="0"/>
              <w:suppressLineNumbers w:val="0"/>
              <w:spacing w:before="0" w:beforeAutospacing="0" w:after="0" w:afterAutospacing="0" w:line="400" w:lineRule="exact"/>
              <w:ind w:left="0" w:right="0"/>
              <w:rPr>
                <w:rFonts w:hint="default" w:ascii="宋体" w:hAnsi="宋体" w:cs="宋体"/>
                <w:szCs w:val="21"/>
                <w:highlight w:val="none"/>
              </w:rPr>
            </w:pPr>
            <w:r>
              <w:rPr>
                <w:rFonts w:hint="eastAsia" w:ascii="宋体" w:hAnsi="宋体" w:cs="宋体"/>
                <w:szCs w:val="21"/>
                <w:highlight w:val="none"/>
              </w:rPr>
              <w:t>联系电话：0771-8028710</w:t>
            </w:r>
          </w:p>
          <w:p w14:paraId="605C45F5">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通讯地址：南宁市良庆区凯旋路15号绿地中心七号楼八楼</w:t>
            </w:r>
          </w:p>
        </w:tc>
      </w:tr>
      <w:tr w14:paraId="79C1DA63">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vMerge w:val="continue"/>
            <w:noWrap w:val="0"/>
            <w:vAlign w:val="center"/>
          </w:tcPr>
          <w:p w14:paraId="6271B339">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p>
        </w:tc>
        <w:tc>
          <w:tcPr>
            <w:tcW w:w="747" w:type="pct"/>
            <w:noWrap w:val="0"/>
            <w:vAlign w:val="center"/>
          </w:tcPr>
          <w:p w14:paraId="3E647DF3">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highlight w:val="none"/>
              </w:rPr>
              <w:t>现场提交质疑办理业务时间</w:t>
            </w:r>
          </w:p>
        </w:tc>
        <w:tc>
          <w:tcPr>
            <w:tcW w:w="3779" w:type="pct"/>
            <w:noWrap w:val="0"/>
            <w:vAlign w:val="center"/>
          </w:tcPr>
          <w:p w14:paraId="4CEC3CBA">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highlight w:val="none"/>
              </w:rPr>
              <w:t>质疑期内每个工作日09 时</w:t>
            </w:r>
            <w:r>
              <w:rPr>
                <w:rFonts w:hint="default" w:ascii="宋体" w:hAnsi="宋体" w:cs="宋体"/>
                <w:highlight w:val="none"/>
              </w:rPr>
              <w:t>3</w:t>
            </w:r>
            <w:r>
              <w:rPr>
                <w:rFonts w:hint="eastAsia" w:ascii="宋体" w:hAnsi="宋体" w:cs="宋体"/>
                <w:highlight w:val="none"/>
              </w:rPr>
              <w:t>0分到 12 时00分， 14 时 30 分到 1</w:t>
            </w:r>
            <w:r>
              <w:rPr>
                <w:rFonts w:hint="eastAsia" w:ascii="宋体" w:hAnsi="宋体" w:cs="宋体"/>
                <w:highlight w:val="none"/>
                <w:lang w:val="en-US" w:eastAsia="zh-CN"/>
              </w:rPr>
              <w:t>7</w:t>
            </w:r>
            <w:r>
              <w:rPr>
                <w:rFonts w:hint="eastAsia" w:ascii="宋体" w:hAnsi="宋体" w:cs="宋体"/>
                <w:highlight w:val="none"/>
              </w:rPr>
              <w:t>时 30分</w:t>
            </w:r>
          </w:p>
        </w:tc>
      </w:tr>
      <w:tr w14:paraId="6995E6A5">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1E0570F5">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31.6</w:t>
            </w:r>
          </w:p>
        </w:tc>
        <w:tc>
          <w:tcPr>
            <w:tcW w:w="747" w:type="pct"/>
            <w:noWrap w:val="0"/>
            <w:vAlign w:val="center"/>
          </w:tcPr>
          <w:p w14:paraId="468BFFFF">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受理投诉方式</w:t>
            </w:r>
          </w:p>
        </w:tc>
        <w:tc>
          <w:tcPr>
            <w:tcW w:w="3779" w:type="pct"/>
            <w:noWrap w:val="0"/>
            <w:vAlign w:val="center"/>
          </w:tcPr>
          <w:p w14:paraId="5B0ECFF2">
            <w:pPr>
              <w:keepNext w:val="0"/>
              <w:keepLines w:val="0"/>
              <w:suppressLineNumbers w:val="0"/>
              <w:spacing w:before="0" w:beforeAutospacing="0" w:after="0" w:afterAutospacing="0" w:line="400" w:lineRule="exact"/>
              <w:ind w:left="0" w:right="0"/>
              <w:rPr>
                <w:rFonts w:hint="eastAsia" w:ascii="宋体" w:hAnsi="宋体" w:cs="宋体"/>
                <w:highlight w:val="none"/>
              </w:rPr>
            </w:pPr>
            <w:r>
              <w:rPr>
                <w:rFonts w:hint="eastAsia" w:ascii="宋体" w:hAnsi="宋体" w:cs="宋体"/>
                <w:highlight w:val="none"/>
              </w:rPr>
              <w:t>1、受理方式：纸质方式受理，投诉书正、副本（经过质疑的事项才可投诉）。</w:t>
            </w:r>
          </w:p>
          <w:p w14:paraId="23FE0951">
            <w:pPr>
              <w:keepNext w:val="0"/>
              <w:keepLines w:val="0"/>
              <w:suppressLineNumbers w:val="0"/>
              <w:spacing w:before="0" w:beforeAutospacing="0" w:after="0" w:afterAutospacing="0" w:line="400" w:lineRule="exact"/>
              <w:ind w:left="0" w:right="0"/>
              <w:rPr>
                <w:rFonts w:hint="eastAsia" w:ascii="宋体" w:hAnsi="宋体" w:cs="宋体"/>
                <w:highlight w:val="none"/>
              </w:rPr>
            </w:pPr>
            <w:r>
              <w:rPr>
                <w:rFonts w:hint="eastAsia" w:ascii="宋体" w:hAnsi="宋体" w:cs="宋体"/>
                <w:highlight w:val="none"/>
              </w:rPr>
              <w:t>2、邮寄地址：</w:t>
            </w:r>
          </w:p>
          <w:p w14:paraId="4648053E">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名称：自治区财政厅</w:t>
            </w:r>
          </w:p>
          <w:p w14:paraId="5A905C1C">
            <w:pPr>
              <w:pStyle w:val="28"/>
              <w:keepNext w:val="0"/>
              <w:keepLines w:val="0"/>
              <w:suppressLineNumbers w:val="0"/>
              <w:spacing w:before="0" w:beforeAutospacing="0" w:after="0" w:afterAutospacing="0" w:line="400" w:lineRule="exact"/>
              <w:ind w:left="0" w:right="0"/>
              <w:rPr>
                <w:rFonts w:hint="default" w:hAnsi="宋体" w:cs="宋体"/>
                <w:sz w:val="21"/>
                <w:highlight w:val="none"/>
              </w:rPr>
            </w:pPr>
            <w:r>
              <w:rPr>
                <w:rFonts w:hint="eastAsia" w:hAnsi="宋体" w:cs="宋体"/>
                <w:sz w:val="21"/>
                <w:highlight w:val="none"/>
              </w:rPr>
              <w:t>地址：南宁市桃源路69号</w:t>
            </w:r>
          </w:p>
          <w:p w14:paraId="6D43ABB2">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联系电话： 0771-5331810</w:t>
            </w:r>
          </w:p>
        </w:tc>
      </w:tr>
      <w:tr w14:paraId="6A5705A8">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3AEA5559">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33</w:t>
            </w:r>
          </w:p>
        </w:tc>
        <w:tc>
          <w:tcPr>
            <w:tcW w:w="747" w:type="pct"/>
            <w:noWrap w:val="0"/>
            <w:vAlign w:val="center"/>
          </w:tcPr>
          <w:p w14:paraId="39020708">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采购代理费</w:t>
            </w:r>
          </w:p>
        </w:tc>
        <w:tc>
          <w:tcPr>
            <w:tcW w:w="3779" w:type="pct"/>
            <w:noWrap w:val="0"/>
            <w:vAlign w:val="center"/>
          </w:tcPr>
          <w:p w14:paraId="509C548F">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1、采购代理服务费支付方式：</w:t>
            </w:r>
            <w:r>
              <w:rPr>
                <w:rFonts w:hint="eastAsia" w:hAnsi="宋体" w:cs="Times New Roman"/>
                <w:sz w:val="21"/>
                <w:highlight w:val="none"/>
              </w:rPr>
              <w:t>本项目的采购代理服务费向</w:t>
            </w:r>
            <w:r>
              <w:rPr>
                <w:rFonts w:hint="eastAsia" w:hAnsi="宋体" w:cs="宋体"/>
                <w:sz w:val="21"/>
                <w:highlight w:val="none"/>
              </w:rPr>
              <w:t>成交供应商</w:t>
            </w:r>
            <w:r>
              <w:rPr>
                <w:rFonts w:hint="eastAsia" w:hAnsi="宋体" w:cs="Times New Roman"/>
                <w:sz w:val="21"/>
                <w:highlight w:val="none"/>
              </w:rPr>
              <w:t>收取，</w:t>
            </w:r>
            <w:r>
              <w:rPr>
                <w:rFonts w:hint="eastAsia" w:hAnsi="宋体" w:cs="宋体"/>
                <w:sz w:val="21"/>
                <w:highlight w:val="none"/>
              </w:rPr>
              <w:t>成交供应商</w:t>
            </w:r>
            <w:r>
              <w:rPr>
                <w:rFonts w:hint="eastAsia" w:hAnsi="宋体" w:cs="Times New Roman"/>
                <w:sz w:val="21"/>
                <w:highlight w:val="none"/>
              </w:rPr>
              <w:t>应向采购代理机构一次付清招标代理服务费。</w:t>
            </w:r>
          </w:p>
          <w:p w14:paraId="71E8FBED">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2、采购代理服务费收取标准：</w:t>
            </w:r>
          </w:p>
          <w:p w14:paraId="5E93D363">
            <w:pPr>
              <w:pStyle w:val="28"/>
              <w:keepNext w:val="0"/>
              <w:keepLines w:val="0"/>
              <w:suppressLineNumbers w:val="0"/>
              <w:spacing w:before="0" w:beforeAutospacing="0" w:after="0" w:afterAutospacing="0" w:line="400" w:lineRule="exact"/>
              <w:ind w:left="0" w:right="0"/>
              <w:rPr>
                <w:rFonts w:hint="eastAsia" w:hAnsi="宋体" w:cs="Times New Roman"/>
                <w:sz w:val="21"/>
                <w:highlight w:val="none"/>
              </w:rPr>
            </w:pPr>
            <w:r>
              <w:rPr>
                <w:rFonts w:hint="eastAsia" w:hAnsi="宋体" w:cs="Times New Roman"/>
                <w:sz w:val="21"/>
                <w:highlight w:val="none"/>
              </w:rPr>
              <w:t>按照国家发展计划委员会《招标代理服务费管理暂行办法》（计价格（2002）1980号、《国家发展改革委关于降低部分建设项目收费标准规范收费行为等有关问题的通知》（发改价格[2011]534号）的标准计取。</w:t>
            </w:r>
          </w:p>
          <w:p w14:paraId="59EFD7BC">
            <w:pPr>
              <w:pStyle w:val="28"/>
              <w:keepNext w:val="0"/>
              <w:keepLines w:val="0"/>
              <w:suppressLineNumbers w:val="0"/>
              <w:spacing w:before="0" w:beforeAutospacing="0" w:after="0" w:afterAutospacing="0" w:line="400" w:lineRule="exact"/>
              <w:ind w:left="0" w:right="0"/>
              <w:rPr>
                <w:rFonts w:hint="eastAsia" w:hAnsi="宋体" w:eastAsia="宋体" w:cs="Times New Roman"/>
                <w:sz w:val="21"/>
                <w:highlight w:val="none"/>
                <w:lang w:eastAsia="zh-CN"/>
              </w:rPr>
            </w:pPr>
            <w:r>
              <w:rPr>
                <w:rFonts w:hint="eastAsia" w:hAnsi="宋体" w:cs="Times New Roman"/>
                <w:sz w:val="21"/>
                <w:highlight w:val="none"/>
              </w:rPr>
              <w:t>账户名称：广西德元工程项目管理有限责任公司</w:t>
            </w:r>
            <w:r>
              <w:rPr>
                <w:rFonts w:hint="eastAsia" w:hAnsi="宋体" w:cs="Times New Roman"/>
                <w:sz w:val="21"/>
                <w:highlight w:val="none"/>
                <w:lang w:eastAsia="zh-CN"/>
              </w:rPr>
              <w:t>北海分公司</w:t>
            </w:r>
          </w:p>
          <w:p w14:paraId="78F0F6EA">
            <w:pPr>
              <w:pStyle w:val="28"/>
              <w:keepNext w:val="0"/>
              <w:keepLines w:val="0"/>
              <w:suppressLineNumbers w:val="0"/>
              <w:spacing w:before="0" w:beforeAutospacing="0" w:after="0" w:afterAutospacing="0" w:line="400" w:lineRule="exact"/>
              <w:ind w:left="0" w:right="0"/>
              <w:rPr>
                <w:rFonts w:hint="eastAsia" w:hAnsi="宋体" w:cs="Times New Roman"/>
                <w:sz w:val="21"/>
                <w:highlight w:val="none"/>
              </w:rPr>
            </w:pPr>
            <w:r>
              <w:rPr>
                <w:rFonts w:hint="eastAsia" w:hAnsi="宋体" w:cs="Times New Roman"/>
                <w:sz w:val="21"/>
                <w:highlight w:val="none"/>
              </w:rPr>
              <w:t>开 户 行：中国建设银行股份有限公司北海市北海大道支行</w:t>
            </w:r>
          </w:p>
          <w:p w14:paraId="3D430810">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Times New Roman"/>
                <w:sz w:val="21"/>
                <w:highlight w:val="none"/>
              </w:rPr>
              <w:t>帐    号：4500 1655 1130 5070 3077</w:t>
            </w:r>
          </w:p>
        </w:tc>
      </w:tr>
      <w:tr w14:paraId="209DC4B1">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13EDC54C">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34.1</w:t>
            </w:r>
          </w:p>
        </w:tc>
        <w:tc>
          <w:tcPr>
            <w:tcW w:w="747" w:type="pct"/>
            <w:noWrap w:val="0"/>
            <w:vAlign w:val="center"/>
          </w:tcPr>
          <w:p w14:paraId="2E3EA648">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highlight w:val="none"/>
              </w:rPr>
              <w:t>解释</w:t>
            </w:r>
          </w:p>
        </w:tc>
        <w:tc>
          <w:tcPr>
            <w:tcW w:w="3779" w:type="pct"/>
            <w:noWrap w:val="0"/>
            <w:vAlign w:val="center"/>
          </w:tcPr>
          <w:p w14:paraId="27425D0E">
            <w:pPr>
              <w:pStyle w:val="28"/>
              <w:keepNext w:val="0"/>
              <w:keepLines w:val="0"/>
              <w:suppressLineNumbers w:val="0"/>
              <w:spacing w:before="0" w:beforeAutospacing="0" w:after="0" w:afterAutospacing="0" w:line="400" w:lineRule="exact"/>
              <w:ind w:left="0" w:right="0"/>
              <w:rPr>
                <w:rFonts w:hint="eastAsia" w:hAnsi="宋体" w:cs="宋体"/>
                <w:b/>
                <w:sz w:val="21"/>
                <w:highlight w:val="none"/>
              </w:rPr>
            </w:pPr>
            <w:r>
              <w:rPr>
                <w:rFonts w:hint="eastAsia" w:hAnsi="宋体" w:cs="宋体"/>
                <w:b/>
                <w:sz w:val="21"/>
                <w:highlight w:val="none"/>
              </w:rPr>
              <w:t>解释权：</w:t>
            </w:r>
            <w:r>
              <w:rPr>
                <w:rFonts w:hint="eastAsia" w:hAnsi="宋体" w:cs="宋体"/>
                <w:sz w:val="21"/>
                <w:highlight w:val="none"/>
              </w:rPr>
              <w:t>构成本磋商文件的各个组成文件应互为解释，互为说明；除磋商文件中有特别规定外，仅适用于竞标阶段的规定，按更正公告（澄清公告）、竞争性磋商公告、供应商须知、采购需求、评审程序、评审方法和评审标准、响应文件格式、合同文本的先后顺序解释；同一组成文件中就同一事项的规定或者约定不一致的，以编排顺序在后者为准；同一组成文件不同版本之间有不一致的，以形成时间在后者为准；更正公告（澄清公告）与同步更新的磋商文件不一致时以更正公告（澄清公告）为准。按本款前述规定仍不能形成结论的，</w:t>
            </w:r>
            <w:r>
              <w:rPr>
                <w:rFonts w:hint="eastAsia" w:hAnsi="宋体" w:cs="宋体"/>
                <w:b/>
                <w:sz w:val="21"/>
                <w:highlight w:val="none"/>
              </w:rPr>
              <w:t>由采购人或者采购代理机构负责解释。</w:t>
            </w:r>
          </w:p>
          <w:p w14:paraId="4C8EBA6A">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b/>
                <w:sz w:val="21"/>
                <w:highlight w:val="none"/>
              </w:rPr>
              <w:t>法律责任：</w:t>
            </w:r>
            <w:r>
              <w:rPr>
                <w:rFonts w:hint="eastAsia" w:hAnsi="宋体" w:cs="宋体"/>
                <w:sz w:val="21"/>
                <w:highlight w:val="none"/>
              </w:rPr>
              <w:t>1.本采购文件根据《中华人民共和国政府采购法》、《中华人民共和国民法典》；《中华人民共和国政府采购法实施条例》、《政府采购非招标采购方式管理办法》等有关法律、法规编制，参与本项目的各政府采购当事人依法享有上述法律法规所赋予的权利与义务。</w:t>
            </w:r>
          </w:p>
          <w:p w14:paraId="561AF085">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2.本项目采购代理机构应严格按照“广西政府采购云”平台项目采购全流程电子化电子开评标规程执行项目采购活动，代理机构在“项目管理”—“采购文件管理”内开评标规则设置作为本采购文件的组成部分，一经开标不可更改，因代理机构开评标规则设置错误导致采购活动无法开展下去的情况，由代理机构负责解释并承担后果。</w:t>
            </w:r>
          </w:p>
        </w:tc>
      </w:tr>
      <w:tr w14:paraId="4905378A">
        <w:tblPrEx>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Ex>
        <w:trPr>
          <w:jc w:val="center"/>
        </w:trPr>
        <w:tc>
          <w:tcPr>
            <w:tcW w:w="472" w:type="pct"/>
            <w:noWrap w:val="0"/>
            <w:vAlign w:val="center"/>
          </w:tcPr>
          <w:p w14:paraId="60BDF650">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34.2</w:t>
            </w:r>
          </w:p>
        </w:tc>
        <w:tc>
          <w:tcPr>
            <w:tcW w:w="747" w:type="pct"/>
            <w:noWrap w:val="0"/>
            <w:vAlign w:val="center"/>
          </w:tcPr>
          <w:p w14:paraId="0710F5E5">
            <w:pPr>
              <w:keepNext w:val="0"/>
              <w:keepLines w:val="0"/>
              <w:suppressLineNumbers w:val="0"/>
              <w:spacing w:before="0" w:beforeAutospacing="0" w:after="0" w:afterAutospacing="0" w:line="400" w:lineRule="exact"/>
              <w:ind w:left="0" w:right="0"/>
              <w:rPr>
                <w:rFonts w:hint="eastAsia" w:ascii="宋体" w:hAnsi="宋体" w:cs="宋体"/>
                <w:szCs w:val="21"/>
                <w:highlight w:val="none"/>
              </w:rPr>
            </w:pPr>
            <w:r>
              <w:rPr>
                <w:rFonts w:hint="eastAsia" w:ascii="宋体" w:hAnsi="宋体" w:cs="宋体"/>
                <w:szCs w:val="21"/>
                <w:highlight w:val="none"/>
              </w:rPr>
              <w:t>其他</w:t>
            </w:r>
          </w:p>
        </w:tc>
        <w:tc>
          <w:tcPr>
            <w:tcW w:w="3779" w:type="pct"/>
            <w:noWrap w:val="0"/>
            <w:vAlign w:val="center"/>
          </w:tcPr>
          <w:p w14:paraId="58DD52F5">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1.本磋商文件中描述供应商的“公章”是指根据我国对公章的管理规定，用供应商法定主体行为名称制作的印章，除本磋商文件有特殊规定外，供应商的财务章、部门章、分公司章、工会章、合同章、竞标/投标专用章、业务专用章及银行的转账章、现金收讫章、现金付讫章等其他形式印章均不能代替公章。</w:t>
            </w:r>
          </w:p>
          <w:p w14:paraId="3E5E08A5">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2.供应商为其他组织或者自然人时，本磋商文件规定的法定代表人指负责人或者自然人。本磋商文件所称负责人是指参加竞标的其他组织营业执照上的负责人，本磋商文件所称自然人指参与竞标的自然人本人。</w:t>
            </w:r>
          </w:p>
          <w:p w14:paraId="11F76C39">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3.本磋商文件中描述供应商的“签字”是指供应商的法定代表人或者委托代理人亲自在文件规定签署处亲笔写上个人的名字的行为，私章、签字章、印鉴、影印等其他形式均不能代替亲笔签字。</w:t>
            </w:r>
          </w:p>
          <w:p w14:paraId="4832C684">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4.自然人竞标的，磋商文件规定盖公章处由自然人摁手指指印。</w:t>
            </w:r>
          </w:p>
          <w:p w14:paraId="127C3034">
            <w:pPr>
              <w:pStyle w:val="28"/>
              <w:keepNext w:val="0"/>
              <w:keepLines w:val="0"/>
              <w:suppressLineNumbers w:val="0"/>
              <w:spacing w:before="0" w:beforeAutospacing="0" w:after="0" w:afterAutospacing="0" w:line="400" w:lineRule="exact"/>
              <w:ind w:left="0" w:right="0"/>
              <w:rPr>
                <w:rFonts w:hint="eastAsia" w:hAnsi="宋体" w:cs="宋体"/>
                <w:sz w:val="21"/>
                <w:highlight w:val="none"/>
              </w:rPr>
            </w:pPr>
            <w:r>
              <w:rPr>
                <w:rFonts w:hint="eastAsia" w:hAnsi="宋体" w:cs="宋体"/>
                <w:sz w:val="21"/>
                <w:highlight w:val="none"/>
              </w:rPr>
              <w:t>5.本磋商文件所称的“以上”“以下”“以内”“届满”，包括本数；所称的“不满”“超过”“以外”，不包括本数。</w:t>
            </w:r>
          </w:p>
        </w:tc>
      </w:tr>
    </w:tbl>
    <w:p w14:paraId="795B57EE">
      <w:pPr>
        <w:pStyle w:val="4"/>
        <w:spacing w:line="420" w:lineRule="exact"/>
        <w:jc w:val="center"/>
        <w:rPr>
          <w:rFonts w:hint="eastAsia" w:ascii="宋体" w:hAnsi="宋体" w:cs="宋体"/>
          <w:b/>
          <w:bCs w:val="0"/>
          <w:highlight w:val="none"/>
        </w:rPr>
      </w:pPr>
      <w:r>
        <w:rPr>
          <w:rFonts w:hint="eastAsia" w:ascii="宋体" w:hAnsi="宋体" w:cs="宋体"/>
          <w:b w:val="0"/>
          <w:highlight w:val="none"/>
        </w:rPr>
        <w:br w:type="page" w:clear="all"/>
      </w:r>
      <w:bookmarkStart w:id="46" w:name="_Toc10559"/>
      <w:bookmarkStart w:id="47" w:name="_Toc120174192"/>
      <w:bookmarkStart w:id="48" w:name="_Toc24221"/>
      <w:r>
        <w:rPr>
          <w:rFonts w:hint="eastAsia" w:ascii="宋体" w:hAnsi="宋体" w:cs="宋体"/>
          <w:b/>
          <w:bCs w:val="0"/>
          <w:highlight w:val="none"/>
        </w:rPr>
        <w:t>第二节 供应商须知正文</w:t>
      </w:r>
      <w:bookmarkEnd w:id="46"/>
      <w:bookmarkEnd w:id="47"/>
      <w:bookmarkEnd w:id="48"/>
    </w:p>
    <w:p w14:paraId="79B13193">
      <w:pPr>
        <w:pStyle w:val="5"/>
        <w:spacing w:before="0" w:after="0" w:line="360" w:lineRule="auto"/>
        <w:ind w:firstLine="480"/>
        <w:rPr>
          <w:rFonts w:hint="eastAsia" w:ascii="宋体" w:hAnsi="宋体" w:cs="宋体"/>
          <w:b w:val="0"/>
          <w:highlight w:val="none"/>
        </w:rPr>
      </w:pPr>
      <w:bookmarkStart w:id="49" w:name="_Toc28690"/>
      <w:bookmarkStart w:id="50" w:name="_Toc120174193"/>
      <w:bookmarkStart w:id="51" w:name="_Toc120173684"/>
      <w:r>
        <w:rPr>
          <w:rFonts w:hint="eastAsia" w:ascii="宋体" w:hAnsi="宋体" w:cs="宋体"/>
          <w:b w:val="0"/>
          <w:highlight w:val="none"/>
        </w:rPr>
        <w:t>一、总则</w:t>
      </w:r>
      <w:bookmarkEnd w:id="49"/>
      <w:bookmarkEnd w:id="50"/>
      <w:bookmarkEnd w:id="51"/>
    </w:p>
    <w:p w14:paraId="292D003D">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1.适用范围</w:t>
      </w:r>
    </w:p>
    <w:p w14:paraId="49048A3F">
      <w:pPr>
        <w:spacing w:line="360" w:lineRule="auto"/>
        <w:ind w:firstLine="420"/>
        <w:rPr>
          <w:rFonts w:hint="eastAsia" w:ascii="宋体" w:hAnsi="宋体" w:cs="宋体"/>
          <w:szCs w:val="21"/>
          <w:highlight w:val="none"/>
        </w:rPr>
      </w:pPr>
      <w:r>
        <w:rPr>
          <w:rFonts w:hint="eastAsia" w:ascii="宋体" w:hAnsi="宋体" w:cs="宋体"/>
          <w:szCs w:val="21"/>
          <w:highlight w:val="none"/>
        </w:rPr>
        <w:t>1.1本项目采购人、采购代理机构、供应商、磋商小组的相关行为均受《中华人民共和国政府采购法》《中华人民共和国政府采购法实施条例》《政府采购竞争性磋商采购方式管理暂行办法》《财政部关于政府采购竞争性磋商采购方式管理暂行办法有关问题的补充通知》及本项目本级和上级财政部门政府采购有关规定的约束和保护。</w:t>
      </w:r>
    </w:p>
    <w:p w14:paraId="081C5B91">
      <w:pPr>
        <w:spacing w:line="360" w:lineRule="auto"/>
        <w:ind w:firstLine="420"/>
        <w:rPr>
          <w:rFonts w:hint="eastAsia" w:ascii="宋体" w:hAnsi="宋体" w:cs="宋体"/>
          <w:szCs w:val="21"/>
          <w:highlight w:val="none"/>
        </w:rPr>
      </w:pPr>
      <w:r>
        <w:rPr>
          <w:rFonts w:hint="eastAsia" w:ascii="宋体" w:hAnsi="宋体" w:cs="宋体"/>
          <w:szCs w:val="21"/>
          <w:highlight w:val="none"/>
        </w:rPr>
        <w:t>1.2</w:t>
      </w:r>
      <w:r>
        <w:rPr>
          <w:rFonts w:hint="eastAsia" w:ascii="宋体" w:hAnsi="宋体" w:cs="宋体"/>
          <w:spacing w:val="-6"/>
          <w:szCs w:val="21"/>
          <w:highlight w:val="none"/>
        </w:rPr>
        <w:t>本竞争性磋商文件（以下简称磋商文件）适用于本项目的所有采购程序和环节（法律、法规另有规定的，从其规定）。</w:t>
      </w:r>
    </w:p>
    <w:p w14:paraId="1B32D8AC">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2.定义</w:t>
      </w:r>
    </w:p>
    <w:p w14:paraId="71E2523F">
      <w:pPr>
        <w:spacing w:line="360" w:lineRule="auto"/>
        <w:ind w:firstLine="420"/>
        <w:rPr>
          <w:rFonts w:hint="eastAsia" w:ascii="宋体" w:hAnsi="宋体" w:cs="宋体"/>
          <w:szCs w:val="21"/>
          <w:highlight w:val="none"/>
        </w:rPr>
      </w:pPr>
      <w:r>
        <w:rPr>
          <w:rFonts w:hint="eastAsia" w:ascii="宋体" w:hAnsi="宋体" w:cs="宋体"/>
          <w:szCs w:val="21"/>
          <w:highlight w:val="none"/>
        </w:rPr>
        <w:t>2.1“采购人”是指依法进行政府采购的国家机关、事业单位、团体组织。</w:t>
      </w:r>
    </w:p>
    <w:p w14:paraId="32E223D8">
      <w:pPr>
        <w:spacing w:line="360" w:lineRule="auto"/>
        <w:ind w:firstLine="420"/>
        <w:rPr>
          <w:rFonts w:hint="eastAsia" w:ascii="宋体" w:hAnsi="宋体" w:cs="宋体"/>
          <w:szCs w:val="21"/>
          <w:highlight w:val="none"/>
        </w:rPr>
      </w:pPr>
      <w:r>
        <w:rPr>
          <w:rFonts w:hint="eastAsia" w:ascii="宋体" w:hAnsi="宋体" w:cs="宋体"/>
          <w:szCs w:val="21"/>
          <w:highlight w:val="none"/>
        </w:rPr>
        <w:t>2.2“采购代理机构”是指政府采购集中采购机构和集中采购机构以外的采购代理机构。</w:t>
      </w:r>
    </w:p>
    <w:p w14:paraId="41DF8913">
      <w:pPr>
        <w:spacing w:line="360" w:lineRule="auto"/>
        <w:ind w:firstLine="420"/>
        <w:rPr>
          <w:rFonts w:hint="eastAsia" w:ascii="宋体" w:hAnsi="宋体" w:cs="宋体"/>
          <w:szCs w:val="21"/>
          <w:highlight w:val="none"/>
        </w:rPr>
      </w:pPr>
      <w:r>
        <w:rPr>
          <w:rFonts w:hint="eastAsia" w:ascii="宋体" w:hAnsi="宋体" w:cs="宋体"/>
          <w:szCs w:val="21"/>
          <w:highlight w:val="none"/>
        </w:rPr>
        <w:t>2.3“供应商”是指向采购人提供货物、工程或者服务的法人、其他组织或者自然人。</w:t>
      </w:r>
    </w:p>
    <w:p w14:paraId="7210FE50">
      <w:pPr>
        <w:spacing w:line="360" w:lineRule="auto"/>
        <w:ind w:firstLine="420"/>
        <w:rPr>
          <w:rFonts w:hint="eastAsia" w:ascii="宋体" w:hAnsi="宋体" w:cs="宋体"/>
          <w:szCs w:val="21"/>
          <w:highlight w:val="none"/>
        </w:rPr>
      </w:pPr>
      <w:r>
        <w:rPr>
          <w:rFonts w:hint="eastAsia" w:ascii="宋体" w:hAnsi="宋体" w:cs="宋体"/>
          <w:szCs w:val="21"/>
          <w:highlight w:val="none"/>
        </w:rPr>
        <w:t>2.4“服务”是指除货物和工程以外的其他政府采购对象。</w:t>
      </w:r>
    </w:p>
    <w:p w14:paraId="0F0F0867">
      <w:pPr>
        <w:spacing w:line="360" w:lineRule="auto"/>
        <w:ind w:firstLine="420"/>
        <w:rPr>
          <w:rFonts w:hint="eastAsia" w:ascii="宋体" w:hAnsi="宋体" w:cs="宋体"/>
          <w:szCs w:val="21"/>
          <w:highlight w:val="none"/>
        </w:rPr>
      </w:pPr>
      <w:r>
        <w:rPr>
          <w:rFonts w:hint="eastAsia" w:ascii="宋体" w:hAnsi="宋体" w:cs="宋体"/>
          <w:szCs w:val="21"/>
          <w:highlight w:val="none"/>
        </w:rPr>
        <w:t>2.5“竞标”是指供应商按照本项目竞争性磋商公告或者邀请函规定的方式获取磋商文件、提交响应文件并希望获得标的的行为。</w:t>
      </w:r>
    </w:p>
    <w:p w14:paraId="0043AA6A">
      <w:pPr>
        <w:spacing w:line="360" w:lineRule="auto"/>
        <w:ind w:firstLine="420"/>
        <w:rPr>
          <w:rFonts w:hint="eastAsia" w:ascii="宋体" w:hAnsi="宋体" w:cs="宋体"/>
          <w:szCs w:val="21"/>
          <w:highlight w:val="none"/>
        </w:rPr>
      </w:pPr>
      <w:r>
        <w:rPr>
          <w:rFonts w:hint="eastAsia" w:ascii="宋体" w:hAnsi="宋体" w:cs="宋体"/>
          <w:szCs w:val="21"/>
          <w:highlight w:val="none"/>
        </w:rPr>
        <w:t>2.6“响应文件”</w:t>
      </w:r>
      <w:r>
        <w:rPr>
          <w:rFonts w:hint="eastAsia" w:ascii="宋体" w:hAnsi="宋体" w:cs="宋体"/>
          <w:spacing w:val="-6"/>
          <w:szCs w:val="21"/>
          <w:highlight w:val="none"/>
        </w:rPr>
        <w:t>是指：供应商根据本磋商文件要求，编制包含资格证明、报价商务技术等所有内容的文件。</w:t>
      </w:r>
    </w:p>
    <w:p w14:paraId="30C8A8E9">
      <w:pPr>
        <w:spacing w:line="360" w:lineRule="auto"/>
        <w:ind w:firstLine="420"/>
        <w:rPr>
          <w:rFonts w:hint="eastAsia" w:ascii="宋体" w:hAnsi="宋体" w:cs="宋体"/>
          <w:szCs w:val="21"/>
          <w:highlight w:val="none"/>
        </w:rPr>
      </w:pPr>
      <w:r>
        <w:rPr>
          <w:rFonts w:hint="eastAsia" w:ascii="宋体" w:hAnsi="宋体" w:cs="宋体"/>
          <w:szCs w:val="21"/>
          <w:highlight w:val="none"/>
        </w:rPr>
        <w:t>2.7“实质性要求”是指磋商文件中已经指明不满足则响应文件按无效响应处理的条款，或者不能负偏离的条款，或者采购需求中带“▲”的条款。</w:t>
      </w:r>
    </w:p>
    <w:p w14:paraId="6CA6B971">
      <w:pPr>
        <w:spacing w:line="360" w:lineRule="auto"/>
        <w:ind w:firstLine="420"/>
        <w:rPr>
          <w:rFonts w:hint="eastAsia" w:ascii="宋体" w:hAnsi="宋体" w:cs="宋体"/>
          <w:szCs w:val="21"/>
          <w:highlight w:val="none"/>
        </w:rPr>
      </w:pPr>
      <w:r>
        <w:rPr>
          <w:rFonts w:hint="eastAsia" w:ascii="宋体" w:hAnsi="宋体" w:cs="宋体"/>
          <w:szCs w:val="21"/>
          <w:highlight w:val="none"/>
        </w:rPr>
        <w:t>2.8“正偏离”，是指响应文件对磋商文件“采购需求”中有关条款作出的响应优于条款要求并有利于采购人的情形。</w:t>
      </w:r>
    </w:p>
    <w:p w14:paraId="4E31A2DB">
      <w:pPr>
        <w:spacing w:line="360" w:lineRule="auto"/>
        <w:ind w:firstLine="420"/>
        <w:rPr>
          <w:rFonts w:hint="eastAsia" w:ascii="宋体" w:hAnsi="宋体" w:cs="宋体"/>
          <w:szCs w:val="21"/>
          <w:highlight w:val="none"/>
        </w:rPr>
      </w:pPr>
      <w:r>
        <w:rPr>
          <w:rFonts w:hint="eastAsia" w:ascii="宋体" w:hAnsi="宋体" w:cs="宋体"/>
          <w:szCs w:val="21"/>
          <w:highlight w:val="none"/>
        </w:rPr>
        <w:t>2.9“负偏离”，是指响应文件对磋商文件“采购需求”中有关条款作出的响应不满足条款要求，导致采购人要求不能得到满足的情形。</w:t>
      </w:r>
    </w:p>
    <w:p w14:paraId="0C84E165">
      <w:pPr>
        <w:spacing w:line="360" w:lineRule="auto"/>
        <w:ind w:firstLine="420"/>
        <w:rPr>
          <w:rFonts w:hint="eastAsia" w:ascii="宋体" w:hAnsi="宋体" w:cs="宋体"/>
          <w:szCs w:val="21"/>
          <w:highlight w:val="none"/>
        </w:rPr>
      </w:pPr>
      <w:r>
        <w:rPr>
          <w:rFonts w:hint="eastAsia" w:ascii="宋体" w:hAnsi="宋体" w:cs="宋体"/>
          <w:szCs w:val="21"/>
          <w:highlight w:val="none"/>
        </w:rPr>
        <w:t>2.10“允许负偏离的条款”是指采购需求中的不属于“实质性要求”的条款。</w:t>
      </w:r>
    </w:p>
    <w:p w14:paraId="73932290">
      <w:pPr>
        <w:spacing w:line="360" w:lineRule="auto"/>
        <w:ind w:firstLine="420"/>
        <w:rPr>
          <w:rFonts w:hint="eastAsia" w:ascii="宋体" w:hAnsi="宋体" w:cs="宋体"/>
          <w:szCs w:val="21"/>
          <w:highlight w:val="none"/>
        </w:rPr>
      </w:pPr>
      <w:r>
        <w:rPr>
          <w:rFonts w:hint="eastAsia" w:ascii="宋体" w:hAnsi="宋体" w:cs="宋体"/>
          <w:szCs w:val="21"/>
          <w:highlight w:val="none"/>
        </w:rPr>
        <w:t>2.11“书面形式”是指合同书、信件和数据电文（包括电报、电传、传真、电子数据交换和电子邮件）等可以有形地表现所载内容的形式。</w:t>
      </w:r>
    </w:p>
    <w:p w14:paraId="38EF20DA">
      <w:pPr>
        <w:spacing w:line="360" w:lineRule="auto"/>
        <w:ind w:firstLine="420"/>
        <w:rPr>
          <w:rFonts w:hint="eastAsia" w:ascii="宋体" w:hAnsi="宋体" w:cs="宋体"/>
          <w:szCs w:val="21"/>
          <w:highlight w:val="none"/>
        </w:rPr>
      </w:pPr>
      <w:r>
        <w:rPr>
          <w:rFonts w:hint="eastAsia" w:ascii="宋体" w:hAnsi="宋体" w:cs="宋体"/>
          <w:szCs w:val="21"/>
          <w:highlight w:val="none"/>
        </w:rPr>
        <w:t>2.12“首次报价”是指供应商提交的首次响应文件中的报价。</w:t>
      </w:r>
    </w:p>
    <w:p w14:paraId="0F70D760">
      <w:pPr>
        <w:spacing w:line="360" w:lineRule="auto"/>
        <w:ind w:firstLine="420"/>
        <w:rPr>
          <w:rFonts w:hint="eastAsia" w:ascii="宋体" w:hAnsi="宋体" w:cs="宋体"/>
          <w:szCs w:val="21"/>
          <w:highlight w:val="none"/>
        </w:rPr>
      </w:pPr>
      <w:r>
        <w:rPr>
          <w:rFonts w:hint="eastAsia" w:ascii="宋体" w:hAnsi="宋体" w:cs="宋体"/>
          <w:szCs w:val="21"/>
          <w:highlight w:val="none"/>
        </w:rPr>
        <w:t>2.13“评审报价”是指供应商提交的最后报价并经修正（如有）和政策功能价格扣除（如有）后的价格。</w:t>
      </w:r>
    </w:p>
    <w:p w14:paraId="12724812">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3.供应商的资格条件</w:t>
      </w:r>
    </w:p>
    <w:p w14:paraId="4DD47FD7">
      <w:pPr>
        <w:spacing w:line="360" w:lineRule="auto"/>
        <w:ind w:firstLine="420"/>
        <w:rPr>
          <w:rFonts w:hint="eastAsia" w:ascii="宋体" w:hAnsi="宋体" w:cs="宋体"/>
          <w:szCs w:val="21"/>
          <w:highlight w:val="none"/>
        </w:rPr>
      </w:pPr>
      <w:r>
        <w:rPr>
          <w:rFonts w:hint="eastAsia" w:ascii="宋体" w:hAnsi="宋体" w:cs="宋体"/>
          <w:szCs w:val="21"/>
          <w:highlight w:val="none"/>
        </w:rPr>
        <w:t>供应商的资格条件详见“供应商须知前附表”。</w:t>
      </w:r>
    </w:p>
    <w:p w14:paraId="30B03767">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4.磋商费用</w:t>
      </w:r>
    </w:p>
    <w:p w14:paraId="58216580">
      <w:pPr>
        <w:spacing w:line="360" w:lineRule="auto"/>
        <w:ind w:firstLine="420"/>
        <w:rPr>
          <w:rFonts w:hint="eastAsia" w:ascii="宋体" w:hAnsi="宋体" w:cs="宋体"/>
          <w:szCs w:val="21"/>
          <w:highlight w:val="none"/>
        </w:rPr>
      </w:pPr>
      <w:r>
        <w:rPr>
          <w:rFonts w:hint="eastAsia" w:ascii="宋体" w:hAnsi="宋体" w:cs="宋体"/>
          <w:szCs w:val="21"/>
          <w:highlight w:val="none"/>
        </w:rPr>
        <w:t>供应商应承担参与本次采购活动有关的所有费用，包括但不限于、勘查现场、编制和提交响应文件、参加磋商与应答、签订合同等，不论竞标结果如何，均应自行承担。</w:t>
      </w:r>
    </w:p>
    <w:p w14:paraId="6CCF941E">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5.联合体竞标</w:t>
      </w:r>
    </w:p>
    <w:p w14:paraId="17CB3F6A">
      <w:pPr>
        <w:spacing w:line="360" w:lineRule="auto"/>
        <w:ind w:firstLine="420"/>
        <w:rPr>
          <w:rFonts w:hint="eastAsia" w:ascii="宋体" w:hAnsi="宋体" w:cs="宋体"/>
          <w:szCs w:val="21"/>
          <w:highlight w:val="none"/>
        </w:rPr>
      </w:pPr>
      <w:r>
        <w:rPr>
          <w:rFonts w:hint="eastAsia" w:ascii="宋体" w:hAnsi="宋体" w:cs="宋体"/>
          <w:szCs w:val="21"/>
          <w:highlight w:val="none"/>
        </w:rPr>
        <w:t>5.1本项目是否接受联合体竞标，详见“供应商须知前附表”。</w:t>
      </w:r>
    </w:p>
    <w:p w14:paraId="4A9F71A0">
      <w:pPr>
        <w:spacing w:line="360" w:lineRule="auto"/>
        <w:ind w:firstLine="420"/>
        <w:rPr>
          <w:rFonts w:hint="eastAsia" w:ascii="宋体" w:hAnsi="宋体" w:cs="宋体"/>
          <w:szCs w:val="21"/>
          <w:highlight w:val="none"/>
        </w:rPr>
      </w:pPr>
      <w:r>
        <w:rPr>
          <w:rFonts w:hint="eastAsia" w:ascii="宋体" w:hAnsi="宋体" w:cs="宋体"/>
          <w:szCs w:val="21"/>
          <w:highlight w:val="none"/>
        </w:rPr>
        <w:t>5.2</w:t>
      </w:r>
      <w:r>
        <w:rPr>
          <w:rFonts w:hint="eastAsia" w:ascii="宋体" w:hAnsi="宋体" w:cs="宋体"/>
          <w:highlight w:val="none"/>
        </w:rPr>
        <w:t>如接受联合体竞标，</w:t>
      </w:r>
      <w:r>
        <w:rPr>
          <w:rFonts w:hint="eastAsia" w:ascii="宋体" w:hAnsi="宋体" w:cs="宋体"/>
          <w:szCs w:val="21"/>
          <w:highlight w:val="none"/>
        </w:rPr>
        <w:t>联合体竞标要求详见“供应商须知前附表”。</w:t>
      </w:r>
    </w:p>
    <w:p w14:paraId="449544BA">
      <w:pPr>
        <w:spacing w:line="360" w:lineRule="auto"/>
        <w:ind w:firstLine="420"/>
        <w:rPr>
          <w:rFonts w:hint="eastAsia" w:ascii="宋体" w:hAnsi="宋体" w:cs="宋体"/>
          <w:bCs/>
          <w:szCs w:val="21"/>
          <w:highlight w:val="none"/>
        </w:rPr>
      </w:pPr>
      <w:r>
        <w:rPr>
          <w:rFonts w:hint="eastAsia" w:ascii="宋体" w:hAnsi="宋体" w:cs="宋体"/>
          <w:szCs w:val="21"/>
          <w:highlight w:val="none"/>
        </w:rPr>
        <w:t>5.3</w:t>
      </w:r>
      <w:r>
        <w:rPr>
          <w:rFonts w:hint="eastAsia" w:ascii="宋体" w:hAnsi="宋体" w:cs="宋体"/>
          <w:bCs/>
          <w:szCs w:val="21"/>
          <w:highlight w:val="none"/>
        </w:rPr>
        <w:t>根据《政府采购促进中小企业发展管理办法》（财库[2020]46号）第九条规定，接受大中型企业与小微企业组成联合体的采购项目，对于联合协议约定小微企业的合同份额占到合同总金额 30%以上的，采购人、采购代理机构应当对联合体的报价给予 2%-3%（工程项目为 1%—2%）的扣除，用扣除后的价格参加评审。组成联合体的小微企业与联合体内其他企业、分包企业之间存在直接控股、管理关系的，不享受价格扣除优惠政策。</w:t>
      </w:r>
    </w:p>
    <w:p w14:paraId="11403D2A">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 xml:space="preserve">6.转包与分包             </w:t>
      </w:r>
    </w:p>
    <w:p w14:paraId="5B88FCBD">
      <w:pPr>
        <w:spacing w:line="360" w:lineRule="auto"/>
        <w:ind w:firstLine="420"/>
        <w:rPr>
          <w:rFonts w:hint="eastAsia" w:ascii="宋体" w:hAnsi="宋体" w:cs="宋体"/>
          <w:szCs w:val="21"/>
          <w:highlight w:val="none"/>
        </w:rPr>
      </w:pPr>
      <w:r>
        <w:rPr>
          <w:rFonts w:hint="eastAsia" w:ascii="宋体" w:hAnsi="宋体" w:cs="宋体"/>
          <w:szCs w:val="21"/>
          <w:highlight w:val="none"/>
        </w:rPr>
        <w:t>6.1本项目是否允许分包详见“供应商须知前附表”，本项目不允许违法分包。</w:t>
      </w:r>
    </w:p>
    <w:p w14:paraId="6F81ABB5">
      <w:pPr>
        <w:spacing w:line="360" w:lineRule="auto"/>
        <w:ind w:firstLine="420"/>
        <w:rPr>
          <w:rFonts w:hint="eastAsia" w:ascii="宋体" w:hAnsi="宋体" w:cs="宋体"/>
          <w:szCs w:val="21"/>
          <w:highlight w:val="none"/>
        </w:rPr>
      </w:pPr>
      <w:r>
        <w:rPr>
          <w:rFonts w:hint="eastAsia" w:ascii="宋体" w:hAnsi="宋体" w:cs="宋体"/>
          <w:szCs w:val="21"/>
          <w:highlight w:val="none"/>
        </w:rPr>
        <w:t>6.2</w:t>
      </w:r>
      <w:r>
        <w:rPr>
          <w:rFonts w:hint="eastAsia" w:ascii="宋体" w:hAnsi="宋体" w:cs="宋体"/>
          <w:bCs/>
          <w:szCs w:val="21"/>
          <w:highlight w:val="none"/>
        </w:rPr>
        <w:t>根据《政府采购促进中小企业发展管理办法》（财库[2020]46号）第九条规定，允许大中型企业向一家或者多家小微企业分包的采购项目，对于分包意向协议约定小微企业的合同份额占到合同总金额 30%以上的，采购人、采购代理机构应当对大中型企业的报价给予 2%-3%的扣除，用扣除后的价格参加评审。接受分包的小微企业与分包企业之间存在直接控股、管理关系的，不享受价格扣除优惠政策。</w:t>
      </w:r>
    </w:p>
    <w:p w14:paraId="3FB1CDAC">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7.特别说明</w:t>
      </w:r>
    </w:p>
    <w:p w14:paraId="37F911CA">
      <w:pPr>
        <w:spacing w:line="360" w:lineRule="auto"/>
        <w:ind w:firstLine="420"/>
        <w:rPr>
          <w:rFonts w:hint="eastAsia" w:ascii="宋体" w:hAnsi="宋体" w:cs="宋体"/>
          <w:szCs w:val="21"/>
          <w:highlight w:val="none"/>
        </w:rPr>
      </w:pPr>
      <w:r>
        <w:rPr>
          <w:rFonts w:hint="eastAsia" w:ascii="宋体" w:hAnsi="宋体" w:cs="宋体"/>
          <w:szCs w:val="21"/>
          <w:highlight w:val="none"/>
        </w:rPr>
        <w:t>7.1如果本磋商文件要求提供供应商或制造商的资格、信誉、荣誉、业绩与企业认证等材料的，资格、信誉、荣誉、业绩与企业认证等必须为供应商或者制造商所拥有或自身获得 。</w:t>
      </w:r>
    </w:p>
    <w:p w14:paraId="289556B8">
      <w:pPr>
        <w:spacing w:line="360" w:lineRule="auto"/>
        <w:ind w:firstLine="420"/>
        <w:rPr>
          <w:rFonts w:hint="eastAsia" w:ascii="宋体" w:hAnsi="宋体" w:cs="宋体"/>
          <w:szCs w:val="21"/>
          <w:highlight w:val="none"/>
        </w:rPr>
      </w:pPr>
      <w:r>
        <w:rPr>
          <w:rFonts w:hint="eastAsia" w:ascii="宋体" w:hAnsi="宋体" w:cs="宋体"/>
          <w:szCs w:val="21"/>
          <w:highlight w:val="none"/>
        </w:rPr>
        <w:t>7.2供应商应仔细阅读磋商文件的所有内容，按照磋商文件的要求提交响应文件，并对所提供的全部资料的真实性承担法律责任。</w:t>
      </w:r>
    </w:p>
    <w:p w14:paraId="44CE7489">
      <w:pPr>
        <w:spacing w:line="360" w:lineRule="auto"/>
        <w:ind w:firstLine="420"/>
        <w:rPr>
          <w:rFonts w:hint="eastAsia" w:ascii="宋体" w:hAnsi="宋体" w:cs="宋体"/>
          <w:szCs w:val="21"/>
          <w:highlight w:val="none"/>
        </w:rPr>
      </w:pPr>
      <w:r>
        <w:rPr>
          <w:rFonts w:hint="eastAsia" w:ascii="宋体" w:hAnsi="宋体" w:cs="宋体"/>
          <w:szCs w:val="21"/>
          <w:highlight w:val="none"/>
        </w:rPr>
        <w:t>7.3供应商在竞标活动中提供任何疑似虚假材料，将报监管部门查处；签订合同后发现的，成交供应商须依照《中华人民共和国消费者权益保护法》规定赔偿采购人，且民事赔偿并不免除违法供应商的行政与刑事责任。</w:t>
      </w:r>
    </w:p>
    <w:p w14:paraId="54C756A2">
      <w:pPr>
        <w:spacing w:line="360" w:lineRule="auto"/>
        <w:ind w:firstLine="420"/>
        <w:rPr>
          <w:rFonts w:hint="eastAsia" w:ascii="宋体" w:hAnsi="宋体" w:cs="宋体"/>
          <w:szCs w:val="21"/>
          <w:highlight w:val="none"/>
        </w:rPr>
      </w:pPr>
      <w:r>
        <w:rPr>
          <w:rFonts w:hint="eastAsia" w:ascii="宋体" w:hAnsi="宋体" w:cs="宋体"/>
          <w:szCs w:val="21"/>
          <w:highlight w:val="none"/>
        </w:rPr>
        <w:t>7.4在政府采购活动中，采购人员及相关人员与供应商有下列利害关系之一的，应当回避：</w:t>
      </w:r>
    </w:p>
    <w:p w14:paraId="3440A26B">
      <w:pPr>
        <w:spacing w:line="360" w:lineRule="auto"/>
        <w:ind w:firstLine="420"/>
        <w:rPr>
          <w:rFonts w:hint="eastAsia" w:ascii="宋体" w:hAnsi="宋体" w:cs="宋体"/>
          <w:szCs w:val="21"/>
          <w:highlight w:val="none"/>
        </w:rPr>
      </w:pPr>
      <w:r>
        <w:rPr>
          <w:rFonts w:hint="eastAsia" w:ascii="宋体" w:hAnsi="宋体" w:cs="宋体"/>
          <w:szCs w:val="21"/>
          <w:highlight w:val="none"/>
        </w:rPr>
        <w:t>（1）参加采购活动前3年内与供应商存在劳动关系；</w:t>
      </w:r>
    </w:p>
    <w:p w14:paraId="337B8C11">
      <w:pPr>
        <w:spacing w:line="360" w:lineRule="auto"/>
        <w:ind w:firstLine="420"/>
        <w:rPr>
          <w:rFonts w:hint="eastAsia" w:ascii="宋体" w:hAnsi="宋体" w:cs="宋体"/>
          <w:szCs w:val="21"/>
          <w:highlight w:val="none"/>
        </w:rPr>
      </w:pPr>
      <w:r>
        <w:rPr>
          <w:rFonts w:hint="eastAsia" w:ascii="宋体" w:hAnsi="宋体" w:cs="宋体"/>
          <w:szCs w:val="21"/>
          <w:highlight w:val="none"/>
        </w:rPr>
        <w:t>（2）参加采购活动前3年内担任供应商的董事、监事；</w:t>
      </w:r>
    </w:p>
    <w:p w14:paraId="50B03CAA">
      <w:pPr>
        <w:spacing w:line="360" w:lineRule="auto"/>
        <w:ind w:firstLine="420"/>
        <w:rPr>
          <w:rFonts w:hint="eastAsia" w:ascii="宋体" w:hAnsi="宋体" w:cs="宋体"/>
          <w:szCs w:val="21"/>
          <w:highlight w:val="none"/>
        </w:rPr>
      </w:pPr>
      <w:r>
        <w:rPr>
          <w:rFonts w:hint="eastAsia" w:ascii="宋体" w:hAnsi="宋体" w:cs="宋体"/>
          <w:szCs w:val="21"/>
          <w:highlight w:val="none"/>
        </w:rPr>
        <w:t>（3）参加采购活动前3年内是供应商的控股股东或者实际控制人；</w:t>
      </w:r>
    </w:p>
    <w:p w14:paraId="69E0E99C">
      <w:pPr>
        <w:spacing w:line="360" w:lineRule="auto"/>
        <w:ind w:firstLine="420"/>
        <w:rPr>
          <w:rFonts w:hint="eastAsia" w:ascii="宋体" w:hAnsi="宋体" w:cs="宋体"/>
          <w:szCs w:val="21"/>
          <w:highlight w:val="none"/>
        </w:rPr>
      </w:pPr>
      <w:r>
        <w:rPr>
          <w:rFonts w:hint="eastAsia" w:ascii="宋体" w:hAnsi="宋体" w:cs="宋体"/>
          <w:szCs w:val="21"/>
          <w:highlight w:val="none"/>
        </w:rPr>
        <w:t>（4）与供应商的法定代表人或者负责人有夫妻、直系血亲、三代以内旁系血亲或者近姻亲关系；</w:t>
      </w:r>
    </w:p>
    <w:p w14:paraId="63CC70F1">
      <w:pPr>
        <w:spacing w:line="360" w:lineRule="auto"/>
        <w:ind w:firstLine="420"/>
        <w:rPr>
          <w:rFonts w:hint="eastAsia" w:ascii="宋体" w:hAnsi="宋体" w:cs="宋体"/>
          <w:szCs w:val="21"/>
          <w:highlight w:val="none"/>
        </w:rPr>
      </w:pPr>
      <w:r>
        <w:rPr>
          <w:rFonts w:hint="eastAsia" w:ascii="宋体" w:hAnsi="宋体" w:cs="宋体"/>
          <w:szCs w:val="21"/>
          <w:highlight w:val="none"/>
        </w:rPr>
        <w:t>（5）与供应商有其他可能影响政府采购活动公平、公正进行的关系。</w:t>
      </w:r>
    </w:p>
    <w:p w14:paraId="3A3597D8">
      <w:pPr>
        <w:spacing w:line="360" w:lineRule="auto"/>
        <w:ind w:firstLine="420"/>
        <w:rPr>
          <w:rFonts w:hint="eastAsia" w:ascii="宋体" w:hAnsi="宋体" w:cs="宋体"/>
          <w:szCs w:val="21"/>
          <w:highlight w:val="none"/>
        </w:rPr>
      </w:pPr>
      <w:r>
        <w:rPr>
          <w:rFonts w:hint="eastAsia" w:ascii="宋体" w:hAnsi="宋体" w:cs="宋体"/>
          <w:szCs w:val="21"/>
          <w:highlight w:val="none"/>
        </w:rPr>
        <w:t>供应商认为采购人员及相关人员与其他供应商有利害关系的，可以向采购人或者采购代理机构书面提出回避申请，并说明理由。采购人或者采购代理机构应当及时询问被申请回避人员，有利害关系的被申请回避人员应当回避。</w:t>
      </w:r>
    </w:p>
    <w:p w14:paraId="747F3F9E">
      <w:pPr>
        <w:spacing w:line="360" w:lineRule="auto"/>
        <w:ind w:firstLine="420"/>
        <w:rPr>
          <w:rFonts w:hint="eastAsia" w:ascii="宋体" w:hAnsi="宋体" w:cs="宋体"/>
          <w:szCs w:val="21"/>
          <w:highlight w:val="none"/>
        </w:rPr>
      </w:pPr>
      <w:r>
        <w:rPr>
          <w:rFonts w:hint="eastAsia" w:ascii="宋体" w:hAnsi="宋体" w:cs="宋体"/>
          <w:szCs w:val="21"/>
          <w:highlight w:val="none"/>
        </w:rPr>
        <w:t>7.5有下列情形之一的视为供应商相互串通竞标，响应文件将被视为无效：</w:t>
      </w:r>
    </w:p>
    <w:p w14:paraId="2D923C97">
      <w:pPr>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（1）不同供应商的响应文件由同一单位或者个人编制；或者不同供应商报名的IP地址一致的；或者编制响应文件硬件设备CPU编号、硬盘编号、网卡地址一致的情况； </w:t>
      </w:r>
    </w:p>
    <w:p w14:paraId="00E192EC">
      <w:pPr>
        <w:spacing w:line="360" w:lineRule="auto"/>
        <w:ind w:firstLine="420"/>
        <w:rPr>
          <w:rFonts w:hint="eastAsia" w:ascii="宋体" w:hAnsi="宋体" w:cs="宋体"/>
          <w:szCs w:val="21"/>
          <w:highlight w:val="none"/>
        </w:rPr>
      </w:pPr>
      <w:r>
        <w:rPr>
          <w:rFonts w:hint="eastAsia" w:ascii="宋体" w:hAnsi="宋体" w:cs="宋体"/>
          <w:szCs w:val="21"/>
          <w:highlight w:val="none"/>
        </w:rPr>
        <w:t>（2）不同供应商委托同一单位或者个人办理竞标事宜；</w:t>
      </w:r>
    </w:p>
    <w:p w14:paraId="4E39CC44">
      <w:pPr>
        <w:spacing w:line="360" w:lineRule="auto"/>
        <w:ind w:firstLine="420"/>
        <w:rPr>
          <w:rFonts w:hint="eastAsia" w:ascii="宋体" w:hAnsi="宋体" w:cs="宋体"/>
          <w:szCs w:val="21"/>
          <w:highlight w:val="none"/>
        </w:rPr>
      </w:pPr>
      <w:r>
        <w:rPr>
          <w:rFonts w:hint="eastAsia" w:ascii="宋体" w:hAnsi="宋体" w:cs="宋体"/>
          <w:szCs w:val="21"/>
          <w:highlight w:val="none"/>
        </w:rPr>
        <w:t>（3）不同的供应商的响应文件载明的项目管理员为同一个人；</w:t>
      </w:r>
    </w:p>
    <w:p w14:paraId="002E799E">
      <w:pPr>
        <w:spacing w:line="360" w:lineRule="auto"/>
        <w:ind w:firstLine="420"/>
        <w:rPr>
          <w:rFonts w:hint="eastAsia" w:ascii="宋体" w:hAnsi="宋体" w:cs="宋体"/>
          <w:szCs w:val="21"/>
          <w:highlight w:val="none"/>
        </w:rPr>
      </w:pPr>
      <w:r>
        <w:rPr>
          <w:rFonts w:hint="eastAsia" w:ascii="宋体" w:hAnsi="宋体" w:cs="宋体"/>
          <w:szCs w:val="21"/>
          <w:highlight w:val="none"/>
        </w:rPr>
        <w:t>（4）不同供应商的响应文件异常一致或者报价呈规律性差异；</w:t>
      </w:r>
    </w:p>
    <w:p w14:paraId="45EAE4E9">
      <w:pPr>
        <w:spacing w:line="360" w:lineRule="auto"/>
        <w:ind w:firstLine="420"/>
        <w:rPr>
          <w:rFonts w:hint="eastAsia" w:ascii="宋体" w:hAnsi="宋体" w:cs="宋体"/>
          <w:szCs w:val="21"/>
          <w:highlight w:val="none"/>
        </w:rPr>
      </w:pPr>
      <w:r>
        <w:rPr>
          <w:rFonts w:hint="eastAsia" w:ascii="宋体" w:hAnsi="宋体" w:cs="宋体"/>
          <w:szCs w:val="21"/>
          <w:highlight w:val="none"/>
        </w:rPr>
        <w:t>（5）不同供应商的响应文件相互混装；</w:t>
      </w:r>
    </w:p>
    <w:p w14:paraId="20D96152">
      <w:pPr>
        <w:spacing w:line="360" w:lineRule="auto"/>
        <w:ind w:firstLine="420"/>
        <w:rPr>
          <w:rFonts w:hint="eastAsia" w:ascii="宋体" w:hAnsi="宋体" w:cs="宋体"/>
          <w:szCs w:val="21"/>
          <w:highlight w:val="none"/>
        </w:rPr>
      </w:pPr>
      <w:r>
        <w:rPr>
          <w:rFonts w:hint="eastAsia" w:ascii="宋体" w:hAnsi="宋体" w:cs="宋体"/>
          <w:szCs w:val="21"/>
          <w:highlight w:val="none"/>
        </w:rPr>
        <w:t>（6）不同供应商的磋商保证金从同一单位或者个人账户转出。</w:t>
      </w:r>
    </w:p>
    <w:p w14:paraId="7322C625">
      <w:pPr>
        <w:spacing w:line="360" w:lineRule="auto"/>
        <w:ind w:firstLine="420"/>
        <w:rPr>
          <w:rFonts w:hint="eastAsia" w:ascii="宋体" w:hAnsi="宋体" w:cs="宋体"/>
          <w:szCs w:val="21"/>
          <w:highlight w:val="none"/>
        </w:rPr>
      </w:pPr>
      <w:r>
        <w:rPr>
          <w:rFonts w:hint="eastAsia" w:ascii="宋体" w:hAnsi="宋体" w:cs="宋体"/>
          <w:szCs w:val="21"/>
          <w:highlight w:val="none"/>
        </w:rPr>
        <w:t>7.6供应商有下列情形之一的，属于恶意串通行为，将报同级监督管理部门：</w:t>
      </w:r>
    </w:p>
    <w:p w14:paraId="12D16A85">
      <w:pPr>
        <w:spacing w:line="360" w:lineRule="auto"/>
        <w:ind w:firstLine="420"/>
        <w:rPr>
          <w:rFonts w:hint="eastAsia" w:ascii="宋体" w:hAnsi="宋体" w:cs="宋体"/>
          <w:szCs w:val="21"/>
          <w:highlight w:val="none"/>
        </w:rPr>
      </w:pPr>
      <w:r>
        <w:rPr>
          <w:rFonts w:hint="eastAsia" w:ascii="宋体" w:hAnsi="宋体" w:cs="宋体"/>
          <w:szCs w:val="21"/>
          <w:highlight w:val="none"/>
        </w:rPr>
        <w:t>（1）供应商直接或者间接从采购人或者采购代理机构处获得其他供应商的相关信息并修改其响应文件；</w:t>
      </w:r>
    </w:p>
    <w:p w14:paraId="275D1779">
      <w:pPr>
        <w:spacing w:line="360" w:lineRule="auto"/>
        <w:ind w:firstLine="420"/>
        <w:rPr>
          <w:rFonts w:hint="eastAsia" w:ascii="宋体" w:hAnsi="宋体" w:cs="宋体"/>
          <w:szCs w:val="21"/>
          <w:highlight w:val="none"/>
        </w:rPr>
      </w:pPr>
      <w:r>
        <w:rPr>
          <w:rFonts w:hint="eastAsia" w:ascii="宋体" w:hAnsi="宋体" w:cs="宋体"/>
          <w:szCs w:val="21"/>
          <w:highlight w:val="none"/>
        </w:rPr>
        <w:t>（2）供应商按照采购人或者采购代理机构的授意撤换、修改响应文件；</w:t>
      </w:r>
    </w:p>
    <w:p w14:paraId="74FDDD88">
      <w:pPr>
        <w:spacing w:line="360" w:lineRule="auto"/>
        <w:ind w:firstLine="420"/>
        <w:rPr>
          <w:rFonts w:hint="eastAsia" w:ascii="宋体" w:hAnsi="宋体" w:cs="宋体"/>
          <w:szCs w:val="21"/>
          <w:highlight w:val="none"/>
        </w:rPr>
      </w:pPr>
      <w:r>
        <w:rPr>
          <w:rFonts w:hint="eastAsia" w:ascii="宋体" w:hAnsi="宋体" w:cs="宋体"/>
          <w:szCs w:val="21"/>
          <w:highlight w:val="none"/>
        </w:rPr>
        <w:t>（3）供应商之间协商报价、技术方案等响应文件或者响应文件的实质性内容；</w:t>
      </w:r>
    </w:p>
    <w:p w14:paraId="16F74571">
      <w:pPr>
        <w:spacing w:line="360" w:lineRule="auto"/>
        <w:ind w:firstLine="420"/>
        <w:rPr>
          <w:rFonts w:hint="eastAsia" w:ascii="宋体" w:hAnsi="宋体" w:cs="宋体"/>
          <w:szCs w:val="21"/>
          <w:highlight w:val="none"/>
        </w:rPr>
      </w:pPr>
      <w:r>
        <w:rPr>
          <w:rFonts w:hint="eastAsia" w:ascii="宋体" w:hAnsi="宋体" w:cs="宋体"/>
          <w:szCs w:val="21"/>
          <w:highlight w:val="none"/>
        </w:rPr>
        <w:t>（4）属于同一集团、协会、商会等组织成员的供应商按照该组织要求协同参加政府采购活动；</w:t>
      </w:r>
    </w:p>
    <w:p w14:paraId="62CEC17E">
      <w:pPr>
        <w:spacing w:line="360" w:lineRule="auto"/>
        <w:ind w:firstLine="420"/>
        <w:rPr>
          <w:rFonts w:hint="eastAsia" w:ascii="宋体" w:hAnsi="宋体" w:cs="宋体"/>
          <w:szCs w:val="21"/>
          <w:highlight w:val="none"/>
        </w:rPr>
      </w:pPr>
      <w:r>
        <w:rPr>
          <w:rFonts w:hint="eastAsia" w:ascii="宋体" w:hAnsi="宋体" w:cs="宋体"/>
          <w:szCs w:val="21"/>
          <w:highlight w:val="none"/>
        </w:rPr>
        <w:t>（5）供应商之间事先约定一致抬高或者压低报价，或者在政府采购活动中事先约定轮流以高价位或者低价位成交，或者事先约定由某一特定供应商成交，然后再参加竞标；</w:t>
      </w:r>
    </w:p>
    <w:p w14:paraId="400B5B88">
      <w:pPr>
        <w:spacing w:line="360" w:lineRule="auto"/>
        <w:ind w:firstLine="420"/>
        <w:rPr>
          <w:rFonts w:hint="eastAsia" w:ascii="宋体" w:hAnsi="宋体" w:cs="宋体"/>
          <w:szCs w:val="21"/>
          <w:highlight w:val="none"/>
        </w:rPr>
      </w:pPr>
      <w:r>
        <w:rPr>
          <w:rFonts w:hint="eastAsia" w:ascii="宋体" w:hAnsi="宋体" w:cs="宋体"/>
          <w:szCs w:val="21"/>
          <w:highlight w:val="none"/>
        </w:rPr>
        <w:t>（6）供应商之间商定部分供应商放弃参加政府采购活动或者放弃成交；</w:t>
      </w:r>
    </w:p>
    <w:p w14:paraId="35CCF501">
      <w:pPr>
        <w:spacing w:line="360" w:lineRule="auto"/>
        <w:ind w:firstLine="420"/>
        <w:rPr>
          <w:rFonts w:hint="eastAsia" w:ascii="宋体" w:hAnsi="宋体" w:cs="宋体"/>
          <w:szCs w:val="21"/>
          <w:highlight w:val="none"/>
        </w:rPr>
      </w:pPr>
      <w:r>
        <w:rPr>
          <w:rFonts w:hint="eastAsia" w:ascii="宋体" w:hAnsi="宋体" w:cs="宋体"/>
          <w:szCs w:val="21"/>
          <w:highlight w:val="none"/>
        </w:rPr>
        <w:t>（7）供应商与采购人或者采购代理机构之间、供应商相互之间，为谋求特定供应商成交或者排斥其他供应商的其他串通行为。</w:t>
      </w:r>
    </w:p>
    <w:p w14:paraId="254B9DCE">
      <w:pPr>
        <w:pStyle w:val="5"/>
        <w:spacing w:before="0" w:after="0" w:line="360" w:lineRule="auto"/>
        <w:ind w:firstLine="480"/>
        <w:rPr>
          <w:rFonts w:hint="eastAsia" w:ascii="宋体" w:hAnsi="宋体" w:cs="宋体"/>
          <w:b w:val="0"/>
          <w:bCs w:val="0"/>
          <w:highlight w:val="none"/>
        </w:rPr>
      </w:pPr>
      <w:bookmarkStart w:id="52" w:name="_Toc14469"/>
      <w:bookmarkStart w:id="53" w:name="_Toc120173685"/>
      <w:bookmarkStart w:id="54" w:name="_Toc120174194"/>
      <w:r>
        <w:rPr>
          <w:rFonts w:hint="eastAsia" w:ascii="宋体" w:hAnsi="宋体" w:cs="宋体"/>
          <w:b w:val="0"/>
          <w:bCs w:val="0"/>
          <w:highlight w:val="none"/>
        </w:rPr>
        <w:t>二、磋商文件</w:t>
      </w:r>
      <w:bookmarkEnd w:id="52"/>
      <w:bookmarkEnd w:id="53"/>
      <w:bookmarkEnd w:id="54"/>
    </w:p>
    <w:p w14:paraId="020F1450">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8.磋商文件的构成</w:t>
      </w:r>
    </w:p>
    <w:p w14:paraId="5A6AD802">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第一章 竞争性磋商公告；</w:t>
      </w:r>
    </w:p>
    <w:p w14:paraId="2D4D730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第二章 采购需求；</w:t>
      </w:r>
    </w:p>
    <w:p w14:paraId="1340D4A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第三章 供应商须知； </w:t>
      </w:r>
    </w:p>
    <w:p w14:paraId="3139149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第四章 评审程序、评审方法和评审标准；</w:t>
      </w:r>
    </w:p>
    <w:p w14:paraId="552A5CB2">
      <w:pPr>
        <w:spacing w:line="360" w:lineRule="auto"/>
        <w:ind w:firstLine="420"/>
        <w:jc w:val="left"/>
        <w:rPr>
          <w:rFonts w:hint="eastAsia" w:ascii="宋体" w:hAnsi="宋体" w:eastAsia="宋体" w:cs="宋体"/>
          <w:szCs w:val="21"/>
          <w:highlight w:val="none"/>
          <w:lang w:eastAsia="zh-CN"/>
        </w:rPr>
      </w:pPr>
      <w:r>
        <w:rPr>
          <w:rFonts w:hint="eastAsia" w:ascii="宋体" w:hAnsi="宋体" w:cs="宋体"/>
          <w:szCs w:val="21"/>
          <w:highlight w:val="none"/>
        </w:rPr>
        <w:t xml:space="preserve">第五章 </w:t>
      </w:r>
      <w:r>
        <w:rPr>
          <w:rFonts w:hint="eastAsia" w:ascii="宋体" w:hAnsi="宋体" w:cs="宋体"/>
          <w:szCs w:val="21"/>
          <w:highlight w:val="none"/>
          <w:lang w:eastAsia="zh-CN"/>
        </w:rPr>
        <w:t>工程量清单；</w:t>
      </w:r>
    </w:p>
    <w:p w14:paraId="25C6EC0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第六章</w:t>
      </w:r>
      <w:r>
        <w:rPr>
          <w:rFonts w:hint="eastAsia" w:ascii="宋体" w:hAnsi="宋体" w:cs="宋体"/>
          <w:szCs w:val="21"/>
          <w:highlight w:val="none"/>
          <w:lang w:val="en-US" w:eastAsia="zh-CN"/>
        </w:rPr>
        <w:t xml:space="preserve"> </w:t>
      </w:r>
      <w:r>
        <w:rPr>
          <w:rFonts w:hint="eastAsia" w:ascii="宋体" w:hAnsi="宋体" w:cs="宋体"/>
          <w:szCs w:val="21"/>
          <w:highlight w:val="none"/>
        </w:rPr>
        <w:t>响应文件格式；</w:t>
      </w:r>
    </w:p>
    <w:p w14:paraId="6F71D8A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w:t>
      </w:r>
      <w:r>
        <w:rPr>
          <w:rFonts w:hint="eastAsia" w:ascii="宋体" w:hAnsi="宋体" w:cs="宋体"/>
          <w:szCs w:val="21"/>
          <w:highlight w:val="none"/>
          <w:lang w:eastAsia="zh-CN"/>
        </w:rPr>
        <w:t>七</w:t>
      </w:r>
      <w:r>
        <w:rPr>
          <w:rFonts w:hint="eastAsia" w:ascii="宋体" w:hAnsi="宋体" w:cs="宋体"/>
          <w:szCs w:val="21"/>
          <w:highlight w:val="none"/>
        </w:rPr>
        <w:t>章 合同文本；</w:t>
      </w:r>
    </w:p>
    <w:p w14:paraId="5BF6452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w:t>
      </w:r>
      <w:r>
        <w:rPr>
          <w:rFonts w:hint="eastAsia" w:ascii="宋体" w:hAnsi="宋体" w:cs="宋体"/>
          <w:szCs w:val="21"/>
          <w:highlight w:val="none"/>
          <w:lang w:eastAsia="zh-CN"/>
        </w:rPr>
        <w:t>八</w:t>
      </w:r>
      <w:r>
        <w:rPr>
          <w:rFonts w:hint="eastAsia" w:ascii="宋体" w:hAnsi="宋体" w:cs="宋体"/>
          <w:szCs w:val="21"/>
          <w:highlight w:val="none"/>
        </w:rPr>
        <w:t>章 质疑、投诉材料格式。</w:t>
      </w:r>
    </w:p>
    <w:p w14:paraId="46780DAD">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9.供应商的询问</w:t>
      </w:r>
    </w:p>
    <w:p w14:paraId="28581AB5">
      <w:pPr>
        <w:spacing w:line="360" w:lineRule="auto"/>
        <w:ind w:firstLine="420"/>
        <w:rPr>
          <w:rFonts w:hint="eastAsia" w:ascii="宋体" w:hAnsi="宋体" w:cs="宋体"/>
          <w:szCs w:val="21"/>
          <w:highlight w:val="none"/>
        </w:rPr>
      </w:pPr>
      <w:r>
        <w:rPr>
          <w:rFonts w:hint="eastAsia" w:ascii="宋体" w:hAnsi="宋体" w:cs="宋体"/>
          <w:szCs w:val="21"/>
          <w:highlight w:val="none"/>
        </w:rPr>
        <w:t>供应商应认真阅读磋商文件的采购需求，如供应商对磋商文件有疑问的，如要求采购人作出澄清或者修改的，供应商尽应在提交首次响应文件截止之日前，以书面形式向采购人、采购代理机构提出。</w:t>
      </w:r>
    </w:p>
    <w:p w14:paraId="75F0A562">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10.磋商文件的澄清和修改</w:t>
      </w:r>
    </w:p>
    <w:p w14:paraId="59E92A77">
      <w:pPr>
        <w:spacing w:line="360" w:lineRule="auto"/>
        <w:ind w:firstLine="420"/>
        <w:rPr>
          <w:rFonts w:hint="eastAsia" w:ascii="宋体" w:hAnsi="宋体" w:cs="宋体"/>
          <w:szCs w:val="21"/>
          <w:highlight w:val="none"/>
        </w:rPr>
      </w:pPr>
      <w:r>
        <w:rPr>
          <w:rFonts w:hint="eastAsia" w:ascii="宋体" w:hAnsi="宋体" w:cs="宋体"/>
          <w:szCs w:val="21"/>
          <w:highlight w:val="none"/>
        </w:rPr>
        <w:t>10.1已获取磋商文件的潜在供应商，若有问题需要澄清，应于应标截止时间前，以书面形式向采购代理机构提出，采购代理机构与采购人研究后，对认为有必要回答的问题，按照本章10.3的内容处理。</w:t>
      </w:r>
    </w:p>
    <w:p w14:paraId="0C45E56F">
      <w:pPr>
        <w:spacing w:line="360" w:lineRule="auto"/>
        <w:ind w:firstLine="422"/>
        <w:rPr>
          <w:rFonts w:hint="eastAsia" w:ascii="宋体" w:hAnsi="宋体" w:cs="宋体"/>
          <w:b/>
          <w:szCs w:val="21"/>
          <w:highlight w:val="none"/>
        </w:rPr>
      </w:pPr>
      <w:r>
        <w:rPr>
          <w:rFonts w:hint="eastAsia" w:ascii="宋体" w:hAnsi="宋体" w:cs="宋体"/>
          <w:b/>
          <w:szCs w:val="21"/>
          <w:highlight w:val="none"/>
        </w:rPr>
        <w:t>10.2采购人或者采购代理机构可以对已发出的磋商文件进行必要的澄清或者修改，但不得改变采购标的和资格条件。澄清或者修改应当在原公告发布媒体上发布澄清公告。澄清或者修改的内容为磋商文件的组成部分。</w:t>
      </w:r>
    </w:p>
    <w:p w14:paraId="2F5DCD97">
      <w:pPr>
        <w:spacing w:line="360" w:lineRule="auto"/>
        <w:ind w:firstLine="420"/>
        <w:rPr>
          <w:rFonts w:hint="eastAsia" w:ascii="宋体" w:hAnsi="宋体" w:cs="宋体"/>
          <w:szCs w:val="21"/>
          <w:highlight w:val="none"/>
        </w:rPr>
      </w:pPr>
      <w:r>
        <w:rPr>
          <w:rFonts w:hint="eastAsia" w:ascii="宋体" w:hAnsi="宋体" w:cs="宋体"/>
          <w:szCs w:val="21"/>
          <w:highlight w:val="none"/>
        </w:rPr>
        <w:t>10.3提交首次响应文件截止之日前，采购人、采购代理机构或者磋商小组可以对已发出的磋商文件进行必要的澄清或者修改，澄清或者修改的内容作为磋商文件的组成部分。澄清或者修改的内容可能影响响应文件编制的，采购人、采购代理机构或者磋商小组在提交首次响应文件截止之日3个工作日前，以书面形式（目前为网上公告和系统短信等形式）通知所有获取磋商文件的供应商，不足3个工作日的，应当顺延提交首次响应文件截止之日。</w:t>
      </w:r>
    </w:p>
    <w:p w14:paraId="6C12C8EB">
      <w:pPr>
        <w:spacing w:line="360" w:lineRule="auto"/>
        <w:ind w:firstLine="420"/>
        <w:rPr>
          <w:rFonts w:hint="eastAsia" w:ascii="宋体" w:hAnsi="宋体" w:cs="宋体"/>
          <w:szCs w:val="21"/>
          <w:highlight w:val="none"/>
        </w:rPr>
      </w:pPr>
      <w:r>
        <w:rPr>
          <w:rFonts w:hint="eastAsia" w:ascii="宋体" w:hAnsi="宋体" w:cs="宋体"/>
          <w:szCs w:val="21"/>
          <w:highlight w:val="none"/>
        </w:rPr>
        <w:t>10.4</w:t>
      </w:r>
      <w:r>
        <w:rPr>
          <w:rFonts w:hint="eastAsia" w:ascii="宋体" w:hAnsi="宋体" w:cs="宋体"/>
          <w:highlight w:val="none"/>
          <w:shd w:val="clear" w:color="auto" w:fill="FFFFFF"/>
        </w:rPr>
        <w:t>采购信息更正公告的内容应当包括采购人和采购代理机构名称、地址、联系方式，原公告的采购项目名称及首次公告日期，更正事项、内容及日期，采购项目联系人和电话。</w:t>
      </w:r>
    </w:p>
    <w:p w14:paraId="375C5350">
      <w:pPr>
        <w:spacing w:line="360" w:lineRule="auto"/>
        <w:ind w:firstLine="420"/>
        <w:rPr>
          <w:rFonts w:hint="eastAsia" w:ascii="宋体" w:hAnsi="宋体" w:cs="宋体"/>
          <w:highlight w:val="none"/>
        </w:rPr>
      </w:pPr>
      <w:r>
        <w:rPr>
          <w:rFonts w:hint="eastAsia" w:ascii="宋体" w:hAnsi="宋体" w:cs="宋体"/>
          <w:highlight w:val="none"/>
        </w:rPr>
        <w:t>10.5  采购人和采购代理机构可以视采购具体情况，变更提交首次响应文件截止时间和竞谈时间，将变更时间将在“采购文件公告”中“七、其他补充事宜</w:t>
      </w:r>
      <w:r>
        <w:rPr>
          <w:rFonts w:hint="eastAsia" w:ascii="宋体" w:hAnsi="宋体" w:cs="宋体"/>
          <w:highlight w:val="none"/>
          <w:lang w:val="en-US" w:eastAsia="zh-CN"/>
        </w:rPr>
        <w:t xml:space="preserve"> 2</w:t>
      </w:r>
      <w:r>
        <w:rPr>
          <w:rFonts w:hint="eastAsia" w:ascii="宋体" w:hAnsi="宋体" w:cs="宋体"/>
          <w:highlight w:val="none"/>
        </w:rPr>
        <w:t>.信息公告发布媒体”规定的政府采购信息发布媒体上发布更正公告。</w:t>
      </w:r>
    </w:p>
    <w:p w14:paraId="39D74B2A">
      <w:pPr>
        <w:spacing w:line="360" w:lineRule="auto"/>
        <w:ind w:firstLine="440"/>
        <w:rPr>
          <w:rFonts w:hint="eastAsia" w:ascii="宋体" w:hAnsi="宋体" w:cs="宋体"/>
          <w:sz w:val="22"/>
          <w:szCs w:val="21"/>
          <w:highlight w:val="none"/>
        </w:rPr>
      </w:pPr>
      <w:r>
        <w:rPr>
          <w:rFonts w:hint="eastAsia" w:ascii="宋体" w:hAnsi="宋体" w:cs="宋体"/>
          <w:sz w:val="22"/>
          <w:szCs w:val="21"/>
          <w:highlight w:val="none"/>
        </w:rPr>
        <w:t>▲</w:t>
      </w:r>
      <w:r>
        <w:rPr>
          <w:rFonts w:hint="eastAsia" w:ascii="宋体" w:hAnsi="宋体" w:cs="宋体"/>
          <w:b/>
          <w:sz w:val="22"/>
          <w:szCs w:val="21"/>
          <w:highlight w:val="none"/>
        </w:rPr>
        <w:t>响应文件未按磋商文件的澄清、修改的内容编制，又不符合实质性要求的，其响应文件作无效处理。</w:t>
      </w:r>
    </w:p>
    <w:p w14:paraId="270D406F">
      <w:pPr>
        <w:pStyle w:val="5"/>
        <w:spacing w:before="0" w:after="0" w:line="360" w:lineRule="auto"/>
        <w:ind w:firstLine="480"/>
        <w:rPr>
          <w:rFonts w:hint="eastAsia" w:ascii="宋体" w:hAnsi="宋体" w:cs="宋体"/>
          <w:b w:val="0"/>
          <w:bCs w:val="0"/>
          <w:highlight w:val="none"/>
        </w:rPr>
      </w:pPr>
      <w:bookmarkStart w:id="55" w:name="_Toc120173686"/>
      <w:bookmarkStart w:id="56" w:name="_Toc120174195"/>
      <w:bookmarkStart w:id="57" w:name="_Toc23844"/>
      <w:r>
        <w:rPr>
          <w:rFonts w:hint="eastAsia" w:ascii="宋体" w:hAnsi="宋体" w:cs="宋体"/>
          <w:b w:val="0"/>
          <w:bCs w:val="0"/>
          <w:highlight w:val="none"/>
        </w:rPr>
        <w:t>三、响应文件的编制</w:t>
      </w:r>
      <w:bookmarkEnd w:id="55"/>
      <w:bookmarkEnd w:id="56"/>
      <w:bookmarkEnd w:id="57"/>
    </w:p>
    <w:p w14:paraId="6294DE88">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11.响应文件的编制原则</w:t>
      </w:r>
    </w:p>
    <w:p w14:paraId="1E583AEB">
      <w:pPr>
        <w:spacing w:line="360" w:lineRule="auto"/>
        <w:ind w:firstLine="420"/>
        <w:rPr>
          <w:rFonts w:hint="eastAsia" w:ascii="宋体" w:hAnsi="宋体" w:cs="宋体"/>
          <w:szCs w:val="21"/>
          <w:highlight w:val="none"/>
        </w:rPr>
      </w:pPr>
      <w:r>
        <w:rPr>
          <w:rFonts w:hint="eastAsia" w:ascii="宋体" w:hAnsi="宋体" w:cs="宋体"/>
          <w:szCs w:val="21"/>
          <w:highlight w:val="none"/>
        </w:rPr>
        <w:t>供应商必须按照磋商文件的要求编制响应文件，并对其提交的响应文件的真实性、合法性承担法律责任。响应文件必须对磋商文件作出实质性响应。</w:t>
      </w:r>
    </w:p>
    <w:p w14:paraId="12E739C8">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12.响应文件的组成</w:t>
      </w:r>
    </w:p>
    <w:p w14:paraId="323AA1F6">
      <w:pPr>
        <w:spacing w:line="360" w:lineRule="auto"/>
        <w:ind w:firstLine="420"/>
        <w:rPr>
          <w:rFonts w:hint="eastAsia" w:ascii="宋体" w:hAnsi="宋体" w:cs="宋体"/>
          <w:szCs w:val="21"/>
          <w:highlight w:val="none"/>
        </w:rPr>
      </w:pPr>
      <w:r>
        <w:rPr>
          <w:rFonts w:hint="eastAsia" w:ascii="宋体" w:hAnsi="宋体" w:cs="宋体"/>
          <w:szCs w:val="21"/>
          <w:highlight w:val="none"/>
        </w:rPr>
        <w:t>12.1响应文件由资格证明文件、报价商务技术文件二部分组成。</w:t>
      </w:r>
    </w:p>
    <w:p w14:paraId="4C8202C1">
      <w:pPr>
        <w:spacing w:line="360" w:lineRule="auto"/>
        <w:ind w:left="420" w:firstLine="420"/>
        <w:rPr>
          <w:rFonts w:hint="eastAsia" w:ascii="宋体" w:hAnsi="宋体" w:cs="宋体"/>
          <w:szCs w:val="21"/>
          <w:highlight w:val="none"/>
        </w:rPr>
      </w:pPr>
      <w:r>
        <w:rPr>
          <w:rFonts w:hint="eastAsia" w:ascii="宋体" w:hAnsi="宋体" w:cs="宋体"/>
          <w:szCs w:val="21"/>
          <w:highlight w:val="none"/>
        </w:rPr>
        <w:t>12.1.1资格证明文件：详见须知前附表</w:t>
      </w:r>
    </w:p>
    <w:p w14:paraId="57C044E5">
      <w:pPr>
        <w:spacing w:line="360" w:lineRule="auto"/>
        <w:ind w:left="420" w:firstLine="420"/>
        <w:rPr>
          <w:rFonts w:hint="eastAsia" w:ascii="宋体" w:hAnsi="宋体" w:cs="宋体"/>
          <w:szCs w:val="21"/>
          <w:highlight w:val="none"/>
        </w:rPr>
      </w:pPr>
      <w:r>
        <w:rPr>
          <w:rFonts w:hint="eastAsia" w:ascii="宋体" w:hAnsi="宋体" w:cs="宋体"/>
          <w:szCs w:val="21"/>
          <w:highlight w:val="none"/>
        </w:rPr>
        <w:t>12.1.2报价商务技术文件：详见须知前附表</w:t>
      </w:r>
    </w:p>
    <w:p w14:paraId="32F6AC94">
      <w:pPr>
        <w:spacing w:line="360" w:lineRule="auto"/>
        <w:ind w:firstLine="420"/>
        <w:rPr>
          <w:rFonts w:hint="eastAsia" w:ascii="宋体" w:hAnsi="宋体" w:cs="宋体"/>
          <w:szCs w:val="21"/>
          <w:highlight w:val="none"/>
        </w:rPr>
      </w:pPr>
      <w:r>
        <w:rPr>
          <w:rFonts w:hint="eastAsia" w:ascii="宋体" w:hAnsi="宋体" w:cs="宋体"/>
          <w:szCs w:val="21"/>
          <w:highlight w:val="none"/>
        </w:rPr>
        <w:t>12.2响应文件电子版：详见须知前附表</w:t>
      </w:r>
    </w:p>
    <w:p w14:paraId="1E443D2F">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13.计量单位</w:t>
      </w:r>
    </w:p>
    <w:p w14:paraId="0AF41C0C">
      <w:pPr>
        <w:spacing w:line="360" w:lineRule="auto"/>
        <w:ind w:firstLine="420"/>
        <w:rPr>
          <w:rFonts w:hint="eastAsia" w:ascii="宋体" w:hAnsi="宋体" w:cs="宋体"/>
          <w:szCs w:val="21"/>
          <w:highlight w:val="none"/>
        </w:rPr>
      </w:pPr>
      <w:r>
        <w:rPr>
          <w:rFonts w:hint="eastAsia" w:ascii="宋体" w:hAnsi="宋体" w:cs="宋体"/>
          <w:szCs w:val="21"/>
          <w:highlight w:val="none"/>
        </w:rPr>
        <w:t>磋商文件已有明确规定的，使用磋商文件规定的计量单位；磋商文件没有规定的，应采用中华人民共和国法定计量单位，货币种类为人民币，否则视同未响应。</w:t>
      </w:r>
    </w:p>
    <w:p w14:paraId="39DF1EF5">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14.竞标的风险</w:t>
      </w:r>
    </w:p>
    <w:p w14:paraId="4AD63B5F">
      <w:pPr>
        <w:spacing w:line="360" w:lineRule="auto"/>
        <w:ind w:firstLine="420"/>
        <w:rPr>
          <w:rFonts w:hint="eastAsia" w:ascii="宋体" w:hAnsi="宋体" w:cs="宋体"/>
          <w:szCs w:val="21"/>
          <w:highlight w:val="none"/>
        </w:rPr>
      </w:pPr>
      <w:r>
        <w:rPr>
          <w:rFonts w:hint="eastAsia" w:ascii="宋体" w:hAnsi="宋体" w:cs="宋体"/>
          <w:szCs w:val="21"/>
          <w:highlight w:val="none"/>
        </w:rPr>
        <w:t>供应商没有按照磋商文件要求提供全部资料，或者供应商没有对磋商文件在各方面作出实质性响应可能导致其响应无效，是供应商应当考虑的风险。</w:t>
      </w:r>
    </w:p>
    <w:p w14:paraId="2870AE35">
      <w:pPr>
        <w:spacing w:line="360" w:lineRule="auto"/>
        <w:ind w:firstLine="482"/>
        <w:rPr>
          <w:rFonts w:hint="eastAsia" w:ascii="宋体" w:hAnsi="宋体" w:cs="宋体"/>
          <w:b/>
          <w:bCs/>
          <w:sz w:val="24"/>
          <w:highlight w:val="none"/>
        </w:rPr>
      </w:pPr>
      <w:r>
        <w:rPr>
          <w:rFonts w:hint="eastAsia" w:ascii="宋体" w:hAnsi="宋体" w:cs="宋体"/>
          <w:b/>
          <w:bCs/>
          <w:sz w:val="24"/>
          <w:highlight w:val="none"/>
        </w:rPr>
        <w:t>15.响应报价要求和构成</w:t>
      </w:r>
    </w:p>
    <w:p w14:paraId="3A20DF58">
      <w:pPr>
        <w:spacing w:line="480" w:lineRule="exact"/>
        <w:ind w:firstLine="420"/>
        <w:rPr>
          <w:rFonts w:hint="eastAsia" w:ascii="宋体" w:hAnsi="宋体" w:cs="宋体"/>
          <w:szCs w:val="21"/>
          <w:highlight w:val="none"/>
        </w:rPr>
      </w:pPr>
      <w:r>
        <w:rPr>
          <w:rFonts w:hint="eastAsia" w:ascii="宋体" w:hAnsi="宋体" w:cs="宋体"/>
          <w:szCs w:val="21"/>
          <w:highlight w:val="none"/>
        </w:rPr>
        <w:t>15.1磋商价格</w:t>
      </w:r>
    </w:p>
    <w:p w14:paraId="656B889F">
      <w:pPr>
        <w:spacing w:line="480" w:lineRule="exact"/>
        <w:ind w:firstLine="420"/>
        <w:rPr>
          <w:rFonts w:hint="eastAsia" w:ascii="宋体" w:hAnsi="宋体" w:cs="宋体"/>
          <w:szCs w:val="21"/>
          <w:highlight w:val="none"/>
        </w:rPr>
      </w:pPr>
      <w:r>
        <w:rPr>
          <w:rFonts w:hint="eastAsia" w:ascii="宋体" w:hAnsi="宋体" w:cs="宋体"/>
          <w:szCs w:val="21"/>
          <w:highlight w:val="none"/>
        </w:rPr>
        <w:t>本工程的报价方式为工程量清单报价，合同承包方式为：固定综合单价。</w:t>
      </w:r>
    </w:p>
    <w:p w14:paraId="7BF90707">
      <w:pPr>
        <w:spacing w:line="480" w:lineRule="exact"/>
        <w:ind w:firstLine="420"/>
        <w:rPr>
          <w:rFonts w:hint="eastAsia" w:ascii="宋体" w:hAnsi="宋体" w:cs="宋体"/>
          <w:szCs w:val="21"/>
          <w:highlight w:val="none"/>
        </w:rPr>
      </w:pPr>
      <w:r>
        <w:rPr>
          <w:rFonts w:hint="eastAsia" w:ascii="宋体" w:hAnsi="宋体" w:cs="宋体"/>
          <w:szCs w:val="21"/>
          <w:highlight w:val="none"/>
        </w:rPr>
        <w:t>15.1.1 本工程量清单是根据竞争性磋商文件中包括的、有合同约束力的招标工程量清单的国家标准、行业标准、合同条款中约定的工程量计算规则编制。计量采用中华人民共和国法定计量单位。</w:t>
      </w:r>
    </w:p>
    <w:p w14:paraId="5E4B9824">
      <w:pPr>
        <w:spacing w:line="480" w:lineRule="exact"/>
        <w:ind w:firstLine="420"/>
        <w:rPr>
          <w:rFonts w:hint="eastAsia" w:ascii="宋体" w:hAnsi="宋体" w:cs="宋体"/>
          <w:szCs w:val="21"/>
          <w:highlight w:val="none"/>
        </w:rPr>
      </w:pPr>
      <w:r>
        <w:rPr>
          <w:rFonts w:hint="eastAsia" w:ascii="宋体" w:hAnsi="宋体" w:cs="宋体"/>
          <w:szCs w:val="21"/>
          <w:highlight w:val="none"/>
        </w:rPr>
        <w:t>15.1.2 本工程量清单应与竞争性磋商文件中的供应商须知、通用合同条款、专用合同条款、技术规范等一起阅读和理解。</w:t>
      </w:r>
    </w:p>
    <w:p w14:paraId="41EA7ED1">
      <w:pPr>
        <w:spacing w:line="480" w:lineRule="exact"/>
        <w:ind w:firstLine="420"/>
        <w:rPr>
          <w:rFonts w:hint="eastAsia" w:ascii="宋体" w:hAnsi="宋体" w:cs="宋体"/>
          <w:szCs w:val="21"/>
          <w:highlight w:val="none"/>
        </w:rPr>
      </w:pPr>
      <w:r>
        <w:rPr>
          <w:rFonts w:hint="eastAsia" w:ascii="宋体" w:hAnsi="宋体" w:cs="宋体"/>
          <w:szCs w:val="21"/>
          <w:highlight w:val="none"/>
        </w:rPr>
        <w:t>15.1.3本工程量清单中所列工程数量是估算的或设计的预计数量，仅作为投标报价的共同基础，不能作为最终结算与支付的依据。实际支付应按实际完成的工程量，由承包人按技术规范规定的计量方法，以发包人认可的尺寸、断面计量，按本工程量清单的单价和总额价计算支付金额；或者，根据具体情况，按合同条款的规定，由发包人确定的单价或总额价计算支付额。</w:t>
      </w:r>
    </w:p>
    <w:p w14:paraId="3671D7AF">
      <w:pPr>
        <w:spacing w:line="480" w:lineRule="exact"/>
        <w:ind w:firstLine="420"/>
        <w:rPr>
          <w:rFonts w:hint="eastAsia" w:ascii="宋体" w:hAnsi="宋体" w:cs="宋体"/>
          <w:szCs w:val="21"/>
          <w:highlight w:val="none"/>
        </w:rPr>
      </w:pPr>
      <w:r>
        <w:rPr>
          <w:rFonts w:hint="eastAsia" w:ascii="宋体" w:hAnsi="宋体" w:cs="宋体"/>
          <w:szCs w:val="21"/>
          <w:highlight w:val="none"/>
        </w:rPr>
        <w:t>15.1.4 工程量清单中所列工程量的变动，丝毫不会降低或影响合同条款的效力，也不免除承包人按规定的标准进行施工和修复缺陷的责任。</w:t>
      </w:r>
    </w:p>
    <w:p w14:paraId="2F3FD2AA">
      <w:pPr>
        <w:spacing w:line="480" w:lineRule="exact"/>
        <w:ind w:firstLine="420"/>
        <w:rPr>
          <w:rFonts w:hint="eastAsia" w:ascii="宋体" w:hAnsi="宋体" w:cs="宋体"/>
          <w:szCs w:val="21"/>
          <w:highlight w:val="none"/>
        </w:rPr>
      </w:pPr>
      <w:r>
        <w:rPr>
          <w:rFonts w:hint="eastAsia" w:ascii="宋体" w:hAnsi="宋体" w:cs="宋体"/>
          <w:szCs w:val="21"/>
          <w:highlight w:val="none"/>
        </w:rPr>
        <w:t>15.1.5本项目以工程量清单所列数量作为报价的依据。</w:t>
      </w:r>
    </w:p>
    <w:p w14:paraId="23FA3A38">
      <w:pPr>
        <w:spacing w:line="480" w:lineRule="exact"/>
        <w:ind w:firstLine="420"/>
        <w:rPr>
          <w:rFonts w:hint="eastAsia" w:ascii="宋体" w:hAnsi="宋体" w:cs="宋体"/>
          <w:szCs w:val="21"/>
          <w:highlight w:val="none"/>
        </w:rPr>
      </w:pPr>
      <w:r>
        <w:rPr>
          <w:rFonts w:hint="eastAsia" w:ascii="宋体" w:hAnsi="宋体" w:cs="宋体"/>
          <w:szCs w:val="21"/>
          <w:highlight w:val="none"/>
        </w:rPr>
        <w:t xml:space="preserve">15.1.6工程量清单另册发放。 </w:t>
      </w:r>
    </w:p>
    <w:p w14:paraId="5F65FCFC">
      <w:pPr>
        <w:spacing w:line="480" w:lineRule="exact"/>
        <w:ind w:firstLine="420"/>
        <w:rPr>
          <w:rFonts w:hint="eastAsia" w:ascii="宋体" w:hAnsi="宋体" w:cs="宋体"/>
          <w:szCs w:val="21"/>
          <w:highlight w:val="none"/>
        </w:rPr>
      </w:pPr>
      <w:r>
        <w:rPr>
          <w:rFonts w:hint="eastAsia" w:ascii="宋体" w:hAnsi="宋体" w:cs="宋体"/>
          <w:szCs w:val="21"/>
          <w:highlight w:val="none"/>
        </w:rPr>
        <w:t>15.1.7 工程量清单中的每一子目须填入单价或价格，且只允许有一个报价。</w:t>
      </w:r>
    </w:p>
    <w:p w14:paraId="32F5DD54">
      <w:pPr>
        <w:spacing w:line="480" w:lineRule="exact"/>
        <w:ind w:firstLine="420"/>
        <w:rPr>
          <w:rFonts w:hint="eastAsia" w:ascii="宋体" w:hAnsi="宋体" w:cs="宋体"/>
          <w:szCs w:val="21"/>
          <w:highlight w:val="none"/>
        </w:rPr>
      </w:pPr>
      <w:r>
        <w:rPr>
          <w:rFonts w:hint="eastAsia" w:ascii="宋体" w:hAnsi="宋体" w:cs="宋体"/>
          <w:szCs w:val="21"/>
          <w:highlight w:val="none"/>
        </w:rPr>
        <w:t>15.1.8除非合同另有规定，工程量清单中有标价的单价和总额价均已包括了为实施和完成合同工程所需的劳务、材料、机械、质检（自检）、安装、缺陷修复、管理、保险、税费、利润等费用，以及合同明示或暗示的所有责任、义务和一般风险。</w:t>
      </w:r>
    </w:p>
    <w:p w14:paraId="357094CC">
      <w:pPr>
        <w:spacing w:line="480" w:lineRule="exact"/>
        <w:ind w:firstLine="420"/>
        <w:rPr>
          <w:rFonts w:hint="eastAsia" w:ascii="宋体" w:hAnsi="宋体" w:cs="宋体"/>
          <w:szCs w:val="21"/>
          <w:highlight w:val="none"/>
        </w:rPr>
      </w:pPr>
      <w:r>
        <w:rPr>
          <w:rFonts w:hint="eastAsia" w:ascii="宋体" w:hAnsi="宋体" w:cs="宋体"/>
          <w:szCs w:val="21"/>
          <w:highlight w:val="none"/>
        </w:rPr>
        <w:t>15.1.9 工程量清单中供应商没有填入单价或价格的子目，其费用视为己分摊在工程量清单中其他相关子目的单价或价格之中。承包人必须按发包人指令完成工程量清单中未填入单价或价格的子目，但不能得到结算与支付。</w:t>
      </w:r>
    </w:p>
    <w:p w14:paraId="050173BD">
      <w:pPr>
        <w:spacing w:line="480" w:lineRule="exact"/>
        <w:ind w:firstLine="420"/>
        <w:rPr>
          <w:rFonts w:hint="eastAsia" w:ascii="宋体" w:hAnsi="宋体" w:cs="宋体"/>
          <w:szCs w:val="21"/>
          <w:highlight w:val="none"/>
        </w:rPr>
      </w:pPr>
      <w:r>
        <w:rPr>
          <w:rFonts w:hint="eastAsia" w:ascii="宋体" w:hAnsi="宋体" w:cs="宋体"/>
          <w:szCs w:val="21"/>
          <w:highlight w:val="none"/>
        </w:rPr>
        <w:t>15.1.10 符合合同条款规定的全部费用应认为已被计入有标价的工程量清单所列各子目之中，未列子目不予计量的工作，其费用应视为已分摊在本合同工程的有关子目的单价或总额价之中。</w:t>
      </w:r>
    </w:p>
    <w:p w14:paraId="4C1D1F01">
      <w:pPr>
        <w:spacing w:line="480" w:lineRule="exact"/>
        <w:ind w:firstLine="420"/>
        <w:rPr>
          <w:rFonts w:hint="eastAsia" w:ascii="宋体" w:hAnsi="宋体" w:cs="宋体"/>
          <w:szCs w:val="21"/>
          <w:highlight w:val="none"/>
        </w:rPr>
      </w:pPr>
      <w:r>
        <w:rPr>
          <w:rFonts w:hint="eastAsia" w:ascii="宋体" w:hAnsi="宋体" w:cs="宋体"/>
          <w:szCs w:val="21"/>
          <w:highlight w:val="none"/>
        </w:rPr>
        <w:t>15.1.11承包人用于本合同工程的各类装备的提供、运输、维护、拆卸、拼装等支付的费用，已包括在工程量清单的单价与总额价之中。</w:t>
      </w:r>
    </w:p>
    <w:p w14:paraId="6E75845E">
      <w:pPr>
        <w:spacing w:line="480" w:lineRule="exact"/>
        <w:ind w:firstLine="420"/>
        <w:rPr>
          <w:rFonts w:hint="eastAsia" w:ascii="宋体" w:hAnsi="宋体" w:cs="宋体"/>
          <w:szCs w:val="21"/>
          <w:highlight w:val="none"/>
        </w:rPr>
      </w:pPr>
      <w:r>
        <w:rPr>
          <w:rFonts w:hint="eastAsia" w:ascii="宋体" w:hAnsi="宋体" w:cs="宋体"/>
          <w:szCs w:val="21"/>
          <w:highlight w:val="none"/>
        </w:rPr>
        <w:t>15.1.12 工程量清单中各项金额均以人民币（元）结算。</w:t>
      </w:r>
    </w:p>
    <w:p w14:paraId="4585D099">
      <w:pPr>
        <w:spacing w:line="480" w:lineRule="exact"/>
        <w:ind w:firstLine="420"/>
        <w:rPr>
          <w:rFonts w:hint="eastAsia" w:ascii="宋体" w:hAnsi="宋体" w:cs="宋体"/>
          <w:szCs w:val="21"/>
          <w:highlight w:val="none"/>
        </w:rPr>
      </w:pPr>
      <w:r>
        <w:rPr>
          <w:rFonts w:hint="eastAsia" w:ascii="宋体" w:hAnsi="宋体" w:cs="宋体"/>
          <w:szCs w:val="21"/>
          <w:highlight w:val="none"/>
        </w:rPr>
        <w:t>15.1.13 暂列金额（不含计日工总额）的数量及拟用子目的说明：详见工程量清单。</w:t>
      </w:r>
    </w:p>
    <w:p w14:paraId="5B649BC6">
      <w:pPr>
        <w:spacing w:line="480" w:lineRule="exact"/>
        <w:ind w:firstLine="420"/>
        <w:rPr>
          <w:rFonts w:hint="eastAsia" w:ascii="宋体" w:hAnsi="宋体" w:cs="宋体"/>
          <w:szCs w:val="21"/>
          <w:highlight w:val="none"/>
        </w:rPr>
      </w:pPr>
      <w:r>
        <w:rPr>
          <w:rFonts w:hint="eastAsia" w:ascii="宋体" w:hAnsi="宋体" w:cs="宋体"/>
          <w:szCs w:val="21"/>
          <w:highlight w:val="none"/>
        </w:rPr>
        <w:t>15.1.14 暂估价的数量及拟用子目的说明：详见工程量清单。</w:t>
      </w:r>
    </w:p>
    <w:p w14:paraId="0075E985">
      <w:pPr>
        <w:spacing w:line="480" w:lineRule="exact"/>
        <w:ind w:firstLine="420"/>
        <w:rPr>
          <w:rFonts w:hint="eastAsia" w:ascii="宋体" w:hAnsi="宋体" w:cs="宋体"/>
          <w:szCs w:val="21"/>
          <w:highlight w:val="none"/>
        </w:rPr>
      </w:pPr>
      <w:r>
        <w:rPr>
          <w:rFonts w:hint="eastAsia" w:ascii="宋体" w:hAnsi="宋体" w:cs="宋体"/>
          <w:szCs w:val="21"/>
          <w:highlight w:val="none"/>
        </w:rPr>
        <w:t xml:space="preserve">15.1.15磋商供应商的磋商报价须按竞争性磋商采购文件及澄清答疑中所确认的工程量清单进行报价。磋商供应商对自己所填写的项目编码、计量单位、工程数量负责。评审中，如报价文件项目编码、计量单位、工程数量与采购人提供的无法一致，该清单项目作废，该清单项目的费用视为包含在其他清单项目中；该清单项目作废，如作废的清单项目达到3项以上（含本数）或作废的清单项目造价累计超过单位工程磋商报价的2%（含本数），视为不响应竞争性磋商采购文件实质性内容，作无效磋商处理。 </w:t>
      </w:r>
    </w:p>
    <w:p w14:paraId="3AD95659">
      <w:pPr>
        <w:spacing w:line="480" w:lineRule="exact"/>
        <w:ind w:firstLine="422"/>
        <w:rPr>
          <w:rFonts w:hint="eastAsia" w:ascii="宋体" w:hAnsi="宋体" w:cs="宋体"/>
          <w:b/>
          <w:bCs/>
          <w:szCs w:val="21"/>
          <w:highlight w:val="none"/>
        </w:rPr>
      </w:pPr>
      <w:r>
        <w:rPr>
          <w:rFonts w:hint="eastAsia" w:ascii="宋体" w:hAnsi="宋体" w:cs="宋体"/>
          <w:b/>
          <w:bCs/>
          <w:szCs w:val="21"/>
          <w:highlight w:val="none"/>
        </w:rPr>
        <w:t>15.</w:t>
      </w:r>
      <w:r>
        <w:rPr>
          <w:rFonts w:hint="eastAsia" w:ascii="宋体" w:hAnsi="宋体" w:cs="宋体"/>
          <w:b/>
          <w:bCs/>
          <w:szCs w:val="21"/>
          <w:highlight w:val="none"/>
          <w:lang w:val="en-US" w:eastAsia="zh-CN"/>
        </w:rPr>
        <w:t xml:space="preserve">2 </w:t>
      </w:r>
      <w:r>
        <w:rPr>
          <w:rFonts w:hint="eastAsia" w:ascii="宋体" w:hAnsi="宋体" w:cs="宋体"/>
          <w:b/>
          <w:bCs/>
          <w:szCs w:val="21"/>
          <w:highlight w:val="none"/>
        </w:rPr>
        <w:t>本项目有二次报价（即最终报价），如二次报价总价有变动，除报总价外还须提供二次报价的已标价工程量清单作为应答文件的组成部分并加盖单位公章（不得以总价下浮的方式做报价，否则作无效磋商处理），磋商供应商需提前做好相关准备（加盖公章的二次报价的工程量清单扫描件），并根据二次报价指令在规定的时间内递交报价文件，报价高于采购预算控制价的竞争性磋商响应文件将被拒绝；如磋商供应商在二次报价时，总报价不做改变，则只需报总价，无需提供二次报价的已标价工程量清单。</w:t>
      </w:r>
    </w:p>
    <w:p w14:paraId="3BA8A4B6">
      <w:pPr>
        <w:spacing w:line="480" w:lineRule="exact"/>
        <w:ind w:firstLine="420"/>
        <w:rPr>
          <w:rFonts w:hint="eastAsia" w:ascii="宋体" w:hAnsi="宋体" w:cs="宋体"/>
          <w:b/>
          <w:bCs/>
          <w:sz w:val="24"/>
          <w:highlight w:val="none"/>
        </w:rPr>
      </w:pPr>
      <w:r>
        <w:rPr>
          <w:rFonts w:hint="eastAsia" w:ascii="宋体" w:hAnsi="宋体" w:cs="宋体"/>
          <w:szCs w:val="21"/>
          <w:highlight w:val="none"/>
        </w:rPr>
        <w:t>15.</w:t>
      </w:r>
      <w:r>
        <w:rPr>
          <w:rFonts w:hint="eastAsia" w:ascii="宋体" w:hAnsi="宋体" w:cs="宋体"/>
          <w:szCs w:val="21"/>
          <w:highlight w:val="none"/>
          <w:lang w:val="en-US" w:eastAsia="zh-CN"/>
        </w:rPr>
        <w:t xml:space="preserve">3 </w:t>
      </w:r>
      <w:r>
        <w:rPr>
          <w:rFonts w:hint="eastAsia" w:ascii="宋体" w:hAnsi="宋体" w:cs="宋体"/>
          <w:szCs w:val="21"/>
          <w:highlight w:val="none"/>
        </w:rPr>
        <w:t>竞标报价（包含首次报价、最后报价）超过规定的采购预算金额或者最高限价的（如本项目公布了最高限价），其响应文件将作无效处理。</w:t>
      </w:r>
    </w:p>
    <w:p w14:paraId="195E9752">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16.竞标有效期</w:t>
      </w:r>
    </w:p>
    <w:p w14:paraId="3383EDB5">
      <w:pPr>
        <w:spacing w:line="480" w:lineRule="exact"/>
        <w:ind w:firstLine="420"/>
        <w:rPr>
          <w:rFonts w:hint="eastAsia" w:ascii="宋体" w:hAnsi="宋体" w:cs="宋体"/>
          <w:szCs w:val="21"/>
          <w:highlight w:val="none"/>
        </w:rPr>
      </w:pPr>
      <w:r>
        <w:rPr>
          <w:rFonts w:hint="eastAsia" w:ascii="宋体" w:hAnsi="宋体" w:cs="宋体"/>
          <w:szCs w:val="21"/>
          <w:highlight w:val="none"/>
        </w:rPr>
        <w:t>16.1竞标有效期是指为保证采购人有足够的时间在提交响应文件后完成评审、确定成交供应商、合同签订等工作而要求供应商提交的响应文件在一定时间内保持有效的期限。</w:t>
      </w:r>
    </w:p>
    <w:p w14:paraId="3C8274D5">
      <w:pPr>
        <w:spacing w:line="480" w:lineRule="exact"/>
        <w:ind w:firstLine="420"/>
        <w:rPr>
          <w:rFonts w:hint="eastAsia" w:ascii="宋体" w:hAnsi="宋体" w:cs="宋体"/>
          <w:szCs w:val="21"/>
          <w:highlight w:val="none"/>
        </w:rPr>
      </w:pPr>
      <w:r>
        <w:rPr>
          <w:rFonts w:hint="eastAsia" w:ascii="宋体" w:hAnsi="宋体" w:cs="宋体"/>
          <w:szCs w:val="21"/>
          <w:highlight w:val="none"/>
        </w:rPr>
        <w:t>16.2 竞标有效期应由供应商按“供应商须知前附表”规定的期限作出响应。</w:t>
      </w:r>
    </w:p>
    <w:p w14:paraId="4B1D96B4">
      <w:pPr>
        <w:spacing w:line="480" w:lineRule="exact"/>
        <w:ind w:firstLine="420"/>
        <w:rPr>
          <w:rFonts w:hint="eastAsia" w:ascii="宋体" w:hAnsi="宋体" w:cs="宋体"/>
          <w:szCs w:val="21"/>
          <w:highlight w:val="none"/>
        </w:rPr>
      </w:pPr>
      <w:r>
        <w:rPr>
          <w:rFonts w:hint="eastAsia" w:ascii="宋体" w:hAnsi="宋体" w:cs="宋体"/>
          <w:szCs w:val="21"/>
          <w:highlight w:val="none"/>
        </w:rPr>
        <w:t>16.3供应商的响应文件在竞标有效期内均保持有效。</w:t>
      </w:r>
    </w:p>
    <w:p w14:paraId="37C10A8D">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17.磋商保证金</w:t>
      </w:r>
    </w:p>
    <w:p w14:paraId="7FBF7052">
      <w:pPr>
        <w:spacing w:line="480" w:lineRule="exact"/>
        <w:ind w:firstLine="420"/>
        <w:rPr>
          <w:rFonts w:hint="eastAsia" w:ascii="宋体" w:hAnsi="宋体" w:cs="宋体"/>
          <w:szCs w:val="21"/>
          <w:highlight w:val="none"/>
        </w:rPr>
      </w:pPr>
      <w:r>
        <w:rPr>
          <w:rFonts w:hint="eastAsia" w:ascii="宋体" w:hAnsi="宋体" w:cs="宋体"/>
          <w:szCs w:val="21"/>
          <w:highlight w:val="none"/>
        </w:rPr>
        <w:t>详见“供应商须知前附表”。</w:t>
      </w:r>
    </w:p>
    <w:p w14:paraId="048B599E">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18.响应文件编制的要求</w:t>
      </w:r>
    </w:p>
    <w:p w14:paraId="42B6B221">
      <w:pPr>
        <w:spacing w:line="480" w:lineRule="exact"/>
        <w:ind w:firstLine="420"/>
        <w:rPr>
          <w:rFonts w:hint="eastAsia" w:ascii="宋体" w:hAnsi="宋体" w:cs="宋体"/>
          <w:szCs w:val="21"/>
          <w:highlight w:val="none"/>
        </w:rPr>
      </w:pPr>
      <w:r>
        <w:rPr>
          <w:rFonts w:hint="eastAsia" w:ascii="宋体" w:hAnsi="宋体" w:cs="宋体"/>
          <w:szCs w:val="21"/>
          <w:highlight w:val="none"/>
        </w:rPr>
        <w:t>18.1各供应商在编制响应文件时请按照磋商文件“第</w:t>
      </w:r>
      <w:r>
        <w:rPr>
          <w:rFonts w:hint="eastAsia" w:ascii="宋体" w:hAnsi="宋体" w:cs="宋体"/>
          <w:szCs w:val="21"/>
          <w:highlight w:val="none"/>
          <w:lang w:eastAsia="zh-CN"/>
        </w:rPr>
        <w:t>六</w:t>
      </w:r>
      <w:r>
        <w:rPr>
          <w:rFonts w:hint="eastAsia" w:ascii="宋体" w:hAnsi="宋体" w:cs="宋体"/>
          <w:szCs w:val="21"/>
          <w:highlight w:val="none"/>
        </w:rPr>
        <w:t>章 响应文件格式”规定的格式进行，混乱的编排导致响应文件被误读或磋商小组查找不到有效文件是供应商的风险。不完整、编排混乱导致响应文件被误读、漏读或者查找不到相关内容的，</w:t>
      </w:r>
      <w:r>
        <w:rPr>
          <w:rFonts w:hint="eastAsia" w:ascii="宋体" w:hAnsi="宋体" w:cs="宋体"/>
          <w:highlight w:val="none"/>
        </w:rPr>
        <w:t>由此引发的</w:t>
      </w:r>
      <w:r>
        <w:rPr>
          <w:rFonts w:hint="eastAsia" w:ascii="宋体" w:hAnsi="宋体" w:cs="宋体"/>
          <w:szCs w:val="21"/>
          <w:highlight w:val="none"/>
        </w:rPr>
        <w:t>后果由供应商承担。</w:t>
      </w:r>
    </w:p>
    <w:p w14:paraId="3FB3185E">
      <w:pPr>
        <w:spacing w:line="480" w:lineRule="exact"/>
        <w:ind w:firstLine="420"/>
        <w:rPr>
          <w:rFonts w:hint="eastAsia" w:ascii="宋体" w:hAnsi="宋体" w:cs="宋体"/>
          <w:szCs w:val="21"/>
          <w:highlight w:val="none"/>
        </w:rPr>
      </w:pPr>
      <w:r>
        <w:rPr>
          <w:rFonts w:hint="eastAsia" w:ascii="宋体" w:hAnsi="宋体" w:cs="宋体"/>
          <w:szCs w:val="21"/>
          <w:highlight w:val="none"/>
        </w:rPr>
        <w:t>18.2响应文件应按资格证明、报价分别编制，商务技术文件合并编制，本磋商只接受电子版响应文件，要求见本章“12.2响应文件电子版要求”。</w:t>
      </w:r>
    </w:p>
    <w:p w14:paraId="3E7E4FBA">
      <w:pPr>
        <w:spacing w:line="480" w:lineRule="exact"/>
        <w:ind w:firstLine="422"/>
        <w:rPr>
          <w:rFonts w:hint="eastAsia" w:ascii="宋体" w:hAnsi="宋体" w:cs="宋体"/>
          <w:b/>
          <w:szCs w:val="21"/>
          <w:highlight w:val="none"/>
        </w:rPr>
      </w:pPr>
      <w:r>
        <w:rPr>
          <w:rFonts w:hint="eastAsia" w:ascii="宋体" w:hAnsi="宋体" w:cs="宋体"/>
          <w:b/>
          <w:szCs w:val="21"/>
          <w:highlight w:val="none"/>
        </w:rPr>
        <w:t>18.3响应文件须由供应商在</w:t>
      </w:r>
      <w:r>
        <w:rPr>
          <w:rFonts w:hint="eastAsia" w:ascii="宋体" w:hAnsi="宋体" w:cs="宋体"/>
          <w:b/>
          <w:szCs w:val="21"/>
          <w:highlight w:val="none"/>
          <w:lang w:val="zh-CN"/>
        </w:rPr>
        <w:t>“</w:t>
      </w:r>
      <w:r>
        <w:rPr>
          <w:rFonts w:hint="eastAsia" w:ascii="宋体" w:hAnsi="宋体" w:cs="宋体"/>
          <w:b/>
          <w:szCs w:val="21"/>
          <w:highlight w:val="none"/>
        </w:rPr>
        <w:t>第</w:t>
      </w:r>
      <w:r>
        <w:rPr>
          <w:rFonts w:hint="eastAsia" w:ascii="宋体" w:hAnsi="宋体" w:cs="宋体"/>
          <w:b/>
          <w:szCs w:val="21"/>
          <w:highlight w:val="none"/>
          <w:lang w:eastAsia="zh-CN"/>
        </w:rPr>
        <w:t>六</w:t>
      </w:r>
      <w:r>
        <w:rPr>
          <w:rFonts w:hint="eastAsia" w:ascii="宋体" w:hAnsi="宋体" w:cs="宋体"/>
          <w:b/>
          <w:szCs w:val="21"/>
          <w:highlight w:val="none"/>
        </w:rPr>
        <w:t>章 响应文件格式</w:t>
      </w:r>
      <w:r>
        <w:rPr>
          <w:rFonts w:hint="eastAsia" w:ascii="宋体" w:hAnsi="宋体" w:cs="宋体"/>
          <w:b/>
          <w:szCs w:val="21"/>
          <w:highlight w:val="none"/>
          <w:lang w:val="zh-CN"/>
        </w:rPr>
        <w:t>”</w:t>
      </w:r>
      <w:r>
        <w:rPr>
          <w:rFonts w:hint="eastAsia" w:ascii="宋体" w:hAnsi="宋体" w:cs="宋体"/>
          <w:b/>
          <w:szCs w:val="21"/>
          <w:highlight w:val="none"/>
        </w:rPr>
        <w:t>规定位置进行签署、盖章，否则其响应文件按无效响应处理。骑缝盖公章不视为在规定位置盖章。</w:t>
      </w:r>
    </w:p>
    <w:p w14:paraId="221EED4B">
      <w:pPr>
        <w:spacing w:line="480" w:lineRule="exact"/>
        <w:ind w:firstLine="420"/>
        <w:rPr>
          <w:rFonts w:hint="eastAsia" w:ascii="宋体" w:hAnsi="宋体" w:cs="宋体"/>
          <w:szCs w:val="21"/>
          <w:highlight w:val="none"/>
        </w:rPr>
      </w:pPr>
      <w:r>
        <w:rPr>
          <w:rFonts w:hint="eastAsia" w:ascii="宋体" w:hAnsi="宋体" w:cs="宋体"/>
          <w:szCs w:val="21"/>
          <w:highlight w:val="none"/>
        </w:rPr>
        <w:t>18.4响应文件中标注的供应商名称应与营业执照（事业单位法人证书、执业许可证、自然人身份证）及电子公章一致，否则其响应文件按无效响应处理。</w:t>
      </w:r>
    </w:p>
    <w:p w14:paraId="45671F1F">
      <w:pPr>
        <w:spacing w:line="480" w:lineRule="exact"/>
        <w:ind w:firstLine="420"/>
        <w:rPr>
          <w:rFonts w:hint="eastAsia" w:ascii="宋体" w:hAnsi="宋体" w:cs="宋体"/>
          <w:szCs w:val="21"/>
          <w:highlight w:val="none"/>
        </w:rPr>
      </w:pPr>
      <w:r>
        <w:rPr>
          <w:rFonts w:hint="eastAsia" w:ascii="宋体" w:hAnsi="宋体" w:cs="宋体"/>
          <w:szCs w:val="21"/>
          <w:highlight w:val="none"/>
        </w:rPr>
        <w:t>18.5响应文件应避免涂改、行间插字或者删除，否则其响应文件按无效响应处理。</w:t>
      </w:r>
    </w:p>
    <w:p w14:paraId="3470EAAD">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19.电子响应文件的制作、加密</w:t>
      </w:r>
    </w:p>
    <w:p w14:paraId="244A146A">
      <w:pPr>
        <w:spacing w:line="480" w:lineRule="exact"/>
        <w:ind w:left="218" w:firstLine="210"/>
        <w:rPr>
          <w:rFonts w:hint="eastAsia" w:ascii="宋体" w:hAnsi="宋体" w:cs="宋体"/>
          <w:sz w:val="21"/>
          <w:szCs w:val="21"/>
          <w:highlight w:val="none"/>
        </w:rPr>
      </w:pPr>
      <w:r>
        <w:rPr>
          <w:rFonts w:hint="eastAsia" w:ascii="宋体" w:hAnsi="宋体" w:cs="宋体"/>
          <w:sz w:val="21"/>
          <w:szCs w:val="21"/>
          <w:highlight w:val="none"/>
        </w:rPr>
        <w:t>19.1.1 供应商制作电子响应文件前，必须登陆“广西政府采购云平台”进行磋商文件</w:t>
      </w:r>
    </w:p>
    <w:p w14:paraId="77340811">
      <w:pPr>
        <w:spacing w:line="480" w:lineRule="exact"/>
        <w:ind w:left="0" w:firstLine="0"/>
        <w:rPr>
          <w:rFonts w:hint="eastAsia" w:ascii="宋体" w:hAnsi="宋体" w:cs="宋体"/>
          <w:sz w:val="21"/>
          <w:szCs w:val="21"/>
          <w:highlight w:val="none"/>
        </w:rPr>
      </w:pPr>
      <w:r>
        <w:rPr>
          <w:rFonts w:hint="eastAsia" w:ascii="宋体" w:hAnsi="宋体" w:cs="宋体"/>
          <w:sz w:val="21"/>
          <w:szCs w:val="21"/>
          <w:highlight w:val="none"/>
        </w:rPr>
        <w:t xml:space="preserve">的获取操作。 </w:t>
      </w:r>
    </w:p>
    <w:p w14:paraId="25619EFF">
      <w:pPr>
        <w:spacing w:line="480" w:lineRule="exact"/>
        <w:ind w:firstLine="420"/>
        <w:rPr>
          <w:rFonts w:hint="eastAsia" w:ascii="宋体" w:hAnsi="宋体" w:cs="宋体"/>
          <w:sz w:val="21"/>
          <w:szCs w:val="21"/>
          <w:highlight w:val="none"/>
        </w:rPr>
      </w:pPr>
      <w:r>
        <w:rPr>
          <w:rFonts w:hint="eastAsia" w:ascii="宋体" w:hAnsi="宋体" w:cs="宋体"/>
          <w:sz w:val="21"/>
          <w:szCs w:val="21"/>
          <w:highlight w:val="none"/>
        </w:rPr>
        <w:t>19.1.2 供应商下载或获取</w:t>
      </w:r>
      <w:r>
        <w:rPr>
          <w:rFonts w:hint="eastAsia" w:ascii="宋体" w:hAnsi="宋体" w:cs="宋体"/>
          <w:sz w:val="21"/>
          <w:szCs w:val="21"/>
          <w:highlight w:val="none"/>
          <w:lang w:val="en-US" w:eastAsia="zh-CN"/>
        </w:rPr>
        <w:t>磋商</w:t>
      </w:r>
      <w:r>
        <w:rPr>
          <w:rFonts w:hint="eastAsia" w:ascii="宋体" w:hAnsi="宋体" w:cs="宋体"/>
          <w:sz w:val="21"/>
          <w:szCs w:val="21"/>
          <w:highlight w:val="none"/>
        </w:rPr>
        <w:t>文件后，登录“广西政府采购云平台电子投标客户端”，按照本</w:t>
      </w:r>
      <w:r>
        <w:rPr>
          <w:rFonts w:hint="eastAsia" w:ascii="宋体" w:hAnsi="宋体" w:cs="宋体"/>
          <w:sz w:val="21"/>
          <w:szCs w:val="21"/>
          <w:highlight w:val="none"/>
          <w:lang w:val="en-US" w:eastAsia="zh-CN"/>
        </w:rPr>
        <w:t>磋商</w:t>
      </w:r>
      <w:r>
        <w:rPr>
          <w:rFonts w:hint="eastAsia" w:ascii="宋体" w:hAnsi="宋体" w:cs="宋体"/>
          <w:sz w:val="21"/>
          <w:szCs w:val="21"/>
          <w:highlight w:val="none"/>
        </w:rPr>
        <w:t xml:space="preserve">文件规定的响应文件格式、顺序以及“广西政府采购云平台”的要求，通过“广西政府采购云平台电子投标客户端”编制电子响应文件。 </w:t>
      </w:r>
    </w:p>
    <w:p w14:paraId="64BF7D18">
      <w:pPr>
        <w:spacing w:line="480" w:lineRule="exact"/>
        <w:ind w:firstLine="420"/>
        <w:rPr>
          <w:rFonts w:hint="eastAsia" w:ascii="宋体" w:hAnsi="宋体" w:cs="宋体"/>
          <w:sz w:val="21"/>
          <w:szCs w:val="21"/>
          <w:highlight w:val="none"/>
        </w:rPr>
      </w:pPr>
      <w:r>
        <w:rPr>
          <w:rFonts w:hint="eastAsia" w:ascii="宋体" w:hAnsi="宋体" w:cs="宋体"/>
          <w:sz w:val="21"/>
          <w:szCs w:val="21"/>
          <w:highlight w:val="none"/>
        </w:rPr>
        <w:t xml:space="preserve">19.1.3 供应商应按“广西政府采购云平台电子投标客户端”载明的“标书关联”功能进行电子响应文件相应内容的关联定位，以便评标委员会在评审时点击相应评审项可直接定位到该评审内容；如供应商的电子响应文件未能关联定位相应内容，或者关联定位的内容与该评审项不符，导致评标委员会无法查询并做出对供应商不利的评审，相关后果由供应商自行承担。 </w:t>
      </w:r>
    </w:p>
    <w:p w14:paraId="026BEB5B">
      <w:pPr>
        <w:spacing w:line="480" w:lineRule="exact"/>
        <w:ind w:firstLine="420"/>
        <w:rPr>
          <w:rFonts w:hint="eastAsia" w:ascii="宋体" w:hAnsi="宋体" w:cs="宋体"/>
          <w:sz w:val="21"/>
          <w:szCs w:val="21"/>
          <w:highlight w:val="none"/>
        </w:rPr>
      </w:pPr>
      <w:r>
        <w:rPr>
          <w:rFonts w:hint="eastAsia" w:ascii="宋体" w:hAnsi="宋体" w:cs="宋体"/>
          <w:sz w:val="21"/>
          <w:szCs w:val="21"/>
          <w:highlight w:val="none"/>
        </w:rPr>
        <w:t xml:space="preserve">19.1.4 电子响应文件不得涂改，若有修改错漏处，须由法定代表人（负责人、自然人）或授权委托代理人通过“广西政府采购云平台电子投标客户端”采用广西政府采购云平台个人 CA 证书签章，没有办理广西政府采购云平台个人 CA 证书签章的，在响应文件中响应位置手写签字后扫描或者拍照做成PDF 的格式上传。 </w:t>
      </w:r>
    </w:p>
    <w:p w14:paraId="1757C69E">
      <w:pPr>
        <w:spacing w:line="480" w:lineRule="exact"/>
        <w:ind w:firstLine="420"/>
        <w:rPr>
          <w:rFonts w:hint="eastAsia" w:ascii="宋体" w:hAnsi="宋体" w:cs="宋体"/>
          <w:sz w:val="21"/>
          <w:szCs w:val="21"/>
          <w:highlight w:val="none"/>
        </w:rPr>
      </w:pPr>
      <w:r>
        <w:rPr>
          <w:rFonts w:hint="eastAsia" w:ascii="宋体" w:hAnsi="宋体" w:cs="宋体"/>
          <w:sz w:val="21"/>
          <w:szCs w:val="21"/>
          <w:highlight w:val="none"/>
        </w:rPr>
        <w:t>19.1.5 供应商编制、生成电子响应文件后应当加密响应文件。供应商未按规定编制并加密的响应文件，“广西政府采购云平台”将予以拒收。</w:t>
      </w:r>
    </w:p>
    <w:p w14:paraId="54CEA543">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20.响应文件的提交</w:t>
      </w:r>
    </w:p>
    <w:p w14:paraId="51AB27A0">
      <w:pPr>
        <w:spacing w:line="480" w:lineRule="exact"/>
        <w:ind w:firstLine="420"/>
        <w:rPr>
          <w:rFonts w:hint="eastAsia" w:ascii="宋体" w:hAnsi="宋体" w:cs="宋体"/>
          <w:szCs w:val="21"/>
          <w:highlight w:val="none"/>
        </w:rPr>
      </w:pPr>
      <w:r>
        <w:rPr>
          <w:rFonts w:hint="eastAsia" w:ascii="宋体" w:hAnsi="宋体" w:cs="宋体"/>
          <w:szCs w:val="21"/>
          <w:highlight w:val="none"/>
        </w:rPr>
        <w:t>20.1供应商必须在“供应商须知前附表”规定的时间和地点提交响应文件。</w:t>
      </w:r>
    </w:p>
    <w:p w14:paraId="0BDCDE75">
      <w:pPr>
        <w:spacing w:line="480" w:lineRule="exact"/>
        <w:ind w:firstLine="420"/>
        <w:rPr>
          <w:rFonts w:hint="eastAsia" w:ascii="宋体" w:hAnsi="宋体" w:cs="宋体"/>
          <w:szCs w:val="21"/>
          <w:highlight w:val="none"/>
        </w:rPr>
      </w:pPr>
      <w:r>
        <w:rPr>
          <w:rFonts w:hint="eastAsia" w:ascii="宋体" w:hAnsi="宋体" w:cs="宋体"/>
          <w:szCs w:val="21"/>
          <w:highlight w:val="none"/>
        </w:rPr>
        <w:t>20.2 在响应文件提交截止时间以后，不能补充、修改响应文件。</w:t>
      </w:r>
    </w:p>
    <w:p w14:paraId="54A33FBD">
      <w:pPr>
        <w:spacing w:line="480" w:lineRule="exact"/>
        <w:ind w:firstLine="420"/>
        <w:rPr>
          <w:rFonts w:hint="eastAsia" w:ascii="宋体" w:hAnsi="宋体" w:cs="宋体"/>
          <w:szCs w:val="21"/>
          <w:highlight w:val="none"/>
        </w:rPr>
      </w:pPr>
      <w:r>
        <w:rPr>
          <w:rFonts w:hint="eastAsia" w:ascii="宋体" w:hAnsi="宋体" w:cs="宋体"/>
          <w:szCs w:val="21"/>
          <w:highlight w:val="none"/>
        </w:rPr>
        <w:t>20.3 在提交“最后报价”后，供应商不能退出</w:t>
      </w:r>
      <w:r>
        <w:rPr>
          <w:rFonts w:hint="eastAsia" w:ascii="宋体" w:hAnsi="宋体" w:cs="宋体"/>
          <w:szCs w:val="21"/>
          <w:highlight w:val="none"/>
          <w:lang w:val="en-US" w:eastAsia="zh-CN"/>
        </w:rPr>
        <w:t>磋商环节</w:t>
      </w:r>
      <w:r>
        <w:rPr>
          <w:rFonts w:hint="eastAsia" w:ascii="宋体" w:hAnsi="宋体" w:cs="宋体"/>
          <w:szCs w:val="21"/>
          <w:highlight w:val="none"/>
        </w:rPr>
        <w:t>。</w:t>
      </w:r>
    </w:p>
    <w:p w14:paraId="5130DAE1">
      <w:pPr>
        <w:spacing w:line="480" w:lineRule="exact"/>
        <w:ind w:firstLine="420"/>
        <w:rPr>
          <w:rFonts w:hint="eastAsia" w:ascii="宋体" w:hAnsi="宋体" w:cs="宋体"/>
          <w:szCs w:val="21"/>
          <w:highlight w:val="none"/>
        </w:rPr>
      </w:pPr>
      <w:r>
        <w:rPr>
          <w:rFonts w:hint="eastAsia" w:ascii="宋体" w:hAnsi="宋体" w:cs="宋体"/>
          <w:szCs w:val="21"/>
          <w:highlight w:val="none"/>
        </w:rPr>
        <w:t>20.4 电子交易平台收到响应文件，将妥善保存并即时向供应商发出确认回执通知。在响应文件提交截止时间前，除供应商补充、修改或者撤回响应文件外，任何单位和个人不得解密或提取响应文件。</w:t>
      </w:r>
    </w:p>
    <w:p w14:paraId="3056BBAD">
      <w:pPr>
        <w:spacing w:line="480" w:lineRule="exact"/>
        <w:ind w:firstLine="420"/>
        <w:rPr>
          <w:rFonts w:hint="eastAsia" w:ascii="宋体" w:hAnsi="宋体" w:cs="宋体"/>
          <w:szCs w:val="21"/>
          <w:highlight w:val="none"/>
        </w:rPr>
      </w:pPr>
      <w:r>
        <w:rPr>
          <w:rFonts w:hint="eastAsia" w:ascii="宋体" w:hAnsi="宋体" w:cs="宋体"/>
          <w:szCs w:val="21"/>
          <w:highlight w:val="none"/>
        </w:rPr>
        <w:t>20.5 采购机构不可视情况延长提交响应文件的截止时间。</w:t>
      </w:r>
    </w:p>
    <w:p w14:paraId="7537B0C0">
      <w:pPr>
        <w:spacing w:line="480" w:lineRule="exact"/>
        <w:ind w:firstLine="420"/>
        <w:rPr>
          <w:rFonts w:hint="eastAsia" w:ascii="宋体" w:hAnsi="宋体" w:cs="宋体"/>
          <w:sz w:val="24"/>
          <w:highlight w:val="none"/>
        </w:rPr>
      </w:pPr>
      <w:r>
        <w:rPr>
          <w:rFonts w:hint="eastAsia" w:ascii="宋体" w:hAnsi="宋体" w:cs="宋体"/>
          <w:szCs w:val="21"/>
          <w:highlight w:val="none"/>
        </w:rPr>
        <w:t>20.6备份响应文件。</w:t>
      </w:r>
      <w:r>
        <w:rPr>
          <w:rFonts w:hint="eastAsia" w:ascii="宋体" w:hAnsi="宋体" w:cs="宋体"/>
          <w:bCs/>
          <w:szCs w:val="21"/>
          <w:highlight w:val="none"/>
        </w:rPr>
        <w:t>详见在“供应商须知前附表”。</w:t>
      </w:r>
    </w:p>
    <w:p w14:paraId="2FFECA94">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21.首次响应文件的补充、修改与撤回</w:t>
      </w:r>
    </w:p>
    <w:p w14:paraId="266E32D5">
      <w:pPr>
        <w:spacing w:line="480" w:lineRule="exact"/>
        <w:ind w:firstLine="420"/>
        <w:rPr>
          <w:rFonts w:hint="eastAsia" w:ascii="宋体" w:hAnsi="宋体" w:cs="宋体"/>
          <w:szCs w:val="21"/>
          <w:highlight w:val="none"/>
        </w:rPr>
      </w:pPr>
      <w:r>
        <w:rPr>
          <w:rFonts w:hint="eastAsia" w:ascii="宋体" w:hAnsi="宋体" w:cs="宋体"/>
          <w:szCs w:val="21"/>
          <w:highlight w:val="none"/>
        </w:rPr>
        <w:t>详见“供应商须知前附表”。</w:t>
      </w:r>
    </w:p>
    <w:p w14:paraId="03E5D1E4">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22. 首次响应文件的退回</w:t>
      </w:r>
    </w:p>
    <w:p w14:paraId="3D23D5EC">
      <w:pPr>
        <w:spacing w:line="480" w:lineRule="exact"/>
        <w:ind w:firstLine="420"/>
        <w:rPr>
          <w:rFonts w:hint="eastAsia" w:ascii="宋体" w:hAnsi="宋体" w:cs="宋体"/>
          <w:szCs w:val="21"/>
          <w:highlight w:val="none"/>
        </w:rPr>
      </w:pPr>
      <w:r>
        <w:rPr>
          <w:rFonts w:hint="eastAsia" w:ascii="宋体" w:hAnsi="宋体" w:cs="宋体"/>
          <w:szCs w:val="21"/>
          <w:highlight w:val="none"/>
        </w:rPr>
        <w:t>在首次响应文件提交截止时间止提交响应文件的供应商不足3家时电子响应文件由代理机构在“</w:t>
      </w:r>
      <w:r>
        <w:rPr>
          <w:rFonts w:hint="eastAsia" w:ascii="宋体" w:hAnsi="宋体" w:cs="宋体"/>
          <w:sz w:val="22"/>
          <w:szCs w:val="22"/>
          <w:highlight w:val="none"/>
        </w:rPr>
        <w:t>广西政府采购云平台</w:t>
      </w:r>
      <w:r>
        <w:rPr>
          <w:rFonts w:hint="eastAsia" w:ascii="宋体" w:hAnsi="宋体" w:cs="宋体"/>
          <w:szCs w:val="21"/>
          <w:highlight w:val="none"/>
        </w:rPr>
        <w:t>”操作退回，除此之外采购人和采购代理机构对已提交的电子响应文件概不退回。</w:t>
      </w:r>
    </w:p>
    <w:p w14:paraId="7A923E89">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23. 截止时间后的撤回</w:t>
      </w:r>
    </w:p>
    <w:p w14:paraId="3A327538">
      <w:pPr>
        <w:spacing w:line="480" w:lineRule="exact"/>
        <w:ind w:firstLine="420"/>
        <w:rPr>
          <w:rFonts w:hint="eastAsia" w:ascii="宋体" w:hAnsi="宋体" w:cs="宋体"/>
          <w:szCs w:val="21"/>
          <w:highlight w:val="none"/>
        </w:rPr>
      </w:pPr>
      <w:r>
        <w:rPr>
          <w:rFonts w:hint="eastAsia" w:ascii="宋体" w:hAnsi="宋体" w:cs="宋体"/>
          <w:szCs w:val="21"/>
          <w:highlight w:val="none"/>
        </w:rPr>
        <w:t>本项目不收取磋商保证金，供应商在首次响应文件提交截止时间后可向采购人、采购代理机构书面申请撤回电子响应文件。</w:t>
      </w:r>
    </w:p>
    <w:p w14:paraId="667BA5D2">
      <w:pPr>
        <w:pStyle w:val="5"/>
        <w:spacing w:before="0" w:after="0" w:line="480" w:lineRule="exact"/>
        <w:ind w:firstLine="480"/>
        <w:rPr>
          <w:rFonts w:hint="eastAsia" w:ascii="宋体" w:hAnsi="宋体" w:cs="宋体"/>
          <w:b w:val="0"/>
          <w:bCs w:val="0"/>
          <w:highlight w:val="none"/>
        </w:rPr>
      </w:pPr>
      <w:bookmarkStart w:id="58" w:name="_Toc22542"/>
      <w:bookmarkStart w:id="59" w:name="_Toc120174196"/>
      <w:bookmarkStart w:id="60" w:name="_Toc120173687"/>
      <w:r>
        <w:rPr>
          <w:rFonts w:hint="eastAsia" w:ascii="宋体" w:hAnsi="宋体" w:cs="宋体"/>
          <w:b w:val="0"/>
          <w:bCs w:val="0"/>
          <w:highlight w:val="none"/>
        </w:rPr>
        <w:t>四、评审及磋商</w:t>
      </w:r>
      <w:bookmarkEnd w:id="58"/>
      <w:bookmarkEnd w:id="59"/>
      <w:bookmarkEnd w:id="60"/>
    </w:p>
    <w:p w14:paraId="76203511">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24.磋商小组成立</w:t>
      </w:r>
    </w:p>
    <w:p w14:paraId="036DA5F1">
      <w:pPr>
        <w:spacing w:line="480" w:lineRule="exact"/>
        <w:ind w:firstLine="420"/>
        <w:rPr>
          <w:rFonts w:hint="eastAsia" w:ascii="宋体" w:hAnsi="宋体" w:cs="宋体"/>
          <w:szCs w:val="21"/>
          <w:highlight w:val="none"/>
        </w:rPr>
      </w:pPr>
      <w:r>
        <w:rPr>
          <w:rFonts w:hint="eastAsia" w:ascii="宋体" w:hAnsi="宋体" w:cs="宋体"/>
          <w:szCs w:val="21"/>
          <w:highlight w:val="none"/>
        </w:rPr>
        <w:t>24.1磋商小组由采购人代表和评审专家共3人以上单数组成，其中评审专家人数不得少于磋商小组成员总数的2/3。采购人代表不得以评审专家身份参加本部门或者本单位采购项目的评审。采购代理机构人员不得参加本机构代理的采购项目的评审。达到公开招标数额标准的货物或者服务采购项目，或者达到公开招标规模标准的政府采购工程，经批准采用竞争性磋商方式采购的，磋商小组由5人以上单数组成。</w:t>
      </w:r>
    </w:p>
    <w:p w14:paraId="615092F7">
      <w:pPr>
        <w:spacing w:line="480" w:lineRule="exact"/>
        <w:ind w:firstLine="420"/>
        <w:rPr>
          <w:rFonts w:hint="eastAsia" w:ascii="宋体" w:hAnsi="宋体" w:cs="宋体"/>
          <w:szCs w:val="21"/>
          <w:highlight w:val="none"/>
        </w:rPr>
      </w:pPr>
      <w:r>
        <w:rPr>
          <w:rFonts w:hint="eastAsia" w:ascii="宋体" w:hAnsi="宋体" w:cs="宋体"/>
          <w:szCs w:val="21"/>
          <w:highlight w:val="none"/>
        </w:rPr>
        <w:t>24.2评审专家应当从政府采购评审专家库内相关专业的专家名单中随机抽取。市场竞争不充分的科研项目，以及需要扶持的科技成果转化项目，以及情况特殊、通过随机方式难以确定合适的评审专家的项目，经主管预算单位同意，可以自行选定评审专家。技术复杂、专业性强的采购项目，评审专家中应当包含1名法律专家。</w:t>
      </w:r>
    </w:p>
    <w:p w14:paraId="51A22931">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25.首次响应文件的开启</w:t>
      </w:r>
    </w:p>
    <w:p w14:paraId="471B518A">
      <w:pPr>
        <w:spacing w:line="480" w:lineRule="exact"/>
        <w:ind w:firstLine="420"/>
        <w:rPr>
          <w:rFonts w:hint="eastAsia" w:ascii="宋体" w:hAnsi="宋体" w:cs="宋体"/>
          <w:szCs w:val="21"/>
          <w:highlight w:val="none"/>
        </w:rPr>
      </w:pPr>
      <w:r>
        <w:rPr>
          <w:rFonts w:hint="eastAsia" w:ascii="宋体" w:hAnsi="宋体" w:cs="宋体"/>
          <w:szCs w:val="21"/>
          <w:highlight w:val="none"/>
        </w:rPr>
        <w:t>25.1首次响应文件由磋商小组或者采购代理机构在“供应商须知前附表”规定的时间开启。</w:t>
      </w:r>
    </w:p>
    <w:p w14:paraId="6EAFF85C">
      <w:pPr>
        <w:pStyle w:val="28"/>
        <w:spacing w:line="480" w:lineRule="exact"/>
        <w:ind w:firstLine="420"/>
        <w:rPr>
          <w:rFonts w:hint="eastAsia" w:hAnsi="宋体" w:cs="宋体"/>
          <w:bCs/>
          <w:sz w:val="21"/>
          <w:highlight w:val="none"/>
        </w:rPr>
      </w:pPr>
      <w:r>
        <w:rPr>
          <w:rFonts w:hint="eastAsia" w:hAnsi="宋体" w:cs="宋体"/>
          <w:sz w:val="21"/>
          <w:highlight w:val="none"/>
        </w:rPr>
        <w:t xml:space="preserve">25.2 </w:t>
      </w:r>
      <w:r>
        <w:rPr>
          <w:rFonts w:hint="eastAsia" w:hAnsi="宋体" w:cs="宋体"/>
          <w:bCs/>
          <w:sz w:val="21"/>
          <w:highlight w:val="none"/>
        </w:rPr>
        <w:t>响应文件解密</w:t>
      </w:r>
    </w:p>
    <w:p w14:paraId="510A4BF7">
      <w:pPr>
        <w:pStyle w:val="28"/>
        <w:spacing w:line="480" w:lineRule="exact"/>
        <w:ind w:firstLine="420"/>
        <w:rPr>
          <w:rFonts w:hint="eastAsia" w:hAnsi="宋体" w:cs="宋体"/>
          <w:sz w:val="21"/>
          <w:highlight w:val="none"/>
        </w:rPr>
      </w:pPr>
      <w:r>
        <w:rPr>
          <w:rFonts w:hint="eastAsia" w:hAnsi="宋体" w:cs="宋体"/>
          <w:bCs/>
          <w:sz w:val="21"/>
          <w:highlight w:val="none"/>
        </w:rPr>
        <w:t>采购代理机构将在“供应商须知前附表”规定的时</w:t>
      </w:r>
      <w:r>
        <w:rPr>
          <w:rFonts w:hint="eastAsia" w:hAnsi="宋体" w:cs="宋体"/>
          <w:sz w:val="21"/>
          <w:highlight w:val="none"/>
        </w:rPr>
        <w:t>间通过电子交易平台组织响应文件开启，采购机构依托电子交易平台发起开始解密指令，供应商的法定代表人或其委托代理人</w:t>
      </w:r>
      <w:r>
        <w:rPr>
          <w:rFonts w:hint="eastAsia" w:hAnsi="宋体" w:cs="宋体"/>
          <w:b/>
          <w:sz w:val="21"/>
          <w:highlight w:val="none"/>
        </w:rPr>
        <w:t>须携带加密时所用的CA锁按平台提示和采购文件的规定登录到“广西政府采购云平台”电子开标大厅签到并在发起解密指令之时起30分钟内完成对电子响应文件在线解密</w:t>
      </w:r>
      <w:r>
        <w:rPr>
          <w:rFonts w:hint="eastAsia" w:hAnsi="宋体" w:cs="宋体"/>
          <w:sz w:val="21"/>
          <w:highlight w:val="none"/>
        </w:rPr>
        <w:t>。发起解密指令之时起5分钟内供应商还未进行解密的，代理机构要通知供应商，供应商没预留联系方式或预留联系方式无效，导致代理机构无法联系到供应商进行解密的，</w:t>
      </w:r>
      <w:r>
        <w:rPr>
          <w:rFonts w:hint="eastAsia" w:hAnsi="宋体" w:cs="宋体"/>
          <w:b/>
          <w:sz w:val="21"/>
          <w:highlight w:val="none"/>
        </w:rPr>
        <w:t>视为响应文件无效。</w:t>
      </w:r>
      <w:r>
        <w:rPr>
          <w:rFonts w:hint="eastAsia" w:hAnsi="宋体" w:cs="宋体"/>
          <w:sz w:val="21"/>
          <w:highlight w:val="none"/>
        </w:rPr>
        <w:t>（解密</w:t>
      </w:r>
      <w:r>
        <w:rPr>
          <w:rFonts w:hint="eastAsia" w:hAnsi="宋体" w:cs="宋体"/>
          <w:bCs/>
          <w:sz w:val="21"/>
          <w:highlight w:val="none"/>
        </w:rPr>
        <w:t>异常情况处理：详见本章</w:t>
      </w:r>
      <w:r>
        <w:rPr>
          <w:rFonts w:hint="eastAsia" w:hAnsi="宋体" w:cs="宋体"/>
          <w:sz w:val="21"/>
          <w:highlight w:val="none"/>
        </w:rPr>
        <w:t>26.3 电子交易活动的中止。）</w:t>
      </w:r>
    </w:p>
    <w:p w14:paraId="39D45524">
      <w:pPr>
        <w:pStyle w:val="28"/>
        <w:spacing w:line="480" w:lineRule="exact"/>
        <w:ind w:firstLine="420"/>
        <w:rPr>
          <w:rFonts w:hint="eastAsia" w:hAnsi="宋体" w:cs="宋体"/>
          <w:sz w:val="21"/>
          <w:highlight w:val="none"/>
        </w:rPr>
      </w:pPr>
      <w:r>
        <w:rPr>
          <w:rFonts w:hint="eastAsia" w:hAnsi="宋体" w:cs="宋体"/>
          <w:sz w:val="21"/>
          <w:highlight w:val="none"/>
        </w:rPr>
        <w:t>如</w:t>
      </w:r>
      <w:r>
        <w:rPr>
          <w:rFonts w:hint="eastAsia" w:hAnsi="宋体" w:cs="宋体"/>
          <w:bCs/>
          <w:sz w:val="21"/>
          <w:highlight w:val="none"/>
        </w:rPr>
        <w:t>供应商成功解密响应文件，但未在“</w:t>
      </w:r>
      <w:r>
        <w:rPr>
          <w:rFonts w:hint="eastAsia" w:hAnsi="宋体" w:cs="宋体"/>
          <w:sz w:val="22"/>
          <w:szCs w:val="22"/>
          <w:highlight w:val="none"/>
        </w:rPr>
        <w:t>广西政府采购云平台</w:t>
      </w:r>
      <w:r>
        <w:rPr>
          <w:rFonts w:hint="eastAsia" w:hAnsi="宋体" w:cs="宋体"/>
          <w:bCs/>
          <w:sz w:val="21"/>
          <w:highlight w:val="none"/>
        </w:rPr>
        <w:t>”电子开标大厅参加磋商的，视同认可磋商过程和结果，</w:t>
      </w:r>
      <w:r>
        <w:rPr>
          <w:rFonts w:hint="eastAsia" w:hAnsi="宋体" w:cs="宋体"/>
          <w:sz w:val="21"/>
          <w:highlight w:val="none"/>
        </w:rPr>
        <w:t>由此产生的后果由供应商自行负责。</w:t>
      </w:r>
    </w:p>
    <w:p w14:paraId="66BAF7FA">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26.评审程序、评审方法和评审标准</w:t>
      </w:r>
    </w:p>
    <w:p w14:paraId="0B63A90F">
      <w:pPr>
        <w:spacing w:line="480" w:lineRule="exact"/>
        <w:ind w:firstLine="420"/>
        <w:rPr>
          <w:rFonts w:hint="eastAsia" w:ascii="宋体" w:hAnsi="宋体" w:cs="宋体"/>
          <w:szCs w:val="21"/>
          <w:highlight w:val="none"/>
        </w:rPr>
      </w:pPr>
      <w:r>
        <w:rPr>
          <w:rFonts w:hint="eastAsia" w:ascii="宋体" w:hAnsi="宋体" w:cs="宋体"/>
          <w:szCs w:val="21"/>
          <w:highlight w:val="none"/>
        </w:rPr>
        <w:t>26.1磋商小组按照“第四章 评审程序、评审方法和评审标准”规定的方法、评审因素、标准和程序对响应文件进行评审。</w:t>
      </w:r>
    </w:p>
    <w:p w14:paraId="1E06280C">
      <w:pPr>
        <w:spacing w:line="480" w:lineRule="exact"/>
        <w:ind w:firstLine="420"/>
        <w:rPr>
          <w:rFonts w:hint="eastAsia" w:ascii="宋体" w:hAnsi="宋体" w:cs="宋体"/>
          <w:szCs w:val="21"/>
          <w:highlight w:val="none"/>
        </w:rPr>
      </w:pPr>
      <w:r>
        <w:rPr>
          <w:rFonts w:hint="eastAsia" w:ascii="宋体" w:hAnsi="宋体" w:cs="宋体"/>
          <w:szCs w:val="21"/>
          <w:highlight w:val="none"/>
        </w:rPr>
        <w:t>26.2 采购需求负偏离要求及磋商顺序详见 “ 供应商须知前附表”。磋商文件内容违反国家有关强制性规定的，磋商小组应当停止评审并向采购人或者采购代理机构说明情况，并在评审报告中书面体现</w:t>
      </w:r>
    </w:p>
    <w:p w14:paraId="6F799317">
      <w:pPr>
        <w:spacing w:line="480" w:lineRule="exact"/>
        <w:ind w:firstLine="420"/>
        <w:rPr>
          <w:rFonts w:hint="eastAsia" w:ascii="宋体" w:hAnsi="宋体" w:cs="宋体"/>
          <w:highlight w:val="none"/>
        </w:rPr>
      </w:pPr>
      <w:r>
        <w:rPr>
          <w:rFonts w:hint="eastAsia" w:ascii="宋体" w:hAnsi="宋体" w:cs="宋体"/>
          <w:highlight w:val="none"/>
        </w:rPr>
        <w:t>26.3</w:t>
      </w:r>
      <w:r>
        <w:rPr>
          <w:rFonts w:hint="eastAsia" w:ascii="宋体" w:hAnsi="宋体" w:cs="宋体"/>
          <w:szCs w:val="21"/>
          <w:highlight w:val="none"/>
        </w:rPr>
        <w:t>采购需求负偏离要求及磋商顺序详见“ 供应商须知前附表”。</w:t>
      </w:r>
    </w:p>
    <w:p w14:paraId="44B5EC81">
      <w:pPr>
        <w:spacing w:line="480" w:lineRule="exact"/>
        <w:ind w:firstLine="420"/>
        <w:rPr>
          <w:rFonts w:hint="eastAsia" w:ascii="宋体" w:hAnsi="宋体" w:cs="宋体"/>
          <w:highlight w:val="none"/>
        </w:rPr>
      </w:pPr>
      <w:r>
        <w:rPr>
          <w:rFonts w:hint="eastAsia" w:ascii="宋体" w:hAnsi="宋体" w:cs="宋体"/>
          <w:highlight w:val="none"/>
        </w:rPr>
        <w:t>26.4电子交易活动的中止。采购过程中出现以下情形，导致电子交易平台无法正常运行，或者无法保证电子交易的公平、公正和安全时，采购机构可中止电子交易活动：</w:t>
      </w:r>
    </w:p>
    <w:p w14:paraId="76E4E915">
      <w:pPr>
        <w:spacing w:line="480" w:lineRule="exact"/>
        <w:ind w:firstLine="420"/>
        <w:rPr>
          <w:rFonts w:hint="eastAsia" w:ascii="宋体" w:hAnsi="宋体" w:cs="宋体"/>
          <w:highlight w:val="none"/>
        </w:rPr>
      </w:pPr>
      <w:r>
        <w:rPr>
          <w:rFonts w:hint="eastAsia" w:ascii="宋体" w:hAnsi="宋体" w:cs="宋体"/>
          <w:highlight w:val="none"/>
        </w:rPr>
        <w:t xml:space="preserve">（1）电子交易平台发生故障而无法登录访问的； </w:t>
      </w:r>
    </w:p>
    <w:p w14:paraId="2AA52BC8">
      <w:pPr>
        <w:spacing w:line="480" w:lineRule="exact"/>
        <w:ind w:firstLine="420"/>
        <w:rPr>
          <w:rFonts w:hint="eastAsia" w:ascii="宋体" w:hAnsi="宋体" w:cs="宋体"/>
          <w:highlight w:val="none"/>
        </w:rPr>
      </w:pPr>
      <w:r>
        <w:rPr>
          <w:rFonts w:hint="eastAsia" w:ascii="宋体" w:hAnsi="宋体" w:cs="宋体"/>
          <w:highlight w:val="none"/>
        </w:rPr>
        <w:t>（2）电子交易平台应用或数据库出现错误，不能进行正常操作的；</w:t>
      </w:r>
    </w:p>
    <w:p w14:paraId="2EDDE361">
      <w:pPr>
        <w:spacing w:line="480" w:lineRule="exact"/>
        <w:ind w:firstLine="420"/>
        <w:rPr>
          <w:rFonts w:hint="eastAsia" w:ascii="宋体" w:hAnsi="宋体" w:cs="宋体"/>
          <w:highlight w:val="none"/>
        </w:rPr>
      </w:pPr>
      <w:r>
        <w:rPr>
          <w:rFonts w:hint="eastAsia" w:ascii="宋体" w:hAnsi="宋体" w:cs="宋体"/>
          <w:highlight w:val="none"/>
        </w:rPr>
        <w:t>（3）电子交易平台发现严重安全漏洞，有潜在泄密危险的；</w:t>
      </w:r>
    </w:p>
    <w:p w14:paraId="03C5BC44">
      <w:pPr>
        <w:spacing w:line="480" w:lineRule="exact"/>
        <w:ind w:firstLine="420"/>
        <w:rPr>
          <w:rFonts w:hint="eastAsia" w:ascii="宋体" w:hAnsi="宋体" w:cs="宋体"/>
          <w:highlight w:val="none"/>
        </w:rPr>
      </w:pPr>
      <w:r>
        <w:rPr>
          <w:rFonts w:hint="eastAsia" w:ascii="宋体" w:hAnsi="宋体" w:cs="宋体"/>
          <w:highlight w:val="none"/>
        </w:rPr>
        <w:t xml:space="preserve">（4）病毒发作导致不能进行正常操作的； </w:t>
      </w:r>
    </w:p>
    <w:p w14:paraId="78734E19">
      <w:pPr>
        <w:spacing w:line="480" w:lineRule="exact"/>
        <w:ind w:firstLine="420"/>
        <w:rPr>
          <w:rFonts w:hint="eastAsia" w:ascii="宋体" w:hAnsi="宋体" w:cs="宋体"/>
          <w:highlight w:val="none"/>
        </w:rPr>
      </w:pPr>
      <w:r>
        <w:rPr>
          <w:rFonts w:hint="eastAsia" w:ascii="宋体" w:hAnsi="宋体" w:cs="宋体"/>
          <w:highlight w:val="none"/>
        </w:rPr>
        <w:t>（5）其他无法保证电子交易的公平、公正和安全的情况。</w:t>
      </w:r>
    </w:p>
    <w:p w14:paraId="1901090F">
      <w:pPr>
        <w:spacing w:line="480" w:lineRule="exact"/>
        <w:ind w:firstLine="420"/>
        <w:rPr>
          <w:rFonts w:hint="eastAsia" w:ascii="宋体" w:hAnsi="宋体" w:cs="宋体"/>
          <w:highlight w:val="none"/>
        </w:rPr>
      </w:pPr>
      <w:r>
        <w:rPr>
          <w:rFonts w:hint="eastAsia" w:ascii="宋体" w:hAnsi="宋体" w:cs="宋体"/>
          <w:highlight w:val="none"/>
        </w:rPr>
        <w:t>26.5出现以上情形，不影响采购公平、公正性的，采购组织机构可以待上述情形消除后继续组织电子交易活动；影响或可能影响采购公平、公正性的，经采购代理机构确认后，应当重新采购。采购代理机构必须对原有的资料及信息作出妥善保密处理，并报财政部门备案。</w:t>
      </w:r>
    </w:p>
    <w:p w14:paraId="28ECE0A7">
      <w:pPr>
        <w:pStyle w:val="5"/>
        <w:spacing w:before="0" w:after="0" w:line="480" w:lineRule="exact"/>
        <w:ind w:firstLine="360"/>
        <w:rPr>
          <w:rFonts w:hint="eastAsia" w:ascii="宋体" w:hAnsi="宋体" w:cs="宋体"/>
          <w:b w:val="0"/>
          <w:bCs w:val="0"/>
          <w:highlight w:val="none"/>
        </w:rPr>
      </w:pPr>
      <w:bookmarkStart w:id="61" w:name="_Toc17649"/>
      <w:bookmarkStart w:id="62" w:name="_Toc120173688"/>
      <w:bookmarkStart w:id="63" w:name="_Toc120174197"/>
      <w:r>
        <w:rPr>
          <w:rFonts w:hint="eastAsia" w:ascii="宋体" w:hAnsi="宋体" w:cs="宋体"/>
          <w:b w:val="0"/>
          <w:bCs w:val="0"/>
          <w:highlight w:val="none"/>
        </w:rPr>
        <w:t>五、成交及合同</w:t>
      </w:r>
      <w:bookmarkEnd w:id="61"/>
      <w:bookmarkEnd w:id="62"/>
      <w:bookmarkEnd w:id="63"/>
    </w:p>
    <w:p w14:paraId="1612E6BF">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27.确定成交供应商及结果公告</w:t>
      </w:r>
    </w:p>
    <w:p w14:paraId="3BCB828C">
      <w:pPr>
        <w:spacing w:line="480" w:lineRule="exact"/>
        <w:ind w:firstLine="420"/>
        <w:rPr>
          <w:rFonts w:hint="eastAsia" w:ascii="宋体" w:hAnsi="宋体" w:cs="宋体"/>
          <w:szCs w:val="21"/>
          <w:highlight w:val="none"/>
        </w:rPr>
      </w:pPr>
      <w:r>
        <w:rPr>
          <w:rFonts w:hint="eastAsia" w:ascii="宋体" w:hAnsi="宋体" w:cs="宋体"/>
          <w:szCs w:val="21"/>
          <w:highlight w:val="none"/>
        </w:rPr>
        <w:t>27.1确定成交供应商。 由采购人直接委托评审专家确定，评审报告提出的排序第一的供应商为成交供应商。</w:t>
      </w:r>
    </w:p>
    <w:p w14:paraId="3CD3C0F5">
      <w:pPr>
        <w:spacing w:line="480" w:lineRule="exact"/>
        <w:ind w:firstLine="420"/>
        <w:rPr>
          <w:rFonts w:hint="eastAsia" w:ascii="宋体" w:hAnsi="宋体" w:cs="宋体"/>
          <w:szCs w:val="21"/>
          <w:highlight w:val="none"/>
        </w:rPr>
      </w:pPr>
      <w:r>
        <w:rPr>
          <w:rFonts w:hint="eastAsia" w:ascii="宋体" w:hAnsi="宋体" w:cs="宋体"/>
          <w:szCs w:val="21"/>
          <w:highlight w:val="none"/>
        </w:rPr>
        <w:t>27.2成交通知及成交结果公告。成交供应商确定后2个工作日内，在省级以上财政部门指定的媒体上公告成交结果同时向成交供应商发出成交通知书，成交通知书规定签订合同的时间不得超过25日。</w:t>
      </w:r>
    </w:p>
    <w:p w14:paraId="04B1BE11">
      <w:pPr>
        <w:spacing w:line="480" w:lineRule="exact"/>
        <w:ind w:firstLine="420"/>
        <w:rPr>
          <w:rFonts w:hint="eastAsia" w:ascii="宋体" w:hAnsi="宋体" w:cs="宋体"/>
          <w:szCs w:val="21"/>
          <w:highlight w:val="none"/>
        </w:rPr>
      </w:pPr>
      <w:r>
        <w:rPr>
          <w:rFonts w:hint="eastAsia" w:ascii="宋体" w:hAnsi="宋体" w:cs="宋体"/>
          <w:szCs w:val="21"/>
          <w:highlight w:val="none"/>
        </w:rPr>
        <w:t>27.3采购人或者采购代理机构发出成交通知书前，应当对成交供应商信用进行查询核实，对列入失信被执行人、重大税收违法失信主体、政府采购严重违法失信行为记录名单及其他不符合《中华人民共和国政府采购法》第二十二条规定条件的供应商，取消其成交资格，并确定排名第二的成交候选人为成交供应商。排名第二的成交候选人因上述规定的同样原因被取消成交资格的，采购人可以确定排名第三的成交候选人为成交供应商，以此类推。以上信息查询记录及相关证据与竞磋文件一并保存。成交供应商享受《政府采购促进中小企业发展管理办法》（财库〔2020〕46号）规定的中小企业扶持政策的，采购人、采购代理机构应当随成交结果公开成交供应商的《中小企业声明函》。</w:t>
      </w:r>
    </w:p>
    <w:p w14:paraId="2F4A5BAA">
      <w:pPr>
        <w:spacing w:line="480" w:lineRule="exact"/>
        <w:ind w:firstLine="420"/>
        <w:rPr>
          <w:rFonts w:hint="eastAsia" w:ascii="宋体" w:hAnsi="宋体" w:cs="宋体"/>
          <w:szCs w:val="21"/>
          <w:highlight w:val="none"/>
        </w:rPr>
      </w:pPr>
      <w:r>
        <w:rPr>
          <w:rFonts w:hint="eastAsia" w:ascii="宋体" w:hAnsi="宋体" w:cs="宋体"/>
          <w:szCs w:val="21"/>
          <w:highlight w:val="none"/>
        </w:rPr>
        <w:t>27.4采购人、采购代理机构认为供应商对采购过程、成交结果提出的质疑成立且影响或者可能影响成交结果的，合格供应商符合法定数量时，可以从合格的成交候选人中另行确定成交供应商的，应当依法另行确定成交供应商；否则应当重新开展采购活动。</w:t>
      </w:r>
    </w:p>
    <w:p w14:paraId="08DF001C">
      <w:pPr>
        <w:spacing w:line="480" w:lineRule="exact"/>
        <w:ind w:firstLine="420"/>
        <w:rPr>
          <w:rFonts w:hint="eastAsia" w:ascii="宋体" w:hAnsi="宋体" w:cs="宋体"/>
          <w:szCs w:val="21"/>
          <w:highlight w:val="none"/>
        </w:rPr>
      </w:pPr>
      <w:r>
        <w:rPr>
          <w:rFonts w:hint="eastAsia" w:ascii="宋体" w:hAnsi="宋体" w:cs="宋体"/>
          <w:bCs/>
          <w:szCs w:val="21"/>
          <w:highlight w:val="none"/>
        </w:rPr>
        <w:t>27.5排名第一的成交候选人放弃成交、因不可抗力提出不能履行合同，采购人可以确定排名第二的成交候选人为成交供应商。排名第二的成交候选人因前款规定的同样原因不能签订合同的，采购人可以确定排名第三的成交候选人为成交供应商，以此类推。</w:t>
      </w:r>
    </w:p>
    <w:p w14:paraId="0A7384B1">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28.履约保证金</w:t>
      </w:r>
    </w:p>
    <w:p w14:paraId="06BE2B23">
      <w:pPr>
        <w:spacing w:line="480" w:lineRule="exact"/>
        <w:ind w:firstLine="420"/>
        <w:rPr>
          <w:rFonts w:hint="eastAsia" w:ascii="宋体" w:hAnsi="宋体" w:cs="宋体"/>
          <w:b/>
          <w:bCs/>
          <w:sz w:val="24"/>
          <w:highlight w:val="none"/>
        </w:rPr>
      </w:pPr>
      <w:r>
        <w:rPr>
          <w:rFonts w:hint="eastAsia" w:ascii="宋体" w:hAnsi="宋体" w:cs="宋体"/>
          <w:szCs w:val="21"/>
          <w:highlight w:val="none"/>
        </w:rPr>
        <w:t>详见 “供应商须知前附表”</w:t>
      </w:r>
    </w:p>
    <w:p w14:paraId="68AF4E07">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29.签订合同</w:t>
      </w:r>
    </w:p>
    <w:p w14:paraId="524E70CB">
      <w:pPr>
        <w:pStyle w:val="473"/>
        <w:spacing w:before="0" w:line="480" w:lineRule="exact"/>
        <w:ind w:firstLine="420"/>
        <w:rPr>
          <w:rFonts w:hint="eastAsia" w:ascii="宋体" w:hAnsi="宋体" w:cs="宋体"/>
          <w:sz w:val="21"/>
          <w:szCs w:val="21"/>
          <w:highlight w:val="none"/>
          <w:lang w:val="zh-CN"/>
        </w:rPr>
      </w:pPr>
      <w:r>
        <w:rPr>
          <w:rFonts w:hint="eastAsia" w:ascii="宋体" w:hAnsi="宋体" w:cs="宋体"/>
          <w:sz w:val="21"/>
          <w:szCs w:val="21"/>
          <w:highlight w:val="none"/>
        </w:rPr>
        <w:t>29.1采购人与成交供应商应当在成交通知书规定的时间内，按照磋商文件确定的合同文本以及采购标的、服务技术、采购金额、采购数量、技术和服务要求等事项签订政府采购合同。</w:t>
      </w:r>
      <w:r>
        <w:rPr>
          <w:rFonts w:hint="eastAsia" w:ascii="宋体" w:hAnsi="宋体" w:cs="宋体"/>
          <w:sz w:val="21"/>
          <w:szCs w:val="21"/>
          <w:highlight w:val="none"/>
          <w:lang w:val="zh-CN"/>
        </w:rPr>
        <w:t>如成交供应商为联合体的，由联合体成员各方法定代表人或其授权代表与采购人代表签订合同。</w:t>
      </w:r>
    </w:p>
    <w:p w14:paraId="5075D45A">
      <w:pPr>
        <w:spacing w:line="480" w:lineRule="exact"/>
        <w:ind w:firstLine="420"/>
        <w:rPr>
          <w:rFonts w:hint="eastAsia" w:ascii="宋体" w:hAnsi="宋体" w:cs="宋体"/>
          <w:szCs w:val="21"/>
          <w:highlight w:val="none"/>
        </w:rPr>
      </w:pPr>
      <w:r>
        <w:rPr>
          <w:rFonts w:hint="eastAsia" w:ascii="宋体" w:hAnsi="宋体" w:cs="宋体"/>
          <w:szCs w:val="21"/>
          <w:highlight w:val="none"/>
        </w:rPr>
        <w:t>29.2采购人不得向成交供应商提出超出磋商文件以外的任何要求作为签订合同的条件，不得与成交供应商订立背离磋商文件确定的合同文本以及采购标的、服务技术、采购金额、采购数量、技术和服务要求等实质性内容的协议。</w:t>
      </w:r>
    </w:p>
    <w:p w14:paraId="4C64DF5D">
      <w:pPr>
        <w:spacing w:line="480" w:lineRule="exact"/>
        <w:ind w:firstLine="420"/>
        <w:rPr>
          <w:rFonts w:hint="eastAsia" w:ascii="宋体" w:hAnsi="宋体" w:cs="宋体"/>
          <w:szCs w:val="21"/>
          <w:highlight w:val="none"/>
        </w:rPr>
      </w:pPr>
      <w:r>
        <w:rPr>
          <w:rFonts w:hint="eastAsia" w:ascii="宋体" w:hAnsi="宋体" w:cs="宋体"/>
          <w:szCs w:val="21"/>
          <w:highlight w:val="none"/>
        </w:rPr>
        <w:t>29.3成交供应商拒绝签订政府采购合同的，采购人可以按照评审报告推荐的成交候选人名单排序，确定下一候选人为成交供应商，也可以重新开展采购活动。拒绝签订政府采购合同的成交供应商不得参加对该项目重新开展的采购活动。</w:t>
      </w:r>
    </w:p>
    <w:p w14:paraId="6302BB6F">
      <w:pPr>
        <w:spacing w:line="480" w:lineRule="exact"/>
        <w:ind w:firstLine="420"/>
        <w:rPr>
          <w:rFonts w:hint="eastAsia" w:ascii="宋体" w:hAnsi="宋体" w:cs="宋体"/>
          <w:szCs w:val="21"/>
          <w:highlight w:val="none"/>
        </w:rPr>
      </w:pPr>
      <w:r>
        <w:rPr>
          <w:rFonts w:hint="eastAsia" w:ascii="宋体" w:hAnsi="宋体" w:cs="宋体"/>
          <w:szCs w:val="21"/>
          <w:highlight w:val="none"/>
        </w:rPr>
        <w:t>29.4如签订合同并生效后，供应商无故拒绝或延期，除按照合同条款处理外，列入不良行为记录，并给予通报。</w:t>
      </w:r>
    </w:p>
    <w:p w14:paraId="78278757">
      <w:pPr>
        <w:pStyle w:val="473"/>
        <w:spacing w:before="0" w:line="480" w:lineRule="exact"/>
        <w:ind w:firstLine="420"/>
        <w:rPr>
          <w:rFonts w:hint="eastAsia" w:ascii="宋体" w:hAnsi="宋体" w:cs="宋体"/>
          <w:szCs w:val="21"/>
          <w:highlight w:val="none"/>
        </w:rPr>
      </w:pPr>
      <w:r>
        <w:rPr>
          <w:rFonts w:hint="eastAsia" w:ascii="宋体" w:hAnsi="宋体" w:cs="宋体"/>
          <w:sz w:val="21"/>
          <w:szCs w:val="21"/>
          <w:highlight w:val="none"/>
        </w:rPr>
        <w:t>29.5采购合同由采购人与成交供应商根据磋商文件、响应文件等内容通过政府采购电子交易平台在线签订，自动备案，在线签订须携带的材料见“供应商须知前附表”。</w:t>
      </w:r>
    </w:p>
    <w:p w14:paraId="11E031FB">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30.政府采购合同公告</w:t>
      </w:r>
    </w:p>
    <w:p w14:paraId="40350D79">
      <w:pPr>
        <w:spacing w:line="480" w:lineRule="exact"/>
        <w:ind w:firstLine="420"/>
        <w:rPr>
          <w:rFonts w:hint="eastAsia" w:ascii="宋体" w:hAnsi="宋体" w:cs="宋体"/>
          <w:highlight w:val="none"/>
        </w:rPr>
      </w:pPr>
      <w:r>
        <w:rPr>
          <w:rFonts w:hint="eastAsia" w:ascii="宋体" w:hAnsi="宋体" w:cs="宋体"/>
          <w:highlight w:val="none"/>
        </w:rPr>
        <w:t>采购人或者受托采购代理机构应当自政府采购合同签订之日起2个工作日内，将政府采购合同</w:t>
      </w:r>
      <w:r>
        <w:rPr>
          <w:rFonts w:hint="eastAsia" w:ascii="宋体" w:hAnsi="宋体" w:cs="宋体"/>
          <w:bCs/>
          <w:highlight w:val="none"/>
        </w:rPr>
        <w:t>在以下媒体上发布</w:t>
      </w:r>
      <w:r>
        <w:rPr>
          <w:rFonts w:hint="eastAsia" w:ascii="宋体" w:hAnsi="宋体" w:cs="宋体"/>
          <w:szCs w:val="21"/>
          <w:highlight w:val="none"/>
        </w:rPr>
        <w:t xml:space="preserve"> “广西政府采购网”（http://zfcg.gxzf.gov.cn）</w:t>
      </w:r>
      <w:r>
        <w:rPr>
          <w:rFonts w:hint="eastAsia" w:ascii="宋体" w:hAnsi="宋体" w:cs="宋体"/>
          <w:highlight w:val="none"/>
        </w:rPr>
        <w:t>上公告，但政府采购合同中涉及国家秘密、商业秘密的内容除外。</w:t>
      </w:r>
    </w:p>
    <w:p w14:paraId="42BA5FAD">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31. 询问、质疑和投诉</w:t>
      </w:r>
    </w:p>
    <w:p w14:paraId="14754E68">
      <w:pPr>
        <w:spacing w:line="480" w:lineRule="exact"/>
        <w:ind w:firstLine="420"/>
        <w:rPr>
          <w:rFonts w:hint="eastAsia" w:ascii="宋体" w:hAnsi="宋体" w:cs="宋体"/>
          <w:highlight w:val="none"/>
        </w:rPr>
      </w:pPr>
      <w:r>
        <w:rPr>
          <w:rFonts w:hint="eastAsia" w:ascii="宋体" w:hAnsi="宋体" w:cs="宋体"/>
          <w:highlight w:val="none"/>
        </w:rPr>
        <w:t>31.1供应商对政府采购活动事项有疑问的，可以向采购人、采购代理机构提出询问，采购人或者采购代理机构应当在3个工作日内对供应商依法提出的询问作出答复。</w:t>
      </w:r>
    </w:p>
    <w:p w14:paraId="7EDF96DC">
      <w:pPr>
        <w:spacing w:line="480" w:lineRule="exact"/>
        <w:ind w:firstLine="420"/>
        <w:rPr>
          <w:rFonts w:hint="eastAsia" w:ascii="宋体" w:hAnsi="宋体" w:cs="宋体"/>
          <w:b/>
          <w:szCs w:val="21"/>
          <w:highlight w:val="none"/>
        </w:rPr>
      </w:pPr>
      <w:r>
        <w:rPr>
          <w:rFonts w:hint="eastAsia" w:ascii="宋体" w:hAnsi="宋体" w:cs="宋体"/>
          <w:highlight w:val="none"/>
        </w:rPr>
        <w:t>31.2供应商认为磋商文件、采购过程或者成交结果使自己的合法权益受到损害的，应当在知道或者应知其权益受到损害之日起7个工作日内，以书面形式向采购人、采购代理机构提出质疑，</w:t>
      </w:r>
      <w:r>
        <w:rPr>
          <w:rFonts w:hint="eastAsia" w:ascii="宋体" w:hAnsi="宋体" w:cs="宋体"/>
          <w:highlight w:val="none"/>
          <w:shd w:val="clear" w:color="auto" w:fill="FFFFFF"/>
        </w:rPr>
        <w:t>接收质疑函的方式、联系部门、联系电话和通讯地址等信息详见</w:t>
      </w:r>
      <w:r>
        <w:rPr>
          <w:rFonts w:hint="eastAsia" w:ascii="宋体" w:hAnsi="宋体" w:cs="宋体"/>
          <w:szCs w:val="21"/>
          <w:highlight w:val="none"/>
        </w:rPr>
        <w:t>“供应商须知前附表”</w:t>
      </w:r>
      <w:r>
        <w:rPr>
          <w:rFonts w:hint="eastAsia" w:ascii="宋体" w:hAnsi="宋体" w:cs="宋体"/>
          <w:highlight w:val="none"/>
        </w:rPr>
        <w:t>。</w:t>
      </w:r>
      <w:r>
        <w:rPr>
          <w:rFonts w:hint="eastAsia" w:ascii="宋体" w:hAnsi="宋体" w:cs="宋体"/>
          <w:b/>
          <w:szCs w:val="21"/>
          <w:highlight w:val="none"/>
        </w:rPr>
        <w:t xml:space="preserve">具体质疑起算时间及处理方式如下： </w:t>
      </w:r>
    </w:p>
    <w:p w14:paraId="3263FD6E">
      <w:pPr>
        <w:spacing w:line="480" w:lineRule="exact"/>
        <w:ind w:firstLine="420"/>
        <w:rPr>
          <w:rFonts w:hint="eastAsia" w:ascii="宋体" w:hAnsi="宋体" w:cs="宋体"/>
          <w:bCs/>
          <w:highlight w:val="none"/>
        </w:rPr>
      </w:pPr>
      <w:r>
        <w:rPr>
          <w:rFonts w:hint="eastAsia" w:ascii="宋体" w:hAnsi="宋体" w:cs="宋体"/>
          <w:bCs/>
          <w:highlight w:val="none"/>
        </w:rPr>
        <w:t>（1）潜在供应商依法获取采购文件后，认为采购文件使自己的权益受到损害的，应当在竞争性磋商采购文件公告期限届满之日起7个工作日内提出质疑。</w:t>
      </w:r>
      <w:r>
        <w:rPr>
          <w:rFonts w:hint="eastAsia" w:ascii="宋体" w:hAnsi="宋体" w:cs="宋体"/>
          <w:highlight w:val="none"/>
        </w:rPr>
        <w:t>委托代理协议无特殊约定的，</w:t>
      </w:r>
      <w:r>
        <w:rPr>
          <w:rFonts w:hint="eastAsia" w:ascii="宋体" w:hAnsi="宋体" w:cs="宋体"/>
          <w:bCs/>
          <w:highlight w:val="none"/>
        </w:rPr>
        <w:t>对竞争性磋商文件中采购需求（含资格要求、采购预算和评分办法）的质疑由采购人受理并负责答复；对竞争性磋商文件中的采购执行程序的质疑由采购代理机构受理并负责答复。</w:t>
      </w:r>
    </w:p>
    <w:p w14:paraId="44599054">
      <w:pPr>
        <w:spacing w:line="480" w:lineRule="exact"/>
        <w:ind w:firstLine="420"/>
        <w:rPr>
          <w:rFonts w:hint="eastAsia" w:ascii="宋体" w:hAnsi="宋体" w:cs="宋体"/>
          <w:bCs/>
          <w:highlight w:val="none"/>
        </w:rPr>
      </w:pPr>
      <w:r>
        <w:rPr>
          <w:rFonts w:hint="eastAsia" w:ascii="宋体" w:hAnsi="宋体" w:cs="宋体"/>
          <w:bCs/>
          <w:highlight w:val="none"/>
        </w:rPr>
        <w:t>（2）供应商认为采购过程使自己的权益受到损害的，应当在各采购程序环节结束之日起7个工作日内提出质疑。对采购过程中资格审查、符合性审查等具体评审情况的质疑应向采购人或代理机构提出，由采购人或代理机构受理并负责答复；对采购过程中采购执行程序的质疑由采购代理机构受理并负责答复。</w:t>
      </w:r>
    </w:p>
    <w:p w14:paraId="604D69F1">
      <w:pPr>
        <w:spacing w:line="480" w:lineRule="exact"/>
        <w:ind w:firstLine="420"/>
        <w:rPr>
          <w:rFonts w:hint="eastAsia" w:ascii="宋体" w:hAnsi="宋体" w:cs="宋体"/>
          <w:highlight w:val="none"/>
        </w:rPr>
      </w:pPr>
      <w:r>
        <w:rPr>
          <w:rFonts w:hint="eastAsia" w:ascii="宋体" w:hAnsi="宋体" w:cs="宋体"/>
          <w:bCs/>
          <w:highlight w:val="none"/>
        </w:rPr>
        <w:t>（3）供应商认为成交结果使自己的权益受到损害的，应当在成交结果公告期限届满之日起7个工作日内提出质疑，由采购人受理并负责答复。</w:t>
      </w:r>
    </w:p>
    <w:p w14:paraId="2F240B5C">
      <w:pPr>
        <w:spacing w:line="480" w:lineRule="exact"/>
        <w:ind w:firstLine="420"/>
        <w:rPr>
          <w:rFonts w:hint="eastAsia" w:ascii="宋体" w:hAnsi="宋体" w:cs="宋体"/>
          <w:highlight w:val="none"/>
        </w:rPr>
      </w:pPr>
      <w:r>
        <w:rPr>
          <w:rFonts w:hint="eastAsia" w:ascii="宋体" w:hAnsi="宋体" w:cs="宋体"/>
          <w:highlight w:val="none"/>
        </w:rPr>
        <w:t>31.3供应商提出的询问或者质疑超出采购人对采购代理机构委托授权范围的，采购代理机构应当告知供应商向采购人提出。政府采购评审专家应当配合采购人或者采购代理机构答复供应商的询问和质疑。</w:t>
      </w:r>
    </w:p>
    <w:p w14:paraId="7725E1B7">
      <w:pPr>
        <w:spacing w:line="480" w:lineRule="exact"/>
        <w:ind w:firstLine="420"/>
        <w:rPr>
          <w:rFonts w:hint="eastAsia" w:ascii="宋体" w:hAnsi="宋体" w:cs="宋体"/>
          <w:highlight w:val="none"/>
        </w:rPr>
      </w:pPr>
      <w:r>
        <w:rPr>
          <w:rFonts w:hint="eastAsia" w:ascii="宋体" w:hAnsi="宋体" w:cs="宋体"/>
          <w:highlight w:val="none"/>
        </w:rPr>
        <w:t>31.4 供应商提出质疑应当提交质疑函和必要的证明材料，针对同一采购程序环节的质疑必须在法定质疑期内一次性提出。质疑函应当包括下列内容</w:t>
      </w:r>
      <w:r>
        <w:rPr>
          <w:rFonts w:hint="eastAsia" w:ascii="宋体" w:hAnsi="宋体" w:cs="宋体"/>
          <w:bCs/>
          <w:highlight w:val="none"/>
        </w:rPr>
        <w:t>（质疑函格式后附）</w:t>
      </w:r>
      <w:r>
        <w:rPr>
          <w:rFonts w:hint="eastAsia" w:ascii="宋体" w:hAnsi="宋体" w:cs="宋体"/>
          <w:highlight w:val="none"/>
        </w:rPr>
        <w:t>：</w:t>
      </w:r>
    </w:p>
    <w:p w14:paraId="36EB8B3D">
      <w:pPr>
        <w:spacing w:line="480" w:lineRule="exact"/>
        <w:ind w:firstLine="420"/>
        <w:rPr>
          <w:rFonts w:hint="eastAsia" w:ascii="宋体" w:hAnsi="宋体" w:cs="宋体"/>
          <w:highlight w:val="none"/>
        </w:rPr>
      </w:pPr>
      <w:r>
        <w:rPr>
          <w:rFonts w:hint="eastAsia" w:ascii="宋体" w:hAnsi="宋体" w:cs="宋体"/>
          <w:highlight w:val="none"/>
        </w:rPr>
        <w:t>（1）供应商的姓名或者名称、地址、邮编、联系人及联系电话；</w:t>
      </w:r>
    </w:p>
    <w:p w14:paraId="566A5CEE">
      <w:pPr>
        <w:spacing w:line="480" w:lineRule="exact"/>
        <w:ind w:firstLine="420"/>
        <w:rPr>
          <w:rFonts w:hint="eastAsia" w:ascii="宋体" w:hAnsi="宋体" w:cs="宋体"/>
          <w:highlight w:val="none"/>
        </w:rPr>
      </w:pPr>
      <w:r>
        <w:rPr>
          <w:rFonts w:hint="eastAsia" w:ascii="宋体" w:hAnsi="宋体" w:cs="宋体"/>
          <w:highlight w:val="none"/>
        </w:rPr>
        <w:t>（2）质疑项目的名称、编号；</w:t>
      </w:r>
    </w:p>
    <w:p w14:paraId="0858B741">
      <w:pPr>
        <w:spacing w:line="480" w:lineRule="exact"/>
        <w:ind w:firstLine="420"/>
        <w:rPr>
          <w:rFonts w:hint="eastAsia" w:ascii="宋体" w:hAnsi="宋体" w:cs="宋体"/>
          <w:highlight w:val="none"/>
        </w:rPr>
      </w:pPr>
      <w:r>
        <w:rPr>
          <w:rFonts w:hint="eastAsia" w:ascii="宋体" w:hAnsi="宋体" w:cs="宋体"/>
          <w:highlight w:val="none"/>
        </w:rPr>
        <w:t>（3）具体、明确的质疑事项和与质疑事项相关的请求；</w:t>
      </w:r>
    </w:p>
    <w:p w14:paraId="4B7EA450">
      <w:pPr>
        <w:spacing w:line="480" w:lineRule="exact"/>
        <w:ind w:firstLine="420"/>
        <w:rPr>
          <w:rFonts w:hint="eastAsia" w:ascii="宋体" w:hAnsi="宋体" w:cs="宋体"/>
          <w:highlight w:val="none"/>
        </w:rPr>
      </w:pPr>
      <w:r>
        <w:rPr>
          <w:rFonts w:hint="eastAsia" w:ascii="宋体" w:hAnsi="宋体" w:cs="宋体"/>
          <w:highlight w:val="none"/>
        </w:rPr>
        <w:t>（4）事实依据；</w:t>
      </w:r>
    </w:p>
    <w:p w14:paraId="4CF55207">
      <w:pPr>
        <w:spacing w:line="480" w:lineRule="exact"/>
        <w:ind w:firstLine="420"/>
        <w:rPr>
          <w:rFonts w:hint="eastAsia" w:ascii="宋体" w:hAnsi="宋体" w:cs="宋体"/>
          <w:highlight w:val="none"/>
        </w:rPr>
      </w:pPr>
      <w:r>
        <w:rPr>
          <w:rFonts w:hint="eastAsia" w:ascii="宋体" w:hAnsi="宋体" w:cs="宋体"/>
          <w:highlight w:val="none"/>
        </w:rPr>
        <w:t>（5）必要的法律依据；</w:t>
      </w:r>
    </w:p>
    <w:p w14:paraId="4C4EA50C">
      <w:pPr>
        <w:spacing w:line="480" w:lineRule="exact"/>
        <w:ind w:firstLine="420"/>
        <w:rPr>
          <w:rFonts w:hint="eastAsia" w:ascii="宋体" w:hAnsi="宋体" w:cs="宋体"/>
          <w:highlight w:val="none"/>
        </w:rPr>
      </w:pPr>
      <w:r>
        <w:rPr>
          <w:rFonts w:hint="eastAsia" w:ascii="宋体" w:hAnsi="宋体" w:cs="宋体"/>
          <w:highlight w:val="none"/>
        </w:rPr>
        <w:t>（6）提出质疑的日期。</w:t>
      </w:r>
    </w:p>
    <w:p w14:paraId="7F449CD4">
      <w:pPr>
        <w:spacing w:line="480" w:lineRule="exact"/>
        <w:ind w:firstLine="420"/>
        <w:rPr>
          <w:rFonts w:hint="eastAsia" w:ascii="宋体" w:hAnsi="宋体" w:cs="宋体"/>
          <w:highlight w:val="none"/>
        </w:rPr>
      </w:pPr>
      <w:r>
        <w:rPr>
          <w:rFonts w:hint="eastAsia" w:ascii="宋体" w:hAnsi="宋体" w:cs="宋体"/>
          <w:highlight w:val="none"/>
        </w:rPr>
        <w:t>供应商为自然人的，应当由本人签字；供应商为法人或者其他组织的，应当由法定代表人、主要负责人，或者其委托代理人签字或者盖章，并加盖公章。</w:t>
      </w:r>
    </w:p>
    <w:p w14:paraId="697946B4">
      <w:pPr>
        <w:spacing w:line="480" w:lineRule="exact"/>
        <w:ind w:firstLine="420"/>
        <w:rPr>
          <w:rFonts w:hint="eastAsia" w:ascii="宋体" w:hAnsi="宋体" w:cs="宋体"/>
          <w:highlight w:val="none"/>
        </w:rPr>
      </w:pPr>
      <w:r>
        <w:rPr>
          <w:rFonts w:hint="eastAsia" w:ascii="宋体" w:hAnsi="宋体" w:cs="宋体"/>
          <w:highlight w:val="none"/>
        </w:rPr>
        <w:t>31.5采购人、采购代理机构认为供应商质疑不成立，或者成立但未对成交结果构成影响的，继续开展采购活动；认为供应商质疑成立且影响或者可能影响成交结果的，按照下列情况处理：</w:t>
      </w:r>
    </w:p>
    <w:p w14:paraId="1713540A">
      <w:pPr>
        <w:spacing w:line="480" w:lineRule="exact"/>
        <w:ind w:firstLine="420"/>
        <w:rPr>
          <w:rFonts w:hint="eastAsia" w:ascii="宋体" w:hAnsi="宋体" w:cs="宋体"/>
          <w:highlight w:val="none"/>
        </w:rPr>
      </w:pPr>
      <w:r>
        <w:rPr>
          <w:rFonts w:hint="eastAsia" w:ascii="宋体" w:hAnsi="宋体" w:cs="宋体"/>
          <w:highlight w:val="none"/>
        </w:rPr>
        <w:t>（一）对采购文件提出的质疑，依法通过澄清或者修改可以继续开展采购活动的，澄清或者修改采购文件后继续开展采购活动；否则应当修改采购文件后重新开展采购活动。</w:t>
      </w:r>
    </w:p>
    <w:p w14:paraId="0C28D1AE">
      <w:pPr>
        <w:spacing w:line="480" w:lineRule="exact"/>
        <w:ind w:firstLine="420"/>
        <w:rPr>
          <w:rFonts w:hint="eastAsia" w:ascii="宋体" w:hAnsi="宋体" w:cs="宋体"/>
          <w:highlight w:val="none"/>
        </w:rPr>
      </w:pPr>
      <w:r>
        <w:rPr>
          <w:rFonts w:hint="eastAsia" w:ascii="宋体" w:hAnsi="宋体" w:cs="宋体"/>
          <w:highlight w:val="none"/>
        </w:rPr>
        <w:t>（二）对采购过程或者成交结果提出的质疑，合格供应商符合法定数量时，可以从合格的成交候选人中另行确定成交供应商的，应当依法另行确定成交供应商；否则应当重新开展采购活动。</w:t>
      </w:r>
    </w:p>
    <w:p w14:paraId="5CA71089">
      <w:pPr>
        <w:spacing w:line="480" w:lineRule="exact"/>
        <w:ind w:firstLine="420"/>
        <w:rPr>
          <w:rFonts w:hint="eastAsia" w:ascii="宋体" w:hAnsi="宋体" w:cs="宋体"/>
          <w:highlight w:val="none"/>
        </w:rPr>
      </w:pPr>
      <w:r>
        <w:rPr>
          <w:rFonts w:hint="eastAsia" w:ascii="宋体" w:hAnsi="宋体" w:cs="宋体"/>
          <w:highlight w:val="none"/>
        </w:rPr>
        <w:t>质疑答复导致成交结果改变的，采购人或者采购代理机构应当将有关情况书面报告本级财政部门。</w:t>
      </w:r>
    </w:p>
    <w:p w14:paraId="0A944D7A">
      <w:pPr>
        <w:spacing w:line="480" w:lineRule="exact"/>
        <w:ind w:firstLine="420"/>
        <w:rPr>
          <w:rFonts w:hint="eastAsia" w:ascii="宋体" w:hAnsi="宋体" w:cs="宋体"/>
          <w:highlight w:val="none"/>
        </w:rPr>
      </w:pPr>
      <w:r>
        <w:rPr>
          <w:rFonts w:hint="eastAsia" w:ascii="宋体" w:hAnsi="宋体" w:cs="宋体"/>
          <w:highlight w:val="none"/>
        </w:rPr>
        <w:t>31.6投诉的权利。质疑供应商对采购人、采购代理机构的答复不满意，或者采购人、采购代理机构未在规定时间内作出答复的，可以在答复期满后15个工作日内向《政府采购质疑和投诉办法》（财政部令第94号）第六条规定的财政部门提起投诉（投诉书格式后附），受理投诉方式见“供应商须知前附表”。</w:t>
      </w:r>
    </w:p>
    <w:p w14:paraId="42C2CF6E">
      <w:pPr>
        <w:pStyle w:val="5"/>
        <w:spacing w:before="0" w:after="0" w:line="480" w:lineRule="exact"/>
        <w:ind w:firstLine="236"/>
        <w:rPr>
          <w:rFonts w:hint="eastAsia" w:ascii="宋体" w:hAnsi="宋体" w:cs="宋体"/>
          <w:b w:val="0"/>
          <w:highlight w:val="none"/>
        </w:rPr>
      </w:pPr>
      <w:bookmarkStart w:id="64" w:name="_Toc120174198"/>
      <w:bookmarkStart w:id="65" w:name="_Toc120173689"/>
      <w:bookmarkStart w:id="66" w:name="_Toc23957"/>
      <w:r>
        <w:rPr>
          <w:rFonts w:hint="eastAsia" w:ascii="宋体" w:hAnsi="宋体" w:cs="宋体"/>
          <w:highlight w:val="none"/>
        </w:rPr>
        <w:t>六</w:t>
      </w:r>
      <w:r>
        <w:rPr>
          <w:rFonts w:hint="eastAsia" w:ascii="宋体" w:hAnsi="宋体" w:cs="宋体"/>
          <w:b w:val="0"/>
          <w:highlight w:val="none"/>
        </w:rPr>
        <w:t>、验收</w:t>
      </w:r>
      <w:bookmarkEnd w:id="64"/>
      <w:bookmarkEnd w:id="65"/>
      <w:bookmarkEnd w:id="66"/>
    </w:p>
    <w:p w14:paraId="170C5D29">
      <w:pPr>
        <w:tabs>
          <w:tab w:val="left" w:pos="0"/>
        </w:tabs>
        <w:spacing w:line="480" w:lineRule="exact"/>
        <w:ind w:firstLine="482"/>
        <w:rPr>
          <w:rFonts w:hint="eastAsia" w:ascii="宋体" w:hAnsi="宋体" w:cs="宋体"/>
          <w:b/>
          <w:bCs/>
          <w:sz w:val="24"/>
          <w:highlight w:val="none"/>
        </w:rPr>
      </w:pPr>
      <w:r>
        <w:rPr>
          <w:rFonts w:hint="eastAsia" w:ascii="宋体" w:hAnsi="宋体" w:cs="宋体"/>
          <w:b/>
          <w:bCs/>
          <w:sz w:val="24"/>
          <w:highlight w:val="none"/>
        </w:rPr>
        <w:t>32.验收</w:t>
      </w:r>
    </w:p>
    <w:p w14:paraId="267647DA">
      <w:pPr>
        <w:tabs>
          <w:tab w:val="left" w:pos="0"/>
        </w:tabs>
        <w:spacing w:line="480" w:lineRule="exact"/>
        <w:ind w:firstLine="420"/>
        <w:rPr>
          <w:rFonts w:hint="eastAsia" w:ascii="宋体" w:hAnsi="宋体" w:cs="宋体"/>
          <w:szCs w:val="21"/>
          <w:highlight w:val="none"/>
        </w:rPr>
      </w:pPr>
      <w:r>
        <w:rPr>
          <w:rFonts w:hint="eastAsia" w:ascii="宋体" w:hAnsi="宋体" w:cs="宋体"/>
          <w:szCs w:val="21"/>
          <w:highlight w:val="none"/>
        </w:rPr>
        <w:t>32.1采购人会同实际使用人组织对供应商履约的验收。大型或者复杂的政府采购项目，应当邀请国家认可的质量检测机构参加验收工作。验收方成员应当在验收书上签字，并承担相应的法律责任。如果发现与合同中要求不符，供应商须承担由此发生的一切损失和费用，并接受相应的处理。</w:t>
      </w:r>
    </w:p>
    <w:p w14:paraId="4A0441C7">
      <w:pPr>
        <w:tabs>
          <w:tab w:val="left" w:pos="0"/>
        </w:tabs>
        <w:spacing w:line="480" w:lineRule="exact"/>
        <w:ind w:firstLine="420"/>
        <w:rPr>
          <w:rFonts w:hint="eastAsia" w:ascii="宋体" w:hAnsi="宋体" w:cs="宋体"/>
          <w:szCs w:val="21"/>
          <w:highlight w:val="none"/>
        </w:rPr>
      </w:pPr>
      <w:r>
        <w:rPr>
          <w:rFonts w:hint="eastAsia" w:ascii="宋体" w:hAnsi="宋体" w:cs="宋体"/>
          <w:szCs w:val="21"/>
          <w:highlight w:val="none"/>
        </w:rPr>
        <w:t>32.2采购人可以邀请参加本项目的其他供应商或者第三方机构参与验收。参与验收的供应商或者第三方机构的意见作为验收书的参考资料一并存档。</w:t>
      </w:r>
    </w:p>
    <w:p w14:paraId="0B6FCAA5">
      <w:pPr>
        <w:tabs>
          <w:tab w:val="left" w:pos="0"/>
        </w:tabs>
        <w:spacing w:line="480" w:lineRule="exact"/>
        <w:ind w:firstLine="420"/>
        <w:rPr>
          <w:rFonts w:hint="eastAsia" w:ascii="宋体" w:hAnsi="宋体" w:cs="宋体"/>
          <w:szCs w:val="21"/>
          <w:highlight w:val="none"/>
        </w:rPr>
      </w:pPr>
      <w:r>
        <w:rPr>
          <w:rFonts w:hint="eastAsia" w:ascii="宋体" w:hAnsi="宋体" w:cs="宋体"/>
          <w:szCs w:val="21"/>
          <w:highlight w:val="none"/>
        </w:rPr>
        <w:t>32.3严格按照采购合同开展履约验收。采购人成立验收小组，按照采购合同的约定对供应商履约情况进行验收。验收时，按照采购合同的约定对每一项技术、服务、安全标准的履约情况进行确认。验收结束后，应当出具验收书，列明各项标准的验收情况及项目总体评价，由验收双方共同签署。验收结果与采购合同约定的资金支付及履约保证金返还条件挂钩。履约验收的各项资料应当存档备查。</w:t>
      </w:r>
    </w:p>
    <w:p w14:paraId="705082ED">
      <w:pPr>
        <w:tabs>
          <w:tab w:val="left" w:pos="0"/>
        </w:tabs>
        <w:spacing w:line="480" w:lineRule="exact"/>
        <w:ind w:firstLine="420"/>
        <w:rPr>
          <w:rFonts w:hint="eastAsia" w:ascii="宋体" w:hAnsi="宋体" w:cs="宋体"/>
          <w:szCs w:val="21"/>
          <w:highlight w:val="none"/>
        </w:rPr>
      </w:pPr>
      <w:r>
        <w:rPr>
          <w:rFonts w:hint="eastAsia" w:ascii="宋体" w:hAnsi="宋体" w:cs="宋体"/>
          <w:szCs w:val="21"/>
          <w:highlight w:val="none"/>
        </w:rPr>
        <w:t>32.4验收合格的项目，实际使用人将根据采购合同的约定及时向供应商支付采购资金。验收不合格的项目，采购人将依法及时处理。采购合同的履行、违约责任和解决争议的方式等适用《中华人民共和国民法典》。供应商在履约过程中有政府采购法律法规规定的违法违规情形的，采购人应当及时报告本级财政部门。</w:t>
      </w:r>
    </w:p>
    <w:p w14:paraId="72218980">
      <w:pPr>
        <w:pStyle w:val="5"/>
        <w:spacing w:before="0" w:after="0" w:line="480" w:lineRule="exact"/>
        <w:ind w:firstLine="240"/>
        <w:rPr>
          <w:rFonts w:hint="eastAsia" w:ascii="宋体" w:hAnsi="宋体" w:cs="宋体"/>
          <w:b w:val="0"/>
          <w:bCs w:val="0"/>
          <w:highlight w:val="none"/>
        </w:rPr>
      </w:pPr>
      <w:bookmarkStart w:id="67" w:name="_Toc120173690"/>
      <w:bookmarkStart w:id="68" w:name="_Toc19758"/>
      <w:bookmarkStart w:id="69" w:name="_Toc120174199"/>
      <w:r>
        <w:rPr>
          <w:rFonts w:hint="eastAsia" w:ascii="宋体" w:hAnsi="宋体" w:cs="宋体"/>
          <w:b w:val="0"/>
          <w:bCs w:val="0"/>
          <w:highlight w:val="none"/>
        </w:rPr>
        <w:t>七、其他事项</w:t>
      </w:r>
      <w:bookmarkEnd w:id="67"/>
      <w:bookmarkEnd w:id="68"/>
      <w:bookmarkEnd w:id="69"/>
    </w:p>
    <w:p w14:paraId="36F9EF63">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33.代理服务费</w:t>
      </w:r>
    </w:p>
    <w:p w14:paraId="28880C03">
      <w:pPr>
        <w:tabs>
          <w:tab w:val="left" w:pos="2835"/>
        </w:tabs>
        <w:spacing w:line="480" w:lineRule="exact"/>
        <w:ind w:firstLine="420"/>
        <w:rPr>
          <w:rFonts w:hint="eastAsia" w:ascii="宋体" w:hAnsi="宋体" w:cs="宋体"/>
          <w:szCs w:val="21"/>
          <w:highlight w:val="none"/>
        </w:rPr>
      </w:pPr>
      <w:r>
        <w:rPr>
          <w:rFonts w:hint="eastAsia" w:ascii="宋体" w:hAnsi="宋体" w:cs="宋体"/>
          <w:szCs w:val="21"/>
          <w:highlight w:val="none"/>
        </w:rPr>
        <w:t>代理服务收费标准及缴费账户详见“供应商须知前附表”，供应商为联合体的，可以由联合体中的一方或者多方共同交纳代理服务费。</w:t>
      </w:r>
    </w:p>
    <w:p w14:paraId="3C78AA70">
      <w:pPr>
        <w:spacing w:line="480" w:lineRule="exact"/>
        <w:ind w:firstLine="482"/>
        <w:rPr>
          <w:rFonts w:hint="eastAsia" w:ascii="宋体" w:hAnsi="宋体" w:cs="宋体"/>
          <w:b/>
          <w:bCs/>
          <w:sz w:val="24"/>
          <w:highlight w:val="none"/>
        </w:rPr>
      </w:pPr>
      <w:r>
        <w:rPr>
          <w:rFonts w:hint="eastAsia" w:ascii="宋体" w:hAnsi="宋体" w:cs="宋体"/>
          <w:b/>
          <w:bCs/>
          <w:sz w:val="24"/>
          <w:highlight w:val="none"/>
        </w:rPr>
        <w:t>34.需要补充的其他内容</w:t>
      </w:r>
    </w:p>
    <w:p w14:paraId="513DB041">
      <w:pPr>
        <w:pStyle w:val="28"/>
        <w:spacing w:line="480" w:lineRule="exact"/>
        <w:ind w:firstLine="420"/>
        <w:rPr>
          <w:rFonts w:hint="eastAsia" w:hAnsi="宋体" w:cs="宋体"/>
          <w:sz w:val="21"/>
          <w:highlight w:val="none"/>
        </w:rPr>
      </w:pPr>
      <w:r>
        <w:rPr>
          <w:rFonts w:hint="eastAsia" w:hAnsi="宋体" w:cs="宋体"/>
          <w:sz w:val="21"/>
          <w:highlight w:val="none"/>
        </w:rPr>
        <w:t>34.1本磋商文件解释规则详见“供应商须知前附表”。</w:t>
      </w:r>
    </w:p>
    <w:p w14:paraId="3FEED8F5">
      <w:pPr>
        <w:pStyle w:val="28"/>
        <w:spacing w:line="480" w:lineRule="exact"/>
        <w:ind w:firstLine="420"/>
        <w:rPr>
          <w:rFonts w:hint="eastAsia" w:hAnsi="宋体" w:cs="宋体"/>
          <w:sz w:val="21"/>
          <w:highlight w:val="none"/>
        </w:rPr>
      </w:pPr>
      <w:r>
        <w:rPr>
          <w:rFonts w:hint="eastAsia" w:hAnsi="宋体" w:cs="宋体"/>
          <w:sz w:val="21"/>
          <w:highlight w:val="none"/>
        </w:rPr>
        <w:t>34.2 其他事项详见“供应商须知前附表”。</w:t>
      </w:r>
    </w:p>
    <w:p w14:paraId="1A12F8C8">
      <w:pPr>
        <w:pStyle w:val="28"/>
        <w:spacing w:line="480" w:lineRule="exact"/>
        <w:ind w:firstLine="420"/>
        <w:rPr>
          <w:rFonts w:hAnsi="宋体" w:cs="宋体"/>
          <w:sz w:val="21"/>
          <w:highlight w:val="none"/>
        </w:rPr>
      </w:pPr>
      <w:r>
        <w:rPr>
          <w:rFonts w:hint="eastAsia" w:hAnsi="宋体" w:cs="宋体"/>
          <w:sz w:val="21"/>
          <w:highlight w:val="none"/>
        </w:rPr>
        <w:t>34.3本文件所称中小企业，是指在中华人民共和国境内依法设立，依据国务院批准的中小企业划分标准确定的中型企业、小型企业和微型企业，但与大企业的负责人为同一人，或者与大企业存在直接控股、管理关系的除外。符合中小企业划分标准的个体工商户，在政府采购活动中视同中小企业。在政府采购活动中，供应商提供的货物、工程或者服务符合下列情形的，享受本磋商文件规定的中小企业扶持政策：</w:t>
      </w:r>
    </w:p>
    <w:p w14:paraId="6E73A481">
      <w:pPr>
        <w:pStyle w:val="28"/>
        <w:spacing w:line="480" w:lineRule="exact"/>
        <w:ind w:firstLine="420"/>
        <w:contextualSpacing/>
        <w:rPr>
          <w:rFonts w:hAnsi="宋体"/>
          <w:sz w:val="21"/>
          <w:highlight w:val="none"/>
        </w:rPr>
      </w:pPr>
      <w:r>
        <w:rPr>
          <w:rFonts w:hint="eastAsia" w:hAnsi="宋体"/>
          <w:sz w:val="21"/>
          <w:highlight w:val="none"/>
        </w:rPr>
        <w:t>（1）在货物采购项目中，货物由中小企业制造，即货物由中小企业生产且使用该中小企业商号或者注册商标，不对其中涉及的工程承建商和服务的承接商作出要求；</w:t>
      </w:r>
    </w:p>
    <w:p w14:paraId="6D07F510">
      <w:pPr>
        <w:pStyle w:val="28"/>
        <w:spacing w:line="480" w:lineRule="exact"/>
        <w:ind w:firstLine="420"/>
        <w:contextualSpacing/>
        <w:rPr>
          <w:rFonts w:hAnsi="宋体"/>
          <w:sz w:val="21"/>
          <w:highlight w:val="none"/>
        </w:rPr>
      </w:pPr>
      <w:r>
        <w:rPr>
          <w:rFonts w:hint="eastAsia" w:hAnsi="宋体"/>
          <w:sz w:val="21"/>
          <w:highlight w:val="none"/>
        </w:rPr>
        <w:t>（2）在工程采购项目中，工程由中小企业承建，即工程施工单位为中小企业，不对其中涉及的货物的制造商和服务的承接商作出要求；</w:t>
      </w:r>
    </w:p>
    <w:p w14:paraId="6ABE5196">
      <w:pPr>
        <w:pStyle w:val="28"/>
        <w:spacing w:line="480" w:lineRule="exact"/>
        <w:ind w:firstLine="420"/>
        <w:contextualSpacing/>
        <w:rPr>
          <w:rFonts w:hAnsi="宋体"/>
          <w:sz w:val="21"/>
          <w:highlight w:val="none"/>
        </w:rPr>
      </w:pPr>
      <w:r>
        <w:rPr>
          <w:rFonts w:hint="eastAsia" w:hAnsi="宋体"/>
          <w:sz w:val="21"/>
          <w:highlight w:val="none"/>
        </w:rPr>
        <w:t>（3）在服务采购项目中，服务由中小企业承接，即提供服务的人员为中小企业依照《中华人民共和国劳动合同法》订立劳动合同的从业人员，不对其中涉及的货物的制造商和工程承建商作出要求。</w:t>
      </w:r>
    </w:p>
    <w:p w14:paraId="1C10D498">
      <w:pPr>
        <w:pStyle w:val="28"/>
        <w:spacing w:line="480" w:lineRule="exact"/>
        <w:ind w:firstLine="420"/>
        <w:rPr>
          <w:rFonts w:hint="eastAsia" w:hAnsi="宋体" w:cs="宋体"/>
          <w:sz w:val="21"/>
          <w:highlight w:val="none"/>
        </w:rPr>
      </w:pPr>
      <w:r>
        <w:rPr>
          <w:rFonts w:hint="eastAsia" w:hAnsi="宋体" w:cs="宋体"/>
          <w:sz w:val="21"/>
          <w:highlight w:val="none"/>
        </w:rPr>
        <w:t>在货物采购项目中，供应商提供的货物既有中小企业制造货物，也有大型企业制造货物的，不享受本磋商文件规定的中小企业扶持政策。以联合体形式参加政府采购活动，联合体各方均为中小企业的，联合体视同中小企业。其中，联合体各方均为小微企业的，联合体视同小微企业。</w:t>
      </w:r>
    </w:p>
    <w:p w14:paraId="69C6CB30">
      <w:pPr>
        <w:pStyle w:val="28"/>
        <w:spacing w:line="480" w:lineRule="exact"/>
        <w:ind w:firstLine="420"/>
        <w:rPr>
          <w:rFonts w:hint="eastAsia" w:hAnsi="宋体" w:cs="宋体"/>
          <w:sz w:val="21"/>
          <w:highlight w:val="none"/>
        </w:rPr>
      </w:pPr>
      <w:r>
        <w:rPr>
          <w:rFonts w:hint="eastAsia" w:hAnsi="宋体" w:cs="宋体"/>
          <w:sz w:val="21"/>
          <w:highlight w:val="none"/>
        </w:rPr>
        <w:t>依据本文件规定享受扶持政策获得政府采购合同的，小微企业不得将合同分包给大中型企业，中型企业不得将合同分包给大型企业。</w:t>
      </w:r>
    </w:p>
    <w:p w14:paraId="1D6A41CB">
      <w:pPr>
        <w:pStyle w:val="28"/>
        <w:spacing w:line="360" w:lineRule="auto"/>
        <w:ind w:firstLine="402"/>
        <w:rPr>
          <w:rFonts w:hint="eastAsia" w:hAnsi="宋体" w:cs="宋体"/>
          <w:highlight w:val="none"/>
        </w:rPr>
      </w:pPr>
      <w:r>
        <w:rPr>
          <w:rFonts w:hint="eastAsia" w:hAnsi="宋体" w:cs="宋体"/>
          <w:b/>
          <w:highlight w:val="none"/>
        </w:rPr>
        <w:br w:type="page" w:clear="all"/>
      </w:r>
    </w:p>
    <w:p w14:paraId="60D48CA3">
      <w:pPr>
        <w:pStyle w:val="3"/>
        <w:spacing w:before="0" w:after="0" w:line="360" w:lineRule="auto"/>
        <w:jc w:val="center"/>
        <w:rPr>
          <w:rFonts w:hint="eastAsia" w:ascii="宋体" w:hAnsi="宋体" w:cs="宋体"/>
          <w:highlight w:val="none"/>
        </w:rPr>
      </w:pPr>
      <w:bookmarkStart w:id="70" w:name="_Toc2955"/>
      <w:bookmarkStart w:id="71" w:name="_Toc120174200"/>
      <w:bookmarkStart w:id="72" w:name="_第四章  评审程序、评审方法和评审标准"/>
      <w:bookmarkStart w:id="73" w:name="_Toc8477"/>
      <w:r>
        <w:rPr>
          <w:rFonts w:hint="eastAsia" w:ascii="宋体" w:hAnsi="宋体" w:cs="宋体"/>
          <w:highlight w:val="none"/>
        </w:rPr>
        <w:t>第四章</w:t>
      </w:r>
      <w:r>
        <w:rPr>
          <w:rFonts w:hint="eastAsia" w:ascii="宋体" w:hAnsi="宋体" w:cs="宋体"/>
          <w:highlight w:val="none"/>
          <w:lang w:val="en-US" w:eastAsia="zh-CN"/>
        </w:rPr>
        <w:t xml:space="preserve">  </w:t>
      </w:r>
      <w:r>
        <w:rPr>
          <w:rFonts w:hint="eastAsia" w:ascii="宋体" w:hAnsi="宋体" w:cs="宋体"/>
          <w:highlight w:val="none"/>
        </w:rPr>
        <w:t>评审程序、评审方法和评审标准</w:t>
      </w:r>
      <w:bookmarkEnd w:id="70"/>
      <w:bookmarkEnd w:id="71"/>
      <w:bookmarkEnd w:id="72"/>
      <w:bookmarkEnd w:id="73"/>
    </w:p>
    <w:p w14:paraId="007725F7">
      <w:pPr>
        <w:pStyle w:val="4"/>
        <w:spacing w:before="0" w:after="0" w:line="360" w:lineRule="auto"/>
        <w:jc w:val="center"/>
        <w:rPr>
          <w:rFonts w:hint="eastAsia" w:ascii="宋体" w:hAnsi="宋体" w:cs="宋体"/>
          <w:b w:val="0"/>
          <w:highlight w:val="none"/>
        </w:rPr>
      </w:pPr>
      <w:bookmarkStart w:id="74" w:name="_Toc120174201"/>
      <w:bookmarkStart w:id="75" w:name="_Toc243"/>
      <w:bookmarkStart w:id="76" w:name="_Toc15339"/>
      <w:r>
        <w:rPr>
          <w:rFonts w:hint="eastAsia" w:ascii="宋体" w:hAnsi="宋体" w:cs="宋体"/>
          <w:b w:val="0"/>
          <w:highlight w:val="none"/>
        </w:rPr>
        <w:t>第一节 评审程序和评审方法</w:t>
      </w:r>
      <w:bookmarkEnd w:id="74"/>
      <w:bookmarkEnd w:id="75"/>
      <w:bookmarkEnd w:id="76"/>
    </w:p>
    <w:p w14:paraId="44726122">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1.确认磋商文件</w:t>
      </w:r>
    </w:p>
    <w:p w14:paraId="42FAAA16">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由磋商小组确认磋商文件。</w:t>
      </w:r>
    </w:p>
    <w:p w14:paraId="5A5FDD5D">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2.资格审查</w:t>
      </w:r>
    </w:p>
    <w:p w14:paraId="23E771D3">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2.1响应文件开启后，磋商小组依法对供应商的资格证明文件进行审查。</w:t>
      </w:r>
    </w:p>
    <w:p w14:paraId="2D81679B">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注：采购人代表或者采购代理机构在资格审查结束前，对供应商进行信用查询。</w:t>
      </w:r>
    </w:p>
    <w:p w14:paraId="546BCB0F">
      <w:pPr>
        <w:keepNext w:val="0"/>
        <w:keepLines w:val="0"/>
        <w:pageBreakBefore w:val="0"/>
        <w:bidi w:val="0"/>
        <w:spacing w:line="360" w:lineRule="auto"/>
        <w:ind w:firstLine="42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（1）查询渠道：广西政府采购云平台“信用中国”网站(</w:t>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"http://www.creditchina.gov.cn" </w:instrText>
      </w:r>
      <w:r>
        <w:rPr>
          <w:rFonts w:hint="eastAsia" w:asciiTheme="minorEastAsia" w:hAnsiTheme="minorEastAsia" w:eastAsiaTheme="minorEastAsia" w:cstheme="minorEastAsia"/>
          <w:sz w:val="21"/>
          <w:szCs w:val="21"/>
          <w:highlight w:val="none"/>
        </w:rPr>
        <w:fldChar w:fldCharType="separate"/>
      </w:r>
      <w:r>
        <w:rPr>
          <w:rStyle w:val="67"/>
          <w:rFonts w:hint="eastAsia" w:asciiTheme="minorEastAsia" w:hAnsiTheme="minorEastAsia" w:eastAsiaTheme="minorEastAsia" w:cstheme="minorEastAsia"/>
          <w:color w:val="auto"/>
          <w:sz w:val="21"/>
          <w:szCs w:val="21"/>
          <w:highlight w:val="none"/>
        </w:rPr>
        <w:t>www.creditchina.gov.cn</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sz w:val="21"/>
          <w:szCs w:val="21"/>
          <w:highlight w:val="none"/>
        </w:rPr>
        <w:t>)、中国政府采购网(</w:t>
      </w:r>
      <w:r>
        <w:rPr>
          <w:rFonts w:hint="eastAsia" w:asciiTheme="minorEastAsia" w:hAnsiTheme="minorEastAsia" w:eastAsiaTheme="minorEastAsia" w:cstheme="minorEastAsia"/>
          <w:sz w:val="21"/>
          <w:szCs w:val="21"/>
          <w:highlight w:val="none"/>
        </w:rPr>
        <w:fldChar w:fldCharType="begin"/>
      </w:r>
      <w:r>
        <w:rPr>
          <w:rFonts w:hint="eastAsia" w:asciiTheme="minorEastAsia" w:hAnsiTheme="minorEastAsia" w:eastAsiaTheme="minorEastAsia" w:cstheme="minorEastAsia"/>
          <w:sz w:val="21"/>
          <w:szCs w:val="21"/>
          <w:highlight w:val="none"/>
        </w:rPr>
        <w:instrText xml:space="preserve"> HYPERLINK "http://www.ccgp.gov.cn" </w:instrText>
      </w:r>
      <w:r>
        <w:rPr>
          <w:rFonts w:hint="eastAsia" w:asciiTheme="minorEastAsia" w:hAnsiTheme="minorEastAsia" w:eastAsiaTheme="minorEastAsia" w:cstheme="minorEastAsia"/>
          <w:sz w:val="21"/>
          <w:szCs w:val="21"/>
          <w:highlight w:val="none"/>
        </w:rPr>
        <w:fldChar w:fldCharType="separate"/>
      </w:r>
      <w:r>
        <w:rPr>
          <w:rStyle w:val="67"/>
          <w:rFonts w:hint="eastAsia" w:asciiTheme="minorEastAsia" w:hAnsiTheme="minorEastAsia" w:eastAsiaTheme="minorEastAsia" w:cstheme="minorEastAsia"/>
          <w:color w:val="auto"/>
          <w:sz w:val="21"/>
          <w:szCs w:val="21"/>
          <w:highlight w:val="none"/>
        </w:rPr>
        <w:t>www.ccgp.gov.cn</w:t>
      </w:r>
      <w:r>
        <w:rPr>
          <w:rFonts w:hint="eastAsia" w:asciiTheme="minorEastAsia" w:hAnsiTheme="minorEastAsia" w:eastAsiaTheme="minorEastAsia" w:cstheme="minorEastAsia"/>
          <w:color w:val="auto"/>
          <w:sz w:val="21"/>
          <w:szCs w:val="21"/>
          <w:highlight w:val="none"/>
        </w:rPr>
        <w:fldChar w:fldCharType="end"/>
      </w:r>
      <w:r>
        <w:rPr>
          <w:rFonts w:hint="eastAsia" w:asciiTheme="minorEastAsia" w:hAnsiTheme="minorEastAsia" w:eastAsiaTheme="minorEastAsia" w:cstheme="minorEastAsia"/>
          <w:sz w:val="21"/>
          <w:szCs w:val="21"/>
          <w:highlight w:val="none"/>
        </w:rPr>
        <w:t>)链接入口。</w:t>
      </w:r>
    </w:p>
    <w:p w14:paraId="35F70E1F">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（2）信用查询截止时点：资格审查结束前。</w:t>
      </w:r>
    </w:p>
    <w:p w14:paraId="19BD81C1">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查询记录和证据留存方式：在查询网站中直接打印查询记录，截图另存为电子文档作为评审资料保存。</w:t>
      </w:r>
    </w:p>
    <w:p w14:paraId="36A9787A">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（3）信用信息使用规则：对在“信用中国”网站(www.creditchina.gov.cn) 、中国政府采购网(www.ccgp.gov.cn)被列入失信被执行人、重大税收违法失信主体、政府采购严重违法失信行为记录名单及其他不符合《中华人民共和国政府采购法》第二十二条规定条件的供应商，资格审查不通过，不得参与政府采购活动。两个以上的自然人、法人或者其他组织组成一个联合体，以一个供应商的身份共同参加政府采购活动的，应当对所有联合体成员进行信用记录查询，联合体成员存在不良信用记录的，视同联合体存在不良信用记录。</w:t>
      </w:r>
    </w:p>
    <w:p w14:paraId="3678C732">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2.2资格审查标准为本磋商文件中载明对供应商资格要求的条件。资格审查采用合格制，凡符合磋商文件规定的供应商资格要求的响应文件均通过资格审查。</w:t>
      </w:r>
    </w:p>
    <w:p w14:paraId="731FE381">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2.3供应商有下列情形之一的，资格审查不通过，其响应文件按无效响应处理：</w:t>
      </w:r>
    </w:p>
    <w:p w14:paraId="67A0A80F">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（1）不具备磋商文件中规定的资格要求的；</w:t>
      </w:r>
    </w:p>
    <w:p w14:paraId="21D3521C">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（2）响应文件未提供任一项“供应商须知前附表”资格证明文件规定的“必须提供”的文件资料的；</w:t>
      </w:r>
    </w:p>
    <w:p w14:paraId="5745431D">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（3）响应文件提供的资格证明文件出现任一项不符合“供应商须知前附表”资格证明文件规定的“必须提供”的文件资料要求或者无效的。</w:t>
      </w:r>
    </w:p>
    <w:p w14:paraId="3F86121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（4）同一合同项下的不同供应商，单位负责人为同一人或者存在直接控股、管理关系的；为本项目提供过整体设计、规范编制或者项目管理、监理、检测等服务的。</w:t>
      </w:r>
    </w:p>
    <w:p w14:paraId="6B964D3B">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2.4通过资格审查的合格供应商不足3家的，不得进入符合性审查环节，采购人或者采购代理机构应当重新开展采购活动。</w:t>
      </w:r>
    </w:p>
    <w:p w14:paraId="280B8F1A">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3.符合性审查</w:t>
      </w:r>
    </w:p>
    <w:p w14:paraId="1D9754E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3.1由磋商小组对通过资格审查的合格供应商的响应文件的响应报价、商务、技术等实质性要求进行符合性审查，以确定其是否满足磋商文件的实质性要求。</w:t>
      </w:r>
    </w:p>
    <w:p w14:paraId="0A325974">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3.2磋商小组在对响应文件进行符合性审查时，可以要求供应商对响应文件中含义不明确、同类问题表述不一致或者有明显文字和计算错误的内容等作出必要的澄清、说明或者更正。供应商的澄清、说明或者更正不得超出响应文件的范围或者改变响应文件的实质性内容。</w:t>
      </w:r>
    </w:p>
    <w:p w14:paraId="4B6DD6F2">
      <w:pPr>
        <w:keepNext w:val="0"/>
        <w:keepLines w:val="0"/>
        <w:pageBreakBefore w:val="0"/>
        <w:bidi w:val="0"/>
        <w:spacing w:line="360" w:lineRule="auto"/>
        <w:ind w:firstLine="420"/>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z w:val="21"/>
          <w:szCs w:val="21"/>
          <w:highlight w:val="none"/>
        </w:rPr>
        <w:t>3.3磋商小组要求供应商澄清、说明或者更正响应文件应当以电子澄清函形式作出。供应商的澄清、说明或者更正应当以电子回函形式按照磋商小组的要求作出明确的澄清、说明或者更正，未按磋商小组的要求作出明确澄清、说明或者更正的供应商的响应文件将按照有利于采购人的原则由磋商小组进行判定。供应商的澄清、说明或者更正必须加盖电子公章</w:t>
      </w:r>
      <w:r>
        <w:rPr>
          <w:rFonts w:hint="eastAsia" w:asciiTheme="minorEastAsia" w:hAnsiTheme="minorEastAsia" w:eastAsiaTheme="minorEastAsia" w:cstheme="minorEastAsia"/>
          <w:spacing w:val="-6"/>
          <w:sz w:val="21"/>
          <w:szCs w:val="21"/>
          <w:highlight w:val="none"/>
        </w:rPr>
        <w:t>。供应商为自然人的，必须由本人签字并附身份证明。</w:t>
      </w:r>
    </w:p>
    <w:p w14:paraId="6E59D58F">
      <w:pPr>
        <w:keepNext w:val="0"/>
        <w:keepLines w:val="0"/>
        <w:pageBreakBefore w:val="0"/>
        <w:bidi w:val="0"/>
        <w:spacing w:line="360" w:lineRule="auto"/>
        <w:ind w:firstLine="396"/>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6"/>
          <w:sz w:val="21"/>
          <w:szCs w:val="21"/>
          <w:highlight w:val="none"/>
        </w:rPr>
        <w:t>3.4</w:t>
      </w:r>
      <w:r>
        <w:rPr>
          <w:rFonts w:hint="eastAsia" w:asciiTheme="minorEastAsia" w:hAnsiTheme="minorEastAsia" w:eastAsiaTheme="minorEastAsia" w:cstheme="minorEastAsia"/>
          <w:sz w:val="21"/>
          <w:szCs w:val="21"/>
          <w:highlight w:val="none"/>
        </w:rPr>
        <w:t xml:space="preserve">首次响应文件报价出现前后不一致的，按照下列规定修正： </w:t>
      </w:r>
    </w:p>
    <w:p w14:paraId="7BBCD55D">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（1）响应文件中报价表内容与响应文件中相应内容不一致的，以报价表为准；</w:t>
      </w:r>
    </w:p>
    <w:p w14:paraId="380F1A0A">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（2）大写金额和小写金额不一致的，以大写金额为准；</w:t>
      </w:r>
    </w:p>
    <w:p w14:paraId="00715900">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（3）单价金额小数点或者百分比有明显错位的，以报价表的总价为准，并修改单价；</w:t>
      </w:r>
    </w:p>
    <w:p w14:paraId="41131DAA">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（4）总价金额与按单价汇总金额不一致的，以单价金额计算结果为准。</w:t>
      </w:r>
    </w:p>
    <w:p w14:paraId="0ACD4066">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同时出现两种以上不一致的，按照以上（1）-（4）规定的顺序逐条进行修正。修正后的报价经供应商确认后产生约束力，供应商不确认的，其响应文件按无效响应处理。</w:t>
      </w:r>
    </w:p>
    <w:p w14:paraId="25F33E2C">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3.5商务技术、报价评审</w:t>
      </w:r>
    </w:p>
    <w:p w14:paraId="4EFB0718">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在评审时，如发现下列情形之一的，将被视为响应文件无效处理：</w:t>
      </w:r>
    </w:p>
    <w:p w14:paraId="382910A7">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（1）商务技术评审</w:t>
      </w:r>
    </w:p>
    <w:p w14:paraId="03A3D8F8">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1）响应文件未按磋商文件要求签署、盖章；</w:t>
      </w:r>
    </w:p>
    <w:p w14:paraId="7D20FD29">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 xml:space="preserve">2）委托代理人未能出具有效身份证明或者出具的身份证明与授权委托书中的信息不符； </w:t>
      </w:r>
    </w:p>
    <w:p w14:paraId="135FBC48">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3）响应文件未提供任一项“供应商须知前附表” 商务技术文件中 “必须提供”或者“委托时必须提供”的文件资料；响应文件提供的商务技术文件出现任一项不符合“供应商须知前附表”商务技术文件中 “必须提供”或者“委托时必须提供”文件资料要求的规定或者提供的商务技术文件无效。</w:t>
      </w:r>
    </w:p>
    <w:p w14:paraId="56C8D4B9">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4）商务条款中标“▲”的条款发生负偏离的或者允许负偏离的条款数超过“供应商须知前附表”规定项数的或者标明实质性的要求发生负偏离；</w:t>
      </w:r>
    </w:p>
    <w:p w14:paraId="498E7F95">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5）未对竞标有效期作出响应或者响应文件承诺的竞标有效期不满足磋商文件要求；</w:t>
      </w:r>
    </w:p>
    <w:p w14:paraId="06E68359">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6）响应文件的实质性内容未使用中文表述、使用计量单位不符合磋商文件要求；</w:t>
      </w:r>
    </w:p>
    <w:p w14:paraId="4CCF3038">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7）响应文件中的文件资料因填写不齐全或者内容虚假或者出现其他情形而导致被磋商小组认定无效；</w:t>
      </w:r>
    </w:p>
    <w:p w14:paraId="45329915">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8）响应文件含有采购人不能接受的附加条件；</w:t>
      </w:r>
    </w:p>
    <w:p w14:paraId="30DB6859">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9）属于“供应商须知正文”第7.5条情形；</w:t>
      </w:r>
    </w:p>
    <w:p w14:paraId="2C63D432">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10）技术需求允许负偏离的条款数超过“供应商须知前附表”规定项数；</w:t>
      </w:r>
    </w:p>
    <w:p w14:paraId="413CE1E9">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11）虚假竞标，或者出现其他情形而导致被磋商小组认定无效；</w:t>
      </w:r>
    </w:p>
    <w:p w14:paraId="70CC1934">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12）竞标技术方案不明确，磋商文件未允许但响应文件中存在一个或者一个以上备选（替代）竞标方案；</w:t>
      </w:r>
    </w:p>
    <w:p w14:paraId="518CE267">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13）响应文件标注的项目名称或者项目编号与竞争性磋商文件标注的项目名称或者项目编号不一致的；</w:t>
      </w:r>
    </w:p>
    <w:p w14:paraId="44F1F5DC">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14）未响应磋商文件实质性要求；</w:t>
      </w:r>
    </w:p>
    <w:p w14:paraId="34E9D8AD">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15）法律、法规和磋商文件规定的其他无效情形。</w:t>
      </w:r>
    </w:p>
    <w:p w14:paraId="031F6169">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（2）报价评审</w:t>
      </w:r>
    </w:p>
    <w:p w14:paraId="3BCE2E67">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1）响应文件未提供“供应商须知前附表” 报价文件中规定的“响应报价表”；</w:t>
      </w:r>
    </w:p>
    <w:p w14:paraId="3F903766">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2）未采用人民币报价或者未按照磋商文件标明的币种报价；</w:t>
      </w:r>
    </w:p>
    <w:p w14:paraId="4ED96F93">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3）供应商未就所竞标分标进行报价或者存在漏项报价；供应商未就所竞标分标的单项内容作唯一报价；供应商未就所竞标分标的全部内容作唯一总价报价；供应商响应文件中存在有选择、有条件报价的（磋商文件允许有备选方案或者其他约定的除外）；</w:t>
      </w:r>
    </w:p>
    <w:p w14:paraId="5CA7107D">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4）响应报价（包含首次报价、最后报价）超过所竞标分标规定的采购预算金额或者最高限价的（如本项目公布了最高限价）；响应报价（包含首次报价、最后报价）超过磋商文件分项采购预算金额或者最高限价的（如本项目公布了最高限价）；</w:t>
      </w:r>
    </w:p>
    <w:p w14:paraId="7BCCA222">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5）修正后的报价，供应商不确认的；或者经供应商确认修正后的响应报价（包含首次报价、最后报价）超过所竞标分标规定的采购预算金额或者最高限价（如本项目公布了最高限价）；或者经供应商确认修正后响应报价（包含首次报价、最后报价）超过磋商文件分项采购预算金额或者最高限价的（如本项目公布了最高限价）。</w:t>
      </w:r>
    </w:p>
    <w:p w14:paraId="2101A637">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6）在单价合同工程中供应商采用总价优惠或以总价百分比优惠的方式进行竞标报价的；</w:t>
      </w:r>
    </w:p>
    <w:p w14:paraId="175E70C9">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7）竞标总报价与已标价工程量清单汇总表不一致的；</w:t>
      </w:r>
    </w:p>
    <w:p w14:paraId="301D4A2E">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8）安全文明施工费和规费、增值税不按广西区费用定额及造价管理相关文件规定报价的（园林绿化及仿古建筑工程除外）；（适用于房屋建筑和市政工程项目）</w:t>
      </w:r>
    </w:p>
    <w:p w14:paraId="14D0490C">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 xml:space="preserve">9）供应商已标价工程量清单的项目编码（12位）、计量单位、工程量任何一处与工程量清单不一致的； </w:t>
      </w:r>
    </w:p>
    <w:p w14:paraId="12D3F6AA">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10）供应商已标价工程量清单的项目名称或项目特征与工程量清单不一致，评标委员会要求澄清、说明或补正，但供应商拒绝澄清、说明或补正的；（适用于房屋建筑和市政工程项目）</w:t>
      </w:r>
    </w:p>
    <w:p w14:paraId="4186938C">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11）设有暂估价、暂列金额的，竞标时未按工程量清单给出的暂估价总价、暂列金额总价计入竞标总报价中的；</w:t>
      </w:r>
    </w:p>
    <w:p w14:paraId="76C0CEC2">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12）供应商对工程量清单内容进行增减或对竞标范围进行调整的；</w:t>
      </w:r>
    </w:p>
    <w:p w14:paraId="02D5F63C">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13）响应文件响应的标的数量及单位与竞争性磋商采购文件要求实质性不一致的；</w:t>
      </w:r>
    </w:p>
    <w:p w14:paraId="0C61A168">
      <w:pPr>
        <w:keepNext w:val="0"/>
        <w:keepLines w:val="0"/>
        <w:pageBreakBefore w:val="0"/>
        <w:bidi w:val="0"/>
        <w:spacing w:line="360" w:lineRule="auto"/>
        <w:ind w:firstLine="422"/>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b/>
          <w:sz w:val="21"/>
          <w:szCs w:val="21"/>
          <w:highlight w:val="none"/>
        </w:rPr>
        <w:t>14）未响应磋商文件实质性要求的。</w:t>
      </w:r>
    </w:p>
    <w:p w14:paraId="0FE5AC1A">
      <w:pPr>
        <w:spacing w:line="360" w:lineRule="auto"/>
        <w:ind w:firstLine="482"/>
        <w:rPr>
          <w:rFonts w:hint="eastAsia" w:ascii="宋体" w:hAnsi="宋体" w:cs="宋体"/>
          <w:b/>
          <w:bCs w:val="0"/>
          <w:color w:val="auto"/>
          <w:sz w:val="24"/>
          <w:szCs w:val="24"/>
          <w:highlight w:val="none"/>
          <w:lang w:eastAsia="zh-CN"/>
        </w:rPr>
      </w:pPr>
      <w:r>
        <w:rPr>
          <w:rFonts w:hint="eastAsia" w:asciiTheme="minorEastAsia" w:hAnsiTheme="minorEastAsia" w:eastAsiaTheme="minorEastAsia" w:cstheme="minorEastAsia"/>
          <w:b/>
          <w:bCs w:val="0"/>
          <w:sz w:val="24"/>
          <w:szCs w:val="24"/>
          <w:highlight w:val="none"/>
          <w:lang w:val="en-US" w:eastAsia="zh-CN"/>
        </w:rPr>
        <w:t>15）</w:t>
      </w:r>
      <w:r>
        <w:rPr>
          <w:rFonts w:hint="eastAsia" w:ascii="宋体" w:hAnsi="宋体" w:eastAsia="宋体" w:cs="宋体"/>
          <w:b/>
          <w:bCs w:val="0"/>
          <w:color w:val="auto"/>
          <w:sz w:val="24"/>
          <w:szCs w:val="24"/>
          <w:highlight w:val="none"/>
        </w:rPr>
        <w:t>异常低价审查</w:t>
      </w:r>
      <w:r>
        <w:rPr>
          <w:rFonts w:hint="eastAsia" w:ascii="宋体" w:hAnsi="宋体" w:cs="宋体"/>
          <w:b/>
          <w:bCs w:val="0"/>
          <w:color w:val="auto"/>
          <w:sz w:val="24"/>
          <w:szCs w:val="24"/>
          <w:highlight w:val="none"/>
          <w:lang w:eastAsia="zh-CN"/>
        </w:rPr>
        <w:t>：</w:t>
      </w:r>
    </w:p>
    <w:p w14:paraId="59EC6ED0">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依据规定《财政部关于推动解决政府采购异常低价问题的通知》（财库〔2026〕2号）规定，政府采购评审中出现以下异常低价情形，磋商小组应当启动异常低价投标审查程序：</w:t>
      </w:r>
    </w:p>
    <w:p w14:paraId="567EB860">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（1）磋商报价低于全部通过符合性审查供应商磋商报价平均值50％的；</w:t>
      </w:r>
    </w:p>
    <w:p w14:paraId="722E0DFE">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（2）磋商报价低于通过符合性审查的次低报价供应商磋商报价50％的；</w:t>
      </w:r>
    </w:p>
    <w:p w14:paraId="5DCBAC9C">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（3）响应报价低于采购项目最高限价45％的；</w:t>
      </w:r>
    </w:p>
    <w:p w14:paraId="18E04C68">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（4）磋商小组基于专业判断，认为供应商报价过低，有可能影响产品质量或者不能诚信履约的其他情形。相关法律法规对供应商报价有规定的，从其规定；</w:t>
      </w:r>
    </w:p>
    <w:p w14:paraId="50E042BE">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（5）相关法律法规对供应商报价有规定的，从其规定。</w:t>
      </w:r>
    </w:p>
    <w:p w14:paraId="7212B70A">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磋商小组启动异常低价响应审查后，属于前述第1项至第4项情形的，应当要求相关供应商在评审现场合理的时间内对响应价格作出解释，提供项目具体成本测算等与报价合理性相关的书面说明及必要的证明材料，包括但不限于原材料成本、人工成本、制造费用等，给予相关供应商的合理时间一般不少于30分钟。其中，属于第（3）项情形，供应商已随响应文件一并提交相关书面说明及必要的证明材料的，在评审现场可不再重复提交。</w:t>
      </w:r>
    </w:p>
    <w:p w14:paraId="71D3249F">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磋商小组依据专业经验，参考同类项目成交价格、类似产品市场价格水平、行业人工费用标准、国家有关部门指导行业协会发布的行业平均成本等情况，对报价合理性进行判断。响应供应商不能提供书面说明、证明材料，或者提供的书面说明、证明材料不能证明其报价合理性的，磋商小组应当将其作为无效响应处理。</w:t>
      </w:r>
    </w:p>
    <w:p w14:paraId="1E68B36E">
      <w:pPr>
        <w:shd w:val="clear" w:color="auto" w:fill="auto"/>
        <w:spacing w:line="360" w:lineRule="auto"/>
        <w:ind w:firstLine="482"/>
        <w:rPr>
          <w:rFonts w:hint="eastAsia" w:ascii="宋体" w:hAnsi="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评审组织：采购人、采购代理机构应当为磋商小组在评审现场及时获取同类项目中标(成交)价格、类似产品市场价格水平、行业人工费用标准、国家有关部门指导行业协会发布的行业平均成本等相关信息资料提供便利。磋商小组借助互联网等渠道查询相关信息的，应当严格遵守评审工作纪律，不得实施影响评审公正的行为。</w:t>
      </w:r>
    </w:p>
    <w:p w14:paraId="18956281">
      <w:pPr>
        <w:shd w:val="clear" w:color="auto" w:fill="auto"/>
        <w:spacing w:line="360" w:lineRule="auto"/>
        <w:ind w:firstLine="482"/>
        <w:rPr>
          <w:rFonts w:hint="default" w:ascii="宋体" w:hAnsi="宋体" w:eastAsia="宋体" w:cs="宋体"/>
          <w:b/>
          <w:bCs/>
          <w:color w:val="auto"/>
          <w:sz w:val="24"/>
          <w:szCs w:val="24"/>
          <w:highlight w:val="none"/>
          <w:lang w:val="en-US" w:eastAsia="zh-CN"/>
        </w:rPr>
      </w:pPr>
      <w:r>
        <w:rPr>
          <w:rFonts w:hint="eastAsia" w:ascii="宋体" w:hAnsi="宋体" w:cs="宋体"/>
          <w:b/>
          <w:bCs/>
          <w:color w:val="auto"/>
          <w:sz w:val="24"/>
          <w:szCs w:val="24"/>
          <w:highlight w:val="none"/>
          <w:lang w:val="en-US" w:eastAsia="zh-CN"/>
        </w:rPr>
        <w:t>记录及归档：异常低价投标审查的启动原因、审查意见和审查结果应当在评审报告中记录，并随供应商提供的相关书面说明及证明材料，以及磋商小组有关互联网浏览、查询历史一并归档。</w:t>
      </w:r>
    </w:p>
    <w:p w14:paraId="6249C2C2">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3.6磋商小组对响应文件进行评审，未实质性响应磋商文件的响应文件按无效处理，磋商小组应当将资格和符合性不通过的情况告知有关供应商。磋商小组从符合磋商文件规定的相应资格条件的供应商名单中确定不少于3家的供应商参加磋商。</w:t>
      </w:r>
    </w:p>
    <w:p w14:paraId="29D7FB3C">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3.7非政府购买服务项目，通过符合性审查的合格供应商不足3家的，不得进入磋商环节，采购人或者采购代理机构应当重新开展采购活动。政府购买服务项目，按《财政部关于政府采购竞争性磋商采购方式管理暂行办法有关问题的补充通知》（财库〔2015〕124号）规定，采购过程中通过符合性审查的供应商（社会资本）只有2家的，磋商采购活动可以继续进行。</w:t>
      </w:r>
    </w:p>
    <w:p w14:paraId="297414E8">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4.磋商程序</w:t>
      </w:r>
    </w:p>
    <w:p w14:paraId="58EA86E0">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4.1磋商小组按照“供应商须知前附表”确定的顺序，集中与单一供应商分别进行磋商，并给予所有参加磋商的供应商平等的磋商机会。符合磋商资格的供应商必须在接到磋商通知后规定时间内参加磋商，未在规定时间内参加磋商的视同放弃参加磋商权利，其响应文件按无效响应处理。</w:t>
      </w:r>
    </w:p>
    <w:p w14:paraId="4A0A219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4.2在磋商过程中，磋商小组可以根据磋商文件和磋商情况实质性变动采购需求中的技术、服务要求以及合同草案条款，但不得变动磋商文件中的其他内容。实质性变动的内容，须经采购人代表确认。可能实质性变动的内容为采购需求中的技术、服务要求以及合同草案条款。</w:t>
      </w:r>
    </w:p>
    <w:p w14:paraId="3F05C818">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4.3对磋商文件作出的实质性变动是磋商文件的有效组成部分，由磋商小组及时以电子澄清函形式同时通知所有参加磋商的供应商。</w:t>
      </w:r>
    </w:p>
    <w:p w14:paraId="26DED5F8">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4.4供应商必须按照磋商文件的变动情况和磋商小组的要求以回函的形式重新提交响应文件，并加盖电子公章。供应商为自然人的，必须由本人签字并附身份证明。参加磋商的供应商未在规定时间内重新提交响应文件的，视同退出磋商。</w:t>
      </w:r>
    </w:p>
    <w:p w14:paraId="229DEC2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4.5磋商中，</w:t>
      </w:r>
      <w:r>
        <w:rPr>
          <w:rFonts w:hint="eastAsia" w:asciiTheme="minorEastAsia" w:hAnsiTheme="minorEastAsia" w:eastAsiaTheme="minorEastAsia" w:cstheme="minorEastAsia"/>
          <w:spacing w:val="-6"/>
          <w:sz w:val="21"/>
          <w:szCs w:val="21"/>
          <w:highlight w:val="none"/>
        </w:rPr>
        <w:t>磋商的任何一方不得透露与磋商有关的其他供应商的技术资料、价格和其他信息。</w:t>
      </w:r>
    </w:p>
    <w:p w14:paraId="2CE5E773">
      <w:pPr>
        <w:keepNext w:val="0"/>
        <w:keepLines w:val="0"/>
        <w:pageBreakBefore w:val="0"/>
        <w:widowControl/>
        <w:tabs>
          <w:tab w:val="left" w:pos="540"/>
        </w:tabs>
        <w:bidi w:val="0"/>
        <w:spacing w:line="360" w:lineRule="auto"/>
        <w:ind w:firstLine="420"/>
        <w:jc w:val="left"/>
        <w:rPr>
          <w:rFonts w:hint="eastAsia" w:asciiTheme="minorEastAsia" w:hAnsiTheme="minorEastAsia" w:eastAsiaTheme="minorEastAsia" w:cstheme="minorEastAsia"/>
          <w:b/>
          <w:sz w:val="21"/>
          <w:szCs w:val="21"/>
          <w:highlight w:val="none"/>
        </w:rPr>
      </w:pPr>
      <w:r>
        <w:rPr>
          <w:rFonts w:hint="eastAsia" w:asciiTheme="minorEastAsia" w:hAnsiTheme="minorEastAsia" w:eastAsiaTheme="minorEastAsia" w:cstheme="minorEastAsia"/>
          <w:sz w:val="21"/>
          <w:szCs w:val="21"/>
          <w:highlight w:val="none"/>
        </w:rPr>
        <w:t>4.6磋商小组应对磋商过程和</w:t>
      </w:r>
      <w:bookmarkStart w:id="77" w:name="REVIEW_BM_1144"/>
      <w:r>
        <w:rPr>
          <w:rFonts w:hint="eastAsia" w:asciiTheme="minorEastAsia" w:hAnsiTheme="minorEastAsia" w:eastAsiaTheme="minorEastAsia" w:cstheme="minorEastAsia"/>
          <w:sz w:val="21"/>
          <w:szCs w:val="21"/>
          <w:highlight w:val="none"/>
        </w:rPr>
        <w:t>重要</w:t>
      </w:r>
      <w:bookmarkEnd w:id="77"/>
      <w:r>
        <w:rPr>
          <w:rFonts w:hint="eastAsia" w:asciiTheme="minorEastAsia" w:hAnsiTheme="minorEastAsia" w:eastAsiaTheme="minorEastAsia" w:cstheme="minorEastAsia"/>
          <w:sz w:val="21"/>
          <w:szCs w:val="21"/>
          <w:highlight w:val="none"/>
        </w:rPr>
        <w:t>磋商内容进行记录，作为评标报告一部分，磋商小组在记录上签字确认。</w:t>
      </w:r>
      <w:r>
        <w:rPr>
          <w:rFonts w:hint="eastAsia" w:asciiTheme="minorEastAsia" w:hAnsiTheme="minorEastAsia" w:eastAsiaTheme="minorEastAsia" w:cstheme="minorEastAsia"/>
          <w:b/>
          <w:sz w:val="21"/>
          <w:szCs w:val="21"/>
          <w:highlight w:val="none"/>
        </w:rPr>
        <w:t>主要内容包括：</w:t>
      </w:r>
    </w:p>
    <w:p w14:paraId="04AAF1DD">
      <w:pPr>
        <w:pStyle w:val="473"/>
        <w:keepNext w:val="0"/>
        <w:keepLines w:val="0"/>
        <w:pageBreakBefore w:val="0"/>
        <w:bidi w:val="0"/>
        <w:spacing w:before="0" w:line="360" w:lineRule="auto"/>
        <w:ind w:firstLine="396"/>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pacing w:val="-6"/>
          <w:sz w:val="21"/>
          <w:szCs w:val="21"/>
          <w:highlight w:val="none"/>
        </w:rPr>
        <w:t>（1）按照相关规定进行公示的，公示情况说明；</w:t>
      </w:r>
    </w:p>
    <w:p w14:paraId="118B776E">
      <w:pPr>
        <w:pStyle w:val="473"/>
        <w:keepNext w:val="0"/>
        <w:keepLines w:val="0"/>
        <w:pageBreakBefore w:val="0"/>
        <w:bidi w:val="0"/>
        <w:spacing w:before="0" w:line="360" w:lineRule="auto"/>
        <w:ind w:firstLine="396"/>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pacing w:val="-6"/>
          <w:sz w:val="21"/>
          <w:szCs w:val="21"/>
          <w:highlight w:val="none"/>
        </w:rPr>
        <w:t>（2）磋商日期和地点，磋商人员名单；</w:t>
      </w:r>
    </w:p>
    <w:p w14:paraId="2B47C31D">
      <w:pPr>
        <w:pStyle w:val="473"/>
        <w:keepNext w:val="0"/>
        <w:keepLines w:val="0"/>
        <w:pageBreakBefore w:val="0"/>
        <w:bidi w:val="0"/>
        <w:spacing w:before="0" w:line="360" w:lineRule="auto"/>
        <w:ind w:firstLine="396"/>
        <w:rPr>
          <w:rFonts w:hint="eastAsia" w:asciiTheme="minorEastAsia" w:hAnsiTheme="minorEastAsia" w:eastAsiaTheme="minorEastAsia" w:cstheme="minorEastAsia"/>
          <w:spacing w:val="-6"/>
          <w:sz w:val="21"/>
          <w:szCs w:val="21"/>
          <w:highlight w:val="none"/>
        </w:rPr>
      </w:pPr>
      <w:r>
        <w:rPr>
          <w:rFonts w:hint="eastAsia" w:asciiTheme="minorEastAsia" w:hAnsiTheme="minorEastAsia" w:eastAsiaTheme="minorEastAsia" w:cstheme="minorEastAsia"/>
          <w:spacing w:val="-6"/>
          <w:sz w:val="21"/>
          <w:szCs w:val="21"/>
          <w:highlight w:val="none"/>
        </w:rPr>
        <w:t>（3）合同主要条款及价格商定情况。</w:t>
      </w:r>
    </w:p>
    <w:p w14:paraId="72BD90F8">
      <w:pPr>
        <w:keepNext w:val="0"/>
        <w:keepLines w:val="0"/>
        <w:pageBreakBefore w:val="0"/>
        <w:widowControl/>
        <w:tabs>
          <w:tab w:val="left" w:pos="540"/>
        </w:tabs>
        <w:bidi w:val="0"/>
        <w:spacing w:line="360" w:lineRule="auto"/>
        <w:ind w:firstLine="420"/>
        <w:jc w:val="left"/>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4.7磋商过程中重新提交的响应文件，供应商可以在开启前补充、修改。</w:t>
      </w:r>
    </w:p>
    <w:p w14:paraId="64BD3F7B">
      <w:pPr>
        <w:keepNext w:val="0"/>
        <w:keepLines w:val="0"/>
        <w:pageBreakBefore w:val="0"/>
        <w:tabs>
          <w:tab w:val="left" w:pos="2835"/>
        </w:tabs>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4.8对磋商过程提交的响应文件进行有效性、完整性和响应程度审查，通过审查的合格供应商不足3家的，采购人或者采购代理机构应当重新开展采购活动。</w:t>
      </w:r>
    </w:p>
    <w:p w14:paraId="48B8BFDE">
      <w:pPr>
        <w:keepNext w:val="0"/>
        <w:keepLines w:val="0"/>
        <w:pageBreakBefore w:val="0"/>
        <w:bidi w:val="0"/>
        <w:spacing w:line="360" w:lineRule="auto"/>
        <w:ind w:firstLine="422"/>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b/>
          <w:bCs/>
          <w:sz w:val="21"/>
          <w:szCs w:val="21"/>
          <w:highlight w:val="none"/>
        </w:rPr>
        <w:t>5. 最后报价</w:t>
      </w:r>
    </w:p>
    <w:p w14:paraId="64515A88">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5.1磋商文件能够详细列明采购标的的技术、服务要求的，磋商结束后，由磋商小组要求所有继续参加磋商的供应商在规定时间内在“广西政府采购云平台”开标大厅提交加盖供应商电子签章的最后报价，除本章第5.3条外，提交最后报价的供应商不得少于3家，否则必须重新采购。</w:t>
      </w:r>
    </w:p>
    <w:p w14:paraId="329DA447">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5.2磋商文件不能详细列明采购标的的技术、服务要求，需经磋商由供应商提供最后设计方案或者解决方案的，磋商结束后，由磋商小组按照少数服从多数的原则投票推荐3家以上供应商的设计方案或者解决方案，并要求其在规定时间内在“广西政府采购云平台”开标大厅提交最后报价。</w:t>
      </w:r>
      <w:r>
        <w:rPr>
          <w:rFonts w:hint="eastAsia" w:asciiTheme="minorEastAsia" w:hAnsiTheme="minorEastAsia" w:eastAsiaTheme="minorEastAsia" w:cstheme="minorEastAsia"/>
          <w:b/>
          <w:sz w:val="21"/>
          <w:szCs w:val="21"/>
          <w:highlight w:val="none"/>
        </w:rPr>
        <w:t>如果供应商的最后报价与首次报价不一致的，不可只报竞标总报价，必须同时提供“已标价工程量清单”，否则做无效响应处理。</w:t>
      </w:r>
    </w:p>
    <w:p w14:paraId="2327E23A">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5.3 最后报价是供应商响应文件的有效组成部分。符合《政府采购竞争性磋商采购方式管理暂行办法》（财库〔2014〕214号）第三条第四项“市场竞争不充分的科研项目，以及需要扶持的科技成果转化项目”的，提交最后报价的供应商可以为2家。</w:t>
      </w:r>
    </w:p>
    <w:p w14:paraId="54C2D78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5.4已经提交响应文件的供应商，在提交最后报价之前，可以根据磋商情况退出磋商，退出磋商的供应商的响应文件按无效响应处理。</w:t>
      </w:r>
    </w:p>
    <w:p w14:paraId="15614B54">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5.5供应商未在规定时间内提交最后报价的，视同退出磋商。</w:t>
      </w:r>
    </w:p>
    <w:p w14:paraId="7881392B">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5.6磋商小组收齐某一分标最后报价后统一开启，磋商小组对最后报价进行有效性、完整性和响应程度的审查。</w:t>
      </w:r>
    </w:p>
    <w:p w14:paraId="26F0AB9D">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 xml:space="preserve">5.7最终响应文件的报价出现前后不一致的，按照本章第3.4条的规定修正。 </w:t>
      </w:r>
    </w:p>
    <w:p w14:paraId="7B7B4429">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5.8修正后的</w:t>
      </w:r>
      <w:bookmarkStart w:id="78" w:name="REVIEW_BM_1145"/>
      <w:r>
        <w:rPr>
          <w:rFonts w:hint="eastAsia" w:asciiTheme="minorEastAsia" w:hAnsiTheme="minorEastAsia" w:eastAsiaTheme="minorEastAsia" w:cstheme="minorEastAsia"/>
          <w:sz w:val="21"/>
          <w:szCs w:val="21"/>
          <w:highlight w:val="none"/>
        </w:rPr>
        <w:t>最终报价</w:t>
      </w:r>
      <w:bookmarkEnd w:id="78"/>
      <w:r>
        <w:rPr>
          <w:rFonts w:hint="eastAsia" w:asciiTheme="minorEastAsia" w:hAnsiTheme="minorEastAsia" w:eastAsiaTheme="minorEastAsia" w:cstheme="minorEastAsia"/>
          <w:sz w:val="21"/>
          <w:szCs w:val="21"/>
          <w:highlight w:val="none"/>
        </w:rPr>
        <w:t>出现下列情形的，按无效响应处理：</w:t>
      </w:r>
    </w:p>
    <w:p w14:paraId="36A20783">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（1）供应商不确认的（全流程电子化评标采取在线确认）；</w:t>
      </w:r>
    </w:p>
    <w:p w14:paraId="3F9A05FF">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（2）经供应商确认修正后的</w:t>
      </w:r>
      <w:bookmarkStart w:id="79" w:name="REVIEW_BM_1146"/>
      <w:r>
        <w:rPr>
          <w:rFonts w:hint="eastAsia" w:asciiTheme="minorEastAsia" w:hAnsiTheme="minorEastAsia" w:eastAsiaTheme="minorEastAsia" w:cstheme="minorEastAsia"/>
          <w:sz w:val="21"/>
          <w:szCs w:val="21"/>
          <w:highlight w:val="none"/>
        </w:rPr>
        <w:t>响应报价</w:t>
      </w:r>
      <w:bookmarkEnd w:id="79"/>
      <w:r>
        <w:rPr>
          <w:rFonts w:hint="eastAsia" w:asciiTheme="minorEastAsia" w:hAnsiTheme="minorEastAsia" w:eastAsiaTheme="minorEastAsia" w:cstheme="minorEastAsia"/>
          <w:sz w:val="21"/>
          <w:szCs w:val="21"/>
          <w:highlight w:val="none"/>
        </w:rPr>
        <w:t>（包含首次报价、最后报价）超过所竞标分标规定的采购预算金额或者最高限价的（如本项目公布了最高限价）；</w:t>
      </w:r>
    </w:p>
    <w:p w14:paraId="0E8A876C">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（3）经供应商确认修正后的</w:t>
      </w:r>
      <w:bookmarkStart w:id="80" w:name="REVIEW_BM_1147"/>
      <w:r>
        <w:rPr>
          <w:rFonts w:hint="eastAsia" w:asciiTheme="minorEastAsia" w:hAnsiTheme="minorEastAsia" w:eastAsiaTheme="minorEastAsia" w:cstheme="minorEastAsia"/>
          <w:sz w:val="21"/>
          <w:szCs w:val="21"/>
          <w:highlight w:val="none"/>
        </w:rPr>
        <w:t>响应报价</w:t>
      </w:r>
      <w:bookmarkEnd w:id="80"/>
      <w:r>
        <w:rPr>
          <w:rFonts w:hint="eastAsia" w:asciiTheme="minorEastAsia" w:hAnsiTheme="minorEastAsia" w:eastAsiaTheme="minorEastAsia" w:cstheme="minorEastAsia"/>
          <w:sz w:val="21"/>
          <w:szCs w:val="21"/>
          <w:highlight w:val="none"/>
        </w:rPr>
        <w:t>（包含首次报价、最后报价）超过分项采购预算金额或者最高限价的（如本项目公布了最高限价）。</w:t>
      </w:r>
    </w:p>
    <w:p w14:paraId="3A839A09">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5.9经供应商确认修正后的最后报价作为评审及签订合同的依据。</w:t>
      </w:r>
    </w:p>
    <w:p w14:paraId="53EBFEF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5.10供应商出现最后报价按无效响应处理或者响应文件按无效处理时，磋商小组应当告知有关供应商。</w:t>
      </w:r>
    </w:p>
    <w:p w14:paraId="7733F0D6">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5.11最后报价结束后，磋商小组不得再与供应商进行任何形式的商谈。</w:t>
      </w:r>
    </w:p>
    <w:p w14:paraId="4C4EF1CB">
      <w:pPr>
        <w:keepNext w:val="0"/>
        <w:keepLines w:val="0"/>
        <w:pageBreakBefore w:val="0"/>
        <w:bidi w:val="0"/>
        <w:spacing w:line="360" w:lineRule="auto"/>
        <w:ind w:firstLine="422"/>
        <w:rPr>
          <w:rFonts w:hint="eastAsia" w:asciiTheme="minorEastAsia" w:hAnsiTheme="minorEastAsia" w:eastAsiaTheme="minorEastAsia" w:cstheme="minorEastAsia"/>
          <w:b/>
          <w:bCs/>
          <w:sz w:val="21"/>
          <w:szCs w:val="21"/>
          <w:highlight w:val="none"/>
        </w:rPr>
      </w:pPr>
      <w:r>
        <w:rPr>
          <w:rFonts w:hint="eastAsia" w:asciiTheme="minorEastAsia" w:hAnsiTheme="minorEastAsia" w:eastAsiaTheme="minorEastAsia" w:cstheme="minorEastAsia"/>
          <w:b/>
          <w:bCs/>
          <w:sz w:val="21"/>
          <w:szCs w:val="21"/>
          <w:highlight w:val="none"/>
        </w:rPr>
        <w:t>6.比较与评价</w:t>
      </w:r>
    </w:p>
    <w:p w14:paraId="74700C51">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6.1评审方法：综合评分法。</w:t>
      </w:r>
    </w:p>
    <w:p w14:paraId="2C8714BB">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6.2经磋商确定最终采购需求和提交最后报价的供应商后，由磋商小组采用综合评分法对提交最后报价的供应商的响应文件和最后报价进行综合评分。</w:t>
      </w:r>
    </w:p>
    <w:p w14:paraId="3A29730D">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6.3评审时，磋商小组各成员应当独立对每个有效响应的文件进行评价、打分，然后汇总每个供应商每项评分因素的得分。</w:t>
      </w:r>
    </w:p>
    <w:p w14:paraId="348EF216">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评审委员会成员要根据政府采购法律法规和采购文件所载明的评审方法、标准进行评审。对供应商的价格分等客观评分项的评分应当一致，对其他需要借助专业知识评判的主观评分项，应当严格按照评分细则公正评分。</w:t>
      </w:r>
    </w:p>
    <w:p w14:paraId="59D831DB">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（2）磋商小组按照磋商文件中规定的评审标准计算各供应商的报价得分。项目评审过程中，不得去掉最后报价中的最高报价和最低报价。</w:t>
      </w:r>
    </w:p>
    <w:p w14:paraId="0EE5A2C8">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（3）各供应商的得分为磋商小组所有成员的有效评分的算术平均数。</w:t>
      </w:r>
    </w:p>
    <w:p w14:paraId="74D2A312">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6.4评审价为供应商的最后报价进行政策性扣除后的价格，评审价只是作为评审时使用。最终成交供应商的成交金额等于最后报价（如有修正，以确认修正后的最后报价为准）。</w:t>
      </w:r>
    </w:p>
    <w:p w14:paraId="4080443A">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6.5由磋商小组根据综合评分情况，按照评审得分由高到低顺序推荐3名以上成交候选供应商，并编写评审报告。符合本章第4.3条情形的，可以推荐2家成交候选供应商。评审得分相同的，按照最后报价由低到高的顺序推荐。评审得分且最后报价相同的，按照技术指标优劣顺序推荐。</w:t>
      </w:r>
    </w:p>
    <w:p w14:paraId="2F830DE5">
      <w:pPr>
        <w:keepNext w:val="0"/>
        <w:keepLines w:val="0"/>
        <w:pageBreakBefore w:val="0"/>
        <w:bidi w:val="0"/>
        <w:spacing w:line="360" w:lineRule="auto"/>
        <w:ind w:firstLine="420"/>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6.6评审报告应当由磋商小组全体人员签字认可。磋商小组成员对评审报告有异议的，磋商小组按照少数服从多数的原则推荐成交候选供应商，采购程序继续进行。对评审报告有异议的磋商小组成员，应当在报告上签署不同意见并说明理由，由磋商小组书面记录相关情况。磋商小组成员拒绝在报告上签字又不书面说明其不同意见和理由的，视为同意评审报告。</w:t>
      </w:r>
    </w:p>
    <w:p w14:paraId="71597542">
      <w:pPr>
        <w:pStyle w:val="4"/>
        <w:bidi w:val="0"/>
        <w:jc w:val="center"/>
        <w:rPr>
          <w:rFonts w:hint="eastAsia"/>
          <w:highlight w:val="none"/>
        </w:rPr>
      </w:pPr>
      <w:bookmarkStart w:id="81" w:name="_Toc17933"/>
      <w:r>
        <w:rPr>
          <w:rFonts w:hint="eastAsia"/>
          <w:highlight w:val="none"/>
          <w:lang w:val="en-US" w:eastAsia="zh-CN"/>
        </w:rPr>
        <w:t xml:space="preserve">第二节 </w:t>
      </w:r>
      <w:r>
        <w:rPr>
          <w:rFonts w:hint="eastAsia"/>
          <w:highlight w:val="none"/>
        </w:rPr>
        <w:t>评审标准</w:t>
      </w:r>
      <w:bookmarkEnd w:id="81"/>
      <w:r>
        <w:rPr>
          <w:highlight w:val="none"/>
        </w:rPr>
        <w:t>﻿</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780"/>
        <w:gridCol w:w="823"/>
        <w:gridCol w:w="1202"/>
        <w:gridCol w:w="5"/>
        <w:gridCol w:w="6066"/>
      </w:tblGrid>
      <w:tr w14:paraId="5C59AC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17" w:hRule="atLeast"/>
          <w:jc w:val="center"/>
        </w:trPr>
        <w:tc>
          <w:tcPr>
            <w:tcW w:w="780" w:type="dxa"/>
            <w:noWrap w:val="0"/>
            <w:vAlign w:val="center"/>
          </w:tcPr>
          <w:p w14:paraId="1F86A280">
            <w:pPr>
              <w:keepNext w:val="0"/>
              <w:keepLines w:val="0"/>
              <w:suppressLineNumbers w:val="0"/>
              <w:spacing w:before="0" w:beforeAutospacing="0" w:after="0" w:afterAutospacing="0" w:line="240" w:lineRule="auto"/>
              <w:ind w:left="0" w:right="0"/>
              <w:jc w:val="center"/>
              <w:rPr>
                <w:rFonts w:hint="default" w:ascii="宋体" w:hAnsi="宋体" w:cs="Tahoma"/>
                <w:b/>
                <w:bCs/>
                <w:szCs w:val="21"/>
                <w:highlight w:val="none"/>
              </w:rPr>
            </w:pPr>
            <w:r>
              <w:rPr>
                <w:rFonts w:hint="eastAsia" w:ascii="宋体" w:hAnsi="宋体" w:cs="Tahoma"/>
                <w:b/>
                <w:bCs/>
                <w:szCs w:val="21"/>
                <w:highlight w:val="none"/>
              </w:rPr>
              <w:t>序号</w:t>
            </w:r>
          </w:p>
        </w:tc>
        <w:tc>
          <w:tcPr>
            <w:tcW w:w="2025" w:type="dxa"/>
            <w:gridSpan w:val="2"/>
            <w:noWrap w:val="0"/>
            <w:vAlign w:val="center"/>
          </w:tcPr>
          <w:p w14:paraId="4240BC52">
            <w:pPr>
              <w:keepNext w:val="0"/>
              <w:keepLines w:val="0"/>
              <w:suppressLineNumbers w:val="0"/>
              <w:spacing w:before="0" w:beforeAutospacing="0" w:after="0" w:afterAutospacing="0" w:line="240" w:lineRule="auto"/>
              <w:ind w:left="0" w:right="0"/>
              <w:jc w:val="center"/>
              <w:rPr>
                <w:rFonts w:hint="default" w:ascii="宋体" w:hAnsi="宋体" w:cs="Tahoma"/>
                <w:b/>
                <w:bCs/>
                <w:szCs w:val="21"/>
                <w:highlight w:val="none"/>
              </w:rPr>
            </w:pPr>
            <w:r>
              <w:rPr>
                <w:rFonts w:hint="eastAsia" w:ascii="宋体" w:hAnsi="宋体" w:cs="Tahoma"/>
                <w:b/>
                <w:bCs/>
                <w:szCs w:val="21"/>
                <w:highlight w:val="none"/>
              </w:rPr>
              <w:t>评审因素</w:t>
            </w:r>
          </w:p>
        </w:tc>
        <w:tc>
          <w:tcPr>
            <w:tcW w:w="6071" w:type="dxa"/>
            <w:gridSpan w:val="2"/>
            <w:noWrap w:val="0"/>
            <w:vAlign w:val="center"/>
          </w:tcPr>
          <w:p w14:paraId="1433F3D6">
            <w:pPr>
              <w:keepNext w:val="0"/>
              <w:keepLines w:val="0"/>
              <w:suppressLineNumbers w:val="0"/>
              <w:spacing w:before="0" w:beforeAutospacing="0" w:after="0" w:afterAutospacing="0" w:line="240" w:lineRule="auto"/>
              <w:ind w:left="0" w:right="0"/>
              <w:jc w:val="center"/>
              <w:rPr>
                <w:rFonts w:hint="default" w:ascii="宋体" w:hAnsi="宋体" w:cs="Tahoma"/>
                <w:b/>
                <w:bCs/>
                <w:szCs w:val="21"/>
                <w:highlight w:val="none"/>
              </w:rPr>
            </w:pPr>
            <w:r>
              <w:rPr>
                <w:rFonts w:hint="eastAsia" w:ascii="宋体" w:hAnsi="宋体" w:cs="Tahoma"/>
                <w:b/>
                <w:bCs/>
                <w:szCs w:val="21"/>
                <w:highlight w:val="none"/>
              </w:rPr>
              <w:t>评分标准</w:t>
            </w:r>
          </w:p>
        </w:tc>
      </w:tr>
      <w:tr w14:paraId="7092EF8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059" w:hRule="atLeast"/>
          <w:jc w:val="center"/>
        </w:trPr>
        <w:tc>
          <w:tcPr>
            <w:tcW w:w="780" w:type="dxa"/>
            <w:noWrap w:val="0"/>
            <w:vAlign w:val="center"/>
          </w:tcPr>
          <w:p w14:paraId="45851B7B">
            <w:pPr>
              <w:keepNext w:val="0"/>
              <w:keepLines w:val="0"/>
              <w:suppressLineNumbers w:val="0"/>
              <w:spacing w:before="0" w:beforeAutospacing="0" w:after="0" w:afterAutospacing="0" w:line="360" w:lineRule="auto"/>
              <w:ind w:left="0" w:right="0"/>
              <w:jc w:val="center"/>
              <w:rPr>
                <w:rFonts w:hint="default" w:ascii="宋体" w:hAnsi="宋体" w:cs="Tahoma"/>
                <w:szCs w:val="21"/>
                <w:highlight w:val="none"/>
              </w:rPr>
            </w:pPr>
            <w:r>
              <w:rPr>
                <w:rFonts w:hint="eastAsia" w:ascii="宋体" w:hAnsi="宋体" w:cs="Tahoma"/>
                <w:szCs w:val="21"/>
                <w:highlight w:val="none"/>
              </w:rPr>
              <w:t>1</w:t>
            </w:r>
          </w:p>
        </w:tc>
        <w:tc>
          <w:tcPr>
            <w:tcW w:w="2025" w:type="dxa"/>
            <w:gridSpan w:val="2"/>
            <w:noWrap w:val="0"/>
            <w:vAlign w:val="center"/>
          </w:tcPr>
          <w:p w14:paraId="2ACBC8FE">
            <w:pPr>
              <w:keepNext w:val="0"/>
              <w:keepLines w:val="0"/>
              <w:suppressLineNumbers w:val="0"/>
              <w:spacing w:before="0" w:beforeAutospacing="0" w:after="0" w:afterAutospacing="0" w:line="276" w:lineRule="auto"/>
              <w:ind w:left="0" w:right="0"/>
              <w:jc w:val="center"/>
              <w:rPr>
                <w:rFonts w:hint="eastAsia" w:ascii="宋体" w:hAnsi="宋体" w:cs="Tahoma"/>
                <w:b/>
                <w:szCs w:val="21"/>
                <w:highlight w:val="none"/>
              </w:rPr>
            </w:pPr>
            <w:r>
              <w:rPr>
                <w:rFonts w:hint="eastAsia" w:ascii="宋体" w:hAnsi="宋体" w:cs="Tahoma"/>
                <w:b/>
                <w:szCs w:val="21"/>
                <w:highlight w:val="none"/>
              </w:rPr>
              <w:t>价格分</w:t>
            </w:r>
          </w:p>
          <w:p w14:paraId="7839F1A7">
            <w:pPr>
              <w:keepNext w:val="0"/>
              <w:keepLines w:val="0"/>
              <w:suppressLineNumbers w:val="0"/>
              <w:spacing w:before="0" w:beforeAutospacing="0" w:after="0" w:afterAutospacing="0" w:line="276" w:lineRule="auto"/>
              <w:ind w:left="0" w:right="0"/>
              <w:jc w:val="center"/>
              <w:rPr>
                <w:rFonts w:hint="default" w:ascii="宋体" w:hAnsi="宋体" w:cs="Tahoma"/>
                <w:szCs w:val="21"/>
                <w:highlight w:val="none"/>
              </w:rPr>
            </w:pPr>
            <w:r>
              <w:rPr>
                <w:rFonts w:hint="eastAsia" w:ascii="宋体" w:hAnsi="宋体" w:cs="Tahoma"/>
                <w:b/>
                <w:szCs w:val="21"/>
                <w:highlight w:val="none"/>
              </w:rPr>
              <w:t>（</w:t>
            </w:r>
            <w:r>
              <w:rPr>
                <w:rFonts w:hint="eastAsia" w:ascii="宋体" w:hAnsi="宋体" w:cs="Tahoma"/>
                <w:b/>
                <w:szCs w:val="21"/>
                <w:highlight w:val="none"/>
                <w:lang w:eastAsia="zh-CN"/>
              </w:rPr>
              <w:t>满分</w:t>
            </w:r>
            <w:r>
              <w:rPr>
                <w:rFonts w:hint="eastAsia" w:ascii="宋体" w:hAnsi="宋体" w:cs="Tahoma"/>
                <w:b/>
                <w:szCs w:val="21"/>
                <w:highlight w:val="none"/>
                <w:lang w:val="en-US" w:eastAsia="zh-CN"/>
              </w:rPr>
              <w:t>2</w:t>
            </w:r>
            <w:r>
              <w:rPr>
                <w:rFonts w:hint="eastAsia" w:ascii="宋体" w:hAnsi="宋体" w:cs="Tahoma"/>
                <w:b/>
                <w:szCs w:val="21"/>
                <w:highlight w:val="none"/>
              </w:rPr>
              <w:t>0分）</w:t>
            </w:r>
          </w:p>
        </w:tc>
        <w:tc>
          <w:tcPr>
            <w:tcW w:w="6071" w:type="dxa"/>
            <w:gridSpan w:val="2"/>
            <w:noWrap w:val="0"/>
            <w:vAlign w:val="center"/>
          </w:tcPr>
          <w:p w14:paraId="51D105B0">
            <w:pPr>
              <w:pStyle w:val="28"/>
              <w:keepNext w:val="0"/>
              <w:keepLines w:val="0"/>
              <w:numPr>
                <w:ilvl w:val="0"/>
                <w:numId w:val="0"/>
              </w:numPr>
              <w:suppressLineNumbers w:val="0"/>
              <w:spacing w:before="0" w:beforeAutospacing="0" w:after="0" w:afterAutospacing="0" w:line="360" w:lineRule="auto"/>
              <w:ind w:left="360" w:right="0" w:hanging="360"/>
              <w:rPr>
                <w:rFonts w:hint="eastAsia" w:asciiTheme="minorEastAsia" w:hAnsiTheme="minorEastAsia" w:eastAsiaTheme="minorEastAsia" w:cstheme="minorEastAsia"/>
                <w:sz w:val="21"/>
                <w:szCs w:val="20"/>
                <w:highlight w:val="none"/>
                <w:u w:val="none"/>
                <w:lang w:val="en-US" w:eastAsia="zh-CN" w:bidi="ar-SA"/>
              </w:rPr>
            </w:pPr>
            <w:r>
              <w:rPr>
                <w:rFonts w:hint="eastAsia" w:asciiTheme="minorEastAsia" w:hAnsiTheme="minorEastAsia" w:eastAsiaTheme="minorEastAsia" w:cstheme="minorEastAsia"/>
                <w:sz w:val="21"/>
                <w:szCs w:val="20"/>
                <w:highlight w:val="none"/>
                <w:u w:val="none"/>
                <w:lang w:val="en-US" w:eastAsia="zh-CN" w:bidi="ar-SA"/>
              </w:rPr>
              <w:t>1、政府采购政策扣除</w:t>
            </w:r>
          </w:p>
          <w:p w14:paraId="5950CB34">
            <w:pPr>
              <w:pStyle w:val="28"/>
              <w:keepNext w:val="0"/>
              <w:keepLines w:val="0"/>
              <w:numPr>
                <w:ilvl w:val="0"/>
                <w:numId w:val="0"/>
              </w:numPr>
              <w:suppressLineNumbers w:val="0"/>
              <w:spacing w:before="0" w:beforeAutospacing="0" w:after="0" w:afterAutospacing="0" w:line="360" w:lineRule="auto"/>
              <w:ind w:left="359" w:right="0" w:hanging="149"/>
              <w:rPr>
                <w:rFonts w:hint="eastAsia" w:asciiTheme="minorEastAsia" w:hAnsiTheme="minorEastAsia" w:eastAsiaTheme="minorEastAsia" w:cstheme="minorEastAsia"/>
                <w:sz w:val="21"/>
                <w:szCs w:val="20"/>
                <w:highlight w:val="none"/>
                <w:u w:val="none"/>
                <w:lang w:val="en-US" w:eastAsia="zh-CN" w:bidi="ar-SA"/>
              </w:rPr>
            </w:pPr>
            <w:r>
              <w:rPr>
                <w:rFonts w:hint="eastAsia" w:asciiTheme="minorEastAsia" w:hAnsiTheme="minorEastAsia" w:eastAsiaTheme="minorEastAsia" w:cstheme="minorEastAsia"/>
                <w:sz w:val="21"/>
                <w:szCs w:val="20"/>
                <w:highlight w:val="none"/>
                <w:u w:val="none"/>
                <w:lang w:val="en-US" w:eastAsia="zh-CN" w:bidi="ar-SA"/>
              </w:rPr>
              <w:t>本项目为专门面向中小微企业，不需要执行政策扣除。</w:t>
            </w:r>
          </w:p>
          <w:p w14:paraId="6E75F973">
            <w:pPr>
              <w:pStyle w:val="28"/>
              <w:keepNext w:val="0"/>
              <w:keepLines w:val="0"/>
              <w:numPr>
                <w:ilvl w:val="0"/>
                <w:numId w:val="0"/>
              </w:numPr>
              <w:suppressLineNumbers w:val="0"/>
              <w:spacing w:before="0" w:beforeAutospacing="0" w:after="0" w:afterAutospacing="0" w:line="360" w:lineRule="auto"/>
              <w:ind w:left="360" w:right="0" w:hanging="360"/>
              <w:rPr>
                <w:rFonts w:hint="eastAsia" w:asciiTheme="minorEastAsia" w:hAnsiTheme="minorEastAsia" w:eastAsiaTheme="minorEastAsia" w:cstheme="minorEastAsia"/>
                <w:sz w:val="21"/>
                <w:highlight w:val="none"/>
                <w:u w:val="single"/>
              </w:rPr>
            </w:pPr>
            <w:r>
              <w:rPr>
                <w:rFonts w:hint="eastAsia" w:asciiTheme="minorEastAsia" w:hAnsiTheme="minorEastAsia" w:eastAsiaTheme="minorEastAsia" w:cstheme="minorEastAsia"/>
                <w:sz w:val="21"/>
                <w:highlight w:val="none"/>
                <w:lang w:val="en-US" w:eastAsia="zh-CN"/>
              </w:rPr>
              <w:t>2、</w:t>
            </w:r>
            <w:r>
              <w:rPr>
                <w:rFonts w:hint="eastAsia" w:asciiTheme="minorEastAsia" w:hAnsiTheme="minorEastAsia" w:eastAsiaTheme="minorEastAsia" w:cstheme="minorEastAsia"/>
                <w:sz w:val="21"/>
                <w:highlight w:val="none"/>
              </w:rPr>
              <w:t>以进入比较与评价环节的最低的评审价为基准价，基准价得分为</w:t>
            </w:r>
            <w:r>
              <w:rPr>
                <w:rFonts w:hint="eastAsia" w:asciiTheme="minorEastAsia" w:hAnsiTheme="minorEastAsia" w:eastAsiaTheme="minorEastAsia" w:cstheme="minorEastAsia"/>
                <w:sz w:val="21"/>
                <w:highlight w:val="none"/>
                <w:u w:val="single"/>
              </w:rPr>
              <w:t xml:space="preserve"> </w:t>
            </w:r>
            <w:r>
              <w:rPr>
                <w:rFonts w:hint="eastAsia" w:asciiTheme="minorEastAsia" w:hAnsiTheme="minorEastAsia" w:eastAsiaTheme="minorEastAsia" w:cstheme="minorEastAsia"/>
                <w:sz w:val="21"/>
                <w:highlight w:val="none"/>
                <w:u w:val="single"/>
                <w:lang w:val="en-US" w:eastAsia="zh-CN"/>
              </w:rPr>
              <w:t>2</w:t>
            </w:r>
            <w:r>
              <w:rPr>
                <w:rFonts w:hint="eastAsia" w:asciiTheme="minorEastAsia" w:hAnsiTheme="minorEastAsia" w:eastAsiaTheme="minorEastAsia" w:cstheme="minorEastAsia"/>
                <w:sz w:val="21"/>
                <w:highlight w:val="none"/>
                <w:u w:val="single"/>
              </w:rPr>
              <w:t>0 分。</w:t>
            </w:r>
          </w:p>
          <w:p w14:paraId="5CA91B72">
            <w:pPr>
              <w:pStyle w:val="28"/>
              <w:keepNext w:val="0"/>
              <w:keepLines w:val="0"/>
              <w:numPr>
                <w:ilvl w:val="0"/>
                <w:numId w:val="0"/>
              </w:numPr>
              <w:suppressLineNumbers w:val="0"/>
              <w:spacing w:before="0" w:beforeAutospacing="0" w:after="0" w:afterAutospacing="0" w:line="360" w:lineRule="auto"/>
              <w:ind w:left="360" w:right="0" w:hanging="360"/>
              <w:rPr>
                <w:rFonts w:hint="eastAsia" w:asciiTheme="minorEastAsia" w:hAnsiTheme="minorEastAsia" w:eastAsiaTheme="minorEastAsia" w:cstheme="minorEastAsia"/>
                <w:sz w:val="21"/>
                <w:highlight w:val="none"/>
                <w:u w:val="single"/>
              </w:rPr>
            </w:pPr>
            <w:r>
              <w:rPr>
                <w:rFonts w:hint="eastAsia" w:asciiTheme="minorEastAsia" w:hAnsiTheme="minorEastAsia" w:eastAsiaTheme="minorEastAsia" w:cstheme="minorEastAsia"/>
                <w:sz w:val="21"/>
                <w:szCs w:val="20"/>
                <w:highlight w:val="none"/>
                <w:u w:val="none"/>
                <w:lang w:val="en-US" w:eastAsia="zh-CN" w:bidi="ar-SA"/>
              </w:rPr>
              <w:t>3、</w:t>
            </w:r>
            <w:r>
              <w:rPr>
                <w:rFonts w:hint="eastAsia" w:asciiTheme="minorEastAsia" w:hAnsiTheme="minorEastAsia" w:eastAsiaTheme="minorEastAsia" w:cstheme="minorEastAsia"/>
                <w:sz w:val="21"/>
                <w:highlight w:val="none"/>
              </w:rPr>
              <w:t>价格分计算公式：报价得分=（基准价/最后报价）×</w:t>
            </w:r>
            <w:r>
              <w:rPr>
                <w:rFonts w:hint="eastAsia" w:asciiTheme="minorEastAsia" w:hAnsiTheme="minorEastAsia" w:eastAsiaTheme="minorEastAsia" w:cstheme="minorEastAsia"/>
                <w:sz w:val="21"/>
                <w:highlight w:val="none"/>
                <w:u w:val="single"/>
                <w:lang w:val="en-US" w:eastAsia="zh-CN"/>
              </w:rPr>
              <w:t>2</w:t>
            </w:r>
            <w:r>
              <w:rPr>
                <w:rFonts w:hint="eastAsia" w:asciiTheme="minorEastAsia" w:hAnsiTheme="minorEastAsia" w:eastAsiaTheme="minorEastAsia" w:cstheme="minorEastAsia"/>
                <w:sz w:val="21"/>
                <w:highlight w:val="none"/>
                <w:u w:val="single"/>
              </w:rPr>
              <w:t>0</w:t>
            </w:r>
            <w:r>
              <w:rPr>
                <w:rFonts w:hint="eastAsia" w:asciiTheme="minorEastAsia" w:hAnsiTheme="minorEastAsia" w:eastAsiaTheme="minorEastAsia" w:cstheme="minorEastAsia"/>
                <w:spacing w:val="-4"/>
                <w:sz w:val="21"/>
                <w:highlight w:val="none"/>
                <w:u w:val="single"/>
              </w:rPr>
              <w:t xml:space="preserve"> </w:t>
            </w:r>
            <w:r>
              <w:rPr>
                <w:rFonts w:hint="eastAsia" w:asciiTheme="minorEastAsia" w:hAnsiTheme="minorEastAsia" w:eastAsiaTheme="minorEastAsia" w:cstheme="minorEastAsia"/>
                <w:sz w:val="21"/>
                <w:highlight w:val="none"/>
                <w:u w:val="single"/>
              </w:rPr>
              <w:t>分</w:t>
            </w:r>
          </w:p>
        </w:tc>
      </w:tr>
      <w:tr w14:paraId="0D7ED9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781" w:hRule="atLeast"/>
          <w:jc w:val="center"/>
        </w:trPr>
        <w:tc>
          <w:tcPr>
            <w:tcW w:w="780" w:type="dxa"/>
            <w:noWrap w:val="0"/>
            <w:vAlign w:val="center"/>
          </w:tcPr>
          <w:p w14:paraId="76B11086">
            <w:pPr>
              <w:keepNext w:val="0"/>
              <w:keepLines w:val="0"/>
              <w:suppressLineNumbers w:val="0"/>
              <w:spacing w:before="0" w:beforeAutospacing="0" w:after="0" w:afterAutospacing="0" w:line="360" w:lineRule="auto"/>
              <w:ind w:left="0" w:right="0"/>
              <w:jc w:val="center"/>
              <w:rPr>
                <w:rFonts w:hint="eastAsia" w:ascii="宋体" w:hAnsi="宋体" w:cs="Tahoma"/>
                <w:b/>
                <w:bCs/>
                <w:szCs w:val="21"/>
                <w:highlight w:val="none"/>
              </w:rPr>
            </w:pPr>
            <w:r>
              <w:rPr>
                <w:rFonts w:hint="eastAsia" w:ascii="宋体" w:hAnsi="宋体" w:cs="Tahoma"/>
                <w:b/>
                <w:bCs/>
                <w:szCs w:val="21"/>
                <w:highlight w:val="none"/>
              </w:rPr>
              <w:t>2</w:t>
            </w:r>
          </w:p>
        </w:tc>
        <w:tc>
          <w:tcPr>
            <w:tcW w:w="2025" w:type="dxa"/>
            <w:gridSpan w:val="2"/>
            <w:noWrap w:val="0"/>
            <w:vAlign w:val="center"/>
          </w:tcPr>
          <w:p w14:paraId="0EEC6305">
            <w:pPr>
              <w:keepNext w:val="0"/>
              <w:keepLines w:val="0"/>
              <w:suppressLineNumbers w:val="0"/>
              <w:spacing w:before="0" w:beforeAutospacing="0" w:after="0" w:afterAutospacing="0" w:line="276" w:lineRule="auto"/>
              <w:ind w:left="0" w:right="0"/>
              <w:jc w:val="center"/>
              <w:rPr>
                <w:rFonts w:hint="eastAsia" w:ascii="宋体" w:hAnsi="宋体" w:cs="Tahoma"/>
                <w:b/>
                <w:bCs/>
                <w:szCs w:val="21"/>
                <w:highlight w:val="none"/>
              </w:rPr>
            </w:pPr>
            <w:r>
              <w:rPr>
                <w:rFonts w:hint="eastAsia" w:ascii="宋体" w:hAnsi="宋体" w:cs="Tahoma"/>
                <w:b/>
                <w:bCs/>
                <w:szCs w:val="21"/>
                <w:highlight w:val="none"/>
              </w:rPr>
              <w:t>技术分</w:t>
            </w:r>
          </w:p>
          <w:p w14:paraId="556106CB">
            <w:pPr>
              <w:keepNext w:val="0"/>
              <w:keepLines w:val="0"/>
              <w:suppressLineNumbers w:val="0"/>
              <w:spacing w:before="0" w:beforeAutospacing="0" w:after="0" w:afterAutospacing="0" w:line="276" w:lineRule="auto"/>
              <w:ind w:left="0" w:right="0"/>
              <w:jc w:val="center"/>
              <w:rPr>
                <w:rFonts w:hint="eastAsia" w:ascii="宋体" w:hAnsi="宋体" w:cs="Tahoma"/>
                <w:b/>
                <w:bCs/>
                <w:szCs w:val="21"/>
                <w:highlight w:val="none"/>
              </w:rPr>
            </w:pPr>
            <w:r>
              <w:rPr>
                <w:rFonts w:hint="eastAsia" w:ascii="宋体" w:hAnsi="宋体" w:cs="Tahoma"/>
                <w:b/>
                <w:bCs/>
                <w:szCs w:val="21"/>
                <w:highlight w:val="none"/>
              </w:rPr>
              <w:t>（</w:t>
            </w:r>
            <w:r>
              <w:rPr>
                <w:rFonts w:hint="eastAsia" w:ascii="宋体" w:hAnsi="宋体" w:cs="Tahoma"/>
                <w:b/>
                <w:bCs/>
                <w:szCs w:val="21"/>
                <w:highlight w:val="none"/>
                <w:lang w:eastAsia="zh-CN"/>
              </w:rPr>
              <w:t>满分</w:t>
            </w:r>
            <w:r>
              <w:rPr>
                <w:rFonts w:hint="eastAsia" w:ascii="宋体" w:hAnsi="宋体" w:cs="Tahoma"/>
                <w:b/>
                <w:bCs/>
                <w:szCs w:val="21"/>
                <w:highlight w:val="none"/>
                <w:lang w:val="en-US" w:eastAsia="zh-CN"/>
              </w:rPr>
              <w:t>76</w:t>
            </w:r>
            <w:r>
              <w:rPr>
                <w:rFonts w:hint="eastAsia" w:ascii="宋体" w:hAnsi="宋体" w:cs="Tahoma"/>
                <w:b/>
                <w:bCs/>
                <w:szCs w:val="21"/>
                <w:highlight w:val="none"/>
              </w:rPr>
              <w:t>分）</w:t>
            </w:r>
          </w:p>
        </w:tc>
        <w:tc>
          <w:tcPr>
            <w:tcW w:w="6071" w:type="dxa"/>
            <w:gridSpan w:val="2"/>
            <w:noWrap w:val="0"/>
            <w:vAlign w:val="center"/>
          </w:tcPr>
          <w:p w14:paraId="0E331E2E">
            <w:pPr>
              <w:keepNext w:val="0"/>
              <w:keepLines w:val="0"/>
              <w:suppressLineNumbers w:val="0"/>
              <w:spacing w:before="0" w:beforeAutospacing="0" w:after="0" w:afterAutospacing="0" w:line="360" w:lineRule="auto"/>
              <w:ind w:left="0" w:right="0"/>
              <w:jc w:val="center"/>
              <w:rPr>
                <w:rFonts w:hint="eastAsia" w:asciiTheme="minorEastAsia" w:hAnsiTheme="minorEastAsia" w:eastAsiaTheme="minorEastAsia" w:cstheme="minorEastAsia"/>
                <w:b/>
                <w:bCs/>
                <w:szCs w:val="21"/>
                <w:highlight w:val="none"/>
              </w:rPr>
            </w:pPr>
            <w:r>
              <w:rPr>
                <w:rFonts w:hint="eastAsia" w:asciiTheme="minorEastAsia" w:hAnsiTheme="minorEastAsia" w:eastAsiaTheme="minorEastAsia" w:cstheme="minorEastAsia"/>
                <w:b/>
                <w:bCs/>
                <w:szCs w:val="21"/>
                <w:highlight w:val="none"/>
              </w:rPr>
              <w:t>评审因素</w:t>
            </w:r>
          </w:p>
        </w:tc>
      </w:tr>
      <w:tr w14:paraId="0F8574A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430" w:hRule="atLeast"/>
          <w:jc w:val="center"/>
        </w:trPr>
        <w:tc>
          <w:tcPr>
            <w:tcW w:w="780" w:type="dxa"/>
            <w:vMerge w:val="restart"/>
            <w:noWrap w:val="0"/>
            <w:vAlign w:val="center"/>
          </w:tcPr>
          <w:p w14:paraId="17577F4F">
            <w:pPr>
              <w:keepNext w:val="0"/>
              <w:keepLines w:val="0"/>
              <w:suppressLineNumbers w:val="0"/>
              <w:spacing w:before="0" w:beforeAutospacing="0" w:after="0" w:afterAutospacing="0" w:line="360" w:lineRule="auto"/>
              <w:ind w:left="-105" w:right="-105"/>
              <w:jc w:val="center"/>
              <w:rPr>
                <w:rFonts w:hint="default" w:ascii="宋体" w:hAnsi="宋体" w:cs="Times New Roman"/>
                <w:bCs/>
                <w:szCs w:val="21"/>
                <w:highlight w:val="none"/>
              </w:rPr>
            </w:pPr>
            <w:r>
              <w:rPr>
                <w:rFonts w:hint="eastAsia" w:ascii="宋体" w:hAnsi="宋体" w:cs="Times New Roman"/>
                <w:bCs/>
                <w:szCs w:val="21"/>
                <w:highlight w:val="none"/>
              </w:rPr>
              <w:t>2</w:t>
            </w:r>
            <w:r>
              <w:rPr>
                <w:rFonts w:hint="default" w:ascii="宋体" w:hAnsi="宋体" w:cs="Times New Roman"/>
                <w:bCs/>
                <w:szCs w:val="21"/>
                <w:highlight w:val="none"/>
              </w:rPr>
              <w:t>.1</w:t>
            </w:r>
          </w:p>
        </w:tc>
        <w:tc>
          <w:tcPr>
            <w:tcW w:w="823" w:type="dxa"/>
            <w:vMerge w:val="restart"/>
            <w:noWrap w:val="0"/>
            <w:vAlign w:val="center"/>
          </w:tcPr>
          <w:p w14:paraId="7D4471AE">
            <w:pPr>
              <w:keepNext w:val="0"/>
              <w:keepLines w:val="0"/>
              <w:suppressLineNumbers w:val="0"/>
              <w:spacing w:before="0" w:beforeAutospacing="0" w:after="0" w:afterAutospacing="0" w:line="276" w:lineRule="auto"/>
              <w:ind w:left="0" w:right="0"/>
              <w:jc w:val="center"/>
              <w:rPr>
                <w:rFonts w:hint="eastAsia" w:ascii="宋体" w:hAnsi="宋体" w:cs="Times New Roman"/>
                <w:b/>
                <w:bCs/>
                <w:szCs w:val="21"/>
                <w:highlight w:val="none"/>
              </w:rPr>
            </w:pPr>
          </w:p>
          <w:p w14:paraId="11EEC5C5">
            <w:pPr>
              <w:keepNext w:val="0"/>
              <w:keepLines w:val="0"/>
              <w:suppressLineNumbers w:val="0"/>
              <w:spacing w:before="0" w:beforeAutospacing="0" w:after="0" w:afterAutospacing="0" w:line="276" w:lineRule="auto"/>
              <w:ind w:left="0" w:right="-13"/>
              <w:jc w:val="center"/>
              <w:rPr>
                <w:rFonts w:hint="eastAsia" w:ascii="宋体" w:hAnsi="宋体" w:cs="Times New Roman"/>
                <w:b/>
                <w:bCs/>
                <w:szCs w:val="21"/>
                <w:highlight w:val="none"/>
              </w:rPr>
            </w:pPr>
            <w:r>
              <w:rPr>
                <w:rFonts w:hint="eastAsia" w:ascii="宋体" w:hAnsi="宋体" w:cs="宋体"/>
                <w:b/>
                <w:bCs/>
                <w:szCs w:val="21"/>
                <w:highlight w:val="none"/>
              </w:rPr>
              <w:t>项目管理机构</w:t>
            </w:r>
            <w:r>
              <w:rPr>
                <w:rFonts w:hint="eastAsia" w:ascii="宋体" w:hAnsi="宋体" w:cs="Tahoma"/>
                <w:b/>
                <w:bCs/>
                <w:szCs w:val="21"/>
                <w:highlight w:val="none"/>
              </w:rPr>
              <w:t>（</w:t>
            </w:r>
            <w:r>
              <w:rPr>
                <w:rFonts w:hint="eastAsia" w:ascii="宋体" w:hAnsi="宋体" w:cs="Tahoma"/>
                <w:b/>
                <w:bCs/>
                <w:szCs w:val="21"/>
                <w:highlight w:val="none"/>
                <w:lang w:eastAsia="zh-CN"/>
              </w:rPr>
              <w:t>满分</w:t>
            </w:r>
            <w:r>
              <w:rPr>
                <w:rFonts w:hint="eastAsia" w:ascii="宋体" w:hAnsi="宋体" w:cs="Tahoma"/>
                <w:b/>
                <w:bCs/>
                <w:szCs w:val="21"/>
                <w:highlight w:val="none"/>
                <w:lang w:val="en-US" w:eastAsia="zh-CN"/>
              </w:rPr>
              <w:t>13</w:t>
            </w:r>
            <w:r>
              <w:rPr>
                <w:rFonts w:hint="eastAsia" w:ascii="宋体" w:hAnsi="宋体" w:cs="Tahoma"/>
                <w:b/>
                <w:bCs/>
                <w:szCs w:val="21"/>
                <w:highlight w:val="none"/>
              </w:rPr>
              <w:t>分）</w:t>
            </w:r>
          </w:p>
        </w:tc>
        <w:tc>
          <w:tcPr>
            <w:tcW w:w="1202" w:type="dxa"/>
            <w:noWrap w:val="0"/>
            <w:vAlign w:val="center"/>
          </w:tcPr>
          <w:p w14:paraId="2586625D">
            <w:pPr>
              <w:keepNext w:val="0"/>
              <w:keepLines w:val="0"/>
              <w:suppressLineNumbers w:val="0"/>
              <w:spacing w:before="0" w:beforeAutospacing="0" w:after="0" w:afterAutospacing="0" w:line="276" w:lineRule="auto"/>
              <w:ind w:left="0" w:right="0"/>
              <w:jc w:val="center"/>
              <w:rPr>
                <w:rFonts w:hint="eastAsia" w:ascii="宋体" w:hAnsi="宋体" w:cs="Times New Roman"/>
                <w:b/>
                <w:bCs/>
                <w:szCs w:val="21"/>
                <w:highlight w:val="none"/>
              </w:rPr>
            </w:pPr>
            <w:r>
              <w:rPr>
                <w:rFonts w:hint="eastAsia" w:ascii="宋体" w:hAnsi="宋体" w:cs="Times New Roman"/>
                <w:b/>
                <w:bCs/>
                <w:szCs w:val="21"/>
                <w:highlight w:val="none"/>
              </w:rPr>
              <w:t>项目经理情况（</w:t>
            </w:r>
            <w:r>
              <w:rPr>
                <w:rFonts w:hint="eastAsia" w:ascii="宋体" w:hAnsi="宋体" w:cs="Times New Roman"/>
                <w:b/>
                <w:bCs/>
                <w:szCs w:val="21"/>
                <w:highlight w:val="none"/>
                <w:lang w:val="en-US" w:eastAsia="zh-CN"/>
              </w:rPr>
              <w:t>3</w:t>
            </w:r>
            <w:r>
              <w:rPr>
                <w:rFonts w:hint="eastAsia" w:ascii="宋体" w:hAnsi="宋体" w:cs="Times New Roman"/>
                <w:b/>
                <w:bCs/>
                <w:szCs w:val="21"/>
                <w:highlight w:val="none"/>
              </w:rPr>
              <w:t>分）</w:t>
            </w:r>
          </w:p>
        </w:tc>
        <w:tc>
          <w:tcPr>
            <w:tcW w:w="6071" w:type="dxa"/>
            <w:gridSpan w:val="2"/>
            <w:noWrap w:val="0"/>
            <w:vAlign w:val="center"/>
          </w:tcPr>
          <w:p w14:paraId="4BDA0ADF">
            <w:pPr>
              <w:pStyle w:val="625"/>
              <w:keepNext w:val="0"/>
              <w:keepLines w:val="0"/>
              <w:suppressLineNumbers w:val="0"/>
              <w:spacing w:before="0" w:beforeAutospacing="0" w:after="0" w:afterAutospacing="0" w:line="440" w:lineRule="exact"/>
              <w:ind w:left="0" w:right="-101"/>
              <w:jc w:val="both"/>
              <w:rPr>
                <w:rFonts w:hint="eastAsia" w:ascii="宋体" w:hAnsi="宋体" w:eastAsia="宋体" w:cs="宋体"/>
                <w:spacing w:val="-4"/>
                <w:sz w:val="21"/>
                <w:szCs w:val="21"/>
                <w:highlight w:val="none"/>
                <w:lang w:eastAsia="zh-CN"/>
              </w:rPr>
            </w:pPr>
            <w:r>
              <w:rPr>
                <w:rFonts w:hint="eastAsia" w:ascii="宋体" w:hAnsi="宋体" w:eastAsia="宋体" w:cs="宋体"/>
                <w:spacing w:val="-4"/>
                <w:sz w:val="21"/>
                <w:szCs w:val="21"/>
                <w:highlight w:val="none"/>
              </w:rPr>
              <w:t>项目经理具备建筑工程类专业副高级职称（含副高）以上的，得 3 分，具有工程类相关专业中级职称的，得 1 分，满分3分</w:t>
            </w:r>
            <w:r>
              <w:rPr>
                <w:rFonts w:hint="eastAsia" w:ascii="宋体" w:hAnsi="宋体" w:eastAsia="宋体" w:cs="宋体"/>
                <w:spacing w:val="-4"/>
                <w:sz w:val="21"/>
                <w:szCs w:val="21"/>
                <w:highlight w:val="none"/>
                <w:lang w:eastAsia="zh-CN"/>
              </w:rPr>
              <w:t>。</w:t>
            </w:r>
          </w:p>
          <w:p w14:paraId="2DACC8B8">
            <w:pPr>
              <w:pStyle w:val="625"/>
              <w:keepNext w:val="0"/>
              <w:keepLines w:val="0"/>
              <w:suppressLineNumbers w:val="0"/>
              <w:spacing w:before="0" w:beforeAutospacing="0" w:after="0" w:afterAutospacing="0" w:line="440" w:lineRule="exact"/>
              <w:ind w:left="0" w:right="-101"/>
              <w:jc w:val="both"/>
              <w:rPr>
                <w:rFonts w:hint="eastAsia" w:ascii="宋体" w:hAnsi="宋体" w:eastAsia="宋体" w:cs="宋体"/>
                <w:sz w:val="21"/>
                <w:szCs w:val="21"/>
                <w:highlight w:val="none"/>
              </w:rPr>
            </w:pPr>
            <w:r>
              <w:rPr>
                <w:rFonts w:hint="eastAsia" w:ascii="宋体" w:hAnsi="宋体" w:eastAsia="宋体" w:cs="宋体"/>
                <w:spacing w:val="-4"/>
                <w:sz w:val="21"/>
                <w:szCs w:val="21"/>
                <w:highlight w:val="none"/>
                <w:lang w:val="en-US" w:eastAsia="zh-CN"/>
              </w:rPr>
              <w:t>注：</w:t>
            </w:r>
            <w:r>
              <w:rPr>
                <w:rFonts w:hint="eastAsia" w:ascii="宋体" w:hAnsi="宋体" w:eastAsia="宋体" w:cs="宋体"/>
                <w:sz w:val="21"/>
                <w:szCs w:val="21"/>
                <w:highlight w:val="none"/>
              </w:rPr>
              <w:t>响应文件</w:t>
            </w:r>
            <w:r>
              <w:rPr>
                <w:rFonts w:hint="eastAsia" w:ascii="宋体" w:hAnsi="宋体" w:eastAsia="宋体" w:cs="宋体"/>
                <w:spacing w:val="-1"/>
                <w:sz w:val="21"/>
                <w:szCs w:val="21"/>
                <w:highlight w:val="none"/>
              </w:rPr>
              <w:t>提供职称证复印件</w:t>
            </w:r>
            <w:r>
              <w:rPr>
                <w:rFonts w:hint="eastAsia" w:ascii="宋体" w:hAnsi="宋体" w:eastAsia="宋体" w:cs="宋体"/>
                <w:sz w:val="21"/>
                <w:szCs w:val="21"/>
                <w:highlight w:val="none"/>
              </w:rPr>
              <w:t>（加盖供应商公章）</w:t>
            </w:r>
            <w:r>
              <w:rPr>
                <w:rFonts w:hint="eastAsia" w:ascii="宋体" w:hAnsi="宋体" w:eastAsia="宋体" w:cs="宋体"/>
                <w:sz w:val="21"/>
                <w:szCs w:val="21"/>
                <w:highlight w:val="none"/>
                <w:lang w:val="en-US" w:eastAsia="zh-CN"/>
              </w:rPr>
              <w:t>，并提供</w:t>
            </w:r>
            <w:r>
              <w:rPr>
                <w:rFonts w:hint="eastAsia" w:ascii="宋体" w:hAnsi="宋体" w:eastAsia="宋体" w:cs="宋体"/>
                <w:sz w:val="21"/>
                <w:szCs w:val="21"/>
                <w:highlight w:val="none"/>
                <w:lang w:val="en-US"/>
              </w:rPr>
              <w:t>作为本公司正式员工的相关证明材料（如劳动合同、协议等）</w:t>
            </w:r>
            <w:r>
              <w:rPr>
                <w:rFonts w:hint="eastAsia" w:ascii="宋体" w:hAnsi="宋体" w:eastAsia="宋体" w:cs="宋体"/>
                <w:sz w:val="21"/>
                <w:szCs w:val="21"/>
                <w:highlight w:val="none"/>
                <w:lang w:val="en-US" w:eastAsia="zh-CN"/>
              </w:rPr>
              <w:t>，不提供的不得分</w:t>
            </w:r>
            <w:r>
              <w:rPr>
                <w:rFonts w:hint="eastAsia" w:ascii="宋体" w:hAnsi="宋体" w:eastAsia="宋体" w:cs="宋体"/>
                <w:sz w:val="21"/>
                <w:szCs w:val="21"/>
                <w:highlight w:val="none"/>
                <w:lang w:val="en-US"/>
              </w:rPr>
              <w:t>。</w:t>
            </w:r>
          </w:p>
        </w:tc>
      </w:tr>
      <w:tr w14:paraId="4899F5A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815" w:hRule="atLeast"/>
          <w:jc w:val="center"/>
        </w:trPr>
        <w:tc>
          <w:tcPr>
            <w:tcW w:w="780" w:type="dxa"/>
            <w:vMerge w:val="continue"/>
            <w:noWrap w:val="0"/>
            <w:vAlign w:val="center"/>
          </w:tcPr>
          <w:p w14:paraId="49044C96">
            <w:pPr>
              <w:keepNext w:val="0"/>
              <w:keepLines w:val="0"/>
              <w:suppressLineNumbers w:val="0"/>
              <w:spacing w:before="0" w:beforeAutospacing="0" w:after="0" w:afterAutospacing="0" w:line="360" w:lineRule="auto"/>
              <w:ind w:left="-105" w:right="-105"/>
              <w:jc w:val="center"/>
              <w:rPr>
                <w:rFonts w:hint="default" w:ascii="宋体" w:hAnsi="宋体" w:cs="Times New Roman"/>
                <w:bCs/>
                <w:szCs w:val="21"/>
                <w:highlight w:val="none"/>
              </w:rPr>
            </w:pPr>
          </w:p>
        </w:tc>
        <w:tc>
          <w:tcPr>
            <w:tcW w:w="823" w:type="dxa"/>
            <w:vMerge w:val="continue"/>
            <w:noWrap w:val="0"/>
            <w:vAlign w:val="center"/>
          </w:tcPr>
          <w:p w14:paraId="705BA9B8">
            <w:pPr>
              <w:keepNext w:val="0"/>
              <w:keepLines w:val="0"/>
              <w:suppressLineNumbers w:val="0"/>
              <w:spacing w:before="0" w:beforeAutospacing="0" w:after="0" w:afterAutospacing="0" w:line="276" w:lineRule="auto"/>
              <w:ind w:left="0" w:right="-13"/>
              <w:jc w:val="center"/>
              <w:rPr>
                <w:rFonts w:hint="eastAsia" w:ascii="宋体" w:hAnsi="宋体" w:cs="Times New Roman"/>
                <w:b/>
                <w:bCs/>
                <w:szCs w:val="21"/>
                <w:highlight w:val="none"/>
              </w:rPr>
            </w:pPr>
          </w:p>
        </w:tc>
        <w:tc>
          <w:tcPr>
            <w:tcW w:w="1202" w:type="dxa"/>
            <w:noWrap w:val="0"/>
            <w:vAlign w:val="center"/>
          </w:tcPr>
          <w:p w14:paraId="4871B6A7">
            <w:pPr>
              <w:keepNext w:val="0"/>
              <w:keepLines w:val="0"/>
              <w:suppressLineNumbers w:val="0"/>
              <w:spacing w:before="0" w:beforeAutospacing="0" w:after="0" w:afterAutospacing="0" w:line="380" w:lineRule="exact"/>
              <w:ind w:left="0" w:right="0"/>
              <w:jc w:val="left"/>
              <w:rPr>
                <w:rFonts w:hint="eastAsia" w:ascii="宋体" w:hAnsi="宋体" w:cs="Times New Roman"/>
                <w:b/>
                <w:bCs/>
                <w:szCs w:val="21"/>
                <w:highlight w:val="none"/>
              </w:rPr>
            </w:pPr>
            <w:r>
              <w:rPr>
                <w:rFonts w:hint="eastAsia" w:ascii="宋体" w:hAnsi="宋体" w:cs="宋体"/>
                <w:b/>
                <w:bCs/>
                <w:szCs w:val="21"/>
                <w:highlight w:val="none"/>
              </w:rPr>
              <w:t>拟投入本工程管理人员情况（</w:t>
            </w:r>
            <w:r>
              <w:rPr>
                <w:rFonts w:hint="eastAsia" w:ascii="宋体" w:hAnsi="宋体" w:cs="宋体"/>
                <w:b/>
                <w:bCs/>
                <w:szCs w:val="21"/>
                <w:highlight w:val="none"/>
                <w:lang w:val="en-US" w:eastAsia="zh-CN"/>
              </w:rPr>
              <w:t>10</w:t>
            </w:r>
            <w:r>
              <w:rPr>
                <w:rFonts w:hint="eastAsia" w:ascii="宋体" w:hAnsi="宋体" w:cs="宋体"/>
                <w:b/>
                <w:bCs/>
                <w:szCs w:val="21"/>
                <w:highlight w:val="none"/>
              </w:rPr>
              <w:t>分）</w:t>
            </w:r>
          </w:p>
        </w:tc>
        <w:tc>
          <w:tcPr>
            <w:tcW w:w="6071" w:type="dxa"/>
            <w:gridSpan w:val="2"/>
            <w:noWrap w:val="0"/>
            <w:vAlign w:val="center"/>
          </w:tcPr>
          <w:p w14:paraId="5DB5456B">
            <w:pPr>
              <w:keepNext w:val="0"/>
              <w:keepLines w:val="0"/>
              <w:suppressLineNumbers w:val="0"/>
              <w:spacing w:before="0" w:beforeAutospacing="0" w:after="0" w:afterAutospacing="0" w:line="380" w:lineRule="exact"/>
              <w:ind w:left="0" w:right="0"/>
              <w:jc w:val="left"/>
              <w:rPr>
                <w:rFonts w:hint="eastAsia" w:ascii="宋体" w:hAnsi="宋体" w:cs="宋体"/>
                <w:color w:val="auto"/>
                <w:szCs w:val="22"/>
                <w:highlight w:val="none"/>
              </w:rPr>
            </w:pPr>
            <w:r>
              <w:rPr>
                <w:rFonts w:hint="eastAsia" w:ascii="宋体" w:hAnsi="宋体" w:cs="宋体"/>
                <w:color w:val="auto"/>
                <w:szCs w:val="22"/>
                <w:highlight w:val="none"/>
                <w:lang w:val="en-US" w:eastAsia="zh-CN"/>
              </w:rPr>
              <w:t>1.</w:t>
            </w:r>
            <w:r>
              <w:rPr>
                <w:rFonts w:hint="eastAsia" w:ascii="宋体" w:hAnsi="宋体" w:cs="宋体"/>
                <w:color w:val="auto"/>
                <w:szCs w:val="22"/>
                <w:highlight w:val="none"/>
              </w:rPr>
              <w:t>技术负责人：具备建筑工程类专业副高级职称（含副高）以上的，得 2 分，具有工程类相关专业中级职称的，得1分，满分2分。</w:t>
            </w:r>
          </w:p>
          <w:p w14:paraId="7EA61F00">
            <w:pPr>
              <w:keepNext w:val="0"/>
              <w:keepLines w:val="0"/>
              <w:suppressLineNumbers w:val="0"/>
              <w:spacing w:before="0" w:beforeAutospacing="0" w:after="0" w:afterAutospacing="0" w:line="380" w:lineRule="exact"/>
              <w:ind w:left="0" w:right="0"/>
              <w:jc w:val="left"/>
              <w:rPr>
                <w:rFonts w:hint="eastAsia" w:ascii="宋体" w:hAnsi="宋体" w:eastAsia="宋体" w:cs="宋体"/>
                <w:szCs w:val="21"/>
                <w:highlight w:val="none"/>
                <w:lang w:eastAsia="zh-CN"/>
              </w:rPr>
            </w:pPr>
            <w:r>
              <w:rPr>
                <w:rFonts w:hint="eastAsia" w:ascii="宋体" w:hAnsi="宋体" w:cs="宋体"/>
                <w:color w:val="auto"/>
                <w:szCs w:val="22"/>
                <w:highlight w:val="none"/>
                <w:lang w:val="en-US" w:eastAsia="zh-CN"/>
              </w:rPr>
              <w:t>注：</w:t>
            </w:r>
            <w:r>
              <w:rPr>
                <w:rFonts w:hint="eastAsia" w:ascii="宋体" w:hAnsi="宋体" w:cs="宋体"/>
                <w:color w:val="auto"/>
                <w:szCs w:val="22"/>
                <w:highlight w:val="none"/>
              </w:rPr>
              <w:t>响应文件提供职称证书证明材料（加盖供应商公章），并提供作为本公司正式员工的相关证明材料（如劳动合同、协议等），不提供的不得分</w:t>
            </w:r>
            <w:r>
              <w:rPr>
                <w:rFonts w:hint="eastAsia" w:ascii="宋体" w:hAnsi="宋体" w:cs="宋体"/>
                <w:color w:val="auto"/>
                <w:szCs w:val="22"/>
                <w:highlight w:val="none"/>
                <w:lang w:eastAsia="zh-CN"/>
              </w:rPr>
              <w:t>。</w:t>
            </w:r>
          </w:p>
          <w:p w14:paraId="41849646">
            <w:pPr>
              <w:keepNext w:val="0"/>
              <w:keepLines w:val="0"/>
              <w:pageBreakBefore w:val="0"/>
              <w:suppressLineNumbers w:val="0"/>
              <w:bidi w:val="0"/>
              <w:spacing w:before="0" w:beforeAutospacing="0" w:after="0" w:afterAutospacing="0" w:line="360" w:lineRule="auto"/>
              <w:ind w:left="0" w:right="0"/>
              <w:rPr>
                <w:rFonts w:hint="eastAsia" w:ascii="宋体" w:hAnsi="宋体" w:cs="宋体"/>
                <w:color w:val="auto"/>
                <w:szCs w:val="22"/>
                <w:highlight w:val="none"/>
              </w:rPr>
            </w:pPr>
            <w:r>
              <w:rPr>
                <w:rFonts w:hint="eastAsia" w:ascii="宋体" w:hAnsi="宋体" w:cs="宋体"/>
                <w:color w:val="auto"/>
                <w:szCs w:val="22"/>
                <w:highlight w:val="none"/>
                <w:lang w:val="en-US" w:eastAsia="zh-CN"/>
              </w:rPr>
              <w:t>2</w:t>
            </w:r>
            <w:r>
              <w:rPr>
                <w:rFonts w:hint="eastAsia" w:ascii="宋体" w:hAnsi="宋体" w:cs="宋体"/>
                <w:color w:val="auto"/>
                <w:szCs w:val="22"/>
                <w:highlight w:val="none"/>
              </w:rPr>
              <w:t>.拟</w:t>
            </w:r>
            <w:r>
              <w:rPr>
                <w:rFonts w:hint="eastAsia" w:ascii="宋体" w:hAnsi="宋体" w:cs="宋体"/>
                <w:color w:val="auto"/>
                <w:szCs w:val="22"/>
                <w:highlight w:val="none"/>
                <w:lang w:eastAsia="zh-CN"/>
              </w:rPr>
              <w:t>投入</w:t>
            </w:r>
            <w:r>
              <w:rPr>
                <w:rFonts w:hint="eastAsia" w:ascii="宋体" w:hAnsi="宋体" w:cs="宋体"/>
                <w:color w:val="auto"/>
                <w:szCs w:val="22"/>
                <w:highlight w:val="none"/>
              </w:rPr>
              <w:t>本项目的施工员、质量员、安全员、材料员等人员齐备，全部持证上岗</w:t>
            </w:r>
            <w:r>
              <w:rPr>
                <w:rFonts w:hint="eastAsia" w:ascii="宋体" w:hAnsi="宋体" w:eastAsia="宋体" w:cs="宋体"/>
                <w:color w:val="auto"/>
                <w:szCs w:val="22"/>
                <w:highlight w:val="none"/>
                <w:lang w:val="en-US" w:eastAsia="zh-CN"/>
              </w:rPr>
              <w:t>且年检合格</w:t>
            </w:r>
            <w:r>
              <w:rPr>
                <w:rFonts w:hint="eastAsia" w:ascii="宋体" w:hAnsi="宋体" w:cs="宋体"/>
                <w:color w:val="auto"/>
                <w:szCs w:val="22"/>
                <w:highlight w:val="none"/>
              </w:rPr>
              <w:t>，按以下标准计分：</w:t>
            </w:r>
          </w:p>
          <w:p w14:paraId="6763FE21">
            <w:pPr>
              <w:keepNext w:val="0"/>
              <w:keepLines w:val="0"/>
              <w:pageBreakBefore w:val="0"/>
              <w:suppressLineNumbers w:val="0"/>
              <w:bidi w:val="0"/>
              <w:spacing w:before="0" w:beforeAutospacing="0" w:after="0" w:afterAutospacing="0" w:line="360" w:lineRule="auto"/>
              <w:ind w:left="0" w:right="0"/>
              <w:rPr>
                <w:rFonts w:hint="eastAsia" w:ascii="宋体" w:hAnsi="宋体" w:cs="宋体"/>
                <w:color w:val="auto"/>
                <w:szCs w:val="22"/>
                <w:highlight w:val="none"/>
              </w:rPr>
            </w:pPr>
            <w:r>
              <w:rPr>
                <w:rFonts w:hint="eastAsia" w:ascii="宋体" w:hAnsi="宋体" w:eastAsia="宋体" w:cs="宋体"/>
                <w:color w:val="auto"/>
                <w:szCs w:val="22"/>
                <w:highlight w:val="none"/>
                <w:lang w:val="en-US" w:eastAsia="zh-CN"/>
              </w:rPr>
              <w:t>一档</w:t>
            </w:r>
            <w:r>
              <w:rPr>
                <w:rFonts w:hint="eastAsia" w:ascii="宋体" w:hAnsi="宋体" w:cs="宋体"/>
                <w:color w:val="auto"/>
                <w:szCs w:val="22"/>
                <w:highlight w:val="none"/>
              </w:rPr>
              <w:t>（</w:t>
            </w:r>
            <w:r>
              <w:rPr>
                <w:rFonts w:hint="eastAsia" w:ascii="宋体" w:hAnsi="宋体" w:cs="宋体"/>
                <w:color w:val="auto"/>
                <w:szCs w:val="22"/>
                <w:highlight w:val="none"/>
                <w:lang w:val="en-US" w:eastAsia="zh-CN"/>
              </w:rPr>
              <w:t>8</w:t>
            </w:r>
            <w:r>
              <w:rPr>
                <w:rFonts w:hint="eastAsia" w:ascii="宋体" w:hAnsi="宋体" w:cs="宋体"/>
                <w:color w:val="auto"/>
                <w:szCs w:val="22"/>
                <w:highlight w:val="none"/>
              </w:rPr>
              <w:t xml:space="preserve">分）：专业配套的人员具备相关岗位证书，拟派安全员须具备安全生产考核合格证，且拟投入的项目管理人员符合国家及广西壮族自治区的规定。其中：配备施工员不少于2名并具有中级或以上职称、配备质量员不少于2名并具有中级或以上职称、材料员不少于2名并具有中级或以上职称，人员完全满足施工需要，管理人员配备齐全。 </w:t>
            </w:r>
          </w:p>
          <w:p w14:paraId="34399FF6">
            <w:pPr>
              <w:keepNext w:val="0"/>
              <w:keepLines w:val="0"/>
              <w:pageBreakBefore w:val="0"/>
              <w:suppressLineNumbers w:val="0"/>
              <w:bidi w:val="0"/>
              <w:spacing w:before="0" w:beforeAutospacing="0" w:after="0" w:afterAutospacing="0" w:line="360" w:lineRule="auto"/>
              <w:ind w:left="0" w:right="0"/>
              <w:rPr>
                <w:rFonts w:hint="eastAsia" w:ascii="宋体" w:hAnsi="宋体" w:cs="宋体"/>
                <w:color w:val="auto"/>
                <w:szCs w:val="22"/>
                <w:highlight w:val="none"/>
              </w:rPr>
            </w:pPr>
            <w:r>
              <w:rPr>
                <w:rFonts w:hint="eastAsia" w:ascii="宋体" w:hAnsi="宋体" w:eastAsia="宋体" w:cs="宋体"/>
                <w:color w:val="auto"/>
                <w:szCs w:val="22"/>
                <w:highlight w:val="none"/>
                <w:lang w:val="en-US" w:eastAsia="zh-CN"/>
              </w:rPr>
              <w:t>二档</w:t>
            </w:r>
            <w:r>
              <w:rPr>
                <w:rFonts w:hint="eastAsia" w:ascii="宋体" w:hAnsi="宋体" w:cs="宋体"/>
                <w:color w:val="auto"/>
                <w:szCs w:val="22"/>
                <w:highlight w:val="none"/>
              </w:rPr>
              <w:t>（</w:t>
            </w:r>
            <w:r>
              <w:rPr>
                <w:rFonts w:hint="eastAsia" w:ascii="宋体" w:hAnsi="宋体" w:cs="宋体"/>
                <w:color w:val="auto"/>
                <w:szCs w:val="22"/>
                <w:highlight w:val="none"/>
                <w:lang w:val="en-US" w:eastAsia="zh-CN"/>
              </w:rPr>
              <w:t>5</w:t>
            </w:r>
            <w:r>
              <w:rPr>
                <w:rFonts w:hint="eastAsia" w:ascii="宋体" w:hAnsi="宋体" w:cs="宋体"/>
                <w:color w:val="auto"/>
                <w:szCs w:val="22"/>
                <w:highlight w:val="none"/>
              </w:rPr>
              <w:t>分）：专业配套的人员具备相关岗位证书，拟派安全员须具备安全生产考核合格证，且拟投入的项目管理人员符合国家及广西壮族自治区的规定。其中：配备施工员不少于2名并具有中级或以上职称、配备质量员不少于2名并具有中级或以上职称、材料员不少于1名并具有中级或以上职称，人员完全满足施工需要，管理人员配备齐全。</w:t>
            </w:r>
          </w:p>
          <w:p w14:paraId="519131AA">
            <w:pPr>
              <w:keepNext w:val="0"/>
              <w:keepLines w:val="0"/>
              <w:pageBreakBefore w:val="0"/>
              <w:suppressLineNumbers w:val="0"/>
              <w:bidi w:val="0"/>
              <w:spacing w:before="0" w:beforeAutospacing="0" w:after="0" w:afterAutospacing="0" w:line="360" w:lineRule="auto"/>
              <w:ind w:left="0" w:right="0"/>
              <w:rPr>
                <w:rFonts w:hint="eastAsia" w:ascii="宋体" w:hAnsi="宋体" w:cs="宋体"/>
                <w:color w:val="auto"/>
                <w:szCs w:val="22"/>
                <w:highlight w:val="none"/>
              </w:rPr>
            </w:pPr>
            <w:r>
              <w:rPr>
                <w:rFonts w:hint="eastAsia" w:ascii="宋体" w:hAnsi="宋体" w:eastAsia="宋体" w:cs="宋体"/>
                <w:color w:val="auto"/>
                <w:szCs w:val="22"/>
                <w:highlight w:val="none"/>
                <w:lang w:val="en-US" w:eastAsia="zh-CN"/>
              </w:rPr>
              <w:t>三档</w:t>
            </w:r>
            <w:r>
              <w:rPr>
                <w:rFonts w:hint="eastAsia" w:ascii="宋体" w:hAnsi="宋体" w:cs="宋体"/>
                <w:color w:val="auto"/>
                <w:szCs w:val="22"/>
                <w:highlight w:val="none"/>
              </w:rPr>
              <w:t>（</w:t>
            </w:r>
            <w:r>
              <w:rPr>
                <w:rFonts w:hint="eastAsia" w:ascii="宋体" w:hAnsi="宋体" w:cs="宋体"/>
                <w:color w:val="auto"/>
                <w:szCs w:val="22"/>
                <w:highlight w:val="none"/>
                <w:lang w:val="en-US" w:eastAsia="zh-CN"/>
              </w:rPr>
              <w:t>2</w:t>
            </w:r>
            <w:r>
              <w:rPr>
                <w:rFonts w:hint="eastAsia" w:ascii="宋体" w:hAnsi="宋体" w:cs="宋体"/>
                <w:color w:val="auto"/>
                <w:szCs w:val="22"/>
                <w:highlight w:val="none"/>
              </w:rPr>
              <w:t>分）：专业配套的人员具备相关岗位证书，拟派安全员须具备安全生产考核合格证，且拟投入的项目管理人员符合国家及广西壮族自治区的规定。其中：配备施工员不少于1名并具有中级或以上职称、配备质量员不少于1名并具有中级或以上职称、材料员不少于1名并具有中级或以上职称，人员满足施工需要，管理人员配备齐全。</w:t>
            </w:r>
          </w:p>
          <w:p w14:paraId="5F58715E">
            <w:pPr>
              <w:keepNext w:val="0"/>
              <w:keepLines w:val="0"/>
              <w:suppressLineNumbers w:val="0"/>
              <w:spacing w:before="0" w:beforeAutospacing="0" w:after="0" w:afterAutospacing="0" w:line="360" w:lineRule="auto"/>
              <w:ind w:left="0" w:right="0"/>
              <w:jc w:val="left"/>
              <w:rPr>
                <w:rFonts w:hint="eastAsia" w:ascii="宋体" w:hAnsi="宋体" w:eastAsia="宋体" w:cs="宋体"/>
                <w:spacing w:val="-1"/>
                <w:sz w:val="21"/>
                <w:szCs w:val="21"/>
                <w:highlight w:val="none"/>
              </w:rPr>
            </w:pPr>
            <w:r>
              <w:rPr>
                <w:rFonts w:hint="eastAsia" w:ascii="宋体" w:hAnsi="宋体" w:eastAsia="宋体" w:cs="宋体"/>
                <w:color w:val="auto"/>
                <w:szCs w:val="22"/>
                <w:highlight w:val="none"/>
                <w:lang w:val="en-US" w:eastAsia="zh-CN"/>
              </w:rPr>
              <w:t>注：</w:t>
            </w:r>
            <w:r>
              <w:rPr>
                <w:rFonts w:hint="eastAsia" w:ascii="宋体" w:hAnsi="宋体" w:cs="宋体"/>
                <w:color w:val="auto"/>
                <w:szCs w:val="22"/>
                <w:highlight w:val="none"/>
              </w:rPr>
              <w:t>响应文件提供职称证书证明材料（加盖供应商公章），并提供作为本公司正式员工的相关证明材料（如劳动合同、协议等），不提供的不得分</w:t>
            </w:r>
            <w:r>
              <w:rPr>
                <w:rFonts w:hint="eastAsia" w:ascii="宋体" w:hAnsi="宋体" w:cs="宋体"/>
                <w:color w:val="auto"/>
                <w:szCs w:val="22"/>
                <w:highlight w:val="none"/>
                <w:lang w:eastAsia="zh-CN"/>
              </w:rPr>
              <w:t>。</w:t>
            </w:r>
          </w:p>
        </w:tc>
      </w:tr>
      <w:tr w14:paraId="0648C32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120" w:hRule="atLeast"/>
          <w:jc w:val="center"/>
        </w:trPr>
        <w:tc>
          <w:tcPr>
            <w:tcW w:w="780" w:type="dxa"/>
            <w:noWrap w:val="0"/>
            <w:vAlign w:val="center"/>
          </w:tcPr>
          <w:p w14:paraId="3B0199ED">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r>
              <w:rPr>
                <w:rFonts w:hint="eastAsia" w:ascii="宋体" w:hAnsi="宋体" w:cs="Times New Roman"/>
                <w:bCs/>
                <w:szCs w:val="21"/>
                <w:highlight w:val="none"/>
              </w:rPr>
              <w:t>2.</w:t>
            </w:r>
            <w:r>
              <w:rPr>
                <w:rFonts w:hint="eastAsia" w:ascii="宋体" w:hAnsi="宋体" w:cs="Times New Roman"/>
                <w:bCs/>
                <w:szCs w:val="21"/>
                <w:highlight w:val="none"/>
                <w:lang w:val="en-US" w:eastAsia="zh-CN"/>
              </w:rPr>
              <w:t>2</w:t>
            </w:r>
          </w:p>
        </w:tc>
        <w:tc>
          <w:tcPr>
            <w:tcW w:w="823" w:type="dxa"/>
            <w:vMerge w:val="restart"/>
            <w:noWrap w:val="0"/>
            <w:vAlign w:val="center"/>
          </w:tcPr>
          <w:p w14:paraId="517230A8">
            <w:pPr>
              <w:keepNext w:val="0"/>
              <w:keepLines w:val="0"/>
              <w:suppressLineNumbers w:val="0"/>
              <w:spacing w:before="0" w:beforeAutospacing="0" w:after="0" w:afterAutospacing="0" w:line="380" w:lineRule="exact"/>
              <w:ind w:left="0" w:right="0"/>
              <w:jc w:val="center"/>
              <w:rPr>
                <w:rFonts w:hint="default" w:ascii="Times New Roman" w:hAnsi="宋体" w:cs="Times New Roman"/>
                <w:b/>
                <w:sz w:val="21"/>
                <w:szCs w:val="21"/>
                <w:highlight w:val="none"/>
              </w:rPr>
            </w:pPr>
            <w:r>
              <w:rPr>
                <w:rFonts w:hint="eastAsia" w:ascii="宋体" w:hAnsi="宋体" w:cs="宋体"/>
                <w:b/>
                <w:bCs w:val="0"/>
                <w:szCs w:val="21"/>
                <w:highlight w:val="none"/>
              </w:rPr>
              <w:t>施工组织设计</w:t>
            </w:r>
            <w:r>
              <w:rPr>
                <w:rFonts w:hint="eastAsia" w:ascii="宋体" w:hAnsi="宋体" w:cs="Tahoma"/>
                <w:b/>
                <w:bCs w:val="0"/>
                <w:szCs w:val="21"/>
                <w:highlight w:val="none"/>
              </w:rPr>
              <w:t>（</w:t>
            </w:r>
            <w:r>
              <w:rPr>
                <w:rFonts w:hint="eastAsia" w:ascii="宋体" w:hAnsi="宋体" w:cs="Tahoma"/>
                <w:b/>
                <w:bCs/>
                <w:szCs w:val="21"/>
                <w:highlight w:val="none"/>
                <w:lang w:eastAsia="zh-CN"/>
              </w:rPr>
              <w:t>满分</w:t>
            </w:r>
            <w:r>
              <w:rPr>
                <w:rFonts w:hint="eastAsia" w:ascii="宋体" w:hAnsi="宋体" w:cs="Tahoma"/>
                <w:b/>
                <w:bCs/>
                <w:szCs w:val="21"/>
                <w:highlight w:val="none"/>
                <w:lang w:val="en-US" w:eastAsia="zh-CN"/>
              </w:rPr>
              <w:t>63</w:t>
            </w:r>
            <w:r>
              <w:rPr>
                <w:rFonts w:hint="eastAsia" w:ascii="宋体" w:hAnsi="宋体" w:cs="Tahoma"/>
                <w:b/>
                <w:bCs/>
                <w:szCs w:val="21"/>
                <w:highlight w:val="none"/>
              </w:rPr>
              <w:t>分）</w:t>
            </w:r>
          </w:p>
        </w:tc>
        <w:tc>
          <w:tcPr>
            <w:tcW w:w="1207" w:type="dxa"/>
            <w:gridSpan w:val="2"/>
            <w:noWrap w:val="0"/>
            <w:vAlign w:val="center"/>
          </w:tcPr>
          <w:p w14:paraId="2894B388">
            <w:pPr>
              <w:keepNext w:val="0"/>
              <w:keepLines w:val="0"/>
              <w:suppressLineNumbers w:val="0"/>
              <w:spacing w:before="0" w:beforeAutospacing="0" w:after="0" w:afterAutospacing="0" w:line="380" w:lineRule="exact"/>
              <w:ind w:left="0" w:right="0"/>
              <w:jc w:val="left"/>
              <w:rPr>
                <w:rFonts w:hint="eastAsia" w:ascii="宋体" w:hAnsi="宋体" w:cs="Times New Roman"/>
                <w:highlight w:val="none"/>
              </w:rPr>
            </w:pPr>
            <w:r>
              <w:rPr>
                <w:rFonts w:hint="eastAsia" w:ascii="宋体" w:hAnsi="宋体" w:cs="宋体"/>
                <w:b/>
                <w:bCs/>
                <w:szCs w:val="21"/>
                <w:highlight w:val="none"/>
              </w:rPr>
              <w:t>主要施工方法（</w:t>
            </w:r>
            <w:r>
              <w:rPr>
                <w:rFonts w:hint="eastAsia" w:ascii="宋体" w:hAnsi="宋体" w:cs="宋体"/>
                <w:b/>
                <w:bCs/>
                <w:szCs w:val="21"/>
                <w:highlight w:val="none"/>
                <w:lang w:val="en-US" w:eastAsia="zh-CN"/>
              </w:rPr>
              <w:t>16</w:t>
            </w:r>
            <w:r>
              <w:rPr>
                <w:rFonts w:hint="eastAsia" w:ascii="宋体" w:hAnsi="宋体" w:cs="宋体"/>
                <w:b/>
                <w:bCs/>
                <w:szCs w:val="21"/>
                <w:highlight w:val="none"/>
              </w:rPr>
              <w:t>分）</w:t>
            </w:r>
          </w:p>
        </w:tc>
        <w:tc>
          <w:tcPr>
            <w:tcW w:w="6066" w:type="dxa"/>
            <w:noWrap w:val="0"/>
            <w:vAlign w:val="center"/>
          </w:tcPr>
          <w:p w14:paraId="715E9286">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一档</w:t>
            </w:r>
            <w:r>
              <w:rPr>
                <w:rFonts w:hint="eastAsia" w:ascii="宋体" w:hAnsi="宋体" w:cs="宋体"/>
                <w:szCs w:val="21"/>
                <w:highlight w:val="none"/>
              </w:rPr>
              <w:t>（1</w:t>
            </w:r>
            <w:r>
              <w:rPr>
                <w:rFonts w:hint="eastAsia" w:ascii="宋体" w:hAnsi="宋体" w:cs="宋体"/>
                <w:szCs w:val="21"/>
                <w:highlight w:val="none"/>
                <w:lang w:val="en-US" w:eastAsia="zh-CN"/>
              </w:rPr>
              <w:t>6</w:t>
            </w:r>
            <w:r>
              <w:rPr>
                <w:rFonts w:hint="eastAsia" w:ascii="宋体" w:hAnsi="宋体" w:cs="宋体"/>
                <w:szCs w:val="21"/>
                <w:highlight w:val="none"/>
              </w:rPr>
              <w:t>分）：各主要分部施工方法符合项目实际，有详尽的、图文并茂的施工技术方案，工艺</w:t>
            </w:r>
            <w:bookmarkStart w:id="82" w:name="REVIEW_BM_1149"/>
            <w:r>
              <w:rPr>
                <w:rFonts w:hint="eastAsia" w:ascii="宋体" w:hAnsi="宋体" w:cs="宋体"/>
                <w:szCs w:val="21"/>
                <w:highlight w:val="none"/>
              </w:rPr>
              <w:t>先进</w:t>
            </w:r>
            <w:bookmarkEnd w:id="82"/>
            <w:r>
              <w:rPr>
                <w:rFonts w:hint="eastAsia" w:ascii="宋体" w:hAnsi="宋体" w:cs="宋体"/>
                <w:szCs w:val="21"/>
                <w:highlight w:val="none"/>
              </w:rPr>
              <w:t>、方法</w:t>
            </w:r>
            <w:bookmarkStart w:id="83" w:name="REVIEW_BM_1148"/>
            <w:r>
              <w:rPr>
                <w:rFonts w:hint="eastAsia" w:ascii="宋体" w:hAnsi="宋体" w:cs="宋体"/>
                <w:szCs w:val="21"/>
                <w:highlight w:val="none"/>
              </w:rPr>
              <w:t>科学合理</w:t>
            </w:r>
            <w:bookmarkEnd w:id="83"/>
            <w:r>
              <w:rPr>
                <w:rFonts w:hint="eastAsia" w:ascii="宋体" w:hAnsi="宋体" w:cs="宋体"/>
                <w:szCs w:val="21"/>
                <w:highlight w:val="none"/>
              </w:rPr>
              <w:t>、可行，对工艺、方法有具体的文字介绍及图表展示，能指导具体施工并确保安全。</w:t>
            </w:r>
          </w:p>
          <w:p w14:paraId="10A76866">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二档</w:t>
            </w:r>
            <w:r>
              <w:rPr>
                <w:rFonts w:hint="eastAsia" w:ascii="宋体" w:hAnsi="宋体" w:cs="宋体"/>
                <w:szCs w:val="21"/>
                <w:highlight w:val="none"/>
              </w:rPr>
              <w:t>（1</w:t>
            </w:r>
            <w:r>
              <w:rPr>
                <w:rFonts w:hint="eastAsia" w:ascii="宋体" w:hAnsi="宋体" w:cs="宋体"/>
                <w:szCs w:val="21"/>
                <w:highlight w:val="none"/>
                <w:lang w:val="en-US" w:eastAsia="zh-CN"/>
              </w:rPr>
              <w:t>1</w:t>
            </w:r>
            <w:r>
              <w:rPr>
                <w:rFonts w:hint="eastAsia" w:ascii="宋体" w:hAnsi="宋体" w:cs="宋体"/>
                <w:szCs w:val="21"/>
                <w:highlight w:val="none"/>
              </w:rPr>
              <w:t>分）：各主要分部施工方法符合项目实际，有详尽的施工技术方案，工艺、方法与项目实际要求相符，能指导具体施工并确保安全</w:t>
            </w:r>
            <w:r>
              <w:rPr>
                <w:rFonts w:hint="eastAsia" w:ascii="宋体" w:hAnsi="宋体" w:cs="宋体"/>
                <w:szCs w:val="21"/>
                <w:highlight w:val="none"/>
                <w:lang w:eastAsia="zh-CN"/>
              </w:rPr>
              <w:t>。</w:t>
            </w:r>
          </w:p>
          <w:p w14:paraId="7FBB5B37">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三档</w:t>
            </w:r>
            <w:r>
              <w:rPr>
                <w:rFonts w:hint="eastAsia" w:ascii="宋体" w:hAnsi="宋体" w:cs="宋体"/>
                <w:szCs w:val="21"/>
                <w:highlight w:val="none"/>
              </w:rPr>
              <w:t>（</w:t>
            </w:r>
            <w:r>
              <w:rPr>
                <w:rFonts w:hint="eastAsia" w:ascii="宋体" w:hAnsi="宋体" w:cs="宋体"/>
                <w:szCs w:val="21"/>
                <w:highlight w:val="none"/>
                <w:lang w:val="en-US" w:eastAsia="zh-CN"/>
              </w:rPr>
              <w:t>6</w:t>
            </w:r>
            <w:r>
              <w:rPr>
                <w:rFonts w:hint="eastAsia" w:ascii="宋体" w:hAnsi="宋体" w:cs="宋体"/>
                <w:szCs w:val="21"/>
                <w:highlight w:val="none"/>
              </w:rPr>
              <w:t>分）：各主要分部施工方法符合项目实际，有主要工序的施工技术方案，工艺、方法基本满足项目要求，能指导具体施工并确保安全。</w:t>
            </w:r>
          </w:p>
          <w:p w14:paraId="325C0BE8">
            <w:pPr>
              <w:keepNext w:val="0"/>
              <w:keepLines w:val="0"/>
              <w:suppressLineNumbers w:val="0"/>
              <w:spacing w:before="0" w:beforeAutospacing="0" w:after="0" w:afterAutospacing="0" w:line="380" w:lineRule="exact"/>
              <w:ind w:left="0" w:right="0"/>
              <w:jc w:val="left"/>
              <w:rPr>
                <w:rFonts w:hint="eastAsia" w:ascii="Times New Roman" w:hAnsi="宋体" w:cs="Times New Roman"/>
                <w:b/>
                <w:szCs w:val="21"/>
                <w:highlight w:val="none"/>
              </w:rPr>
            </w:pPr>
            <w:r>
              <w:rPr>
                <w:rFonts w:hint="eastAsia" w:ascii="宋体" w:hAnsi="宋体" w:cs="宋体"/>
                <w:szCs w:val="21"/>
                <w:highlight w:val="none"/>
                <w:lang w:val="en-US" w:eastAsia="zh-CN"/>
              </w:rPr>
              <w:t>四档</w:t>
            </w:r>
            <w:r>
              <w:rPr>
                <w:rFonts w:hint="eastAsia" w:ascii="宋体" w:hAnsi="宋体" w:cs="宋体"/>
                <w:szCs w:val="21"/>
                <w:highlight w:val="none"/>
              </w:rPr>
              <w:t>（2分）：各主要分部施工方法针对性</w:t>
            </w:r>
            <w:bookmarkStart w:id="84" w:name="REVIEW_BM_1150"/>
            <w:r>
              <w:rPr>
                <w:rFonts w:hint="eastAsia" w:ascii="宋体" w:hAnsi="宋体" w:cs="宋体"/>
                <w:szCs w:val="21"/>
                <w:highlight w:val="none"/>
              </w:rPr>
              <w:t>较差</w:t>
            </w:r>
            <w:bookmarkEnd w:id="84"/>
            <w:r>
              <w:rPr>
                <w:rFonts w:hint="eastAsia" w:ascii="宋体" w:hAnsi="宋体" w:cs="宋体"/>
                <w:szCs w:val="21"/>
                <w:highlight w:val="none"/>
              </w:rPr>
              <w:t>，施工技术方案</w:t>
            </w:r>
            <w:bookmarkStart w:id="85" w:name="REVIEW_BM_1151"/>
            <w:r>
              <w:rPr>
                <w:rFonts w:hint="eastAsia" w:ascii="宋体" w:hAnsi="宋体" w:cs="宋体"/>
                <w:szCs w:val="21"/>
                <w:highlight w:val="none"/>
              </w:rPr>
              <w:t>较差</w:t>
            </w:r>
            <w:bookmarkEnd w:id="85"/>
            <w:r>
              <w:rPr>
                <w:rFonts w:hint="eastAsia" w:ascii="宋体" w:hAnsi="宋体" w:cs="宋体"/>
                <w:szCs w:val="21"/>
                <w:highlight w:val="none"/>
              </w:rPr>
              <w:t>，工艺</w:t>
            </w:r>
            <w:r>
              <w:rPr>
                <w:rFonts w:hint="eastAsia" w:ascii="宋体" w:hAnsi="宋体" w:cs="宋体"/>
                <w:szCs w:val="21"/>
                <w:highlight w:val="none"/>
                <w:lang w:eastAsia="zh-CN"/>
              </w:rPr>
              <w:t>、</w:t>
            </w:r>
            <w:r>
              <w:rPr>
                <w:rFonts w:hint="eastAsia" w:ascii="宋体" w:hAnsi="宋体" w:cs="宋体"/>
                <w:szCs w:val="21"/>
                <w:highlight w:val="none"/>
                <w:lang w:val="en-US" w:eastAsia="zh-CN"/>
              </w:rPr>
              <w:t>方法</w:t>
            </w:r>
            <w:r>
              <w:rPr>
                <w:rFonts w:hint="eastAsia" w:ascii="宋体" w:hAnsi="宋体" w:cs="宋体"/>
                <w:szCs w:val="21"/>
                <w:highlight w:val="none"/>
              </w:rPr>
              <w:t>落后，较难指导具体施工和确保安全。</w:t>
            </w:r>
          </w:p>
        </w:tc>
      </w:tr>
      <w:tr w14:paraId="124B579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80" w:type="dxa"/>
            <w:noWrap w:val="0"/>
            <w:vAlign w:val="center"/>
          </w:tcPr>
          <w:p w14:paraId="1258B070">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p>
        </w:tc>
        <w:tc>
          <w:tcPr>
            <w:tcW w:w="823" w:type="dxa"/>
            <w:vMerge w:val="continue"/>
            <w:noWrap w:val="0"/>
            <w:vAlign w:val="center"/>
          </w:tcPr>
          <w:p w14:paraId="36E6AF2F">
            <w:pPr>
              <w:keepNext w:val="0"/>
              <w:keepLines w:val="0"/>
              <w:suppressLineNumbers w:val="0"/>
              <w:spacing w:before="0" w:beforeAutospacing="0" w:after="0" w:afterAutospacing="0" w:line="380" w:lineRule="exact"/>
              <w:ind w:left="0" w:right="0"/>
              <w:jc w:val="center"/>
              <w:rPr>
                <w:rFonts w:hint="eastAsia" w:ascii="Times New Roman" w:hAnsi="宋体" w:cs="Times New Roman"/>
                <w:b/>
                <w:sz w:val="21"/>
                <w:szCs w:val="21"/>
                <w:highlight w:val="none"/>
              </w:rPr>
            </w:pPr>
          </w:p>
        </w:tc>
        <w:tc>
          <w:tcPr>
            <w:tcW w:w="1207" w:type="dxa"/>
            <w:gridSpan w:val="2"/>
            <w:noWrap w:val="0"/>
            <w:vAlign w:val="center"/>
          </w:tcPr>
          <w:p w14:paraId="62595A18">
            <w:pPr>
              <w:keepNext w:val="0"/>
              <w:keepLines w:val="0"/>
              <w:suppressLineNumbers w:val="0"/>
              <w:spacing w:before="0" w:beforeAutospacing="0" w:after="0" w:afterAutospacing="0" w:line="380" w:lineRule="exact"/>
              <w:ind w:left="0" w:right="0"/>
              <w:jc w:val="left"/>
              <w:rPr>
                <w:rFonts w:hint="eastAsia" w:ascii="Times New Roman" w:hAnsi="宋体" w:cs="Times New Roman"/>
                <w:b/>
                <w:bCs/>
                <w:szCs w:val="21"/>
                <w:highlight w:val="none"/>
              </w:rPr>
            </w:pPr>
            <w:r>
              <w:rPr>
                <w:rFonts w:hint="eastAsia" w:ascii="宋体" w:hAnsi="宋体" w:cs="宋体"/>
                <w:b/>
                <w:bCs/>
                <w:szCs w:val="21"/>
                <w:highlight w:val="none"/>
              </w:rPr>
              <w:t>拟投入的主要物资计划（</w:t>
            </w:r>
            <w:r>
              <w:rPr>
                <w:rFonts w:hint="eastAsia" w:ascii="宋体" w:hAnsi="宋体" w:cs="宋体"/>
                <w:b/>
                <w:bCs/>
                <w:szCs w:val="21"/>
                <w:highlight w:val="none"/>
                <w:lang w:val="en-US" w:eastAsia="zh-CN"/>
              </w:rPr>
              <w:t>9</w:t>
            </w:r>
            <w:r>
              <w:rPr>
                <w:rFonts w:hint="eastAsia" w:ascii="宋体" w:hAnsi="宋体" w:cs="宋体"/>
                <w:b/>
                <w:bCs/>
                <w:szCs w:val="21"/>
                <w:highlight w:val="none"/>
              </w:rPr>
              <w:t>分）</w:t>
            </w:r>
          </w:p>
        </w:tc>
        <w:tc>
          <w:tcPr>
            <w:tcW w:w="6066" w:type="dxa"/>
            <w:noWrap w:val="0"/>
            <w:vAlign w:val="center"/>
          </w:tcPr>
          <w:p w14:paraId="215F8D3E">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一档</w:t>
            </w:r>
            <w:r>
              <w:rPr>
                <w:rFonts w:hint="eastAsia" w:ascii="宋体" w:hAnsi="宋体" w:cs="宋体"/>
                <w:szCs w:val="21"/>
                <w:highlight w:val="none"/>
              </w:rPr>
              <w:t>（</w:t>
            </w:r>
            <w:r>
              <w:rPr>
                <w:rFonts w:hint="eastAsia" w:ascii="宋体" w:hAnsi="宋体" w:cs="宋体"/>
                <w:szCs w:val="21"/>
                <w:highlight w:val="none"/>
                <w:lang w:val="en-US" w:eastAsia="zh-CN"/>
              </w:rPr>
              <w:t>9</w:t>
            </w:r>
            <w:r>
              <w:rPr>
                <w:rFonts w:hint="eastAsia" w:ascii="宋体" w:hAnsi="宋体" w:cs="宋体"/>
                <w:szCs w:val="21"/>
                <w:highlight w:val="none"/>
              </w:rPr>
              <w:t>分）：投入的施工材料有详细的组织计划，且计划周密，数量、选型配置、进场时间安排合理，有建筑材料的资源稳定供应的保证措施，</w:t>
            </w:r>
            <w:r>
              <w:rPr>
                <w:rFonts w:hint="eastAsia" w:ascii="宋体" w:hAnsi="宋体" w:cs="宋体"/>
                <w:szCs w:val="21"/>
                <w:highlight w:val="none"/>
                <w:lang w:val="en-US" w:eastAsia="zh-CN"/>
              </w:rPr>
              <w:t>完全</w:t>
            </w:r>
            <w:r>
              <w:rPr>
                <w:rFonts w:hint="eastAsia" w:ascii="宋体" w:hAnsi="宋体" w:cs="宋体"/>
                <w:szCs w:val="21"/>
                <w:highlight w:val="none"/>
              </w:rPr>
              <w:t>满足施工需要。</w:t>
            </w:r>
          </w:p>
          <w:p w14:paraId="43CAEC2E">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二档</w:t>
            </w:r>
            <w:r>
              <w:rPr>
                <w:rFonts w:hint="eastAsia" w:ascii="宋体" w:hAnsi="宋体" w:cs="宋体"/>
                <w:szCs w:val="21"/>
                <w:highlight w:val="none"/>
              </w:rPr>
              <w:t>（</w:t>
            </w:r>
            <w:r>
              <w:rPr>
                <w:rFonts w:hint="eastAsia" w:ascii="宋体" w:hAnsi="宋体" w:cs="宋体"/>
                <w:szCs w:val="21"/>
                <w:highlight w:val="none"/>
                <w:lang w:val="en-US" w:eastAsia="zh-CN"/>
              </w:rPr>
              <w:t>7</w:t>
            </w:r>
            <w:r>
              <w:rPr>
                <w:rFonts w:hint="eastAsia" w:ascii="宋体" w:hAnsi="宋体" w:cs="宋体"/>
                <w:szCs w:val="21"/>
                <w:highlight w:val="none"/>
              </w:rPr>
              <w:t>分）：投入的施工材料有组织计划，且计划比较周密，数量、选型配置、进场时间安排比较合理，满足施工需要。</w:t>
            </w:r>
          </w:p>
          <w:p w14:paraId="5C56B1F4">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三档</w:t>
            </w: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分）：投入的施工材料有组织计划，但计划选型配置、进场时间安排中等，</w:t>
            </w:r>
            <w:r>
              <w:rPr>
                <w:rFonts w:hint="eastAsia" w:ascii="宋体" w:hAnsi="宋体" w:cs="宋体"/>
                <w:szCs w:val="21"/>
                <w:highlight w:val="none"/>
                <w:lang w:val="en-US" w:eastAsia="zh-CN"/>
              </w:rPr>
              <w:t>可以</w:t>
            </w:r>
            <w:r>
              <w:rPr>
                <w:rFonts w:hint="eastAsia" w:ascii="宋体" w:hAnsi="宋体" w:cs="宋体"/>
                <w:szCs w:val="21"/>
                <w:highlight w:val="none"/>
              </w:rPr>
              <w:t>满足施工需要。</w:t>
            </w:r>
          </w:p>
          <w:p w14:paraId="6E261DDE">
            <w:pPr>
              <w:keepNext w:val="0"/>
              <w:keepLines w:val="0"/>
              <w:suppressLineNumbers w:val="0"/>
              <w:spacing w:before="0" w:beforeAutospacing="0" w:after="0" w:afterAutospacing="0" w:line="380" w:lineRule="exact"/>
              <w:ind w:left="0" w:right="0"/>
              <w:jc w:val="left"/>
              <w:rPr>
                <w:rFonts w:hint="eastAsia" w:ascii="Times New Roman" w:hAnsi="宋体" w:cs="Times New Roman"/>
                <w:b/>
                <w:szCs w:val="21"/>
                <w:highlight w:val="none"/>
              </w:rPr>
            </w:pPr>
            <w:r>
              <w:rPr>
                <w:rFonts w:hint="eastAsia" w:ascii="宋体" w:hAnsi="宋体" w:cs="宋体"/>
                <w:szCs w:val="21"/>
                <w:highlight w:val="none"/>
                <w:lang w:val="en-US" w:eastAsia="zh-CN"/>
              </w:rPr>
              <w:t>四档</w:t>
            </w:r>
            <w:r>
              <w:rPr>
                <w:rFonts w:hint="eastAsia" w:ascii="宋体" w:hAnsi="宋体" w:cs="宋体"/>
                <w:szCs w:val="21"/>
                <w:highlight w:val="none"/>
              </w:rPr>
              <w:t>（2 分）：投入的施工材料有组织计划，但计划选型配置、进场时间安排</w:t>
            </w:r>
            <w:bookmarkStart w:id="86" w:name="REVIEW_BM_1152"/>
            <w:r>
              <w:rPr>
                <w:rFonts w:hint="eastAsia" w:ascii="宋体" w:hAnsi="宋体" w:cs="宋体"/>
                <w:szCs w:val="21"/>
                <w:highlight w:val="none"/>
              </w:rPr>
              <w:t>一般</w:t>
            </w:r>
            <w:bookmarkEnd w:id="86"/>
            <w:r>
              <w:rPr>
                <w:rFonts w:hint="eastAsia" w:ascii="宋体" w:hAnsi="宋体" w:cs="宋体"/>
                <w:szCs w:val="21"/>
                <w:highlight w:val="none"/>
              </w:rPr>
              <w:t>，基本满足施工需要。</w:t>
            </w:r>
          </w:p>
        </w:tc>
      </w:tr>
      <w:tr w14:paraId="5D4F91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80" w:type="dxa"/>
            <w:noWrap w:val="0"/>
            <w:vAlign w:val="center"/>
          </w:tcPr>
          <w:p w14:paraId="7B4756AA">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p>
        </w:tc>
        <w:tc>
          <w:tcPr>
            <w:tcW w:w="823" w:type="dxa"/>
            <w:vMerge w:val="continue"/>
            <w:noWrap w:val="0"/>
            <w:vAlign w:val="center"/>
          </w:tcPr>
          <w:p w14:paraId="7C63843F">
            <w:pPr>
              <w:keepNext w:val="0"/>
              <w:keepLines w:val="0"/>
              <w:suppressLineNumbers w:val="0"/>
              <w:spacing w:before="0" w:beforeAutospacing="0" w:after="0" w:afterAutospacing="0" w:line="380" w:lineRule="exact"/>
              <w:ind w:left="0" w:right="0"/>
              <w:jc w:val="center"/>
              <w:rPr>
                <w:rFonts w:hint="eastAsia" w:ascii="Times New Roman" w:hAnsi="宋体" w:cs="Times New Roman"/>
                <w:b/>
                <w:sz w:val="21"/>
                <w:szCs w:val="21"/>
                <w:highlight w:val="none"/>
              </w:rPr>
            </w:pPr>
          </w:p>
        </w:tc>
        <w:tc>
          <w:tcPr>
            <w:tcW w:w="1207" w:type="dxa"/>
            <w:gridSpan w:val="2"/>
            <w:noWrap w:val="0"/>
            <w:vAlign w:val="center"/>
          </w:tcPr>
          <w:p w14:paraId="4F709E95">
            <w:pPr>
              <w:keepNext w:val="0"/>
              <w:keepLines w:val="0"/>
              <w:suppressLineNumbers w:val="0"/>
              <w:spacing w:before="0" w:beforeAutospacing="0" w:after="0" w:afterAutospacing="0" w:line="380" w:lineRule="exact"/>
              <w:ind w:left="0" w:right="0"/>
              <w:jc w:val="left"/>
              <w:rPr>
                <w:rFonts w:hint="eastAsia" w:ascii="Times New Roman" w:hAnsi="宋体" w:cs="Times New Roman"/>
                <w:b/>
                <w:bCs/>
                <w:szCs w:val="21"/>
                <w:highlight w:val="none"/>
              </w:rPr>
            </w:pPr>
            <w:r>
              <w:rPr>
                <w:rFonts w:hint="eastAsia" w:ascii="宋体" w:hAnsi="宋体" w:cs="宋体"/>
                <w:b/>
                <w:bCs/>
                <w:szCs w:val="21"/>
                <w:highlight w:val="none"/>
              </w:rPr>
              <w:t>确保工程质量的技术组织措施（</w:t>
            </w:r>
            <w:r>
              <w:rPr>
                <w:rFonts w:hint="eastAsia" w:ascii="宋体" w:hAnsi="宋体" w:cs="宋体"/>
                <w:b/>
                <w:bCs/>
                <w:szCs w:val="21"/>
                <w:highlight w:val="none"/>
                <w:lang w:val="en-US" w:eastAsia="zh-CN"/>
              </w:rPr>
              <w:t>9</w:t>
            </w:r>
            <w:r>
              <w:rPr>
                <w:rFonts w:hint="eastAsia" w:ascii="宋体" w:hAnsi="宋体" w:cs="宋体"/>
                <w:b/>
                <w:bCs/>
                <w:szCs w:val="21"/>
                <w:highlight w:val="none"/>
              </w:rPr>
              <w:t>分）</w:t>
            </w:r>
          </w:p>
        </w:tc>
        <w:tc>
          <w:tcPr>
            <w:tcW w:w="6066" w:type="dxa"/>
            <w:noWrap w:val="0"/>
            <w:vAlign w:val="center"/>
          </w:tcPr>
          <w:p w14:paraId="5D673BB1">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一档（</w:t>
            </w:r>
            <w:r>
              <w:rPr>
                <w:rFonts w:hint="eastAsia" w:ascii="宋体" w:hAnsi="宋体" w:cs="宋体"/>
                <w:szCs w:val="21"/>
                <w:highlight w:val="none"/>
                <w:lang w:val="en-US" w:eastAsia="zh-CN"/>
              </w:rPr>
              <w:t>9</w:t>
            </w:r>
            <w:r>
              <w:rPr>
                <w:rFonts w:hint="eastAsia" w:ascii="宋体" w:hAnsi="宋体" w:cs="宋体"/>
                <w:szCs w:val="21"/>
                <w:highlight w:val="none"/>
              </w:rPr>
              <w:t>分）：有专门的质量技术管理班子和制度，人员配备合理，制度健全。主要工序有质量技术保证措施和手段</w:t>
            </w:r>
            <w:bookmarkStart w:id="87" w:name="REVIEW_BM_1153"/>
            <w:r>
              <w:rPr>
                <w:rFonts w:hint="eastAsia" w:ascii="宋体" w:hAnsi="宋体" w:cs="宋体"/>
                <w:szCs w:val="21"/>
                <w:highlight w:val="none"/>
              </w:rPr>
              <w:t>科学合理</w:t>
            </w:r>
            <w:bookmarkEnd w:id="87"/>
            <w:r>
              <w:rPr>
                <w:rFonts w:hint="eastAsia" w:ascii="宋体" w:hAnsi="宋体" w:cs="宋体"/>
                <w:szCs w:val="21"/>
                <w:highlight w:val="none"/>
              </w:rPr>
              <w:t>，且</w:t>
            </w:r>
            <w:bookmarkStart w:id="88" w:name="REVIEW_BM_1154"/>
            <w:r>
              <w:rPr>
                <w:rFonts w:hint="eastAsia" w:ascii="宋体" w:hAnsi="宋体" w:cs="宋体"/>
                <w:szCs w:val="21"/>
                <w:highlight w:val="none"/>
              </w:rPr>
              <w:t>先进</w:t>
            </w:r>
            <w:bookmarkEnd w:id="88"/>
            <w:r>
              <w:rPr>
                <w:rFonts w:hint="eastAsia" w:ascii="宋体" w:hAnsi="宋体" w:cs="宋体"/>
                <w:szCs w:val="21"/>
                <w:highlight w:val="none"/>
              </w:rPr>
              <w:t>、具体，自控体系完整，能有效保证技术质量，达到承诺的质量标准。</w:t>
            </w:r>
          </w:p>
          <w:p w14:paraId="1D3CA715">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二档（</w:t>
            </w:r>
            <w:r>
              <w:rPr>
                <w:rFonts w:hint="eastAsia" w:ascii="宋体" w:hAnsi="宋体" w:cs="宋体"/>
                <w:szCs w:val="21"/>
                <w:highlight w:val="none"/>
                <w:lang w:val="en-US" w:eastAsia="zh-CN"/>
              </w:rPr>
              <w:t>7</w:t>
            </w:r>
            <w:r>
              <w:rPr>
                <w:rFonts w:hint="eastAsia" w:ascii="宋体" w:hAnsi="宋体" w:cs="宋体"/>
                <w:szCs w:val="21"/>
                <w:highlight w:val="none"/>
              </w:rPr>
              <w:t>分）：有专门的质量技术管理班子和制度，人员配备合理，制度健全。主要工序有质量技术保证措施和手段合理，自控体系完整，能有效保证技术质量，达到承诺的质量标准。</w:t>
            </w:r>
          </w:p>
          <w:p w14:paraId="6AD864C4">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三档（</w:t>
            </w:r>
            <w:r>
              <w:rPr>
                <w:rFonts w:hint="eastAsia" w:ascii="宋体" w:hAnsi="宋体" w:cs="宋体"/>
                <w:szCs w:val="21"/>
                <w:highlight w:val="none"/>
                <w:lang w:val="en-US" w:eastAsia="zh-CN"/>
              </w:rPr>
              <w:t>5</w:t>
            </w:r>
            <w:r>
              <w:rPr>
                <w:rFonts w:hint="eastAsia" w:ascii="宋体" w:hAnsi="宋体" w:cs="宋体"/>
                <w:szCs w:val="21"/>
                <w:highlight w:val="none"/>
              </w:rPr>
              <w:t>分）：质量技术管理班子配备基本合理，制度基本健全。主要工序有质量技术保证措施和手段基本合理，自控体系基本合理，能基本保证技术质量，基本达到承诺的质量标准。</w:t>
            </w:r>
          </w:p>
          <w:p w14:paraId="48494B97">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lang w:val="en-US" w:eastAsia="zh-CN"/>
              </w:rPr>
              <w:t>四</w:t>
            </w:r>
            <w:r>
              <w:rPr>
                <w:rFonts w:hint="eastAsia" w:ascii="宋体" w:hAnsi="宋体" w:cs="宋体"/>
                <w:szCs w:val="21"/>
                <w:highlight w:val="none"/>
              </w:rPr>
              <w:t>档（</w:t>
            </w:r>
            <w:r>
              <w:rPr>
                <w:rFonts w:hint="eastAsia" w:ascii="宋体" w:hAnsi="宋体" w:cs="宋体"/>
                <w:szCs w:val="21"/>
                <w:highlight w:val="none"/>
                <w:lang w:val="en-US" w:eastAsia="zh-CN"/>
              </w:rPr>
              <w:t>2</w:t>
            </w:r>
            <w:r>
              <w:rPr>
                <w:rFonts w:hint="eastAsia" w:ascii="宋体" w:hAnsi="宋体" w:cs="宋体"/>
                <w:szCs w:val="21"/>
                <w:highlight w:val="none"/>
              </w:rPr>
              <w:t>分）：质量技术管理班子配备</w:t>
            </w:r>
            <w:bookmarkStart w:id="89" w:name="REVIEW_BM_1156"/>
            <w:r>
              <w:rPr>
                <w:rFonts w:hint="eastAsia" w:ascii="宋体" w:hAnsi="宋体" w:cs="宋体"/>
                <w:szCs w:val="21"/>
                <w:highlight w:val="none"/>
              </w:rPr>
              <w:t>简单</w:t>
            </w:r>
            <w:bookmarkEnd w:id="89"/>
            <w:r>
              <w:rPr>
                <w:rFonts w:hint="eastAsia" w:ascii="宋体" w:hAnsi="宋体" w:cs="宋体"/>
                <w:szCs w:val="21"/>
                <w:highlight w:val="none"/>
              </w:rPr>
              <w:t>，制度</w:t>
            </w:r>
            <w:bookmarkStart w:id="90" w:name="REVIEW_BM_1157"/>
            <w:r>
              <w:rPr>
                <w:rFonts w:hint="eastAsia" w:ascii="宋体" w:hAnsi="宋体" w:cs="宋体"/>
                <w:szCs w:val="21"/>
                <w:highlight w:val="none"/>
              </w:rPr>
              <w:t>简单</w:t>
            </w:r>
            <w:bookmarkEnd w:id="90"/>
            <w:r>
              <w:rPr>
                <w:rFonts w:hint="eastAsia" w:ascii="宋体" w:hAnsi="宋体" w:cs="宋体"/>
                <w:szCs w:val="21"/>
                <w:highlight w:val="none"/>
              </w:rPr>
              <w:t>。主要工序有质量技术保证措施和手段</w:t>
            </w:r>
            <w:bookmarkStart w:id="91" w:name="REVIEW_BM_1158"/>
            <w:r>
              <w:rPr>
                <w:rFonts w:hint="eastAsia" w:ascii="宋体" w:hAnsi="宋体" w:cs="宋体"/>
                <w:szCs w:val="21"/>
                <w:highlight w:val="none"/>
              </w:rPr>
              <w:t>简单</w:t>
            </w:r>
            <w:bookmarkEnd w:id="91"/>
            <w:r>
              <w:rPr>
                <w:rFonts w:hint="eastAsia" w:ascii="宋体" w:hAnsi="宋体" w:cs="宋体"/>
                <w:szCs w:val="21"/>
                <w:highlight w:val="none"/>
              </w:rPr>
              <w:t>或缺项，自控体系</w:t>
            </w:r>
            <w:bookmarkStart w:id="92" w:name="REVIEW_BM_1155"/>
            <w:r>
              <w:rPr>
                <w:rFonts w:hint="eastAsia" w:ascii="宋体" w:hAnsi="宋体" w:cs="宋体"/>
                <w:szCs w:val="21"/>
                <w:highlight w:val="none"/>
              </w:rPr>
              <w:t>一般</w:t>
            </w:r>
            <w:bookmarkEnd w:id="92"/>
            <w:r>
              <w:rPr>
                <w:rFonts w:hint="eastAsia" w:ascii="宋体" w:hAnsi="宋体" w:cs="宋体"/>
                <w:szCs w:val="21"/>
                <w:highlight w:val="none"/>
              </w:rPr>
              <w:t>，能基本保证技术质量，基本达到承诺的质量标准。</w:t>
            </w:r>
          </w:p>
        </w:tc>
      </w:tr>
      <w:tr w14:paraId="266C331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80" w:type="dxa"/>
            <w:noWrap w:val="0"/>
            <w:vAlign w:val="center"/>
          </w:tcPr>
          <w:p w14:paraId="6356D1E8">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p>
        </w:tc>
        <w:tc>
          <w:tcPr>
            <w:tcW w:w="823" w:type="dxa"/>
            <w:vMerge w:val="continue"/>
            <w:noWrap w:val="0"/>
            <w:vAlign w:val="center"/>
          </w:tcPr>
          <w:p w14:paraId="056FB1EF">
            <w:pPr>
              <w:keepNext w:val="0"/>
              <w:keepLines w:val="0"/>
              <w:suppressLineNumbers w:val="0"/>
              <w:spacing w:before="0" w:beforeAutospacing="0" w:after="0" w:afterAutospacing="0" w:line="380" w:lineRule="exact"/>
              <w:ind w:left="0" w:right="0"/>
              <w:jc w:val="center"/>
              <w:rPr>
                <w:rFonts w:hint="eastAsia" w:ascii="Times New Roman" w:hAnsi="宋体" w:cs="Times New Roman"/>
                <w:b/>
                <w:sz w:val="21"/>
                <w:szCs w:val="21"/>
                <w:highlight w:val="none"/>
              </w:rPr>
            </w:pPr>
          </w:p>
        </w:tc>
        <w:tc>
          <w:tcPr>
            <w:tcW w:w="1207" w:type="dxa"/>
            <w:gridSpan w:val="2"/>
            <w:noWrap w:val="0"/>
            <w:vAlign w:val="center"/>
          </w:tcPr>
          <w:p w14:paraId="3D6F0910">
            <w:pPr>
              <w:keepNext w:val="0"/>
              <w:keepLines w:val="0"/>
              <w:suppressLineNumbers w:val="0"/>
              <w:spacing w:before="0" w:beforeAutospacing="0" w:after="0" w:afterAutospacing="0" w:line="380" w:lineRule="exact"/>
              <w:ind w:left="0" w:right="0"/>
              <w:jc w:val="left"/>
              <w:rPr>
                <w:rFonts w:hint="eastAsia" w:ascii="宋体" w:hAnsi="宋体" w:cs="宋体"/>
                <w:b/>
                <w:bCs/>
                <w:szCs w:val="21"/>
                <w:highlight w:val="none"/>
              </w:rPr>
            </w:pPr>
            <w:r>
              <w:rPr>
                <w:rFonts w:hint="eastAsia" w:ascii="宋体" w:hAnsi="宋体" w:cs="宋体"/>
                <w:b/>
                <w:bCs/>
                <w:szCs w:val="21"/>
                <w:highlight w:val="none"/>
              </w:rPr>
              <w:t>确保安全</w:t>
            </w:r>
            <w:r>
              <w:rPr>
                <w:rFonts w:hint="eastAsia" w:ascii="宋体" w:hAnsi="宋体" w:cs="宋体"/>
                <w:b/>
                <w:bCs/>
                <w:szCs w:val="21"/>
                <w:highlight w:val="none"/>
                <w:lang w:val="en-US" w:eastAsia="zh-CN"/>
              </w:rPr>
              <w:t>生产</w:t>
            </w:r>
            <w:r>
              <w:rPr>
                <w:rFonts w:hint="eastAsia" w:ascii="宋体" w:hAnsi="宋体" w:cs="宋体"/>
                <w:b/>
                <w:bCs/>
                <w:szCs w:val="21"/>
                <w:highlight w:val="none"/>
              </w:rPr>
              <w:t>的技术组织措施（</w:t>
            </w:r>
            <w:r>
              <w:rPr>
                <w:rFonts w:hint="eastAsia" w:ascii="宋体" w:hAnsi="宋体" w:cs="宋体"/>
                <w:b/>
                <w:bCs/>
                <w:szCs w:val="21"/>
                <w:highlight w:val="none"/>
                <w:lang w:val="en-US" w:eastAsia="zh-CN"/>
              </w:rPr>
              <w:t>9</w:t>
            </w:r>
            <w:r>
              <w:rPr>
                <w:rFonts w:hint="eastAsia" w:ascii="宋体" w:hAnsi="宋体" w:cs="宋体"/>
                <w:b/>
                <w:bCs/>
                <w:szCs w:val="21"/>
                <w:highlight w:val="none"/>
              </w:rPr>
              <w:t>分）</w:t>
            </w:r>
          </w:p>
        </w:tc>
        <w:tc>
          <w:tcPr>
            <w:tcW w:w="6066" w:type="dxa"/>
            <w:noWrap w:val="0"/>
            <w:vAlign w:val="center"/>
          </w:tcPr>
          <w:p w14:paraId="120BF24F">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rPr>
              <w:t>一档（</w:t>
            </w:r>
            <w:r>
              <w:rPr>
                <w:rFonts w:hint="eastAsia" w:ascii="宋体" w:hAnsi="宋体" w:cs="宋体"/>
                <w:szCs w:val="21"/>
                <w:highlight w:val="none"/>
                <w:lang w:val="en-US" w:eastAsia="zh-CN"/>
              </w:rPr>
              <w:t>9</w:t>
            </w:r>
            <w:r>
              <w:rPr>
                <w:rFonts w:hint="eastAsia" w:ascii="宋体" w:hAnsi="宋体" w:cs="宋体"/>
                <w:szCs w:val="21"/>
                <w:highlight w:val="none"/>
              </w:rPr>
              <w:t>分）：有专门的安全管理人员和制度，且人员配备合理，安全管理制度健全，各道工序安全技术措施针对性强，能针对本项目难点提出安全防范及控制措施，措施科学、合理、可行性高，确保安全生产的技术组织措施符合实际且完全满足有关安全技术标准要求。现场防火、应急救援、社会治安安全措施完善、得力、可行性高，能有效控制和防范安全事故发生。</w:t>
            </w:r>
          </w:p>
          <w:p w14:paraId="005D49F4">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rPr>
              <w:t>二档（</w:t>
            </w:r>
            <w:r>
              <w:rPr>
                <w:rFonts w:hint="eastAsia" w:ascii="宋体" w:hAnsi="宋体" w:cs="宋体"/>
                <w:szCs w:val="21"/>
                <w:highlight w:val="none"/>
                <w:lang w:val="en-US" w:eastAsia="zh-CN"/>
              </w:rPr>
              <w:t>7</w:t>
            </w:r>
            <w:r>
              <w:rPr>
                <w:rFonts w:hint="eastAsia" w:ascii="宋体" w:hAnsi="宋体" w:cs="宋体"/>
                <w:szCs w:val="21"/>
                <w:highlight w:val="none"/>
              </w:rPr>
              <w:t>分）：有专门的安全管理人员和制度，且人员配备</w:t>
            </w:r>
            <w:bookmarkStart w:id="93" w:name="REVIEW_BM_1159"/>
            <w:r>
              <w:rPr>
                <w:rFonts w:hint="eastAsia" w:ascii="宋体" w:hAnsi="宋体" w:cs="宋体"/>
                <w:szCs w:val="21"/>
                <w:highlight w:val="none"/>
              </w:rPr>
              <w:t>较合理</w:t>
            </w:r>
            <w:bookmarkEnd w:id="93"/>
            <w:r>
              <w:rPr>
                <w:rFonts w:hint="eastAsia" w:ascii="宋体" w:hAnsi="宋体" w:cs="宋体"/>
                <w:szCs w:val="21"/>
                <w:highlight w:val="none"/>
              </w:rPr>
              <w:t>，安全管理制度较健全，各道工序安全技术措施有针对性，能根据本项目难点提出安全防范及控制措施，措施合理可行，确保安全生产的技术组织措施符合实际且满足有关安全技术标准要求。现场防火、应急救援、社会治安安全措施</w:t>
            </w:r>
            <w:bookmarkStart w:id="94" w:name="REVIEW_BM_1160"/>
            <w:r>
              <w:rPr>
                <w:rFonts w:hint="eastAsia" w:ascii="宋体" w:hAnsi="宋体" w:cs="宋体"/>
                <w:szCs w:val="21"/>
                <w:highlight w:val="none"/>
              </w:rPr>
              <w:t>一般</w:t>
            </w:r>
            <w:bookmarkEnd w:id="94"/>
            <w:r>
              <w:rPr>
                <w:rFonts w:hint="eastAsia" w:ascii="宋体" w:hAnsi="宋体" w:cs="宋体"/>
                <w:szCs w:val="21"/>
                <w:highlight w:val="none"/>
              </w:rPr>
              <w:t>，能控制和防范安全事故发生。</w:t>
            </w:r>
          </w:p>
          <w:p w14:paraId="18C67D8F">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rPr>
              <w:t>三档（</w:t>
            </w:r>
            <w:r>
              <w:rPr>
                <w:rFonts w:hint="eastAsia" w:ascii="宋体" w:hAnsi="宋体" w:cs="宋体"/>
                <w:szCs w:val="21"/>
                <w:highlight w:val="none"/>
                <w:lang w:val="en-US" w:eastAsia="zh-CN"/>
              </w:rPr>
              <w:t>5</w:t>
            </w:r>
            <w:r>
              <w:rPr>
                <w:rFonts w:hint="eastAsia" w:ascii="宋体" w:hAnsi="宋体" w:cs="宋体"/>
                <w:szCs w:val="21"/>
                <w:highlight w:val="none"/>
              </w:rPr>
              <w:t>分）：有专门的安全管理人员和制度，且人员配备基本合理，安全管理制度基本健全，各道工序有安全技术措施，能根据本项目难点提出安全防范及控制措施，措施基本可行，确保安全生产的技术组织措施符合实际且基本满足有关安全技术标准要求。现场防火、应急救援、社会治安安全措施</w:t>
            </w:r>
            <w:bookmarkStart w:id="95" w:name="REVIEW_BM_1161"/>
            <w:r>
              <w:rPr>
                <w:rFonts w:hint="eastAsia" w:ascii="宋体" w:hAnsi="宋体" w:cs="宋体"/>
                <w:szCs w:val="21"/>
                <w:highlight w:val="none"/>
              </w:rPr>
              <w:t>一般</w:t>
            </w:r>
            <w:bookmarkEnd w:id="95"/>
            <w:r>
              <w:rPr>
                <w:rFonts w:hint="eastAsia" w:ascii="宋体" w:hAnsi="宋体" w:cs="宋体"/>
                <w:szCs w:val="21"/>
                <w:highlight w:val="none"/>
              </w:rPr>
              <w:t>，基本能控制和防范安全事故发生。</w:t>
            </w:r>
          </w:p>
          <w:p w14:paraId="54FA8914">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lang w:val="en-US" w:eastAsia="zh-CN"/>
              </w:rPr>
            </w:pPr>
            <w:r>
              <w:rPr>
                <w:rFonts w:hint="eastAsia" w:ascii="宋体" w:hAnsi="宋体" w:cs="宋体"/>
                <w:szCs w:val="21"/>
                <w:highlight w:val="none"/>
              </w:rPr>
              <w:t>四档（2分）：有专门的安全管理人员和制度，但人员配备不够合理，安全管理制度基本健全，各道工序有安全技术措施，能根据本项目难点提出安全防范及控制措施，但措施不可行，确保安全生产的技术组织措施基本符合实际且基本满足有关安全技术标准要求。现场防火、应急救援、社会治安安全措施</w:t>
            </w:r>
            <w:bookmarkStart w:id="96" w:name="REVIEW_BM_1162"/>
            <w:r>
              <w:rPr>
                <w:rFonts w:hint="eastAsia" w:ascii="宋体" w:hAnsi="宋体" w:cs="宋体"/>
                <w:szCs w:val="21"/>
                <w:highlight w:val="none"/>
              </w:rPr>
              <w:t>较差</w:t>
            </w:r>
            <w:bookmarkEnd w:id="96"/>
            <w:r>
              <w:rPr>
                <w:rFonts w:hint="eastAsia" w:ascii="宋体" w:hAnsi="宋体" w:cs="宋体"/>
                <w:szCs w:val="21"/>
                <w:highlight w:val="none"/>
              </w:rPr>
              <w:t>，不能控制和防范安全事故发生。</w:t>
            </w:r>
          </w:p>
        </w:tc>
      </w:tr>
      <w:tr w14:paraId="6CACBEA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80" w:type="dxa"/>
            <w:noWrap w:val="0"/>
            <w:vAlign w:val="center"/>
          </w:tcPr>
          <w:p w14:paraId="57335E15">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p>
        </w:tc>
        <w:tc>
          <w:tcPr>
            <w:tcW w:w="823" w:type="dxa"/>
            <w:vMerge w:val="continue"/>
            <w:noWrap w:val="0"/>
            <w:vAlign w:val="center"/>
          </w:tcPr>
          <w:p w14:paraId="14647435">
            <w:pPr>
              <w:keepNext w:val="0"/>
              <w:keepLines w:val="0"/>
              <w:suppressLineNumbers w:val="0"/>
              <w:spacing w:before="0" w:beforeAutospacing="0" w:after="0" w:afterAutospacing="0" w:line="380" w:lineRule="exact"/>
              <w:ind w:left="0" w:right="0"/>
              <w:jc w:val="center"/>
              <w:rPr>
                <w:rFonts w:hint="eastAsia" w:ascii="Times New Roman" w:hAnsi="宋体" w:cs="Times New Roman"/>
                <w:b/>
                <w:sz w:val="21"/>
                <w:szCs w:val="21"/>
                <w:highlight w:val="none"/>
              </w:rPr>
            </w:pPr>
          </w:p>
        </w:tc>
        <w:tc>
          <w:tcPr>
            <w:tcW w:w="1207" w:type="dxa"/>
            <w:gridSpan w:val="2"/>
            <w:noWrap w:val="0"/>
            <w:vAlign w:val="center"/>
          </w:tcPr>
          <w:p w14:paraId="3BE91C86">
            <w:pPr>
              <w:keepNext w:val="0"/>
              <w:keepLines w:val="0"/>
              <w:suppressLineNumbers w:val="0"/>
              <w:spacing w:before="0" w:beforeAutospacing="0" w:after="0" w:afterAutospacing="0" w:line="380" w:lineRule="exact"/>
              <w:ind w:left="0" w:right="0"/>
              <w:jc w:val="left"/>
              <w:rPr>
                <w:rFonts w:hint="eastAsia" w:ascii="Times New Roman" w:hAnsi="宋体" w:cs="Times New Roman"/>
                <w:b/>
                <w:bCs/>
                <w:szCs w:val="21"/>
                <w:highlight w:val="none"/>
              </w:rPr>
            </w:pPr>
            <w:r>
              <w:rPr>
                <w:rFonts w:hint="eastAsia" w:ascii="宋体" w:hAnsi="宋体" w:cs="宋体"/>
                <w:b/>
                <w:bCs/>
                <w:szCs w:val="21"/>
                <w:highlight w:val="none"/>
              </w:rPr>
              <w:t>确保工期的技术组织措施（</w:t>
            </w:r>
            <w:r>
              <w:rPr>
                <w:rFonts w:hint="eastAsia" w:ascii="宋体" w:hAnsi="宋体" w:cs="宋体"/>
                <w:b/>
                <w:bCs/>
                <w:szCs w:val="21"/>
                <w:highlight w:val="none"/>
                <w:lang w:val="en-US" w:eastAsia="zh-CN"/>
              </w:rPr>
              <w:t>10</w:t>
            </w:r>
            <w:r>
              <w:rPr>
                <w:rFonts w:hint="eastAsia" w:ascii="宋体" w:hAnsi="宋体" w:cs="宋体"/>
                <w:b/>
                <w:bCs/>
                <w:szCs w:val="21"/>
                <w:highlight w:val="none"/>
              </w:rPr>
              <w:t>分）</w:t>
            </w:r>
          </w:p>
        </w:tc>
        <w:tc>
          <w:tcPr>
            <w:tcW w:w="6066" w:type="dxa"/>
            <w:noWrap w:val="0"/>
            <w:vAlign w:val="center"/>
          </w:tcPr>
          <w:p w14:paraId="390E62B0">
            <w:pPr>
              <w:keepNext w:val="0"/>
              <w:keepLines w:val="0"/>
              <w:suppressLineNumbers w:val="0"/>
              <w:spacing w:before="0" w:beforeAutospacing="0" w:after="0" w:afterAutospacing="0" w:line="380" w:lineRule="exact"/>
              <w:ind w:left="0" w:right="0"/>
              <w:jc w:val="left"/>
              <w:rPr>
                <w:rFonts w:hint="eastAsia" w:ascii="宋体" w:hAnsi="宋体" w:eastAsia="宋体" w:cs="宋体"/>
                <w:szCs w:val="21"/>
                <w:highlight w:val="none"/>
                <w:lang w:eastAsia="zh-CN"/>
              </w:rPr>
            </w:pPr>
            <w:r>
              <w:rPr>
                <w:rFonts w:hint="eastAsia" w:ascii="宋体" w:hAnsi="宋体" w:cs="宋体"/>
                <w:szCs w:val="21"/>
                <w:highlight w:val="none"/>
              </w:rPr>
              <w:t>一档（</w:t>
            </w:r>
            <w:r>
              <w:rPr>
                <w:rFonts w:hint="eastAsia" w:ascii="宋体" w:hAnsi="宋体" w:cs="宋体"/>
                <w:szCs w:val="21"/>
                <w:highlight w:val="none"/>
                <w:lang w:val="en-US" w:eastAsia="zh-CN"/>
              </w:rPr>
              <w:t>10</w:t>
            </w:r>
            <w:r>
              <w:rPr>
                <w:rFonts w:hint="eastAsia" w:ascii="宋体" w:hAnsi="宋体" w:cs="宋体"/>
                <w:szCs w:val="21"/>
                <w:highlight w:val="none"/>
              </w:rPr>
              <w:t>分）：在施工工艺、施工方法、材料选用、劳动力安排、技术等方面有保证工期的具体措施且措施得当</w:t>
            </w:r>
            <w:r>
              <w:rPr>
                <w:rFonts w:hint="eastAsia" w:ascii="宋体" w:hAnsi="宋体" w:cs="宋体"/>
                <w:szCs w:val="21"/>
                <w:highlight w:val="none"/>
                <w:lang w:eastAsia="zh-CN"/>
              </w:rPr>
              <w:t>、</w:t>
            </w:r>
            <w:r>
              <w:rPr>
                <w:rFonts w:hint="eastAsia" w:ascii="宋体" w:hAnsi="宋体" w:cs="宋体"/>
                <w:szCs w:val="21"/>
                <w:highlight w:val="none"/>
                <w:lang w:val="en-US" w:eastAsia="zh-CN"/>
              </w:rPr>
              <w:t>可操作性高</w:t>
            </w:r>
            <w:r>
              <w:rPr>
                <w:rFonts w:hint="eastAsia" w:ascii="宋体" w:hAnsi="宋体" w:cs="宋体"/>
                <w:szCs w:val="21"/>
                <w:highlight w:val="none"/>
              </w:rPr>
              <w:t>，针对赶工措施有具体的表述，赶工措施合理科学，</w:t>
            </w:r>
            <w:r>
              <w:rPr>
                <w:rFonts w:hint="eastAsia" w:ascii="宋体" w:hAnsi="宋体" w:cs="宋体"/>
                <w:szCs w:val="21"/>
                <w:highlight w:val="none"/>
                <w:lang w:val="en-US" w:eastAsia="zh-CN"/>
              </w:rPr>
              <w:t>具有</w:t>
            </w:r>
            <w:r>
              <w:rPr>
                <w:rFonts w:hint="eastAsia" w:ascii="宋体" w:hAnsi="宋体" w:cs="宋体"/>
                <w:szCs w:val="21"/>
                <w:highlight w:val="none"/>
              </w:rPr>
              <w:t>可操作性。有控制工期的施工进度计划。有施工总进度表或施工网络图，各项计划图表编制完善，安排</w:t>
            </w:r>
            <w:bookmarkStart w:id="97" w:name="REVIEW_BM_1163"/>
            <w:r>
              <w:rPr>
                <w:rFonts w:hint="eastAsia" w:ascii="宋体" w:hAnsi="宋体" w:cs="宋体"/>
                <w:szCs w:val="21"/>
                <w:highlight w:val="none"/>
              </w:rPr>
              <w:t>科学合理</w:t>
            </w:r>
            <w:bookmarkEnd w:id="97"/>
            <w:r>
              <w:rPr>
                <w:rFonts w:hint="eastAsia" w:ascii="宋体" w:hAnsi="宋体" w:cs="宋体"/>
                <w:szCs w:val="21"/>
                <w:highlight w:val="none"/>
              </w:rPr>
              <w:t>，符合本项目施工实际要求</w:t>
            </w:r>
            <w:r>
              <w:rPr>
                <w:rFonts w:hint="eastAsia" w:ascii="宋体" w:hAnsi="宋体" w:cs="宋体"/>
                <w:szCs w:val="21"/>
                <w:highlight w:val="none"/>
                <w:lang w:eastAsia="zh-CN"/>
              </w:rPr>
              <w:t>；</w:t>
            </w:r>
            <w:r>
              <w:rPr>
                <w:rFonts w:hint="eastAsia" w:ascii="宋体" w:hAnsi="宋体" w:cs="宋体"/>
                <w:szCs w:val="21"/>
                <w:highlight w:val="none"/>
              </w:rPr>
              <w:t>有详细周密的劳动力安排计划，满足施工需要</w:t>
            </w:r>
            <w:r>
              <w:rPr>
                <w:rFonts w:hint="eastAsia" w:ascii="宋体" w:hAnsi="宋体" w:cs="宋体"/>
                <w:szCs w:val="21"/>
                <w:highlight w:val="none"/>
                <w:lang w:eastAsia="zh-CN"/>
              </w:rPr>
              <w:t>。</w:t>
            </w:r>
          </w:p>
          <w:p w14:paraId="276C190E">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二档（</w:t>
            </w:r>
            <w:r>
              <w:rPr>
                <w:rFonts w:hint="eastAsia" w:ascii="宋体" w:hAnsi="宋体" w:cs="宋体"/>
                <w:szCs w:val="21"/>
                <w:highlight w:val="none"/>
                <w:lang w:val="en-US" w:eastAsia="zh-CN"/>
              </w:rPr>
              <w:t>7</w:t>
            </w:r>
            <w:r>
              <w:rPr>
                <w:rFonts w:hint="eastAsia" w:ascii="宋体" w:hAnsi="宋体" w:cs="宋体"/>
                <w:szCs w:val="21"/>
                <w:highlight w:val="none"/>
              </w:rPr>
              <w:t>分）：在施工工艺、施工方法、材料选用、劳动力安排、技术等方面有保证工期的措施但措施</w:t>
            </w:r>
            <w:r>
              <w:rPr>
                <w:rFonts w:hint="eastAsia" w:ascii="宋体" w:hAnsi="宋体" w:cs="宋体"/>
                <w:szCs w:val="21"/>
                <w:highlight w:val="none"/>
                <w:lang w:val="en-US" w:eastAsia="zh-CN"/>
              </w:rPr>
              <w:t>常规、</w:t>
            </w:r>
            <w:bookmarkStart w:id="98" w:name="REVIEW_BM_1164"/>
            <w:r>
              <w:rPr>
                <w:rFonts w:hint="eastAsia" w:ascii="宋体" w:hAnsi="宋体" w:cs="宋体"/>
                <w:szCs w:val="21"/>
                <w:highlight w:val="none"/>
                <w:lang w:val="en-US" w:eastAsia="zh-CN"/>
              </w:rPr>
              <w:t>普通</w:t>
            </w:r>
            <w:bookmarkEnd w:id="98"/>
            <w:r>
              <w:rPr>
                <w:rFonts w:hint="eastAsia" w:ascii="宋体" w:hAnsi="宋体" w:cs="宋体"/>
                <w:szCs w:val="21"/>
                <w:highlight w:val="none"/>
              </w:rPr>
              <w:t>，有赶工措施。有控制工期的施工进度计划。有施工总进度表或施工网络图，各项计划图表编制</w:t>
            </w:r>
            <w:r>
              <w:rPr>
                <w:rFonts w:hint="eastAsia" w:ascii="宋体" w:hAnsi="宋体" w:cs="宋体"/>
                <w:szCs w:val="21"/>
                <w:highlight w:val="none"/>
                <w:lang w:val="en-US" w:eastAsia="zh-CN"/>
              </w:rPr>
              <w:t>要素基本齐全</w:t>
            </w:r>
            <w:r>
              <w:rPr>
                <w:rFonts w:hint="eastAsia" w:ascii="宋体" w:hAnsi="宋体" w:cs="宋体"/>
                <w:szCs w:val="21"/>
                <w:highlight w:val="none"/>
              </w:rPr>
              <w:t>，</w:t>
            </w:r>
            <w:r>
              <w:rPr>
                <w:rFonts w:hint="eastAsia" w:ascii="宋体" w:hAnsi="宋体" w:cs="宋体"/>
                <w:szCs w:val="21"/>
                <w:highlight w:val="none"/>
                <w:lang w:val="en-US" w:eastAsia="zh-CN"/>
              </w:rPr>
              <w:t>安排合理，</w:t>
            </w:r>
            <w:r>
              <w:rPr>
                <w:rFonts w:hint="eastAsia" w:ascii="宋体" w:hAnsi="宋体" w:cs="宋体"/>
                <w:szCs w:val="21"/>
                <w:highlight w:val="none"/>
              </w:rPr>
              <w:t>基本</w:t>
            </w:r>
            <w:r>
              <w:rPr>
                <w:rFonts w:hint="eastAsia" w:ascii="宋体" w:hAnsi="宋体" w:cs="宋体"/>
                <w:szCs w:val="21"/>
                <w:highlight w:val="none"/>
                <w:lang w:val="en-US" w:eastAsia="zh-CN"/>
              </w:rPr>
              <w:t>符合</w:t>
            </w:r>
            <w:r>
              <w:rPr>
                <w:rFonts w:hint="eastAsia" w:ascii="宋体" w:hAnsi="宋体" w:cs="宋体"/>
                <w:szCs w:val="21"/>
                <w:highlight w:val="none"/>
              </w:rPr>
              <w:t>本项目施工实际</w:t>
            </w:r>
            <w:r>
              <w:rPr>
                <w:rFonts w:hint="eastAsia" w:ascii="宋体" w:hAnsi="宋体" w:cs="宋体"/>
                <w:szCs w:val="21"/>
                <w:highlight w:val="none"/>
                <w:lang w:val="en-US" w:eastAsia="zh-CN"/>
              </w:rPr>
              <w:t>要求</w:t>
            </w:r>
            <w:r>
              <w:rPr>
                <w:rFonts w:hint="eastAsia" w:ascii="宋体" w:hAnsi="宋体" w:cs="宋体"/>
                <w:szCs w:val="21"/>
                <w:highlight w:val="none"/>
              </w:rPr>
              <w:t>；劳动力计划完整，可满足施工基本用人需求。</w:t>
            </w:r>
          </w:p>
          <w:p w14:paraId="62D1E161">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lang w:eastAsia="zh-CN"/>
              </w:rPr>
            </w:pPr>
            <w:r>
              <w:rPr>
                <w:rFonts w:hint="eastAsia" w:ascii="宋体" w:hAnsi="宋体" w:cs="宋体"/>
                <w:szCs w:val="21"/>
                <w:highlight w:val="none"/>
              </w:rPr>
              <w:t>三档（</w:t>
            </w:r>
            <w:r>
              <w:rPr>
                <w:rFonts w:hint="eastAsia" w:ascii="宋体" w:hAnsi="宋体" w:cs="宋体"/>
                <w:szCs w:val="21"/>
                <w:highlight w:val="none"/>
                <w:lang w:val="en-US" w:eastAsia="zh-CN"/>
              </w:rPr>
              <w:t>4</w:t>
            </w:r>
            <w:r>
              <w:rPr>
                <w:rFonts w:hint="eastAsia" w:ascii="宋体" w:hAnsi="宋体" w:cs="宋体"/>
                <w:szCs w:val="21"/>
                <w:highlight w:val="none"/>
              </w:rPr>
              <w:t>分）在施工工艺、施工方法、材料选用、劳动力安排、技术等方面有保证工期的措施但措施单薄、落地性差，</w:t>
            </w:r>
            <w:bookmarkStart w:id="99" w:name="REVIEW_BM_1166"/>
            <w:r>
              <w:rPr>
                <w:rFonts w:hint="eastAsia" w:ascii="宋体" w:hAnsi="宋体" w:cs="宋体"/>
                <w:szCs w:val="21"/>
                <w:highlight w:val="none"/>
                <w:lang w:val="en-US" w:eastAsia="zh-CN"/>
              </w:rPr>
              <w:t>简单</w:t>
            </w:r>
            <w:bookmarkEnd w:id="99"/>
            <w:r>
              <w:rPr>
                <w:rFonts w:hint="eastAsia" w:ascii="宋体" w:hAnsi="宋体" w:cs="宋体"/>
                <w:szCs w:val="21"/>
                <w:highlight w:val="none"/>
                <w:lang w:val="en-US" w:eastAsia="zh-CN"/>
              </w:rPr>
              <w:t>罗列</w:t>
            </w:r>
            <w:r>
              <w:rPr>
                <w:rFonts w:hint="eastAsia" w:ascii="宋体" w:hAnsi="宋体" w:cs="宋体"/>
                <w:szCs w:val="21"/>
                <w:highlight w:val="none"/>
              </w:rPr>
              <w:t>赶工措施</w:t>
            </w:r>
            <w:r>
              <w:rPr>
                <w:rFonts w:hint="eastAsia" w:ascii="宋体" w:hAnsi="宋体" w:cs="宋体"/>
                <w:szCs w:val="21"/>
                <w:highlight w:val="none"/>
                <w:lang w:eastAsia="zh-CN"/>
              </w:rPr>
              <w:t>，</w:t>
            </w:r>
            <w:r>
              <w:rPr>
                <w:rFonts w:hint="eastAsia" w:ascii="宋体" w:hAnsi="宋体" w:cs="宋体"/>
                <w:szCs w:val="21"/>
                <w:highlight w:val="none"/>
              </w:rPr>
              <w:t>无细化落地内容。有控制工期的施工进度计划但不科学。有施工总进度表或施工网络图，各项计划图表编制</w:t>
            </w:r>
            <w:bookmarkStart w:id="100" w:name="REVIEW_BM_1165"/>
            <w:r>
              <w:rPr>
                <w:rFonts w:hint="eastAsia" w:ascii="宋体" w:hAnsi="宋体" w:cs="宋体"/>
                <w:szCs w:val="21"/>
                <w:highlight w:val="none"/>
              </w:rPr>
              <w:t>一般</w:t>
            </w:r>
            <w:bookmarkEnd w:id="100"/>
            <w:r>
              <w:rPr>
                <w:rFonts w:hint="eastAsia" w:ascii="宋体" w:hAnsi="宋体" w:cs="宋体"/>
                <w:szCs w:val="21"/>
                <w:highlight w:val="none"/>
              </w:rPr>
              <w:t>，</w:t>
            </w:r>
            <w:r>
              <w:rPr>
                <w:rFonts w:hint="eastAsia" w:ascii="宋体" w:hAnsi="宋体" w:cs="宋体"/>
                <w:szCs w:val="21"/>
                <w:highlight w:val="none"/>
                <w:lang w:val="en-US" w:eastAsia="zh-CN"/>
              </w:rPr>
              <w:t>安排勉强合理，</w:t>
            </w:r>
            <w:r>
              <w:rPr>
                <w:rFonts w:hint="default" w:ascii="宋体" w:hAnsi="宋体" w:cs="宋体"/>
                <w:szCs w:val="21"/>
                <w:highlight w:val="none"/>
              </w:rPr>
              <w:t>仅符合本项目主要工序施工实际要求</w:t>
            </w:r>
            <w:r>
              <w:rPr>
                <w:rFonts w:hint="eastAsia" w:ascii="宋体" w:hAnsi="宋体" w:cs="宋体"/>
                <w:szCs w:val="21"/>
                <w:highlight w:val="none"/>
                <w:lang w:eastAsia="zh-CN"/>
              </w:rPr>
              <w:t>；</w:t>
            </w:r>
            <w:r>
              <w:rPr>
                <w:rFonts w:hint="eastAsia" w:ascii="宋体" w:hAnsi="宋体" w:cs="宋体"/>
                <w:szCs w:val="21"/>
                <w:highlight w:val="none"/>
              </w:rPr>
              <w:t>劳动力计划</w:t>
            </w:r>
            <w:bookmarkStart w:id="101" w:name="REVIEW_BM_1167"/>
            <w:r>
              <w:rPr>
                <w:rFonts w:hint="eastAsia" w:ascii="宋体" w:hAnsi="宋体" w:cs="宋体"/>
                <w:szCs w:val="21"/>
                <w:highlight w:val="none"/>
              </w:rPr>
              <w:t>简略</w:t>
            </w:r>
            <w:bookmarkEnd w:id="101"/>
            <w:r>
              <w:rPr>
                <w:rFonts w:hint="eastAsia" w:ascii="宋体" w:hAnsi="宋体" w:cs="宋体"/>
                <w:szCs w:val="21"/>
                <w:highlight w:val="none"/>
              </w:rPr>
              <w:t>，人员配置、进场时间规划模糊，部分施工阶段存在人力缺口风险</w:t>
            </w:r>
            <w:r>
              <w:rPr>
                <w:rFonts w:hint="eastAsia" w:ascii="宋体" w:hAnsi="宋体" w:cs="宋体"/>
                <w:szCs w:val="21"/>
                <w:highlight w:val="none"/>
                <w:lang w:eastAsia="zh-CN"/>
              </w:rPr>
              <w:t>。</w:t>
            </w:r>
          </w:p>
          <w:p w14:paraId="117C50E7">
            <w:pPr>
              <w:keepNext w:val="0"/>
              <w:keepLines w:val="0"/>
              <w:suppressLineNumbers w:val="0"/>
              <w:spacing w:before="0" w:beforeAutospacing="0" w:after="0" w:afterAutospacing="0" w:line="380" w:lineRule="exact"/>
              <w:ind w:left="0" w:right="0"/>
              <w:jc w:val="left"/>
              <w:rPr>
                <w:rFonts w:hint="eastAsia" w:ascii="宋体" w:hAnsi="宋体" w:eastAsia="宋体" w:cs="宋体"/>
                <w:szCs w:val="21"/>
                <w:highlight w:val="none"/>
                <w:lang w:eastAsia="zh-CN"/>
              </w:rPr>
            </w:pPr>
            <w:r>
              <w:rPr>
                <w:rFonts w:hint="eastAsia" w:ascii="宋体" w:hAnsi="宋体" w:eastAsia="宋体" w:cs="宋体"/>
                <w:sz w:val="21"/>
                <w:szCs w:val="21"/>
                <w:highlight w:val="none"/>
              </w:rPr>
              <w:t>四档（</w:t>
            </w:r>
            <w:r>
              <w:rPr>
                <w:rFonts w:hint="eastAsia" w:ascii="宋体" w:hAnsi="宋体" w:eastAsia="宋体" w:cs="宋体"/>
                <w:sz w:val="21"/>
                <w:szCs w:val="21"/>
                <w:highlight w:val="none"/>
                <w:lang w:eastAsia="zh-CN"/>
              </w:rPr>
              <w:t>2</w:t>
            </w:r>
            <w:r>
              <w:rPr>
                <w:rFonts w:hint="eastAsia" w:ascii="宋体" w:hAnsi="宋体" w:eastAsia="宋体" w:cs="宋体"/>
                <w:sz w:val="21"/>
                <w:szCs w:val="21"/>
                <w:highlight w:val="none"/>
              </w:rPr>
              <w:t xml:space="preserve"> 分）：</w:t>
            </w:r>
            <w:r>
              <w:rPr>
                <w:rFonts w:hint="eastAsia" w:ascii="宋体" w:hAnsi="宋体" w:cs="宋体"/>
                <w:szCs w:val="21"/>
                <w:highlight w:val="none"/>
              </w:rPr>
              <w:t>在施工工艺、施工方法、材料选用、劳动力安排、技术等方面有保证工期的措施有缺陷但勉强符合项目实际。有控制工期的施工进度计划但不科学。有施工总进度表或施工网络图，各项计划图表编制</w:t>
            </w:r>
            <w:bookmarkStart w:id="102" w:name="REVIEW_BM_1168"/>
            <w:r>
              <w:rPr>
                <w:rFonts w:hint="eastAsia" w:ascii="宋体" w:hAnsi="宋体" w:cs="宋体"/>
                <w:szCs w:val="21"/>
                <w:highlight w:val="none"/>
              </w:rPr>
              <w:t>简单</w:t>
            </w:r>
            <w:bookmarkEnd w:id="102"/>
            <w:r>
              <w:rPr>
                <w:rFonts w:hint="eastAsia" w:ascii="宋体" w:hAnsi="宋体" w:cs="宋体"/>
                <w:szCs w:val="21"/>
                <w:highlight w:val="none"/>
              </w:rPr>
              <w:t>且有错漏，安排与项目施工逻辑矛盾，仅符合本项目主要工序施工实际要求</w:t>
            </w:r>
            <w:r>
              <w:rPr>
                <w:rFonts w:hint="eastAsia" w:ascii="宋体" w:hAnsi="宋体" w:eastAsia="宋体" w:cs="宋体"/>
                <w:szCs w:val="21"/>
                <w:highlight w:val="none"/>
                <w:lang w:eastAsia="zh-CN"/>
              </w:rPr>
              <w:t>；</w:t>
            </w:r>
            <w:r>
              <w:rPr>
                <w:rFonts w:hint="eastAsia" w:ascii="宋体" w:hAnsi="宋体" w:eastAsia="宋体" w:cs="宋体"/>
                <w:sz w:val="21"/>
                <w:szCs w:val="21"/>
                <w:highlight w:val="none"/>
              </w:rPr>
              <w:t>无专项劳动力安排计划，无法佐证施工人力供给能力</w:t>
            </w:r>
            <w:r>
              <w:rPr>
                <w:rFonts w:hint="eastAsia" w:ascii="宋体" w:hAnsi="宋体" w:eastAsia="宋体" w:cs="宋体"/>
                <w:sz w:val="21"/>
                <w:szCs w:val="21"/>
                <w:highlight w:val="none"/>
                <w:lang w:eastAsia="zh-CN"/>
              </w:rPr>
              <w:t>。</w:t>
            </w:r>
          </w:p>
        </w:tc>
      </w:tr>
      <w:tr w14:paraId="7D39217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62" w:hRule="atLeast"/>
          <w:jc w:val="center"/>
        </w:trPr>
        <w:tc>
          <w:tcPr>
            <w:tcW w:w="780" w:type="dxa"/>
            <w:noWrap w:val="0"/>
            <w:vAlign w:val="center"/>
          </w:tcPr>
          <w:p w14:paraId="15AE194A">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p>
        </w:tc>
        <w:tc>
          <w:tcPr>
            <w:tcW w:w="823" w:type="dxa"/>
            <w:vMerge w:val="continue"/>
            <w:noWrap w:val="0"/>
            <w:vAlign w:val="center"/>
          </w:tcPr>
          <w:p w14:paraId="4C87271D">
            <w:pPr>
              <w:keepNext w:val="0"/>
              <w:keepLines w:val="0"/>
              <w:suppressLineNumbers w:val="0"/>
              <w:spacing w:before="0" w:beforeAutospacing="0" w:after="0" w:afterAutospacing="0" w:line="380" w:lineRule="exact"/>
              <w:ind w:left="0" w:right="0"/>
              <w:jc w:val="center"/>
              <w:rPr>
                <w:rFonts w:hint="eastAsia" w:ascii="Times New Roman" w:hAnsi="宋体" w:cs="Times New Roman"/>
                <w:b/>
                <w:sz w:val="21"/>
                <w:szCs w:val="21"/>
                <w:highlight w:val="none"/>
              </w:rPr>
            </w:pPr>
          </w:p>
        </w:tc>
        <w:tc>
          <w:tcPr>
            <w:tcW w:w="1207" w:type="dxa"/>
            <w:gridSpan w:val="2"/>
            <w:noWrap w:val="0"/>
            <w:vAlign w:val="center"/>
          </w:tcPr>
          <w:p w14:paraId="561AD208">
            <w:pPr>
              <w:keepNext w:val="0"/>
              <w:keepLines w:val="0"/>
              <w:suppressLineNumbers w:val="0"/>
              <w:spacing w:before="0" w:beforeAutospacing="0" w:after="0" w:afterAutospacing="0" w:line="380" w:lineRule="exact"/>
              <w:ind w:left="0" w:right="0"/>
              <w:jc w:val="left"/>
              <w:rPr>
                <w:rFonts w:hint="eastAsia" w:ascii="Times New Roman" w:hAnsi="宋体" w:cs="Times New Roman"/>
                <w:b/>
                <w:bCs/>
                <w:szCs w:val="21"/>
                <w:highlight w:val="none"/>
              </w:rPr>
            </w:pPr>
            <w:r>
              <w:rPr>
                <w:rFonts w:hint="eastAsia" w:ascii="宋体" w:hAnsi="宋体" w:cs="宋体"/>
                <w:b/>
                <w:bCs/>
                <w:szCs w:val="21"/>
                <w:highlight w:val="none"/>
              </w:rPr>
              <w:t>确保文明施工的技术组织措施（</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p>
        </w:tc>
        <w:tc>
          <w:tcPr>
            <w:tcW w:w="6066" w:type="dxa"/>
            <w:noWrap w:val="0"/>
            <w:vAlign w:val="center"/>
          </w:tcPr>
          <w:p w14:paraId="5944F655">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一档（</w:t>
            </w:r>
            <w:r>
              <w:rPr>
                <w:rFonts w:hint="eastAsia" w:ascii="宋体" w:hAnsi="宋体" w:cs="宋体"/>
                <w:szCs w:val="21"/>
                <w:highlight w:val="none"/>
                <w:lang w:val="en-US" w:eastAsia="zh-CN"/>
              </w:rPr>
              <w:t>5</w:t>
            </w:r>
            <w:r>
              <w:rPr>
                <w:rFonts w:hint="eastAsia" w:ascii="宋体" w:hAnsi="宋体" w:cs="宋体"/>
                <w:szCs w:val="21"/>
                <w:highlight w:val="none"/>
              </w:rPr>
              <w:t>分）：针对本工程项目特点，有现场文明施工、环境保护措施，且措施内容达到《</w:t>
            </w:r>
            <w:bookmarkStart w:id="103" w:name="REVIEW_BM_1169"/>
            <w:r>
              <w:rPr>
                <w:rFonts w:hint="eastAsia" w:ascii="宋体" w:hAnsi="宋体" w:cs="宋体"/>
                <w:szCs w:val="21"/>
                <w:highlight w:val="none"/>
              </w:rPr>
              <w:t>建筑施工安全生产检查标准</w:t>
            </w:r>
            <w:bookmarkEnd w:id="103"/>
            <w:r>
              <w:rPr>
                <w:rFonts w:hint="eastAsia" w:ascii="宋体" w:hAnsi="宋体" w:cs="宋体"/>
                <w:szCs w:val="21"/>
                <w:highlight w:val="none"/>
              </w:rPr>
              <w:t>》（JGJ59-2011）合格标准并符合《广西壮族自治区建筑工程文明施工导则》要求。各项措施</w:t>
            </w:r>
            <w:bookmarkStart w:id="104" w:name="REVIEW_BM_1170"/>
            <w:r>
              <w:rPr>
                <w:rFonts w:hint="eastAsia" w:ascii="宋体" w:hAnsi="宋体" w:cs="宋体"/>
                <w:szCs w:val="21"/>
                <w:highlight w:val="none"/>
              </w:rPr>
              <w:t>周全</w:t>
            </w:r>
            <w:bookmarkEnd w:id="104"/>
            <w:r>
              <w:rPr>
                <w:rFonts w:hint="eastAsia" w:ascii="宋体" w:hAnsi="宋体" w:cs="宋体"/>
                <w:szCs w:val="21"/>
                <w:highlight w:val="none"/>
              </w:rPr>
              <w:t xml:space="preserve">、具体、有效。有具体实现现场文明施工目标的承诺。 </w:t>
            </w:r>
          </w:p>
          <w:p w14:paraId="0E8CAA07">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二档（</w:t>
            </w:r>
            <w:r>
              <w:rPr>
                <w:rFonts w:hint="eastAsia" w:ascii="宋体" w:hAnsi="宋体" w:cs="宋体"/>
                <w:szCs w:val="21"/>
                <w:highlight w:val="none"/>
                <w:lang w:val="en-US" w:eastAsia="zh-CN"/>
              </w:rPr>
              <w:t>4</w:t>
            </w:r>
            <w:r>
              <w:rPr>
                <w:rFonts w:hint="eastAsia" w:ascii="宋体" w:hAnsi="宋体" w:cs="宋体"/>
                <w:szCs w:val="21"/>
                <w:highlight w:val="none"/>
              </w:rPr>
              <w:t>分）：针对本工程项目特点，有现场文明施工、环境保护措施，且措施内容达到《</w:t>
            </w:r>
            <w:bookmarkStart w:id="105" w:name="REVIEW_BM_1171"/>
            <w:r>
              <w:rPr>
                <w:rFonts w:hint="eastAsia" w:ascii="宋体" w:hAnsi="宋体" w:cs="宋体"/>
                <w:szCs w:val="21"/>
                <w:highlight w:val="none"/>
              </w:rPr>
              <w:t>建筑施工安全生产检查标准</w:t>
            </w:r>
            <w:bookmarkEnd w:id="105"/>
            <w:r>
              <w:rPr>
                <w:rFonts w:hint="eastAsia" w:ascii="宋体" w:hAnsi="宋体" w:cs="宋体"/>
                <w:szCs w:val="21"/>
                <w:highlight w:val="none"/>
              </w:rPr>
              <w:t>》（JGJ59-2011）合格标准并符合《广西壮族自治区建筑工程文明施工导则》要求。各项措施满足项目实际要求。有</w:t>
            </w:r>
            <w:r>
              <w:rPr>
                <w:rFonts w:hint="eastAsia" w:ascii="宋体" w:hAnsi="宋体" w:cs="宋体"/>
                <w:szCs w:val="21"/>
                <w:highlight w:val="none"/>
                <w:lang w:val="en-US" w:eastAsia="zh-CN"/>
              </w:rPr>
              <w:t>比较</w:t>
            </w:r>
            <w:r>
              <w:rPr>
                <w:rFonts w:hint="eastAsia" w:ascii="宋体" w:hAnsi="宋体" w:cs="宋体"/>
                <w:szCs w:val="21"/>
                <w:highlight w:val="none"/>
              </w:rPr>
              <w:t>具体实现现场文明施工目标的承诺。</w:t>
            </w:r>
          </w:p>
          <w:p w14:paraId="58F22F49">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rPr>
              <w:t>三档（</w:t>
            </w:r>
            <w:r>
              <w:rPr>
                <w:rFonts w:hint="eastAsia" w:ascii="宋体" w:hAnsi="宋体" w:cs="宋体"/>
                <w:szCs w:val="21"/>
                <w:highlight w:val="none"/>
                <w:lang w:val="en-US" w:eastAsia="zh-CN"/>
              </w:rPr>
              <w:t>3</w:t>
            </w:r>
            <w:r>
              <w:rPr>
                <w:rFonts w:hint="eastAsia" w:ascii="宋体" w:hAnsi="宋体" w:cs="宋体"/>
                <w:szCs w:val="21"/>
                <w:highlight w:val="none"/>
              </w:rPr>
              <w:t>分）：有基本的现场文明施工、环境保护措施，且措施内容达到《</w:t>
            </w:r>
            <w:bookmarkStart w:id="106" w:name="REVIEW_BM_1172"/>
            <w:r>
              <w:rPr>
                <w:rFonts w:hint="eastAsia" w:ascii="宋体" w:hAnsi="宋体" w:cs="宋体"/>
                <w:szCs w:val="21"/>
                <w:highlight w:val="none"/>
              </w:rPr>
              <w:t>建筑施工安全生产检查标准</w:t>
            </w:r>
            <w:bookmarkEnd w:id="106"/>
            <w:r>
              <w:rPr>
                <w:rFonts w:hint="eastAsia" w:ascii="宋体" w:hAnsi="宋体" w:cs="宋体"/>
                <w:szCs w:val="21"/>
                <w:highlight w:val="none"/>
              </w:rPr>
              <w:t>》（JGJ59-2011）合格标准并符合《广西壮族自治区建筑工程文明施工导则》要求。各项措施</w:t>
            </w:r>
            <w:bookmarkStart w:id="107" w:name="REVIEW_BM_1173"/>
            <w:r>
              <w:rPr>
                <w:rFonts w:hint="eastAsia" w:ascii="宋体" w:hAnsi="宋体" w:cs="宋体"/>
                <w:szCs w:val="21"/>
                <w:highlight w:val="none"/>
              </w:rPr>
              <w:t>一般</w:t>
            </w:r>
            <w:bookmarkEnd w:id="107"/>
            <w:r>
              <w:rPr>
                <w:rFonts w:hint="eastAsia" w:ascii="宋体" w:hAnsi="宋体" w:cs="宋体"/>
                <w:szCs w:val="21"/>
                <w:highlight w:val="none"/>
              </w:rPr>
              <w:t>。有</w:t>
            </w:r>
            <w:r>
              <w:rPr>
                <w:rFonts w:hint="eastAsia" w:ascii="宋体" w:hAnsi="宋体" w:cs="宋体"/>
                <w:szCs w:val="21"/>
                <w:highlight w:val="none"/>
                <w:lang w:val="en-US" w:eastAsia="zh-CN"/>
              </w:rPr>
              <w:t>提供</w:t>
            </w:r>
            <w:r>
              <w:rPr>
                <w:rFonts w:hint="eastAsia" w:ascii="宋体" w:hAnsi="宋体" w:cs="宋体"/>
                <w:szCs w:val="21"/>
                <w:highlight w:val="none"/>
              </w:rPr>
              <w:t>实现现场文明施工目标的承诺。</w:t>
            </w:r>
          </w:p>
          <w:p w14:paraId="5A5841DC">
            <w:pPr>
              <w:keepNext w:val="0"/>
              <w:keepLines w:val="0"/>
              <w:suppressLineNumbers w:val="0"/>
              <w:spacing w:before="0" w:beforeAutospacing="0" w:after="0" w:afterAutospacing="0" w:line="380" w:lineRule="exact"/>
              <w:ind w:left="0" w:right="0"/>
              <w:jc w:val="left"/>
              <w:rPr>
                <w:rFonts w:hint="eastAsia" w:ascii="宋体" w:hAnsi="宋体" w:cs="宋体"/>
                <w:szCs w:val="21"/>
                <w:highlight w:val="none"/>
              </w:rPr>
            </w:pPr>
            <w:r>
              <w:rPr>
                <w:rFonts w:hint="eastAsia" w:ascii="宋体" w:hAnsi="宋体" w:cs="宋体"/>
                <w:szCs w:val="21"/>
                <w:highlight w:val="none"/>
                <w:lang w:val="en-US" w:eastAsia="zh-CN"/>
              </w:rPr>
              <w:t>四档（2分）：</w:t>
            </w:r>
            <w:r>
              <w:rPr>
                <w:rFonts w:hint="eastAsia" w:ascii="宋体" w:hAnsi="宋体" w:cs="宋体"/>
                <w:szCs w:val="21"/>
                <w:highlight w:val="none"/>
              </w:rPr>
              <w:t>有现场文明施工、环境保护措施，且措施内容基本能符合《</w:t>
            </w:r>
            <w:bookmarkStart w:id="108" w:name="REVIEW_BM_1174"/>
            <w:r>
              <w:rPr>
                <w:rFonts w:hint="eastAsia" w:ascii="宋体" w:hAnsi="宋体" w:cs="宋体"/>
                <w:szCs w:val="21"/>
                <w:highlight w:val="none"/>
              </w:rPr>
              <w:t>建筑施工安全生产检查标准</w:t>
            </w:r>
            <w:bookmarkEnd w:id="108"/>
            <w:r>
              <w:rPr>
                <w:rFonts w:hint="eastAsia" w:ascii="宋体" w:hAnsi="宋体" w:cs="宋体"/>
                <w:szCs w:val="21"/>
                <w:highlight w:val="none"/>
              </w:rPr>
              <w:t>》（JGJ59-2011）合格标准，基本符合《广西壮族自治区建筑工程文明施工导则》要求。有提供实现现场文明施工目标的承诺。</w:t>
            </w:r>
          </w:p>
        </w:tc>
      </w:tr>
      <w:tr w14:paraId="0D61021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2390" w:hRule="atLeast"/>
          <w:jc w:val="center"/>
        </w:trPr>
        <w:tc>
          <w:tcPr>
            <w:tcW w:w="780" w:type="dxa"/>
            <w:noWrap w:val="0"/>
            <w:vAlign w:val="center"/>
          </w:tcPr>
          <w:p w14:paraId="6DF06CC1">
            <w:pPr>
              <w:keepNext w:val="0"/>
              <w:keepLines w:val="0"/>
              <w:suppressLineNumbers w:val="0"/>
              <w:spacing w:before="0" w:beforeAutospacing="0" w:after="0" w:afterAutospacing="0" w:line="276" w:lineRule="auto"/>
              <w:ind w:left="0" w:right="-105"/>
              <w:jc w:val="center"/>
              <w:rPr>
                <w:rFonts w:hint="eastAsia" w:ascii="宋体" w:hAnsi="宋体" w:cs="Times New Roman"/>
                <w:bCs/>
                <w:szCs w:val="21"/>
                <w:highlight w:val="none"/>
              </w:rPr>
            </w:pPr>
          </w:p>
        </w:tc>
        <w:tc>
          <w:tcPr>
            <w:tcW w:w="823" w:type="dxa"/>
            <w:vMerge w:val="continue"/>
            <w:noWrap w:val="0"/>
            <w:vAlign w:val="center"/>
          </w:tcPr>
          <w:p w14:paraId="44847E85">
            <w:pPr>
              <w:keepNext w:val="0"/>
              <w:keepLines w:val="0"/>
              <w:suppressLineNumbers w:val="0"/>
              <w:spacing w:before="0" w:beforeAutospacing="0" w:after="0" w:afterAutospacing="0" w:line="380" w:lineRule="exact"/>
              <w:ind w:left="0" w:right="0"/>
              <w:jc w:val="center"/>
              <w:rPr>
                <w:rFonts w:hint="eastAsia" w:ascii="Times New Roman" w:hAnsi="宋体" w:cs="Times New Roman"/>
                <w:b/>
                <w:sz w:val="21"/>
                <w:szCs w:val="21"/>
                <w:highlight w:val="none"/>
              </w:rPr>
            </w:pPr>
          </w:p>
        </w:tc>
        <w:tc>
          <w:tcPr>
            <w:tcW w:w="1207" w:type="dxa"/>
            <w:gridSpan w:val="2"/>
            <w:noWrap w:val="0"/>
            <w:vAlign w:val="center"/>
          </w:tcPr>
          <w:p w14:paraId="6CBC0741">
            <w:pPr>
              <w:keepNext w:val="0"/>
              <w:keepLines w:val="0"/>
              <w:suppressLineNumbers w:val="0"/>
              <w:spacing w:before="0" w:beforeAutospacing="0" w:after="0" w:afterAutospacing="0" w:line="380" w:lineRule="exact"/>
              <w:ind w:left="0" w:right="0"/>
              <w:jc w:val="left"/>
              <w:rPr>
                <w:rFonts w:hint="eastAsia" w:ascii="Times New Roman" w:hAnsi="宋体" w:cs="Times New Roman"/>
                <w:b/>
                <w:bCs/>
                <w:szCs w:val="21"/>
                <w:highlight w:val="none"/>
              </w:rPr>
            </w:pPr>
            <w:r>
              <w:rPr>
                <w:rFonts w:hint="default" w:ascii="宋体" w:hAnsi="宋体" w:cs="宋体"/>
                <w:b/>
                <w:bCs/>
                <w:szCs w:val="21"/>
                <w:highlight w:val="none"/>
              </w:rPr>
              <w:t>工程施工的重点和难点及保证措施</w:t>
            </w:r>
            <w:r>
              <w:rPr>
                <w:rFonts w:hint="eastAsia" w:ascii="宋体" w:hAnsi="宋体" w:cs="宋体"/>
                <w:b/>
                <w:bCs/>
                <w:szCs w:val="21"/>
                <w:highlight w:val="none"/>
              </w:rPr>
              <w:t>（</w:t>
            </w:r>
            <w:r>
              <w:rPr>
                <w:rFonts w:hint="eastAsia" w:ascii="宋体" w:hAnsi="宋体" w:cs="宋体"/>
                <w:b/>
                <w:bCs/>
                <w:szCs w:val="21"/>
                <w:highlight w:val="none"/>
                <w:lang w:val="en-US" w:eastAsia="zh-CN"/>
              </w:rPr>
              <w:t>5</w:t>
            </w:r>
            <w:r>
              <w:rPr>
                <w:rFonts w:hint="eastAsia" w:ascii="宋体" w:hAnsi="宋体" w:cs="宋体"/>
                <w:b/>
                <w:bCs/>
                <w:szCs w:val="21"/>
                <w:highlight w:val="none"/>
              </w:rPr>
              <w:t>分）</w:t>
            </w:r>
          </w:p>
        </w:tc>
        <w:tc>
          <w:tcPr>
            <w:tcW w:w="6066" w:type="dxa"/>
            <w:noWrap w:val="0"/>
            <w:vAlign w:val="center"/>
          </w:tcPr>
          <w:p w14:paraId="49A6B6AE">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一档</w:t>
            </w:r>
            <w:r>
              <w:rPr>
                <w:rFonts w:hint="eastAsia" w:ascii="宋体" w:hAnsi="宋体" w:cs="宋体"/>
                <w:szCs w:val="21"/>
                <w:highlight w:val="none"/>
              </w:rPr>
              <w:t>（</w:t>
            </w:r>
            <w:r>
              <w:rPr>
                <w:rFonts w:hint="eastAsia" w:ascii="宋体" w:hAnsi="宋体" w:cs="宋体"/>
                <w:szCs w:val="21"/>
                <w:highlight w:val="none"/>
                <w:lang w:val="en-US" w:eastAsia="zh-CN"/>
              </w:rPr>
              <w:t>5</w:t>
            </w:r>
            <w:r>
              <w:rPr>
                <w:rFonts w:hint="eastAsia" w:ascii="宋体" w:hAnsi="宋体" w:cs="宋体"/>
                <w:szCs w:val="21"/>
                <w:highlight w:val="none"/>
              </w:rPr>
              <w:t>分）：针对本工程的特点，阐述本工程的重点和难点，解决重点和难点问题的方法</w:t>
            </w:r>
            <w:bookmarkStart w:id="109" w:name="REVIEW_BM_1175"/>
            <w:r>
              <w:rPr>
                <w:rFonts w:hint="eastAsia" w:ascii="宋体" w:hAnsi="宋体" w:cs="宋体"/>
                <w:szCs w:val="21"/>
                <w:highlight w:val="none"/>
              </w:rPr>
              <w:t>科学合理</w:t>
            </w:r>
            <w:bookmarkEnd w:id="109"/>
            <w:r>
              <w:rPr>
                <w:rFonts w:hint="eastAsia" w:ascii="宋体" w:hAnsi="宋体" w:cs="宋体"/>
                <w:szCs w:val="21"/>
                <w:highlight w:val="none"/>
              </w:rPr>
              <w:t>且全面。</w:t>
            </w:r>
          </w:p>
          <w:p w14:paraId="68021B6F">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二档</w:t>
            </w:r>
            <w:r>
              <w:rPr>
                <w:rFonts w:hint="eastAsia" w:ascii="宋体" w:hAnsi="宋体" w:cs="宋体"/>
                <w:szCs w:val="21"/>
                <w:highlight w:val="none"/>
              </w:rPr>
              <w:t>（</w:t>
            </w:r>
            <w:r>
              <w:rPr>
                <w:rFonts w:hint="eastAsia" w:ascii="宋体" w:hAnsi="宋体" w:cs="宋体"/>
                <w:szCs w:val="21"/>
                <w:highlight w:val="none"/>
                <w:lang w:val="en-US" w:eastAsia="zh-CN"/>
              </w:rPr>
              <w:t>4</w:t>
            </w:r>
            <w:r>
              <w:rPr>
                <w:rFonts w:hint="eastAsia" w:ascii="宋体" w:hAnsi="宋体" w:cs="宋体"/>
                <w:szCs w:val="21"/>
                <w:highlight w:val="none"/>
              </w:rPr>
              <w:t>分）：针对本工程的特点，阐述本工程的重点和难点，解决重点和难点问题的方法合理。</w:t>
            </w:r>
          </w:p>
          <w:p w14:paraId="33417EA2">
            <w:pPr>
              <w:keepNext w:val="0"/>
              <w:keepLines w:val="0"/>
              <w:suppressLineNumbers w:val="0"/>
              <w:spacing w:before="0" w:beforeAutospacing="0" w:after="0" w:afterAutospacing="0" w:line="380" w:lineRule="exact"/>
              <w:ind w:left="0" w:right="0"/>
              <w:jc w:val="left"/>
              <w:rPr>
                <w:rFonts w:hint="default" w:ascii="宋体" w:hAnsi="宋体" w:cs="宋体"/>
                <w:szCs w:val="21"/>
                <w:highlight w:val="none"/>
              </w:rPr>
            </w:pPr>
            <w:r>
              <w:rPr>
                <w:rFonts w:hint="eastAsia" w:ascii="宋体" w:hAnsi="宋体" w:cs="宋体"/>
                <w:szCs w:val="21"/>
                <w:highlight w:val="none"/>
                <w:lang w:val="en-US" w:eastAsia="zh-CN"/>
              </w:rPr>
              <w:t>三档</w:t>
            </w:r>
            <w:r>
              <w:rPr>
                <w:rFonts w:hint="eastAsia" w:ascii="宋体" w:hAnsi="宋体" w:cs="宋体"/>
                <w:szCs w:val="21"/>
                <w:highlight w:val="none"/>
              </w:rPr>
              <w:t>（</w:t>
            </w:r>
            <w:r>
              <w:rPr>
                <w:rFonts w:hint="eastAsia" w:ascii="宋体" w:hAnsi="宋体" w:cs="宋体"/>
                <w:szCs w:val="21"/>
                <w:highlight w:val="none"/>
                <w:lang w:val="en-US" w:eastAsia="zh-CN"/>
              </w:rPr>
              <w:t>3</w:t>
            </w:r>
            <w:r>
              <w:rPr>
                <w:rFonts w:hint="eastAsia" w:ascii="宋体" w:hAnsi="宋体" w:cs="宋体"/>
                <w:szCs w:val="21"/>
                <w:highlight w:val="none"/>
              </w:rPr>
              <w:t>分）：针对本工程的特点，阐述本工程的重点和难点，解决重点和难点问题的方法</w:t>
            </w:r>
            <w:bookmarkStart w:id="110" w:name="REVIEW_BM_1176"/>
            <w:r>
              <w:rPr>
                <w:rFonts w:hint="eastAsia" w:ascii="宋体" w:hAnsi="宋体" w:cs="宋体"/>
                <w:szCs w:val="21"/>
                <w:highlight w:val="none"/>
              </w:rPr>
              <w:t>简单</w:t>
            </w:r>
            <w:bookmarkEnd w:id="110"/>
            <w:r>
              <w:rPr>
                <w:rFonts w:hint="eastAsia" w:ascii="宋体" w:hAnsi="宋体" w:cs="宋体"/>
                <w:szCs w:val="21"/>
                <w:highlight w:val="none"/>
              </w:rPr>
              <w:t>但基本合理。</w:t>
            </w:r>
          </w:p>
          <w:p w14:paraId="2320673B">
            <w:pPr>
              <w:keepNext w:val="0"/>
              <w:keepLines w:val="0"/>
              <w:suppressLineNumbers w:val="0"/>
              <w:spacing w:before="0" w:beforeAutospacing="0" w:after="0" w:afterAutospacing="0" w:line="380" w:lineRule="exact"/>
              <w:ind w:left="0" w:right="0"/>
              <w:jc w:val="left"/>
              <w:rPr>
                <w:rFonts w:hint="eastAsia" w:ascii="Times New Roman" w:hAnsi="宋体" w:cs="Times New Roman"/>
                <w:b/>
                <w:szCs w:val="21"/>
                <w:highlight w:val="none"/>
              </w:rPr>
            </w:pPr>
            <w:r>
              <w:rPr>
                <w:rFonts w:hint="eastAsia" w:ascii="宋体" w:hAnsi="宋体" w:cs="宋体"/>
                <w:szCs w:val="21"/>
                <w:highlight w:val="none"/>
                <w:lang w:val="en-US" w:eastAsia="zh-CN"/>
              </w:rPr>
              <w:t>四档</w:t>
            </w:r>
            <w:r>
              <w:rPr>
                <w:rFonts w:hint="eastAsia" w:ascii="宋体" w:hAnsi="宋体" w:cs="宋体"/>
                <w:szCs w:val="21"/>
                <w:highlight w:val="none"/>
              </w:rPr>
              <w:t>（2分）：针对本工程的特点，阐述本工程的重点和难点，解决重点和难点问题的方法有缺陷。</w:t>
            </w:r>
          </w:p>
        </w:tc>
      </w:tr>
      <w:tr w14:paraId="0704E4E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826" w:hRule="atLeast"/>
          <w:jc w:val="center"/>
        </w:trPr>
        <w:tc>
          <w:tcPr>
            <w:tcW w:w="780" w:type="dxa"/>
            <w:noWrap w:val="0"/>
            <w:vAlign w:val="center"/>
          </w:tcPr>
          <w:p w14:paraId="24DCC87A">
            <w:pPr>
              <w:keepNext w:val="0"/>
              <w:keepLines w:val="0"/>
              <w:suppressLineNumbers w:val="0"/>
              <w:spacing w:before="0" w:beforeAutospacing="0" w:after="0" w:afterAutospacing="0" w:line="360" w:lineRule="auto"/>
              <w:ind w:left="0" w:right="0"/>
              <w:jc w:val="center"/>
              <w:rPr>
                <w:rFonts w:hint="default" w:ascii="宋体" w:hAnsi="宋体" w:cs="Tahoma"/>
                <w:b/>
                <w:bCs/>
                <w:szCs w:val="21"/>
                <w:highlight w:val="none"/>
              </w:rPr>
            </w:pPr>
            <w:r>
              <w:rPr>
                <w:rFonts w:hint="eastAsia" w:ascii="宋体" w:hAnsi="宋体" w:cs="Tahoma"/>
                <w:b/>
                <w:bCs/>
                <w:szCs w:val="21"/>
                <w:highlight w:val="none"/>
              </w:rPr>
              <w:t>3</w:t>
            </w:r>
          </w:p>
        </w:tc>
        <w:tc>
          <w:tcPr>
            <w:tcW w:w="2025" w:type="dxa"/>
            <w:gridSpan w:val="2"/>
            <w:noWrap w:val="0"/>
            <w:vAlign w:val="center"/>
          </w:tcPr>
          <w:p w14:paraId="0E27725C">
            <w:pPr>
              <w:keepNext w:val="0"/>
              <w:keepLines w:val="0"/>
              <w:suppressLineNumbers w:val="0"/>
              <w:spacing w:before="0" w:beforeAutospacing="0" w:after="0" w:afterAutospacing="0" w:line="276" w:lineRule="auto"/>
              <w:ind w:left="0" w:right="0"/>
              <w:jc w:val="center"/>
              <w:rPr>
                <w:rFonts w:hint="eastAsia" w:ascii="宋体" w:hAnsi="宋体" w:cs="Courier New"/>
                <w:b/>
                <w:bCs/>
                <w:szCs w:val="21"/>
                <w:highlight w:val="none"/>
              </w:rPr>
            </w:pPr>
            <w:r>
              <w:rPr>
                <w:rFonts w:hint="eastAsia" w:ascii="宋体" w:hAnsi="宋体" w:cs="Courier New"/>
                <w:b/>
                <w:bCs/>
                <w:szCs w:val="21"/>
                <w:highlight w:val="none"/>
              </w:rPr>
              <w:t>商务分</w:t>
            </w:r>
          </w:p>
          <w:p w14:paraId="5135CE3F">
            <w:pPr>
              <w:keepNext w:val="0"/>
              <w:keepLines w:val="0"/>
              <w:suppressLineNumbers w:val="0"/>
              <w:spacing w:before="0" w:beforeAutospacing="0" w:after="0" w:afterAutospacing="0" w:line="276" w:lineRule="auto"/>
              <w:ind w:left="0" w:right="0"/>
              <w:jc w:val="center"/>
              <w:rPr>
                <w:rFonts w:hint="eastAsia" w:ascii="宋体" w:hAnsi="宋体" w:cs="Courier New"/>
                <w:b/>
                <w:bCs/>
                <w:szCs w:val="21"/>
                <w:highlight w:val="none"/>
              </w:rPr>
            </w:pPr>
            <w:r>
              <w:rPr>
                <w:rFonts w:hint="eastAsia" w:ascii="宋体" w:hAnsi="宋体" w:cs="Courier New"/>
                <w:b/>
                <w:bCs/>
                <w:szCs w:val="21"/>
                <w:highlight w:val="none"/>
              </w:rPr>
              <w:t>（</w:t>
            </w:r>
            <w:r>
              <w:rPr>
                <w:rFonts w:hint="eastAsia" w:ascii="宋体" w:hAnsi="宋体" w:cs="Tahoma"/>
                <w:b/>
                <w:bCs/>
                <w:szCs w:val="21"/>
                <w:highlight w:val="none"/>
                <w:lang w:eastAsia="zh-CN"/>
              </w:rPr>
              <w:t>满分</w:t>
            </w:r>
            <w:r>
              <w:rPr>
                <w:rFonts w:hint="eastAsia" w:ascii="宋体" w:hAnsi="宋体" w:cs="Courier New"/>
                <w:b/>
                <w:bCs/>
                <w:szCs w:val="21"/>
                <w:highlight w:val="none"/>
                <w:lang w:val="en-US" w:eastAsia="zh-CN"/>
              </w:rPr>
              <w:t>4</w:t>
            </w:r>
            <w:r>
              <w:rPr>
                <w:rFonts w:hint="eastAsia" w:ascii="宋体" w:hAnsi="宋体" w:cs="Courier New"/>
                <w:b/>
                <w:bCs/>
                <w:szCs w:val="21"/>
                <w:highlight w:val="none"/>
              </w:rPr>
              <w:t>分）</w:t>
            </w:r>
          </w:p>
        </w:tc>
        <w:tc>
          <w:tcPr>
            <w:tcW w:w="6071" w:type="dxa"/>
            <w:gridSpan w:val="2"/>
            <w:noWrap w:val="0"/>
            <w:vAlign w:val="center"/>
          </w:tcPr>
          <w:p w14:paraId="2777D13C">
            <w:pPr>
              <w:keepNext w:val="0"/>
              <w:keepLines w:val="0"/>
              <w:suppressLineNumbers w:val="0"/>
              <w:spacing w:before="0" w:beforeAutospacing="0" w:after="0" w:afterAutospacing="0" w:line="276" w:lineRule="auto"/>
              <w:ind w:left="0" w:right="0"/>
              <w:jc w:val="center"/>
              <w:rPr>
                <w:rFonts w:hint="eastAsia" w:ascii="宋体" w:hAnsi="宋体" w:cs="Times New Roman"/>
                <w:b/>
                <w:highlight w:val="none"/>
              </w:rPr>
            </w:pPr>
            <w:r>
              <w:rPr>
                <w:rFonts w:hint="eastAsia" w:ascii="宋体" w:hAnsi="宋体" w:cs="Times New Roman"/>
                <w:b/>
                <w:highlight w:val="none"/>
              </w:rPr>
              <w:t>评审因素</w:t>
            </w:r>
          </w:p>
        </w:tc>
      </w:tr>
      <w:tr w14:paraId="4A74EC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1537" w:hRule="atLeast"/>
          <w:jc w:val="center"/>
        </w:trPr>
        <w:tc>
          <w:tcPr>
            <w:tcW w:w="780" w:type="dxa"/>
            <w:noWrap w:val="0"/>
            <w:vAlign w:val="center"/>
          </w:tcPr>
          <w:p w14:paraId="29421DB1">
            <w:pPr>
              <w:keepNext w:val="0"/>
              <w:keepLines w:val="0"/>
              <w:suppressLineNumbers w:val="0"/>
              <w:spacing w:before="0" w:beforeAutospacing="0" w:after="0" w:afterAutospacing="0" w:line="360" w:lineRule="auto"/>
              <w:ind w:left="0" w:right="0"/>
              <w:jc w:val="center"/>
              <w:rPr>
                <w:rFonts w:hint="eastAsia" w:ascii="宋体" w:hAnsi="宋体" w:cs="Tahoma"/>
                <w:szCs w:val="21"/>
                <w:highlight w:val="none"/>
              </w:rPr>
            </w:pPr>
            <w:r>
              <w:rPr>
                <w:rFonts w:hint="default" w:ascii="宋体" w:hAnsi="宋体" w:cs="Tahoma"/>
                <w:szCs w:val="21"/>
                <w:highlight w:val="none"/>
              </w:rPr>
              <w:t>3.</w:t>
            </w:r>
            <w:r>
              <w:rPr>
                <w:rFonts w:hint="eastAsia" w:ascii="宋体" w:hAnsi="宋体" w:cs="Tahoma"/>
                <w:szCs w:val="21"/>
                <w:highlight w:val="none"/>
              </w:rPr>
              <w:t>1</w:t>
            </w:r>
          </w:p>
        </w:tc>
        <w:tc>
          <w:tcPr>
            <w:tcW w:w="2025" w:type="dxa"/>
            <w:gridSpan w:val="2"/>
            <w:noWrap w:val="0"/>
            <w:vAlign w:val="center"/>
          </w:tcPr>
          <w:p w14:paraId="664614B0">
            <w:pPr>
              <w:keepNext w:val="0"/>
              <w:keepLines w:val="0"/>
              <w:suppressLineNumbers w:val="0"/>
              <w:spacing w:before="0" w:beforeAutospacing="0" w:after="0" w:afterAutospacing="0" w:line="276" w:lineRule="auto"/>
              <w:ind w:left="0" w:right="0"/>
              <w:jc w:val="center"/>
              <w:rPr>
                <w:rFonts w:hint="eastAsia" w:ascii="宋体" w:hAnsi="宋体" w:cs="Tahoma"/>
                <w:szCs w:val="21"/>
                <w:highlight w:val="none"/>
              </w:rPr>
            </w:pPr>
            <w:r>
              <w:rPr>
                <w:rFonts w:hint="eastAsia" w:ascii="宋体" w:hAnsi="宋体" w:cs="Courier New"/>
                <w:bCs/>
                <w:szCs w:val="21"/>
                <w:highlight w:val="none"/>
              </w:rPr>
              <w:t>项目业绩分（</w:t>
            </w:r>
            <w:r>
              <w:rPr>
                <w:rFonts w:hint="eastAsia" w:ascii="宋体" w:hAnsi="宋体" w:cs="Courier New"/>
                <w:bCs/>
                <w:szCs w:val="21"/>
                <w:highlight w:val="none"/>
                <w:lang w:val="en-US" w:eastAsia="zh-CN"/>
              </w:rPr>
              <w:t>4</w:t>
            </w:r>
            <w:r>
              <w:rPr>
                <w:rFonts w:hint="eastAsia" w:ascii="宋体" w:hAnsi="宋体" w:cs="Courier New"/>
                <w:bCs/>
                <w:szCs w:val="21"/>
                <w:highlight w:val="none"/>
              </w:rPr>
              <w:t>分）</w:t>
            </w:r>
          </w:p>
        </w:tc>
        <w:tc>
          <w:tcPr>
            <w:tcW w:w="6071" w:type="dxa"/>
            <w:gridSpan w:val="2"/>
            <w:noWrap w:val="0"/>
            <w:vAlign w:val="center"/>
          </w:tcPr>
          <w:p w14:paraId="6FA19598">
            <w:pPr>
              <w:keepNext w:val="0"/>
              <w:keepLines w:val="0"/>
              <w:suppressLineNumbers w:val="0"/>
              <w:spacing w:before="0" w:beforeAutospacing="0" w:after="0" w:afterAutospacing="0" w:line="400" w:lineRule="exact"/>
              <w:ind w:left="0" w:right="0"/>
              <w:rPr>
                <w:rFonts w:hint="eastAsia" w:ascii="宋体" w:hAnsi="宋体" w:cs="Courier New"/>
                <w:bCs/>
                <w:szCs w:val="21"/>
                <w:highlight w:val="none"/>
              </w:rPr>
            </w:pPr>
            <w:r>
              <w:rPr>
                <w:rFonts w:hint="eastAsia" w:ascii="宋体" w:hAnsi="宋体" w:cs="新宋体"/>
                <w:szCs w:val="21"/>
                <w:highlight w:val="none"/>
              </w:rPr>
              <w:t>供应商202</w:t>
            </w:r>
            <w:r>
              <w:rPr>
                <w:rFonts w:hint="eastAsia" w:ascii="宋体" w:hAnsi="宋体" w:cs="新宋体"/>
                <w:szCs w:val="21"/>
                <w:highlight w:val="none"/>
                <w:lang w:val="en-US" w:eastAsia="zh-CN"/>
              </w:rPr>
              <w:t>3</w:t>
            </w:r>
            <w:r>
              <w:rPr>
                <w:rFonts w:hint="eastAsia" w:ascii="宋体" w:hAnsi="宋体" w:cs="新宋体"/>
                <w:szCs w:val="21"/>
                <w:highlight w:val="none"/>
              </w:rPr>
              <w:t>年1月1日至今承</w:t>
            </w:r>
            <w:r>
              <w:rPr>
                <w:rFonts w:hint="eastAsia" w:ascii="宋体" w:hAnsi="宋体" w:cs="新宋体"/>
                <w:b w:val="0"/>
                <w:bCs w:val="0"/>
                <w:color w:val="auto"/>
                <w:szCs w:val="21"/>
                <w:highlight w:val="none"/>
                <w:u w:val="none"/>
              </w:rPr>
              <w:t>接过</w:t>
            </w:r>
            <w:r>
              <w:rPr>
                <w:rFonts w:hint="eastAsia" w:ascii="宋体" w:hAnsi="宋体" w:cs="新宋体"/>
                <w:b w:val="0"/>
                <w:bCs w:val="0"/>
                <w:color w:val="auto"/>
                <w:szCs w:val="21"/>
                <w:highlight w:val="none"/>
                <w:u w:val="none"/>
                <w:lang w:val="en-US" w:eastAsia="zh-CN"/>
              </w:rPr>
              <w:t>已完工的类似</w:t>
            </w:r>
            <w:r>
              <w:rPr>
                <w:rFonts w:hint="eastAsia" w:ascii="宋体" w:hAnsi="宋体" w:cs="新宋体"/>
                <w:szCs w:val="21"/>
                <w:highlight w:val="none"/>
                <w:lang w:eastAsia="zh-CN"/>
              </w:rPr>
              <w:t>施工</w:t>
            </w:r>
            <w:r>
              <w:rPr>
                <w:rFonts w:hint="eastAsia" w:ascii="宋体" w:hAnsi="宋体" w:cs="新宋体"/>
                <w:szCs w:val="21"/>
                <w:highlight w:val="none"/>
              </w:rPr>
              <w:t>项目</w:t>
            </w:r>
            <w:r>
              <w:rPr>
                <w:rFonts w:hint="eastAsia" w:ascii="宋体" w:hAnsi="宋体" w:cs="Times New Roman"/>
                <w:szCs w:val="21"/>
                <w:highlight w:val="none"/>
              </w:rPr>
              <w:t>业绩</w:t>
            </w:r>
            <w:r>
              <w:rPr>
                <w:rFonts w:hint="eastAsia" w:ascii="宋体" w:hAnsi="宋体" w:cs="新宋体"/>
                <w:szCs w:val="21"/>
                <w:highlight w:val="none"/>
              </w:rPr>
              <w:t>的</w:t>
            </w:r>
            <w:r>
              <w:rPr>
                <w:rFonts w:hint="eastAsia" w:ascii="宋体" w:hAnsi="宋体" w:cs="新宋体"/>
                <w:szCs w:val="21"/>
                <w:highlight w:val="none"/>
                <w:lang w:eastAsia="zh-CN"/>
              </w:rPr>
              <w:t>（</w:t>
            </w:r>
            <w:r>
              <w:rPr>
                <w:rFonts w:hint="eastAsia" w:ascii="宋体" w:hAnsi="宋体" w:cs="新宋体"/>
                <w:szCs w:val="21"/>
                <w:highlight w:val="none"/>
                <w:lang w:val="en-US" w:eastAsia="zh-CN"/>
              </w:rPr>
              <w:t>类似施工项目是指装饰装修项目</w:t>
            </w:r>
            <w:r>
              <w:rPr>
                <w:rFonts w:hint="eastAsia" w:ascii="宋体" w:hAnsi="宋体" w:cs="新宋体"/>
                <w:szCs w:val="21"/>
                <w:highlight w:val="none"/>
                <w:lang w:eastAsia="zh-CN"/>
              </w:rPr>
              <w:t>）</w:t>
            </w:r>
            <w:r>
              <w:rPr>
                <w:rFonts w:hint="eastAsia" w:ascii="宋体" w:hAnsi="宋体" w:cs="新宋体"/>
                <w:szCs w:val="21"/>
                <w:highlight w:val="none"/>
              </w:rPr>
              <w:t>，每</w:t>
            </w:r>
            <w:r>
              <w:rPr>
                <w:rFonts w:hint="eastAsia" w:ascii="宋体" w:hAnsi="宋体" w:cs="新宋体"/>
                <w:szCs w:val="21"/>
                <w:highlight w:val="none"/>
                <w:lang w:eastAsia="zh-CN"/>
              </w:rPr>
              <w:t>个</w:t>
            </w:r>
            <w:r>
              <w:rPr>
                <w:rFonts w:hint="eastAsia" w:ascii="宋体" w:hAnsi="宋体" w:cs="新宋体"/>
                <w:szCs w:val="21"/>
                <w:highlight w:val="none"/>
              </w:rPr>
              <w:t>得</w:t>
            </w:r>
            <w:r>
              <w:rPr>
                <w:rFonts w:hint="eastAsia" w:ascii="宋体" w:hAnsi="宋体" w:cs="新宋体"/>
                <w:szCs w:val="21"/>
                <w:highlight w:val="none"/>
                <w:lang w:val="en-US" w:eastAsia="zh-CN"/>
              </w:rPr>
              <w:t>1</w:t>
            </w:r>
            <w:r>
              <w:rPr>
                <w:rFonts w:hint="eastAsia" w:ascii="宋体" w:hAnsi="宋体" w:cs="新宋体"/>
                <w:szCs w:val="21"/>
                <w:highlight w:val="none"/>
              </w:rPr>
              <w:t>分，满分</w:t>
            </w:r>
            <w:r>
              <w:rPr>
                <w:rFonts w:hint="eastAsia" w:ascii="宋体" w:hAnsi="宋体" w:cs="新宋体"/>
                <w:szCs w:val="21"/>
                <w:highlight w:val="none"/>
                <w:lang w:val="en-US" w:eastAsia="zh-CN"/>
              </w:rPr>
              <w:t>4</w:t>
            </w:r>
            <w:r>
              <w:rPr>
                <w:rFonts w:hint="eastAsia" w:ascii="宋体" w:hAnsi="宋体" w:cs="新宋体"/>
                <w:szCs w:val="21"/>
                <w:highlight w:val="none"/>
              </w:rPr>
              <w:t>分（</w:t>
            </w:r>
            <w:r>
              <w:rPr>
                <w:rFonts w:hint="eastAsia" w:ascii="宋体" w:hAnsi="宋体" w:cs="新宋体"/>
                <w:b/>
                <w:bCs/>
                <w:szCs w:val="21"/>
                <w:highlight w:val="none"/>
              </w:rPr>
              <w:t>响应文件须提供合同或者</w:t>
            </w:r>
            <w:bookmarkStart w:id="111" w:name="REVIEW_BM_1177"/>
            <w:r>
              <w:rPr>
                <w:rFonts w:hint="eastAsia" w:ascii="宋体" w:hAnsi="宋体" w:cs="新宋体"/>
                <w:b/>
                <w:bCs/>
                <w:szCs w:val="21"/>
                <w:highlight w:val="none"/>
              </w:rPr>
              <w:t>中标</w:t>
            </w:r>
            <w:r>
              <w:rPr>
                <w:rFonts w:hint="eastAsia" w:ascii="宋体" w:hAnsi="宋体" w:cs="新宋体"/>
                <w:b/>
                <w:bCs/>
                <w:szCs w:val="21"/>
                <w:highlight w:val="none"/>
                <w:lang w:eastAsia="zh-CN"/>
              </w:rPr>
              <w:t>（</w:t>
            </w:r>
            <w:r>
              <w:rPr>
                <w:rFonts w:hint="eastAsia" w:ascii="宋体" w:hAnsi="宋体" w:cs="新宋体"/>
                <w:b/>
                <w:bCs/>
                <w:szCs w:val="21"/>
                <w:highlight w:val="none"/>
                <w:lang w:val="en-US" w:eastAsia="zh-CN"/>
              </w:rPr>
              <w:t>成交</w:t>
            </w:r>
            <w:r>
              <w:rPr>
                <w:rFonts w:hint="eastAsia" w:ascii="宋体" w:hAnsi="宋体" w:cs="新宋体"/>
                <w:b/>
                <w:bCs/>
                <w:szCs w:val="21"/>
                <w:highlight w:val="none"/>
                <w:lang w:eastAsia="zh-CN"/>
              </w:rPr>
              <w:t>）</w:t>
            </w:r>
            <w:r>
              <w:rPr>
                <w:rFonts w:hint="eastAsia" w:ascii="宋体" w:hAnsi="宋体" w:cs="新宋体"/>
                <w:b/>
                <w:bCs/>
                <w:szCs w:val="21"/>
                <w:highlight w:val="none"/>
              </w:rPr>
              <w:t>通知书</w:t>
            </w:r>
            <w:bookmarkEnd w:id="111"/>
            <w:r>
              <w:rPr>
                <w:rFonts w:hint="eastAsia" w:ascii="宋体" w:hAnsi="宋体" w:cs="新宋体"/>
                <w:b/>
                <w:bCs/>
                <w:szCs w:val="21"/>
                <w:highlight w:val="none"/>
              </w:rPr>
              <w:t>复印件并加盖</w:t>
            </w:r>
            <w:r>
              <w:rPr>
                <w:rFonts w:hint="eastAsia" w:ascii="宋体" w:hAnsi="宋体" w:cs="新宋体"/>
                <w:b/>
                <w:bCs/>
                <w:szCs w:val="21"/>
                <w:highlight w:val="none"/>
                <w:lang w:eastAsia="zh-CN"/>
              </w:rPr>
              <w:t>供应商电子</w:t>
            </w:r>
            <w:r>
              <w:rPr>
                <w:rFonts w:hint="eastAsia" w:ascii="宋体" w:hAnsi="宋体" w:cs="新宋体"/>
                <w:b/>
                <w:bCs/>
                <w:szCs w:val="21"/>
                <w:highlight w:val="none"/>
              </w:rPr>
              <w:t>公章，不提供者不得分</w:t>
            </w:r>
            <w:r>
              <w:rPr>
                <w:rFonts w:hint="eastAsia" w:ascii="宋体" w:hAnsi="宋体" w:cs="新宋体"/>
                <w:szCs w:val="21"/>
                <w:highlight w:val="none"/>
              </w:rPr>
              <w:t>）</w:t>
            </w:r>
          </w:p>
        </w:tc>
      </w:tr>
      <w:tr w14:paraId="5304800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8" w:hRule="atLeast"/>
          <w:jc w:val="center"/>
        </w:trPr>
        <w:tc>
          <w:tcPr>
            <w:tcW w:w="8876" w:type="dxa"/>
            <w:gridSpan w:val="5"/>
            <w:noWrap w:val="0"/>
            <w:vAlign w:val="center"/>
          </w:tcPr>
          <w:p w14:paraId="686C3A59">
            <w:pPr>
              <w:pStyle w:val="28"/>
              <w:keepNext w:val="0"/>
              <w:keepLines w:val="0"/>
              <w:suppressLineNumbers w:val="0"/>
              <w:spacing w:before="0" w:beforeAutospacing="0" w:after="0" w:afterAutospacing="0" w:line="360" w:lineRule="auto"/>
              <w:ind w:left="0" w:right="0" w:firstLine="420"/>
              <w:rPr>
                <w:rFonts w:hint="default" w:hAnsi="宋体" w:cs="Courier New"/>
                <w:bCs/>
                <w:sz w:val="21"/>
                <w:highlight w:val="none"/>
              </w:rPr>
            </w:pPr>
            <w:r>
              <w:rPr>
                <w:rFonts w:hint="eastAsia" w:hAnsi="宋体" w:cs="Courier New"/>
                <w:bCs/>
                <w:sz w:val="21"/>
                <w:highlight w:val="none"/>
              </w:rPr>
              <w:t>总得分＝1＋2＋3</w:t>
            </w:r>
          </w:p>
        </w:tc>
      </w:tr>
    </w:tbl>
    <w:p w14:paraId="5D7697ED">
      <w:pPr>
        <w:pStyle w:val="28"/>
        <w:spacing w:line="360" w:lineRule="auto"/>
        <w:ind w:firstLine="420"/>
        <w:rPr>
          <w:rFonts w:hAnsi="宋体" w:cs="宋体"/>
          <w:bCs/>
          <w:sz w:val="21"/>
          <w:highlight w:val="none"/>
        </w:rPr>
      </w:pPr>
    </w:p>
    <w:p w14:paraId="0ADF3B70">
      <w:pPr>
        <w:pStyle w:val="28"/>
        <w:spacing w:line="360" w:lineRule="auto"/>
        <w:ind w:firstLine="420"/>
        <w:rPr>
          <w:rFonts w:hint="eastAsia" w:hAnsi="宋体" w:cs="宋体"/>
          <w:bCs/>
          <w:sz w:val="21"/>
          <w:highlight w:val="none"/>
        </w:rPr>
      </w:pPr>
      <w:r>
        <w:rPr>
          <w:rFonts w:hAnsi="宋体" w:cs="宋体"/>
          <w:bCs/>
          <w:sz w:val="21"/>
          <w:highlight w:val="none"/>
        </w:rPr>
        <w:t>7</w:t>
      </w:r>
      <w:r>
        <w:rPr>
          <w:rFonts w:hint="eastAsia" w:hAnsi="宋体" w:cs="宋体"/>
          <w:bCs/>
          <w:sz w:val="21"/>
          <w:highlight w:val="none"/>
        </w:rPr>
        <w:t>.2商务技术评审因素为客观评分项的，应在评分项目或评分标准中予以标注为“客观分”。对供应商的客观评分项目，各评审专家评分应当一致。</w:t>
      </w:r>
    </w:p>
    <w:p w14:paraId="70FF2B29">
      <w:pPr>
        <w:spacing w:line="360" w:lineRule="auto"/>
        <w:ind w:firstLine="420"/>
        <w:rPr>
          <w:rFonts w:hint="eastAsia" w:ascii="宋体" w:hAnsi="宋体" w:cs="宋体"/>
          <w:highlight w:val="none"/>
        </w:rPr>
        <w:sectPr>
          <w:footerReference r:id="rId8" w:type="first"/>
          <w:footerReference r:id="rId7" w:type="default"/>
          <w:pgSz w:w="11910" w:h="16840"/>
          <w:pgMar w:top="1340" w:right="1500" w:bottom="1220" w:left="1680" w:header="720" w:footer="720" w:gutter="0"/>
          <w:cols w:space="720" w:num="1"/>
        </w:sectPr>
      </w:pPr>
      <w:r>
        <w:rPr>
          <w:rFonts w:hint="eastAsia" w:ascii="宋体" w:hAnsi="宋体" w:cs="宋体"/>
          <w:highlight w:val="none"/>
        </w:rPr>
        <w:t>7.3</w:t>
      </w:r>
      <w:r>
        <w:rPr>
          <w:rFonts w:hint="eastAsia" w:ascii="宋体" w:hAnsi="宋体" w:cs="宋体"/>
          <w:szCs w:val="21"/>
          <w:highlight w:val="none"/>
        </w:rPr>
        <w:t>由磋商小组根据综合评分情况，按照评审得分由高到低顺序推荐3名以上成交候选供应商</w:t>
      </w:r>
      <w:bookmarkStart w:id="112" w:name="REVIEW_BM_1178"/>
      <w:r>
        <w:rPr>
          <w:rFonts w:hint="eastAsia" w:ascii="宋体" w:hAnsi="宋体" w:cs="宋体"/>
          <w:szCs w:val="21"/>
          <w:highlight w:val="none"/>
        </w:rPr>
        <w:t>,</w:t>
      </w:r>
      <w:bookmarkEnd w:id="112"/>
      <w:r>
        <w:rPr>
          <w:rFonts w:hint="eastAsia" w:ascii="宋体" w:hAnsi="宋体" w:cs="宋体"/>
          <w:szCs w:val="21"/>
          <w:highlight w:val="none"/>
        </w:rPr>
        <w:t>并在线编写电子评审报告。符合本章第一节第5.3条情形的，可以推荐2家成交候选供应商。评审得分相同的，按照最后报价（不计算价格折扣）由低到高的顺序推荐。评审得分且最后报价（不计算价格折扣）相同的，按照技术指标优劣顺序推荐（按技术得分由高到低排序，技术得分相同的按照服务需求偏离分由高到低排序）。评审得分、最后报价（不计算价格折扣）、技术得分、服务需求偏离分均相同的，由磋商小组随机抽取推荐。</w:t>
      </w:r>
    </w:p>
    <w:p w14:paraId="329AF95D">
      <w:pPr>
        <w:spacing w:line="400" w:lineRule="exact"/>
        <w:ind w:firstLine="420"/>
        <w:rPr>
          <w:rFonts w:hint="eastAsia" w:ascii="宋体" w:hAnsi="宋体" w:cs="宋体"/>
          <w:highlight w:val="none"/>
        </w:rPr>
      </w:pPr>
    </w:p>
    <w:p w14:paraId="0F30AAF8">
      <w:pPr>
        <w:pStyle w:val="20"/>
        <w:rPr>
          <w:rFonts w:hint="eastAsia" w:ascii="宋体" w:hAnsi="宋体" w:cs="宋体"/>
          <w:highlight w:val="none"/>
        </w:rPr>
      </w:pPr>
    </w:p>
    <w:p w14:paraId="6D672133">
      <w:pPr>
        <w:rPr>
          <w:rFonts w:hint="eastAsia" w:ascii="宋体" w:hAnsi="宋体" w:cs="宋体"/>
          <w:highlight w:val="none"/>
        </w:rPr>
      </w:pPr>
    </w:p>
    <w:p w14:paraId="71A64CB7">
      <w:pPr>
        <w:pStyle w:val="20"/>
        <w:rPr>
          <w:rFonts w:hint="eastAsia" w:ascii="宋体" w:hAnsi="宋体" w:cs="宋体"/>
          <w:highlight w:val="none"/>
        </w:rPr>
      </w:pPr>
    </w:p>
    <w:p w14:paraId="61BE7791">
      <w:pPr>
        <w:rPr>
          <w:rFonts w:hint="eastAsia" w:ascii="宋体" w:hAnsi="宋体" w:cs="宋体"/>
          <w:highlight w:val="none"/>
        </w:rPr>
      </w:pPr>
    </w:p>
    <w:p w14:paraId="074CBFBF">
      <w:pPr>
        <w:pStyle w:val="20"/>
        <w:rPr>
          <w:rFonts w:hint="eastAsia" w:ascii="宋体" w:hAnsi="宋体" w:cs="宋体"/>
          <w:highlight w:val="none"/>
        </w:rPr>
      </w:pPr>
    </w:p>
    <w:p w14:paraId="5807136C">
      <w:pPr>
        <w:rPr>
          <w:rFonts w:hint="eastAsia" w:ascii="宋体" w:hAnsi="宋体" w:cs="宋体"/>
          <w:highlight w:val="none"/>
        </w:rPr>
      </w:pPr>
    </w:p>
    <w:p w14:paraId="0DD71E74">
      <w:pPr>
        <w:pStyle w:val="20"/>
        <w:rPr>
          <w:rFonts w:hint="eastAsia"/>
          <w:highlight w:val="none"/>
        </w:rPr>
      </w:pPr>
    </w:p>
    <w:p w14:paraId="3C6ECF42">
      <w:pPr>
        <w:pStyle w:val="3"/>
        <w:bidi w:val="0"/>
        <w:jc w:val="center"/>
        <w:rPr>
          <w:rFonts w:hint="eastAsia"/>
          <w:highlight w:val="none"/>
        </w:rPr>
      </w:pPr>
      <w:bookmarkStart w:id="113" w:name="_第五章 工程量清单及图纸"/>
      <w:bookmarkStart w:id="114" w:name="_Toc22561"/>
      <w:r>
        <w:rPr>
          <w:rFonts w:hint="eastAsia"/>
          <w:highlight w:val="none"/>
        </w:rPr>
        <w:t>第五章</w:t>
      </w:r>
      <w:r>
        <w:rPr>
          <w:rFonts w:hint="eastAsia"/>
          <w:highlight w:val="none"/>
          <w:lang w:val="en-US" w:eastAsia="zh-CN"/>
        </w:rPr>
        <w:t xml:space="preserve">  </w:t>
      </w:r>
      <w:r>
        <w:rPr>
          <w:rFonts w:hint="eastAsia"/>
          <w:highlight w:val="none"/>
        </w:rPr>
        <w:t>工程量清单</w:t>
      </w:r>
      <w:bookmarkEnd w:id="113"/>
      <w:bookmarkEnd w:id="114"/>
    </w:p>
    <w:p w14:paraId="53A21C13">
      <w:pPr>
        <w:rPr>
          <w:highlight w:val="none"/>
        </w:rPr>
      </w:pPr>
    </w:p>
    <w:p w14:paraId="6FD5C50E">
      <w:pPr>
        <w:pStyle w:val="4"/>
        <w:bidi w:val="0"/>
        <w:jc w:val="center"/>
        <w:rPr>
          <w:highlight w:val="none"/>
        </w:rPr>
      </w:pPr>
      <w:r>
        <w:rPr>
          <w:highlight w:val="none"/>
        </w:rPr>
        <w:br w:type="page" w:clear="all"/>
      </w:r>
      <w:bookmarkStart w:id="115" w:name="_Toc407135284"/>
      <w:bookmarkStart w:id="116" w:name="_Toc4142"/>
      <w:bookmarkStart w:id="117" w:name="_Toc78449869"/>
      <w:bookmarkStart w:id="118" w:name="_Toc1386396751"/>
      <w:bookmarkStart w:id="119" w:name="_Toc1392571603"/>
      <w:r>
        <w:rPr>
          <w:highlight w:val="none"/>
        </w:rPr>
        <w:t>1</w:t>
      </w:r>
      <w:r>
        <w:rPr>
          <w:rFonts w:hint="eastAsia"/>
          <w:highlight w:val="none"/>
        </w:rPr>
        <w:t>.</w:t>
      </w:r>
      <w:r>
        <w:rPr>
          <w:rFonts w:hint="eastAsia" w:cs="黑体"/>
          <w:highlight w:val="none"/>
        </w:rPr>
        <w:t>工程量清单编制说明</w:t>
      </w:r>
      <w:bookmarkEnd w:id="115"/>
      <w:bookmarkEnd w:id="116"/>
      <w:bookmarkEnd w:id="117"/>
      <w:bookmarkEnd w:id="118"/>
      <w:bookmarkEnd w:id="119"/>
      <w:r>
        <w:rPr>
          <w:highlight w:val="none"/>
        </w:rPr>
        <w:t>﻿</w:t>
      </w:r>
    </w:p>
    <w:p w14:paraId="393DCBEC">
      <w:pPr>
        <w:keepNext w:val="0"/>
        <w:keepLines w:val="0"/>
        <w:pageBreakBefore w:val="0"/>
        <w:widowControl w:val="0"/>
        <w:bidi w:val="0"/>
        <w:spacing w:line="360" w:lineRule="auto"/>
        <w:ind w:firstLine="420"/>
        <w:rPr>
          <w:rFonts w:hint="eastAsia" w:asciiTheme="minorEastAsia" w:hAnsiTheme="minorEastAsia" w:eastAsiaTheme="minorEastAsia" w:cstheme="minorEastAsia"/>
          <w:color w:val="auto"/>
          <w:highlight w:val="none"/>
          <w:lang w:eastAsia="zh-CN"/>
        </w:rPr>
      </w:pPr>
      <w:r>
        <w:rPr>
          <w:rFonts w:hint="eastAsia" w:asciiTheme="minorEastAsia" w:hAnsiTheme="minorEastAsia" w:eastAsiaTheme="minorEastAsia" w:cstheme="minorEastAsia"/>
          <w:color w:val="auto"/>
          <w:highlight w:val="none"/>
        </w:rPr>
        <w:t>1.1本工程量清单依据</w:t>
      </w:r>
      <w:r>
        <w:rPr>
          <w:rFonts w:hint="eastAsia" w:asciiTheme="minorEastAsia" w:hAnsiTheme="minorEastAsia" w:eastAsiaTheme="minorEastAsia" w:cstheme="minorEastAsia"/>
          <w:color w:val="auto"/>
          <w:highlight w:val="none"/>
          <w:lang w:eastAsia="zh-CN"/>
        </w:rPr>
        <w:t>：</w:t>
      </w:r>
    </w:p>
    <w:p w14:paraId="43C6E3D2">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（1）工程量计算范围：</w:t>
      </w:r>
      <w:r>
        <w:rPr>
          <w:rFonts w:hint="eastAsia" w:asciiTheme="minorEastAsia" w:hAnsiTheme="minorEastAsia" w:eastAsiaTheme="minorEastAsia" w:cstheme="minorEastAsia"/>
          <w:szCs w:val="21"/>
          <w:highlight w:val="none"/>
          <w:lang w:val="en-US" w:eastAsia="zh-CN"/>
        </w:rPr>
        <w:t>施工方案</w:t>
      </w:r>
      <w:r>
        <w:rPr>
          <w:rFonts w:hint="eastAsia" w:asciiTheme="minorEastAsia" w:hAnsiTheme="minorEastAsia" w:eastAsiaTheme="minorEastAsia" w:cstheme="minorEastAsia"/>
          <w:szCs w:val="21"/>
          <w:highlight w:val="none"/>
        </w:rPr>
        <w:t>范围内的工程内容；</w:t>
      </w:r>
      <w:r>
        <w:rPr>
          <w:rFonts w:hint="eastAsia" w:asciiTheme="minorEastAsia" w:hAnsiTheme="minorEastAsia" w:eastAsiaTheme="minorEastAsia" w:cstheme="minorEastAsia"/>
          <w:szCs w:val="21"/>
          <w:highlight w:val="none"/>
        </w:rPr>
        <w:tab/>
      </w:r>
    </w:p>
    <w:p w14:paraId="036FDBEA">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val="en-US" w:eastAsia="zh-CN"/>
        </w:rPr>
        <w:t>2</w:t>
      </w:r>
      <w:r>
        <w:rPr>
          <w:rFonts w:hint="eastAsia" w:asciiTheme="minorEastAsia" w:hAnsiTheme="minorEastAsia" w:eastAsiaTheme="minorEastAsia" w:cstheme="minorEastAsia"/>
          <w:szCs w:val="21"/>
          <w:highlight w:val="none"/>
        </w:rPr>
        <w:t>）《建设工程工程量清单计价规范》(GB50500-2013)；《建设工程工程量清单计价规范&gt;GB50500-2013广西壮族自治区实施细则》；</w:t>
      </w:r>
      <w:r>
        <w:rPr>
          <w:rFonts w:hint="eastAsia" w:asciiTheme="minorEastAsia" w:hAnsiTheme="minorEastAsia" w:eastAsiaTheme="minorEastAsia" w:cstheme="minorEastAsia"/>
          <w:szCs w:val="21"/>
          <w:highlight w:val="none"/>
        </w:rPr>
        <w:tab/>
      </w:r>
    </w:p>
    <w:p w14:paraId="0FE973BA">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2024年《广西壮族自治区建筑装饰装修工程消耗量定额》；</w:t>
      </w:r>
      <w:r>
        <w:rPr>
          <w:rFonts w:hint="eastAsia" w:asciiTheme="minorEastAsia" w:hAnsiTheme="minorEastAsia" w:eastAsiaTheme="minorEastAsia" w:cstheme="minorEastAsia"/>
          <w:szCs w:val="21"/>
          <w:highlight w:val="none"/>
        </w:rPr>
        <w:tab/>
      </w:r>
    </w:p>
    <w:p w14:paraId="49EAF9E4">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2024年《广西壮族自治区拆除工程消耗量定额》；</w:t>
      </w:r>
      <w:r>
        <w:rPr>
          <w:rFonts w:hint="eastAsia" w:asciiTheme="minorEastAsia" w:hAnsiTheme="minorEastAsia" w:eastAsiaTheme="minorEastAsia" w:cstheme="minorEastAsia"/>
          <w:szCs w:val="21"/>
          <w:highlight w:val="none"/>
        </w:rPr>
        <w:tab/>
      </w:r>
    </w:p>
    <w:p w14:paraId="607CFC7F">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桂建标[2019]10号文《自治区</w:t>
      </w:r>
      <w:bookmarkStart w:id="120" w:name="REVIEW_BM_1179"/>
      <w:r>
        <w:rPr>
          <w:rFonts w:hint="eastAsia" w:asciiTheme="minorEastAsia" w:hAnsiTheme="minorEastAsia" w:eastAsiaTheme="minorEastAsia" w:cstheme="minorEastAsia"/>
          <w:szCs w:val="21"/>
          <w:highlight w:val="none"/>
        </w:rPr>
        <w:t>住房城乡建设厅</w:t>
      </w:r>
      <w:bookmarkEnd w:id="120"/>
      <w:r>
        <w:rPr>
          <w:rFonts w:hint="eastAsia" w:asciiTheme="minorEastAsia" w:hAnsiTheme="minorEastAsia" w:eastAsiaTheme="minorEastAsia" w:cstheme="minorEastAsia"/>
          <w:szCs w:val="21"/>
          <w:highlight w:val="none"/>
        </w:rPr>
        <w:t>关于调整建设工程计价增值税税率的通知》；</w:t>
      </w:r>
      <w:r>
        <w:rPr>
          <w:rFonts w:hint="eastAsia" w:asciiTheme="minorEastAsia" w:hAnsiTheme="minorEastAsia" w:eastAsiaTheme="minorEastAsia" w:cstheme="minorEastAsia"/>
          <w:szCs w:val="21"/>
          <w:highlight w:val="none"/>
        </w:rPr>
        <w:tab/>
      </w:r>
    </w:p>
    <w:p w14:paraId="71A2AC54">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桂建标[2023]7号自治区住房城乡建设厅关于调整建设工程定额人工费及有关费率的通知；</w:t>
      </w:r>
      <w:r>
        <w:rPr>
          <w:rFonts w:hint="eastAsia" w:asciiTheme="minorEastAsia" w:hAnsiTheme="minorEastAsia" w:eastAsiaTheme="minorEastAsia" w:cstheme="minorEastAsia"/>
          <w:szCs w:val="21"/>
          <w:highlight w:val="none"/>
        </w:rPr>
        <w:tab/>
      </w:r>
    </w:p>
    <w:p w14:paraId="488D28EB">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桂建发[2023]6号自治区</w:t>
      </w:r>
      <w:bookmarkStart w:id="121" w:name="REVIEW_BM_1180"/>
      <w:r>
        <w:rPr>
          <w:rFonts w:hint="eastAsia" w:asciiTheme="minorEastAsia" w:hAnsiTheme="minorEastAsia" w:eastAsiaTheme="minorEastAsia" w:cstheme="minorEastAsia"/>
          <w:szCs w:val="21"/>
          <w:highlight w:val="none"/>
        </w:rPr>
        <w:t>住房城乡建设厅</w:t>
      </w:r>
      <w:bookmarkEnd w:id="121"/>
      <w:r>
        <w:rPr>
          <w:rFonts w:hint="eastAsia" w:asciiTheme="minorEastAsia" w:hAnsiTheme="minorEastAsia" w:eastAsiaTheme="minorEastAsia" w:cstheme="minorEastAsia"/>
          <w:szCs w:val="21"/>
          <w:highlight w:val="none"/>
        </w:rPr>
        <w:t>关于印发广西壮族自治区房屋建筑和市政基础设施工程安全生产责任保险计价规定的通知；</w:t>
      </w:r>
      <w:r>
        <w:rPr>
          <w:rFonts w:hint="eastAsia" w:asciiTheme="minorEastAsia" w:hAnsiTheme="minorEastAsia" w:eastAsiaTheme="minorEastAsia" w:cstheme="minorEastAsia"/>
          <w:szCs w:val="21"/>
          <w:highlight w:val="none"/>
        </w:rPr>
        <w:tab/>
      </w:r>
    </w:p>
    <w:p w14:paraId="61DF36EC">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材料价格</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按《南宁市建设工程造价信息》2026年第3期上半月(除税价)计算，南宁市建设工程造价信息上没有的，按2026年同期南宁市除税信息价及市场调整</w:t>
      </w:r>
      <w:r>
        <w:rPr>
          <w:rFonts w:hint="eastAsia" w:asciiTheme="minorEastAsia" w:hAnsiTheme="minorEastAsia" w:eastAsiaTheme="minorEastAsia" w:cstheme="minorEastAsia"/>
          <w:szCs w:val="21"/>
          <w:highlight w:val="none"/>
          <w:lang w:eastAsia="zh-CN"/>
        </w:rPr>
        <w:t>；</w:t>
      </w:r>
    </w:p>
    <w:p w14:paraId="56B14FEF">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其他</w:t>
      </w:r>
      <w:r>
        <w:rPr>
          <w:rFonts w:hint="eastAsia" w:asciiTheme="minorEastAsia" w:hAnsiTheme="minorEastAsia" w:eastAsiaTheme="minorEastAsia" w:cstheme="minorEastAsia"/>
          <w:szCs w:val="21"/>
          <w:highlight w:val="none"/>
          <w:lang w:eastAsia="zh-CN"/>
        </w:rPr>
        <w:t>：</w:t>
      </w:r>
    </w:p>
    <w:p w14:paraId="614D1F03">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1</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项目弃渣运距10km。</w:t>
      </w:r>
      <w:r>
        <w:rPr>
          <w:rFonts w:hint="eastAsia" w:asciiTheme="minorEastAsia" w:hAnsiTheme="minorEastAsia" w:eastAsiaTheme="minorEastAsia" w:cstheme="minorEastAsia"/>
          <w:szCs w:val="21"/>
          <w:highlight w:val="none"/>
        </w:rPr>
        <w:tab/>
      </w:r>
    </w:p>
    <w:p w14:paraId="5237F739">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2</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翻新腻子乳胶漆考虑现场没有电梯，需要人工二次搬运材料。</w:t>
      </w:r>
      <w:r>
        <w:rPr>
          <w:rFonts w:hint="eastAsia" w:asciiTheme="minorEastAsia" w:hAnsiTheme="minorEastAsia" w:eastAsiaTheme="minorEastAsia" w:cstheme="minorEastAsia"/>
          <w:szCs w:val="21"/>
          <w:highlight w:val="none"/>
        </w:rPr>
        <w:tab/>
      </w:r>
    </w:p>
    <w:p w14:paraId="01CAE01E">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 xml:space="preserve">  3</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安全生产责任险为暂估价3802.18元。</w:t>
      </w:r>
      <w:r>
        <w:rPr>
          <w:rFonts w:hint="eastAsia" w:asciiTheme="minorEastAsia" w:hAnsiTheme="minorEastAsia" w:eastAsiaTheme="minorEastAsia" w:cstheme="minorEastAsia"/>
          <w:szCs w:val="21"/>
          <w:highlight w:val="none"/>
        </w:rPr>
        <w:tab/>
      </w:r>
    </w:p>
    <w:p w14:paraId="763C17A9">
      <w:pPr>
        <w:keepNext w:val="0"/>
        <w:keepLines w:val="0"/>
        <w:pageBreakBefore w:val="0"/>
        <w:widowControl w:val="0"/>
        <w:bidi w:val="0"/>
        <w:spacing w:line="360" w:lineRule="auto"/>
        <w:ind w:firstLine="420"/>
        <w:rPr>
          <w:rFonts w:hint="eastAsia" w:asciiTheme="minorEastAsia" w:hAnsiTheme="minorEastAsia" w:eastAsiaTheme="minorEastAsia" w:cstheme="minorEastAsia"/>
          <w:color w:val="auto"/>
          <w:highlight w:val="none"/>
        </w:rPr>
      </w:pPr>
    </w:p>
    <w:p w14:paraId="61A00E16">
      <w:pPr>
        <w:keepNext w:val="0"/>
        <w:keepLines w:val="0"/>
        <w:pageBreakBefore w:val="0"/>
        <w:widowControl w:val="0"/>
        <w:bidi w:val="0"/>
        <w:spacing w:line="360" w:lineRule="auto"/>
        <w:ind w:firstLine="420"/>
        <w:rPr>
          <w:rFonts w:hint="eastAsia" w:asciiTheme="minorEastAsia" w:hAnsiTheme="minorEastAsia" w:eastAsiaTheme="minorEastAsia" w:cstheme="minorEastAsia"/>
          <w:color w:val="auto"/>
          <w:highlight w:val="none"/>
        </w:rPr>
      </w:pPr>
      <w:r>
        <w:rPr>
          <w:rFonts w:hint="eastAsia" w:asciiTheme="minorEastAsia" w:hAnsiTheme="minorEastAsia" w:eastAsiaTheme="minorEastAsia" w:cstheme="minorEastAsia"/>
          <w:color w:val="auto"/>
          <w:highlight w:val="none"/>
        </w:rPr>
        <w:t>计算规范中没有的清单项目，应在本章第1.4款约定。</w:t>
      </w:r>
    </w:p>
    <w:p w14:paraId="3362A758">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1.2 工程量清单应与供应商须知、合同协议条款、合同的通用条款、合同专用条款、技术规范及</w:t>
      </w:r>
      <w:r>
        <w:rPr>
          <w:rFonts w:hint="eastAsia" w:asciiTheme="minorEastAsia" w:hAnsiTheme="minorEastAsia" w:cstheme="minorEastAsia"/>
          <w:highlight w:val="none"/>
          <w:lang w:val="en-US" w:eastAsia="zh-CN"/>
        </w:rPr>
        <w:t>施工方案</w:t>
      </w:r>
      <w:r>
        <w:rPr>
          <w:rFonts w:hint="eastAsia" w:asciiTheme="minorEastAsia" w:hAnsiTheme="minorEastAsia" w:eastAsiaTheme="minorEastAsia" w:cstheme="minorEastAsia"/>
          <w:highlight w:val="none"/>
        </w:rPr>
        <w:t>等文件一起结合使用。</w:t>
      </w:r>
    </w:p>
    <w:p w14:paraId="24CF12E5">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1.3 工程量清单是磋商文件的组成部分，是工程量清单计价的基础，作为编制招标控制价、竞标报价、计算或调整工程量、索赔等的依据之一。</w:t>
      </w:r>
    </w:p>
    <w:p w14:paraId="16860431">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1.4 补充清单项目的特征、计量单位、工程量计算规则及工作内容说明如下：无。</w:t>
      </w:r>
    </w:p>
    <w:p w14:paraId="3F070EAF">
      <w:pPr>
        <w:pStyle w:val="28"/>
        <w:keepNext w:val="0"/>
        <w:keepLines w:val="0"/>
        <w:pageBreakBefore w:val="0"/>
        <w:widowControl w:val="0"/>
        <w:bidi w:val="0"/>
        <w:spacing w:line="360" w:lineRule="auto"/>
        <w:ind w:firstLine="420"/>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rPr>
        <w:t>1.5 《允许调整主要材料和工程设备一览表》（表-22，表格编号为计价规范相应表格编号，下同）作为项目实施过程中材料和设备价格风险调整依据。</w:t>
      </w:r>
    </w:p>
    <w:p w14:paraId="413A338A">
      <w:pPr>
        <w:pStyle w:val="28"/>
        <w:keepNext w:val="0"/>
        <w:keepLines w:val="0"/>
        <w:pageBreakBefore w:val="0"/>
        <w:widowControl w:val="0"/>
        <w:bidi w:val="0"/>
        <w:spacing w:line="360" w:lineRule="auto"/>
        <w:ind w:firstLine="420"/>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rPr>
        <w:t>1.6 本工程暂估价共3802.18</w:t>
      </w:r>
      <w:r>
        <w:rPr>
          <w:rFonts w:hint="eastAsia" w:asciiTheme="minorEastAsia" w:hAnsiTheme="minorEastAsia" w:eastAsiaTheme="minorEastAsia" w:cstheme="minorEastAsia"/>
          <w:color w:val="auto"/>
          <w:sz w:val="21"/>
          <w:highlight w:val="none"/>
        </w:rPr>
        <w:t>元</w:t>
      </w:r>
      <w:r>
        <w:rPr>
          <w:rFonts w:hint="eastAsia" w:asciiTheme="minorEastAsia" w:hAnsiTheme="minorEastAsia" w:eastAsiaTheme="minorEastAsia" w:cstheme="minorEastAsia"/>
          <w:sz w:val="21"/>
          <w:highlight w:val="none"/>
        </w:rPr>
        <w:t>，作为合同签订时尚未确定或者不可预见但施工中可能发生的费用。</w:t>
      </w:r>
    </w:p>
    <w:p w14:paraId="7F66ED69">
      <w:pPr>
        <w:pStyle w:val="28"/>
        <w:keepNext w:val="0"/>
        <w:keepLines w:val="0"/>
        <w:pageBreakBefore w:val="0"/>
        <w:widowControl w:val="0"/>
        <w:bidi w:val="0"/>
        <w:spacing w:line="360" w:lineRule="auto"/>
        <w:ind w:firstLine="420"/>
        <w:rPr>
          <w:rFonts w:hint="eastAsia" w:asciiTheme="minorEastAsia" w:hAnsiTheme="minorEastAsia" w:eastAsiaTheme="minorEastAsia" w:cstheme="minorEastAsia"/>
          <w:sz w:val="21"/>
          <w:highlight w:val="none"/>
        </w:rPr>
      </w:pPr>
      <w:r>
        <w:rPr>
          <w:rFonts w:hint="eastAsia" w:asciiTheme="minorEastAsia" w:hAnsiTheme="minorEastAsia" w:eastAsiaTheme="minorEastAsia" w:cstheme="minorEastAsia"/>
          <w:sz w:val="21"/>
          <w:highlight w:val="none"/>
        </w:rPr>
        <w:t>1.7 本工程发包人提供的材料和设备详见《</w:t>
      </w:r>
      <w:bookmarkStart w:id="122" w:name="REVIEW_BM_1181"/>
      <w:r>
        <w:rPr>
          <w:rFonts w:hint="eastAsia" w:asciiTheme="minorEastAsia" w:hAnsiTheme="minorEastAsia" w:eastAsiaTheme="minorEastAsia" w:cstheme="minorEastAsia"/>
          <w:sz w:val="21"/>
          <w:highlight w:val="none"/>
        </w:rPr>
        <w:t>发包人</w:t>
      </w:r>
      <w:bookmarkEnd w:id="122"/>
      <w:r>
        <w:rPr>
          <w:rFonts w:hint="eastAsia" w:asciiTheme="minorEastAsia" w:hAnsiTheme="minorEastAsia" w:eastAsiaTheme="minorEastAsia" w:cstheme="minorEastAsia"/>
          <w:sz w:val="21"/>
          <w:highlight w:val="none"/>
        </w:rPr>
        <w:t>提供的主要材料和工程设备一览表》（表-21）。</w:t>
      </w:r>
    </w:p>
    <w:p w14:paraId="3BE78151">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1.8 本工程部分材料和设备在招标时作为暂估价计列，结算按实调整，具体内容详见《材料（工程设备）暂估单价及调整表》（表12-2）。</w:t>
      </w:r>
    </w:p>
    <w:p w14:paraId="4789D4C6">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1.9 招标时暂估专业工程的价款属于暂估价，结算按实调整，具体内容详见《专业工程暂估价及结算价表》（表12-3）。</w:t>
      </w:r>
    </w:p>
    <w:p w14:paraId="5D4B1C1D">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1.10 本工程量清单编码处标注“*”号的清单项目作为主要清单项目，需要供应商提供《主要清单项目工料机分析表》。</w:t>
      </w:r>
    </w:p>
    <w:p w14:paraId="52C874F7">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1.11 其它需要说明的问题：</w:t>
      </w:r>
      <w:r>
        <w:rPr>
          <w:rFonts w:hint="eastAsia" w:asciiTheme="minorEastAsia" w:hAnsiTheme="minorEastAsia" w:eastAsiaTheme="minorEastAsia" w:cstheme="minorEastAsia"/>
          <w:highlight w:val="none"/>
          <w:u w:val="single"/>
        </w:rPr>
        <w:t>无</w:t>
      </w:r>
      <w:r>
        <w:rPr>
          <w:rFonts w:hint="eastAsia" w:asciiTheme="minorEastAsia" w:hAnsiTheme="minorEastAsia" w:eastAsiaTheme="minorEastAsia" w:cstheme="minorEastAsia"/>
          <w:highlight w:val="none"/>
        </w:rPr>
        <w:t>。</w:t>
      </w:r>
    </w:p>
    <w:p w14:paraId="755F9119">
      <w:pPr>
        <w:keepNext w:val="0"/>
        <w:keepLines w:val="0"/>
        <w:pageBreakBefore w:val="0"/>
        <w:widowControl w:val="0"/>
        <w:bidi w:val="0"/>
        <w:spacing w:line="360" w:lineRule="auto"/>
        <w:ind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1.12 工程量清单与磋商文件同时发布。</w:t>
      </w:r>
      <w:bookmarkStart w:id="123" w:name="REVIEW_BM_1184"/>
      <w:r>
        <w:rPr>
          <w:rFonts w:hint="eastAsia" w:asciiTheme="minorEastAsia" w:hAnsiTheme="minorEastAsia" w:eastAsiaTheme="minorEastAsia" w:cstheme="minorEastAsia"/>
          <w:highlight w:val="none"/>
        </w:rPr>
        <w:t>一般</w:t>
      </w:r>
      <w:bookmarkEnd w:id="123"/>
      <w:r>
        <w:rPr>
          <w:rFonts w:hint="eastAsia" w:asciiTheme="minorEastAsia" w:hAnsiTheme="minorEastAsia" w:eastAsiaTheme="minorEastAsia" w:cstheme="minorEastAsia"/>
          <w:highlight w:val="none"/>
        </w:rPr>
        <w:t>计税法建设工程的工程量清单表格按《关于建筑业实施</w:t>
      </w:r>
      <w:bookmarkStart w:id="124" w:name="REVIEW_BM_1182"/>
      <w:r>
        <w:rPr>
          <w:rFonts w:hint="eastAsia" w:asciiTheme="minorEastAsia" w:hAnsiTheme="minorEastAsia" w:eastAsiaTheme="minorEastAsia" w:cstheme="minorEastAsia"/>
          <w:highlight w:val="none"/>
        </w:rPr>
        <w:t>营业税</w:t>
      </w:r>
      <w:bookmarkEnd w:id="124"/>
      <w:r>
        <w:rPr>
          <w:rFonts w:hint="eastAsia" w:asciiTheme="minorEastAsia" w:hAnsiTheme="minorEastAsia" w:eastAsiaTheme="minorEastAsia" w:cstheme="minorEastAsia"/>
          <w:highlight w:val="none"/>
        </w:rPr>
        <w:t>改征增值税后广西壮族自治区建设工程计价依据调整的通知》（桂建标〔2016〕17号）附件“增值税</w:t>
      </w:r>
      <w:bookmarkStart w:id="125" w:name="REVIEW_BM_1185"/>
      <w:r>
        <w:rPr>
          <w:rFonts w:hint="eastAsia" w:asciiTheme="minorEastAsia" w:hAnsiTheme="minorEastAsia" w:eastAsiaTheme="minorEastAsia" w:cstheme="minorEastAsia"/>
          <w:highlight w:val="none"/>
        </w:rPr>
        <w:t>一般</w:t>
      </w:r>
      <w:bookmarkEnd w:id="125"/>
      <w:r>
        <w:rPr>
          <w:rFonts w:hint="eastAsia" w:asciiTheme="minorEastAsia" w:hAnsiTheme="minorEastAsia" w:eastAsiaTheme="minorEastAsia" w:cstheme="minorEastAsia"/>
          <w:highlight w:val="none"/>
        </w:rPr>
        <w:t>计税方法工程计价表”要求提供；</w:t>
      </w:r>
      <w:bookmarkStart w:id="126" w:name="REVIEW_BM_1186"/>
      <w:r>
        <w:rPr>
          <w:rFonts w:hint="eastAsia" w:asciiTheme="minorEastAsia" w:hAnsiTheme="minorEastAsia" w:eastAsiaTheme="minorEastAsia" w:cstheme="minorEastAsia"/>
          <w:highlight w:val="none"/>
        </w:rPr>
        <w:t>简易</w:t>
      </w:r>
      <w:bookmarkEnd w:id="126"/>
      <w:r>
        <w:rPr>
          <w:rFonts w:hint="eastAsia" w:asciiTheme="minorEastAsia" w:hAnsiTheme="minorEastAsia" w:eastAsiaTheme="minorEastAsia" w:cstheme="minorEastAsia"/>
          <w:highlight w:val="none"/>
        </w:rPr>
        <w:t>计税法建设工程按照《计价规范》要求的表格提供，但规费和税费要按照《关于建筑业实施</w:t>
      </w:r>
      <w:bookmarkStart w:id="127" w:name="REVIEW_BM_1183"/>
      <w:r>
        <w:rPr>
          <w:rFonts w:hint="eastAsia" w:asciiTheme="minorEastAsia" w:hAnsiTheme="minorEastAsia" w:eastAsiaTheme="minorEastAsia" w:cstheme="minorEastAsia"/>
          <w:highlight w:val="none"/>
        </w:rPr>
        <w:t>营业税</w:t>
      </w:r>
      <w:bookmarkEnd w:id="127"/>
      <w:r>
        <w:rPr>
          <w:rFonts w:hint="eastAsia" w:asciiTheme="minorEastAsia" w:hAnsiTheme="minorEastAsia" w:eastAsiaTheme="minorEastAsia" w:cstheme="minorEastAsia"/>
          <w:highlight w:val="none"/>
        </w:rPr>
        <w:t>改征增值税后广西壮族自治区建设工程计价依据调整的通知》（桂建标〔2016〕17号）要求调整，具体包括：</w:t>
      </w:r>
    </w:p>
    <w:p w14:paraId="4316282E">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 招标工程量清单（封-1）</w:t>
      </w:r>
    </w:p>
    <w:p w14:paraId="0A21C8E5">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1.2 招标工程量清单（封扉-1）</w:t>
      </w:r>
    </w:p>
    <w:p w14:paraId="42D6AEC2">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1.3 总说明（表-01）</w:t>
      </w:r>
    </w:p>
    <w:p w14:paraId="35C9E139">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1.4 建设项目</w:t>
      </w:r>
      <w:bookmarkStart w:id="128" w:name="REVIEW_BM_1187"/>
      <w:r>
        <w:rPr>
          <w:rFonts w:hint="eastAsia" w:asciiTheme="minorEastAsia" w:hAnsiTheme="minorEastAsia" w:eastAsiaTheme="minorEastAsia" w:cstheme="minorEastAsia"/>
          <w:highlight w:val="none"/>
        </w:rPr>
        <w:t>投标报价</w:t>
      </w:r>
      <w:bookmarkEnd w:id="128"/>
      <w:r>
        <w:rPr>
          <w:rFonts w:hint="eastAsia" w:asciiTheme="minorEastAsia" w:hAnsiTheme="minorEastAsia" w:eastAsiaTheme="minorEastAsia" w:cstheme="minorEastAsia"/>
          <w:highlight w:val="none"/>
        </w:rPr>
        <w:t>汇总表（表-02）</w:t>
      </w:r>
    </w:p>
    <w:p w14:paraId="4ACDFE83">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1.5 单项工程</w:t>
      </w:r>
      <w:bookmarkStart w:id="129" w:name="REVIEW_BM_1188"/>
      <w:r>
        <w:rPr>
          <w:rFonts w:hint="eastAsia" w:asciiTheme="minorEastAsia" w:hAnsiTheme="minorEastAsia" w:eastAsiaTheme="minorEastAsia" w:cstheme="minorEastAsia"/>
          <w:highlight w:val="none"/>
        </w:rPr>
        <w:t>投标报价</w:t>
      </w:r>
      <w:bookmarkEnd w:id="129"/>
      <w:r>
        <w:rPr>
          <w:rFonts w:hint="eastAsia" w:asciiTheme="minorEastAsia" w:hAnsiTheme="minorEastAsia" w:eastAsiaTheme="minorEastAsia" w:cstheme="minorEastAsia"/>
          <w:highlight w:val="none"/>
        </w:rPr>
        <w:t>汇总表（表-03）</w:t>
      </w:r>
    </w:p>
    <w:p w14:paraId="36B1DF70">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1.6 单位工程</w:t>
      </w:r>
      <w:bookmarkStart w:id="130" w:name="REVIEW_BM_1189"/>
      <w:r>
        <w:rPr>
          <w:rFonts w:hint="eastAsia" w:asciiTheme="minorEastAsia" w:hAnsiTheme="minorEastAsia" w:eastAsiaTheme="minorEastAsia" w:cstheme="minorEastAsia"/>
          <w:highlight w:val="none"/>
        </w:rPr>
        <w:t>投标报价</w:t>
      </w:r>
      <w:bookmarkEnd w:id="130"/>
      <w:r>
        <w:rPr>
          <w:rFonts w:hint="eastAsia" w:asciiTheme="minorEastAsia" w:hAnsiTheme="minorEastAsia" w:eastAsiaTheme="minorEastAsia" w:cstheme="minorEastAsia"/>
          <w:highlight w:val="none"/>
        </w:rPr>
        <w:t>汇总表（表-04）</w:t>
      </w:r>
    </w:p>
    <w:p w14:paraId="113EF85F">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1.7 分部分项工程和单价措施项目清单与计价表（表-08）</w:t>
      </w:r>
    </w:p>
    <w:p w14:paraId="227A0D82">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1.8 总价措施项目清单与计价表（表-11）</w:t>
      </w:r>
    </w:p>
    <w:p w14:paraId="0303EE4F">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1.9 其他项目清单与计价汇总表（表-12）</w:t>
      </w:r>
    </w:p>
    <w:p w14:paraId="732EF4A3">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1.10 暂列金额明细表（表12-1）</w:t>
      </w:r>
    </w:p>
    <w:p w14:paraId="2808CFD5">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1.11 材料（工程设备）暂估单价及调整表（表12-2）</w:t>
      </w:r>
    </w:p>
    <w:p w14:paraId="6947563F">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1.12 专业工程暂估价及结算价表（表12-3）</w:t>
      </w:r>
    </w:p>
    <w:p w14:paraId="6E3401CE">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1.13 计日工表（表12-4）</w:t>
      </w:r>
    </w:p>
    <w:p w14:paraId="30C8BA1E">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1.14 总承包服务费计价表（表12-5）</w:t>
      </w:r>
    </w:p>
    <w:p w14:paraId="5D4813F8">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1.15 税前项目清单与计价表（表-14）</w:t>
      </w:r>
    </w:p>
    <w:p w14:paraId="273EA0D1">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1.16 规费、增值税计价表（表-15）</w:t>
      </w:r>
    </w:p>
    <w:p w14:paraId="35EE8A8C">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1.17 </w:t>
      </w:r>
      <w:bookmarkStart w:id="131" w:name="REVIEW_BM_1190"/>
      <w:r>
        <w:rPr>
          <w:rFonts w:hint="eastAsia" w:asciiTheme="minorEastAsia" w:hAnsiTheme="minorEastAsia" w:eastAsiaTheme="minorEastAsia" w:cstheme="minorEastAsia"/>
          <w:highlight w:val="none"/>
        </w:rPr>
        <w:t>发包人</w:t>
      </w:r>
      <w:bookmarkEnd w:id="131"/>
      <w:r>
        <w:rPr>
          <w:rFonts w:hint="eastAsia" w:asciiTheme="minorEastAsia" w:hAnsiTheme="minorEastAsia" w:eastAsiaTheme="minorEastAsia" w:cstheme="minorEastAsia"/>
          <w:highlight w:val="none"/>
        </w:rPr>
        <w:t>提供主要材料和工程设备一览表（表-21）</w:t>
      </w:r>
    </w:p>
    <w:p w14:paraId="11915308">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1.18 允许调整主要材料和工程设备一览表（适用于造价信息差额调整法）（表-22）</w:t>
      </w:r>
    </w:p>
    <w:p w14:paraId="28BCB9A4">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1.19允许调整主要材料和工程设备一览表（适用于价格指数差额调整法）（表-23）</w:t>
      </w:r>
    </w:p>
    <w:p w14:paraId="0353E36F">
      <w:pPr>
        <w:keepNext w:val="0"/>
        <w:keepLines w:val="0"/>
        <w:pageBreakBefore w:val="0"/>
        <w:widowControl w:val="0"/>
        <w:bidi w:val="0"/>
        <w:spacing w:line="360" w:lineRule="auto"/>
        <w:ind w:firstLine="63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1.20本工程材料和工程设备一览表（表-24）</w:t>
      </w:r>
    </w:p>
    <w:p w14:paraId="30D03A99">
      <w:pPr>
        <w:keepNext w:val="0"/>
        <w:keepLines w:val="0"/>
        <w:pageBreakBefore w:val="0"/>
        <w:widowControl w:val="0"/>
        <w:bidi w:val="0"/>
        <w:spacing w:line="360" w:lineRule="auto"/>
        <w:ind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注：如本工程在合同中约定采用造价信息价差调整法，1.18 允许调整主要材料和工程设备一览表（适用于造价信息差额调整法）（表-22）载明的主要材料和工程设备为本工程允许调整材料和工程设备，工程量清单必须提供该表格，并应载明允许调整材料和工程设备名称型号规格、单位、风险系数、基准单价等内容，且不能提供空白表。</w:t>
      </w:r>
    </w:p>
    <w:p w14:paraId="7E72F5E4">
      <w:pPr>
        <w:keepNext w:val="0"/>
        <w:keepLines w:val="0"/>
        <w:pageBreakBefore w:val="0"/>
        <w:widowControl w:val="0"/>
        <w:bidi w:val="0"/>
        <w:spacing w:line="360" w:lineRule="auto"/>
        <w:ind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以下表格视工程实际需要选用，如该工程不发生如下表格相关项目和费用，所编制工程量清单则不需列入相应表格：</w:t>
      </w:r>
    </w:p>
    <w:p w14:paraId="450415F4">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①建设项目</w:t>
      </w:r>
      <w:bookmarkStart w:id="132" w:name="REVIEW_BM_1191"/>
      <w:r>
        <w:rPr>
          <w:rFonts w:hint="eastAsia" w:asciiTheme="minorEastAsia" w:hAnsiTheme="minorEastAsia" w:eastAsiaTheme="minorEastAsia" w:cstheme="minorEastAsia"/>
          <w:highlight w:val="none"/>
        </w:rPr>
        <w:t>投标报价</w:t>
      </w:r>
      <w:bookmarkEnd w:id="132"/>
      <w:r>
        <w:rPr>
          <w:rFonts w:hint="eastAsia" w:asciiTheme="minorEastAsia" w:hAnsiTheme="minorEastAsia" w:eastAsiaTheme="minorEastAsia" w:cstheme="minorEastAsia"/>
          <w:highlight w:val="none"/>
        </w:rPr>
        <w:t>汇总表（表-02）</w:t>
      </w:r>
    </w:p>
    <w:p w14:paraId="523BFADE">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②暂列金额明细表（表12-1）</w:t>
      </w:r>
    </w:p>
    <w:p w14:paraId="4514610A">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③材料（工程设备）暂估单价及调整表（表12-2）</w:t>
      </w:r>
    </w:p>
    <w:p w14:paraId="653B7E0C">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④专业工程暂估价表（表12-3）</w:t>
      </w:r>
    </w:p>
    <w:p w14:paraId="581DC680">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⑤计日工表（表12-4）</w:t>
      </w:r>
    </w:p>
    <w:p w14:paraId="7845D67A">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⑥总承包服务费计价表（表12-5）</w:t>
      </w:r>
    </w:p>
    <w:p w14:paraId="29A7A501">
      <w:pPr>
        <w:keepNext w:val="0"/>
        <w:keepLines w:val="0"/>
        <w:pageBreakBefore w:val="0"/>
        <w:widowControl w:val="0"/>
        <w:bidi w:val="0"/>
        <w:spacing w:line="360" w:lineRule="auto"/>
        <w:ind w:left="0" w:firstLine="420"/>
        <w:jc w:val="left"/>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⑦税前项目清单与计价表（表-14）</w:t>
      </w:r>
    </w:p>
    <w:p w14:paraId="304776D5">
      <w:pPr>
        <w:keepNext w:val="0"/>
        <w:keepLines w:val="0"/>
        <w:pageBreakBefore w:val="0"/>
        <w:widowControl w:val="0"/>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fldChar w:fldCharType="begin"/>
      </w:r>
      <w:r>
        <w:rPr>
          <w:rFonts w:hint="eastAsia" w:asciiTheme="minorEastAsia" w:hAnsiTheme="minorEastAsia" w:eastAsiaTheme="minorEastAsia" w:cstheme="minorEastAsia"/>
          <w:highlight w:val="none"/>
        </w:rPr>
        <w:instrText xml:space="preserve">= 8 \* GB3</w:instrText>
      </w:r>
      <w:r>
        <w:rPr>
          <w:rFonts w:hint="eastAsia" w:asciiTheme="minorEastAsia" w:hAnsiTheme="minorEastAsia" w:eastAsiaTheme="minorEastAsia" w:cstheme="minorEastAsia"/>
          <w:highlight w:val="none"/>
        </w:rPr>
        <w:fldChar w:fldCharType="separate"/>
      </w:r>
      <w:r>
        <w:rPr>
          <w:rFonts w:hint="eastAsia" w:asciiTheme="minorEastAsia" w:hAnsiTheme="minorEastAsia" w:eastAsiaTheme="minorEastAsia" w:cstheme="minorEastAsia"/>
          <w:highlight w:val="none"/>
        </w:rPr>
        <w:t>⑧</w:t>
      </w:r>
      <w:r>
        <w:rPr>
          <w:rFonts w:hint="eastAsia" w:asciiTheme="minorEastAsia" w:hAnsiTheme="minorEastAsia" w:eastAsiaTheme="minorEastAsia" w:cstheme="minorEastAsia"/>
          <w:highlight w:val="none"/>
        </w:rPr>
        <w:fldChar w:fldCharType="end"/>
      </w:r>
      <w:r>
        <w:rPr>
          <w:rFonts w:hint="eastAsia" w:asciiTheme="minorEastAsia" w:hAnsiTheme="minorEastAsia" w:eastAsiaTheme="minorEastAsia" w:cstheme="minorEastAsia"/>
          <w:highlight w:val="none"/>
        </w:rPr>
        <w:t>允许调整主要材料和工程设备一览表（适用于价格指数差额调整法）（表-23）</w:t>
      </w:r>
    </w:p>
    <w:p w14:paraId="590AAA1E">
      <w:pPr>
        <w:bidi w:val="0"/>
        <w:rPr>
          <w:highlight w:val="none"/>
        </w:rPr>
      </w:pPr>
      <w:bookmarkStart w:id="133" w:name="_Toc347872619"/>
      <w:bookmarkStart w:id="134" w:name="_Toc9687"/>
      <w:bookmarkStart w:id="135" w:name="_Toc407135285"/>
      <w:bookmarkStart w:id="136" w:name="_Toc990933621"/>
      <w:bookmarkStart w:id="137" w:name="_Toc78449870"/>
    </w:p>
    <w:p w14:paraId="7D977458">
      <w:pPr>
        <w:pStyle w:val="4"/>
        <w:spacing w:before="0" w:after="0" w:line="360" w:lineRule="auto"/>
        <w:ind w:firstLine="643"/>
        <w:rPr>
          <w:highlight w:val="none"/>
        </w:rPr>
      </w:pPr>
      <w:r>
        <w:rPr>
          <w:highlight w:val="none"/>
        </w:rPr>
        <w:t>2</w:t>
      </w:r>
      <w:r>
        <w:rPr>
          <w:rFonts w:hint="eastAsia"/>
          <w:highlight w:val="none"/>
        </w:rPr>
        <w:t>.</w:t>
      </w:r>
      <w:r>
        <w:rPr>
          <w:rFonts w:hint="eastAsia" w:cs="黑体"/>
          <w:highlight w:val="none"/>
        </w:rPr>
        <w:t>招标控制价编制说明</w:t>
      </w:r>
      <w:bookmarkEnd w:id="133"/>
      <w:bookmarkEnd w:id="134"/>
      <w:bookmarkEnd w:id="135"/>
      <w:bookmarkEnd w:id="136"/>
      <w:bookmarkEnd w:id="137"/>
    </w:p>
    <w:p w14:paraId="03239682">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2.1 招标控制价编制依据：</w:t>
      </w:r>
    </w:p>
    <w:p w14:paraId="6BD487E3">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（1）工程量计算范围：</w:t>
      </w:r>
      <w:r>
        <w:rPr>
          <w:rFonts w:hint="eastAsia" w:asciiTheme="minorEastAsia" w:hAnsiTheme="minorEastAsia" w:eastAsiaTheme="minorEastAsia" w:cstheme="minorEastAsia"/>
          <w:szCs w:val="21"/>
          <w:highlight w:val="none"/>
          <w:lang w:val="en-US" w:eastAsia="zh-CN"/>
        </w:rPr>
        <w:t>施工方案</w:t>
      </w:r>
      <w:r>
        <w:rPr>
          <w:rFonts w:hint="eastAsia" w:asciiTheme="minorEastAsia" w:hAnsiTheme="minorEastAsia" w:eastAsiaTheme="minorEastAsia" w:cstheme="minorEastAsia"/>
          <w:szCs w:val="21"/>
          <w:highlight w:val="none"/>
        </w:rPr>
        <w:t>范围内的工程内容；</w:t>
      </w:r>
      <w:r>
        <w:rPr>
          <w:rFonts w:hint="eastAsia" w:asciiTheme="minorEastAsia" w:hAnsiTheme="minorEastAsia" w:eastAsiaTheme="minorEastAsia" w:cstheme="minorEastAsia"/>
          <w:szCs w:val="21"/>
          <w:highlight w:val="none"/>
        </w:rPr>
        <w:tab/>
      </w:r>
    </w:p>
    <w:p w14:paraId="390BDF7A">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rPr>
        <w:t>（</w:t>
      </w:r>
      <w:r>
        <w:rPr>
          <w:rFonts w:hint="eastAsia" w:asciiTheme="minorEastAsia" w:hAnsiTheme="minorEastAsia" w:eastAsiaTheme="minorEastAsia" w:cstheme="minorEastAsia"/>
          <w:szCs w:val="21"/>
          <w:highlight w:val="none"/>
          <w:lang w:val="en-US" w:eastAsia="zh-CN"/>
        </w:rPr>
        <w:t>2</w:t>
      </w:r>
      <w:r>
        <w:rPr>
          <w:rFonts w:hint="eastAsia" w:asciiTheme="minorEastAsia" w:hAnsiTheme="minorEastAsia" w:eastAsiaTheme="minorEastAsia" w:cstheme="minorEastAsia"/>
          <w:szCs w:val="21"/>
          <w:highlight w:val="none"/>
        </w:rPr>
        <w:t>）《建设工程工程量清单计价规范》(GB50500-2013)；《建设工程工程量清单计价规范&gt;GB50500-2013广西壮族自治区实施细则》；</w:t>
      </w:r>
      <w:r>
        <w:rPr>
          <w:rFonts w:hint="eastAsia" w:asciiTheme="minorEastAsia" w:hAnsiTheme="minorEastAsia" w:eastAsiaTheme="minorEastAsia" w:cstheme="minorEastAsia"/>
          <w:szCs w:val="21"/>
          <w:highlight w:val="none"/>
        </w:rPr>
        <w:tab/>
      </w:r>
    </w:p>
    <w:p w14:paraId="607E6167">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3</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2024年《广西壮族自治区建筑装饰装修工程消耗量定额》；</w:t>
      </w:r>
      <w:r>
        <w:rPr>
          <w:rFonts w:hint="eastAsia" w:asciiTheme="minorEastAsia" w:hAnsiTheme="minorEastAsia" w:eastAsiaTheme="minorEastAsia" w:cstheme="minorEastAsia"/>
          <w:szCs w:val="21"/>
          <w:highlight w:val="none"/>
        </w:rPr>
        <w:tab/>
      </w:r>
    </w:p>
    <w:p w14:paraId="103F97D6">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4</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2024年《广西壮族自治区拆除工程消耗量定额》；</w:t>
      </w:r>
      <w:r>
        <w:rPr>
          <w:rFonts w:hint="eastAsia" w:asciiTheme="minorEastAsia" w:hAnsiTheme="minorEastAsia" w:eastAsiaTheme="minorEastAsia" w:cstheme="minorEastAsia"/>
          <w:szCs w:val="21"/>
          <w:highlight w:val="none"/>
        </w:rPr>
        <w:tab/>
      </w:r>
    </w:p>
    <w:p w14:paraId="5F3794CB">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5</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桂建标[2019]10号文《自治区</w:t>
      </w:r>
      <w:bookmarkStart w:id="138" w:name="REVIEW_BM_1192"/>
      <w:r>
        <w:rPr>
          <w:rFonts w:hint="eastAsia" w:asciiTheme="minorEastAsia" w:hAnsiTheme="minorEastAsia" w:eastAsiaTheme="minorEastAsia" w:cstheme="minorEastAsia"/>
          <w:szCs w:val="21"/>
          <w:highlight w:val="none"/>
        </w:rPr>
        <w:t>住房城乡建设厅</w:t>
      </w:r>
      <w:bookmarkEnd w:id="138"/>
      <w:r>
        <w:rPr>
          <w:rFonts w:hint="eastAsia" w:asciiTheme="minorEastAsia" w:hAnsiTheme="minorEastAsia" w:eastAsiaTheme="minorEastAsia" w:cstheme="minorEastAsia"/>
          <w:szCs w:val="21"/>
          <w:highlight w:val="none"/>
        </w:rPr>
        <w:t>关于调整建设工程计价增值税税率的通知》；</w:t>
      </w:r>
      <w:r>
        <w:rPr>
          <w:rFonts w:hint="eastAsia" w:asciiTheme="minorEastAsia" w:hAnsiTheme="minorEastAsia" w:eastAsiaTheme="minorEastAsia" w:cstheme="minorEastAsia"/>
          <w:szCs w:val="21"/>
          <w:highlight w:val="none"/>
        </w:rPr>
        <w:tab/>
      </w:r>
    </w:p>
    <w:p w14:paraId="3B58C1F7">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6</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桂建标[2023]7号自治区住房城乡建设厅关于调整建设工程定额人工费及有关费率的通知；</w:t>
      </w:r>
      <w:r>
        <w:rPr>
          <w:rFonts w:hint="eastAsia" w:asciiTheme="minorEastAsia" w:hAnsiTheme="minorEastAsia" w:eastAsiaTheme="minorEastAsia" w:cstheme="minorEastAsia"/>
          <w:szCs w:val="21"/>
          <w:highlight w:val="none"/>
        </w:rPr>
        <w:tab/>
      </w:r>
    </w:p>
    <w:p w14:paraId="636E01FA">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7</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桂建发[2023]6号自治区</w:t>
      </w:r>
      <w:bookmarkStart w:id="139" w:name="REVIEW_BM_1193"/>
      <w:r>
        <w:rPr>
          <w:rFonts w:hint="eastAsia" w:asciiTheme="minorEastAsia" w:hAnsiTheme="minorEastAsia" w:eastAsiaTheme="minorEastAsia" w:cstheme="minorEastAsia"/>
          <w:szCs w:val="21"/>
          <w:highlight w:val="none"/>
        </w:rPr>
        <w:t>住房城乡建设厅</w:t>
      </w:r>
      <w:bookmarkEnd w:id="139"/>
      <w:r>
        <w:rPr>
          <w:rFonts w:hint="eastAsia" w:asciiTheme="minorEastAsia" w:hAnsiTheme="minorEastAsia" w:eastAsiaTheme="minorEastAsia" w:cstheme="minorEastAsia"/>
          <w:szCs w:val="21"/>
          <w:highlight w:val="none"/>
        </w:rPr>
        <w:t>关于印发广西壮族自治区房屋建筑和市政基础设施工程安全生产责任保险计价规定的通知；</w:t>
      </w:r>
      <w:r>
        <w:rPr>
          <w:rFonts w:hint="eastAsia" w:asciiTheme="minorEastAsia" w:hAnsiTheme="minorEastAsia" w:eastAsiaTheme="minorEastAsia" w:cstheme="minorEastAsia"/>
          <w:szCs w:val="21"/>
          <w:highlight w:val="none"/>
        </w:rPr>
        <w:tab/>
      </w:r>
    </w:p>
    <w:p w14:paraId="2F80F36B">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8</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材料价格</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按《南宁市建设工程造价信息》2026年第3期上半月(除税价)计算，南宁市建设工程造价信息上没有的，按2026年同期南宁市除税信息价及市场调整</w:t>
      </w:r>
      <w:r>
        <w:rPr>
          <w:rFonts w:hint="eastAsia" w:asciiTheme="minorEastAsia" w:hAnsiTheme="minorEastAsia" w:eastAsiaTheme="minorEastAsia" w:cstheme="minorEastAsia"/>
          <w:szCs w:val="21"/>
          <w:highlight w:val="none"/>
          <w:lang w:eastAsia="zh-CN"/>
        </w:rPr>
        <w:t>；</w:t>
      </w:r>
    </w:p>
    <w:p w14:paraId="718D0057">
      <w:pPr>
        <w:keepNext w:val="0"/>
        <w:keepLines w:val="0"/>
        <w:pageBreakBefore w:val="0"/>
        <w:widowControl w:val="0"/>
        <w:bidi w:val="0"/>
        <w:spacing w:line="360" w:lineRule="auto"/>
        <w:ind w:firstLine="420"/>
        <w:rPr>
          <w:rFonts w:hint="eastAsia" w:asciiTheme="minorEastAsia" w:hAnsiTheme="minorEastAsia" w:eastAsiaTheme="minorEastAsia" w:cstheme="minorEastAsia"/>
          <w:szCs w:val="21"/>
          <w:highlight w:val="none"/>
          <w:lang w:eastAsia="zh-CN"/>
        </w:rPr>
      </w:pP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lang w:val="en-US" w:eastAsia="zh-CN"/>
        </w:rPr>
        <w:t>9</w:t>
      </w:r>
      <w:r>
        <w:rPr>
          <w:rFonts w:hint="eastAsia" w:asciiTheme="minorEastAsia" w:hAnsiTheme="minorEastAsia" w:eastAsiaTheme="minorEastAsia" w:cstheme="minorEastAsia"/>
          <w:szCs w:val="21"/>
          <w:highlight w:val="none"/>
          <w:lang w:eastAsia="zh-CN"/>
        </w:rPr>
        <w:t>）</w:t>
      </w:r>
      <w:r>
        <w:rPr>
          <w:rFonts w:hint="eastAsia" w:asciiTheme="minorEastAsia" w:hAnsiTheme="minorEastAsia" w:eastAsiaTheme="minorEastAsia" w:cstheme="minorEastAsia"/>
          <w:szCs w:val="21"/>
          <w:highlight w:val="none"/>
        </w:rPr>
        <w:t>其他</w:t>
      </w:r>
      <w:r>
        <w:rPr>
          <w:rFonts w:hint="eastAsia" w:asciiTheme="minorEastAsia" w:hAnsiTheme="minorEastAsia" w:eastAsiaTheme="minorEastAsia" w:cstheme="minorEastAsia"/>
          <w:szCs w:val="21"/>
          <w:highlight w:val="none"/>
          <w:lang w:eastAsia="zh-CN"/>
        </w:rPr>
        <w:t>：</w:t>
      </w:r>
    </w:p>
    <w:p w14:paraId="55F89369">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1</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rPr>
        <w:t>项目弃渣运距10km。</w:t>
      </w:r>
      <w:r>
        <w:rPr>
          <w:rFonts w:hint="eastAsia" w:asciiTheme="minorEastAsia" w:hAnsiTheme="minorEastAsia" w:eastAsiaTheme="minorEastAsia" w:cstheme="minorEastAsia"/>
          <w:highlight w:val="none"/>
        </w:rPr>
        <w:tab/>
      </w:r>
    </w:p>
    <w:p w14:paraId="719AD132">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2</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rPr>
        <w:t>翻新腻子乳胶漆考虑现场没有电梯，需要人工二次搬运材料。</w:t>
      </w:r>
      <w:r>
        <w:rPr>
          <w:rFonts w:hint="eastAsia" w:asciiTheme="minorEastAsia" w:hAnsiTheme="minorEastAsia" w:eastAsiaTheme="minorEastAsia" w:cstheme="minorEastAsia"/>
          <w:highlight w:val="none"/>
        </w:rPr>
        <w:tab/>
      </w:r>
    </w:p>
    <w:p w14:paraId="7F20B92C">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  3</w:t>
      </w:r>
      <w:r>
        <w:rPr>
          <w:rFonts w:hint="eastAsia" w:asciiTheme="minorEastAsia" w:hAnsiTheme="minorEastAsia" w:eastAsiaTheme="minorEastAsia" w:cstheme="minorEastAsia"/>
          <w:highlight w:val="none"/>
          <w:lang w:eastAsia="zh-CN"/>
        </w:rPr>
        <w:t>）</w:t>
      </w:r>
      <w:r>
        <w:rPr>
          <w:rFonts w:hint="eastAsia" w:asciiTheme="minorEastAsia" w:hAnsiTheme="minorEastAsia" w:eastAsiaTheme="minorEastAsia" w:cstheme="minorEastAsia"/>
          <w:highlight w:val="none"/>
        </w:rPr>
        <w:t>安全生产责任险为暂估价3802.18元。</w:t>
      </w:r>
      <w:r>
        <w:rPr>
          <w:rFonts w:hint="eastAsia" w:asciiTheme="minorEastAsia" w:hAnsiTheme="minorEastAsia" w:eastAsiaTheme="minorEastAsia" w:cstheme="minorEastAsia"/>
          <w:highlight w:val="none"/>
        </w:rPr>
        <w:tab/>
      </w:r>
    </w:p>
    <w:p w14:paraId="6F3975E4">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2.2 分部分项及单价措施项目综合单价应包括磋商文件中采购人要求供应商所承担的风险内容及其范围（幅度）产生的风险费用。</w:t>
      </w:r>
    </w:p>
    <w:p w14:paraId="1FE2F9B5">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2.3 总价措施项目应根据拟定的磋商文件和常规施工方案按《计价规范》和《计算规范》规定编制。</w:t>
      </w:r>
    </w:p>
    <w:p w14:paraId="71688F7A">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2.4 其他项目费应按下列规定报价：</w:t>
      </w:r>
    </w:p>
    <w:p w14:paraId="2D607D1B">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（1）暂列金额应按工程量清单中列出的金额填写；</w:t>
      </w:r>
    </w:p>
    <w:p w14:paraId="5D533C01">
      <w:pPr>
        <w:pStyle w:val="596"/>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（2）材料、工程设备暂估价应按工程量清单中列出的单价计入综合单价；</w:t>
      </w:r>
    </w:p>
    <w:p w14:paraId="05DE279A">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（3）专业工程暂估价应按工程量清单中列出的金额填写；</w:t>
      </w:r>
    </w:p>
    <w:p w14:paraId="760D7590">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（4）计日工应按工程量清单中列出的项目和数量，根据工程特点和有关计价依据确定的综合单价计算；</w:t>
      </w:r>
    </w:p>
    <w:p w14:paraId="1661B49E">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（5）总承包服务费应根据工程量清单列出的内容和要求，按自治区住房城乡建设行政主管部门颁发的计价定额及有关规定计算。</w:t>
      </w:r>
    </w:p>
    <w:p w14:paraId="1A722455">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（6）对建设单位创建</w:t>
      </w:r>
      <w:bookmarkStart w:id="140" w:name="REVIEW_BM_1194"/>
      <w:r>
        <w:rPr>
          <w:rFonts w:hint="eastAsia" w:asciiTheme="minorEastAsia" w:hAnsiTheme="minorEastAsia" w:eastAsiaTheme="minorEastAsia" w:cstheme="minorEastAsia"/>
          <w:highlight w:val="none"/>
        </w:rPr>
        <w:t>优质</w:t>
      </w:r>
      <w:bookmarkEnd w:id="140"/>
      <w:r>
        <w:rPr>
          <w:rFonts w:hint="eastAsia" w:asciiTheme="minorEastAsia" w:hAnsiTheme="minorEastAsia" w:eastAsiaTheme="minorEastAsia" w:cstheme="minorEastAsia"/>
          <w:highlight w:val="none"/>
        </w:rPr>
        <w:t>工程的，鼓励在招标控制价和预算中按广西区工程建设定额规定计列工程</w:t>
      </w:r>
      <w:bookmarkStart w:id="141" w:name="REVIEW_BM_1195"/>
      <w:r>
        <w:rPr>
          <w:rFonts w:hint="eastAsia" w:asciiTheme="minorEastAsia" w:hAnsiTheme="minorEastAsia" w:eastAsiaTheme="minorEastAsia" w:cstheme="minorEastAsia"/>
          <w:highlight w:val="none"/>
        </w:rPr>
        <w:t>优质</w:t>
      </w:r>
      <w:bookmarkEnd w:id="141"/>
      <w:r>
        <w:rPr>
          <w:rFonts w:hint="eastAsia" w:asciiTheme="minorEastAsia" w:hAnsiTheme="minorEastAsia" w:eastAsiaTheme="minorEastAsia" w:cstheme="minorEastAsia"/>
          <w:highlight w:val="none"/>
        </w:rPr>
        <w:t>费，并明确工程</w:t>
      </w:r>
      <w:bookmarkStart w:id="142" w:name="REVIEW_BM_1196"/>
      <w:r>
        <w:rPr>
          <w:rFonts w:hint="eastAsia" w:asciiTheme="minorEastAsia" w:hAnsiTheme="minorEastAsia" w:eastAsiaTheme="minorEastAsia" w:cstheme="minorEastAsia"/>
          <w:highlight w:val="none"/>
        </w:rPr>
        <w:t>优质</w:t>
      </w:r>
      <w:bookmarkEnd w:id="142"/>
      <w:r>
        <w:rPr>
          <w:rFonts w:hint="eastAsia" w:asciiTheme="minorEastAsia" w:hAnsiTheme="minorEastAsia" w:eastAsiaTheme="minorEastAsia" w:cstheme="minorEastAsia"/>
          <w:highlight w:val="none"/>
        </w:rPr>
        <w:t>费不可竞争。</w:t>
      </w:r>
    </w:p>
    <w:p w14:paraId="3B707CFC">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2.5 规费和增值税应按规定确定，作为不可竞争费用。</w:t>
      </w:r>
    </w:p>
    <w:p w14:paraId="6B7DBAD5">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2.6 其它需要说明的问题：</w:t>
      </w:r>
      <w:r>
        <w:rPr>
          <w:rFonts w:hint="eastAsia" w:asciiTheme="minorEastAsia" w:hAnsiTheme="minorEastAsia" w:eastAsiaTheme="minorEastAsia" w:cstheme="minorEastAsia"/>
          <w:highlight w:val="none"/>
          <w:u w:val="single"/>
        </w:rPr>
        <w:t>无</w:t>
      </w:r>
      <w:r>
        <w:rPr>
          <w:rFonts w:hint="eastAsia" w:asciiTheme="minorEastAsia" w:hAnsiTheme="minorEastAsia" w:eastAsiaTheme="minorEastAsia" w:cstheme="minorEastAsia"/>
          <w:highlight w:val="none"/>
        </w:rPr>
        <w:t>。</w:t>
      </w:r>
    </w:p>
    <w:p w14:paraId="5B047A8D">
      <w:pPr>
        <w:pStyle w:val="2"/>
        <w:rPr>
          <w:rFonts w:hint="eastAsia"/>
          <w:highlight w:val="none"/>
        </w:rPr>
      </w:pPr>
    </w:p>
    <w:p w14:paraId="4E9E796E">
      <w:pPr>
        <w:pStyle w:val="4"/>
        <w:spacing w:before="0" w:after="0" w:line="360" w:lineRule="auto"/>
        <w:ind w:firstLine="643"/>
        <w:rPr>
          <w:highlight w:val="none"/>
        </w:rPr>
      </w:pPr>
      <w:bookmarkStart w:id="143" w:name="_Toc378483916"/>
      <w:bookmarkStart w:id="144" w:name="_Toc879821176"/>
      <w:bookmarkStart w:id="145" w:name="_Toc407135286"/>
      <w:bookmarkStart w:id="146" w:name="_Toc20827"/>
      <w:bookmarkStart w:id="147" w:name="_Toc78449871"/>
      <w:r>
        <w:rPr>
          <w:highlight w:val="none"/>
        </w:rPr>
        <w:t>3</w:t>
      </w:r>
      <w:r>
        <w:rPr>
          <w:rFonts w:hint="eastAsia"/>
          <w:highlight w:val="none"/>
        </w:rPr>
        <w:t>.</w:t>
      </w:r>
      <w:r>
        <w:rPr>
          <w:rFonts w:hint="eastAsia" w:cs="黑体"/>
          <w:highlight w:val="none"/>
        </w:rPr>
        <w:t>竞标报价（已标价工程量清单）编制说明</w:t>
      </w:r>
      <w:bookmarkEnd w:id="143"/>
      <w:bookmarkEnd w:id="144"/>
      <w:bookmarkEnd w:id="145"/>
      <w:bookmarkEnd w:id="146"/>
      <w:bookmarkEnd w:id="147"/>
    </w:p>
    <w:p w14:paraId="0C759C4B">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3.1 供应商应依据磋商文件、工程量清单以及《计价规范</w:t>
      </w:r>
      <w:bookmarkStart w:id="148" w:name="REVIEW_BM_1197"/>
      <w:r>
        <w:rPr>
          <w:rFonts w:hint="eastAsia" w:asciiTheme="minorEastAsia" w:hAnsiTheme="minorEastAsia" w:eastAsiaTheme="minorEastAsia" w:cstheme="minorEastAsia"/>
          <w:highlight w:val="none"/>
        </w:rPr>
        <w:t>》、《</w:t>
      </w:r>
      <w:bookmarkEnd w:id="148"/>
      <w:r>
        <w:rPr>
          <w:rFonts w:hint="eastAsia" w:asciiTheme="minorEastAsia" w:hAnsiTheme="minorEastAsia" w:eastAsiaTheme="minorEastAsia" w:cstheme="minorEastAsia"/>
          <w:highlight w:val="none"/>
        </w:rPr>
        <w:t>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w:t>
      </w:r>
    </w:p>
    <w:p w14:paraId="5B8994EA">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3.2 供应商应按工程量清单填报价格。项目编码、项目名称、项目特征、计量单位、工程量必须与工程量清单一致，供应商不得对工程量清单项目进行增减调整。</w:t>
      </w:r>
    </w:p>
    <w:p w14:paraId="0EB137BE">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3.3 综合单价中应包含磋商文件中划分的应由供应商承担的风险范围及其费用。</w:t>
      </w:r>
    </w:p>
    <w:p w14:paraId="216D46DC">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3.4 分部分项工程项目和单价措施项目，应根据磋商文件和工程量清单项目中的特征描述确定综合单价计算。如出现工程量清单特征描述与</w:t>
      </w:r>
      <w:r>
        <w:rPr>
          <w:rFonts w:hint="eastAsia" w:asciiTheme="minorEastAsia" w:hAnsiTheme="minorEastAsia" w:cstheme="minorEastAsia"/>
          <w:highlight w:val="none"/>
          <w:lang w:val="en-US" w:eastAsia="zh-CN"/>
        </w:rPr>
        <w:t>施工方案</w:t>
      </w:r>
      <w:r>
        <w:rPr>
          <w:rFonts w:hint="eastAsia" w:asciiTheme="minorEastAsia" w:hAnsiTheme="minorEastAsia" w:eastAsiaTheme="minorEastAsia" w:cstheme="minorEastAsia"/>
          <w:highlight w:val="none"/>
        </w:rPr>
        <w:t>不符时，供应商应以工程量清单的项目特征描述为准，确定竞标报价的综合单价。</w:t>
      </w:r>
    </w:p>
    <w:p w14:paraId="743F3397">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3.5 总价措施项目的金额应根据磋商文件及竞标时拟定的施工组织设计或施工方案，按计价规范的规定自主确定。但安全文明施工费按国家、省级或行业建设主管部门的有关规定执行，作为不竞争费用单列。</w:t>
      </w:r>
    </w:p>
    <w:p w14:paraId="51C15467">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3.6 其他项目费应按下列规定报价：</w:t>
      </w:r>
    </w:p>
    <w:p w14:paraId="04974DD6">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（1）暂列金额应按工程量清单中列出的金额填写；</w:t>
      </w:r>
    </w:p>
    <w:p w14:paraId="45DC774E">
      <w:pPr>
        <w:pStyle w:val="596"/>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（2）材料、工程设备暂估价应按工程量清单中列出的单价计入综合单价；</w:t>
      </w:r>
    </w:p>
    <w:p w14:paraId="554FDC7A">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（3）专业工程暂估价应按工程量清单中列出的金额填写；</w:t>
      </w:r>
    </w:p>
    <w:p w14:paraId="4F084F43">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（4）计日工应按工程量清单中列出的项目和估算数量，自主确定综合单价并计算计日工总额；计日工单价均不含规费和税金；</w:t>
      </w:r>
    </w:p>
    <w:p w14:paraId="7E410721">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（5）总承包服务费应根据工程量清单中列出的内容和供应材料、设备情况，按照采购人提出的协调、配合与服务要求和施工现场管理需要自主确定。</w:t>
      </w:r>
    </w:p>
    <w:p w14:paraId="0EF230B8">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（6）对建设单位创建</w:t>
      </w:r>
      <w:bookmarkStart w:id="149" w:name="REVIEW_BM_1198"/>
      <w:r>
        <w:rPr>
          <w:rFonts w:hint="eastAsia" w:asciiTheme="minorEastAsia" w:hAnsiTheme="minorEastAsia" w:eastAsiaTheme="minorEastAsia" w:cstheme="minorEastAsia"/>
          <w:highlight w:val="none"/>
        </w:rPr>
        <w:t>优质</w:t>
      </w:r>
      <w:bookmarkEnd w:id="149"/>
      <w:r>
        <w:rPr>
          <w:rFonts w:hint="eastAsia" w:asciiTheme="minorEastAsia" w:hAnsiTheme="minorEastAsia" w:eastAsiaTheme="minorEastAsia" w:cstheme="minorEastAsia"/>
          <w:highlight w:val="none"/>
        </w:rPr>
        <w:t>工程的，鼓励在招标控制价和预算中按</w:t>
      </w:r>
      <w:bookmarkStart w:id="150" w:name="REVIEW_BM_1201"/>
      <w:r>
        <w:rPr>
          <w:rFonts w:hint="eastAsia" w:asciiTheme="minorEastAsia" w:hAnsiTheme="minorEastAsia" w:eastAsiaTheme="minorEastAsia" w:cstheme="minorEastAsia"/>
          <w:highlight w:val="none"/>
        </w:rPr>
        <w:t>我区</w:t>
      </w:r>
      <w:bookmarkEnd w:id="150"/>
      <w:r>
        <w:rPr>
          <w:rFonts w:hint="eastAsia" w:asciiTheme="minorEastAsia" w:hAnsiTheme="minorEastAsia" w:eastAsiaTheme="minorEastAsia" w:cstheme="minorEastAsia"/>
          <w:highlight w:val="none"/>
        </w:rPr>
        <w:t>工程建设定额规定计列工程</w:t>
      </w:r>
      <w:bookmarkStart w:id="151" w:name="REVIEW_BM_1199"/>
      <w:r>
        <w:rPr>
          <w:rFonts w:hint="eastAsia" w:asciiTheme="minorEastAsia" w:hAnsiTheme="minorEastAsia" w:eastAsiaTheme="minorEastAsia" w:cstheme="minorEastAsia"/>
          <w:highlight w:val="none"/>
        </w:rPr>
        <w:t>优质</w:t>
      </w:r>
      <w:bookmarkEnd w:id="151"/>
      <w:r>
        <w:rPr>
          <w:rFonts w:hint="eastAsia" w:asciiTheme="minorEastAsia" w:hAnsiTheme="minorEastAsia" w:eastAsiaTheme="minorEastAsia" w:cstheme="minorEastAsia"/>
          <w:highlight w:val="none"/>
        </w:rPr>
        <w:t>费，并明确工程</w:t>
      </w:r>
      <w:bookmarkStart w:id="152" w:name="REVIEW_BM_1200"/>
      <w:r>
        <w:rPr>
          <w:rFonts w:hint="eastAsia" w:asciiTheme="minorEastAsia" w:hAnsiTheme="minorEastAsia" w:eastAsiaTheme="minorEastAsia" w:cstheme="minorEastAsia"/>
          <w:highlight w:val="none"/>
        </w:rPr>
        <w:t>优质</w:t>
      </w:r>
      <w:bookmarkEnd w:id="152"/>
      <w:r>
        <w:rPr>
          <w:rFonts w:hint="eastAsia" w:asciiTheme="minorEastAsia" w:hAnsiTheme="minorEastAsia" w:eastAsiaTheme="minorEastAsia" w:cstheme="minorEastAsia"/>
          <w:highlight w:val="none"/>
        </w:rPr>
        <w:t>费不可竞争。</w:t>
      </w:r>
    </w:p>
    <w:p w14:paraId="4FDF29CF">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3.7 规费和增值税应按规定确定，作为不可竞争费用。</w:t>
      </w:r>
    </w:p>
    <w:p w14:paraId="029FC2F9">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3.8 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6CD6A61C">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3.9 投标总价应当与分部分项工程费、措施项目费、其他项目费和规费、增值税的合计金额一致。</w:t>
      </w:r>
    </w:p>
    <w:p w14:paraId="499CA89C">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3.10供应商应按《允许调整主要材料和工程设备一览表》的内容填报，不得擅自调整材料和设备名称型号规格、单位、风险系数、基准单价。</w:t>
      </w:r>
    </w:p>
    <w:p w14:paraId="3ED0BAF1">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3.11竞标报价表格按本</w:t>
      </w:r>
      <w:bookmarkStart w:id="153" w:name="REVIEW_BM_1202"/>
      <w:r>
        <w:rPr>
          <w:rFonts w:hint="eastAsia" w:asciiTheme="minorEastAsia" w:hAnsiTheme="minorEastAsia" w:eastAsiaTheme="minorEastAsia" w:cstheme="minorEastAsia"/>
          <w:highlight w:val="none"/>
        </w:rPr>
        <w:t>工程工程</w:t>
      </w:r>
      <w:bookmarkEnd w:id="153"/>
      <w:r>
        <w:rPr>
          <w:rFonts w:hint="eastAsia" w:asciiTheme="minorEastAsia" w:hAnsiTheme="minorEastAsia" w:eastAsiaTheme="minorEastAsia" w:cstheme="minorEastAsia"/>
          <w:highlight w:val="none"/>
        </w:rPr>
        <w:t>量清单表格要求填写，并应按磋商文件的要求，附上《工程量清单综合单价分析表》（表-09）和《主要清单项目工料机分析表》（表-10）。</w:t>
      </w:r>
    </w:p>
    <w:p w14:paraId="6DB431C3">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u w:val="single"/>
        </w:rPr>
      </w:pPr>
      <w:r>
        <w:rPr>
          <w:rFonts w:hint="eastAsia" w:asciiTheme="minorEastAsia" w:hAnsiTheme="minorEastAsia" w:eastAsiaTheme="minorEastAsia" w:cstheme="minorEastAsia"/>
          <w:highlight w:val="none"/>
        </w:rPr>
        <w:t>未尽事宜详见本</w:t>
      </w:r>
      <w:bookmarkStart w:id="154" w:name="REVIEW_BM_1203"/>
      <w:r>
        <w:rPr>
          <w:rFonts w:hint="eastAsia" w:asciiTheme="minorEastAsia" w:hAnsiTheme="minorEastAsia" w:eastAsiaTheme="minorEastAsia" w:cstheme="minorEastAsia"/>
          <w:highlight w:val="none"/>
        </w:rPr>
        <w:t>工程工程</w:t>
      </w:r>
      <w:bookmarkEnd w:id="154"/>
      <w:r>
        <w:rPr>
          <w:rFonts w:hint="eastAsia" w:asciiTheme="minorEastAsia" w:hAnsiTheme="minorEastAsia" w:eastAsiaTheme="minorEastAsia" w:cstheme="minorEastAsia"/>
          <w:highlight w:val="none"/>
        </w:rPr>
        <w:t>量清单、招标控制价编制说明以及现行《计价规范》等有关规定执行。</w:t>
      </w:r>
    </w:p>
    <w:p w14:paraId="77080399">
      <w:pPr>
        <w:keepNext w:val="0"/>
        <w:keepLines w:val="0"/>
        <w:pageBreakBefore w:val="0"/>
        <w:widowControl w:val="0"/>
        <w:bidi w:val="0"/>
        <w:spacing w:line="360" w:lineRule="auto"/>
        <w:ind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注：因2021年《广西壮族自治区园林绿化及仿古建筑工程费用定额》采用全费用综合单价形式，故园林绿化及仿古建筑工程的工程量清单及计价采用《自治区住房和城乡建设厅关于建设工程造价改革试点项目招投标及计价规定调整的通知》（桂建标〔2021〕6号）中附件1《建设工程工程量清单计价规范（GB50500-2013）广西壮族自治区实施细则》（适用于工程造价改革试点项目）相关表格，具体以采购人另册发放的工程量清单及相关说明为准。</w:t>
      </w:r>
    </w:p>
    <w:p w14:paraId="796C8FAC">
      <w:pPr>
        <w:rPr>
          <w:rFonts w:hint="eastAsia" w:ascii="宋体" w:hAnsi="宋体" w:cs="宋体"/>
          <w:highlight w:val="none"/>
        </w:rPr>
      </w:pPr>
    </w:p>
    <w:p w14:paraId="35C0DC52">
      <w:pPr>
        <w:rPr>
          <w:rFonts w:hint="eastAsia" w:ascii="宋体" w:hAnsi="宋体" w:cs="宋体"/>
          <w:highlight w:val="none"/>
        </w:rPr>
      </w:pPr>
    </w:p>
    <w:p w14:paraId="10EE8B35">
      <w:pPr>
        <w:rPr>
          <w:rFonts w:hint="eastAsia" w:ascii="宋体" w:hAnsi="宋体" w:cs="宋体"/>
          <w:highlight w:val="none"/>
        </w:rPr>
      </w:pPr>
    </w:p>
    <w:p w14:paraId="3E793536">
      <w:pPr>
        <w:pStyle w:val="20"/>
        <w:rPr>
          <w:rFonts w:hint="eastAsia"/>
          <w:highlight w:val="none"/>
        </w:rPr>
      </w:pPr>
    </w:p>
    <w:p w14:paraId="4D51B32A">
      <w:pPr>
        <w:rPr>
          <w:rFonts w:hint="eastAsia" w:ascii="宋体" w:hAnsi="宋体" w:cs="宋体"/>
          <w:highlight w:val="none"/>
        </w:rPr>
      </w:pPr>
    </w:p>
    <w:p w14:paraId="7E262859">
      <w:pPr>
        <w:pStyle w:val="20"/>
        <w:rPr>
          <w:rFonts w:hint="eastAsia" w:ascii="宋体" w:hAnsi="宋体" w:cs="宋体"/>
          <w:highlight w:val="none"/>
        </w:rPr>
      </w:pPr>
    </w:p>
    <w:p w14:paraId="7FD3DA8A">
      <w:pPr>
        <w:rPr>
          <w:rFonts w:hint="eastAsia" w:ascii="宋体" w:hAnsi="宋体" w:cs="宋体"/>
          <w:highlight w:val="none"/>
        </w:rPr>
      </w:pPr>
    </w:p>
    <w:p w14:paraId="4B097784">
      <w:pPr>
        <w:pStyle w:val="20"/>
        <w:rPr>
          <w:rFonts w:hint="eastAsia" w:ascii="宋体" w:hAnsi="宋体" w:cs="宋体"/>
          <w:highlight w:val="none"/>
        </w:rPr>
      </w:pPr>
    </w:p>
    <w:p w14:paraId="54D2103A">
      <w:pPr>
        <w:rPr>
          <w:rFonts w:hint="eastAsia" w:ascii="宋体" w:hAnsi="宋体" w:cs="宋体"/>
          <w:highlight w:val="none"/>
        </w:rPr>
      </w:pPr>
    </w:p>
    <w:p w14:paraId="0E13669A">
      <w:pPr>
        <w:pStyle w:val="20"/>
        <w:rPr>
          <w:rFonts w:hint="eastAsia" w:ascii="宋体" w:hAnsi="宋体" w:cs="宋体"/>
          <w:highlight w:val="none"/>
        </w:rPr>
      </w:pPr>
    </w:p>
    <w:p w14:paraId="33521283">
      <w:pPr>
        <w:rPr>
          <w:rFonts w:hint="eastAsia" w:ascii="宋体" w:hAnsi="宋体" w:cs="宋体"/>
          <w:highlight w:val="none"/>
        </w:rPr>
      </w:pPr>
    </w:p>
    <w:p w14:paraId="0CF6862B">
      <w:pPr>
        <w:pStyle w:val="20"/>
        <w:rPr>
          <w:rFonts w:hint="eastAsia" w:ascii="宋体" w:hAnsi="宋体" w:cs="宋体"/>
          <w:highlight w:val="none"/>
        </w:rPr>
      </w:pPr>
    </w:p>
    <w:p w14:paraId="2A8B5003">
      <w:pPr>
        <w:rPr>
          <w:rFonts w:hint="eastAsia" w:ascii="宋体" w:hAnsi="宋体" w:cs="宋体"/>
          <w:highlight w:val="none"/>
        </w:rPr>
      </w:pPr>
    </w:p>
    <w:p w14:paraId="29DD4230">
      <w:pPr>
        <w:pStyle w:val="20"/>
        <w:rPr>
          <w:rFonts w:hint="eastAsia" w:ascii="宋体" w:hAnsi="宋体" w:cs="宋体"/>
          <w:highlight w:val="none"/>
        </w:rPr>
      </w:pPr>
    </w:p>
    <w:p w14:paraId="0DA68CB3">
      <w:pPr>
        <w:rPr>
          <w:rFonts w:hint="eastAsia" w:ascii="宋体" w:hAnsi="宋体" w:cs="宋体"/>
          <w:highlight w:val="none"/>
        </w:rPr>
      </w:pPr>
    </w:p>
    <w:p w14:paraId="28082170">
      <w:pPr>
        <w:pStyle w:val="20"/>
        <w:rPr>
          <w:rFonts w:hint="eastAsia" w:ascii="宋体" w:hAnsi="宋体" w:cs="宋体"/>
          <w:highlight w:val="none"/>
        </w:rPr>
      </w:pPr>
    </w:p>
    <w:p w14:paraId="4574936B">
      <w:pPr>
        <w:rPr>
          <w:rFonts w:hint="eastAsia" w:ascii="宋体" w:hAnsi="宋体" w:cs="宋体"/>
          <w:highlight w:val="none"/>
        </w:rPr>
      </w:pPr>
    </w:p>
    <w:p w14:paraId="71366D9D">
      <w:pPr>
        <w:pStyle w:val="20"/>
        <w:rPr>
          <w:rFonts w:hint="eastAsia" w:ascii="宋体" w:hAnsi="宋体" w:cs="宋体"/>
          <w:highlight w:val="none"/>
        </w:rPr>
      </w:pPr>
    </w:p>
    <w:p w14:paraId="2D89FAED">
      <w:pPr>
        <w:rPr>
          <w:rFonts w:hint="eastAsia" w:ascii="宋体" w:hAnsi="宋体" w:cs="宋体"/>
          <w:highlight w:val="none"/>
        </w:rPr>
      </w:pPr>
    </w:p>
    <w:p w14:paraId="0A27DEFA">
      <w:pPr>
        <w:pStyle w:val="20"/>
        <w:rPr>
          <w:rFonts w:hint="eastAsia" w:ascii="宋体" w:hAnsi="宋体" w:cs="宋体"/>
          <w:highlight w:val="none"/>
        </w:rPr>
      </w:pPr>
    </w:p>
    <w:p w14:paraId="0F920555">
      <w:pPr>
        <w:rPr>
          <w:rFonts w:hint="eastAsia" w:ascii="宋体" w:hAnsi="宋体" w:cs="宋体"/>
          <w:highlight w:val="none"/>
        </w:rPr>
      </w:pPr>
    </w:p>
    <w:p w14:paraId="5EADEEF1">
      <w:pPr>
        <w:pStyle w:val="20"/>
        <w:rPr>
          <w:rFonts w:hint="eastAsia"/>
          <w:highlight w:val="none"/>
        </w:rPr>
      </w:pPr>
    </w:p>
    <w:p w14:paraId="1D4C6A63">
      <w:pPr>
        <w:rPr>
          <w:rFonts w:hint="eastAsia" w:ascii="宋体" w:hAnsi="宋体" w:cs="宋体"/>
          <w:highlight w:val="none"/>
        </w:rPr>
      </w:pPr>
    </w:p>
    <w:p w14:paraId="76DDC075">
      <w:pPr>
        <w:pStyle w:val="3"/>
        <w:jc w:val="center"/>
        <w:rPr>
          <w:rFonts w:hint="eastAsia" w:ascii="宋体" w:hAnsi="宋体" w:cs="宋体"/>
          <w:highlight w:val="none"/>
        </w:rPr>
        <w:sectPr>
          <w:pgSz w:w="11910" w:h="16840"/>
          <w:pgMar w:top="1340" w:right="1500" w:bottom="1220" w:left="1680" w:header="720" w:footer="720" w:gutter="0"/>
          <w:cols w:space="720" w:num="1"/>
        </w:sectPr>
      </w:pPr>
      <w:bookmarkStart w:id="155" w:name="_Toc6595"/>
      <w:bookmarkStart w:id="156" w:name="_Toc22405"/>
      <w:bookmarkStart w:id="157" w:name="_Toc120174204"/>
      <w:r>
        <w:rPr>
          <w:rFonts w:hint="eastAsia" w:ascii="宋体" w:hAnsi="宋体" w:cs="宋体"/>
          <w:highlight w:val="none"/>
        </w:rPr>
        <w:t>第六章</w:t>
      </w:r>
      <w:r>
        <w:rPr>
          <w:rFonts w:hint="eastAsia" w:ascii="宋体" w:hAnsi="宋体" w:cs="宋体"/>
          <w:highlight w:val="none"/>
          <w:lang w:val="en-US" w:eastAsia="zh-CN"/>
        </w:rPr>
        <w:t xml:space="preserve">  </w:t>
      </w:r>
      <w:r>
        <w:rPr>
          <w:rFonts w:hint="eastAsia" w:ascii="宋体" w:hAnsi="宋体" w:cs="宋体"/>
          <w:highlight w:val="none"/>
        </w:rPr>
        <w:t>响应文件格式</w:t>
      </w:r>
      <w:bookmarkEnd w:id="155"/>
      <w:bookmarkEnd w:id="156"/>
      <w:bookmarkEnd w:id="157"/>
    </w:p>
    <w:p w14:paraId="0EF76F56">
      <w:pPr>
        <w:pStyle w:val="4"/>
        <w:bidi w:val="0"/>
        <w:jc w:val="center"/>
        <w:rPr>
          <w:rFonts w:hint="eastAsia"/>
          <w:highlight w:val="none"/>
        </w:rPr>
      </w:pPr>
      <w:bookmarkStart w:id="158" w:name="_Toc80886942"/>
      <w:bookmarkStart w:id="159" w:name="_Toc80205938"/>
      <w:bookmarkStart w:id="160" w:name="_Toc83"/>
      <w:bookmarkStart w:id="161" w:name="_Toc97909567"/>
      <w:r>
        <w:rPr>
          <w:rFonts w:hint="eastAsia"/>
          <w:highlight w:val="none"/>
        </w:rPr>
        <w:t>第一节 封面格式</w:t>
      </w:r>
      <w:bookmarkEnd w:id="158"/>
      <w:bookmarkEnd w:id="159"/>
      <w:bookmarkEnd w:id="160"/>
      <w:bookmarkEnd w:id="161"/>
    </w:p>
    <w:p w14:paraId="6A412560">
      <w:pPr>
        <w:spacing w:after="50"/>
        <w:jc w:val="center"/>
        <w:rPr>
          <w:rFonts w:hint="eastAsia" w:ascii="宋体" w:hAnsi="宋体" w:cs="宋体"/>
          <w:bCs/>
          <w:sz w:val="24"/>
          <w:szCs w:val="20"/>
          <w:highlight w:val="none"/>
        </w:rPr>
      </w:pPr>
    </w:p>
    <w:p w14:paraId="3171A1E4">
      <w:pPr>
        <w:spacing w:after="50"/>
        <w:jc w:val="center"/>
        <w:rPr>
          <w:rFonts w:hint="eastAsia" w:ascii="宋体" w:hAnsi="宋体" w:cs="宋体"/>
          <w:bCs/>
          <w:sz w:val="44"/>
          <w:szCs w:val="44"/>
          <w:highlight w:val="none"/>
        </w:rPr>
      </w:pPr>
      <w:r>
        <w:rPr>
          <w:rFonts w:hint="eastAsia" w:ascii="宋体" w:hAnsi="宋体"/>
          <w:bCs/>
          <w:color w:val="000000"/>
          <w:highlight w:val="none"/>
        </w:rPr>
        <w:t xml:space="preserve">                                                             全流程电子文件</w:t>
      </w:r>
    </w:p>
    <w:p w14:paraId="572A8EE8">
      <w:pPr>
        <w:spacing w:after="50"/>
        <w:jc w:val="center"/>
        <w:rPr>
          <w:rFonts w:hint="eastAsia" w:ascii="宋体" w:hAnsi="宋体" w:cs="宋体"/>
          <w:bCs/>
          <w:sz w:val="44"/>
          <w:szCs w:val="44"/>
          <w:highlight w:val="none"/>
        </w:rPr>
      </w:pPr>
    </w:p>
    <w:p w14:paraId="674B6913">
      <w:pPr>
        <w:spacing w:after="50"/>
        <w:jc w:val="center"/>
        <w:rPr>
          <w:rFonts w:hint="eastAsia" w:ascii="宋体" w:hAnsi="宋体" w:cs="宋体"/>
          <w:bCs/>
          <w:sz w:val="44"/>
          <w:szCs w:val="44"/>
          <w:highlight w:val="none"/>
        </w:rPr>
      </w:pPr>
    </w:p>
    <w:p w14:paraId="08534A71">
      <w:pPr>
        <w:spacing w:after="50"/>
        <w:jc w:val="center"/>
        <w:rPr>
          <w:rFonts w:hint="eastAsia" w:ascii="宋体" w:hAnsi="宋体" w:cs="宋体"/>
          <w:bCs/>
          <w:sz w:val="44"/>
          <w:szCs w:val="44"/>
          <w:highlight w:val="none"/>
        </w:rPr>
      </w:pPr>
      <w:r>
        <w:rPr>
          <w:rFonts w:hint="eastAsia" w:ascii="宋体" w:hAnsi="宋体" w:cs="宋体"/>
          <w:bCs/>
          <w:sz w:val="44"/>
          <w:szCs w:val="44"/>
          <w:highlight w:val="none"/>
        </w:rPr>
        <w:t>响  应  文  件</w:t>
      </w:r>
    </w:p>
    <w:p w14:paraId="1525E609">
      <w:pPr>
        <w:spacing w:after="50"/>
        <w:rPr>
          <w:rFonts w:hint="eastAsia" w:ascii="宋体" w:hAnsi="宋体" w:cs="宋体"/>
          <w:bCs/>
          <w:sz w:val="24"/>
          <w:szCs w:val="20"/>
          <w:highlight w:val="none"/>
        </w:rPr>
      </w:pPr>
    </w:p>
    <w:p w14:paraId="06D57129">
      <w:pPr>
        <w:spacing w:after="50"/>
        <w:rPr>
          <w:rFonts w:hint="eastAsia" w:ascii="宋体" w:hAnsi="宋体" w:cs="宋体"/>
          <w:bCs/>
          <w:sz w:val="24"/>
          <w:szCs w:val="20"/>
          <w:highlight w:val="none"/>
        </w:rPr>
      </w:pPr>
    </w:p>
    <w:p w14:paraId="2BF3A88B">
      <w:pPr>
        <w:spacing w:after="50"/>
        <w:rPr>
          <w:rFonts w:hint="eastAsia" w:ascii="宋体" w:hAnsi="宋体" w:cs="宋体"/>
          <w:bCs/>
          <w:sz w:val="32"/>
          <w:szCs w:val="32"/>
          <w:highlight w:val="none"/>
        </w:rPr>
      </w:pPr>
    </w:p>
    <w:p w14:paraId="58112975">
      <w:pPr>
        <w:spacing w:after="50"/>
        <w:ind w:firstLine="640"/>
        <w:rPr>
          <w:rFonts w:hint="eastAsia" w:ascii="宋体" w:hAnsi="宋体" w:cs="宋体"/>
          <w:bCs/>
          <w:sz w:val="32"/>
          <w:szCs w:val="32"/>
          <w:highlight w:val="none"/>
        </w:rPr>
      </w:pPr>
      <w:r>
        <w:rPr>
          <w:rFonts w:hint="eastAsia" w:ascii="宋体" w:hAnsi="宋体" w:cs="宋体"/>
          <w:bCs/>
          <w:sz w:val="32"/>
          <w:szCs w:val="32"/>
          <w:highlight w:val="none"/>
        </w:rPr>
        <w:t>项目名称：</w:t>
      </w:r>
    </w:p>
    <w:p w14:paraId="7060218D">
      <w:pPr>
        <w:spacing w:after="50"/>
        <w:ind w:firstLine="480"/>
        <w:rPr>
          <w:rFonts w:hint="eastAsia" w:ascii="宋体" w:hAnsi="宋体" w:cs="宋体"/>
          <w:bCs/>
          <w:sz w:val="32"/>
          <w:szCs w:val="32"/>
          <w:highlight w:val="none"/>
        </w:rPr>
      </w:pPr>
    </w:p>
    <w:p w14:paraId="200E7F1A">
      <w:pPr>
        <w:spacing w:after="50"/>
        <w:ind w:firstLine="640"/>
        <w:rPr>
          <w:rFonts w:hint="eastAsia" w:ascii="宋体" w:hAnsi="宋体" w:cs="宋体"/>
          <w:bCs/>
          <w:sz w:val="32"/>
          <w:szCs w:val="32"/>
          <w:highlight w:val="none"/>
        </w:rPr>
      </w:pPr>
      <w:r>
        <w:rPr>
          <w:rFonts w:hint="eastAsia" w:ascii="宋体" w:hAnsi="宋体" w:cs="宋体"/>
          <w:bCs/>
          <w:sz w:val="32"/>
          <w:szCs w:val="32"/>
          <w:highlight w:val="none"/>
        </w:rPr>
        <w:t>项目编号：</w:t>
      </w:r>
    </w:p>
    <w:p w14:paraId="453540F0">
      <w:pPr>
        <w:spacing w:after="50"/>
        <w:ind w:firstLine="480"/>
        <w:rPr>
          <w:rFonts w:hint="eastAsia" w:ascii="宋体" w:hAnsi="宋体" w:cs="宋体"/>
          <w:bCs/>
          <w:sz w:val="32"/>
          <w:szCs w:val="32"/>
          <w:highlight w:val="none"/>
        </w:rPr>
      </w:pPr>
    </w:p>
    <w:p w14:paraId="3F5276FC">
      <w:pPr>
        <w:spacing w:after="50"/>
        <w:ind w:firstLine="640"/>
        <w:rPr>
          <w:rFonts w:hint="eastAsia" w:ascii="宋体" w:hAnsi="宋体" w:cs="宋体"/>
          <w:bCs/>
          <w:sz w:val="32"/>
          <w:szCs w:val="32"/>
          <w:highlight w:val="none"/>
        </w:rPr>
      </w:pPr>
      <w:r>
        <w:rPr>
          <w:rFonts w:hint="eastAsia" w:ascii="宋体" w:hAnsi="宋体" w:cs="宋体"/>
          <w:bCs/>
          <w:sz w:val="32"/>
          <w:szCs w:val="32"/>
          <w:highlight w:val="none"/>
        </w:rPr>
        <w:t>所竞分标（如有则填写，无分标时填写“无”或者留空）：</w:t>
      </w:r>
    </w:p>
    <w:p w14:paraId="5C6D5FB9">
      <w:pPr>
        <w:spacing w:after="50"/>
        <w:rPr>
          <w:rFonts w:hint="eastAsia" w:ascii="宋体" w:hAnsi="宋体" w:cs="宋体"/>
          <w:bCs/>
          <w:sz w:val="32"/>
          <w:szCs w:val="32"/>
          <w:highlight w:val="none"/>
        </w:rPr>
      </w:pPr>
    </w:p>
    <w:p w14:paraId="763D2C04">
      <w:pPr>
        <w:spacing w:after="50"/>
        <w:ind w:firstLine="640"/>
        <w:rPr>
          <w:rFonts w:hint="eastAsia" w:ascii="宋体" w:hAnsi="宋体" w:cs="宋体"/>
          <w:bCs/>
          <w:sz w:val="32"/>
          <w:szCs w:val="32"/>
          <w:highlight w:val="none"/>
        </w:rPr>
      </w:pPr>
      <w:r>
        <w:rPr>
          <w:rFonts w:hint="eastAsia" w:ascii="宋体" w:hAnsi="宋体" w:cs="宋体"/>
          <w:bCs/>
          <w:sz w:val="32"/>
          <w:szCs w:val="32"/>
          <w:highlight w:val="none"/>
        </w:rPr>
        <w:t>供应商名称：</w:t>
      </w:r>
    </w:p>
    <w:p w14:paraId="41E2779B">
      <w:pPr>
        <w:spacing w:after="50"/>
        <w:rPr>
          <w:rFonts w:hint="eastAsia" w:ascii="宋体" w:hAnsi="宋体" w:cs="宋体"/>
          <w:bCs/>
          <w:sz w:val="32"/>
          <w:szCs w:val="32"/>
          <w:highlight w:val="none"/>
        </w:rPr>
      </w:pPr>
    </w:p>
    <w:p w14:paraId="75E66B08">
      <w:pPr>
        <w:spacing w:after="50"/>
        <w:ind w:firstLine="480"/>
        <w:jc w:val="center"/>
        <w:rPr>
          <w:rFonts w:hint="eastAsia" w:ascii="宋体" w:hAnsi="宋体" w:cs="宋体"/>
          <w:bCs/>
          <w:sz w:val="32"/>
          <w:szCs w:val="32"/>
          <w:highlight w:val="none"/>
        </w:rPr>
      </w:pPr>
      <w:r>
        <w:rPr>
          <w:rFonts w:hint="eastAsia" w:ascii="宋体" w:hAnsi="宋体" w:cs="宋体"/>
          <w:bCs/>
          <w:sz w:val="32"/>
          <w:szCs w:val="32"/>
          <w:highlight w:val="none"/>
        </w:rPr>
        <w:t>首次响应文件提交截止时间前不得解密</w:t>
      </w:r>
    </w:p>
    <w:p w14:paraId="305B1554">
      <w:pPr>
        <w:spacing w:after="50"/>
        <w:ind w:firstLine="5440"/>
        <w:jc w:val="center"/>
        <w:rPr>
          <w:rFonts w:hint="eastAsia" w:ascii="宋体" w:hAnsi="宋体" w:cs="宋体"/>
          <w:bCs/>
          <w:sz w:val="32"/>
          <w:szCs w:val="32"/>
          <w:highlight w:val="none"/>
        </w:rPr>
      </w:pPr>
    </w:p>
    <w:p w14:paraId="02B8ACD6">
      <w:pPr>
        <w:spacing w:after="50"/>
        <w:ind w:firstLine="645"/>
        <w:jc w:val="center"/>
        <w:rPr>
          <w:rFonts w:hint="eastAsia" w:ascii="宋体" w:hAnsi="宋体" w:cs="宋体"/>
          <w:highlight w:val="none"/>
        </w:rPr>
        <w:sectPr>
          <w:pgSz w:w="11910" w:h="16840"/>
          <w:pgMar w:top="1340" w:right="1500" w:bottom="280" w:left="1680" w:header="720" w:footer="720" w:gutter="0"/>
          <w:cols w:space="720" w:num="1"/>
        </w:sectPr>
      </w:pPr>
      <w:r>
        <w:rPr>
          <w:rFonts w:hint="eastAsia" w:ascii="宋体" w:hAnsi="宋体" w:cs="宋体"/>
          <w:bCs/>
          <w:sz w:val="32"/>
          <w:szCs w:val="32"/>
          <w:highlight w:val="none"/>
        </w:rPr>
        <w:t>年    月    日</w:t>
      </w:r>
    </w:p>
    <w:p w14:paraId="01235D12">
      <w:pPr>
        <w:pStyle w:val="4"/>
        <w:bidi w:val="0"/>
        <w:jc w:val="center"/>
        <w:rPr>
          <w:rFonts w:hint="eastAsia"/>
          <w:highlight w:val="none"/>
        </w:rPr>
      </w:pPr>
      <w:bookmarkStart w:id="162" w:name="_Toc97909568"/>
      <w:bookmarkStart w:id="163" w:name="_Toc80886943"/>
      <w:bookmarkStart w:id="164" w:name="_Toc5046"/>
      <w:bookmarkStart w:id="165" w:name="_Toc80205939"/>
      <w:r>
        <w:rPr>
          <w:rFonts w:hint="eastAsia"/>
          <w:highlight w:val="none"/>
        </w:rPr>
        <w:t>第二节 资格证明文件格式</w:t>
      </w:r>
      <w:bookmarkEnd w:id="162"/>
      <w:bookmarkEnd w:id="163"/>
      <w:bookmarkEnd w:id="164"/>
      <w:bookmarkEnd w:id="165"/>
    </w:p>
    <w:p w14:paraId="2EF23256">
      <w:pPr>
        <w:spacing w:after="50"/>
        <w:rPr>
          <w:rFonts w:hint="eastAsia" w:ascii="宋体" w:hAnsi="宋体"/>
          <w:bCs/>
          <w:color w:val="000000"/>
          <w:sz w:val="32"/>
          <w:szCs w:val="20"/>
          <w:highlight w:val="none"/>
        </w:rPr>
      </w:pPr>
      <w:r>
        <w:rPr>
          <w:rFonts w:hint="eastAsia" w:ascii="宋体" w:hAnsi="宋体"/>
          <w:color w:val="000000"/>
          <w:sz w:val="24"/>
          <w:highlight w:val="none"/>
        </w:rPr>
        <w:t xml:space="preserve">                                                    </w:t>
      </w:r>
      <w:r>
        <w:rPr>
          <w:rFonts w:hint="eastAsia" w:ascii="宋体" w:hAnsi="宋体"/>
          <w:bCs/>
          <w:color w:val="000000"/>
          <w:highlight w:val="none"/>
        </w:rPr>
        <w:t>全流程电子文件</w:t>
      </w:r>
    </w:p>
    <w:p w14:paraId="752CD7F2">
      <w:pPr>
        <w:spacing w:after="50"/>
        <w:rPr>
          <w:rFonts w:hint="eastAsia" w:ascii="宋体" w:hAnsi="宋体"/>
          <w:color w:val="000000"/>
          <w:sz w:val="24"/>
          <w:szCs w:val="20"/>
          <w:highlight w:val="none"/>
        </w:rPr>
      </w:pPr>
    </w:p>
    <w:p w14:paraId="72232FAF">
      <w:pPr>
        <w:spacing w:after="50"/>
        <w:rPr>
          <w:rFonts w:hint="eastAsia" w:ascii="宋体" w:hAnsi="宋体"/>
          <w:color w:val="000000"/>
          <w:sz w:val="24"/>
          <w:szCs w:val="20"/>
          <w:highlight w:val="none"/>
        </w:rPr>
      </w:pPr>
    </w:p>
    <w:p w14:paraId="0CCE280A">
      <w:pPr>
        <w:spacing w:after="50"/>
        <w:jc w:val="center"/>
        <w:rPr>
          <w:rFonts w:hint="eastAsia" w:ascii="宋体" w:hAnsi="宋体" w:cs="方正小标宋简体"/>
          <w:bCs/>
          <w:color w:val="000000"/>
          <w:sz w:val="44"/>
          <w:szCs w:val="44"/>
          <w:highlight w:val="none"/>
        </w:rPr>
      </w:pPr>
      <w:r>
        <w:rPr>
          <w:rFonts w:hint="eastAsia" w:ascii="宋体" w:hAnsi="宋体" w:cs="方正小标宋简体"/>
          <w:bCs/>
          <w:color w:val="000000"/>
          <w:sz w:val="44"/>
          <w:szCs w:val="44"/>
          <w:highlight w:val="none"/>
        </w:rPr>
        <w:t>资  格  证  明  文  件（封面）</w:t>
      </w:r>
    </w:p>
    <w:p w14:paraId="49DF3CBE">
      <w:pPr>
        <w:spacing w:after="50"/>
        <w:rPr>
          <w:rFonts w:hint="eastAsia" w:ascii="宋体" w:hAnsi="宋体"/>
          <w:bCs/>
          <w:color w:val="000000"/>
          <w:sz w:val="24"/>
          <w:szCs w:val="20"/>
          <w:highlight w:val="none"/>
        </w:rPr>
      </w:pPr>
    </w:p>
    <w:p w14:paraId="37847FD3">
      <w:pPr>
        <w:spacing w:after="50"/>
        <w:rPr>
          <w:rFonts w:hint="eastAsia" w:ascii="宋体" w:hAnsi="宋体"/>
          <w:bCs/>
          <w:color w:val="000000"/>
          <w:sz w:val="24"/>
          <w:szCs w:val="20"/>
          <w:highlight w:val="none"/>
        </w:rPr>
      </w:pPr>
    </w:p>
    <w:p w14:paraId="1226D68C">
      <w:pPr>
        <w:spacing w:after="50"/>
        <w:rPr>
          <w:rFonts w:hint="eastAsia" w:ascii="宋体" w:hAnsi="宋体"/>
          <w:bCs/>
          <w:color w:val="000000"/>
          <w:sz w:val="24"/>
          <w:szCs w:val="20"/>
          <w:highlight w:val="none"/>
        </w:rPr>
      </w:pPr>
    </w:p>
    <w:p w14:paraId="11A951B1">
      <w:pPr>
        <w:spacing w:after="50"/>
        <w:rPr>
          <w:rFonts w:hint="eastAsia" w:ascii="宋体" w:hAnsi="宋体"/>
          <w:bCs/>
          <w:color w:val="000000"/>
          <w:sz w:val="24"/>
          <w:szCs w:val="20"/>
          <w:highlight w:val="none"/>
        </w:rPr>
      </w:pPr>
    </w:p>
    <w:p w14:paraId="7BE580F2">
      <w:pPr>
        <w:spacing w:after="50"/>
        <w:rPr>
          <w:rFonts w:hint="eastAsia" w:ascii="宋体" w:hAnsi="宋体"/>
          <w:bCs/>
          <w:color w:val="000000"/>
          <w:sz w:val="24"/>
          <w:szCs w:val="20"/>
          <w:highlight w:val="none"/>
        </w:rPr>
      </w:pPr>
    </w:p>
    <w:p w14:paraId="3511AEF1">
      <w:pPr>
        <w:spacing w:after="50"/>
        <w:ind w:firstLine="64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 xml:space="preserve">项目名称： </w:t>
      </w:r>
    </w:p>
    <w:p w14:paraId="7D36ACA2">
      <w:pPr>
        <w:spacing w:after="50"/>
        <w:ind w:firstLine="720"/>
        <w:rPr>
          <w:rFonts w:hint="eastAsia" w:ascii="宋体" w:hAnsi="宋体" w:cs="仿宋_GB2312"/>
          <w:bCs/>
          <w:color w:val="000000"/>
          <w:sz w:val="32"/>
          <w:szCs w:val="32"/>
          <w:highlight w:val="none"/>
        </w:rPr>
      </w:pPr>
    </w:p>
    <w:p w14:paraId="732A4D36">
      <w:pPr>
        <w:spacing w:after="50"/>
        <w:ind w:firstLine="72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 xml:space="preserve">项目编号： </w:t>
      </w:r>
    </w:p>
    <w:p w14:paraId="0F58C34E">
      <w:pPr>
        <w:spacing w:after="50"/>
        <w:ind w:firstLine="72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 xml:space="preserve"> </w:t>
      </w:r>
    </w:p>
    <w:p w14:paraId="01EBC0AD">
      <w:pPr>
        <w:spacing w:after="50"/>
        <w:ind w:firstLine="72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所竞分标（如有则填写，无分标时填写“无”或者留空）：</w:t>
      </w:r>
    </w:p>
    <w:p w14:paraId="6D34F987">
      <w:pPr>
        <w:spacing w:after="50"/>
        <w:ind w:firstLine="720"/>
        <w:rPr>
          <w:rFonts w:hint="eastAsia" w:ascii="宋体" w:hAnsi="宋体" w:cs="仿宋_GB2312"/>
          <w:bCs/>
          <w:color w:val="000000"/>
          <w:sz w:val="32"/>
          <w:szCs w:val="32"/>
          <w:highlight w:val="none"/>
        </w:rPr>
      </w:pPr>
    </w:p>
    <w:p w14:paraId="10421C50">
      <w:pPr>
        <w:pStyle w:val="2"/>
        <w:spacing w:before="50" w:after="50"/>
        <w:ind w:firstLine="720"/>
        <w:rPr>
          <w:rFonts w:hint="eastAsia" w:ascii="宋体" w:hAnsi="宋体" w:cs="仿宋_GB2312"/>
          <w:bCs/>
          <w:color w:val="000000"/>
          <w:sz w:val="32"/>
          <w:szCs w:val="32"/>
          <w:highlight w:val="none"/>
        </w:rPr>
      </w:pPr>
      <w:r>
        <w:rPr>
          <w:rFonts w:hint="eastAsia" w:ascii="宋体" w:hAnsi="宋体" w:cs="仿宋_GB2312"/>
          <w:bCs/>
          <w:color w:val="000000"/>
          <w:sz w:val="32"/>
          <w:szCs w:val="32"/>
          <w:highlight w:val="none"/>
        </w:rPr>
        <w:t>供应商名称：</w:t>
      </w:r>
    </w:p>
    <w:p w14:paraId="6511BDE6">
      <w:pPr>
        <w:pStyle w:val="2"/>
        <w:spacing w:before="50" w:after="50"/>
        <w:ind w:firstLine="720"/>
        <w:rPr>
          <w:rFonts w:hint="eastAsia" w:ascii="宋体" w:hAnsi="宋体" w:cs="仿宋_GB2312"/>
          <w:bCs/>
          <w:color w:val="000000"/>
          <w:sz w:val="32"/>
          <w:szCs w:val="32"/>
          <w:highlight w:val="none"/>
        </w:rPr>
      </w:pPr>
    </w:p>
    <w:p w14:paraId="5E6442E5">
      <w:pPr>
        <w:pStyle w:val="2"/>
        <w:spacing w:before="50" w:after="50"/>
        <w:ind w:firstLine="720"/>
        <w:rPr>
          <w:rFonts w:hint="eastAsia" w:ascii="宋体" w:hAnsi="宋体" w:cs="仿宋_GB2312"/>
          <w:bCs/>
          <w:color w:val="000000"/>
          <w:sz w:val="32"/>
          <w:szCs w:val="32"/>
          <w:highlight w:val="none"/>
        </w:rPr>
      </w:pPr>
    </w:p>
    <w:p w14:paraId="3874C459">
      <w:pPr>
        <w:pStyle w:val="2"/>
        <w:spacing w:before="50" w:after="50"/>
        <w:ind w:firstLine="720"/>
        <w:rPr>
          <w:rFonts w:hint="eastAsia" w:ascii="宋体" w:hAnsi="宋体" w:cs="仿宋_GB2312"/>
          <w:bCs/>
          <w:color w:val="000000"/>
          <w:sz w:val="32"/>
          <w:szCs w:val="32"/>
          <w:highlight w:val="none"/>
        </w:rPr>
      </w:pPr>
    </w:p>
    <w:p w14:paraId="27FBA795">
      <w:pPr>
        <w:pStyle w:val="2"/>
        <w:spacing w:before="50" w:after="50"/>
        <w:ind w:firstLine="1280"/>
        <w:rPr>
          <w:rFonts w:hint="eastAsia" w:ascii="宋体" w:hAnsi="宋体" w:cs="仿宋_GB2312"/>
          <w:bCs/>
          <w:color w:val="000000"/>
          <w:sz w:val="32"/>
          <w:szCs w:val="32"/>
          <w:highlight w:val="none"/>
        </w:rPr>
      </w:pPr>
    </w:p>
    <w:p w14:paraId="5857CB59">
      <w:pPr>
        <w:spacing w:after="50"/>
        <w:jc w:val="center"/>
        <w:rPr>
          <w:rFonts w:hint="eastAsia" w:ascii="宋体" w:hAnsi="宋体" w:cs="仿宋_GB2312"/>
          <w:color w:val="000000"/>
          <w:sz w:val="32"/>
          <w:szCs w:val="32"/>
          <w:highlight w:val="none"/>
        </w:rPr>
      </w:pPr>
      <w:r>
        <w:rPr>
          <w:rFonts w:hint="eastAsia" w:ascii="宋体" w:hAnsi="宋体" w:cs="仿宋_GB2312"/>
          <w:color w:val="000000"/>
          <w:sz w:val="32"/>
          <w:szCs w:val="32"/>
          <w:highlight w:val="none"/>
        </w:rPr>
        <w:t>年    月    日</w:t>
      </w:r>
    </w:p>
    <w:p w14:paraId="42693A5B">
      <w:pPr>
        <w:pStyle w:val="20"/>
        <w:rPr>
          <w:rFonts w:hint="eastAsia" w:ascii="宋体" w:hAnsi="宋体" w:cs="宋体"/>
          <w:highlight w:val="none"/>
        </w:rPr>
      </w:pPr>
    </w:p>
    <w:p w14:paraId="2B1D704E">
      <w:pPr>
        <w:pStyle w:val="20"/>
        <w:rPr>
          <w:rFonts w:hint="eastAsia" w:ascii="宋体" w:hAnsi="宋体" w:cs="宋体"/>
          <w:highlight w:val="none"/>
        </w:rPr>
      </w:pPr>
    </w:p>
    <w:p w14:paraId="1369384A">
      <w:pPr>
        <w:rPr>
          <w:rFonts w:hint="eastAsia"/>
          <w:highlight w:val="none"/>
        </w:rPr>
      </w:pPr>
    </w:p>
    <w:p w14:paraId="5CE8E04A">
      <w:pPr>
        <w:rPr>
          <w:rFonts w:hint="eastAsia"/>
          <w:highlight w:val="none"/>
        </w:rPr>
      </w:pPr>
    </w:p>
    <w:p w14:paraId="6EF052F8">
      <w:pPr>
        <w:rPr>
          <w:rFonts w:hint="eastAsia"/>
          <w:highlight w:val="none"/>
        </w:rPr>
      </w:pPr>
    </w:p>
    <w:p w14:paraId="51FFA77F">
      <w:pPr>
        <w:spacing w:after="50" w:line="360" w:lineRule="auto"/>
        <w:ind w:left="142"/>
        <w:rPr>
          <w:rFonts w:hint="eastAsia" w:ascii="宋体" w:hAnsi="宋体"/>
          <w:b/>
          <w:bCs/>
          <w:sz w:val="32"/>
          <w:szCs w:val="32"/>
          <w:highlight w:val="none"/>
        </w:rPr>
      </w:pPr>
      <w:r>
        <w:rPr>
          <w:rFonts w:hint="eastAsia" w:ascii="宋体" w:hAnsi="宋体"/>
          <w:b/>
          <w:bCs/>
          <w:sz w:val="32"/>
          <w:szCs w:val="32"/>
          <w:highlight w:val="none"/>
        </w:rPr>
        <w:br w:type="page" w:clear="all"/>
      </w:r>
      <w:r>
        <w:rPr>
          <w:rFonts w:hint="eastAsia" w:ascii="宋体" w:hAnsi="宋体"/>
          <w:b/>
          <w:bCs/>
          <w:sz w:val="32"/>
          <w:szCs w:val="32"/>
          <w:highlight w:val="none"/>
        </w:rPr>
        <w:t>1.资格证明文件目录</w:t>
      </w:r>
    </w:p>
    <w:p w14:paraId="06F6B7E7">
      <w:pPr>
        <w:spacing w:after="50" w:line="360" w:lineRule="auto"/>
        <w:ind w:right="376" w:firstLine="645"/>
        <w:rPr>
          <w:rFonts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3753B0E3">
      <w:pPr>
        <w:bidi w:val="0"/>
        <w:jc w:val="center"/>
        <w:rPr>
          <w:rFonts w:ascii="宋体" w:hAnsi="宋体" w:cs="宋体"/>
          <w:sz w:val="32"/>
          <w:szCs w:val="32"/>
          <w:highlight w:val="none"/>
          <w:u w:val="single"/>
        </w:rPr>
      </w:pPr>
      <w:r>
        <w:rPr>
          <w:rFonts w:hint="eastAsia" w:ascii="宋体" w:hAnsi="宋体" w:cs="仿宋_GB2312"/>
          <w:b/>
          <w:color w:val="000000"/>
          <w:sz w:val="30"/>
          <w:szCs w:val="30"/>
          <w:highlight w:val="none"/>
        </w:rPr>
        <w:br w:type="page" w:clear="all"/>
      </w:r>
      <w:r>
        <w:rPr>
          <w:rFonts w:hint="eastAsia" w:ascii="宋体" w:hAnsi="宋体" w:cs="仿宋_GB2312"/>
          <w:b/>
          <w:color w:val="000000"/>
          <w:sz w:val="32"/>
          <w:szCs w:val="32"/>
          <w:highlight w:val="none"/>
        </w:rPr>
        <w:t>2.</w:t>
      </w:r>
      <w:r>
        <w:rPr>
          <w:rFonts w:hint="eastAsia" w:ascii="宋体" w:hAnsi="宋体" w:cs="宋体"/>
          <w:b/>
          <w:sz w:val="32"/>
          <w:szCs w:val="32"/>
          <w:highlight w:val="none"/>
        </w:rPr>
        <w:t>项目经理（注册建造师）简历表</w:t>
      </w:r>
    </w:p>
    <w:p w14:paraId="63A5937A">
      <w:pPr>
        <w:pStyle w:val="457"/>
        <w:rPr>
          <w:rFonts w:ascii="宋体" w:hAnsi="宋体" w:cs="宋体"/>
          <w:highlight w:val="none"/>
          <w:u w:val="single"/>
        </w:rPr>
      </w:pPr>
    </w:p>
    <w:p w14:paraId="2E8B1402">
      <w:pPr>
        <w:pStyle w:val="457"/>
        <w:rPr>
          <w:rFonts w:ascii="宋体" w:hAnsi="宋体" w:cs="宋体"/>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1F204B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2A92316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姓名</w:t>
            </w:r>
          </w:p>
        </w:tc>
        <w:tc>
          <w:tcPr>
            <w:tcW w:w="2340" w:type="dxa"/>
            <w:gridSpan w:val="3"/>
            <w:noWrap w:val="0"/>
            <w:vAlign w:val="center"/>
          </w:tcPr>
          <w:p w14:paraId="35B6F216">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893" w:type="dxa"/>
            <w:gridSpan w:val="2"/>
            <w:noWrap w:val="0"/>
            <w:vAlign w:val="center"/>
          </w:tcPr>
          <w:p w14:paraId="62A14236">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性别</w:t>
            </w:r>
          </w:p>
        </w:tc>
        <w:tc>
          <w:tcPr>
            <w:tcW w:w="1585" w:type="dxa"/>
            <w:gridSpan w:val="2"/>
            <w:noWrap w:val="0"/>
            <w:vAlign w:val="center"/>
          </w:tcPr>
          <w:p w14:paraId="763BA2E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108" w:type="dxa"/>
            <w:gridSpan w:val="2"/>
            <w:noWrap w:val="0"/>
            <w:vAlign w:val="center"/>
          </w:tcPr>
          <w:p w14:paraId="5B4564C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年龄</w:t>
            </w:r>
          </w:p>
        </w:tc>
        <w:tc>
          <w:tcPr>
            <w:tcW w:w="1276" w:type="dxa"/>
            <w:noWrap w:val="0"/>
            <w:vAlign w:val="center"/>
          </w:tcPr>
          <w:p w14:paraId="44DEE7A8">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6C8B030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6A908F2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职务</w:t>
            </w:r>
          </w:p>
        </w:tc>
        <w:tc>
          <w:tcPr>
            <w:tcW w:w="2340" w:type="dxa"/>
            <w:gridSpan w:val="3"/>
            <w:noWrap w:val="0"/>
            <w:vAlign w:val="center"/>
          </w:tcPr>
          <w:p w14:paraId="7847E2C8">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893" w:type="dxa"/>
            <w:gridSpan w:val="2"/>
            <w:noWrap w:val="0"/>
            <w:vAlign w:val="center"/>
          </w:tcPr>
          <w:p w14:paraId="265B73BD">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职称</w:t>
            </w:r>
          </w:p>
        </w:tc>
        <w:tc>
          <w:tcPr>
            <w:tcW w:w="1585" w:type="dxa"/>
            <w:gridSpan w:val="2"/>
            <w:noWrap w:val="0"/>
            <w:vAlign w:val="center"/>
          </w:tcPr>
          <w:p w14:paraId="2E9EFE46">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108" w:type="dxa"/>
            <w:gridSpan w:val="2"/>
            <w:noWrap w:val="0"/>
            <w:vAlign w:val="center"/>
          </w:tcPr>
          <w:p w14:paraId="4F0B8BC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学历</w:t>
            </w:r>
          </w:p>
        </w:tc>
        <w:tc>
          <w:tcPr>
            <w:tcW w:w="1276" w:type="dxa"/>
            <w:noWrap w:val="0"/>
            <w:vAlign w:val="center"/>
          </w:tcPr>
          <w:p w14:paraId="59E513D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331E32F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656E824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参加工作时间</w:t>
            </w:r>
          </w:p>
        </w:tc>
        <w:tc>
          <w:tcPr>
            <w:tcW w:w="1893" w:type="dxa"/>
            <w:gridSpan w:val="2"/>
            <w:noWrap w:val="0"/>
            <w:vAlign w:val="center"/>
          </w:tcPr>
          <w:p w14:paraId="72B20FE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2693" w:type="dxa"/>
            <w:gridSpan w:val="4"/>
            <w:noWrap w:val="0"/>
            <w:vAlign w:val="center"/>
          </w:tcPr>
          <w:p w14:paraId="6823266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担任项目经理年限</w:t>
            </w:r>
          </w:p>
        </w:tc>
        <w:tc>
          <w:tcPr>
            <w:tcW w:w="1276" w:type="dxa"/>
            <w:noWrap w:val="0"/>
            <w:vAlign w:val="center"/>
          </w:tcPr>
          <w:p w14:paraId="68F9B662">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7DA99C2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424F22BE">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建造师注册编号</w:t>
            </w:r>
          </w:p>
        </w:tc>
        <w:tc>
          <w:tcPr>
            <w:tcW w:w="5862" w:type="dxa"/>
            <w:gridSpan w:val="7"/>
            <w:noWrap w:val="0"/>
            <w:vAlign w:val="center"/>
          </w:tcPr>
          <w:p w14:paraId="7B2475C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44BF062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1700655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在建和已完工程项目情况</w:t>
            </w:r>
          </w:p>
        </w:tc>
      </w:tr>
      <w:tr w14:paraId="6A0E45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5061A424">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建设单位</w:t>
            </w:r>
          </w:p>
        </w:tc>
        <w:tc>
          <w:tcPr>
            <w:tcW w:w="1548" w:type="dxa"/>
            <w:noWrap w:val="0"/>
            <w:vAlign w:val="center"/>
          </w:tcPr>
          <w:p w14:paraId="48A15C1E">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项目名称</w:t>
            </w:r>
          </w:p>
        </w:tc>
        <w:tc>
          <w:tcPr>
            <w:tcW w:w="1547" w:type="dxa"/>
            <w:gridSpan w:val="2"/>
            <w:noWrap w:val="0"/>
            <w:vAlign w:val="center"/>
          </w:tcPr>
          <w:p w14:paraId="0BEEFB8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建设规模</w:t>
            </w:r>
          </w:p>
        </w:tc>
        <w:tc>
          <w:tcPr>
            <w:tcW w:w="1548" w:type="dxa"/>
            <w:gridSpan w:val="2"/>
            <w:noWrap w:val="0"/>
            <w:vAlign w:val="center"/>
          </w:tcPr>
          <w:p w14:paraId="2254B215">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开、竣工日期</w:t>
            </w:r>
          </w:p>
        </w:tc>
        <w:tc>
          <w:tcPr>
            <w:tcW w:w="1547" w:type="dxa"/>
            <w:gridSpan w:val="2"/>
            <w:noWrap w:val="0"/>
            <w:vAlign w:val="center"/>
          </w:tcPr>
          <w:p w14:paraId="46342CF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在建或已完</w:t>
            </w:r>
          </w:p>
        </w:tc>
        <w:tc>
          <w:tcPr>
            <w:tcW w:w="1548" w:type="dxa"/>
            <w:gridSpan w:val="2"/>
            <w:noWrap w:val="0"/>
            <w:vAlign w:val="center"/>
          </w:tcPr>
          <w:p w14:paraId="2927DB54">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工程质量</w:t>
            </w:r>
          </w:p>
        </w:tc>
      </w:tr>
      <w:tr w14:paraId="30F9119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0F3F46B5">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2AAE6B1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3175621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5F020AE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7B1F3032">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719D65BE">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777D8BF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159176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5AEDFF4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1F2C2E2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1CB3FDC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27193158">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51539BF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351EA7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0A6F76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0836B144">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2969ADC4">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65567129">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09FECB2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31ECBF0D">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4570052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60D53765">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57271A02">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014E9EE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218612E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31E1796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4C8081B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bl>
    <w:p w14:paraId="675084F8">
      <w:pPr>
        <w:spacing w:line="360" w:lineRule="auto"/>
        <w:rPr>
          <w:szCs w:val="21"/>
          <w:highlight w:val="none"/>
        </w:rPr>
      </w:pPr>
    </w:p>
    <w:p w14:paraId="3C7E48D2">
      <w:pPr>
        <w:spacing w:line="360" w:lineRule="auto"/>
        <w:rPr>
          <w:rFonts w:eastAsia="楷体_GB2312"/>
          <w:highlight w:val="none"/>
        </w:rPr>
      </w:pPr>
      <w:r>
        <w:rPr>
          <w:rFonts w:eastAsia="楷体_GB2312"/>
          <w:highlight w:val="none"/>
        </w:rPr>
        <w:t>备注：</w:t>
      </w:r>
      <w:r>
        <w:rPr>
          <w:rFonts w:hint="eastAsia" w:eastAsia="楷体_GB2312"/>
          <w:highlight w:val="none"/>
        </w:rPr>
        <w:t>附项目经理</w:t>
      </w:r>
      <w:r>
        <w:rPr>
          <w:rFonts w:hint="eastAsia" w:eastAsia="楷体_GB2312"/>
          <w:highlight w:val="none"/>
          <w:lang w:eastAsia="zh-CN"/>
        </w:rPr>
        <w:t>身份证、</w:t>
      </w:r>
      <w:r>
        <w:rPr>
          <w:rFonts w:hint="eastAsia" w:eastAsia="楷体_GB2312"/>
          <w:highlight w:val="none"/>
        </w:rPr>
        <w:t>注册建造师注册证书和安全生产考核合格证书（B类）复印件加盖供应商电子签章；</w:t>
      </w:r>
    </w:p>
    <w:p w14:paraId="15F1DCD0">
      <w:pPr>
        <w:spacing w:line="360" w:lineRule="auto"/>
        <w:ind w:firstLine="525"/>
        <w:rPr>
          <w:highlight w:val="none"/>
        </w:rPr>
      </w:pPr>
    </w:p>
    <w:p w14:paraId="1963A71D">
      <w:pPr>
        <w:spacing w:line="360" w:lineRule="auto"/>
        <w:ind w:firstLine="525"/>
        <w:rPr>
          <w:highlight w:val="none"/>
        </w:rPr>
        <w:sectPr>
          <w:pgSz w:w="11907" w:h="16840"/>
          <w:pgMar w:top="1440" w:right="1440" w:bottom="1440" w:left="1377" w:header="851" w:footer="851" w:gutter="0"/>
          <w:cols w:space="720" w:num="1"/>
        </w:sectPr>
      </w:pPr>
    </w:p>
    <w:p w14:paraId="2F114C5B">
      <w:pPr>
        <w:bidi w:val="0"/>
        <w:jc w:val="center"/>
        <w:rPr>
          <w:b/>
          <w:bCs/>
          <w:sz w:val="32"/>
          <w:szCs w:val="32"/>
          <w:highlight w:val="none"/>
        </w:rPr>
      </w:pPr>
      <w:r>
        <w:rPr>
          <w:rFonts w:hint="eastAsia"/>
          <w:b/>
          <w:bCs/>
          <w:sz w:val="32"/>
          <w:szCs w:val="32"/>
          <w:highlight w:val="none"/>
        </w:rPr>
        <w:t>3.专职安全员简历表</w:t>
      </w:r>
    </w:p>
    <w:p w14:paraId="065042A3">
      <w:pPr>
        <w:pStyle w:val="457"/>
        <w:rPr>
          <w:rFonts w:ascii="宋体" w:hAnsi="宋体" w:cs="宋体"/>
          <w:highlight w:val="none"/>
          <w:u w:val="single"/>
        </w:rPr>
      </w:pPr>
    </w:p>
    <w:p w14:paraId="639D95D3">
      <w:pPr>
        <w:pStyle w:val="457"/>
        <w:rPr>
          <w:rFonts w:ascii="宋体" w:hAnsi="宋体" w:cs="宋体"/>
          <w:highlight w:val="none"/>
        </w:rPr>
      </w:pP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083"/>
        <w:gridCol w:w="464"/>
        <w:gridCol w:w="1548"/>
        <w:gridCol w:w="328"/>
        <w:gridCol w:w="1219"/>
        <w:gridCol w:w="674"/>
        <w:gridCol w:w="874"/>
        <w:gridCol w:w="711"/>
        <w:gridCol w:w="836"/>
        <w:gridCol w:w="272"/>
        <w:gridCol w:w="1276"/>
      </w:tblGrid>
      <w:tr w14:paraId="7A7F174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083" w:type="dxa"/>
            <w:noWrap w:val="0"/>
            <w:vAlign w:val="center"/>
          </w:tcPr>
          <w:p w14:paraId="39B6DECE">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姓名</w:t>
            </w:r>
          </w:p>
        </w:tc>
        <w:tc>
          <w:tcPr>
            <w:tcW w:w="2340" w:type="dxa"/>
            <w:gridSpan w:val="3"/>
            <w:noWrap w:val="0"/>
            <w:vAlign w:val="center"/>
          </w:tcPr>
          <w:p w14:paraId="1AE88595">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893" w:type="dxa"/>
            <w:gridSpan w:val="2"/>
            <w:noWrap w:val="0"/>
            <w:vAlign w:val="center"/>
          </w:tcPr>
          <w:p w14:paraId="3E0CD14E">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性别</w:t>
            </w:r>
          </w:p>
        </w:tc>
        <w:tc>
          <w:tcPr>
            <w:tcW w:w="1585" w:type="dxa"/>
            <w:gridSpan w:val="2"/>
            <w:noWrap w:val="0"/>
            <w:vAlign w:val="center"/>
          </w:tcPr>
          <w:p w14:paraId="16AF6D1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108" w:type="dxa"/>
            <w:gridSpan w:val="2"/>
            <w:noWrap w:val="0"/>
            <w:vAlign w:val="center"/>
          </w:tcPr>
          <w:p w14:paraId="143732C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年龄</w:t>
            </w:r>
          </w:p>
        </w:tc>
        <w:tc>
          <w:tcPr>
            <w:tcW w:w="1276" w:type="dxa"/>
            <w:noWrap w:val="0"/>
            <w:vAlign w:val="center"/>
          </w:tcPr>
          <w:p w14:paraId="7B81287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35865C5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3" w:hRule="atLeast"/>
          <w:jc w:val="center"/>
        </w:trPr>
        <w:tc>
          <w:tcPr>
            <w:tcW w:w="1083" w:type="dxa"/>
            <w:noWrap w:val="0"/>
            <w:vAlign w:val="center"/>
          </w:tcPr>
          <w:p w14:paraId="2FBFBCB6">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职务</w:t>
            </w:r>
          </w:p>
        </w:tc>
        <w:tc>
          <w:tcPr>
            <w:tcW w:w="2340" w:type="dxa"/>
            <w:gridSpan w:val="3"/>
            <w:noWrap w:val="0"/>
            <w:vAlign w:val="center"/>
          </w:tcPr>
          <w:p w14:paraId="23D5B8A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893" w:type="dxa"/>
            <w:gridSpan w:val="2"/>
            <w:noWrap w:val="0"/>
            <w:vAlign w:val="center"/>
          </w:tcPr>
          <w:p w14:paraId="223857C8">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职称</w:t>
            </w:r>
          </w:p>
        </w:tc>
        <w:tc>
          <w:tcPr>
            <w:tcW w:w="1585" w:type="dxa"/>
            <w:gridSpan w:val="2"/>
            <w:noWrap w:val="0"/>
            <w:vAlign w:val="center"/>
          </w:tcPr>
          <w:p w14:paraId="0F360A0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108" w:type="dxa"/>
            <w:gridSpan w:val="2"/>
            <w:noWrap w:val="0"/>
            <w:vAlign w:val="center"/>
          </w:tcPr>
          <w:p w14:paraId="65E5535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学历</w:t>
            </w:r>
          </w:p>
        </w:tc>
        <w:tc>
          <w:tcPr>
            <w:tcW w:w="1276" w:type="dxa"/>
            <w:noWrap w:val="0"/>
            <w:vAlign w:val="center"/>
          </w:tcPr>
          <w:p w14:paraId="7C1FCDB8">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24B19C2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3423" w:type="dxa"/>
            <w:gridSpan w:val="4"/>
            <w:noWrap w:val="0"/>
            <w:vAlign w:val="center"/>
          </w:tcPr>
          <w:p w14:paraId="116BFA9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参加工作时间</w:t>
            </w:r>
          </w:p>
        </w:tc>
        <w:tc>
          <w:tcPr>
            <w:tcW w:w="1893" w:type="dxa"/>
            <w:gridSpan w:val="2"/>
            <w:noWrap w:val="0"/>
            <w:vAlign w:val="center"/>
          </w:tcPr>
          <w:p w14:paraId="77D418A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2693" w:type="dxa"/>
            <w:gridSpan w:val="4"/>
            <w:noWrap w:val="0"/>
            <w:vAlign w:val="center"/>
          </w:tcPr>
          <w:p w14:paraId="06FA1AF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担任安全员年限</w:t>
            </w:r>
          </w:p>
        </w:tc>
        <w:tc>
          <w:tcPr>
            <w:tcW w:w="1276" w:type="dxa"/>
            <w:noWrap w:val="0"/>
            <w:vAlign w:val="center"/>
          </w:tcPr>
          <w:p w14:paraId="60BABAE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5F583CF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6FA6DDA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专职安全员岗位证书编号</w:t>
            </w:r>
          </w:p>
        </w:tc>
        <w:tc>
          <w:tcPr>
            <w:tcW w:w="5862" w:type="dxa"/>
            <w:gridSpan w:val="7"/>
            <w:noWrap w:val="0"/>
            <w:vAlign w:val="center"/>
          </w:tcPr>
          <w:p w14:paraId="1679FCF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01DD784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8" w:hRule="atLeast"/>
          <w:jc w:val="center"/>
        </w:trPr>
        <w:tc>
          <w:tcPr>
            <w:tcW w:w="3423" w:type="dxa"/>
            <w:gridSpan w:val="4"/>
            <w:noWrap w:val="0"/>
            <w:vAlign w:val="center"/>
          </w:tcPr>
          <w:p w14:paraId="117FF32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安全生产考核合格证书编号</w:t>
            </w:r>
          </w:p>
        </w:tc>
        <w:tc>
          <w:tcPr>
            <w:tcW w:w="5862" w:type="dxa"/>
            <w:gridSpan w:val="7"/>
            <w:noWrap w:val="0"/>
            <w:vAlign w:val="center"/>
          </w:tcPr>
          <w:p w14:paraId="7086FF2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6EAAC81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0" w:hRule="atLeast"/>
          <w:jc w:val="center"/>
        </w:trPr>
        <w:tc>
          <w:tcPr>
            <w:tcW w:w="9285" w:type="dxa"/>
            <w:gridSpan w:val="11"/>
            <w:noWrap w:val="0"/>
            <w:vAlign w:val="center"/>
          </w:tcPr>
          <w:p w14:paraId="0FE477FF">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在建和已完工程项目情况</w:t>
            </w:r>
          </w:p>
        </w:tc>
      </w:tr>
      <w:tr w14:paraId="1A2D9A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00" w:hRule="atLeast"/>
          <w:jc w:val="center"/>
        </w:trPr>
        <w:tc>
          <w:tcPr>
            <w:tcW w:w="1547" w:type="dxa"/>
            <w:gridSpan w:val="2"/>
            <w:noWrap w:val="0"/>
            <w:vAlign w:val="center"/>
          </w:tcPr>
          <w:p w14:paraId="0DEF7EF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建设单位</w:t>
            </w:r>
          </w:p>
        </w:tc>
        <w:tc>
          <w:tcPr>
            <w:tcW w:w="1548" w:type="dxa"/>
            <w:noWrap w:val="0"/>
            <w:vAlign w:val="center"/>
          </w:tcPr>
          <w:p w14:paraId="0B9C2D7F">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项目名称</w:t>
            </w:r>
          </w:p>
        </w:tc>
        <w:tc>
          <w:tcPr>
            <w:tcW w:w="1547" w:type="dxa"/>
            <w:gridSpan w:val="2"/>
            <w:noWrap w:val="0"/>
            <w:vAlign w:val="center"/>
          </w:tcPr>
          <w:p w14:paraId="21F23E5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建设规模</w:t>
            </w:r>
          </w:p>
        </w:tc>
        <w:tc>
          <w:tcPr>
            <w:tcW w:w="1548" w:type="dxa"/>
            <w:gridSpan w:val="2"/>
            <w:noWrap w:val="0"/>
            <w:vAlign w:val="center"/>
          </w:tcPr>
          <w:p w14:paraId="371655D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开、竣工日期</w:t>
            </w:r>
          </w:p>
        </w:tc>
        <w:tc>
          <w:tcPr>
            <w:tcW w:w="1547" w:type="dxa"/>
            <w:gridSpan w:val="2"/>
            <w:noWrap w:val="0"/>
            <w:vAlign w:val="center"/>
          </w:tcPr>
          <w:p w14:paraId="365263B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在建或已完</w:t>
            </w:r>
          </w:p>
        </w:tc>
        <w:tc>
          <w:tcPr>
            <w:tcW w:w="1548" w:type="dxa"/>
            <w:gridSpan w:val="2"/>
            <w:noWrap w:val="0"/>
            <w:vAlign w:val="center"/>
          </w:tcPr>
          <w:p w14:paraId="376AF6F8">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r>
              <w:rPr>
                <w:rFonts w:hint="eastAsia" w:ascii="Times New Roman" w:hAnsi="Times New Roman" w:cs="Times New Roman"/>
                <w:highlight w:val="none"/>
              </w:rPr>
              <w:t>工程质量</w:t>
            </w:r>
          </w:p>
        </w:tc>
      </w:tr>
      <w:tr w14:paraId="0BC1FD1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6030A1F">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47D1AA0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082225DE">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44AE951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305D4F9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0F08272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0719ED6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109890E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112BA1BA">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1E4DA6C2">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64E39A9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00701FC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1E5A8F2C">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2FF1588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1" w:hRule="atLeast"/>
          <w:jc w:val="center"/>
        </w:trPr>
        <w:tc>
          <w:tcPr>
            <w:tcW w:w="1547" w:type="dxa"/>
            <w:gridSpan w:val="2"/>
            <w:noWrap w:val="0"/>
            <w:vAlign w:val="center"/>
          </w:tcPr>
          <w:p w14:paraId="65FF5644">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1C8DB7A1">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55C1B64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4DE9CC82">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7D8E66A7">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4D834983">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r w14:paraId="25C3A8D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49" w:hRule="atLeast"/>
          <w:jc w:val="center"/>
        </w:trPr>
        <w:tc>
          <w:tcPr>
            <w:tcW w:w="1547" w:type="dxa"/>
            <w:gridSpan w:val="2"/>
            <w:noWrap w:val="0"/>
            <w:vAlign w:val="center"/>
          </w:tcPr>
          <w:p w14:paraId="7B297FE2">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noWrap w:val="0"/>
            <w:vAlign w:val="center"/>
          </w:tcPr>
          <w:p w14:paraId="52FCD02B">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6B6794D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67653F4D">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7" w:type="dxa"/>
            <w:gridSpan w:val="2"/>
            <w:noWrap w:val="0"/>
            <w:vAlign w:val="center"/>
          </w:tcPr>
          <w:p w14:paraId="4564C600">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c>
          <w:tcPr>
            <w:tcW w:w="1548" w:type="dxa"/>
            <w:gridSpan w:val="2"/>
            <w:noWrap w:val="0"/>
            <w:vAlign w:val="center"/>
          </w:tcPr>
          <w:p w14:paraId="24742F64">
            <w:pPr>
              <w:keepNext w:val="0"/>
              <w:keepLines w:val="0"/>
              <w:suppressLineNumbers w:val="0"/>
              <w:spacing w:before="0" w:beforeAutospacing="0" w:after="0" w:afterAutospacing="0"/>
              <w:ind w:left="0" w:right="0"/>
              <w:jc w:val="center"/>
              <w:rPr>
                <w:rFonts w:hint="default" w:ascii="Times New Roman" w:hAnsi="Times New Roman" w:cs="Times New Roman"/>
                <w:highlight w:val="none"/>
              </w:rPr>
            </w:pPr>
          </w:p>
        </w:tc>
      </w:tr>
    </w:tbl>
    <w:p w14:paraId="2A45E68A">
      <w:pPr>
        <w:spacing w:line="360" w:lineRule="auto"/>
        <w:rPr>
          <w:szCs w:val="21"/>
          <w:highlight w:val="none"/>
        </w:rPr>
      </w:pPr>
    </w:p>
    <w:p w14:paraId="5439CAAB">
      <w:pPr>
        <w:ind w:firstLine="420"/>
        <w:rPr>
          <w:rFonts w:eastAsia="楷体_GB2312"/>
          <w:highlight w:val="none"/>
        </w:rPr>
      </w:pPr>
      <w:r>
        <w:rPr>
          <w:rFonts w:hint="eastAsia" w:eastAsia="楷体_GB2312"/>
          <w:highlight w:val="none"/>
        </w:rPr>
        <w:t>备注：附专职安全员</w:t>
      </w:r>
      <w:r>
        <w:rPr>
          <w:rFonts w:hint="eastAsia" w:eastAsia="楷体_GB2312"/>
          <w:highlight w:val="none"/>
          <w:lang w:eastAsia="zh-CN"/>
        </w:rPr>
        <w:t>身份证、</w:t>
      </w:r>
      <w:r>
        <w:rPr>
          <w:rFonts w:hint="eastAsia" w:eastAsia="楷体_GB2312"/>
          <w:highlight w:val="none"/>
        </w:rPr>
        <w:t>安全生产考核合格证书（C类）复印件加盖供应商电子签章</w:t>
      </w:r>
      <w:r>
        <w:rPr>
          <w:rFonts w:hint="eastAsia" w:eastAsia="楷体_GB2312"/>
          <w:highlight w:val="none"/>
          <w:lang w:eastAsia="zh-CN"/>
        </w:rPr>
        <w:t>。</w:t>
      </w:r>
    </w:p>
    <w:p w14:paraId="4E485276">
      <w:pPr>
        <w:bidi w:val="0"/>
        <w:jc w:val="center"/>
        <w:rPr>
          <w:rFonts w:hint="eastAsia" w:ascii="宋体" w:hAnsi="宋体" w:eastAsia="宋体" w:cs="宋体"/>
          <w:b/>
          <w:sz w:val="32"/>
          <w:szCs w:val="32"/>
          <w:highlight w:val="none"/>
        </w:rPr>
      </w:pPr>
      <w:r>
        <w:rPr>
          <w:rFonts w:hint="eastAsia" w:ascii="宋体" w:hAnsi="宋体" w:cs="仿宋_GB2312"/>
          <w:b/>
          <w:color w:val="000000"/>
          <w:sz w:val="30"/>
          <w:szCs w:val="30"/>
          <w:highlight w:val="none"/>
        </w:rPr>
        <w:br w:type="page" w:clear="all"/>
      </w:r>
      <w:r>
        <w:rPr>
          <w:rFonts w:hint="eastAsia" w:ascii="宋体" w:hAnsi="宋体" w:eastAsia="宋体" w:cs="宋体"/>
          <w:b/>
          <w:sz w:val="32"/>
          <w:szCs w:val="32"/>
          <w:highlight w:val="none"/>
        </w:rPr>
        <w:t>项目管理机构配备情况表</w:t>
      </w:r>
    </w:p>
    <w:p w14:paraId="5E1704E8">
      <w:pPr>
        <w:pStyle w:val="546"/>
        <w:rPr>
          <w:rFonts w:ascii="宋体" w:hAnsi="宋体" w:cs="宋体"/>
          <w:highlight w:val="none"/>
          <w:u w:val="single"/>
        </w:rPr>
      </w:pPr>
    </w:p>
    <w:p w14:paraId="59148CD4">
      <w:pPr>
        <w:pStyle w:val="546"/>
        <w:rPr>
          <w:rFonts w:ascii="宋体" w:hAnsi="宋体" w:cs="宋体"/>
          <w:highlight w:val="none"/>
        </w:rPr>
      </w:pPr>
      <w:bookmarkStart w:id="166" w:name="_Toc251052185"/>
      <w:r>
        <w:rPr>
          <w:rFonts w:hint="eastAsia" w:ascii="宋体" w:hAnsi="宋体" w:cs="宋体"/>
          <w:highlight w:val="none"/>
        </w:rPr>
        <w:t xml:space="preserve"> </w:t>
      </w:r>
      <w:bookmarkEnd w:id="166"/>
    </w:p>
    <w:tbl>
      <w:tblPr>
        <w:tblStyle w:val="56"/>
        <w:tblW w:w="9356"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93"/>
        <w:gridCol w:w="829"/>
        <w:gridCol w:w="816"/>
        <w:gridCol w:w="1148"/>
        <w:gridCol w:w="1148"/>
        <w:gridCol w:w="1148"/>
        <w:gridCol w:w="1148"/>
        <w:gridCol w:w="850"/>
        <w:gridCol w:w="1276"/>
      </w:tblGrid>
      <w:tr w14:paraId="2D28D4C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67" w:hRule="atLeast"/>
          <w:jc w:val="center"/>
        </w:trPr>
        <w:tc>
          <w:tcPr>
            <w:tcW w:w="993" w:type="dxa"/>
            <w:vMerge w:val="restart"/>
            <w:noWrap w:val="0"/>
            <w:vAlign w:val="center"/>
          </w:tcPr>
          <w:p w14:paraId="769A4A59">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r>
              <w:rPr>
                <w:rFonts w:hint="eastAsia" w:ascii="Times New Roman" w:hAnsi="Times New Roman" w:cs="Times New Roman"/>
                <w:highlight w:val="none"/>
              </w:rPr>
              <w:t>岗位</w:t>
            </w:r>
          </w:p>
        </w:tc>
        <w:tc>
          <w:tcPr>
            <w:tcW w:w="829" w:type="dxa"/>
            <w:vMerge w:val="restart"/>
            <w:noWrap w:val="0"/>
            <w:vAlign w:val="center"/>
          </w:tcPr>
          <w:p w14:paraId="27F8445A">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67" w:name="_Toc251052187"/>
            <w:r>
              <w:rPr>
                <w:rFonts w:hint="eastAsia" w:ascii="Times New Roman" w:hAnsi="Times New Roman" w:cs="Times New Roman"/>
                <w:highlight w:val="none"/>
              </w:rPr>
              <w:t>姓名</w:t>
            </w:r>
            <w:bookmarkEnd w:id="167"/>
          </w:p>
        </w:tc>
        <w:tc>
          <w:tcPr>
            <w:tcW w:w="816" w:type="dxa"/>
            <w:vMerge w:val="restart"/>
            <w:noWrap w:val="0"/>
            <w:vAlign w:val="center"/>
          </w:tcPr>
          <w:p w14:paraId="252DD4C9">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68" w:name="_Toc251052188"/>
            <w:r>
              <w:rPr>
                <w:rFonts w:hint="eastAsia" w:ascii="Times New Roman" w:hAnsi="Times New Roman" w:cs="Times New Roman"/>
                <w:highlight w:val="none"/>
              </w:rPr>
              <w:t>职称</w:t>
            </w:r>
            <w:bookmarkEnd w:id="168"/>
          </w:p>
        </w:tc>
        <w:tc>
          <w:tcPr>
            <w:tcW w:w="4592" w:type="dxa"/>
            <w:gridSpan w:val="4"/>
            <w:noWrap w:val="0"/>
            <w:vAlign w:val="center"/>
          </w:tcPr>
          <w:p w14:paraId="4670971A">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69" w:name="_Toc251052189"/>
            <w:r>
              <w:rPr>
                <w:rFonts w:hint="eastAsia" w:ascii="Times New Roman" w:hAnsi="Times New Roman" w:cs="Times New Roman"/>
                <w:highlight w:val="none"/>
              </w:rPr>
              <w:t>执业或职业资格证明</w:t>
            </w:r>
            <w:bookmarkEnd w:id="169"/>
          </w:p>
        </w:tc>
        <w:tc>
          <w:tcPr>
            <w:tcW w:w="2126" w:type="dxa"/>
            <w:gridSpan w:val="2"/>
            <w:noWrap w:val="0"/>
            <w:vAlign w:val="center"/>
          </w:tcPr>
          <w:p w14:paraId="20D70F24">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0" w:name="_Toc251052190"/>
            <w:r>
              <w:rPr>
                <w:rFonts w:hint="eastAsia" w:ascii="Times New Roman" w:hAnsi="Times New Roman" w:cs="Times New Roman"/>
                <w:highlight w:val="none"/>
              </w:rPr>
              <w:t>承担完工</w:t>
            </w:r>
            <w:bookmarkEnd w:id="170"/>
            <w:bookmarkStart w:id="171" w:name="_Toc251052191"/>
            <w:r>
              <w:rPr>
                <w:rFonts w:hint="eastAsia" w:ascii="Times New Roman" w:hAnsi="Times New Roman" w:cs="Times New Roman"/>
                <w:highlight w:val="none"/>
              </w:rPr>
              <w:t>工程情况</w:t>
            </w:r>
            <w:bookmarkEnd w:id="171"/>
          </w:p>
        </w:tc>
      </w:tr>
      <w:tr w14:paraId="483E891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444" w:hRule="atLeast"/>
          <w:jc w:val="center"/>
        </w:trPr>
        <w:tc>
          <w:tcPr>
            <w:tcW w:w="993" w:type="dxa"/>
            <w:vMerge w:val="continue"/>
            <w:noWrap w:val="0"/>
            <w:vAlign w:val="center"/>
          </w:tcPr>
          <w:p w14:paraId="6FD8BE82">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29" w:type="dxa"/>
            <w:vMerge w:val="continue"/>
            <w:noWrap w:val="0"/>
            <w:vAlign w:val="center"/>
          </w:tcPr>
          <w:p w14:paraId="6461358B">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16" w:type="dxa"/>
            <w:vMerge w:val="continue"/>
            <w:noWrap w:val="0"/>
            <w:vAlign w:val="center"/>
          </w:tcPr>
          <w:p w14:paraId="3CEFD5F9">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4EB5EC9B">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2" w:name="_Toc251052192"/>
            <w:r>
              <w:rPr>
                <w:rFonts w:hint="eastAsia" w:ascii="Times New Roman" w:hAnsi="Times New Roman" w:cs="Times New Roman"/>
                <w:highlight w:val="none"/>
              </w:rPr>
              <w:t>证书名称</w:t>
            </w:r>
            <w:bookmarkEnd w:id="172"/>
          </w:p>
        </w:tc>
        <w:tc>
          <w:tcPr>
            <w:tcW w:w="1148" w:type="dxa"/>
            <w:noWrap w:val="0"/>
            <w:vAlign w:val="center"/>
          </w:tcPr>
          <w:p w14:paraId="66442154">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3" w:name="_Toc251052193"/>
            <w:r>
              <w:rPr>
                <w:rFonts w:hint="eastAsia" w:ascii="Times New Roman" w:hAnsi="Times New Roman" w:cs="Times New Roman"/>
                <w:highlight w:val="none"/>
              </w:rPr>
              <w:t>级别</w:t>
            </w:r>
            <w:bookmarkEnd w:id="173"/>
          </w:p>
        </w:tc>
        <w:tc>
          <w:tcPr>
            <w:tcW w:w="1148" w:type="dxa"/>
            <w:noWrap w:val="0"/>
            <w:vAlign w:val="center"/>
          </w:tcPr>
          <w:p w14:paraId="78579E70">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4" w:name="_Toc251052194"/>
            <w:r>
              <w:rPr>
                <w:rFonts w:hint="eastAsia" w:ascii="Times New Roman" w:hAnsi="Times New Roman" w:cs="Times New Roman"/>
                <w:highlight w:val="none"/>
              </w:rPr>
              <w:t>证号</w:t>
            </w:r>
            <w:bookmarkEnd w:id="174"/>
          </w:p>
        </w:tc>
        <w:tc>
          <w:tcPr>
            <w:tcW w:w="1148" w:type="dxa"/>
            <w:noWrap w:val="0"/>
            <w:vAlign w:val="center"/>
          </w:tcPr>
          <w:p w14:paraId="70CC1B14">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5" w:name="_Toc251052195"/>
            <w:r>
              <w:rPr>
                <w:rFonts w:hint="eastAsia" w:ascii="Times New Roman" w:hAnsi="Times New Roman" w:cs="Times New Roman"/>
                <w:highlight w:val="none"/>
              </w:rPr>
              <w:t>专业</w:t>
            </w:r>
            <w:bookmarkEnd w:id="175"/>
          </w:p>
        </w:tc>
        <w:tc>
          <w:tcPr>
            <w:tcW w:w="850" w:type="dxa"/>
            <w:noWrap w:val="0"/>
            <w:vAlign w:val="center"/>
          </w:tcPr>
          <w:p w14:paraId="729AB2F7">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6" w:name="_Toc251052197"/>
            <w:r>
              <w:rPr>
                <w:rFonts w:hint="eastAsia" w:ascii="Times New Roman" w:hAnsi="Times New Roman" w:cs="Times New Roman"/>
                <w:highlight w:val="none"/>
              </w:rPr>
              <w:t>项目数</w:t>
            </w:r>
            <w:bookmarkEnd w:id="176"/>
          </w:p>
        </w:tc>
        <w:tc>
          <w:tcPr>
            <w:tcW w:w="1276" w:type="dxa"/>
            <w:noWrap w:val="0"/>
            <w:vAlign w:val="center"/>
          </w:tcPr>
          <w:p w14:paraId="46F6096F">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bookmarkStart w:id="177" w:name="_Toc251052198"/>
            <w:r>
              <w:rPr>
                <w:rFonts w:hint="eastAsia" w:ascii="Times New Roman" w:hAnsi="Times New Roman" w:cs="Times New Roman"/>
                <w:highlight w:val="none"/>
              </w:rPr>
              <w:t>主要项目</w:t>
            </w:r>
          </w:p>
          <w:p w14:paraId="74C449B8">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r>
              <w:rPr>
                <w:rFonts w:hint="eastAsia" w:ascii="Times New Roman" w:hAnsi="Times New Roman" w:cs="Times New Roman"/>
                <w:highlight w:val="none"/>
              </w:rPr>
              <w:t>名称</w:t>
            </w:r>
            <w:bookmarkEnd w:id="177"/>
          </w:p>
        </w:tc>
      </w:tr>
      <w:tr w14:paraId="4FF1BD5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416E475D">
            <w:pPr>
              <w:keepNext w:val="0"/>
              <w:keepLines w:val="0"/>
              <w:suppressLineNumbers w:val="0"/>
              <w:spacing w:before="0" w:beforeAutospacing="0" w:after="0" w:afterAutospacing="0"/>
              <w:ind w:left="233" w:right="0" w:hanging="222"/>
              <w:jc w:val="center"/>
              <w:rPr>
                <w:rFonts w:hint="default" w:ascii="Times New Roman" w:hAnsi="Times New Roman" w:cs="Times New Roman"/>
                <w:szCs w:val="21"/>
                <w:highlight w:val="none"/>
              </w:rPr>
            </w:pPr>
            <w:r>
              <w:rPr>
                <w:rFonts w:hint="eastAsia" w:ascii="Times New Roman" w:hAnsi="Times New Roman" w:cs="Times New Roman"/>
                <w:szCs w:val="21"/>
                <w:highlight w:val="none"/>
              </w:rPr>
              <w:t>施工员</w:t>
            </w:r>
          </w:p>
        </w:tc>
        <w:tc>
          <w:tcPr>
            <w:tcW w:w="829" w:type="dxa"/>
            <w:noWrap w:val="0"/>
            <w:vAlign w:val="center"/>
          </w:tcPr>
          <w:p w14:paraId="59CFBAE8">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16" w:type="dxa"/>
            <w:noWrap w:val="0"/>
            <w:vAlign w:val="center"/>
          </w:tcPr>
          <w:p w14:paraId="63F6CB55">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366C492D">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4053DAF4">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23A2AAC3">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357CFFFF">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50" w:type="dxa"/>
            <w:noWrap w:val="0"/>
            <w:vAlign w:val="center"/>
          </w:tcPr>
          <w:p w14:paraId="3471157F">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276" w:type="dxa"/>
            <w:noWrap w:val="0"/>
            <w:vAlign w:val="center"/>
          </w:tcPr>
          <w:p w14:paraId="674B575D">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r>
      <w:tr w14:paraId="05E0D26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6D07D19">
            <w:pPr>
              <w:keepNext w:val="0"/>
              <w:keepLines w:val="0"/>
              <w:suppressLineNumbers w:val="0"/>
              <w:spacing w:before="0" w:beforeAutospacing="0" w:after="0" w:afterAutospacing="0"/>
              <w:ind w:left="222" w:right="0" w:hanging="222"/>
              <w:jc w:val="center"/>
              <w:rPr>
                <w:rFonts w:hint="default" w:ascii="Times New Roman" w:hAnsi="Times New Roman" w:cs="Times New Roman"/>
                <w:sz w:val="21"/>
                <w:szCs w:val="21"/>
                <w:highlight w:val="none"/>
                <w:lang w:val="en-US" w:eastAsia="zh-CN" w:bidi="ar-SA"/>
              </w:rPr>
            </w:pPr>
            <w:r>
              <w:rPr>
                <w:rFonts w:hint="eastAsia" w:ascii="Times New Roman" w:hAnsi="Times New Roman" w:cs="Times New Roman"/>
                <w:szCs w:val="21"/>
                <w:highlight w:val="none"/>
              </w:rPr>
              <w:t>质量员</w:t>
            </w:r>
          </w:p>
        </w:tc>
        <w:tc>
          <w:tcPr>
            <w:tcW w:w="829" w:type="dxa"/>
            <w:noWrap w:val="0"/>
            <w:vAlign w:val="center"/>
          </w:tcPr>
          <w:p w14:paraId="4063E345">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16" w:type="dxa"/>
            <w:noWrap w:val="0"/>
            <w:vAlign w:val="center"/>
          </w:tcPr>
          <w:p w14:paraId="164D7BD1">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32399EAA">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60CEF9E0">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2A0C1217">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08A3ABBC">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50" w:type="dxa"/>
            <w:noWrap w:val="0"/>
            <w:vAlign w:val="center"/>
          </w:tcPr>
          <w:p w14:paraId="78754A2B">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276" w:type="dxa"/>
            <w:noWrap w:val="0"/>
            <w:vAlign w:val="center"/>
          </w:tcPr>
          <w:p w14:paraId="2676138D">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r>
      <w:tr w14:paraId="1A5838D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1E97F30A">
            <w:pPr>
              <w:keepNext w:val="0"/>
              <w:keepLines w:val="0"/>
              <w:suppressLineNumbers w:val="0"/>
              <w:spacing w:before="0" w:beforeAutospacing="0" w:after="0" w:afterAutospacing="0"/>
              <w:ind w:left="222" w:right="0" w:hanging="222"/>
              <w:jc w:val="center"/>
              <w:rPr>
                <w:rFonts w:hint="default" w:ascii="Times New Roman" w:hAnsi="Times New Roman" w:cs="Times New Roman"/>
                <w:sz w:val="21"/>
                <w:szCs w:val="21"/>
                <w:highlight w:val="none"/>
                <w:lang w:val="en-US" w:eastAsia="zh-CN" w:bidi="ar-SA"/>
              </w:rPr>
            </w:pPr>
            <w:r>
              <w:rPr>
                <w:rFonts w:hint="eastAsia" w:ascii="Times New Roman" w:hAnsi="Times New Roman" w:cs="Times New Roman"/>
                <w:szCs w:val="21"/>
                <w:highlight w:val="none"/>
              </w:rPr>
              <w:t>材料员</w:t>
            </w:r>
          </w:p>
        </w:tc>
        <w:tc>
          <w:tcPr>
            <w:tcW w:w="829" w:type="dxa"/>
            <w:noWrap w:val="0"/>
            <w:vAlign w:val="center"/>
          </w:tcPr>
          <w:p w14:paraId="424CA740">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16" w:type="dxa"/>
            <w:noWrap w:val="0"/>
            <w:vAlign w:val="center"/>
          </w:tcPr>
          <w:p w14:paraId="105F496A">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6F5F5476">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0223BE52">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1E3CFCD0">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146439B3">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50" w:type="dxa"/>
            <w:noWrap w:val="0"/>
            <w:vAlign w:val="center"/>
          </w:tcPr>
          <w:p w14:paraId="0D6F4E85">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276" w:type="dxa"/>
            <w:noWrap w:val="0"/>
            <w:vAlign w:val="center"/>
          </w:tcPr>
          <w:p w14:paraId="2EEDE2FA">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r>
      <w:tr w14:paraId="7FCE391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993" w:type="dxa"/>
            <w:noWrap w:val="0"/>
            <w:vAlign w:val="center"/>
          </w:tcPr>
          <w:p w14:paraId="5ACB8979">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r>
              <w:rPr>
                <w:rFonts w:hint="eastAsia" w:ascii="Times New Roman" w:hAnsi="Times New Roman" w:cs="Times New Roman"/>
                <w:highlight w:val="none"/>
              </w:rPr>
              <w:t>……</w:t>
            </w:r>
          </w:p>
        </w:tc>
        <w:tc>
          <w:tcPr>
            <w:tcW w:w="829" w:type="dxa"/>
            <w:noWrap w:val="0"/>
            <w:vAlign w:val="center"/>
          </w:tcPr>
          <w:p w14:paraId="09C42DE0">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16" w:type="dxa"/>
            <w:noWrap w:val="0"/>
            <w:vAlign w:val="center"/>
          </w:tcPr>
          <w:p w14:paraId="11071A27">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1B63D1AC">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573C8C74">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4F3B367B">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148" w:type="dxa"/>
            <w:noWrap w:val="0"/>
            <w:vAlign w:val="center"/>
          </w:tcPr>
          <w:p w14:paraId="0ABFA786">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850" w:type="dxa"/>
            <w:noWrap w:val="0"/>
            <w:vAlign w:val="center"/>
          </w:tcPr>
          <w:p w14:paraId="141606F8">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c>
          <w:tcPr>
            <w:tcW w:w="1276" w:type="dxa"/>
            <w:noWrap w:val="0"/>
            <w:vAlign w:val="center"/>
          </w:tcPr>
          <w:p w14:paraId="76C610A4">
            <w:pPr>
              <w:keepNext w:val="0"/>
              <w:keepLines w:val="0"/>
              <w:suppressLineNumbers w:val="0"/>
              <w:spacing w:before="0" w:beforeAutospacing="0" w:after="0" w:afterAutospacing="0"/>
              <w:ind w:left="233" w:right="0" w:hanging="222"/>
              <w:jc w:val="center"/>
              <w:rPr>
                <w:rFonts w:hint="default" w:ascii="Times New Roman" w:hAnsi="Times New Roman" w:cs="Times New Roman"/>
                <w:highlight w:val="none"/>
              </w:rPr>
            </w:pPr>
          </w:p>
        </w:tc>
      </w:tr>
      <w:tr w14:paraId="5F3B0C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979" w:hRule="atLeast"/>
          <w:jc w:val="center"/>
        </w:trPr>
        <w:tc>
          <w:tcPr>
            <w:tcW w:w="9356" w:type="dxa"/>
            <w:gridSpan w:val="9"/>
            <w:noWrap w:val="0"/>
            <w:vAlign w:val="center"/>
          </w:tcPr>
          <w:p w14:paraId="51D4ACE8">
            <w:pPr>
              <w:keepNext w:val="0"/>
              <w:keepLines w:val="0"/>
              <w:suppressLineNumbers w:val="0"/>
              <w:spacing w:before="0" w:beforeAutospacing="0" w:after="0" w:afterAutospacing="0" w:line="360" w:lineRule="auto"/>
              <w:ind w:left="0" w:right="0"/>
              <w:rPr>
                <w:rFonts w:hint="default" w:ascii="Times New Roman" w:hAnsi="Times New Roman" w:cs="Times New Roman"/>
                <w:szCs w:val="21"/>
                <w:highlight w:val="none"/>
              </w:rPr>
            </w:pPr>
            <w:bookmarkStart w:id="178" w:name="_Toc251052199"/>
            <w:r>
              <w:rPr>
                <w:rFonts w:hint="eastAsia" w:ascii="Times New Roman" w:hAnsi="Times New Roman" w:cs="Times New Roman"/>
                <w:szCs w:val="21"/>
                <w:highlight w:val="none"/>
              </w:rPr>
              <w:t>一旦</w:t>
            </w:r>
            <w:bookmarkStart w:id="179" w:name="REVIEW_BM_1204"/>
            <w:r>
              <w:rPr>
                <w:rFonts w:hint="eastAsia" w:ascii="Times New Roman" w:hAnsi="Times New Roman" w:cs="Times New Roman"/>
                <w:szCs w:val="21"/>
                <w:highlight w:val="none"/>
              </w:rPr>
              <w:t>我单位</w:t>
            </w:r>
            <w:bookmarkEnd w:id="179"/>
            <w:r>
              <w:rPr>
                <w:rFonts w:hint="eastAsia" w:ascii="Times New Roman" w:hAnsi="Times New Roman" w:cs="Times New Roman"/>
                <w:szCs w:val="21"/>
                <w:highlight w:val="none"/>
              </w:rPr>
              <w:t>中标，将实行项目经理负责制，</w:t>
            </w:r>
            <w:bookmarkStart w:id="180" w:name="REVIEW_BM_1205"/>
            <w:r>
              <w:rPr>
                <w:rFonts w:hint="eastAsia" w:ascii="Times New Roman" w:hAnsi="Times New Roman" w:cs="Times New Roman"/>
                <w:szCs w:val="21"/>
                <w:highlight w:val="none"/>
              </w:rPr>
              <w:t>我方</w:t>
            </w:r>
            <w:bookmarkEnd w:id="180"/>
            <w:r>
              <w:rPr>
                <w:rFonts w:hint="eastAsia" w:ascii="Times New Roman" w:hAnsi="Times New Roman" w:cs="Times New Roman"/>
                <w:szCs w:val="21"/>
                <w:highlight w:val="none"/>
              </w:rPr>
              <w:t>保证并配备上述项目管理机构。上述填报内容真实，若不真实，愿按有关规定接受处理。项目管理班子机构设置、职责分工等情况另附资料说明。</w:t>
            </w:r>
            <w:bookmarkEnd w:id="178"/>
          </w:p>
        </w:tc>
      </w:tr>
    </w:tbl>
    <w:p w14:paraId="549E2D63">
      <w:pPr>
        <w:tabs>
          <w:tab w:val="left" w:pos="0"/>
        </w:tabs>
        <w:spacing w:line="360" w:lineRule="auto"/>
        <w:ind w:right="-210"/>
        <w:rPr>
          <w:highlight w:val="none"/>
        </w:rPr>
      </w:pPr>
    </w:p>
    <w:p w14:paraId="22950BFA">
      <w:pPr>
        <w:spacing w:line="360" w:lineRule="auto"/>
        <w:rPr>
          <w:rFonts w:hint="eastAsia" w:eastAsia="楷体_GB2312"/>
          <w:highlight w:val="none"/>
          <w:lang w:eastAsia="zh-CN"/>
        </w:rPr>
      </w:pPr>
      <w:r>
        <w:rPr>
          <w:rFonts w:hint="eastAsia" w:eastAsia="楷体_GB2312"/>
          <w:highlight w:val="none"/>
        </w:rPr>
        <w:t>备注：附以上各岗位人员身份证、资格证件等相关证明材料复印件加盖供应商电子签章</w:t>
      </w:r>
      <w:r>
        <w:rPr>
          <w:rFonts w:hint="eastAsia" w:eastAsia="楷体_GB2312"/>
          <w:highlight w:val="none"/>
          <w:lang w:eastAsia="zh-CN"/>
        </w:rPr>
        <w:t>。</w:t>
      </w:r>
    </w:p>
    <w:p w14:paraId="3C8A81B6">
      <w:pPr>
        <w:spacing w:line="360" w:lineRule="auto"/>
        <w:contextualSpacing/>
        <w:jc w:val="center"/>
        <w:rPr>
          <w:rFonts w:hint="eastAsia" w:ascii="宋体" w:hAnsi="宋体" w:cs="仿宋_GB2312"/>
          <w:b/>
          <w:color w:val="000000"/>
          <w:sz w:val="30"/>
          <w:szCs w:val="30"/>
          <w:highlight w:val="none"/>
        </w:rPr>
      </w:pPr>
      <w:r>
        <w:rPr>
          <w:rFonts w:hint="eastAsia" w:ascii="宋体" w:hAnsi="宋体" w:cs="仿宋_GB2312"/>
          <w:b/>
          <w:color w:val="000000"/>
          <w:sz w:val="30"/>
          <w:szCs w:val="30"/>
          <w:highlight w:val="none"/>
        </w:rPr>
        <w:br w:type="page" w:clear="all"/>
      </w:r>
      <w:r>
        <w:rPr>
          <w:rFonts w:hint="eastAsia" w:ascii="宋体" w:hAnsi="宋体" w:cs="仿宋_GB2312"/>
          <w:b/>
          <w:color w:val="000000"/>
          <w:sz w:val="30"/>
          <w:szCs w:val="30"/>
          <w:highlight w:val="none"/>
        </w:rPr>
        <w:t>4.供应商直接控股股东信息</w:t>
      </w:r>
    </w:p>
    <w:p w14:paraId="2F9AA1CA">
      <w:pPr>
        <w:spacing w:line="360" w:lineRule="auto"/>
        <w:contextualSpacing/>
        <w:jc w:val="center"/>
        <w:rPr>
          <w:rFonts w:hint="eastAsia" w:ascii="宋体" w:hAnsi="宋体"/>
          <w:b/>
          <w:color w:val="000000"/>
          <w:sz w:val="24"/>
          <w:highlight w:val="none"/>
        </w:rPr>
      </w:pPr>
    </w:p>
    <w:tbl>
      <w:tblPr>
        <w:tblStyle w:val="56"/>
        <w:tblW w:w="0" w:type="auto"/>
        <w:jc w:val="center"/>
        <w:shd w:val="clear" w:color="auto" w:fill="FBFBFB"/>
        <w:tblLayout w:type="fixed"/>
        <w:tblCellMar>
          <w:top w:w="0" w:type="dxa"/>
          <w:left w:w="0" w:type="dxa"/>
          <w:bottom w:w="0" w:type="dxa"/>
          <w:right w:w="0" w:type="dxa"/>
        </w:tblCellMar>
      </w:tblPr>
      <w:tblGrid>
        <w:gridCol w:w="701"/>
        <w:gridCol w:w="2655"/>
        <w:gridCol w:w="1455"/>
        <w:gridCol w:w="3197"/>
        <w:gridCol w:w="1052"/>
      </w:tblGrid>
      <w:tr w14:paraId="07C39FB5">
        <w:tblPrEx>
          <w:tblCellMar>
            <w:top w:w="0" w:type="dxa"/>
            <w:left w:w="0" w:type="dxa"/>
            <w:bottom w:w="0" w:type="dxa"/>
            <w:right w:w="0" w:type="dxa"/>
          </w:tblCellMar>
        </w:tblPrEx>
        <w:trPr>
          <w:tblHeader/>
          <w:jc w:val="center"/>
        </w:trPr>
        <w:tc>
          <w:tcPr>
            <w:tcW w:w="70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9A109C">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000000"/>
                <w:sz w:val="24"/>
                <w:highlight w:val="none"/>
              </w:rPr>
            </w:pPr>
            <w:r>
              <w:rPr>
                <w:rFonts w:hint="eastAsia" w:ascii="宋体" w:hAnsi="宋体" w:cs="宋体"/>
                <w:b/>
                <w:bCs/>
                <w:color w:val="000000"/>
                <w:sz w:val="24"/>
                <w:highlight w:val="none"/>
              </w:rPr>
              <w:t>序号</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B153685">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000000"/>
                <w:sz w:val="24"/>
                <w:highlight w:val="none"/>
              </w:rPr>
            </w:pPr>
            <w:r>
              <w:rPr>
                <w:rFonts w:hint="eastAsia" w:ascii="宋体" w:hAnsi="宋体" w:cs="宋体"/>
                <w:b/>
                <w:bCs/>
                <w:color w:val="000000"/>
                <w:sz w:val="24"/>
                <w:highlight w:val="none"/>
              </w:rPr>
              <w:t>直接控股股东名称</w:t>
            </w: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50CBB83">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000000"/>
                <w:sz w:val="24"/>
                <w:highlight w:val="none"/>
              </w:rPr>
            </w:pPr>
            <w:r>
              <w:rPr>
                <w:rFonts w:hint="eastAsia" w:ascii="宋体" w:hAnsi="宋体" w:cs="宋体"/>
                <w:b/>
                <w:bCs/>
                <w:color w:val="000000"/>
                <w:sz w:val="24"/>
                <w:highlight w:val="none"/>
              </w:rPr>
              <w:t>出资比例</w:t>
            </w:r>
          </w:p>
        </w:tc>
        <w:tc>
          <w:tcPr>
            <w:tcW w:w="319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B0A98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000000"/>
                <w:sz w:val="24"/>
                <w:highlight w:val="none"/>
              </w:rPr>
            </w:pPr>
            <w:r>
              <w:rPr>
                <w:rFonts w:hint="eastAsia" w:ascii="宋体" w:hAnsi="宋体" w:cs="宋体"/>
                <w:b/>
                <w:bCs/>
                <w:color w:val="000000"/>
                <w:sz w:val="24"/>
                <w:highlight w:val="none"/>
              </w:rPr>
              <w:t>身份证号码或者统一社会</w:t>
            </w:r>
          </w:p>
          <w:p w14:paraId="785511F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000000"/>
                <w:sz w:val="24"/>
                <w:highlight w:val="none"/>
              </w:rPr>
            </w:pPr>
            <w:r>
              <w:rPr>
                <w:rFonts w:hint="eastAsia" w:ascii="宋体" w:hAnsi="宋体" w:cs="宋体"/>
                <w:b/>
                <w:bCs/>
                <w:color w:val="000000"/>
                <w:sz w:val="24"/>
                <w:highlight w:val="none"/>
              </w:rPr>
              <w:t>信用代码</w:t>
            </w:r>
          </w:p>
        </w:tc>
        <w:tc>
          <w:tcPr>
            <w:tcW w:w="1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4558D9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b/>
                <w:bCs/>
                <w:color w:val="000000"/>
                <w:sz w:val="24"/>
                <w:highlight w:val="none"/>
              </w:rPr>
            </w:pPr>
            <w:r>
              <w:rPr>
                <w:rFonts w:hint="eastAsia" w:ascii="宋体" w:hAnsi="宋体" w:cs="宋体"/>
                <w:b/>
                <w:bCs/>
                <w:color w:val="000000"/>
                <w:sz w:val="24"/>
                <w:highlight w:val="none"/>
              </w:rPr>
              <w:t>备注</w:t>
            </w:r>
          </w:p>
        </w:tc>
      </w:tr>
      <w:tr w14:paraId="746C328D">
        <w:tblPrEx>
          <w:shd w:val="clear" w:color="auto" w:fill="FBFBFB"/>
          <w:tblCellMar>
            <w:top w:w="0" w:type="dxa"/>
            <w:left w:w="0" w:type="dxa"/>
            <w:bottom w:w="0" w:type="dxa"/>
            <w:right w:w="0" w:type="dxa"/>
          </w:tblCellMar>
        </w:tblPrEx>
        <w:trPr>
          <w:jc w:val="center"/>
        </w:trPr>
        <w:tc>
          <w:tcPr>
            <w:tcW w:w="70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A727DE">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r>
              <w:rPr>
                <w:rFonts w:hint="eastAsia" w:ascii="宋体" w:hAnsi="宋体" w:cs="宋体"/>
                <w:color w:val="000000"/>
                <w:sz w:val="24"/>
                <w:highlight w:val="none"/>
              </w:rPr>
              <w:t>1</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05D4815">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C451A4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319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927E44">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06E93E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r>
      <w:tr w14:paraId="72DADBF5">
        <w:tblPrEx>
          <w:shd w:val="clear" w:color="auto" w:fill="FBFBFB"/>
          <w:tblCellMar>
            <w:top w:w="0" w:type="dxa"/>
            <w:left w:w="0" w:type="dxa"/>
            <w:bottom w:w="0" w:type="dxa"/>
            <w:right w:w="0" w:type="dxa"/>
          </w:tblCellMar>
        </w:tblPrEx>
        <w:trPr>
          <w:jc w:val="center"/>
        </w:trPr>
        <w:tc>
          <w:tcPr>
            <w:tcW w:w="70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FA92ABC">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r>
              <w:rPr>
                <w:rFonts w:hint="eastAsia" w:ascii="宋体" w:hAnsi="宋体" w:cs="宋体"/>
                <w:color w:val="000000"/>
                <w:sz w:val="24"/>
                <w:highlight w:val="none"/>
              </w:rPr>
              <w:t>2</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1536E17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CC0C218">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319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1BCED1B">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D29C71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r>
      <w:tr w14:paraId="16CBC560">
        <w:tblPrEx>
          <w:shd w:val="clear" w:color="auto" w:fill="FBFBFB"/>
          <w:tblCellMar>
            <w:top w:w="0" w:type="dxa"/>
            <w:left w:w="0" w:type="dxa"/>
            <w:bottom w:w="0" w:type="dxa"/>
            <w:right w:w="0" w:type="dxa"/>
          </w:tblCellMar>
        </w:tblPrEx>
        <w:trPr>
          <w:jc w:val="center"/>
        </w:trPr>
        <w:tc>
          <w:tcPr>
            <w:tcW w:w="70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0178FF">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r>
              <w:rPr>
                <w:rFonts w:hint="eastAsia" w:ascii="宋体" w:hAnsi="宋体" w:cs="宋体"/>
                <w:color w:val="000000"/>
                <w:sz w:val="24"/>
                <w:highlight w:val="none"/>
              </w:rPr>
              <w:t>3</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A412F9C">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EFFE88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319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4671CEE">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555030">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r>
      <w:tr w14:paraId="3BFD13E3">
        <w:tblPrEx>
          <w:tblCellMar>
            <w:top w:w="0" w:type="dxa"/>
            <w:left w:w="0" w:type="dxa"/>
            <w:bottom w:w="0" w:type="dxa"/>
            <w:right w:w="0" w:type="dxa"/>
          </w:tblCellMar>
        </w:tblPrEx>
        <w:trPr>
          <w:jc w:val="center"/>
        </w:trPr>
        <w:tc>
          <w:tcPr>
            <w:tcW w:w="70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715D742">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r>
              <w:rPr>
                <w:rFonts w:hint="eastAsia" w:ascii="宋体" w:hAnsi="宋体" w:cs="宋体"/>
                <w:color w:val="000000"/>
                <w:sz w:val="24"/>
                <w:highlight w:val="none"/>
              </w:rPr>
              <w:t>……</w:t>
            </w:r>
          </w:p>
        </w:tc>
        <w:tc>
          <w:tcPr>
            <w:tcW w:w="26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1670FD">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45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B1BBCE7">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3197"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25C8D45">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c>
          <w:tcPr>
            <w:tcW w:w="1052"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F836ADE">
            <w:pPr>
              <w:keepNext w:val="0"/>
              <w:keepLines w:val="0"/>
              <w:widowControl/>
              <w:suppressLineNumbers w:val="0"/>
              <w:spacing w:before="0" w:beforeAutospacing="0" w:after="0" w:afterAutospacing="0" w:line="360" w:lineRule="auto"/>
              <w:ind w:left="0" w:right="0"/>
              <w:contextualSpacing/>
              <w:jc w:val="center"/>
              <w:rPr>
                <w:rFonts w:hint="eastAsia" w:ascii="宋体" w:hAnsi="宋体" w:cs="宋体"/>
                <w:color w:val="000000"/>
                <w:sz w:val="24"/>
                <w:highlight w:val="none"/>
              </w:rPr>
            </w:pPr>
          </w:p>
        </w:tc>
      </w:tr>
    </w:tbl>
    <w:p w14:paraId="1EA9EFA9">
      <w:pPr>
        <w:spacing w:line="360" w:lineRule="auto"/>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注：</w:t>
      </w:r>
    </w:p>
    <w:p w14:paraId="249A3A93">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1.直接控股股东：是指其出资额占有限责任公司资本总额百分之五十以上或者其持有的股份占股份有限公司股份总额百分之五十以上的股东；出资额或者持有股份的比例虽然不足百分之五十，但依其出资额或者持有的股份所享有的表决权已足以对</w:t>
      </w:r>
      <w:bookmarkStart w:id="181" w:name="REVIEW_BM_1206"/>
      <w:r>
        <w:rPr>
          <w:rFonts w:hint="eastAsia" w:ascii="宋体" w:hAnsi="宋体" w:cs="仿宋_GB2312"/>
          <w:color w:val="000000"/>
          <w:sz w:val="24"/>
          <w:highlight w:val="none"/>
        </w:rPr>
        <w:t>股东会、股东大会</w:t>
      </w:r>
      <w:bookmarkEnd w:id="181"/>
      <w:r>
        <w:rPr>
          <w:rFonts w:hint="eastAsia" w:ascii="宋体" w:hAnsi="宋体" w:cs="仿宋_GB2312"/>
          <w:color w:val="000000"/>
          <w:sz w:val="24"/>
          <w:highlight w:val="none"/>
        </w:rPr>
        <w:t>的决议产生重大影响的股东。</w:t>
      </w:r>
    </w:p>
    <w:p w14:paraId="62B96550">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2.本表所指的控股关系仅限于直接控股关系，不包括间接的控股关系。公司实际控制人与公司之间的关系不属于本表所指的直接控股关系。</w:t>
      </w:r>
    </w:p>
    <w:p w14:paraId="6480642B">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3.供应商不存在直接控股股东的，则填“无”。</w:t>
      </w:r>
    </w:p>
    <w:p w14:paraId="07A3E4D2">
      <w:pPr>
        <w:spacing w:line="360" w:lineRule="auto"/>
        <w:jc w:val="left"/>
        <w:rPr>
          <w:rFonts w:hint="eastAsia" w:ascii="宋体" w:hAnsi="宋体" w:cs="宋体"/>
          <w:color w:val="000000"/>
          <w:sz w:val="24"/>
          <w:highlight w:val="none"/>
        </w:rPr>
      </w:pPr>
    </w:p>
    <w:p w14:paraId="184F18B6">
      <w:pPr>
        <w:spacing w:line="360" w:lineRule="auto"/>
        <w:jc w:val="left"/>
        <w:rPr>
          <w:rFonts w:hint="eastAsia" w:ascii="宋体" w:hAnsi="宋体" w:cs="宋体"/>
          <w:color w:val="000000"/>
          <w:sz w:val="24"/>
          <w:highlight w:val="none"/>
        </w:rPr>
      </w:pPr>
    </w:p>
    <w:p w14:paraId="6BBCEAA3">
      <w:pPr>
        <w:spacing w:line="360" w:lineRule="auto"/>
        <w:jc w:val="left"/>
        <w:rPr>
          <w:rFonts w:hint="eastAsia" w:ascii="宋体" w:hAnsi="宋体" w:cs="宋体"/>
          <w:color w:val="000000"/>
          <w:sz w:val="24"/>
          <w:highlight w:val="none"/>
        </w:rPr>
      </w:pPr>
    </w:p>
    <w:p w14:paraId="72F226ED">
      <w:pPr>
        <w:spacing w:line="360" w:lineRule="auto"/>
        <w:ind w:left="4365" w:hanging="480"/>
        <w:rPr>
          <w:rFonts w:ascii="宋体" w:hAnsi="宋体" w:cs="仿宋_GB2312"/>
          <w:color w:val="000000"/>
          <w:sz w:val="24"/>
          <w:highlight w:val="none"/>
        </w:rPr>
      </w:pPr>
      <w:r>
        <w:rPr>
          <w:rFonts w:hint="eastAsia" w:ascii="宋体" w:hAnsi="宋体" w:cs="仿宋_GB2312"/>
          <w:color w:val="000000"/>
          <w:sz w:val="24"/>
          <w:highlight w:val="none"/>
        </w:rPr>
        <w:t>供应商名称（电子签章）：</w:t>
      </w:r>
    </w:p>
    <w:p w14:paraId="7E119B31">
      <w:pPr>
        <w:spacing w:line="360" w:lineRule="auto"/>
        <w:ind w:firstLine="6120"/>
        <w:rPr>
          <w:rFonts w:hint="eastAsia" w:ascii="宋体" w:hAnsi="宋体" w:cs="仿宋_GB2312"/>
          <w:b/>
          <w:bCs/>
          <w:color w:val="000000"/>
          <w:sz w:val="24"/>
          <w:highlight w:val="none"/>
        </w:rPr>
      </w:pPr>
      <w:r>
        <w:rPr>
          <w:rFonts w:hint="eastAsia" w:ascii="宋体" w:hAnsi="宋体" w:cs="仿宋_GB2312"/>
          <w:color w:val="000000"/>
          <w:sz w:val="24"/>
          <w:highlight w:val="none"/>
          <w:lang w:val="zh-CN"/>
        </w:rPr>
        <w:t>日期：  年  月   日</w:t>
      </w:r>
    </w:p>
    <w:p w14:paraId="1829BD88">
      <w:pPr>
        <w:rPr>
          <w:rFonts w:hint="eastAsia" w:ascii="宋体" w:hAnsi="宋体" w:cs="仿宋_GB2312"/>
          <w:b/>
          <w:color w:val="000000"/>
          <w:sz w:val="30"/>
          <w:szCs w:val="30"/>
          <w:highlight w:val="none"/>
        </w:rPr>
      </w:pPr>
    </w:p>
    <w:p w14:paraId="6D0CB9E3">
      <w:pPr>
        <w:pStyle w:val="46"/>
        <w:ind w:left="840" w:hanging="420"/>
        <w:rPr>
          <w:rFonts w:hint="eastAsia" w:ascii="宋体" w:hAnsi="宋体"/>
          <w:color w:val="000000"/>
          <w:highlight w:val="none"/>
        </w:rPr>
      </w:pPr>
    </w:p>
    <w:p w14:paraId="471A6FCA">
      <w:pPr>
        <w:rPr>
          <w:rFonts w:hint="eastAsia" w:ascii="宋体" w:hAnsi="宋体"/>
          <w:color w:val="000000"/>
          <w:highlight w:val="none"/>
        </w:rPr>
      </w:pPr>
    </w:p>
    <w:p w14:paraId="2D1C73C0">
      <w:pPr>
        <w:pStyle w:val="46"/>
        <w:ind w:left="840" w:hanging="420"/>
        <w:rPr>
          <w:rFonts w:hint="eastAsia" w:ascii="宋体" w:hAnsi="宋体"/>
          <w:color w:val="000000"/>
          <w:highlight w:val="none"/>
        </w:rPr>
      </w:pPr>
    </w:p>
    <w:p w14:paraId="56D54C36">
      <w:pPr>
        <w:rPr>
          <w:rFonts w:hint="eastAsia" w:ascii="宋体" w:hAnsi="宋体"/>
          <w:color w:val="000000"/>
          <w:highlight w:val="none"/>
        </w:rPr>
      </w:pPr>
    </w:p>
    <w:p w14:paraId="308ECB30">
      <w:pPr>
        <w:pStyle w:val="46"/>
        <w:ind w:firstLine="0"/>
        <w:rPr>
          <w:rFonts w:hint="eastAsia" w:ascii="宋体" w:hAnsi="宋体"/>
          <w:color w:val="000000"/>
          <w:highlight w:val="none"/>
        </w:rPr>
      </w:pPr>
    </w:p>
    <w:p w14:paraId="6E3AF623">
      <w:pPr>
        <w:rPr>
          <w:rFonts w:hint="eastAsia" w:ascii="宋体" w:hAnsi="宋体"/>
          <w:color w:val="000000"/>
          <w:highlight w:val="none"/>
        </w:rPr>
      </w:pPr>
    </w:p>
    <w:p w14:paraId="212A1335">
      <w:pPr>
        <w:jc w:val="center"/>
        <w:rPr>
          <w:rFonts w:hint="eastAsia" w:ascii="宋体" w:hAnsi="宋体" w:cs="仿宋_GB2312"/>
          <w:b/>
          <w:color w:val="000000"/>
          <w:sz w:val="30"/>
          <w:szCs w:val="30"/>
          <w:highlight w:val="none"/>
        </w:rPr>
      </w:pPr>
      <w:r>
        <w:rPr>
          <w:rFonts w:hint="eastAsia" w:ascii="宋体" w:hAnsi="宋体" w:cs="仿宋_GB2312"/>
          <w:b/>
          <w:color w:val="000000"/>
          <w:sz w:val="30"/>
          <w:szCs w:val="30"/>
          <w:highlight w:val="none"/>
        </w:rPr>
        <w:br w:type="page" w:clear="all"/>
      </w:r>
      <w:r>
        <w:rPr>
          <w:rFonts w:hint="eastAsia" w:ascii="宋体" w:hAnsi="宋体" w:cs="仿宋_GB2312"/>
          <w:b/>
          <w:color w:val="000000"/>
          <w:sz w:val="30"/>
          <w:szCs w:val="30"/>
          <w:highlight w:val="none"/>
        </w:rPr>
        <w:t>5.供应商直接管理关系信息表</w:t>
      </w:r>
    </w:p>
    <w:p w14:paraId="1411B4AA">
      <w:pPr>
        <w:spacing w:line="360" w:lineRule="auto"/>
        <w:jc w:val="center"/>
        <w:rPr>
          <w:rFonts w:hint="eastAsia" w:ascii="宋体" w:hAnsi="宋体"/>
          <w:b/>
          <w:color w:val="000000"/>
          <w:sz w:val="24"/>
          <w:highlight w:val="none"/>
        </w:rPr>
      </w:pPr>
    </w:p>
    <w:tbl>
      <w:tblPr>
        <w:tblStyle w:val="56"/>
        <w:tblW w:w="0" w:type="auto"/>
        <w:jc w:val="center"/>
        <w:shd w:val="clear" w:color="auto" w:fill="FBFBFB"/>
        <w:tblLayout w:type="fixed"/>
        <w:tblCellMar>
          <w:top w:w="0" w:type="dxa"/>
          <w:left w:w="0" w:type="dxa"/>
          <w:bottom w:w="0" w:type="dxa"/>
          <w:right w:w="0" w:type="dxa"/>
        </w:tblCellMar>
      </w:tblPr>
      <w:tblGrid>
        <w:gridCol w:w="808"/>
        <w:gridCol w:w="3600"/>
        <w:gridCol w:w="3111"/>
        <w:gridCol w:w="1545"/>
      </w:tblGrid>
      <w:tr w14:paraId="4D44CB44">
        <w:tblPrEx>
          <w:shd w:val="clear" w:color="auto" w:fill="FBFBFB"/>
          <w:tblCellMar>
            <w:top w:w="0" w:type="dxa"/>
            <w:left w:w="0" w:type="dxa"/>
            <w:bottom w:w="0" w:type="dxa"/>
            <w:right w:w="0" w:type="dxa"/>
          </w:tblCellMar>
        </w:tblPrEx>
        <w:trPr>
          <w:tblHeade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09C1858">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000000"/>
                <w:sz w:val="24"/>
                <w:highlight w:val="none"/>
              </w:rPr>
            </w:pPr>
            <w:r>
              <w:rPr>
                <w:rFonts w:hint="eastAsia" w:ascii="宋体" w:hAnsi="宋体" w:cs="宋体"/>
                <w:b/>
                <w:bCs/>
                <w:color w:val="000000"/>
                <w:sz w:val="24"/>
                <w:highlight w:val="none"/>
              </w:rPr>
              <w:t>序号</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6ACDEC23">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000000"/>
                <w:sz w:val="24"/>
                <w:highlight w:val="none"/>
              </w:rPr>
            </w:pPr>
            <w:r>
              <w:rPr>
                <w:rFonts w:hint="eastAsia" w:ascii="宋体" w:hAnsi="宋体" w:cs="宋体"/>
                <w:b/>
                <w:bCs/>
                <w:color w:val="000000"/>
                <w:sz w:val="24"/>
                <w:highlight w:val="none"/>
              </w:rPr>
              <w:t>直接管理关系单位名称</w:t>
            </w:r>
          </w:p>
        </w:tc>
        <w:tc>
          <w:tcPr>
            <w:tcW w:w="311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2511B6">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000000"/>
                <w:sz w:val="24"/>
                <w:highlight w:val="none"/>
              </w:rPr>
            </w:pPr>
            <w:r>
              <w:rPr>
                <w:rFonts w:hint="eastAsia" w:ascii="宋体" w:hAnsi="宋体" w:cs="宋体"/>
                <w:b/>
                <w:bCs/>
                <w:color w:val="000000"/>
                <w:sz w:val="24"/>
                <w:highlight w:val="none"/>
              </w:rPr>
              <w:t>统一社会信用代码</w:t>
            </w:r>
          </w:p>
        </w:tc>
        <w:tc>
          <w:tcPr>
            <w:tcW w:w="15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50AC5B2">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b/>
                <w:bCs/>
                <w:color w:val="000000"/>
                <w:sz w:val="24"/>
                <w:highlight w:val="none"/>
              </w:rPr>
            </w:pPr>
            <w:r>
              <w:rPr>
                <w:rFonts w:hint="eastAsia" w:ascii="宋体" w:hAnsi="宋体" w:cs="宋体"/>
                <w:b/>
                <w:bCs/>
                <w:color w:val="000000"/>
                <w:sz w:val="24"/>
                <w:highlight w:val="none"/>
              </w:rPr>
              <w:t>备注</w:t>
            </w:r>
          </w:p>
        </w:tc>
      </w:tr>
      <w:tr w14:paraId="66176A65">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DDBAF30">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r>
              <w:rPr>
                <w:rFonts w:hint="eastAsia" w:ascii="宋体" w:hAnsi="宋体" w:cs="宋体"/>
                <w:color w:val="000000"/>
                <w:sz w:val="24"/>
                <w:highlight w:val="none"/>
              </w:rPr>
              <w:t>1</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779B38D">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311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510AE0">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7E3091">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r>
      <w:tr w14:paraId="6E12E973">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4B56AA48">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r>
              <w:rPr>
                <w:rFonts w:hint="eastAsia" w:ascii="宋体" w:hAnsi="宋体" w:cs="宋体"/>
                <w:color w:val="000000"/>
                <w:sz w:val="24"/>
                <w:highlight w:val="none"/>
              </w:rPr>
              <w:t>2</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1CAFE32">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311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613594A">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E7C01D8">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r>
      <w:tr w14:paraId="4AB8C83D">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C2D499">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r>
              <w:rPr>
                <w:rFonts w:hint="eastAsia" w:ascii="宋体" w:hAnsi="宋体" w:cs="宋体"/>
                <w:color w:val="000000"/>
                <w:sz w:val="24"/>
                <w:highlight w:val="none"/>
              </w:rPr>
              <w:t>3</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A43887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311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2D373715">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592CEBF8">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r>
      <w:tr w14:paraId="48B877CC">
        <w:tblPrEx>
          <w:shd w:val="clear" w:color="auto" w:fill="FBFBFB"/>
          <w:tblCellMar>
            <w:top w:w="0" w:type="dxa"/>
            <w:left w:w="0" w:type="dxa"/>
            <w:bottom w:w="0" w:type="dxa"/>
            <w:right w:w="0" w:type="dxa"/>
          </w:tblCellMar>
        </w:tblPrEx>
        <w:trPr>
          <w:jc w:val="center"/>
        </w:trPr>
        <w:tc>
          <w:tcPr>
            <w:tcW w:w="808"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09760B6A">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r>
              <w:rPr>
                <w:rFonts w:hint="eastAsia" w:ascii="宋体" w:hAnsi="宋体" w:cs="宋体"/>
                <w:color w:val="000000"/>
                <w:sz w:val="24"/>
                <w:highlight w:val="none"/>
              </w:rPr>
              <w:t>……</w:t>
            </w:r>
          </w:p>
        </w:tc>
        <w:tc>
          <w:tcPr>
            <w:tcW w:w="3600"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85965FC">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3111"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70064ED3">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c>
          <w:tcPr>
            <w:tcW w:w="1545" w:type="dxa"/>
            <w:tcBorders>
              <w:top w:val="single" w:color="auto" w:sz="4" w:space="0"/>
              <w:left w:val="single" w:color="auto" w:sz="4" w:space="0"/>
              <w:bottom w:val="single" w:color="auto" w:sz="4" w:space="0"/>
              <w:right w:val="single" w:color="auto" w:sz="4" w:space="0"/>
            </w:tcBorders>
            <w:shd w:val="clear" w:color="auto" w:fill="auto"/>
            <w:noWrap w:val="0"/>
            <w:tcMar>
              <w:top w:w="120" w:type="dxa"/>
              <w:left w:w="120" w:type="dxa"/>
              <w:bottom w:w="120" w:type="dxa"/>
              <w:right w:w="120" w:type="dxa"/>
            </w:tcMar>
            <w:vAlign w:val="center"/>
          </w:tcPr>
          <w:p w14:paraId="3EBF06C2">
            <w:pPr>
              <w:keepNext w:val="0"/>
              <w:keepLines w:val="0"/>
              <w:widowControl/>
              <w:suppressLineNumbers w:val="0"/>
              <w:spacing w:before="0" w:beforeAutospacing="0" w:after="0" w:afterAutospacing="0" w:line="360" w:lineRule="auto"/>
              <w:ind w:left="0" w:right="0"/>
              <w:contextualSpacing/>
              <w:jc w:val="center"/>
              <w:rPr>
                <w:rFonts w:hint="default" w:ascii="宋体" w:hAnsi="宋体" w:cs="宋体"/>
                <w:color w:val="000000"/>
                <w:sz w:val="24"/>
                <w:highlight w:val="none"/>
              </w:rPr>
            </w:pPr>
          </w:p>
        </w:tc>
      </w:tr>
    </w:tbl>
    <w:p w14:paraId="133283A5">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注：</w:t>
      </w:r>
    </w:p>
    <w:p w14:paraId="37F378F1">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1.管理关系：是指不具有出资持股关系的其他单位之间存在的管理与被管理关系，如一些上下级关系的事业单位和团体组织。</w:t>
      </w:r>
    </w:p>
    <w:p w14:paraId="782CD881">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2.本表所指的管理关系仅限于直接管理关系，不包括间接的管理关系。</w:t>
      </w:r>
    </w:p>
    <w:p w14:paraId="25224110">
      <w:pPr>
        <w:spacing w:line="360" w:lineRule="auto"/>
        <w:ind w:firstLine="480"/>
        <w:contextualSpacing/>
        <w:jc w:val="left"/>
        <w:rPr>
          <w:rFonts w:hint="eastAsia" w:ascii="宋体" w:hAnsi="宋体" w:cs="仿宋_GB2312"/>
          <w:color w:val="000000"/>
          <w:sz w:val="24"/>
          <w:highlight w:val="none"/>
        </w:rPr>
      </w:pPr>
      <w:r>
        <w:rPr>
          <w:rFonts w:hint="eastAsia" w:ascii="宋体" w:hAnsi="宋体" w:cs="仿宋_GB2312"/>
          <w:color w:val="000000"/>
          <w:sz w:val="24"/>
          <w:highlight w:val="none"/>
        </w:rPr>
        <w:t>3.供应商不存在直接管理关系的，则填“无”。</w:t>
      </w:r>
    </w:p>
    <w:p w14:paraId="067DAB99">
      <w:pPr>
        <w:spacing w:line="360" w:lineRule="auto"/>
        <w:contextualSpacing/>
        <w:jc w:val="left"/>
        <w:rPr>
          <w:rFonts w:hint="eastAsia" w:ascii="宋体" w:hAnsi="宋体"/>
          <w:color w:val="000000"/>
          <w:sz w:val="24"/>
          <w:highlight w:val="none"/>
        </w:rPr>
      </w:pPr>
    </w:p>
    <w:p w14:paraId="022E7406">
      <w:pPr>
        <w:spacing w:line="360" w:lineRule="auto"/>
        <w:ind w:left="4365" w:hanging="480"/>
        <w:rPr>
          <w:rFonts w:ascii="宋体" w:hAnsi="宋体" w:cs="仿宋_GB2312"/>
          <w:color w:val="000000"/>
          <w:sz w:val="24"/>
          <w:highlight w:val="none"/>
        </w:rPr>
      </w:pPr>
      <w:r>
        <w:rPr>
          <w:rFonts w:hint="eastAsia" w:ascii="宋体" w:hAnsi="宋体" w:cs="仿宋_GB2312"/>
          <w:color w:val="000000"/>
          <w:sz w:val="24"/>
          <w:highlight w:val="none"/>
        </w:rPr>
        <w:t>供应商名称（电子签章）：</w:t>
      </w:r>
    </w:p>
    <w:p w14:paraId="75703AF7">
      <w:pPr>
        <w:spacing w:line="360" w:lineRule="auto"/>
        <w:ind w:firstLine="6120"/>
        <w:rPr>
          <w:rFonts w:hint="eastAsia" w:ascii="宋体" w:hAnsi="宋体" w:cs="仿宋_GB2312"/>
          <w:b/>
          <w:bCs/>
          <w:color w:val="000000"/>
          <w:sz w:val="24"/>
          <w:highlight w:val="none"/>
        </w:rPr>
      </w:pPr>
      <w:r>
        <w:rPr>
          <w:rFonts w:hint="eastAsia" w:ascii="宋体" w:hAnsi="宋体" w:cs="仿宋_GB2312"/>
          <w:color w:val="000000"/>
          <w:sz w:val="24"/>
          <w:highlight w:val="none"/>
          <w:lang w:val="zh-CN"/>
        </w:rPr>
        <w:t>日期：  年  月   日</w:t>
      </w:r>
    </w:p>
    <w:p w14:paraId="2773A5E9">
      <w:pPr>
        <w:spacing w:line="360" w:lineRule="auto"/>
        <w:ind w:right="480" w:firstLine="240"/>
        <w:contextualSpacing/>
        <w:jc w:val="center"/>
        <w:rPr>
          <w:rFonts w:ascii="宋体" w:hAnsi="宋体"/>
          <w:color w:val="000000"/>
          <w:sz w:val="28"/>
          <w:szCs w:val="28"/>
          <w:highlight w:val="none"/>
        </w:rPr>
      </w:pPr>
      <w:r>
        <w:rPr>
          <w:rFonts w:hint="eastAsia" w:ascii="宋体" w:hAnsi="宋体"/>
          <w:color w:val="000000"/>
          <w:sz w:val="24"/>
          <w:highlight w:val="none"/>
        </w:rPr>
        <w:t xml:space="preserve">                                  </w:t>
      </w:r>
    </w:p>
    <w:p w14:paraId="734FF276">
      <w:pPr>
        <w:spacing w:line="320" w:lineRule="exact"/>
        <w:jc w:val="center"/>
        <w:rPr>
          <w:rFonts w:hint="eastAsia" w:ascii="宋体" w:hAnsi="宋体"/>
          <w:b/>
          <w:sz w:val="32"/>
          <w:szCs w:val="32"/>
          <w:highlight w:val="none"/>
        </w:rPr>
      </w:pPr>
      <w:r>
        <w:rPr>
          <w:rFonts w:ascii="宋体" w:hAnsi="宋体"/>
          <w:color w:val="000000"/>
          <w:sz w:val="28"/>
          <w:szCs w:val="28"/>
          <w:highlight w:val="none"/>
        </w:rPr>
        <w:br w:type="page" w:clear="all"/>
      </w:r>
      <w:r>
        <w:rPr>
          <w:rFonts w:hint="eastAsia" w:ascii="宋体" w:hAnsi="宋体"/>
          <w:b/>
          <w:bCs/>
          <w:color w:val="000000"/>
          <w:sz w:val="32"/>
          <w:szCs w:val="32"/>
          <w:highlight w:val="none"/>
        </w:rPr>
        <w:t>6.</w:t>
      </w:r>
      <w:r>
        <w:rPr>
          <w:rFonts w:hint="eastAsia" w:ascii="宋体" w:hAnsi="宋体"/>
          <w:b/>
          <w:sz w:val="32"/>
          <w:szCs w:val="32"/>
          <w:highlight w:val="none"/>
        </w:rPr>
        <w:t>竞标声明</w:t>
      </w:r>
    </w:p>
    <w:p w14:paraId="222EDD5E">
      <w:pPr>
        <w:spacing w:line="320" w:lineRule="exact"/>
        <w:jc w:val="center"/>
        <w:rPr>
          <w:rFonts w:hint="eastAsia" w:ascii="宋体" w:hAnsi="宋体"/>
          <w:sz w:val="24"/>
          <w:szCs w:val="20"/>
          <w:highlight w:val="none"/>
        </w:rPr>
      </w:pPr>
    </w:p>
    <w:p w14:paraId="7906E20A">
      <w:pPr>
        <w:widowControl/>
        <w:spacing w:after="50" w:line="360" w:lineRule="auto"/>
        <w:contextualSpacing/>
        <w:rPr>
          <w:rFonts w:hint="eastAsia" w:ascii="宋体" w:hAnsi="宋体" w:cs="宋体"/>
          <w:sz w:val="24"/>
          <w:highlight w:val="none"/>
        </w:rPr>
      </w:pPr>
      <w:r>
        <w:rPr>
          <w:rFonts w:hint="eastAsia" w:ascii="宋体" w:hAnsi="宋体" w:cs="宋体"/>
          <w:sz w:val="24"/>
          <w:highlight w:val="none"/>
        </w:rPr>
        <w:t>致：</w:t>
      </w:r>
      <w:r>
        <w:rPr>
          <w:rFonts w:hint="eastAsia" w:ascii="宋体" w:hAnsi="宋体" w:cs="宋体"/>
          <w:sz w:val="24"/>
          <w:highlight w:val="none"/>
          <w:u w:val="single"/>
        </w:rPr>
        <w:t>（采购代理机构名称）</w:t>
      </w:r>
      <w:r>
        <w:rPr>
          <w:rFonts w:hint="eastAsia" w:ascii="宋体" w:hAnsi="宋体" w:cs="宋体"/>
          <w:sz w:val="24"/>
          <w:highlight w:val="none"/>
        </w:rPr>
        <w:t>：</w:t>
      </w:r>
    </w:p>
    <w:p w14:paraId="1D6A6FD0">
      <w:pPr>
        <w:widowControl/>
        <w:spacing w:after="50" w:line="360" w:lineRule="auto"/>
        <w:ind w:firstLine="480"/>
        <w:contextualSpacing/>
        <w:rPr>
          <w:rFonts w:hint="eastAsia" w:ascii="宋体" w:hAnsi="宋体" w:cs="宋体"/>
          <w:sz w:val="24"/>
          <w:highlight w:val="none"/>
        </w:rPr>
      </w:pPr>
      <w:r>
        <w:rPr>
          <w:rFonts w:hint="eastAsia" w:ascii="宋体" w:hAnsi="宋体" w:cs="宋体"/>
          <w:sz w:val="24"/>
          <w:highlight w:val="none"/>
          <w:u w:val="single"/>
        </w:rPr>
        <w:t>（供应商名称）</w:t>
      </w:r>
      <w:r>
        <w:rPr>
          <w:rFonts w:hint="eastAsia" w:ascii="宋体" w:hAnsi="宋体" w:cs="宋体"/>
          <w:sz w:val="24"/>
          <w:highlight w:val="none"/>
        </w:rPr>
        <w:t>系中华人民共和国合法供应商，经营地址</w:t>
      </w:r>
      <w:r>
        <w:rPr>
          <w:rFonts w:hint="eastAsia" w:ascii="宋体" w:hAnsi="宋体" w:cs="宋体"/>
          <w:sz w:val="24"/>
          <w:highlight w:val="none"/>
          <w:u w:val="single"/>
        </w:rPr>
        <w:t xml:space="preserve">                      </w:t>
      </w:r>
      <w:r>
        <w:rPr>
          <w:rFonts w:hint="eastAsia" w:ascii="宋体" w:hAnsi="宋体" w:cs="宋体"/>
          <w:sz w:val="24"/>
          <w:highlight w:val="none"/>
        </w:rPr>
        <w:t>。</w:t>
      </w:r>
    </w:p>
    <w:p w14:paraId="37307EFE">
      <w:pPr>
        <w:widowControl/>
        <w:spacing w:line="360" w:lineRule="auto"/>
        <w:ind w:firstLine="540"/>
        <w:contextualSpacing/>
        <w:rPr>
          <w:rFonts w:hint="eastAsia" w:ascii="宋体" w:hAnsi="宋体" w:cs="宋体"/>
          <w:sz w:val="24"/>
          <w:highlight w:val="none"/>
        </w:rPr>
      </w:pPr>
      <w:bookmarkStart w:id="182" w:name="REVIEW_BM_1207"/>
      <w:r>
        <w:rPr>
          <w:rFonts w:hint="eastAsia" w:ascii="宋体" w:hAnsi="宋体" w:cs="宋体"/>
          <w:sz w:val="24"/>
          <w:highlight w:val="none"/>
        </w:rPr>
        <w:t>我方</w:t>
      </w:r>
      <w:bookmarkEnd w:id="182"/>
      <w:r>
        <w:rPr>
          <w:rFonts w:hint="eastAsia" w:ascii="宋体" w:hAnsi="宋体" w:cs="宋体"/>
          <w:sz w:val="24"/>
          <w:highlight w:val="none"/>
        </w:rPr>
        <w:t>愿意参加贵方组织的</w:t>
      </w:r>
      <w:r>
        <w:rPr>
          <w:rFonts w:hint="eastAsia" w:ascii="宋体" w:hAnsi="宋体" w:cs="宋体"/>
          <w:sz w:val="24"/>
          <w:highlight w:val="none"/>
          <w:u w:val="single"/>
        </w:rPr>
        <w:t>（项目名称）</w:t>
      </w:r>
      <w:r>
        <w:rPr>
          <w:rFonts w:hint="eastAsia" w:ascii="宋体" w:hAnsi="宋体" w:cs="宋体"/>
          <w:sz w:val="24"/>
          <w:highlight w:val="none"/>
        </w:rPr>
        <w:t>项目的竞标，为便于贵方公正、择优地确定成交供应商及其施工，</w:t>
      </w:r>
      <w:bookmarkStart w:id="183" w:name="REVIEW_BM_1208"/>
      <w:r>
        <w:rPr>
          <w:rFonts w:hint="eastAsia" w:ascii="宋体" w:hAnsi="宋体" w:cs="宋体"/>
          <w:sz w:val="24"/>
          <w:highlight w:val="none"/>
        </w:rPr>
        <w:t>我方</w:t>
      </w:r>
      <w:bookmarkEnd w:id="183"/>
      <w:r>
        <w:rPr>
          <w:rFonts w:hint="eastAsia" w:ascii="宋体" w:hAnsi="宋体" w:cs="宋体"/>
          <w:sz w:val="24"/>
          <w:highlight w:val="none"/>
        </w:rPr>
        <w:t>就本次竞标有关事项郑重声明如下：</w:t>
      </w:r>
    </w:p>
    <w:p w14:paraId="16012193">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1.</w:t>
      </w:r>
      <w:bookmarkStart w:id="184" w:name="REVIEW_BM_1209"/>
      <w:r>
        <w:rPr>
          <w:rFonts w:hint="eastAsia" w:ascii="宋体" w:hAnsi="宋体" w:cs="宋体"/>
          <w:sz w:val="24"/>
          <w:highlight w:val="none"/>
        </w:rPr>
        <w:t>我方</w:t>
      </w:r>
      <w:bookmarkEnd w:id="184"/>
      <w:r>
        <w:rPr>
          <w:rFonts w:hint="eastAsia" w:ascii="宋体" w:hAnsi="宋体" w:cs="宋体"/>
          <w:sz w:val="24"/>
          <w:highlight w:val="none"/>
        </w:rPr>
        <w:t>向贵方提交的所有响应文件、资料都是准确的和真实的。</w:t>
      </w:r>
    </w:p>
    <w:p w14:paraId="0E62A278">
      <w:pPr>
        <w:widowControl/>
        <w:spacing w:line="360" w:lineRule="auto"/>
        <w:ind w:firstLine="540"/>
        <w:contextualSpacing/>
        <w:rPr>
          <w:rFonts w:hint="eastAsia" w:ascii="宋体" w:hAnsi="宋体" w:cs="宋体"/>
          <w:sz w:val="24"/>
          <w:highlight w:val="none"/>
        </w:rPr>
      </w:pPr>
      <w:r>
        <w:rPr>
          <w:rFonts w:hint="eastAsia" w:ascii="宋体" w:hAnsi="宋体" w:cs="宋体"/>
          <w:sz w:val="24"/>
          <w:highlight w:val="none"/>
        </w:rPr>
        <w:t>2.</w:t>
      </w:r>
      <w:bookmarkStart w:id="185" w:name="REVIEW_BM_1210"/>
      <w:r>
        <w:rPr>
          <w:rFonts w:hint="eastAsia" w:ascii="宋体" w:hAnsi="宋体" w:cs="宋体"/>
          <w:sz w:val="24"/>
          <w:highlight w:val="none"/>
        </w:rPr>
        <w:t>我方</w:t>
      </w:r>
      <w:bookmarkEnd w:id="185"/>
      <w:r>
        <w:rPr>
          <w:rFonts w:hint="eastAsia" w:ascii="宋体" w:hAnsi="宋体" w:cs="宋体"/>
          <w:sz w:val="24"/>
          <w:highlight w:val="none"/>
        </w:rPr>
        <w:t>不是采购人的附属机构；不是为本次采购项目提供整体设计、规范编制或者项目管理、施工、检测等施工的供应商；在获知本项目采购信息后，与采购人聘请的为此项目提供咨询施工的公司及其附属机构没有任何联系。</w:t>
      </w:r>
    </w:p>
    <w:p w14:paraId="65FB3D4A">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3.在此，</w:t>
      </w:r>
      <w:bookmarkStart w:id="186" w:name="REVIEW_BM_1211"/>
      <w:r>
        <w:rPr>
          <w:rFonts w:hint="eastAsia" w:ascii="宋体" w:hAnsi="宋体" w:cs="宋体"/>
          <w:sz w:val="24"/>
          <w:highlight w:val="none"/>
        </w:rPr>
        <w:t>我方</w:t>
      </w:r>
      <w:bookmarkEnd w:id="186"/>
      <w:r>
        <w:rPr>
          <w:rFonts w:hint="eastAsia" w:ascii="宋体" w:hAnsi="宋体" w:cs="宋体"/>
          <w:sz w:val="24"/>
          <w:highlight w:val="none"/>
        </w:rPr>
        <w:t>宣布同意如下：</w:t>
      </w:r>
    </w:p>
    <w:p w14:paraId="304EA9CE">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（1）将按磋商文件的约定履行合同责任和义务；</w:t>
      </w:r>
    </w:p>
    <w:p w14:paraId="52622632">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（2）已详细审查全部磋商文件，包括澄清或者更正公告（如有）；</w:t>
      </w:r>
    </w:p>
    <w:p w14:paraId="6EA1AEA6">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（3）同意提供按照贵方可能要求的与磋商有关的一切数据或者资料；</w:t>
      </w:r>
    </w:p>
    <w:p w14:paraId="72C6A3E9">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（4）响应磋商文件规定的竞标有效期。</w:t>
      </w:r>
    </w:p>
    <w:p w14:paraId="11407DBE">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4.我方承诺符合《中华人民共和国政府采购法》第二十二条规定：</w:t>
      </w:r>
    </w:p>
    <w:p w14:paraId="402A2E65">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（1）具有独立承担民事责任的能力；</w:t>
      </w:r>
    </w:p>
    <w:p w14:paraId="58B94CAC">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（2）具有良好的商业信誉和健全的财务会计制度；</w:t>
      </w:r>
    </w:p>
    <w:p w14:paraId="5E9C5041">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（3）具有履行合同所必需的设备和专业技术能力；</w:t>
      </w:r>
    </w:p>
    <w:p w14:paraId="5E14EFE2">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（4）有依法缴纳税收和社会保障资金的良好记录；</w:t>
      </w:r>
    </w:p>
    <w:p w14:paraId="6318F7E1">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（5）参加政府采购活动前三年内，在经营活动中没有重大违法记录；</w:t>
      </w:r>
    </w:p>
    <w:p w14:paraId="05BCF2CD">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（6）法律、行政法规规定的其他条件。</w:t>
      </w:r>
    </w:p>
    <w:p w14:paraId="18883DEF">
      <w:pPr>
        <w:widowControl/>
        <w:spacing w:line="360" w:lineRule="auto"/>
        <w:ind w:firstLine="540"/>
        <w:contextualSpacing/>
        <w:rPr>
          <w:rFonts w:hint="eastAsia" w:ascii="宋体" w:hAnsi="宋体" w:cs="宋体"/>
          <w:sz w:val="24"/>
          <w:highlight w:val="none"/>
        </w:rPr>
      </w:pPr>
      <w:r>
        <w:rPr>
          <w:rFonts w:hint="eastAsia" w:ascii="宋体" w:hAnsi="宋体" w:cs="宋体"/>
          <w:sz w:val="24"/>
          <w:highlight w:val="none"/>
        </w:rPr>
        <w:t>5.</w:t>
      </w:r>
      <w:bookmarkStart w:id="187" w:name="REVIEW_BM_1213"/>
      <w:r>
        <w:rPr>
          <w:rFonts w:hint="eastAsia" w:ascii="宋体" w:hAnsi="宋体" w:cs="宋体"/>
          <w:sz w:val="24"/>
          <w:highlight w:val="none"/>
        </w:rPr>
        <w:t>我方</w:t>
      </w:r>
      <w:bookmarkEnd w:id="187"/>
      <w:r>
        <w:rPr>
          <w:rFonts w:hint="eastAsia" w:ascii="宋体" w:hAnsi="宋体" w:cs="宋体"/>
          <w:sz w:val="24"/>
          <w:highlight w:val="none"/>
        </w:rPr>
        <w:t>在此声明，我方在参加本项目的政府采购活动前三年内，在经营活动中没有重大违法记录（重大违法记录是指供应商因违法经营受到刑事处罚或者责令停产停业、吊销许可证或者执照、较大数额罚款等行政处罚），未被列入失信被执行人、</w:t>
      </w:r>
      <w:bookmarkStart w:id="188" w:name="REVIEW_BM_1212"/>
      <w:r>
        <w:rPr>
          <w:rFonts w:hint="eastAsia" w:ascii="宋体" w:hAnsi="宋体" w:cs="宋体"/>
          <w:sz w:val="24"/>
          <w:highlight w:val="none"/>
        </w:rPr>
        <w:t>重大税收违法案件当事人</w:t>
      </w:r>
      <w:bookmarkEnd w:id="188"/>
      <w:r>
        <w:rPr>
          <w:rFonts w:hint="eastAsia" w:ascii="宋体" w:hAnsi="宋体" w:cs="宋体"/>
          <w:sz w:val="24"/>
          <w:highlight w:val="none"/>
        </w:rPr>
        <w:t>名单、政府采购严重违法失信行为记录名单，完全符合《中华人民共和国政府采购法》第二十二条规定的供应商资格条件，</w:t>
      </w:r>
      <w:bookmarkStart w:id="189" w:name="REVIEW_BM_1214"/>
      <w:r>
        <w:rPr>
          <w:rFonts w:hint="eastAsia" w:ascii="宋体" w:hAnsi="宋体" w:cs="宋体"/>
          <w:sz w:val="24"/>
          <w:highlight w:val="none"/>
        </w:rPr>
        <w:t>我方</w:t>
      </w:r>
      <w:bookmarkEnd w:id="189"/>
      <w:r>
        <w:rPr>
          <w:rFonts w:hint="eastAsia" w:ascii="宋体" w:hAnsi="宋体" w:cs="宋体"/>
          <w:sz w:val="24"/>
          <w:highlight w:val="none"/>
        </w:rPr>
        <w:t>对此声明负全部法律责任。</w:t>
      </w:r>
    </w:p>
    <w:p w14:paraId="3F9E1FB6">
      <w:pPr>
        <w:widowControl/>
        <w:spacing w:line="360" w:lineRule="auto"/>
        <w:ind w:firstLine="540"/>
        <w:contextualSpacing/>
        <w:rPr>
          <w:rFonts w:hint="eastAsia" w:ascii="宋体" w:hAnsi="宋体" w:cs="宋体"/>
          <w:sz w:val="24"/>
          <w:highlight w:val="none"/>
        </w:rPr>
      </w:pPr>
      <w:r>
        <w:rPr>
          <w:rFonts w:hint="eastAsia" w:ascii="宋体" w:hAnsi="宋体" w:cs="宋体"/>
          <w:sz w:val="24"/>
          <w:highlight w:val="none"/>
        </w:rPr>
        <w:t>6.根据《中华人民共和国政府采购法实施条例》第五十条要求对政府采购合同进行公告，但政府采购合同中涉及国家秘密、商业秘密的内容除外。</w:t>
      </w:r>
      <w:bookmarkStart w:id="190" w:name="REVIEW_BM_1215"/>
      <w:r>
        <w:rPr>
          <w:rFonts w:hint="eastAsia" w:ascii="宋体" w:hAnsi="宋体" w:cs="宋体"/>
          <w:sz w:val="24"/>
          <w:highlight w:val="none"/>
        </w:rPr>
        <w:t>我方</w:t>
      </w:r>
      <w:bookmarkEnd w:id="190"/>
      <w:r>
        <w:rPr>
          <w:rFonts w:hint="eastAsia" w:ascii="宋体" w:hAnsi="宋体" w:cs="宋体"/>
          <w:sz w:val="24"/>
          <w:highlight w:val="none"/>
        </w:rPr>
        <w:t>就对本次响应文件进行注明如下：（两项内容中必须选择一项）</w:t>
      </w:r>
    </w:p>
    <w:p w14:paraId="1FF6696E">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w:t>
      </w:r>
      <w:bookmarkStart w:id="191" w:name="REVIEW_BM_1216"/>
      <w:r>
        <w:rPr>
          <w:rFonts w:hint="eastAsia" w:ascii="宋体" w:hAnsi="宋体" w:cs="宋体"/>
          <w:sz w:val="24"/>
          <w:highlight w:val="none"/>
        </w:rPr>
        <w:t>我方</w:t>
      </w:r>
      <w:bookmarkEnd w:id="191"/>
      <w:r>
        <w:rPr>
          <w:rFonts w:hint="eastAsia" w:ascii="宋体" w:hAnsi="宋体" w:cs="宋体"/>
          <w:sz w:val="24"/>
          <w:highlight w:val="none"/>
        </w:rPr>
        <w:t>本次响应文件内容中未涉及商业秘密；</w:t>
      </w:r>
    </w:p>
    <w:p w14:paraId="3BF933A9">
      <w:pPr>
        <w:widowControl/>
        <w:spacing w:line="360" w:lineRule="auto"/>
        <w:ind w:firstLine="480"/>
        <w:contextualSpacing/>
        <w:rPr>
          <w:rFonts w:hint="eastAsia" w:ascii="宋体" w:hAnsi="宋体" w:cs="宋体"/>
          <w:sz w:val="24"/>
          <w:highlight w:val="none"/>
        </w:rPr>
      </w:pPr>
      <w:r>
        <w:rPr>
          <w:rFonts w:hint="eastAsia" w:ascii="宋体" w:hAnsi="宋体" w:cs="宋体"/>
          <w:sz w:val="24"/>
          <w:highlight w:val="none"/>
        </w:rPr>
        <w:t>□</w:t>
      </w:r>
      <w:bookmarkStart w:id="192" w:name="REVIEW_BM_1217"/>
      <w:r>
        <w:rPr>
          <w:rFonts w:hint="eastAsia" w:ascii="宋体" w:hAnsi="宋体" w:cs="宋体"/>
          <w:sz w:val="24"/>
          <w:highlight w:val="none"/>
        </w:rPr>
        <w:t>我方</w:t>
      </w:r>
      <w:bookmarkEnd w:id="192"/>
      <w:r>
        <w:rPr>
          <w:rFonts w:hint="eastAsia" w:ascii="宋体" w:hAnsi="宋体" w:cs="宋体"/>
          <w:sz w:val="24"/>
          <w:highlight w:val="none"/>
        </w:rPr>
        <w:t>本次响应文件涉及商业秘密的内容有：</w:t>
      </w:r>
      <w:r>
        <w:rPr>
          <w:rFonts w:hint="eastAsia" w:ascii="宋体" w:hAnsi="宋体" w:cs="宋体"/>
          <w:sz w:val="24"/>
          <w:highlight w:val="none"/>
          <w:u w:val="single"/>
        </w:rPr>
        <w:t xml:space="preserve">                         </w:t>
      </w:r>
      <w:r>
        <w:rPr>
          <w:rFonts w:hint="eastAsia" w:ascii="宋体" w:hAnsi="宋体" w:cs="宋体"/>
          <w:sz w:val="24"/>
          <w:highlight w:val="none"/>
        </w:rPr>
        <w:t>；</w:t>
      </w:r>
    </w:p>
    <w:p w14:paraId="71FC1060">
      <w:pPr>
        <w:pStyle w:val="28"/>
        <w:widowControl/>
        <w:spacing w:line="360" w:lineRule="auto"/>
        <w:ind w:firstLine="480"/>
        <w:contextualSpacing/>
        <w:rPr>
          <w:rFonts w:hint="eastAsia" w:hAnsi="宋体" w:cs="宋体"/>
          <w:sz w:val="24"/>
          <w:szCs w:val="24"/>
          <w:highlight w:val="none"/>
          <w:u w:val="single"/>
        </w:rPr>
      </w:pPr>
      <w:r>
        <w:rPr>
          <w:rFonts w:hint="eastAsia" w:hAnsi="宋体" w:cs="宋体"/>
          <w:sz w:val="24"/>
          <w:szCs w:val="24"/>
          <w:highlight w:val="none"/>
        </w:rPr>
        <w:t>7.与本磋商有关的一切正式往来信函请寄：</w:t>
      </w:r>
      <w:r>
        <w:rPr>
          <w:rFonts w:hint="eastAsia" w:hAnsi="宋体" w:cs="宋体"/>
          <w:sz w:val="24"/>
          <w:szCs w:val="24"/>
          <w:highlight w:val="none"/>
          <w:u w:val="single"/>
        </w:rPr>
        <w:t xml:space="preserve">                  </w:t>
      </w:r>
      <w:r>
        <w:rPr>
          <w:rFonts w:hint="eastAsia" w:hAnsi="宋体" w:cs="宋体"/>
          <w:sz w:val="24"/>
          <w:szCs w:val="24"/>
          <w:highlight w:val="none"/>
        </w:rPr>
        <w:t>邮政编号：</w:t>
      </w:r>
      <w:r>
        <w:rPr>
          <w:rFonts w:hint="eastAsia" w:hAnsi="宋体" w:cs="宋体"/>
          <w:sz w:val="24"/>
          <w:szCs w:val="24"/>
          <w:highlight w:val="none"/>
          <w:u w:val="single"/>
        </w:rPr>
        <w:t xml:space="preserve">      </w:t>
      </w:r>
    </w:p>
    <w:p w14:paraId="21D37C4D">
      <w:pPr>
        <w:pStyle w:val="28"/>
        <w:widowControl/>
        <w:spacing w:line="360" w:lineRule="auto"/>
        <w:ind w:firstLine="480"/>
        <w:contextualSpacing/>
        <w:rPr>
          <w:rFonts w:hint="eastAsia" w:hAnsi="宋体" w:cs="宋体"/>
          <w:sz w:val="24"/>
          <w:szCs w:val="24"/>
          <w:highlight w:val="none"/>
        </w:rPr>
      </w:pPr>
      <w:r>
        <w:rPr>
          <w:rFonts w:hint="eastAsia" w:hAnsi="宋体" w:cs="宋体"/>
          <w:sz w:val="24"/>
          <w:szCs w:val="24"/>
          <w:highlight w:val="none"/>
        </w:rPr>
        <w:t>电话/传真：</w:t>
      </w:r>
      <w:r>
        <w:rPr>
          <w:rFonts w:hint="eastAsia" w:hAnsi="宋体" w:cs="宋体"/>
          <w:sz w:val="24"/>
          <w:szCs w:val="24"/>
          <w:highlight w:val="none"/>
          <w:u w:val="single"/>
        </w:rPr>
        <w:t xml:space="preserve">                        </w:t>
      </w:r>
      <w:r>
        <w:rPr>
          <w:rFonts w:hint="eastAsia" w:hAnsi="宋体" w:cs="宋体"/>
          <w:sz w:val="24"/>
          <w:szCs w:val="24"/>
          <w:highlight w:val="none"/>
        </w:rPr>
        <w:t xml:space="preserve"> 电子函件：</w:t>
      </w:r>
      <w:r>
        <w:rPr>
          <w:rFonts w:hint="eastAsia" w:hAnsi="宋体" w:cs="宋体"/>
          <w:sz w:val="24"/>
          <w:szCs w:val="24"/>
          <w:highlight w:val="none"/>
          <w:u w:val="single"/>
        </w:rPr>
        <w:t xml:space="preserve">                          </w:t>
      </w:r>
    </w:p>
    <w:p w14:paraId="074C9126">
      <w:pPr>
        <w:pStyle w:val="23"/>
        <w:widowControl/>
        <w:tabs>
          <w:tab w:val="left" w:pos="939"/>
        </w:tabs>
        <w:spacing w:line="360" w:lineRule="auto"/>
        <w:ind w:left="0" w:firstLine="360"/>
        <w:rPr>
          <w:rFonts w:hint="eastAsia" w:ascii="宋体" w:hAnsi="宋体" w:cs="宋体"/>
          <w:sz w:val="24"/>
          <w:highlight w:val="none"/>
        </w:rPr>
      </w:pPr>
      <w:r>
        <w:rPr>
          <w:rFonts w:hint="eastAsia" w:ascii="宋体" w:hAnsi="宋体" w:cs="宋体"/>
          <w:sz w:val="24"/>
          <w:highlight w:val="none"/>
        </w:rPr>
        <w:t>开户银行：</w:t>
      </w:r>
      <w:r>
        <w:rPr>
          <w:rFonts w:hint="eastAsia" w:ascii="宋体" w:hAnsi="宋体" w:cs="宋体"/>
          <w:sz w:val="24"/>
          <w:highlight w:val="none"/>
          <w:u w:val="single"/>
        </w:rPr>
        <w:t xml:space="preserve">                         </w:t>
      </w:r>
      <w:r>
        <w:rPr>
          <w:rFonts w:hint="eastAsia" w:ascii="宋体" w:hAnsi="宋体" w:cs="宋体"/>
          <w:sz w:val="24"/>
          <w:highlight w:val="none"/>
        </w:rPr>
        <w:t xml:space="preserve">  账号：</w:t>
      </w:r>
      <w:r>
        <w:rPr>
          <w:rFonts w:hint="eastAsia" w:ascii="宋体" w:hAnsi="宋体" w:cs="宋体"/>
          <w:sz w:val="24"/>
          <w:highlight w:val="none"/>
          <w:u w:val="single"/>
        </w:rPr>
        <w:t xml:space="preserve">                             </w:t>
      </w:r>
    </w:p>
    <w:p w14:paraId="326DDA6E">
      <w:pPr>
        <w:pStyle w:val="23"/>
        <w:widowControl/>
        <w:tabs>
          <w:tab w:val="left" w:pos="939"/>
        </w:tabs>
        <w:spacing w:line="360" w:lineRule="auto"/>
        <w:ind w:left="0" w:firstLine="537"/>
        <w:rPr>
          <w:rFonts w:hint="eastAsia" w:ascii="宋体" w:hAnsi="宋体" w:cs="宋体"/>
          <w:sz w:val="24"/>
          <w:highlight w:val="none"/>
        </w:rPr>
      </w:pPr>
      <w:r>
        <w:rPr>
          <w:rFonts w:hint="eastAsia" w:ascii="宋体" w:hAnsi="宋体" w:cs="宋体"/>
          <w:sz w:val="24"/>
          <w:highlight w:val="none"/>
        </w:rPr>
        <w:t>8.以上事项如有虚假或者隐瞒，</w:t>
      </w:r>
      <w:bookmarkStart w:id="193" w:name="REVIEW_BM_1218"/>
      <w:r>
        <w:rPr>
          <w:rFonts w:hint="eastAsia" w:ascii="宋体" w:hAnsi="宋体" w:cs="宋体"/>
          <w:sz w:val="24"/>
          <w:highlight w:val="none"/>
        </w:rPr>
        <w:t>我方</w:t>
      </w:r>
      <w:bookmarkEnd w:id="193"/>
      <w:r>
        <w:rPr>
          <w:rFonts w:hint="eastAsia" w:ascii="宋体" w:hAnsi="宋体" w:cs="宋体"/>
          <w:sz w:val="24"/>
          <w:highlight w:val="none"/>
        </w:rPr>
        <w:t>愿意承担一切后果，并不再寻求任何旨在减轻或者免除法律责任的辩解。</w:t>
      </w:r>
    </w:p>
    <w:p w14:paraId="03A65ABF">
      <w:pPr>
        <w:pStyle w:val="23"/>
        <w:widowControl/>
        <w:tabs>
          <w:tab w:val="left" w:pos="939"/>
        </w:tabs>
        <w:spacing w:line="360" w:lineRule="auto"/>
        <w:ind w:left="0" w:firstLine="480"/>
        <w:rPr>
          <w:rFonts w:hint="eastAsia" w:ascii="宋体" w:hAnsi="宋体" w:cs="宋体"/>
          <w:sz w:val="24"/>
          <w:highlight w:val="none"/>
        </w:rPr>
      </w:pPr>
      <w:r>
        <w:rPr>
          <w:rFonts w:hint="eastAsia" w:ascii="宋体" w:hAnsi="宋体" w:cs="宋体"/>
          <w:sz w:val="24"/>
          <w:highlight w:val="none"/>
        </w:rPr>
        <w:t>特此承诺。</w:t>
      </w:r>
    </w:p>
    <w:p w14:paraId="46F13956">
      <w:pPr>
        <w:pStyle w:val="23"/>
        <w:widowControl/>
        <w:tabs>
          <w:tab w:val="left" w:pos="939"/>
        </w:tabs>
        <w:spacing w:line="360" w:lineRule="auto"/>
        <w:ind w:left="0" w:firstLine="480"/>
        <w:rPr>
          <w:rFonts w:hint="eastAsia" w:ascii="宋体" w:hAnsi="宋体" w:cs="宋体"/>
          <w:sz w:val="24"/>
          <w:highlight w:val="none"/>
        </w:rPr>
      </w:pPr>
      <w:r>
        <w:rPr>
          <w:rFonts w:hint="eastAsia" w:ascii="宋体" w:hAnsi="宋体" w:cs="宋体"/>
          <w:sz w:val="24"/>
          <w:highlight w:val="none"/>
        </w:rPr>
        <w:t>注：如为联合体竞标，盖章处须加盖联合体各方公章并由联合体各方法定代表人签署，否则其响应文件按无效响应处理。</w:t>
      </w:r>
    </w:p>
    <w:p w14:paraId="6F180AA7">
      <w:pPr>
        <w:pStyle w:val="23"/>
        <w:widowControl/>
        <w:tabs>
          <w:tab w:val="left" w:pos="939"/>
        </w:tabs>
        <w:spacing w:line="360" w:lineRule="auto"/>
        <w:ind w:left="0" w:firstLine="480"/>
        <w:rPr>
          <w:rFonts w:hint="eastAsia" w:ascii="宋体" w:hAnsi="宋体" w:cs="宋体"/>
          <w:sz w:val="24"/>
          <w:highlight w:val="none"/>
        </w:rPr>
      </w:pPr>
    </w:p>
    <w:p w14:paraId="56068D1D">
      <w:pPr>
        <w:pStyle w:val="23"/>
        <w:widowControl/>
        <w:tabs>
          <w:tab w:val="left" w:pos="939"/>
        </w:tabs>
        <w:spacing w:line="360" w:lineRule="auto"/>
        <w:ind w:left="0" w:firstLine="480"/>
        <w:rPr>
          <w:rFonts w:hint="eastAsia" w:ascii="宋体" w:hAnsi="宋体" w:cs="宋体"/>
          <w:sz w:val="24"/>
          <w:highlight w:val="none"/>
        </w:rPr>
      </w:pPr>
    </w:p>
    <w:p w14:paraId="24B17F8D">
      <w:pPr>
        <w:widowControl/>
        <w:spacing w:before="50" w:after="50" w:line="360" w:lineRule="auto"/>
        <w:ind w:firstLine="2640"/>
        <w:rPr>
          <w:rFonts w:hint="eastAsia" w:ascii="宋体" w:hAnsi="宋体" w:cs="仿宋_GB2312"/>
          <w:sz w:val="24"/>
          <w:highlight w:val="none"/>
        </w:rPr>
      </w:pPr>
      <w:r>
        <w:rPr>
          <w:rFonts w:hint="eastAsia" w:ascii="宋体" w:hAnsi="宋体" w:cs="仿宋_GB2312"/>
          <w:sz w:val="24"/>
          <w:highlight w:val="none"/>
        </w:rPr>
        <w:t>法定代表人或者委托代理人（签字）：</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p w14:paraId="2EAA6D46">
      <w:pPr>
        <w:widowControl/>
        <w:spacing w:before="50" w:after="50" w:line="360" w:lineRule="auto"/>
        <w:ind w:firstLine="3840"/>
        <w:rPr>
          <w:rFonts w:hint="eastAsia" w:ascii="宋体" w:hAnsi="宋体" w:cs="仿宋_GB2312"/>
          <w:sz w:val="24"/>
          <w:highlight w:val="none"/>
          <w:u w:val="single"/>
        </w:rPr>
      </w:pPr>
      <w:r>
        <w:rPr>
          <w:rFonts w:hint="eastAsia" w:ascii="宋体" w:hAnsi="宋体" w:cs="仿宋_GB2312"/>
          <w:sz w:val="24"/>
          <w:highlight w:val="none"/>
        </w:rPr>
        <w:t>供应商（电子签章）：</w:t>
      </w:r>
      <w:r>
        <w:rPr>
          <w:rFonts w:hint="eastAsia" w:ascii="宋体" w:hAnsi="宋体" w:cs="仿宋_GB2312"/>
          <w:sz w:val="24"/>
          <w:highlight w:val="none"/>
          <w:u w:val="single"/>
        </w:rPr>
        <w:t xml:space="preserve">             </w:t>
      </w:r>
    </w:p>
    <w:p w14:paraId="17164B91">
      <w:pPr>
        <w:widowControl/>
        <w:spacing w:after="50" w:line="360" w:lineRule="auto"/>
        <w:ind w:firstLine="240"/>
        <w:jc w:val="center"/>
        <w:rPr>
          <w:rFonts w:ascii="宋体" w:hAnsi="宋体"/>
          <w:sz w:val="28"/>
          <w:szCs w:val="28"/>
          <w:highlight w:val="none"/>
        </w:rPr>
      </w:pPr>
      <w:r>
        <w:rPr>
          <w:rFonts w:hint="eastAsia" w:ascii="宋体" w:hAnsi="宋体" w:cs="仿宋_GB2312"/>
          <w:sz w:val="24"/>
          <w:highlight w:val="none"/>
        </w:rPr>
        <w:t xml:space="preserve">          日期：   年   月   日</w:t>
      </w:r>
    </w:p>
    <w:p w14:paraId="418ED1D4">
      <w:pPr>
        <w:spacing w:line="360" w:lineRule="auto"/>
        <w:ind w:firstLine="6120"/>
        <w:rPr>
          <w:rFonts w:ascii="宋体" w:hAnsi="宋体" w:cs="仿宋_GB2312"/>
          <w:color w:val="000000"/>
          <w:sz w:val="24"/>
          <w:highlight w:val="none"/>
          <w:lang w:val="zh-CN"/>
        </w:rPr>
        <w:sectPr>
          <w:pgSz w:w="11910" w:h="16840"/>
          <w:pgMar w:top="1340" w:right="1500" w:bottom="1220" w:left="1680" w:header="720" w:footer="720" w:gutter="0"/>
          <w:cols w:space="720" w:num="1"/>
        </w:sectPr>
      </w:pPr>
      <w:r>
        <w:rPr>
          <w:rFonts w:hint="eastAsia" w:ascii="宋体" w:hAnsi="宋体" w:cs="仿宋_GB2312"/>
          <w:color w:val="000000"/>
          <w:sz w:val="24"/>
          <w:highlight w:val="none"/>
          <w:lang w:val="zh-CN"/>
        </w:rPr>
        <w:t xml:space="preserve"> </w:t>
      </w:r>
    </w:p>
    <w:p w14:paraId="51305D00">
      <w:pPr>
        <w:widowControl/>
        <w:spacing w:line="588" w:lineRule="exact"/>
        <w:jc w:val="center"/>
        <w:rPr>
          <w:rFonts w:hint="eastAsia" w:ascii="宋体" w:hAnsi="宋体" w:cs="宋体"/>
          <w:b/>
          <w:spacing w:val="6"/>
          <w:sz w:val="32"/>
          <w:szCs w:val="32"/>
          <w:highlight w:val="none"/>
        </w:rPr>
      </w:pPr>
      <w:r>
        <w:rPr>
          <w:rFonts w:hint="eastAsia" w:ascii="宋体" w:hAnsi="宋体" w:cs="宋体"/>
          <w:b/>
          <w:spacing w:val="6"/>
          <w:sz w:val="32"/>
          <w:szCs w:val="32"/>
          <w:highlight w:val="none"/>
        </w:rPr>
        <w:t>7.中小企业声明函</w:t>
      </w:r>
    </w:p>
    <w:p w14:paraId="71E5C651">
      <w:pPr>
        <w:widowControl/>
        <w:jc w:val="center"/>
        <w:rPr>
          <w:rFonts w:hint="eastAsia" w:ascii="宋体" w:hAnsi="宋体" w:cs="宋体"/>
          <w:szCs w:val="21"/>
          <w:highlight w:val="none"/>
        </w:rPr>
      </w:pPr>
    </w:p>
    <w:p w14:paraId="1749A401">
      <w:pPr>
        <w:widowControl/>
        <w:spacing w:line="360" w:lineRule="auto"/>
        <w:ind w:firstLine="484"/>
        <w:rPr>
          <w:rFonts w:hint="eastAsia" w:ascii="宋体" w:hAnsi="宋体" w:cs="宋体"/>
          <w:sz w:val="24"/>
          <w:highlight w:val="none"/>
        </w:rPr>
      </w:pPr>
      <w:r>
        <w:rPr>
          <w:rFonts w:hint="eastAsia" w:ascii="宋体" w:hAnsi="宋体" w:cs="宋体"/>
          <w:sz w:val="24"/>
          <w:highlight w:val="none"/>
        </w:rPr>
        <w:t>本公司（联合体）郑重声明，根据《政府采购促进中小企业发展管理办法》（财库﹝2020﹞46 号）的规定，本公司（联合体）参加</w:t>
      </w:r>
      <w:r>
        <w:rPr>
          <w:rFonts w:hint="eastAsia" w:ascii="宋体" w:hAnsi="宋体" w:cs="宋体"/>
          <w:sz w:val="24"/>
          <w:highlight w:val="none"/>
          <w:u w:val="single"/>
        </w:rPr>
        <w:t>（单位名称）</w:t>
      </w:r>
      <w:r>
        <w:rPr>
          <w:rFonts w:hint="eastAsia" w:ascii="宋体" w:hAnsi="宋体" w:cs="宋体"/>
          <w:sz w:val="24"/>
          <w:highlight w:val="none"/>
        </w:rPr>
        <w:t>的</w:t>
      </w:r>
      <w:r>
        <w:rPr>
          <w:rFonts w:hint="eastAsia" w:ascii="宋体" w:hAnsi="宋体" w:cs="宋体"/>
          <w:sz w:val="24"/>
          <w:highlight w:val="none"/>
          <w:u w:val="single"/>
        </w:rPr>
        <w:t>（项目名称）</w:t>
      </w:r>
      <w:r>
        <w:rPr>
          <w:rFonts w:hint="eastAsia" w:ascii="宋体" w:hAnsi="宋体" w:cs="宋体"/>
          <w:sz w:val="24"/>
          <w:highlight w:val="none"/>
        </w:rPr>
        <w:t>采购活动，施工全部由符合政策要求的中小企业承接。相关企业（含联合体中的中小企业、签订分包意向协议的中小企业）的具体情况如下：</w:t>
      </w:r>
    </w:p>
    <w:p w14:paraId="49A3F794">
      <w:pPr>
        <w:widowControl/>
        <w:spacing w:line="360" w:lineRule="auto"/>
        <w:ind w:firstLine="484"/>
        <w:rPr>
          <w:rFonts w:hint="eastAsia" w:ascii="宋体" w:hAnsi="宋体" w:cs="宋体"/>
          <w:sz w:val="24"/>
          <w:highlight w:val="none"/>
        </w:rPr>
      </w:pPr>
      <w:r>
        <w:rPr>
          <w:rFonts w:hint="eastAsia" w:ascii="宋体" w:hAnsi="宋体" w:cs="宋体"/>
          <w:sz w:val="24"/>
          <w:highlight w:val="none"/>
        </w:rPr>
        <w:t xml:space="preserve">1. </w:t>
      </w:r>
      <w:r>
        <w:rPr>
          <w:rFonts w:hint="eastAsia" w:ascii="宋体" w:hAnsi="宋体" w:cs="宋体"/>
          <w:sz w:val="24"/>
          <w:highlight w:val="none"/>
          <w:u w:val="single"/>
        </w:rPr>
        <w:t>（标的名称）</w:t>
      </w:r>
      <w:r>
        <w:rPr>
          <w:rFonts w:hint="eastAsia" w:ascii="宋体" w:hAnsi="宋体" w:cs="宋体"/>
          <w:sz w:val="24"/>
          <w:highlight w:val="none"/>
        </w:rPr>
        <w:t xml:space="preserve"> ，属于</w:t>
      </w:r>
      <w:r>
        <w:rPr>
          <w:rFonts w:hint="eastAsia" w:ascii="宋体" w:hAnsi="宋体" w:cs="宋体"/>
          <w:sz w:val="24"/>
          <w:highlight w:val="none"/>
          <w:u w:val="single"/>
        </w:rPr>
        <w:t>（磋商文件中明确的所属行业）</w:t>
      </w:r>
      <w:r>
        <w:rPr>
          <w:rFonts w:hint="eastAsia" w:ascii="宋体" w:hAnsi="宋体" w:cs="宋体"/>
          <w:sz w:val="24"/>
          <w:highlight w:val="none"/>
        </w:rPr>
        <w:t>；承</w:t>
      </w:r>
      <w:r>
        <w:rPr>
          <w:rFonts w:hint="eastAsia" w:ascii="宋体" w:hAnsi="宋体" w:cs="宋体"/>
          <w:sz w:val="24"/>
          <w:highlight w:val="none"/>
          <w:lang w:eastAsia="zh-CN"/>
        </w:rPr>
        <w:t>建</w:t>
      </w:r>
      <w:r>
        <w:rPr>
          <w:rFonts w:hint="eastAsia" w:ascii="宋体" w:hAnsi="宋体" w:cs="宋体"/>
          <w:sz w:val="24"/>
          <w:highlight w:val="none"/>
        </w:rPr>
        <w:t>企业为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（中型企业、小型企业、微型企业）</w:t>
      </w:r>
      <w:r>
        <w:rPr>
          <w:rFonts w:hint="eastAsia" w:ascii="宋体" w:hAnsi="宋体" w:cs="宋体"/>
          <w:sz w:val="24"/>
          <w:highlight w:val="none"/>
        </w:rPr>
        <w:t>；</w:t>
      </w:r>
    </w:p>
    <w:p w14:paraId="504617FC">
      <w:pPr>
        <w:widowControl/>
        <w:spacing w:line="360" w:lineRule="auto"/>
        <w:ind w:firstLine="484"/>
        <w:rPr>
          <w:rFonts w:hint="eastAsia" w:ascii="宋体" w:hAnsi="宋体" w:cs="宋体"/>
          <w:sz w:val="24"/>
          <w:highlight w:val="none"/>
        </w:rPr>
      </w:pPr>
      <w:r>
        <w:rPr>
          <w:rFonts w:hint="eastAsia" w:ascii="宋体" w:hAnsi="宋体" w:cs="宋体"/>
          <w:sz w:val="24"/>
          <w:highlight w:val="none"/>
        </w:rPr>
        <w:t xml:space="preserve">2. </w:t>
      </w:r>
      <w:r>
        <w:rPr>
          <w:rFonts w:hint="eastAsia" w:ascii="宋体" w:hAnsi="宋体" w:cs="宋体"/>
          <w:sz w:val="24"/>
          <w:highlight w:val="none"/>
          <w:u w:val="single"/>
        </w:rPr>
        <w:t>（标的名称）</w:t>
      </w:r>
      <w:r>
        <w:rPr>
          <w:rFonts w:hint="eastAsia" w:ascii="宋体" w:hAnsi="宋体" w:cs="宋体"/>
          <w:sz w:val="24"/>
          <w:highlight w:val="none"/>
        </w:rPr>
        <w:t xml:space="preserve"> ，属于</w:t>
      </w:r>
      <w:r>
        <w:rPr>
          <w:rFonts w:hint="eastAsia" w:ascii="宋体" w:hAnsi="宋体" w:cs="宋体"/>
          <w:sz w:val="24"/>
          <w:highlight w:val="none"/>
          <w:u w:val="single"/>
        </w:rPr>
        <w:t>（磋商文件中明确的所属行业）</w:t>
      </w:r>
      <w:r>
        <w:rPr>
          <w:rFonts w:hint="eastAsia" w:ascii="宋体" w:hAnsi="宋体" w:cs="宋体"/>
          <w:sz w:val="24"/>
          <w:highlight w:val="none"/>
        </w:rPr>
        <w:t>；承</w:t>
      </w:r>
      <w:r>
        <w:rPr>
          <w:rFonts w:hint="eastAsia" w:ascii="宋体" w:hAnsi="宋体" w:cs="宋体"/>
          <w:sz w:val="24"/>
          <w:highlight w:val="none"/>
          <w:lang w:eastAsia="zh-CN"/>
        </w:rPr>
        <w:t>建</w:t>
      </w:r>
      <w:r>
        <w:rPr>
          <w:rFonts w:hint="eastAsia" w:ascii="宋体" w:hAnsi="宋体" w:cs="宋体"/>
          <w:sz w:val="24"/>
          <w:highlight w:val="none"/>
        </w:rPr>
        <w:t>企业为</w:t>
      </w:r>
      <w:r>
        <w:rPr>
          <w:rFonts w:hint="eastAsia" w:ascii="宋体" w:hAnsi="宋体" w:cs="宋体"/>
          <w:sz w:val="24"/>
          <w:highlight w:val="none"/>
          <w:u w:val="single"/>
        </w:rPr>
        <w:t>（企业名称）</w:t>
      </w:r>
      <w:r>
        <w:rPr>
          <w:rFonts w:hint="eastAsia" w:ascii="宋体" w:hAnsi="宋体" w:cs="宋体"/>
          <w:sz w:val="24"/>
          <w:highlight w:val="none"/>
        </w:rPr>
        <w:t>，从业人员</w:t>
      </w:r>
      <w:r>
        <w:rPr>
          <w:rFonts w:hint="eastAsia" w:ascii="宋体" w:hAnsi="宋体" w:cs="宋体"/>
          <w:sz w:val="24"/>
          <w:highlight w:val="none"/>
          <w:u w:val="single"/>
        </w:rPr>
        <w:t xml:space="preserve">    </w:t>
      </w:r>
      <w:r>
        <w:rPr>
          <w:rFonts w:hint="eastAsia" w:ascii="宋体" w:hAnsi="宋体" w:cs="宋体"/>
          <w:sz w:val="24"/>
          <w:highlight w:val="none"/>
        </w:rPr>
        <w:t>人，营业收入为</w:t>
      </w:r>
      <w:r>
        <w:rPr>
          <w:rFonts w:hint="eastAsia" w:ascii="宋体" w:hAnsi="宋体" w:cs="宋体"/>
          <w:sz w:val="24"/>
          <w:highlight w:val="none"/>
          <w:u w:val="single"/>
        </w:rPr>
        <w:t xml:space="preserve">    </w:t>
      </w:r>
      <w:r>
        <w:rPr>
          <w:rFonts w:hint="eastAsia" w:ascii="宋体" w:hAnsi="宋体" w:cs="宋体"/>
          <w:sz w:val="24"/>
          <w:highlight w:val="none"/>
        </w:rPr>
        <w:t>万元，资产总额为</w:t>
      </w:r>
      <w:r>
        <w:rPr>
          <w:rFonts w:hint="eastAsia" w:ascii="宋体" w:hAnsi="宋体" w:cs="宋体"/>
          <w:sz w:val="24"/>
          <w:highlight w:val="none"/>
          <w:u w:val="single"/>
        </w:rPr>
        <w:t xml:space="preserve">    </w:t>
      </w:r>
      <w:r>
        <w:rPr>
          <w:rFonts w:hint="eastAsia" w:ascii="宋体" w:hAnsi="宋体" w:cs="宋体"/>
          <w:sz w:val="24"/>
          <w:highlight w:val="none"/>
        </w:rPr>
        <w:t>万元，属于</w:t>
      </w:r>
      <w:r>
        <w:rPr>
          <w:rFonts w:hint="eastAsia" w:ascii="宋体" w:hAnsi="宋体" w:cs="宋体"/>
          <w:sz w:val="24"/>
          <w:highlight w:val="none"/>
          <w:u w:val="single"/>
        </w:rPr>
        <w:t>（中型企业、小型企业、微型企业）</w:t>
      </w:r>
      <w:r>
        <w:rPr>
          <w:rFonts w:hint="eastAsia" w:ascii="宋体" w:hAnsi="宋体" w:cs="宋体"/>
          <w:sz w:val="24"/>
          <w:highlight w:val="none"/>
        </w:rPr>
        <w:t>；</w:t>
      </w:r>
    </w:p>
    <w:p w14:paraId="44541EBE">
      <w:pPr>
        <w:widowControl/>
        <w:spacing w:line="360" w:lineRule="auto"/>
        <w:ind w:firstLine="484"/>
        <w:rPr>
          <w:rFonts w:hint="eastAsia" w:ascii="宋体" w:hAnsi="宋体" w:cs="宋体"/>
          <w:sz w:val="24"/>
          <w:highlight w:val="none"/>
        </w:rPr>
      </w:pPr>
      <w:r>
        <w:rPr>
          <w:rFonts w:hint="eastAsia" w:ascii="宋体" w:hAnsi="宋体" w:cs="宋体"/>
          <w:sz w:val="24"/>
          <w:highlight w:val="none"/>
        </w:rPr>
        <w:t>……</w:t>
      </w:r>
    </w:p>
    <w:p w14:paraId="6997D2F0">
      <w:pPr>
        <w:widowControl/>
        <w:spacing w:line="360" w:lineRule="auto"/>
        <w:ind w:firstLine="484"/>
        <w:rPr>
          <w:rFonts w:hint="eastAsia" w:ascii="宋体" w:hAnsi="宋体" w:cs="宋体"/>
          <w:sz w:val="24"/>
          <w:highlight w:val="none"/>
        </w:rPr>
      </w:pPr>
      <w:r>
        <w:rPr>
          <w:rFonts w:hint="eastAsia" w:ascii="宋体" w:hAnsi="宋体" w:cs="宋体"/>
          <w:sz w:val="24"/>
          <w:highlight w:val="none"/>
        </w:rPr>
        <w:t>以上企业，不属于大企业的分支机构，不存在控股股东为大企业的情形，也不存在与大企业的负责人为同一人的情形。</w:t>
      </w:r>
    </w:p>
    <w:p w14:paraId="1D155171">
      <w:pPr>
        <w:widowControl/>
        <w:spacing w:line="360" w:lineRule="auto"/>
        <w:ind w:firstLine="484"/>
        <w:rPr>
          <w:rFonts w:hint="eastAsia" w:ascii="宋体" w:hAnsi="宋体" w:cs="宋体"/>
          <w:sz w:val="24"/>
          <w:highlight w:val="none"/>
        </w:rPr>
      </w:pPr>
      <w:r>
        <w:rPr>
          <w:rFonts w:hint="eastAsia" w:ascii="宋体" w:hAnsi="宋体" w:cs="宋体"/>
          <w:sz w:val="24"/>
          <w:highlight w:val="none"/>
        </w:rPr>
        <w:t>本企业对上述声明内容的真实性负责。如有虚假，将依法承担相应责任。</w:t>
      </w:r>
    </w:p>
    <w:p w14:paraId="4F2AE7A8">
      <w:pPr>
        <w:widowControl/>
        <w:spacing w:line="360" w:lineRule="auto"/>
        <w:ind w:firstLine="484"/>
        <w:rPr>
          <w:rFonts w:hint="eastAsia" w:ascii="宋体" w:hAnsi="宋体" w:cs="宋体"/>
          <w:sz w:val="24"/>
          <w:highlight w:val="none"/>
        </w:rPr>
      </w:pPr>
    </w:p>
    <w:p w14:paraId="38571AB1">
      <w:pPr>
        <w:widowControl/>
        <w:spacing w:line="360" w:lineRule="auto"/>
        <w:ind w:firstLine="4560"/>
        <w:rPr>
          <w:rFonts w:hint="eastAsia" w:ascii="宋体" w:hAnsi="宋体" w:cs="宋体"/>
          <w:sz w:val="24"/>
          <w:highlight w:val="none"/>
        </w:rPr>
      </w:pPr>
      <w:r>
        <w:rPr>
          <w:rFonts w:hint="eastAsia" w:ascii="宋体" w:hAnsi="宋体" w:cs="宋体"/>
          <w:sz w:val="24"/>
          <w:highlight w:val="none"/>
        </w:rPr>
        <w:t>企业名称（电子签章）：</w:t>
      </w:r>
    </w:p>
    <w:p w14:paraId="63648C9E">
      <w:pPr>
        <w:widowControl/>
        <w:spacing w:line="360" w:lineRule="auto"/>
        <w:ind w:firstLine="5040"/>
        <w:rPr>
          <w:rFonts w:hint="eastAsia" w:ascii="宋体" w:hAnsi="宋体" w:cs="宋体"/>
          <w:sz w:val="24"/>
          <w:highlight w:val="none"/>
        </w:rPr>
      </w:pPr>
      <w:r>
        <w:rPr>
          <w:rFonts w:hint="eastAsia" w:ascii="宋体" w:hAnsi="宋体" w:cs="宋体"/>
          <w:sz w:val="24"/>
          <w:highlight w:val="none"/>
        </w:rPr>
        <w:t>日期：</w:t>
      </w:r>
    </w:p>
    <w:p w14:paraId="5393ADA6">
      <w:pPr>
        <w:widowControl/>
        <w:rPr>
          <w:rFonts w:hint="eastAsia" w:ascii="宋体" w:hAnsi="宋体" w:cs="宋体"/>
          <w:sz w:val="24"/>
          <w:highlight w:val="none"/>
        </w:rPr>
      </w:pPr>
    </w:p>
    <w:p w14:paraId="6CCA6579">
      <w:pPr>
        <w:widowControl/>
        <w:rPr>
          <w:rFonts w:hint="eastAsia" w:ascii="宋体" w:hAnsi="宋体" w:cs="宋体"/>
          <w:sz w:val="24"/>
          <w:highlight w:val="none"/>
        </w:rPr>
      </w:pPr>
      <w:r>
        <w:rPr>
          <w:rFonts w:hint="eastAsia" w:ascii="宋体" w:hAnsi="宋体" w:cs="宋体"/>
          <w:sz w:val="24"/>
          <w:highlight w:val="none"/>
        </w:rPr>
        <w:t>注：请根据国家统计局《统计上大中小微型企业划分办法（2017）》及自己的真实情况出具《中小企业声明函》。依法享受中小企业优惠政策的，采购人或者采购代理机构在公告成交结果时，同时公告其《中小企业声明函》，接受社会监督。</w:t>
      </w:r>
    </w:p>
    <w:p w14:paraId="7B3A276B">
      <w:pPr>
        <w:spacing w:line="520" w:lineRule="exact"/>
        <w:jc w:val="center"/>
        <w:rPr>
          <w:rFonts w:hint="eastAsia" w:ascii="宋体" w:hAnsi="宋体" w:cs="仿宋_GB2312"/>
          <w:color w:val="000000"/>
          <w:sz w:val="32"/>
          <w:szCs w:val="32"/>
          <w:highlight w:val="none"/>
        </w:rPr>
      </w:pPr>
      <w:r>
        <w:rPr>
          <w:rFonts w:hint="eastAsia" w:ascii="宋体" w:hAnsi="宋体" w:cs="方正小标宋简体"/>
          <w:color w:val="000000"/>
          <w:sz w:val="44"/>
          <w:szCs w:val="44"/>
          <w:highlight w:val="none"/>
        </w:rPr>
        <w:br w:type="page" w:clear="all"/>
      </w:r>
      <w:r>
        <w:rPr>
          <w:rFonts w:hint="eastAsia" w:ascii="宋体" w:hAnsi="宋体" w:cs="方正小标宋简体"/>
          <w:color w:val="000000"/>
          <w:sz w:val="44"/>
          <w:szCs w:val="44"/>
          <w:highlight w:val="none"/>
        </w:rPr>
        <w:t>残疾人福利性单位声明函</w:t>
      </w:r>
    </w:p>
    <w:p w14:paraId="3AF937C9">
      <w:pPr>
        <w:spacing w:line="520" w:lineRule="exact"/>
        <w:rPr>
          <w:rFonts w:hint="eastAsia" w:ascii="宋体" w:hAnsi="宋体" w:cs="仿宋_GB2312"/>
          <w:color w:val="000000"/>
          <w:sz w:val="32"/>
          <w:szCs w:val="32"/>
          <w:highlight w:val="none"/>
        </w:rPr>
      </w:pPr>
    </w:p>
    <w:p w14:paraId="6CDE7758">
      <w:pPr>
        <w:spacing w:line="360" w:lineRule="auto"/>
        <w:ind w:firstLine="48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本单位郑重声明，根据《财政部 民政部 中国残疾人联合会关于促进残疾人就业政府采购政策的通知》（财库〔2017〕141号）的规定，本单位为符合条件的残疾人福利性单位，且本单位参加</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单位的</w:t>
      </w:r>
      <w:r>
        <w:rPr>
          <w:rFonts w:hint="eastAsia" w:ascii="宋体" w:hAnsi="宋体" w:cs="仿宋_GB2312"/>
          <w:color w:val="000000"/>
          <w:sz w:val="24"/>
          <w:highlight w:val="none"/>
          <w:u w:val="single"/>
        </w:rPr>
        <w:t xml:space="preserve">                 </w:t>
      </w:r>
      <w:r>
        <w:rPr>
          <w:rFonts w:hint="eastAsia" w:ascii="宋体" w:hAnsi="宋体" w:cs="仿宋_GB2312"/>
          <w:color w:val="000000"/>
          <w:sz w:val="24"/>
          <w:highlight w:val="none"/>
        </w:rPr>
        <w:t>项目采购活动由本单位提供服务。</w:t>
      </w:r>
    </w:p>
    <w:p w14:paraId="18BA3924">
      <w:pPr>
        <w:spacing w:line="360" w:lineRule="auto"/>
        <w:ind w:firstLine="48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本单位对上述声明的真实性负责。如有虚假，将依法承担相应责任。</w:t>
      </w:r>
    </w:p>
    <w:p w14:paraId="084E6FE7">
      <w:pPr>
        <w:spacing w:line="360" w:lineRule="auto"/>
        <w:contextualSpacing/>
        <w:rPr>
          <w:rFonts w:hint="eastAsia" w:ascii="宋体" w:hAnsi="宋体" w:cs="仿宋_GB2312"/>
          <w:color w:val="000000"/>
          <w:sz w:val="24"/>
          <w:highlight w:val="none"/>
        </w:rPr>
      </w:pPr>
    </w:p>
    <w:p w14:paraId="643931E9">
      <w:pPr>
        <w:spacing w:line="360" w:lineRule="auto"/>
        <w:contextualSpacing/>
        <w:rPr>
          <w:rFonts w:hint="eastAsia" w:ascii="宋体" w:hAnsi="宋体" w:cs="仿宋_GB2312"/>
          <w:color w:val="000000"/>
          <w:sz w:val="24"/>
          <w:highlight w:val="none"/>
        </w:rPr>
      </w:pPr>
    </w:p>
    <w:p w14:paraId="3DAEBF15">
      <w:pPr>
        <w:spacing w:line="360" w:lineRule="auto"/>
        <w:contextualSpacing/>
        <w:rPr>
          <w:rFonts w:hint="eastAsia" w:ascii="宋体" w:hAnsi="宋体" w:cs="仿宋_GB2312"/>
          <w:color w:val="000000"/>
          <w:sz w:val="24"/>
          <w:highlight w:val="none"/>
        </w:rPr>
      </w:pPr>
    </w:p>
    <w:p w14:paraId="461C110E">
      <w:pPr>
        <w:spacing w:line="360" w:lineRule="auto"/>
        <w:ind w:firstLine="2400"/>
        <w:contextualSpacing/>
        <w:rPr>
          <w:rFonts w:hint="eastAsia" w:ascii="宋体" w:hAnsi="宋体" w:cs="仿宋_GB2312"/>
          <w:color w:val="000000"/>
          <w:sz w:val="24"/>
          <w:highlight w:val="none"/>
        </w:rPr>
      </w:pPr>
      <w:r>
        <w:rPr>
          <w:rFonts w:hint="eastAsia" w:ascii="宋体" w:hAnsi="宋体" w:cs="仿宋_GB2312"/>
          <w:color w:val="000000"/>
          <w:sz w:val="24"/>
          <w:highlight w:val="none"/>
        </w:rPr>
        <w:t>供应商名称（电子签章）：</w:t>
      </w:r>
    </w:p>
    <w:p w14:paraId="0969A07F">
      <w:pPr>
        <w:spacing w:line="360" w:lineRule="auto"/>
        <w:ind w:firstLine="4320"/>
        <w:contextualSpacing/>
        <w:rPr>
          <w:rFonts w:hint="eastAsia" w:ascii="宋体" w:hAnsi="宋体" w:cs="仿宋_GB2312"/>
          <w:color w:val="000000"/>
          <w:sz w:val="24"/>
          <w:highlight w:val="none"/>
        </w:rPr>
      </w:pPr>
      <w:r>
        <w:rPr>
          <w:rFonts w:hint="eastAsia" w:ascii="宋体" w:hAnsi="宋体" w:cs="仿宋_GB2312"/>
          <w:color w:val="000000"/>
          <w:sz w:val="24"/>
          <w:highlight w:val="none"/>
        </w:rPr>
        <w:t>日  期：     年   月   日</w:t>
      </w:r>
    </w:p>
    <w:p w14:paraId="757DE966">
      <w:pPr>
        <w:spacing w:line="360" w:lineRule="auto"/>
        <w:contextualSpacing/>
        <w:rPr>
          <w:rFonts w:hint="eastAsia" w:ascii="宋体" w:hAnsi="宋体" w:cs="仿宋_GB2312"/>
          <w:color w:val="000000"/>
          <w:sz w:val="24"/>
          <w:highlight w:val="none"/>
        </w:rPr>
      </w:pPr>
    </w:p>
    <w:p w14:paraId="5FC28C2D">
      <w:pPr>
        <w:spacing w:line="360" w:lineRule="auto"/>
        <w:contextualSpacing/>
        <w:rPr>
          <w:rFonts w:hint="eastAsia" w:ascii="宋体" w:hAnsi="宋体" w:cs="仿宋_GB2312"/>
          <w:color w:val="000000"/>
          <w:sz w:val="24"/>
          <w:highlight w:val="none"/>
        </w:rPr>
      </w:pPr>
    </w:p>
    <w:p w14:paraId="7C49F8AD">
      <w:pPr>
        <w:spacing w:line="360" w:lineRule="auto"/>
        <w:contextualSpacing/>
        <w:rPr>
          <w:rFonts w:hint="eastAsia" w:ascii="宋体" w:hAnsi="宋体" w:cs="仿宋_GB2312"/>
          <w:color w:val="000000"/>
          <w:sz w:val="24"/>
          <w:highlight w:val="none"/>
        </w:rPr>
      </w:pPr>
    </w:p>
    <w:p w14:paraId="3AC12079">
      <w:pPr>
        <w:spacing w:line="360" w:lineRule="auto"/>
        <w:contextualSpacing/>
        <w:rPr>
          <w:rFonts w:ascii="宋体" w:hAnsi="宋体" w:cs="仿宋_GB2312"/>
          <w:color w:val="000000"/>
          <w:sz w:val="24"/>
          <w:highlight w:val="none"/>
        </w:rPr>
      </w:pPr>
      <w:r>
        <w:rPr>
          <w:rFonts w:hint="eastAsia" w:ascii="宋体" w:hAnsi="宋体" w:cs="仿宋_GB2312"/>
          <w:color w:val="000000"/>
          <w:sz w:val="24"/>
          <w:highlight w:val="none"/>
        </w:rPr>
        <w:t>注：请根据自己的真实情况出具《残疾人福利性单位声明函》。依法享受中小企业优惠政策的，采购人或者采购代理机构在公告</w:t>
      </w:r>
      <w:bookmarkStart w:id="194" w:name="REVIEW_BM_1219"/>
      <w:r>
        <w:rPr>
          <w:rFonts w:hint="eastAsia" w:ascii="宋体" w:hAnsi="宋体" w:cs="仿宋_GB2312"/>
          <w:color w:val="000000"/>
          <w:sz w:val="24"/>
          <w:highlight w:val="none"/>
        </w:rPr>
        <w:t>中标结果</w:t>
      </w:r>
      <w:bookmarkEnd w:id="194"/>
      <w:r>
        <w:rPr>
          <w:rFonts w:hint="eastAsia" w:ascii="宋体" w:hAnsi="宋体" w:cs="仿宋_GB2312"/>
          <w:color w:val="000000"/>
          <w:sz w:val="24"/>
          <w:highlight w:val="none"/>
        </w:rPr>
        <w:t>时，同时公告其《残疾人福利性单位声明函》，接受社会监督。</w:t>
      </w:r>
    </w:p>
    <w:p w14:paraId="244379E4">
      <w:pPr>
        <w:rPr>
          <w:rFonts w:hint="eastAsia"/>
          <w:highlight w:val="none"/>
        </w:rPr>
      </w:pPr>
    </w:p>
    <w:p w14:paraId="7D3D278D">
      <w:pPr>
        <w:rPr>
          <w:rFonts w:hint="eastAsia"/>
          <w:highlight w:val="none"/>
        </w:rPr>
      </w:pPr>
    </w:p>
    <w:p w14:paraId="20969651">
      <w:pPr>
        <w:rPr>
          <w:rFonts w:hint="eastAsia"/>
          <w:highlight w:val="none"/>
        </w:rPr>
      </w:pPr>
    </w:p>
    <w:p w14:paraId="070DF974">
      <w:pPr>
        <w:pStyle w:val="4"/>
        <w:numPr>
          <w:ilvl w:val="0"/>
          <w:numId w:val="3"/>
        </w:numPr>
        <w:bidi w:val="0"/>
        <w:rPr>
          <w:rFonts w:hint="eastAsia" w:ascii="宋体" w:hAnsi="宋体"/>
          <w:b/>
          <w:sz w:val="32"/>
          <w:szCs w:val="32"/>
          <w:highlight w:val="none"/>
        </w:rPr>
      </w:pPr>
      <w:bookmarkStart w:id="195" w:name="_Toc12920"/>
      <w:bookmarkStart w:id="196" w:name="_Toc17617"/>
      <w:bookmarkStart w:id="197" w:name="_Toc497927072"/>
      <w:r>
        <w:rPr>
          <w:rFonts w:hint="eastAsia"/>
          <w:highlight w:val="none"/>
        </w:rPr>
        <w:br w:type="page" w:clear="all"/>
      </w:r>
      <w:bookmarkEnd w:id="195"/>
      <w:bookmarkEnd w:id="196"/>
      <w:bookmarkEnd w:id="197"/>
      <w:bookmarkStart w:id="198" w:name="_Toc116204870"/>
      <w:bookmarkStart w:id="199" w:name="_Toc116123773"/>
      <w:bookmarkStart w:id="200" w:name="_Toc116229059"/>
      <w:r>
        <w:rPr>
          <w:rFonts w:hint="eastAsia" w:ascii="宋体" w:hAnsi="宋体"/>
          <w:b/>
          <w:sz w:val="32"/>
          <w:szCs w:val="32"/>
          <w:highlight w:val="none"/>
        </w:rPr>
        <w:t xml:space="preserve"> </w:t>
      </w:r>
      <w:bookmarkStart w:id="201" w:name="_Toc12571"/>
      <w:r>
        <w:rPr>
          <w:rFonts w:hint="eastAsia" w:ascii="宋体" w:hAnsi="宋体"/>
          <w:b/>
          <w:sz w:val="32"/>
          <w:szCs w:val="32"/>
          <w:highlight w:val="none"/>
        </w:rPr>
        <w:t>报价商务技术文件格式</w:t>
      </w:r>
      <w:bookmarkEnd w:id="198"/>
      <w:bookmarkEnd w:id="199"/>
      <w:bookmarkEnd w:id="200"/>
      <w:bookmarkEnd w:id="201"/>
    </w:p>
    <w:p w14:paraId="3A8ABBCB">
      <w:pPr>
        <w:pStyle w:val="2"/>
        <w:ind w:firstLine="0"/>
        <w:rPr>
          <w:rFonts w:hint="eastAsia"/>
          <w:highlight w:val="none"/>
        </w:rPr>
      </w:pPr>
    </w:p>
    <w:p w14:paraId="630AB76F">
      <w:pPr>
        <w:spacing w:after="50" w:line="360" w:lineRule="auto"/>
        <w:rPr>
          <w:rFonts w:ascii="宋体" w:hAnsi="宋体"/>
          <w:b/>
          <w:sz w:val="32"/>
          <w:szCs w:val="32"/>
          <w:highlight w:val="none"/>
        </w:rPr>
      </w:pPr>
      <w:r>
        <w:rPr>
          <w:rFonts w:hint="eastAsia" w:ascii="宋体" w:hAnsi="宋体"/>
          <w:b/>
          <w:sz w:val="32"/>
          <w:szCs w:val="32"/>
          <w:highlight w:val="none"/>
        </w:rPr>
        <w:t>1.报价商务技术文件封面格式</w:t>
      </w:r>
    </w:p>
    <w:p w14:paraId="4A41A98E">
      <w:pPr>
        <w:spacing w:after="50"/>
        <w:rPr>
          <w:rFonts w:hint="eastAsia" w:ascii="宋体" w:hAnsi="宋体"/>
          <w:sz w:val="24"/>
          <w:szCs w:val="20"/>
          <w:highlight w:val="none"/>
        </w:rPr>
      </w:pPr>
      <w:r>
        <w:rPr>
          <w:rFonts w:hint="eastAsia" w:ascii="宋体" w:hAnsi="宋体"/>
          <w:sz w:val="24"/>
          <w:highlight w:val="none"/>
        </w:rPr>
        <w:t xml:space="preserve">                                                        </w:t>
      </w:r>
      <w:r>
        <w:rPr>
          <w:rFonts w:hint="eastAsia" w:ascii="宋体" w:hAnsi="宋体"/>
          <w:bCs/>
          <w:color w:val="000000"/>
          <w:highlight w:val="none"/>
        </w:rPr>
        <w:t>全流程电子文件</w:t>
      </w:r>
    </w:p>
    <w:p w14:paraId="67DA8AF7">
      <w:pPr>
        <w:spacing w:after="50"/>
        <w:rPr>
          <w:rFonts w:hint="eastAsia" w:ascii="宋体" w:hAnsi="宋体"/>
          <w:sz w:val="24"/>
          <w:szCs w:val="20"/>
          <w:highlight w:val="none"/>
        </w:rPr>
      </w:pPr>
    </w:p>
    <w:p w14:paraId="28FC4CA9">
      <w:pPr>
        <w:spacing w:after="50"/>
        <w:rPr>
          <w:rFonts w:hint="eastAsia" w:ascii="宋体" w:hAnsi="宋体"/>
          <w:sz w:val="24"/>
          <w:szCs w:val="20"/>
          <w:highlight w:val="none"/>
        </w:rPr>
      </w:pPr>
    </w:p>
    <w:p w14:paraId="04FE1CB2">
      <w:pPr>
        <w:spacing w:after="50"/>
        <w:jc w:val="center"/>
        <w:rPr>
          <w:rFonts w:hint="eastAsia" w:ascii="宋体" w:hAnsi="宋体" w:cs="方正小标宋简体"/>
          <w:bCs/>
          <w:sz w:val="44"/>
          <w:szCs w:val="44"/>
          <w:highlight w:val="none"/>
        </w:rPr>
      </w:pPr>
      <w:r>
        <w:rPr>
          <w:rFonts w:hint="eastAsia" w:ascii="宋体" w:hAnsi="宋体" w:cs="方正小标宋简体"/>
          <w:bCs/>
          <w:sz w:val="44"/>
          <w:szCs w:val="44"/>
          <w:highlight w:val="none"/>
        </w:rPr>
        <w:t>报  价  商  务  技  术  文  件</w:t>
      </w:r>
    </w:p>
    <w:p w14:paraId="4DDB9C91">
      <w:pPr>
        <w:spacing w:after="50"/>
        <w:rPr>
          <w:rFonts w:hint="eastAsia" w:ascii="宋体" w:hAnsi="宋体"/>
          <w:bCs/>
          <w:sz w:val="24"/>
          <w:szCs w:val="20"/>
          <w:highlight w:val="none"/>
        </w:rPr>
      </w:pPr>
    </w:p>
    <w:p w14:paraId="650018B8">
      <w:pPr>
        <w:spacing w:after="50"/>
        <w:rPr>
          <w:rFonts w:hint="eastAsia" w:ascii="宋体" w:hAnsi="宋体"/>
          <w:bCs/>
          <w:sz w:val="24"/>
          <w:szCs w:val="20"/>
          <w:highlight w:val="none"/>
        </w:rPr>
      </w:pPr>
    </w:p>
    <w:p w14:paraId="198C1E29">
      <w:pPr>
        <w:spacing w:after="50"/>
        <w:rPr>
          <w:rFonts w:hint="eastAsia" w:ascii="宋体" w:hAnsi="宋体"/>
          <w:bCs/>
          <w:sz w:val="24"/>
          <w:szCs w:val="20"/>
          <w:highlight w:val="none"/>
        </w:rPr>
      </w:pPr>
    </w:p>
    <w:p w14:paraId="6EC0F1D2">
      <w:pPr>
        <w:spacing w:after="50"/>
        <w:rPr>
          <w:rFonts w:hint="eastAsia" w:ascii="宋体" w:hAnsi="宋体"/>
          <w:bCs/>
          <w:sz w:val="24"/>
          <w:szCs w:val="20"/>
          <w:highlight w:val="none"/>
        </w:rPr>
      </w:pPr>
    </w:p>
    <w:p w14:paraId="61F0A449">
      <w:pPr>
        <w:spacing w:after="50"/>
        <w:rPr>
          <w:rFonts w:hint="eastAsia" w:ascii="宋体" w:hAnsi="宋体"/>
          <w:bCs/>
          <w:sz w:val="24"/>
          <w:szCs w:val="20"/>
          <w:highlight w:val="none"/>
        </w:rPr>
      </w:pPr>
    </w:p>
    <w:p w14:paraId="3FF2A02D">
      <w:pPr>
        <w:spacing w:after="50"/>
        <w:ind w:firstLine="640"/>
        <w:rPr>
          <w:rFonts w:hint="eastAsia" w:ascii="宋体" w:hAnsi="宋体" w:cs="仿宋_GB2312"/>
          <w:bCs/>
          <w:sz w:val="32"/>
          <w:szCs w:val="32"/>
          <w:highlight w:val="none"/>
        </w:rPr>
      </w:pPr>
      <w:r>
        <w:rPr>
          <w:rFonts w:hint="eastAsia" w:ascii="宋体" w:hAnsi="宋体" w:cs="仿宋_GB2312"/>
          <w:bCs/>
          <w:sz w:val="32"/>
          <w:szCs w:val="32"/>
          <w:highlight w:val="none"/>
        </w:rPr>
        <w:t>项目名称：</w:t>
      </w:r>
    </w:p>
    <w:p w14:paraId="45F0F4F2">
      <w:pPr>
        <w:spacing w:after="50"/>
        <w:ind w:firstLine="720"/>
        <w:rPr>
          <w:rFonts w:hint="eastAsia" w:ascii="宋体" w:hAnsi="宋体" w:cs="仿宋_GB2312"/>
          <w:bCs/>
          <w:sz w:val="32"/>
          <w:szCs w:val="32"/>
          <w:highlight w:val="none"/>
        </w:rPr>
      </w:pPr>
    </w:p>
    <w:p w14:paraId="0B8DDBCA">
      <w:pPr>
        <w:spacing w:after="50"/>
        <w:ind w:firstLine="640"/>
        <w:rPr>
          <w:rFonts w:hint="eastAsia" w:ascii="宋体" w:hAnsi="宋体" w:cs="仿宋_GB2312"/>
          <w:bCs/>
          <w:sz w:val="32"/>
          <w:szCs w:val="32"/>
          <w:highlight w:val="none"/>
        </w:rPr>
      </w:pPr>
      <w:r>
        <w:rPr>
          <w:rFonts w:hint="eastAsia" w:ascii="宋体" w:hAnsi="宋体" w:cs="仿宋_GB2312"/>
          <w:bCs/>
          <w:sz w:val="32"/>
          <w:szCs w:val="32"/>
          <w:highlight w:val="none"/>
        </w:rPr>
        <w:t>项目编号：</w:t>
      </w:r>
    </w:p>
    <w:p w14:paraId="6E3FCE5D">
      <w:pPr>
        <w:spacing w:after="50"/>
        <w:ind w:firstLine="720"/>
        <w:rPr>
          <w:rFonts w:hint="eastAsia" w:ascii="宋体" w:hAnsi="宋体" w:cs="仿宋_GB2312"/>
          <w:bCs/>
          <w:sz w:val="32"/>
          <w:szCs w:val="32"/>
          <w:highlight w:val="none"/>
        </w:rPr>
      </w:pPr>
      <w:r>
        <w:rPr>
          <w:rFonts w:hint="eastAsia" w:ascii="宋体" w:hAnsi="宋体" w:cs="仿宋_GB2312"/>
          <w:bCs/>
          <w:sz w:val="32"/>
          <w:szCs w:val="32"/>
          <w:highlight w:val="none"/>
        </w:rPr>
        <w:t xml:space="preserve"> </w:t>
      </w:r>
    </w:p>
    <w:p w14:paraId="120859DF">
      <w:pPr>
        <w:spacing w:after="50"/>
        <w:ind w:firstLine="720"/>
        <w:rPr>
          <w:rFonts w:hint="eastAsia" w:ascii="宋体" w:hAnsi="宋体" w:cs="仿宋_GB2312"/>
          <w:bCs/>
          <w:sz w:val="32"/>
          <w:szCs w:val="32"/>
          <w:highlight w:val="none"/>
        </w:rPr>
      </w:pPr>
      <w:r>
        <w:rPr>
          <w:rFonts w:hint="eastAsia" w:ascii="宋体" w:hAnsi="宋体" w:cs="仿宋_GB2312"/>
          <w:bCs/>
          <w:color w:val="000000"/>
          <w:sz w:val="32"/>
          <w:szCs w:val="32"/>
          <w:highlight w:val="none"/>
        </w:rPr>
        <w:t>所竞分标（如有则填写，无分标时填写“无”或者留空）：</w:t>
      </w:r>
    </w:p>
    <w:p w14:paraId="42E2540C">
      <w:pPr>
        <w:pStyle w:val="2"/>
        <w:spacing w:before="50" w:after="50"/>
        <w:ind w:firstLine="640"/>
        <w:rPr>
          <w:rFonts w:hint="eastAsia" w:ascii="宋体" w:hAnsi="宋体" w:cs="仿宋_GB2312"/>
          <w:bCs/>
          <w:sz w:val="32"/>
          <w:szCs w:val="32"/>
          <w:highlight w:val="none"/>
        </w:rPr>
      </w:pPr>
    </w:p>
    <w:p w14:paraId="2E8CEA1D">
      <w:pPr>
        <w:pStyle w:val="2"/>
        <w:spacing w:before="50" w:after="50"/>
        <w:ind w:firstLine="640"/>
        <w:rPr>
          <w:rFonts w:hint="eastAsia" w:ascii="宋体" w:hAnsi="宋体" w:cs="仿宋_GB2312"/>
          <w:bCs/>
          <w:sz w:val="32"/>
          <w:szCs w:val="32"/>
          <w:highlight w:val="none"/>
        </w:rPr>
      </w:pPr>
    </w:p>
    <w:p w14:paraId="5FE4BB16">
      <w:pPr>
        <w:pStyle w:val="2"/>
        <w:spacing w:before="50" w:after="50"/>
        <w:ind w:firstLine="640"/>
        <w:rPr>
          <w:rFonts w:hint="eastAsia" w:ascii="宋体" w:hAnsi="宋体" w:cs="仿宋_GB2312"/>
          <w:bCs/>
          <w:sz w:val="32"/>
          <w:szCs w:val="32"/>
          <w:highlight w:val="none"/>
        </w:rPr>
      </w:pPr>
      <w:r>
        <w:rPr>
          <w:rFonts w:hint="eastAsia" w:ascii="宋体" w:hAnsi="宋体" w:cs="仿宋_GB2312"/>
          <w:bCs/>
          <w:sz w:val="32"/>
          <w:szCs w:val="32"/>
          <w:highlight w:val="none"/>
        </w:rPr>
        <w:t>供应商名称：</w:t>
      </w:r>
    </w:p>
    <w:p w14:paraId="6DEB1738">
      <w:pPr>
        <w:pStyle w:val="2"/>
        <w:spacing w:before="50" w:after="50"/>
        <w:ind w:firstLine="720"/>
        <w:rPr>
          <w:rFonts w:hint="eastAsia" w:ascii="宋体" w:hAnsi="宋体" w:cs="仿宋_GB2312"/>
          <w:bCs/>
          <w:sz w:val="32"/>
          <w:szCs w:val="32"/>
          <w:highlight w:val="none"/>
        </w:rPr>
      </w:pPr>
    </w:p>
    <w:p w14:paraId="5D0CA90D">
      <w:pPr>
        <w:pStyle w:val="2"/>
        <w:spacing w:before="50" w:after="50"/>
        <w:ind w:firstLine="720"/>
        <w:rPr>
          <w:rFonts w:hint="eastAsia" w:ascii="宋体" w:hAnsi="宋体" w:cs="仿宋_GB2312"/>
          <w:bCs/>
          <w:sz w:val="32"/>
          <w:szCs w:val="32"/>
          <w:highlight w:val="none"/>
        </w:rPr>
      </w:pPr>
    </w:p>
    <w:p w14:paraId="34891FE3">
      <w:pPr>
        <w:pStyle w:val="2"/>
        <w:spacing w:before="50" w:after="50"/>
        <w:ind w:firstLine="1280"/>
        <w:rPr>
          <w:rFonts w:hint="eastAsia" w:ascii="宋体" w:hAnsi="宋体" w:cs="仿宋_GB2312"/>
          <w:bCs/>
          <w:sz w:val="32"/>
          <w:szCs w:val="32"/>
          <w:highlight w:val="none"/>
        </w:rPr>
      </w:pPr>
    </w:p>
    <w:p w14:paraId="39B5A859">
      <w:pPr>
        <w:spacing w:after="50"/>
        <w:jc w:val="center"/>
        <w:rPr>
          <w:rFonts w:hint="eastAsia" w:ascii="宋体" w:hAnsi="宋体" w:cs="仿宋_GB2312"/>
          <w:sz w:val="32"/>
          <w:szCs w:val="32"/>
          <w:highlight w:val="none"/>
        </w:rPr>
      </w:pPr>
      <w:r>
        <w:rPr>
          <w:rFonts w:hint="eastAsia" w:ascii="宋体" w:hAnsi="宋体" w:cs="仿宋_GB2312"/>
          <w:sz w:val="32"/>
          <w:szCs w:val="32"/>
          <w:highlight w:val="none"/>
        </w:rPr>
        <w:t>年    月    日</w:t>
      </w:r>
    </w:p>
    <w:p w14:paraId="1FCA10BE">
      <w:pPr>
        <w:spacing w:after="50" w:line="360" w:lineRule="auto"/>
        <w:ind w:left="142"/>
        <w:rPr>
          <w:rFonts w:hint="eastAsia" w:ascii="宋体" w:hAnsi="宋体"/>
          <w:b/>
          <w:bCs/>
          <w:sz w:val="24"/>
          <w:highlight w:val="none"/>
        </w:rPr>
      </w:pPr>
      <w:r>
        <w:rPr>
          <w:rFonts w:ascii="宋体" w:hAnsi="宋体"/>
          <w:sz w:val="24"/>
          <w:highlight w:val="none"/>
        </w:rPr>
        <w:br w:type="page" w:clear="all"/>
      </w:r>
      <w:r>
        <w:rPr>
          <w:rFonts w:hint="eastAsia" w:ascii="宋体" w:hAnsi="宋体"/>
          <w:b/>
          <w:bCs/>
          <w:sz w:val="32"/>
          <w:szCs w:val="32"/>
          <w:highlight w:val="none"/>
        </w:rPr>
        <w:t>2.报价商务技术文件目录</w:t>
      </w:r>
    </w:p>
    <w:p w14:paraId="77A67CE7">
      <w:pPr>
        <w:spacing w:after="50" w:line="360" w:lineRule="auto"/>
        <w:ind w:right="800" w:firstLine="640"/>
        <w:rPr>
          <w:rFonts w:ascii="宋体" w:hAnsi="宋体"/>
          <w:sz w:val="32"/>
          <w:szCs w:val="32"/>
          <w:highlight w:val="none"/>
        </w:rPr>
      </w:pPr>
      <w:r>
        <w:rPr>
          <w:rFonts w:hint="eastAsia" w:ascii="宋体" w:hAnsi="宋体"/>
          <w:sz w:val="32"/>
          <w:szCs w:val="32"/>
          <w:highlight w:val="none"/>
        </w:rPr>
        <w:t>根据磋商文件规定及供应商提供的材料自行编写目录（部分格式后附）。</w:t>
      </w:r>
    </w:p>
    <w:p w14:paraId="5A3C5594">
      <w:pPr>
        <w:spacing w:line="360" w:lineRule="auto"/>
        <w:ind w:firstLine="1897"/>
        <w:rPr>
          <w:rFonts w:hint="eastAsia" w:ascii="宋体" w:hAnsi="宋体" w:cs="宋体"/>
          <w:b/>
          <w:bCs/>
          <w:szCs w:val="21"/>
          <w:highlight w:val="none"/>
        </w:rPr>
      </w:pPr>
    </w:p>
    <w:p w14:paraId="33CA4C55">
      <w:pPr>
        <w:pStyle w:val="20"/>
        <w:rPr>
          <w:rFonts w:hint="eastAsia" w:ascii="宋体" w:hAnsi="宋体" w:cs="宋体"/>
          <w:b/>
          <w:bCs/>
          <w:szCs w:val="21"/>
          <w:highlight w:val="none"/>
        </w:rPr>
      </w:pPr>
    </w:p>
    <w:p w14:paraId="29CBA0F2">
      <w:pPr>
        <w:pStyle w:val="20"/>
        <w:rPr>
          <w:rFonts w:hint="eastAsia" w:ascii="宋体" w:hAnsi="宋体" w:cs="宋体"/>
          <w:b/>
          <w:bCs/>
          <w:szCs w:val="21"/>
          <w:highlight w:val="none"/>
        </w:rPr>
      </w:pPr>
    </w:p>
    <w:p w14:paraId="56390F47">
      <w:pPr>
        <w:pStyle w:val="20"/>
        <w:rPr>
          <w:rFonts w:hint="eastAsia" w:ascii="宋体" w:hAnsi="宋体" w:cs="宋体"/>
          <w:b/>
          <w:bCs/>
          <w:szCs w:val="21"/>
          <w:highlight w:val="none"/>
        </w:rPr>
      </w:pPr>
    </w:p>
    <w:p w14:paraId="40D82AD0">
      <w:pPr>
        <w:rPr>
          <w:rFonts w:hint="eastAsia"/>
          <w:highlight w:val="none"/>
        </w:rPr>
      </w:pPr>
    </w:p>
    <w:p w14:paraId="55F3A380">
      <w:pPr>
        <w:pStyle w:val="20"/>
        <w:rPr>
          <w:rFonts w:hint="eastAsia" w:ascii="宋体" w:hAnsi="宋体" w:cs="宋体"/>
          <w:b/>
          <w:bCs/>
          <w:szCs w:val="21"/>
          <w:highlight w:val="none"/>
        </w:rPr>
      </w:pPr>
    </w:p>
    <w:p w14:paraId="07807B31">
      <w:pPr>
        <w:spacing w:line="520" w:lineRule="exact"/>
        <w:jc w:val="center"/>
        <w:rPr>
          <w:rFonts w:hint="eastAsia" w:ascii="宋体" w:hAnsi="宋体" w:cs="仿宋_GB2312"/>
          <w:sz w:val="32"/>
          <w:szCs w:val="32"/>
          <w:highlight w:val="none"/>
        </w:rPr>
      </w:pPr>
      <w:r>
        <w:rPr>
          <w:rFonts w:hint="eastAsia" w:hAnsi="宋体" w:cs="宋体"/>
          <w:b/>
          <w:sz w:val="28"/>
          <w:szCs w:val="28"/>
          <w:highlight w:val="none"/>
        </w:rPr>
        <w:br w:type="page" w:clear="all"/>
      </w:r>
      <w:r>
        <w:rPr>
          <w:rFonts w:hint="eastAsia" w:ascii="宋体" w:hAnsi="宋体" w:cs="宋体"/>
          <w:bCs/>
          <w:sz w:val="32"/>
          <w:szCs w:val="32"/>
          <w:highlight w:val="none"/>
        </w:rPr>
        <w:t>3.</w:t>
      </w:r>
      <w:r>
        <w:rPr>
          <w:rFonts w:hint="eastAsia" w:ascii="宋体" w:hAnsi="宋体" w:cs="方正小标宋简体"/>
          <w:sz w:val="32"/>
          <w:szCs w:val="32"/>
          <w:highlight w:val="none"/>
        </w:rPr>
        <w:t>无串通竞标行为的承诺函</w:t>
      </w:r>
    </w:p>
    <w:p w14:paraId="5D462226">
      <w:pPr>
        <w:spacing w:line="400" w:lineRule="exact"/>
        <w:ind w:right="800" w:firstLine="640"/>
        <w:rPr>
          <w:rFonts w:hint="eastAsia" w:ascii="宋体" w:hAnsi="宋体" w:cs="仿宋_GB2312"/>
          <w:sz w:val="32"/>
          <w:szCs w:val="32"/>
          <w:highlight w:val="none"/>
        </w:rPr>
      </w:pPr>
    </w:p>
    <w:p w14:paraId="1AA2F384">
      <w:pPr>
        <w:widowControl/>
        <w:spacing w:line="360" w:lineRule="auto"/>
        <w:ind w:firstLine="482"/>
        <w:rPr>
          <w:rFonts w:hint="eastAsia" w:ascii="宋体" w:hAnsi="宋体" w:cs="仿宋_GB2312"/>
          <w:b/>
          <w:bCs/>
          <w:sz w:val="24"/>
          <w:highlight w:val="none"/>
        </w:rPr>
      </w:pPr>
      <w:r>
        <w:rPr>
          <w:rFonts w:hint="eastAsia" w:ascii="宋体" w:hAnsi="宋体" w:cs="仿宋_GB2312"/>
          <w:b/>
          <w:bCs/>
          <w:sz w:val="24"/>
          <w:highlight w:val="none"/>
        </w:rPr>
        <w:t>一、我方承诺无下列相互串通竞标的情形：</w:t>
      </w:r>
    </w:p>
    <w:p w14:paraId="58D068D6">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1.不同供应商的响应文件由同一单位或者个人编制；或者不同供应商报名的IP地址一致的；</w:t>
      </w:r>
    </w:p>
    <w:p w14:paraId="2B96A7F6">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2.不同供应商委托同一单位或者个人办理竞标事宜；</w:t>
      </w:r>
    </w:p>
    <w:p w14:paraId="1F705A53">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3.不同供应商的响应文件载明的项目管理员为同一个人；</w:t>
      </w:r>
    </w:p>
    <w:p w14:paraId="5185FB63">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4.不</w:t>
      </w:r>
      <w:r>
        <w:rPr>
          <w:rFonts w:hint="eastAsia" w:ascii="宋体" w:hAnsi="宋体" w:cs="仿宋_GB2312"/>
          <w:spacing w:val="-6"/>
          <w:sz w:val="24"/>
          <w:highlight w:val="none"/>
        </w:rPr>
        <w:t>同供应商的响应文件异常一致或者竞标报价呈规律性差异；</w:t>
      </w:r>
    </w:p>
    <w:p w14:paraId="4EAD98D9">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5.不同供应商的响应文件相互混装；</w:t>
      </w:r>
    </w:p>
    <w:p w14:paraId="089A1520">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6.不同供应商的磋商保证金从同一单位或者个人账户转出。</w:t>
      </w:r>
    </w:p>
    <w:p w14:paraId="5FC7F40F">
      <w:pPr>
        <w:widowControl/>
        <w:spacing w:line="360" w:lineRule="auto"/>
        <w:ind w:firstLine="482"/>
        <w:rPr>
          <w:rFonts w:hint="eastAsia" w:ascii="宋体" w:hAnsi="宋体" w:cs="仿宋_GB2312"/>
          <w:b/>
          <w:bCs/>
          <w:sz w:val="24"/>
          <w:highlight w:val="none"/>
        </w:rPr>
      </w:pPr>
      <w:r>
        <w:rPr>
          <w:rFonts w:hint="eastAsia" w:ascii="宋体" w:hAnsi="宋体" w:cs="仿宋_GB2312"/>
          <w:b/>
          <w:bCs/>
          <w:sz w:val="24"/>
          <w:highlight w:val="none"/>
        </w:rPr>
        <w:t>二、我方承诺无下列恶意串通的情形：</w:t>
      </w:r>
    </w:p>
    <w:p w14:paraId="22F0B46B">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1.供应商直接或者间接从采购人或者采购代理机构处获得其他供应商的相关信息并修改其响应文件；</w:t>
      </w:r>
    </w:p>
    <w:p w14:paraId="41EA94B1">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2.供应商按照采购人或者采购代理机构的授意撤换、修改响应文件；</w:t>
      </w:r>
    </w:p>
    <w:p w14:paraId="5D114EEC">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3.供</w:t>
      </w:r>
      <w:r>
        <w:rPr>
          <w:rFonts w:hint="eastAsia" w:ascii="宋体" w:hAnsi="宋体" w:cs="仿宋_GB2312"/>
          <w:spacing w:val="-6"/>
          <w:sz w:val="24"/>
          <w:highlight w:val="none"/>
        </w:rPr>
        <w:t>应商之间协商报价、技术方案等响应文件的实质性内容；</w:t>
      </w:r>
    </w:p>
    <w:p w14:paraId="51CD73B2">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4.属于同一集团、协会、商会等组织成员的供应商按照该组织要求协同参加政府采购活动；</w:t>
      </w:r>
    </w:p>
    <w:p w14:paraId="428C0055">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5.供应商之间事先约定一致抬高或者压低竞标报价，或者在竞争性磋商项目中事先约定轮流以高价位或者低价位成交，或者事先约定由某一特定供应商成交，然后再参加竞标；</w:t>
      </w:r>
    </w:p>
    <w:p w14:paraId="0E044E10">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6.供应商之间商定部分供应商放弃参加政府采购活动或者放弃成交；</w:t>
      </w:r>
    </w:p>
    <w:p w14:paraId="2A658717">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7.供应商与采购人或者采购代理机构之间、供应商相互之间，为</w:t>
      </w:r>
      <w:r>
        <w:rPr>
          <w:rFonts w:hint="eastAsia" w:ascii="宋体" w:hAnsi="宋体" w:cs="仿宋_GB2312"/>
          <w:spacing w:val="-6"/>
          <w:sz w:val="24"/>
          <w:highlight w:val="none"/>
        </w:rPr>
        <w:t>谋求特定供应商成交或者排斥其他供应商的其他串通行为。</w:t>
      </w:r>
    </w:p>
    <w:p w14:paraId="0C84DB8E">
      <w:pPr>
        <w:widowControl/>
        <w:spacing w:line="360" w:lineRule="auto"/>
        <w:ind w:firstLine="480"/>
        <w:rPr>
          <w:rFonts w:hint="eastAsia" w:ascii="宋体" w:hAnsi="宋体" w:cs="仿宋_GB2312"/>
          <w:sz w:val="24"/>
          <w:highlight w:val="none"/>
        </w:rPr>
      </w:pPr>
    </w:p>
    <w:p w14:paraId="69E869B2">
      <w:pPr>
        <w:widowControl/>
        <w:spacing w:line="360" w:lineRule="auto"/>
        <w:ind w:firstLine="482"/>
        <w:rPr>
          <w:rFonts w:hint="eastAsia" w:ascii="宋体" w:hAnsi="宋体" w:cs="仿宋_GB2312"/>
          <w:b/>
          <w:bCs/>
          <w:sz w:val="24"/>
          <w:highlight w:val="none"/>
        </w:rPr>
      </w:pPr>
      <w:r>
        <w:rPr>
          <w:rFonts w:hint="eastAsia" w:ascii="宋体" w:hAnsi="宋体" w:cs="仿宋_GB2312"/>
          <w:b/>
          <w:bCs/>
          <w:sz w:val="24"/>
          <w:highlight w:val="none"/>
        </w:rPr>
        <w:t>以上情形一经核查属实，</w:t>
      </w:r>
      <w:bookmarkStart w:id="202" w:name="REVIEW_BM_1220"/>
      <w:r>
        <w:rPr>
          <w:rFonts w:hint="eastAsia" w:ascii="宋体" w:hAnsi="宋体" w:cs="仿宋_GB2312"/>
          <w:b/>
          <w:bCs/>
          <w:sz w:val="24"/>
          <w:highlight w:val="none"/>
        </w:rPr>
        <w:t>我方</w:t>
      </w:r>
      <w:bookmarkEnd w:id="202"/>
      <w:r>
        <w:rPr>
          <w:rFonts w:hint="eastAsia" w:ascii="宋体" w:hAnsi="宋体" w:cs="仿宋_GB2312"/>
          <w:b/>
          <w:bCs/>
          <w:sz w:val="24"/>
          <w:highlight w:val="none"/>
        </w:rPr>
        <w:t>愿意承担一切后果，并不再寻求任何旨在减轻或者免除法律责任的辩解。</w:t>
      </w:r>
    </w:p>
    <w:p w14:paraId="52426375">
      <w:pPr>
        <w:widowControl/>
        <w:spacing w:line="360" w:lineRule="auto"/>
        <w:rPr>
          <w:rFonts w:hint="eastAsia" w:ascii="宋体" w:hAnsi="宋体" w:cs="仿宋_GB2312"/>
          <w:sz w:val="24"/>
          <w:highlight w:val="none"/>
        </w:rPr>
      </w:pPr>
    </w:p>
    <w:p w14:paraId="44B0BBE3">
      <w:pPr>
        <w:widowControl/>
        <w:spacing w:line="360" w:lineRule="auto"/>
        <w:ind w:firstLine="3600"/>
        <w:rPr>
          <w:rFonts w:ascii="宋体" w:hAnsi="宋体" w:cs="仿宋_GB2312"/>
          <w:sz w:val="24"/>
          <w:highlight w:val="none"/>
          <w:u w:val="single"/>
        </w:rPr>
      </w:pPr>
      <w:r>
        <w:rPr>
          <w:rFonts w:hint="eastAsia" w:ascii="宋体" w:hAnsi="宋体" w:cs="仿宋_GB2312"/>
          <w:sz w:val="24"/>
          <w:highlight w:val="none"/>
        </w:rPr>
        <w:t>供应商（电子签章）：</w:t>
      </w:r>
      <w:r>
        <w:rPr>
          <w:rFonts w:hint="eastAsia" w:ascii="宋体" w:hAnsi="宋体" w:cs="仿宋_GB2312"/>
          <w:sz w:val="24"/>
          <w:highlight w:val="none"/>
          <w:u w:val="single"/>
        </w:rPr>
        <w:t xml:space="preserve">                  </w:t>
      </w:r>
    </w:p>
    <w:p w14:paraId="74AB9B51">
      <w:pPr>
        <w:widowControl/>
        <w:spacing w:line="360" w:lineRule="auto"/>
        <w:ind w:firstLine="480"/>
        <w:jc w:val="center"/>
        <w:rPr>
          <w:rFonts w:hint="eastAsia" w:ascii="宋体" w:hAnsi="宋体" w:cs="仿宋_GB2312"/>
          <w:sz w:val="32"/>
          <w:szCs w:val="32"/>
          <w:highlight w:val="none"/>
        </w:rPr>
      </w:pPr>
      <w:r>
        <w:rPr>
          <w:rFonts w:hint="eastAsia" w:ascii="宋体" w:hAnsi="宋体" w:cs="仿宋_GB2312"/>
          <w:sz w:val="24"/>
          <w:highlight w:val="none"/>
        </w:rPr>
        <w:t xml:space="preserve">                       日期：    年   月   日</w:t>
      </w:r>
    </w:p>
    <w:p w14:paraId="324419B4">
      <w:pPr>
        <w:widowControl/>
        <w:spacing w:line="480" w:lineRule="auto"/>
        <w:jc w:val="center"/>
        <w:rPr>
          <w:rFonts w:ascii="宋体" w:hAnsi="宋体" w:cs="仿宋_GB2312"/>
          <w:b/>
          <w:sz w:val="32"/>
          <w:szCs w:val="32"/>
          <w:highlight w:val="none"/>
        </w:rPr>
      </w:pPr>
      <w:r>
        <w:rPr>
          <w:rFonts w:hint="eastAsia" w:ascii="宋体" w:hAnsi="宋体" w:cs="方正小标宋简体"/>
          <w:bCs/>
          <w:sz w:val="44"/>
          <w:szCs w:val="44"/>
          <w:highlight w:val="none"/>
        </w:rPr>
        <w:br w:type="page" w:clear="all"/>
      </w:r>
      <w:r>
        <w:rPr>
          <w:rFonts w:hint="eastAsia" w:ascii="宋体" w:hAnsi="宋体" w:cs="宋体"/>
          <w:bCs/>
          <w:sz w:val="32"/>
          <w:szCs w:val="32"/>
          <w:highlight w:val="none"/>
        </w:rPr>
        <w:t>4.</w:t>
      </w:r>
      <w:r>
        <w:rPr>
          <w:rFonts w:hint="eastAsia" w:ascii="宋体" w:hAnsi="宋体" w:cs="宋体"/>
          <w:b/>
          <w:sz w:val="32"/>
          <w:szCs w:val="32"/>
          <w:highlight w:val="none"/>
        </w:rPr>
        <w:t>磋商</w:t>
      </w:r>
      <w:r>
        <w:rPr>
          <w:rFonts w:hint="eastAsia" w:ascii="宋体" w:hAnsi="宋体" w:cs="仿宋_GB2312"/>
          <w:b/>
          <w:sz w:val="32"/>
          <w:szCs w:val="32"/>
          <w:highlight w:val="none"/>
        </w:rPr>
        <w:t>函</w:t>
      </w:r>
    </w:p>
    <w:p w14:paraId="70938751">
      <w:pPr>
        <w:widowControl/>
        <w:spacing w:line="520" w:lineRule="exact"/>
        <w:ind w:firstLine="480"/>
        <w:rPr>
          <w:rFonts w:hint="eastAsia" w:ascii="宋体" w:hAnsi="宋体" w:cs="仿宋_GB2312"/>
          <w:sz w:val="24"/>
          <w:highlight w:val="none"/>
        </w:rPr>
      </w:pPr>
      <w:r>
        <w:rPr>
          <w:rFonts w:hint="eastAsia" w:ascii="宋体" w:hAnsi="宋体" w:cs="仿宋_GB2312"/>
          <w:sz w:val="24"/>
          <w:highlight w:val="none"/>
        </w:rPr>
        <w:t>1、根据你方项目编号为</w:t>
      </w:r>
      <w:r>
        <w:rPr>
          <w:rFonts w:hint="eastAsia" w:ascii="宋体" w:hAnsi="宋体" w:cs="仿宋_GB2312"/>
          <w:sz w:val="24"/>
          <w:highlight w:val="none"/>
          <w:u w:val="single"/>
        </w:rPr>
        <w:t xml:space="preserve"> （项目编号） 的 （项目名称） </w:t>
      </w:r>
      <w:r>
        <w:rPr>
          <w:rFonts w:hint="eastAsia" w:ascii="宋体" w:hAnsi="宋体" w:cs="仿宋_GB2312"/>
          <w:sz w:val="24"/>
          <w:highlight w:val="none"/>
        </w:rPr>
        <w:t>磋商采购文件， 经研究上述磋商采购文件的磋商须知、合同条款、图纸、工程建设标准和工程量清单及其他</w:t>
      </w:r>
      <w:bookmarkStart w:id="203" w:name="REVIEW_BM_1221"/>
      <w:r>
        <w:rPr>
          <w:rFonts w:hint="eastAsia" w:ascii="宋体" w:hAnsi="宋体" w:cs="仿宋_GB2312"/>
          <w:sz w:val="24"/>
          <w:highlight w:val="none"/>
        </w:rPr>
        <w:t>有关文件</w:t>
      </w:r>
      <w:bookmarkEnd w:id="203"/>
      <w:r>
        <w:rPr>
          <w:rFonts w:hint="eastAsia" w:ascii="宋体" w:hAnsi="宋体" w:cs="仿宋_GB2312"/>
          <w:sz w:val="24"/>
          <w:highlight w:val="none"/>
        </w:rPr>
        <w:t>后，我方愿以人民币（大写</w:t>
      </w:r>
      <w:r>
        <w:rPr>
          <w:rFonts w:hint="eastAsia" w:ascii="宋体" w:hAnsi="宋体" w:cs="仿宋_GB2312"/>
          <w:sz w:val="24"/>
          <w:highlight w:val="none"/>
          <w:u w:val="single"/>
        </w:rPr>
        <w:t>）</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（小写￥     元）</w:t>
      </w:r>
      <w:r>
        <w:rPr>
          <w:rFonts w:hint="eastAsia" w:ascii="宋体" w:hAnsi="宋体" w:cs="仿宋_GB2312"/>
          <w:sz w:val="24"/>
          <w:highlight w:val="none"/>
        </w:rPr>
        <w:t>的磋商总价并按上述图纸、合同条款、工程建设标准和工程量清单（如有时）的条件要求承包上述工程的施工、竣工，并承担任何质量缺陷保修责任。</w:t>
      </w:r>
      <w:bookmarkStart w:id="204" w:name="REVIEW_BM_1222"/>
      <w:r>
        <w:rPr>
          <w:rFonts w:hint="eastAsia" w:ascii="宋体" w:hAnsi="宋体" w:cs="仿宋_GB2312"/>
          <w:sz w:val="24"/>
          <w:highlight w:val="none"/>
        </w:rPr>
        <w:t>我方</w:t>
      </w:r>
      <w:bookmarkEnd w:id="204"/>
      <w:r>
        <w:rPr>
          <w:rFonts w:hint="eastAsia" w:ascii="宋体" w:hAnsi="宋体" w:cs="仿宋_GB2312"/>
          <w:sz w:val="24"/>
          <w:highlight w:val="none"/>
        </w:rPr>
        <w:t>保证工程质量达到</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w:t>
      </w:r>
      <w:r>
        <w:rPr>
          <w:rFonts w:hint="eastAsia" w:ascii="宋体" w:hAnsi="宋体" w:cs="仿宋_GB2312"/>
          <w:sz w:val="24"/>
          <w:highlight w:val="none"/>
        </w:rPr>
        <w:t>等级。</w:t>
      </w:r>
    </w:p>
    <w:p w14:paraId="1CF0A398">
      <w:pPr>
        <w:widowControl/>
        <w:spacing w:line="520" w:lineRule="exact"/>
        <w:ind w:firstLine="420"/>
        <w:rPr>
          <w:rFonts w:hint="eastAsia" w:ascii="宋体" w:hAnsi="宋体" w:cs="仿宋_GB2312"/>
          <w:sz w:val="24"/>
          <w:highlight w:val="none"/>
        </w:rPr>
      </w:pPr>
      <w:r>
        <w:rPr>
          <w:rFonts w:hint="eastAsia" w:ascii="宋体" w:hAnsi="宋体" w:cs="仿宋_GB2312"/>
          <w:sz w:val="24"/>
          <w:highlight w:val="none"/>
        </w:rPr>
        <w:t>2、我方已详细审核全部磋商采购文件，包括修改文件（如有时）及有关附件。</w:t>
      </w:r>
    </w:p>
    <w:p w14:paraId="33B222D2">
      <w:pPr>
        <w:widowControl/>
        <w:spacing w:line="520" w:lineRule="exact"/>
        <w:ind w:firstLine="420"/>
        <w:rPr>
          <w:rFonts w:hint="eastAsia" w:ascii="宋体" w:hAnsi="宋体" w:cs="仿宋_GB2312"/>
          <w:sz w:val="24"/>
          <w:highlight w:val="none"/>
        </w:rPr>
      </w:pPr>
      <w:r>
        <w:rPr>
          <w:rFonts w:hint="eastAsia" w:ascii="宋体" w:hAnsi="宋体" w:cs="仿宋_GB2312"/>
          <w:sz w:val="24"/>
          <w:highlight w:val="none"/>
        </w:rPr>
        <w:t>3、</w:t>
      </w:r>
      <w:bookmarkStart w:id="205" w:name="REVIEW_BM_1223"/>
      <w:r>
        <w:rPr>
          <w:rFonts w:hint="eastAsia" w:ascii="宋体" w:hAnsi="宋体" w:cs="仿宋_GB2312"/>
          <w:sz w:val="24"/>
          <w:highlight w:val="none"/>
        </w:rPr>
        <w:t>我方</w:t>
      </w:r>
      <w:bookmarkEnd w:id="205"/>
      <w:r>
        <w:rPr>
          <w:rFonts w:hint="eastAsia" w:ascii="宋体" w:hAnsi="宋体" w:cs="仿宋_GB2312"/>
          <w:sz w:val="24"/>
          <w:highlight w:val="none"/>
        </w:rPr>
        <w:t>承认磋商函附录是</w:t>
      </w:r>
      <w:bookmarkStart w:id="206" w:name="REVIEW_BM_1224"/>
      <w:r>
        <w:rPr>
          <w:rFonts w:hint="eastAsia" w:ascii="宋体" w:hAnsi="宋体" w:cs="仿宋_GB2312"/>
          <w:sz w:val="24"/>
          <w:highlight w:val="none"/>
        </w:rPr>
        <w:t>我方</w:t>
      </w:r>
      <w:bookmarkEnd w:id="206"/>
      <w:r>
        <w:rPr>
          <w:rFonts w:hint="eastAsia" w:ascii="宋体" w:hAnsi="宋体" w:cs="仿宋_GB2312"/>
          <w:sz w:val="24"/>
          <w:highlight w:val="none"/>
        </w:rPr>
        <w:t>响应文件的组成部分。</w:t>
      </w:r>
    </w:p>
    <w:p w14:paraId="3536D582">
      <w:pPr>
        <w:widowControl/>
        <w:spacing w:line="520" w:lineRule="exact"/>
        <w:ind w:firstLine="420"/>
        <w:rPr>
          <w:rFonts w:hint="eastAsia" w:ascii="宋体" w:hAnsi="宋体" w:cs="仿宋_GB2312"/>
          <w:sz w:val="24"/>
          <w:highlight w:val="none"/>
        </w:rPr>
      </w:pPr>
      <w:r>
        <w:rPr>
          <w:rFonts w:hint="eastAsia" w:ascii="宋体" w:hAnsi="宋体" w:cs="仿宋_GB2312"/>
          <w:sz w:val="24"/>
          <w:highlight w:val="none"/>
        </w:rPr>
        <w:t>4、一旦</w:t>
      </w:r>
      <w:bookmarkStart w:id="207" w:name="REVIEW_BM_1225"/>
      <w:r>
        <w:rPr>
          <w:rFonts w:hint="eastAsia" w:ascii="宋体" w:hAnsi="宋体" w:cs="仿宋_GB2312"/>
          <w:sz w:val="24"/>
          <w:highlight w:val="none"/>
        </w:rPr>
        <w:t>我方</w:t>
      </w:r>
      <w:bookmarkEnd w:id="207"/>
      <w:r>
        <w:rPr>
          <w:rFonts w:hint="eastAsia" w:ascii="宋体" w:hAnsi="宋体" w:cs="仿宋_GB2312"/>
          <w:sz w:val="24"/>
          <w:highlight w:val="none"/>
        </w:rPr>
        <w:t>成交，</w:t>
      </w:r>
      <w:bookmarkStart w:id="208" w:name="REVIEW_BM_1226"/>
      <w:r>
        <w:rPr>
          <w:rFonts w:hint="eastAsia" w:ascii="宋体" w:hAnsi="宋体" w:cs="仿宋_GB2312"/>
          <w:sz w:val="24"/>
          <w:highlight w:val="none"/>
        </w:rPr>
        <w:t>我方</w:t>
      </w:r>
      <w:bookmarkEnd w:id="208"/>
      <w:r>
        <w:rPr>
          <w:rFonts w:hint="eastAsia" w:ascii="宋体" w:hAnsi="宋体" w:cs="仿宋_GB2312"/>
          <w:sz w:val="24"/>
          <w:highlight w:val="none"/>
        </w:rPr>
        <w:t>保证按合同书中规定的工期</w:t>
      </w:r>
      <w:r>
        <w:rPr>
          <w:rFonts w:hint="eastAsia" w:ascii="宋体" w:hAnsi="宋体" w:cs="仿宋_GB2312"/>
          <w:sz w:val="24"/>
          <w:highlight w:val="none"/>
          <w:u w:val="single"/>
        </w:rPr>
        <w:t xml:space="preserve">      </w:t>
      </w:r>
      <w:r>
        <w:rPr>
          <w:rFonts w:hint="eastAsia" w:ascii="宋体" w:hAnsi="宋体" w:cs="仿宋_GB2312"/>
          <w:sz w:val="24"/>
          <w:highlight w:val="none"/>
        </w:rPr>
        <w:t>日历天内完成并移交全部工程。</w:t>
      </w:r>
    </w:p>
    <w:p w14:paraId="6DD82A6A">
      <w:pPr>
        <w:widowControl/>
        <w:spacing w:line="520" w:lineRule="exact"/>
        <w:ind w:firstLine="420"/>
        <w:rPr>
          <w:rFonts w:hint="eastAsia" w:ascii="宋体" w:hAnsi="宋体" w:cs="仿宋_GB2312"/>
          <w:sz w:val="24"/>
          <w:highlight w:val="none"/>
        </w:rPr>
      </w:pPr>
      <w:r>
        <w:rPr>
          <w:rFonts w:hint="eastAsia" w:ascii="宋体" w:hAnsi="宋体" w:cs="仿宋_GB2312"/>
          <w:sz w:val="24"/>
          <w:highlight w:val="none"/>
        </w:rPr>
        <w:t>5、如果</w:t>
      </w:r>
      <w:bookmarkStart w:id="209" w:name="REVIEW_BM_1227"/>
      <w:r>
        <w:rPr>
          <w:rFonts w:hint="eastAsia" w:ascii="宋体" w:hAnsi="宋体" w:cs="仿宋_GB2312"/>
          <w:sz w:val="24"/>
          <w:highlight w:val="none"/>
        </w:rPr>
        <w:t>我方</w:t>
      </w:r>
      <w:bookmarkEnd w:id="209"/>
      <w:r>
        <w:rPr>
          <w:rFonts w:hint="eastAsia" w:ascii="宋体" w:hAnsi="宋体" w:cs="仿宋_GB2312"/>
          <w:sz w:val="24"/>
          <w:highlight w:val="none"/>
        </w:rPr>
        <w:t>成交，我方将按照文件规定提交履约保证金作为履约担保。</w:t>
      </w:r>
    </w:p>
    <w:p w14:paraId="19014628">
      <w:pPr>
        <w:widowControl/>
        <w:spacing w:line="520" w:lineRule="exact"/>
        <w:ind w:firstLine="420"/>
        <w:rPr>
          <w:rFonts w:hint="eastAsia" w:ascii="宋体" w:hAnsi="宋体" w:cs="仿宋_GB2312"/>
          <w:sz w:val="24"/>
          <w:highlight w:val="none"/>
        </w:rPr>
      </w:pPr>
      <w:r>
        <w:rPr>
          <w:rFonts w:hint="eastAsia" w:ascii="宋体" w:hAnsi="宋体" w:cs="仿宋_GB2312"/>
          <w:sz w:val="24"/>
          <w:highlight w:val="none"/>
        </w:rPr>
        <w:t>6、</w:t>
      </w:r>
      <w:bookmarkStart w:id="210" w:name="REVIEW_BM_1228"/>
      <w:r>
        <w:rPr>
          <w:rFonts w:hint="eastAsia" w:ascii="宋体" w:hAnsi="宋体" w:cs="仿宋_GB2312"/>
          <w:sz w:val="24"/>
          <w:highlight w:val="none"/>
        </w:rPr>
        <w:t>我方</w:t>
      </w:r>
      <w:bookmarkEnd w:id="210"/>
      <w:r>
        <w:rPr>
          <w:rFonts w:hint="eastAsia" w:ascii="宋体" w:hAnsi="宋体" w:cs="仿宋_GB2312"/>
          <w:sz w:val="24"/>
          <w:highlight w:val="none"/>
        </w:rPr>
        <w:t>同意所提交的响应文件在磋商采购文件的“供应商须知”中规定的竞标有效期内有效，在此期间内如果成交，我方将受此约束。</w:t>
      </w:r>
    </w:p>
    <w:p w14:paraId="70F40A8A">
      <w:pPr>
        <w:widowControl/>
        <w:spacing w:line="520" w:lineRule="exact"/>
        <w:ind w:firstLine="420"/>
        <w:rPr>
          <w:rFonts w:hint="eastAsia" w:ascii="宋体" w:hAnsi="宋体" w:cs="仿宋_GB2312"/>
          <w:sz w:val="24"/>
          <w:highlight w:val="none"/>
        </w:rPr>
      </w:pPr>
      <w:r>
        <w:rPr>
          <w:rFonts w:hint="eastAsia" w:ascii="宋体" w:hAnsi="宋体" w:cs="仿宋_GB2312"/>
          <w:sz w:val="24"/>
          <w:highlight w:val="none"/>
        </w:rPr>
        <w:t>7、除非另外达成协议并生效，你方的成交通知书和本响应文件将成为约束双方的合同文件的组成部分。</w:t>
      </w:r>
    </w:p>
    <w:p w14:paraId="12394C6A">
      <w:pPr>
        <w:widowControl/>
        <w:spacing w:line="520" w:lineRule="exact"/>
        <w:ind w:firstLine="1440"/>
        <w:jc w:val="center"/>
        <w:rPr>
          <w:rFonts w:hint="eastAsia" w:ascii="宋体" w:hAnsi="宋体" w:cs="仿宋_GB2312"/>
          <w:sz w:val="24"/>
          <w:highlight w:val="none"/>
        </w:rPr>
      </w:pPr>
    </w:p>
    <w:p w14:paraId="45A7D474">
      <w:pPr>
        <w:widowControl/>
        <w:spacing w:line="520" w:lineRule="exact"/>
        <w:jc w:val="center"/>
        <w:rPr>
          <w:rFonts w:ascii="宋体" w:hAnsi="宋体" w:cs="仿宋_GB2312"/>
          <w:sz w:val="24"/>
          <w:highlight w:val="none"/>
        </w:rPr>
      </w:pPr>
      <w:r>
        <w:rPr>
          <w:rFonts w:hint="eastAsia" w:ascii="宋体" w:hAnsi="宋体" w:cs="仿宋_GB2312"/>
          <w:sz w:val="24"/>
          <w:highlight w:val="none"/>
        </w:rPr>
        <w:t xml:space="preserve">     供应商：</w:t>
      </w:r>
      <w:r>
        <w:rPr>
          <w:rFonts w:hint="eastAsia" w:ascii="宋体" w:hAnsi="宋体" w:cs="仿宋_GB2312"/>
          <w:sz w:val="24"/>
          <w:highlight w:val="none"/>
          <w:u w:val="single"/>
        </w:rPr>
        <w:t xml:space="preserve">                        </w:t>
      </w:r>
      <w:r>
        <w:rPr>
          <w:rFonts w:hint="eastAsia" w:ascii="宋体" w:hAnsi="宋体" w:cs="仿宋_GB2312"/>
          <w:sz w:val="24"/>
          <w:highlight w:val="none"/>
          <w:u w:val="single"/>
        </w:rPr>
        <w:tab/>
      </w:r>
      <w:r>
        <w:rPr>
          <w:rFonts w:hint="eastAsia" w:ascii="宋体" w:hAnsi="宋体" w:cs="仿宋_GB2312"/>
          <w:sz w:val="24"/>
          <w:highlight w:val="none"/>
          <w:u w:val="single"/>
        </w:rPr>
        <w:t>（电子签章）</w:t>
      </w:r>
    </w:p>
    <w:p w14:paraId="1A5C2352">
      <w:pPr>
        <w:widowControl/>
        <w:spacing w:line="520" w:lineRule="exact"/>
        <w:ind w:firstLine="2160"/>
        <w:rPr>
          <w:rFonts w:hint="eastAsia" w:ascii="宋体" w:hAnsi="宋体" w:cs="仿宋_GB2312"/>
          <w:sz w:val="24"/>
          <w:highlight w:val="none"/>
        </w:rPr>
      </w:pPr>
      <w:r>
        <w:rPr>
          <w:rFonts w:hint="eastAsia" w:ascii="宋体" w:hAnsi="宋体" w:cs="仿宋_GB2312"/>
          <w:sz w:val="24"/>
          <w:highlight w:val="none"/>
        </w:rPr>
        <w:t>单位地址：</w:t>
      </w:r>
    </w:p>
    <w:p w14:paraId="51F7B3B7">
      <w:pPr>
        <w:widowControl/>
        <w:spacing w:line="520" w:lineRule="exact"/>
        <w:ind w:firstLine="2160"/>
        <w:rPr>
          <w:rFonts w:ascii="宋体" w:hAnsi="宋体" w:cs="仿宋_GB2312"/>
          <w:sz w:val="24"/>
          <w:highlight w:val="none"/>
        </w:rPr>
      </w:pPr>
      <w:r>
        <w:rPr>
          <w:rFonts w:hint="eastAsia" w:ascii="宋体" w:hAnsi="宋体" w:cs="仿宋_GB2312"/>
          <w:sz w:val="24"/>
          <w:highlight w:val="none"/>
        </w:rPr>
        <w:t>法定代表人：</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（签字或盖章）</w:t>
      </w:r>
    </w:p>
    <w:p w14:paraId="76840D39">
      <w:pPr>
        <w:widowControl/>
        <w:spacing w:line="520" w:lineRule="exact"/>
        <w:ind w:firstLine="2160"/>
        <w:rPr>
          <w:rFonts w:ascii="宋体" w:hAnsi="宋体" w:cs="仿宋_GB2312"/>
          <w:sz w:val="24"/>
          <w:highlight w:val="none"/>
        </w:rPr>
      </w:pPr>
      <w:r>
        <w:rPr>
          <w:rFonts w:hint="eastAsia" w:ascii="宋体" w:hAnsi="宋体" w:cs="仿宋_GB2312"/>
          <w:sz w:val="24"/>
          <w:highlight w:val="none"/>
        </w:rPr>
        <w:t>邮政编码：</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w:t>
      </w:r>
      <w:r>
        <w:rPr>
          <w:rFonts w:hint="eastAsia" w:ascii="宋体" w:hAnsi="宋体" w:cs="仿宋_GB2312"/>
          <w:sz w:val="24"/>
          <w:highlight w:val="none"/>
        </w:rPr>
        <w:t>电话：</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w:t>
      </w:r>
      <w:r>
        <w:rPr>
          <w:rFonts w:hint="eastAsia" w:ascii="宋体" w:hAnsi="宋体" w:cs="仿宋_GB2312"/>
          <w:sz w:val="24"/>
          <w:highlight w:val="none"/>
        </w:rPr>
        <w:t>传真：</w:t>
      </w:r>
      <w:r>
        <w:rPr>
          <w:rFonts w:hint="eastAsia" w:ascii="宋体" w:hAnsi="宋体" w:cs="仿宋_GB2312"/>
          <w:sz w:val="24"/>
          <w:highlight w:val="none"/>
          <w:u w:val="single"/>
        </w:rPr>
        <w:t xml:space="preserve">        </w:t>
      </w:r>
    </w:p>
    <w:p w14:paraId="2CDCDC38">
      <w:pPr>
        <w:widowControl/>
        <w:spacing w:line="520" w:lineRule="exact"/>
        <w:ind w:firstLine="2160"/>
        <w:rPr>
          <w:rFonts w:ascii="宋体" w:hAnsi="宋体" w:cs="仿宋_GB2312"/>
          <w:sz w:val="24"/>
          <w:highlight w:val="none"/>
          <w:u w:val="single"/>
        </w:rPr>
      </w:pPr>
      <w:r>
        <w:rPr>
          <w:rFonts w:hint="eastAsia" w:ascii="宋体" w:hAnsi="宋体" w:cs="仿宋_GB2312"/>
          <w:sz w:val="24"/>
          <w:highlight w:val="none"/>
        </w:rPr>
        <w:t>开户银行名称：</w:t>
      </w:r>
    </w:p>
    <w:p w14:paraId="3C582840">
      <w:pPr>
        <w:widowControl/>
        <w:spacing w:line="520" w:lineRule="exact"/>
        <w:ind w:firstLine="2160"/>
        <w:rPr>
          <w:rFonts w:ascii="宋体" w:hAnsi="宋体" w:cs="仿宋_GB2312"/>
          <w:sz w:val="24"/>
          <w:highlight w:val="none"/>
        </w:rPr>
      </w:pPr>
      <w:r>
        <w:rPr>
          <w:rFonts w:hint="eastAsia" w:ascii="宋体" w:hAnsi="宋体" w:cs="仿宋_GB2312"/>
          <w:sz w:val="24"/>
          <w:highlight w:val="none"/>
        </w:rPr>
        <w:t>开户银行账号：</w:t>
      </w:r>
    </w:p>
    <w:p w14:paraId="75BF0D11">
      <w:pPr>
        <w:widowControl/>
        <w:spacing w:line="520" w:lineRule="exact"/>
        <w:ind w:firstLine="2160"/>
        <w:rPr>
          <w:rFonts w:ascii="宋体" w:hAnsi="宋体" w:cs="仿宋_GB2312"/>
          <w:sz w:val="24"/>
          <w:highlight w:val="none"/>
          <w:u w:val="single"/>
        </w:rPr>
      </w:pPr>
      <w:r>
        <w:rPr>
          <w:rFonts w:hint="eastAsia" w:ascii="宋体" w:hAnsi="宋体" w:cs="仿宋_GB2312"/>
          <w:sz w:val="24"/>
          <w:highlight w:val="none"/>
        </w:rPr>
        <w:t>开户银行地址：</w:t>
      </w:r>
    </w:p>
    <w:p w14:paraId="2ADECA0F">
      <w:pPr>
        <w:widowControl/>
        <w:spacing w:line="520" w:lineRule="exact"/>
        <w:ind w:firstLine="2160"/>
        <w:rPr>
          <w:rFonts w:ascii="宋体" w:hAnsi="宋体" w:cs="仿宋_GB2312"/>
          <w:sz w:val="24"/>
          <w:highlight w:val="none"/>
        </w:rPr>
      </w:pPr>
      <w:r>
        <w:rPr>
          <w:rFonts w:hint="eastAsia" w:ascii="宋体" w:hAnsi="宋体" w:cs="仿宋_GB2312"/>
          <w:sz w:val="24"/>
          <w:highlight w:val="none"/>
        </w:rPr>
        <w:t>开户银行电话：</w:t>
      </w:r>
      <w:r>
        <w:rPr>
          <w:rFonts w:hint="eastAsia" w:ascii="宋体" w:hAnsi="宋体" w:cs="仿宋_GB2312"/>
          <w:sz w:val="24"/>
          <w:highlight w:val="none"/>
          <w:u w:val="single"/>
        </w:rPr>
        <w:t xml:space="preserve">                               </w:t>
      </w:r>
      <w:r>
        <w:rPr>
          <w:rFonts w:hint="eastAsia" w:ascii="宋体" w:hAnsi="宋体" w:cs="仿宋_GB2312"/>
          <w:sz w:val="24"/>
          <w:highlight w:val="none"/>
        </w:rPr>
        <w:t xml:space="preserve"> </w:t>
      </w:r>
    </w:p>
    <w:p w14:paraId="4616950B">
      <w:pPr>
        <w:spacing w:line="520" w:lineRule="exact"/>
        <w:ind w:firstLine="4080"/>
        <w:rPr>
          <w:rFonts w:hint="eastAsia" w:ascii="宋体" w:hAnsi="宋体" w:cs="仿宋_GB2312"/>
          <w:sz w:val="24"/>
          <w:highlight w:val="none"/>
        </w:rPr>
      </w:pPr>
      <w:r>
        <w:rPr>
          <w:rFonts w:hint="eastAsia" w:ascii="宋体" w:hAnsi="宋体" w:cs="仿宋_GB2312"/>
          <w:sz w:val="24"/>
          <w:highlight w:val="none"/>
        </w:rPr>
        <w:t>日期：</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w:t>
      </w:r>
      <w:r>
        <w:rPr>
          <w:rFonts w:hint="eastAsia" w:ascii="宋体" w:hAnsi="宋体" w:cs="仿宋_GB2312"/>
          <w:sz w:val="24"/>
          <w:highlight w:val="none"/>
        </w:rPr>
        <w:t>年</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w:t>
      </w:r>
      <w:r>
        <w:rPr>
          <w:rFonts w:hint="eastAsia" w:ascii="宋体" w:hAnsi="宋体" w:cs="仿宋_GB2312"/>
          <w:sz w:val="24"/>
          <w:highlight w:val="none"/>
        </w:rPr>
        <w:t>月</w:t>
      </w:r>
      <w:r>
        <w:rPr>
          <w:rFonts w:hint="eastAsia" w:ascii="宋体" w:hAnsi="宋体" w:cs="仿宋_GB2312"/>
          <w:sz w:val="24"/>
          <w:highlight w:val="none"/>
          <w:u w:val="single"/>
        </w:rPr>
        <w:tab/>
      </w:r>
      <w:r>
        <w:rPr>
          <w:rFonts w:hint="eastAsia" w:ascii="宋体" w:hAnsi="宋体" w:cs="仿宋_GB2312"/>
          <w:sz w:val="24"/>
          <w:highlight w:val="none"/>
          <w:u w:val="single"/>
        </w:rPr>
        <w:t xml:space="preserve">      </w:t>
      </w:r>
      <w:r>
        <w:rPr>
          <w:rFonts w:hint="eastAsia" w:ascii="宋体" w:hAnsi="宋体" w:cs="仿宋_GB2312"/>
          <w:sz w:val="24"/>
          <w:highlight w:val="none"/>
        </w:rPr>
        <w:t>日</w:t>
      </w:r>
    </w:p>
    <w:p w14:paraId="7D609AD1">
      <w:pPr>
        <w:rPr>
          <w:rFonts w:hint="eastAsia" w:ascii="宋体" w:hAnsi="宋体"/>
          <w:highlight w:val="none"/>
        </w:rPr>
      </w:pPr>
    </w:p>
    <w:p w14:paraId="6AC1D6BD">
      <w:pPr>
        <w:rPr>
          <w:rFonts w:hint="eastAsia" w:ascii="宋体" w:hAnsi="宋体" w:cs="宋体"/>
          <w:highlight w:val="none"/>
        </w:rPr>
      </w:pPr>
      <w:bookmarkStart w:id="211" w:name="_Toc116204871"/>
      <w:bookmarkStart w:id="212" w:name="_Toc116123774"/>
      <w:bookmarkStart w:id="213" w:name="_Toc116229060"/>
      <w:r>
        <w:rPr>
          <w:rFonts w:hint="eastAsia" w:ascii="宋体" w:hAnsi="宋体" w:cs="宋体"/>
          <w:highlight w:val="none"/>
        </w:rPr>
        <w:br w:type="page" w:clear="all"/>
      </w:r>
    </w:p>
    <w:p w14:paraId="50E88246">
      <w:pPr>
        <w:bidi w:val="0"/>
        <w:spacing w:line="360" w:lineRule="auto"/>
        <w:jc w:val="center"/>
        <w:rPr>
          <w:b/>
          <w:bCs/>
          <w:sz w:val="32"/>
          <w:szCs w:val="32"/>
          <w:highlight w:val="none"/>
        </w:rPr>
      </w:pPr>
      <w:r>
        <w:rPr>
          <w:rFonts w:hint="eastAsia" w:ascii="宋体" w:hAnsi="宋体" w:cs="宋体"/>
          <w:b/>
          <w:bCs/>
          <w:sz w:val="32"/>
          <w:szCs w:val="32"/>
          <w:highlight w:val="none"/>
        </w:rPr>
        <w:t>5.磋商</w:t>
      </w:r>
      <w:r>
        <w:rPr>
          <w:rFonts w:hint="eastAsia"/>
          <w:b/>
          <w:bCs/>
          <w:sz w:val="32"/>
          <w:szCs w:val="32"/>
          <w:highlight w:val="none"/>
        </w:rPr>
        <w:t>函附录</w:t>
      </w:r>
      <w:bookmarkEnd w:id="211"/>
      <w:bookmarkEnd w:id="212"/>
      <w:bookmarkEnd w:id="213"/>
    </w:p>
    <w:p w14:paraId="7197B2BF">
      <w:pPr>
        <w:pStyle w:val="20"/>
        <w:tabs>
          <w:tab w:val="left" w:pos="6630"/>
        </w:tabs>
        <w:spacing w:before="5" w:after="20"/>
        <w:rPr>
          <w:sz w:val="21"/>
          <w:szCs w:val="21"/>
          <w:highlight w:val="none"/>
        </w:rPr>
      </w:pPr>
      <w:r>
        <w:rPr>
          <w:sz w:val="21"/>
          <w:szCs w:val="21"/>
          <w:highlight w:val="none"/>
        </w:rPr>
        <mc:AlternateContent>
          <mc:Choice Requires="wps">
            <w:drawing>
              <wp:anchor distT="0" distB="0" distL="114300" distR="114300" simplePos="0" relativeHeight="251659264" behindDoc="0" locked="0" layoutInCell="0" allowOverlap="1">
                <wp:simplePos x="0" y="0"/>
                <wp:positionH relativeFrom="page">
                  <wp:posOffset>2000885</wp:posOffset>
                </wp:positionH>
                <wp:positionV relativeFrom="paragraph">
                  <wp:posOffset>151130</wp:posOffset>
                </wp:positionV>
                <wp:extent cx="3800475" cy="6350"/>
                <wp:effectExtent l="0" t="0" r="0" b="0"/>
                <wp:wrapNone/>
                <wp:docPr id="12" name="任意多边形 2"/>
                <wp:cNvGraphicFramePr/>
                <a:graphic xmlns:a="http://schemas.openxmlformats.org/drawingml/2006/main">
                  <a:graphicData uri="http://schemas.microsoft.com/office/word/2010/wordprocessingShape">
                    <wps:wsp>
                      <wps:cNvSpPr/>
                      <wps:spPr bwMode="auto">
                        <a:xfrm>
                          <a:off x="0" y="0"/>
                          <a:ext cx="3800475" cy="6350"/>
                        </a:xfrm>
                        <a:custGeom>
                          <a:avLst/>
                          <a:gdLst/>
                          <a:ahLst/>
                          <a:cxnLst/>
                          <a:rect l="0" t="0" r="r" b="b"/>
                          <a:pathLst>
                            <a:path w="5985" h="10" extrusionOk="0">
                              <a:moveTo>
                                <a:pt x="5984" y="0"/>
                              </a:moveTo>
                              <a:lnTo>
                                <a:pt x="0" y="0"/>
                              </a:lnTo>
                              <a:lnTo>
                                <a:pt x="0" y="9"/>
                              </a:lnTo>
                              <a:lnTo>
                                <a:pt x="5984" y="9"/>
                              </a:lnTo>
                              <a:lnTo>
                                <a:pt x="5984" y="0"/>
                              </a:lnTo>
                              <a:close/>
                            </a:path>
                          </a:pathLst>
                        </a:custGeom>
                        <a:solidFill>
                          <a:srgbClr val="000000"/>
                        </a:solidFill>
                        <a:ln>
                          <a:noFill/>
                        </a:ln>
                        <a:effectLst/>
                      </wps:spPr>
                      <wps:bodyPr rot="0">
                        <a:noAutofit/>
                      </wps:bodyPr>
                    </wps:wsp>
                  </a:graphicData>
                </a:graphic>
              </wp:anchor>
            </w:drawing>
          </mc:Choice>
          <mc:Fallback>
            <w:pict>
              <v:shape id="任意多边形 2" o:spid="_x0000_s1026" o:spt="100" style="position:absolute;left:0pt;margin-left:157.55pt;margin-top:11.9pt;height:0.5pt;width:299.25pt;mso-position-horizontal-relative:page;z-index:251659264;mso-width-relative:page;mso-height-relative:page;" fillcolor="#000000" filled="t" stroked="f" coordsize="5985,10" o:allowincell="f" o:gfxdata="UEsDBAoAAAAAAIdO4kAAAAAAAAAAAAAAAAAEAAAAZHJzL1BLAwQUAAAACACHTuJAyhzsYtcAAAAJ&#10;AQAADwAAAGRycy9kb3ducmV2LnhtbE2PTU/DMAyG70j8h8hIXBBL0o5pjKYTYuLAkQ3tnDVeW0ic&#10;0mQf/HvMiR1tP3r9vNXyHLw44pj6SAb0RIFAaqLrqTXwsXm9n4NI2ZKzPhIa+MEEy/r6qrILF0/0&#10;jsd1bgWHUFpYA13Ow0LK1HQYbJrEAYlv+zgGm3kcW+lGe+Lw4GWh1EwG2xN/6OyALx02X+tDMOCf&#10;/ebO74tvZ6fb7dtKq7D6VMbc3mj1BCLjOf/D8KfP6lCz0y4eyCXhDZT6QTNqoCi5AgOPupyB2PFi&#10;OgdZV/KyQf0LUEsDBBQAAAAIAIdO4kBaMDVXQgIAAOAEAAAOAAAAZHJzL2Uyb0RvYy54bWytVM1u&#10;EzEQviPxDpbvZLdpU9JVNhUiKheglVoewPF6sxZe27Kd7ObOnTtHxEtUFTwNRTwGY3udhnDJgRx2&#10;x+tvvplvfjK77FuBNsxYrmSJT0Y5RkxSVXG5KvGHu6sXU4ysI7IiQklW4i2z+HL+/Nms0wUbq0aJ&#10;ihkEJNIWnS5x45wusszShrXEjpRmEi5rZVri4GhWWWVIB+ytyMZ5fp51ylTaKMqsha+LeIkHRnMM&#10;oaprTtlC0XXLpIushgniQJJtuLZ4HrKta0bddV1b5pAoMSh14QlBwF76ZzafkWJliG44HVIgx6Rw&#10;oKklXELQHdWCOILWhv9D1XJqlFW1G1HVZlFIqAioOMkPanPbEM2CFii11bui2/9HS99vbgziFUzC&#10;GCNJWuj4z4eHX58+P3778vvH/eP3r2jsq9RpWwD4Vt+Y4WTBRMvunarAh6ydCgXoa9P6QoA01Ic6&#10;b3d1Zr1DFD6eTvP87OUEIwp356eT0IaMFMmXrq17w1TgIZu31sUuVckiTbJoL5NpoNeHXTahy8vY&#10;ZU2c9/PJeRN1JZ5cTCGLBsT7LeidWfutuP7oM/a4Vm3YnQoezqsB/BlGSRBk/AQQch8IdHuodJfe&#10;OpBFzIVPDpjSXXpHzC7gkbBUycRChbIsBvCaQ6RdHSDqfqWtEry64kJ4vdaslq+FQRviFyf8hkT/&#10;ggnpwVJ5t6TDf2Fh9WJrMj86fljiEC1VtYXBMSrsYnR/BdNTc9/mAI6Q4QCDH9IeltRv1v45oJ7+&#10;mOZ/AFBLAwQKAAAAAACHTuJAAAAAAAAAAAAAAAAABgAAAF9yZWxzL1BLAwQUAAAACACHTuJAihRm&#10;PNEAAACUAQAACwAAAF9yZWxzLy5yZWxzpZDBasMwDIbvg72D0X1xmsMYo04vo9Br6R7A2IpjGltG&#10;Mtn69vMOg2X0tqN+oe8T//7wmRa1IkukbGDX9aAwO/IxBwPvl+PTCyipNnu7UEYDNxQ4jI8P+zMu&#10;trYjmWMR1ShZDMy1lletxc2YrHRUMLfNRJxsbSMHXay72oB66Ptnzb8ZMG6Y6uQN8MkPoC630sx/&#10;2Ck6JqGpdo6SpmmK7h5VB7Zlju7INuEbuUazHLAa8CwaB2pZ134EfV+/+6fe00c+47rVfoeM649X&#10;b7ocvwBQSwMEFAAAAAgAh07iQH7m5SD3AAAA4QEAABMAAABbQ29udGVudF9UeXBlc10ueG1slZFB&#10;TsMwEEX3SNzB8hYlTrtACCXpgrRLQKgcYGRPEotkbHlMaG+Pk7YbRJFY2jP/vye73BzGQUwY2Dqq&#10;5CovpEDSzljqKvm+32UPUnAEMjA4wkoekeWmvr0p90ePLFKauJJ9jP5RKdY9jsC580hp0rowQkzH&#10;0CkP+gM6VOuiuFfaUUSKWZw7ZF022MLnEMX2kK5PJgEHluLptDizKgneD1ZDTKZqIvODkp0JeUou&#10;O9xbz3dJQ6pfCfPkOuCce0lPE6xB8QohPsOYNJQJrIz7ooBT/nfJbDly5trWasybwE2KveF0sbrW&#10;jmvXOP3f8u2SunSr5YPqb1BLAQIUABQAAAAIAIdO4kB+5uUg9wAAAOEBAAATAAAAAAAAAAEAIAAA&#10;ALIEAABbQ29udGVudF9UeXBlc10ueG1sUEsBAhQACgAAAAAAh07iQAAAAAAAAAAAAAAAAAYAAAAA&#10;AAAAAAAQAAAAlAMAAF9yZWxzL1BLAQIUABQAAAAIAIdO4kCKFGY80QAAAJQBAAALAAAAAAAAAAEA&#10;IAAAALgDAABfcmVscy8ucmVsc1BLAQIUAAoAAAAAAIdO4kAAAAAAAAAAAAAAAAAEAAAAAAAAAAAA&#10;EAAAAAAAAABkcnMvUEsBAhQAFAAAAAgAh07iQMoc7GLXAAAACQEAAA8AAAAAAAAAAQAgAAAAIgAA&#10;AGRycy9kb3ducmV2LnhtbFBLAQIUABQAAAAIAIdO4kBaMDVXQgIAAOAEAAAOAAAAAAAAAAEAIAAA&#10;ACYBAABkcnMvZTJvRG9jLnhtbFBLBQYAAAAABgAGAFkBAADaBQAAAAA=&#10;" path="m5984,0l0,0,0,9,5984,9,5984,0xe">
                <v:fill on="t" focussize="0,0"/>
                <v:stroke on="f"/>
                <v:imagedata o:title=""/>
                <o:lock v:ext="edit" aspectratio="f"/>
              </v:shape>
            </w:pict>
          </mc:Fallback>
        </mc:AlternateContent>
      </w:r>
      <w:r>
        <w:rPr>
          <w:rFonts w:hint="eastAsia"/>
          <w:sz w:val="21"/>
          <w:szCs w:val="21"/>
          <w:highlight w:val="none"/>
        </w:rPr>
        <w:t>项目名称：</w:t>
      </w:r>
      <w:r>
        <w:rPr>
          <w:rFonts w:hint="eastAsia"/>
          <w:sz w:val="21"/>
          <w:szCs w:val="21"/>
          <w:highlight w:val="none"/>
          <w:u w:val="single"/>
        </w:rPr>
        <w:t xml:space="preserve">                                  </w:t>
      </w:r>
      <w:r>
        <w:rPr>
          <w:rFonts w:hint="eastAsia"/>
          <w:sz w:val="21"/>
          <w:szCs w:val="21"/>
          <w:highlight w:val="none"/>
        </w:rPr>
        <w:t>项目编号：</w:t>
      </w:r>
      <w:r>
        <w:rPr>
          <w:rFonts w:hint="eastAsia"/>
          <w:sz w:val="21"/>
          <w:szCs w:val="21"/>
          <w:highlight w:val="none"/>
          <w:u w:val="single"/>
        </w:rPr>
        <w:t xml:space="preserve">            </w:t>
      </w:r>
    </w:p>
    <w:tbl>
      <w:tblPr>
        <w:tblStyle w:val="56"/>
        <w:tblW w:w="0" w:type="auto"/>
        <w:tblInd w:w="0" w:type="dxa"/>
        <w:tblLayout w:type="fixed"/>
        <w:tblCellMar>
          <w:top w:w="0" w:type="dxa"/>
          <w:left w:w="0" w:type="dxa"/>
          <w:bottom w:w="0" w:type="dxa"/>
          <w:right w:w="0" w:type="dxa"/>
        </w:tblCellMar>
      </w:tblPr>
      <w:tblGrid>
        <w:gridCol w:w="994"/>
        <w:gridCol w:w="1986"/>
        <w:gridCol w:w="1443"/>
        <w:gridCol w:w="2838"/>
        <w:gridCol w:w="1673"/>
      </w:tblGrid>
      <w:tr w14:paraId="691EBC9D">
        <w:tblPrEx>
          <w:tblCellMar>
            <w:top w:w="0" w:type="dxa"/>
            <w:left w:w="0" w:type="dxa"/>
            <w:bottom w:w="0" w:type="dxa"/>
            <w:right w:w="0" w:type="dxa"/>
          </w:tblCellMar>
        </w:tblPrEx>
        <w:trPr>
          <w:trHeight w:val="678"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5198EC77">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520734EA">
            <w:pPr>
              <w:pStyle w:val="625"/>
              <w:keepNext w:val="0"/>
              <w:keepLines w:val="0"/>
              <w:suppressLineNumbers w:val="0"/>
              <w:spacing w:before="0" w:beforeAutospacing="0" w:after="0" w:afterAutospacing="0"/>
              <w:ind w:left="214" w:right="20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序 号</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49E998EA">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79B7EC0E">
            <w:pPr>
              <w:pStyle w:val="625"/>
              <w:keepNext w:val="0"/>
              <w:keepLines w:val="0"/>
              <w:suppressLineNumbers w:val="0"/>
              <w:spacing w:before="0" w:beforeAutospacing="0" w:after="0" w:afterAutospacing="0"/>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条款内容</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23C4A289">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1BF4696D">
            <w:pPr>
              <w:pStyle w:val="625"/>
              <w:keepNext w:val="0"/>
              <w:keepLines w:val="0"/>
              <w:suppressLineNumbers w:val="0"/>
              <w:spacing w:before="0"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合同条款号</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5A17A440">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65E3614F">
            <w:pPr>
              <w:pStyle w:val="625"/>
              <w:keepNext w:val="0"/>
              <w:keepLines w:val="0"/>
              <w:suppressLineNumbers w:val="0"/>
              <w:spacing w:before="0" w:beforeAutospacing="0" w:after="0" w:afterAutospacing="0"/>
              <w:ind w:left="953" w:right="94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约定内容</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047367ED">
            <w:pPr>
              <w:pStyle w:val="625"/>
              <w:keepNext w:val="0"/>
              <w:keepLines w:val="0"/>
              <w:suppressLineNumbers w:val="0"/>
              <w:spacing w:before="0" w:beforeAutospacing="0" w:after="0" w:afterAutospacing="0" w:line="338" w:lineRule="exact"/>
              <w:ind w:left="727" w:right="194" w:hanging="524"/>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供应商响应情</w:t>
            </w:r>
            <w:r>
              <w:rPr>
                <w:rFonts w:hint="eastAsia" w:asciiTheme="minorEastAsia" w:hAnsiTheme="minorEastAsia" w:eastAsiaTheme="minorEastAsia" w:cstheme="minorEastAsia"/>
                <w:sz w:val="21"/>
                <w:szCs w:val="21"/>
                <w:highlight w:val="none"/>
              </w:rPr>
              <w:t>况</w:t>
            </w:r>
          </w:p>
        </w:tc>
      </w:tr>
      <w:tr w14:paraId="5EA3893E">
        <w:tblPrEx>
          <w:tblCellMar>
            <w:top w:w="0" w:type="dxa"/>
            <w:left w:w="0" w:type="dxa"/>
            <w:bottom w:w="0" w:type="dxa"/>
            <w:right w:w="0" w:type="dxa"/>
          </w:tblCellMar>
        </w:tblPrEx>
        <w:trPr>
          <w:trHeight w:val="568"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00855423">
            <w:pPr>
              <w:pStyle w:val="625"/>
              <w:keepNext w:val="0"/>
              <w:keepLines w:val="0"/>
              <w:suppressLineNumbers w:val="0"/>
              <w:spacing w:before="176"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7BD62B59">
            <w:pPr>
              <w:pStyle w:val="625"/>
              <w:keepNext w:val="0"/>
              <w:keepLines w:val="0"/>
              <w:suppressLineNumbers w:val="0"/>
              <w:spacing w:before="176" w:beforeAutospacing="0" w:after="0" w:afterAutospacing="0"/>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项目经理</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5F82237C">
            <w:pPr>
              <w:pStyle w:val="625"/>
              <w:keepNext w:val="0"/>
              <w:keepLines w:val="0"/>
              <w:suppressLineNumbers w:val="0"/>
              <w:spacing w:before="176"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7F9C75B5">
            <w:pPr>
              <w:pStyle w:val="625"/>
              <w:keepNext w:val="0"/>
              <w:keepLines w:val="0"/>
              <w:suppressLineNumbers w:val="0"/>
              <w:spacing w:before="176" w:beforeAutospacing="0" w:after="0" w:afterAutospacing="0"/>
              <w:ind w:left="953" w:right="943"/>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姓名：</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10995E60">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7725553A">
        <w:tblPrEx>
          <w:tblCellMar>
            <w:top w:w="0" w:type="dxa"/>
            <w:left w:w="0" w:type="dxa"/>
            <w:bottom w:w="0" w:type="dxa"/>
            <w:right w:w="0" w:type="dxa"/>
          </w:tblCellMar>
        </w:tblPrEx>
        <w:trPr>
          <w:trHeight w:val="565"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5D5700BF">
            <w:pPr>
              <w:pStyle w:val="625"/>
              <w:keepNext w:val="0"/>
              <w:keepLines w:val="0"/>
              <w:suppressLineNumbers w:val="0"/>
              <w:spacing w:before="174"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2</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3CFEDBC9">
            <w:pPr>
              <w:pStyle w:val="625"/>
              <w:keepNext w:val="0"/>
              <w:keepLines w:val="0"/>
              <w:suppressLineNumbers w:val="0"/>
              <w:spacing w:before="174" w:beforeAutospacing="0" w:after="0" w:afterAutospacing="0"/>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竞标有效期</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7A93CEF5">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426C27F5">
            <w:pPr>
              <w:pStyle w:val="625"/>
              <w:keepNext w:val="0"/>
              <w:keepLines w:val="0"/>
              <w:suppressLineNumbers w:val="0"/>
              <w:spacing w:before="174" w:beforeAutospacing="0" w:after="0" w:afterAutospacing="0"/>
              <w:ind w:left="953" w:right="945"/>
              <w:jc w:val="center"/>
              <w:rPr>
                <w:rFonts w:hint="eastAsia" w:asciiTheme="minorEastAsia" w:hAnsiTheme="minorEastAsia" w:eastAsiaTheme="minorEastAsia" w:cstheme="minorEastAsia"/>
                <w:spacing w:val="-14"/>
                <w:sz w:val="21"/>
                <w:szCs w:val="21"/>
                <w:highlight w:val="none"/>
              </w:rPr>
            </w:pPr>
            <w:r>
              <w:rPr>
                <w:rFonts w:hint="eastAsia" w:asciiTheme="minorEastAsia" w:hAnsiTheme="minorEastAsia" w:eastAsiaTheme="minorEastAsia" w:cstheme="minorEastAsia"/>
                <w:sz w:val="21"/>
                <w:szCs w:val="21"/>
                <w:highlight w:val="none"/>
                <w:lang w:val="en-US"/>
              </w:rPr>
              <w:t>9</w:t>
            </w:r>
            <w:r>
              <w:rPr>
                <w:rFonts w:hint="eastAsia" w:asciiTheme="minorEastAsia" w:hAnsiTheme="minorEastAsia" w:eastAsiaTheme="minorEastAsia" w:cstheme="minorEastAsia"/>
                <w:sz w:val="21"/>
                <w:szCs w:val="21"/>
                <w:highlight w:val="none"/>
              </w:rPr>
              <w:t>0</w:t>
            </w:r>
            <w:r>
              <w:rPr>
                <w:rFonts w:hint="eastAsia" w:asciiTheme="minorEastAsia" w:hAnsiTheme="minorEastAsia" w:eastAsiaTheme="minorEastAsia" w:cstheme="minorEastAsia"/>
                <w:spacing w:val="-14"/>
                <w:sz w:val="21"/>
                <w:szCs w:val="21"/>
                <w:highlight w:val="none"/>
              </w:rPr>
              <w:t xml:space="preserve"> 日历天</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55720410">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1D578887">
        <w:tblPrEx>
          <w:tblCellMar>
            <w:top w:w="0" w:type="dxa"/>
            <w:left w:w="0" w:type="dxa"/>
            <w:bottom w:w="0" w:type="dxa"/>
            <w:right w:w="0" w:type="dxa"/>
          </w:tblCellMar>
        </w:tblPrEx>
        <w:trPr>
          <w:trHeight w:val="565"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3FA4AF6E">
            <w:pPr>
              <w:pStyle w:val="625"/>
              <w:keepNext w:val="0"/>
              <w:keepLines w:val="0"/>
              <w:suppressLineNumbers w:val="0"/>
              <w:spacing w:before="174"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3</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56116C6C">
            <w:pPr>
              <w:pStyle w:val="625"/>
              <w:keepNext w:val="0"/>
              <w:keepLines w:val="0"/>
              <w:suppressLineNumbers w:val="0"/>
              <w:spacing w:before="174" w:beforeAutospacing="0" w:after="0" w:afterAutospacing="0"/>
              <w:ind w:left="131" w:right="12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工期</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013685CB">
            <w:pPr>
              <w:pStyle w:val="625"/>
              <w:keepNext w:val="0"/>
              <w:keepLines w:val="0"/>
              <w:suppressLineNumbers w:val="0"/>
              <w:spacing w:before="174"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23F96AC6">
            <w:pPr>
              <w:pStyle w:val="625"/>
              <w:keepNext w:val="0"/>
              <w:keepLines w:val="0"/>
              <w:suppressLineNumbers w:val="0"/>
              <w:spacing w:before="174" w:beforeAutospacing="0" w:after="0" w:afterAutospacing="0"/>
              <w:ind w:left="972" w:right="0"/>
              <w:rPr>
                <w:rFonts w:hint="eastAsia" w:asciiTheme="minorEastAsia" w:hAnsiTheme="minorEastAsia" w:eastAsiaTheme="minorEastAsia" w:cstheme="minorEastAsia"/>
                <w:spacing w:val="-12"/>
                <w:sz w:val="21"/>
                <w:szCs w:val="21"/>
                <w:highlight w:val="none"/>
              </w:rPr>
            </w:pPr>
            <w:r>
              <w:rPr>
                <w:rFonts w:hint="eastAsia" w:asciiTheme="minorEastAsia" w:hAnsiTheme="minorEastAsia" w:eastAsiaTheme="minorEastAsia" w:cstheme="minorEastAsia"/>
                <w:sz w:val="21"/>
                <w:szCs w:val="21"/>
                <w:highlight w:val="none"/>
                <w:lang w:val="en-US" w:eastAsia="zh-CN"/>
              </w:rPr>
              <w:t>35个</w:t>
            </w:r>
            <w:r>
              <w:rPr>
                <w:rFonts w:hint="eastAsia" w:asciiTheme="minorEastAsia" w:hAnsiTheme="minorEastAsia" w:eastAsiaTheme="minorEastAsia" w:cstheme="minorEastAsia"/>
                <w:spacing w:val="-12"/>
                <w:sz w:val="21"/>
                <w:szCs w:val="21"/>
                <w:highlight w:val="none"/>
              </w:rPr>
              <w:t>日历天</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213D88B9">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36520D83">
        <w:tblPrEx>
          <w:tblCellMar>
            <w:top w:w="0" w:type="dxa"/>
            <w:left w:w="0" w:type="dxa"/>
            <w:bottom w:w="0" w:type="dxa"/>
            <w:right w:w="0" w:type="dxa"/>
          </w:tblCellMar>
        </w:tblPrEx>
        <w:trPr>
          <w:trHeight w:val="568"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5AC7CFFE">
            <w:pPr>
              <w:pStyle w:val="625"/>
              <w:keepNext w:val="0"/>
              <w:keepLines w:val="0"/>
              <w:suppressLineNumbers w:val="0"/>
              <w:spacing w:before="176"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4</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173C1B0C">
            <w:pPr>
              <w:pStyle w:val="625"/>
              <w:keepNext w:val="0"/>
              <w:keepLines w:val="0"/>
              <w:suppressLineNumbers w:val="0"/>
              <w:spacing w:before="176" w:beforeAutospacing="0" w:after="0" w:afterAutospacing="0"/>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缺陷责任期</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66029703">
            <w:pPr>
              <w:pStyle w:val="625"/>
              <w:keepNext w:val="0"/>
              <w:keepLines w:val="0"/>
              <w:suppressLineNumbers w:val="0"/>
              <w:spacing w:before="176"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041D11EF">
            <w:pPr>
              <w:pStyle w:val="625"/>
              <w:keepNext w:val="0"/>
              <w:keepLines w:val="0"/>
              <w:suppressLineNumbers w:val="0"/>
              <w:spacing w:before="176" w:beforeAutospacing="0" w:after="0" w:afterAutospacing="0"/>
              <w:ind w:left="953" w:right="842"/>
              <w:jc w:val="center"/>
              <w:rPr>
                <w:rFonts w:hint="eastAsia" w:asciiTheme="minorEastAsia" w:hAnsiTheme="minorEastAsia" w:eastAsiaTheme="minorEastAsia" w:cstheme="minorEastAsia"/>
                <w:spacing w:val="-18"/>
                <w:sz w:val="21"/>
                <w:szCs w:val="21"/>
                <w:highlight w:val="none"/>
              </w:rPr>
            </w:pPr>
            <w:r>
              <w:rPr>
                <w:rFonts w:hint="eastAsia" w:asciiTheme="minorEastAsia" w:hAnsiTheme="minorEastAsia" w:eastAsiaTheme="minorEastAsia" w:cstheme="minorEastAsia"/>
                <w:spacing w:val="-1"/>
                <w:sz w:val="21"/>
                <w:szCs w:val="21"/>
                <w:highlight w:val="none"/>
                <w:lang w:val="en-US"/>
              </w:rPr>
              <w:t>24</w:t>
            </w:r>
            <w:r>
              <w:rPr>
                <w:rFonts w:hint="eastAsia" w:asciiTheme="minorEastAsia" w:hAnsiTheme="minorEastAsia" w:eastAsiaTheme="minorEastAsia" w:cstheme="minorEastAsia"/>
                <w:spacing w:val="-18"/>
                <w:sz w:val="21"/>
                <w:szCs w:val="21"/>
                <w:highlight w:val="none"/>
              </w:rPr>
              <w:t xml:space="preserve"> 个月</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41CEA0DC">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5C2F058C">
        <w:tblPrEx>
          <w:tblCellMar>
            <w:top w:w="0" w:type="dxa"/>
            <w:left w:w="0" w:type="dxa"/>
            <w:bottom w:w="0" w:type="dxa"/>
            <w:right w:w="0" w:type="dxa"/>
          </w:tblCellMar>
        </w:tblPrEx>
        <w:trPr>
          <w:trHeight w:val="566"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047AAE39">
            <w:pPr>
              <w:pStyle w:val="625"/>
              <w:keepNext w:val="0"/>
              <w:keepLines w:val="0"/>
              <w:suppressLineNumbers w:val="0"/>
              <w:spacing w:before="174"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5</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396D6544">
            <w:pPr>
              <w:pStyle w:val="625"/>
              <w:keepNext w:val="0"/>
              <w:keepLines w:val="0"/>
              <w:suppressLineNumbers w:val="0"/>
              <w:spacing w:before="174" w:beforeAutospacing="0" w:after="0" w:afterAutospacing="0"/>
              <w:ind w:left="131" w:right="122"/>
              <w:jc w:val="center"/>
              <w:rPr>
                <w:rFonts w:hint="eastAsia" w:asciiTheme="minorEastAsia" w:hAnsiTheme="minorEastAsia" w:eastAsiaTheme="minorEastAsia" w:cstheme="minorEastAsia"/>
                <w:sz w:val="21"/>
                <w:szCs w:val="21"/>
                <w:highlight w:val="none"/>
              </w:rPr>
            </w:pPr>
            <w:bookmarkStart w:id="214" w:name="REVIEW_BM_1229"/>
            <w:r>
              <w:rPr>
                <w:rFonts w:hint="eastAsia" w:asciiTheme="minorEastAsia" w:hAnsiTheme="minorEastAsia" w:eastAsiaTheme="minorEastAsia" w:cstheme="minorEastAsia"/>
                <w:sz w:val="21"/>
                <w:szCs w:val="21"/>
                <w:highlight w:val="none"/>
              </w:rPr>
              <w:t>发包人</w:t>
            </w:r>
            <w:bookmarkEnd w:id="214"/>
            <w:r>
              <w:rPr>
                <w:rFonts w:hint="eastAsia" w:asciiTheme="minorEastAsia" w:hAnsiTheme="minorEastAsia" w:eastAsiaTheme="minorEastAsia" w:cstheme="minorEastAsia"/>
                <w:sz w:val="21"/>
                <w:szCs w:val="21"/>
                <w:highlight w:val="none"/>
              </w:rPr>
              <w:t>支付担保</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7252106D">
            <w:pPr>
              <w:pStyle w:val="625"/>
              <w:keepNext w:val="0"/>
              <w:keepLines w:val="0"/>
              <w:suppressLineNumbers w:val="0"/>
              <w:spacing w:before="174"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4FA020F7">
            <w:pPr>
              <w:pStyle w:val="625"/>
              <w:keepNext w:val="0"/>
              <w:keepLines w:val="0"/>
              <w:suppressLineNumbers w:val="0"/>
              <w:spacing w:before="174" w:beforeAutospacing="0" w:after="0" w:afterAutospacing="0"/>
              <w:ind w:left="5"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67602B3B">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4BF5BA67">
        <w:tblPrEx>
          <w:tblCellMar>
            <w:top w:w="0" w:type="dxa"/>
            <w:left w:w="0" w:type="dxa"/>
            <w:bottom w:w="0" w:type="dxa"/>
            <w:right w:w="0" w:type="dxa"/>
          </w:tblCellMar>
        </w:tblPrEx>
        <w:trPr>
          <w:trHeight w:val="681"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37A0B820">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19A93970">
            <w:pPr>
              <w:pStyle w:val="625"/>
              <w:keepNext w:val="0"/>
              <w:keepLines w:val="0"/>
              <w:suppressLineNumbers w:val="0"/>
              <w:spacing w:before="0"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6</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68DF7F95">
            <w:pPr>
              <w:pStyle w:val="625"/>
              <w:keepNext w:val="0"/>
              <w:keepLines w:val="0"/>
              <w:suppressLineNumbers w:val="0"/>
              <w:spacing w:before="61" w:beforeAutospacing="0" w:after="0" w:afterAutospacing="0"/>
              <w:ind w:left="131" w:right="124"/>
              <w:jc w:val="center"/>
              <w:rPr>
                <w:rFonts w:hint="eastAsia" w:asciiTheme="minorEastAsia" w:hAnsiTheme="minorEastAsia" w:eastAsiaTheme="minorEastAsia" w:cstheme="minorEastAsia"/>
                <w:sz w:val="21"/>
                <w:szCs w:val="21"/>
                <w:highlight w:val="none"/>
              </w:rPr>
            </w:pPr>
            <w:bookmarkStart w:id="215" w:name="REVIEW_BM_1230"/>
            <w:r>
              <w:rPr>
                <w:rFonts w:hint="eastAsia" w:asciiTheme="minorEastAsia" w:hAnsiTheme="minorEastAsia" w:eastAsiaTheme="minorEastAsia" w:cstheme="minorEastAsia"/>
                <w:sz w:val="21"/>
                <w:szCs w:val="21"/>
                <w:highlight w:val="none"/>
              </w:rPr>
              <w:t>承包人</w:t>
            </w:r>
            <w:bookmarkEnd w:id="215"/>
            <w:r>
              <w:rPr>
                <w:rFonts w:hint="eastAsia" w:asciiTheme="minorEastAsia" w:hAnsiTheme="minorEastAsia" w:eastAsiaTheme="minorEastAsia" w:cstheme="minorEastAsia"/>
                <w:sz w:val="21"/>
                <w:szCs w:val="21"/>
                <w:highlight w:val="none"/>
              </w:rPr>
              <w:t>履约担保</w:t>
            </w:r>
          </w:p>
          <w:p w14:paraId="3F7B90C7">
            <w:pPr>
              <w:pStyle w:val="625"/>
              <w:keepNext w:val="0"/>
              <w:keepLines w:val="0"/>
              <w:suppressLineNumbers w:val="0"/>
              <w:spacing w:before="61" w:beforeAutospacing="0" w:after="0" w:afterAutospacing="0" w:line="240" w:lineRule="auto"/>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金额</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314693AF">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230D59CC">
            <w:pPr>
              <w:pStyle w:val="625"/>
              <w:keepNext w:val="0"/>
              <w:keepLines w:val="0"/>
              <w:suppressLineNumbers w:val="0"/>
              <w:spacing w:before="0"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center"/>
          </w:tcPr>
          <w:p w14:paraId="3CFCB093">
            <w:pPr>
              <w:pStyle w:val="625"/>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lang w:val="en-US" w:eastAsia="zh-CN"/>
              </w:rPr>
            </w:pPr>
            <w:r>
              <w:rPr>
                <w:rFonts w:hint="eastAsia" w:asciiTheme="minorEastAsia" w:hAnsiTheme="minorEastAsia" w:eastAsiaTheme="minorEastAsia" w:cstheme="minorEastAsia"/>
                <w:spacing w:val="-9"/>
                <w:sz w:val="21"/>
                <w:szCs w:val="21"/>
                <w:highlight w:val="none"/>
                <w:lang w:val="en-US" w:eastAsia="zh-CN"/>
              </w:rPr>
              <w:t>合同金额的2%</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7D04D4E7">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48EDF053">
        <w:tblPrEx>
          <w:tblCellMar>
            <w:top w:w="0" w:type="dxa"/>
            <w:left w:w="0" w:type="dxa"/>
            <w:bottom w:w="0" w:type="dxa"/>
            <w:right w:w="0" w:type="dxa"/>
          </w:tblCellMar>
        </w:tblPrEx>
        <w:trPr>
          <w:trHeight w:val="565"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7C981F1C">
            <w:pPr>
              <w:pStyle w:val="625"/>
              <w:keepNext w:val="0"/>
              <w:keepLines w:val="0"/>
              <w:suppressLineNumbers w:val="0"/>
              <w:spacing w:before="173"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7</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1A7CC041">
            <w:pPr>
              <w:pStyle w:val="625"/>
              <w:keepNext w:val="0"/>
              <w:keepLines w:val="0"/>
              <w:suppressLineNumbers w:val="0"/>
              <w:spacing w:before="173" w:beforeAutospacing="0" w:after="0" w:afterAutospacing="0"/>
              <w:ind w:left="131" w:right="12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分包</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1B0C871A">
            <w:pPr>
              <w:pStyle w:val="625"/>
              <w:keepNext w:val="0"/>
              <w:keepLines w:val="0"/>
              <w:suppressLineNumbers w:val="0"/>
              <w:spacing w:before="173"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5853665A">
            <w:pPr>
              <w:pStyle w:val="625"/>
              <w:keepNext w:val="0"/>
              <w:keepLines w:val="0"/>
              <w:suppressLineNumbers w:val="0"/>
              <w:spacing w:before="173" w:beforeAutospacing="0" w:after="0" w:afterAutospacing="0"/>
              <w:ind w:left="5"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55B8639A">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579022C8">
        <w:tblPrEx>
          <w:tblCellMar>
            <w:top w:w="0" w:type="dxa"/>
            <w:left w:w="0" w:type="dxa"/>
            <w:bottom w:w="0" w:type="dxa"/>
            <w:right w:w="0" w:type="dxa"/>
          </w:tblCellMar>
        </w:tblPrEx>
        <w:trPr>
          <w:trHeight w:val="681"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1CB273A6">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7966C088">
            <w:pPr>
              <w:pStyle w:val="625"/>
              <w:keepNext w:val="0"/>
              <w:keepLines w:val="0"/>
              <w:suppressLineNumbers w:val="0"/>
              <w:spacing w:before="0"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8</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453C9D7C">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601E8FDF">
            <w:pPr>
              <w:pStyle w:val="625"/>
              <w:keepNext w:val="0"/>
              <w:keepLines w:val="0"/>
              <w:suppressLineNumbers w:val="0"/>
              <w:spacing w:before="0" w:beforeAutospacing="0" w:after="0" w:afterAutospacing="0"/>
              <w:ind w:left="131" w:right="12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逾期竣工违约金</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7AE6DEE7">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2390E3C3">
            <w:pPr>
              <w:pStyle w:val="625"/>
              <w:keepNext w:val="0"/>
              <w:keepLines w:val="0"/>
              <w:suppressLineNumbers w:val="0"/>
              <w:spacing w:before="0"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12AAE884">
            <w:pPr>
              <w:pStyle w:val="625"/>
              <w:keepNext w:val="0"/>
              <w:keepLines w:val="0"/>
              <w:suppressLineNumbers w:val="0"/>
              <w:spacing w:before="71" w:beforeAutospacing="0" w:after="0" w:afterAutospacing="0" w:line="259" w:lineRule="exact"/>
              <w:ind w:left="156" w:right="0"/>
              <w:rPr>
                <w:rFonts w:hint="eastAsia" w:asciiTheme="minorEastAsia" w:hAnsiTheme="minorEastAsia" w:eastAsiaTheme="minorEastAsia" w:cstheme="minorEastAsia"/>
                <w:spacing w:val="-1"/>
                <w:sz w:val="21"/>
                <w:szCs w:val="21"/>
                <w:highlight w:val="none"/>
              </w:rPr>
            </w:pPr>
            <w:r>
              <w:rPr>
                <w:rFonts w:hint="eastAsia" w:asciiTheme="minorEastAsia" w:hAnsiTheme="minorEastAsia" w:eastAsiaTheme="minorEastAsia" w:cstheme="minorEastAsia"/>
                <w:spacing w:val="-1"/>
                <w:sz w:val="21"/>
                <w:szCs w:val="21"/>
                <w:highlight w:val="none"/>
              </w:rPr>
              <w:t>签约合同价格（扣暂列金、暂估价及甲供材）的</w:t>
            </w:r>
            <w:r>
              <w:rPr>
                <w:rFonts w:hint="eastAsia" w:asciiTheme="minorEastAsia" w:hAnsiTheme="minorEastAsia" w:eastAsiaTheme="minorEastAsia" w:cstheme="minorEastAsia"/>
                <w:spacing w:val="-1"/>
                <w:sz w:val="21"/>
                <w:szCs w:val="21"/>
                <w:highlight w:val="none"/>
                <w:lang w:val="en-US" w:eastAsia="zh-CN"/>
              </w:rPr>
              <w:t xml:space="preserve"> 1</w:t>
            </w:r>
            <w:r>
              <w:rPr>
                <w:rFonts w:hint="eastAsia" w:asciiTheme="minorEastAsia" w:hAnsiTheme="minorEastAsia" w:eastAsiaTheme="minorEastAsia" w:cstheme="minorEastAsia"/>
                <w:spacing w:val="-1"/>
                <w:sz w:val="21"/>
                <w:szCs w:val="21"/>
                <w:highlight w:val="none"/>
              </w:rPr>
              <w:t>‰/日</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3826B135">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023DBBC1">
        <w:tblPrEx>
          <w:tblCellMar>
            <w:top w:w="0" w:type="dxa"/>
            <w:left w:w="0" w:type="dxa"/>
            <w:bottom w:w="0" w:type="dxa"/>
            <w:right w:w="0" w:type="dxa"/>
          </w:tblCellMar>
        </w:tblPrEx>
        <w:trPr>
          <w:trHeight w:val="1050"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0EE23DCE">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44812E54">
            <w:pPr>
              <w:pStyle w:val="625"/>
              <w:keepNext w:val="0"/>
              <w:keepLines w:val="0"/>
              <w:suppressLineNumbers w:val="0"/>
              <w:spacing w:before="6" w:beforeAutospacing="0" w:after="0" w:afterAutospacing="0"/>
              <w:ind w:left="0" w:right="0"/>
              <w:rPr>
                <w:rFonts w:hint="eastAsia" w:asciiTheme="minorEastAsia" w:hAnsiTheme="minorEastAsia" w:eastAsiaTheme="minorEastAsia" w:cstheme="minorEastAsia"/>
                <w:sz w:val="21"/>
                <w:szCs w:val="21"/>
                <w:highlight w:val="none"/>
              </w:rPr>
            </w:pPr>
          </w:p>
          <w:p w14:paraId="3336D4FC">
            <w:pPr>
              <w:pStyle w:val="625"/>
              <w:keepNext w:val="0"/>
              <w:keepLines w:val="0"/>
              <w:suppressLineNumbers w:val="0"/>
              <w:spacing w:before="0" w:beforeAutospacing="0" w:after="0" w:afterAutospacing="0"/>
              <w:ind w:left="4"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9</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77009E58">
            <w:pPr>
              <w:pStyle w:val="625"/>
              <w:keepNext w:val="0"/>
              <w:keepLines w:val="0"/>
              <w:suppressLineNumbers w:val="0"/>
              <w:spacing w:before="145" w:beforeAutospacing="0" w:after="0" w:afterAutospacing="0" w:line="302" w:lineRule="auto"/>
              <w:ind w:left="0" w:right="14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
                <w:sz w:val="21"/>
                <w:szCs w:val="21"/>
                <w:highlight w:val="none"/>
              </w:rPr>
              <w:t>逾期竣工违约金最</w:t>
            </w:r>
            <w:r>
              <w:rPr>
                <w:rFonts w:hint="eastAsia" w:asciiTheme="minorEastAsia" w:hAnsiTheme="minorEastAsia" w:eastAsiaTheme="minorEastAsia" w:cstheme="minorEastAsia"/>
                <w:sz w:val="21"/>
                <w:szCs w:val="21"/>
                <w:highlight w:val="none"/>
              </w:rPr>
              <w:t>高限额</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19052FEC">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1BEA4A2B">
            <w:pPr>
              <w:pStyle w:val="625"/>
              <w:keepNext w:val="0"/>
              <w:keepLines w:val="0"/>
              <w:suppressLineNumbers w:val="0"/>
              <w:spacing w:before="6" w:beforeAutospacing="0" w:after="0" w:afterAutospacing="0"/>
              <w:ind w:left="0" w:right="0"/>
              <w:rPr>
                <w:rFonts w:hint="eastAsia" w:asciiTheme="minorEastAsia" w:hAnsiTheme="minorEastAsia" w:eastAsiaTheme="minorEastAsia" w:cstheme="minorEastAsia"/>
                <w:sz w:val="21"/>
                <w:szCs w:val="21"/>
                <w:highlight w:val="none"/>
              </w:rPr>
            </w:pPr>
          </w:p>
          <w:p w14:paraId="1F3F5BB8">
            <w:pPr>
              <w:pStyle w:val="625"/>
              <w:keepNext w:val="0"/>
              <w:keepLines w:val="0"/>
              <w:suppressLineNumbers w:val="0"/>
              <w:spacing w:before="0"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center"/>
          </w:tcPr>
          <w:p w14:paraId="17AB32C4">
            <w:pPr>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签约合同价格（扣暂列金、暂估价及甲供材）的5%</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631A1266">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211FAB46">
        <w:tblPrEx>
          <w:tblCellMar>
            <w:top w:w="0" w:type="dxa"/>
            <w:left w:w="0" w:type="dxa"/>
            <w:bottom w:w="0" w:type="dxa"/>
            <w:right w:w="0" w:type="dxa"/>
          </w:tblCellMar>
        </w:tblPrEx>
        <w:trPr>
          <w:trHeight w:val="566"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44F05FAD">
            <w:pPr>
              <w:pStyle w:val="625"/>
              <w:keepNext w:val="0"/>
              <w:keepLines w:val="0"/>
              <w:suppressLineNumbers w:val="0"/>
              <w:spacing w:before="174" w:beforeAutospacing="0" w:after="0" w:afterAutospacing="0"/>
              <w:ind w:left="209" w:right="20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10</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4EA1973D">
            <w:pPr>
              <w:pStyle w:val="625"/>
              <w:keepNext w:val="0"/>
              <w:keepLines w:val="0"/>
              <w:suppressLineNumbers w:val="0"/>
              <w:spacing w:before="174" w:beforeAutospacing="0" w:after="0" w:afterAutospacing="0"/>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质量标准</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17DB732C">
            <w:pPr>
              <w:pStyle w:val="625"/>
              <w:keepNext w:val="0"/>
              <w:keepLines w:val="0"/>
              <w:suppressLineNumbers w:val="0"/>
              <w:spacing w:before="174"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1283E762">
            <w:pPr>
              <w:pStyle w:val="625"/>
              <w:keepNext w:val="0"/>
              <w:keepLines w:val="0"/>
              <w:suppressLineNumbers w:val="0"/>
              <w:spacing w:before="174" w:beforeAutospacing="0" w:after="0" w:afterAutospacing="0"/>
              <w:ind w:left="953" w:right="943"/>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合格</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374D2090">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7571E452">
        <w:tblPrEx>
          <w:tblCellMar>
            <w:top w:w="0" w:type="dxa"/>
            <w:left w:w="0" w:type="dxa"/>
            <w:bottom w:w="0" w:type="dxa"/>
            <w:right w:w="0" w:type="dxa"/>
          </w:tblCellMar>
        </w:tblPrEx>
        <w:trPr>
          <w:trHeight w:val="565"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202506F7">
            <w:pPr>
              <w:pStyle w:val="625"/>
              <w:keepNext w:val="0"/>
              <w:keepLines w:val="0"/>
              <w:suppressLineNumbers w:val="0"/>
              <w:spacing w:before="174" w:beforeAutospacing="0" w:after="0" w:afterAutospacing="0"/>
              <w:ind w:left="209" w:right="20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11</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6CC5330A">
            <w:pPr>
              <w:pStyle w:val="625"/>
              <w:keepNext w:val="0"/>
              <w:keepLines w:val="0"/>
              <w:suppressLineNumbers w:val="0"/>
              <w:spacing w:before="174" w:beforeAutospacing="0" w:after="0" w:afterAutospacing="0"/>
              <w:ind w:left="131" w:right="124"/>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预付款额度</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21344D13">
            <w:pPr>
              <w:pStyle w:val="625"/>
              <w:keepNext w:val="0"/>
              <w:keepLines w:val="0"/>
              <w:suppressLineNumbers w:val="0"/>
              <w:spacing w:before="174"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center"/>
          </w:tcPr>
          <w:p w14:paraId="26BCB58D">
            <w:pPr>
              <w:pStyle w:val="625"/>
              <w:keepNext w:val="0"/>
              <w:keepLines w:val="0"/>
              <w:suppressLineNumbers w:val="0"/>
              <w:spacing w:before="174" w:beforeAutospacing="0" w:after="0" w:afterAutospacing="0"/>
              <w:ind w:left="130"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7"/>
                <w:sz w:val="21"/>
                <w:szCs w:val="21"/>
                <w:highlight w:val="none"/>
              </w:rPr>
              <w:t>预付款为合同价格（扣安全文明施工费、暂列金、暂估价</w:t>
            </w:r>
            <w:r>
              <w:rPr>
                <w:rFonts w:hint="eastAsia" w:ascii="宋体" w:hAnsi="宋体" w:cs="宋体"/>
                <w:szCs w:val="21"/>
                <w:highlight w:val="none"/>
                <w:u w:val="none"/>
                <w:lang w:eastAsia="zh-CN"/>
              </w:rPr>
              <w:t>（</w:t>
            </w:r>
            <w:r>
              <w:rPr>
                <w:rFonts w:hint="eastAsia" w:ascii="宋体" w:hAnsi="宋体" w:cs="宋体"/>
                <w:szCs w:val="21"/>
                <w:highlight w:val="none"/>
                <w:u w:val="none"/>
                <w:lang w:val="en-US" w:eastAsia="zh-CN"/>
              </w:rPr>
              <w:t>专业工程暂估价、</w:t>
            </w:r>
            <w:r>
              <w:rPr>
                <w:rFonts w:hint="eastAsia" w:ascii="宋体" w:hAnsi="宋体" w:cs="宋体"/>
                <w:szCs w:val="21"/>
                <w:highlight w:val="none"/>
                <w:u w:val="none"/>
              </w:rPr>
              <w:t>材料和工程设备暂估价</w:t>
            </w:r>
            <w:r>
              <w:rPr>
                <w:rFonts w:hint="eastAsia" w:ascii="宋体" w:hAnsi="宋体" w:cs="宋体"/>
                <w:szCs w:val="21"/>
                <w:highlight w:val="none"/>
                <w:u w:val="none"/>
                <w:lang w:eastAsia="zh-CN"/>
              </w:rPr>
              <w:t>）</w:t>
            </w:r>
            <w:r>
              <w:rPr>
                <w:rFonts w:hint="eastAsia" w:asciiTheme="minorEastAsia" w:hAnsiTheme="minorEastAsia" w:eastAsiaTheme="minorEastAsia" w:cstheme="minorEastAsia"/>
                <w:spacing w:val="-7"/>
                <w:sz w:val="21"/>
                <w:szCs w:val="21"/>
                <w:highlight w:val="none"/>
              </w:rPr>
              <w:t>及甲供材）的30%</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13277126">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2533561F">
        <w:tblPrEx>
          <w:tblCellMar>
            <w:top w:w="0" w:type="dxa"/>
            <w:left w:w="0" w:type="dxa"/>
            <w:bottom w:w="0" w:type="dxa"/>
            <w:right w:w="0" w:type="dxa"/>
          </w:tblCellMar>
        </w:tblPrEx>
        <w:trPr>
          <w:trHeight w:val="568"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7B6F9AF9">
            <w:pPr>
              <w:pStyle w:val="625"/>
              <w:keepNext w:val="0"/>
              <w:keepLines w:val="0"/>
              <w:suppressLineNumbers w:val="0"/>
              <w:spacing w:before="176" w:beforeAutospacing="0" w:after="0" w:afterAutospacing="0"/>
              <w:ind w:left="209" w:right="20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12</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2233E3B5">
            <w:pPr>
              <w:pStyle w:val="625"/>
              <w:keepNext w:val="0"/>
              <w:keepLines w:val="0"/>
              <w:suppressLineNumbers w:val="0"/>
              <w:spacing w:before="176" w:beforeAutospacing="0" w:after="0" w:afterAutospacing="0"/>
              <w:ind w:left="131" w:right="12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预付款保函金额</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0813A4C3">
            <w:pPr>
              <w:pStyle w:val="625"/>
              <w:keepNext w:val="0"/>
              <w:keepLines w:val="0"/>
              <w:suppressLineNumbers w:val="0"/>
              <w:spacing w:before="176"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1DABF156">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4CB8D7F9">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137A4889">
        <w:tblPrEx>
          <w:tblCellMar>
            <w:top w:w="0" w:type="dxa"/>
            <w:left w:w="0" w:type="dxa"/>
            <w:bottom w:w="0" w:type="dxa"/>
            <w:right w:w="0" w:type="dxa"/>
          </w:tblCellMar>
        </w:tblPrEx>
        <w:trPr>
          <w:trHeight w:val="565"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3EBE8F63">
            <w:pPr>
              <w:pStyle w:val="625"/>
              <w:keepNext w:val="0"/>
              <w:keepLines w:val="0"/>
              <w:suppressLineNumbers w:val="0"/>
              <w:spacing w:before="174" w:beforeAutospacing="0" w:after="0" w:afterAutospacing="0"/>
              <w:ind w:left="209" w:right="20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13</w:t>
            </w:r>
          </w:p>
        </w:tc>
        <w:tc>
          <w:tcPr>
            <w:tcW w:w="1986" w:type="dxa"/>
            <w:tcBorders>
              <w:top w:val="single" w:color="000000" w:sz="4" w:space="0"/>
              <w:left w:val="single" w:color="000000" w:sz="4" w:space="0"/>
              <w:bottom w:val="single" w:color="000000" w:sz="4" w:space="0"/>
              <w:right w:val="single" w:color="000000" w:sz="4" w:space="0"/>
            </w:tcBorders>
            <w:noWrap w:val="0"/>
            <w:vAlign w:val="top"/>
          </w:tcPr>
          <w:p w14:paraId="6EE6C1B0">
            <w:pPr>
              <w:pStyle w:val="625"/>
              <w:keepNext w:val="0"/>
              <w:keepLines w:val="0"/>
              <w:suppressLineNumbers w:val="0"/>
              <w:spacing w:before="174" w:beforeAutospacing="0" w:after="0" w:afterAutospacing="0"/>
              <w:ind w:left="131" w:right="122"/>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质量保证金额度</w:t>
            </w:r>
          </w:p>
        </w:tc>
        <w:tc>
          <w:tcPr>
            <w:tcW w:w="1443" w:type="dxa"/>
            <w:tcBorders>
              <w:top w:val="single" w:color="000000" w:sz="4" w:space="0"/>
              <w:left w:val="single" w:color="000000" w:sz="4" w:space="0"/>
              <w:bottom w:val="single" w:color="000000" w:sz="4" w:space="0"/>
              <w:right w:val="single" w:color="000000" w:sz="4" w:space="0"/>
            </w:tcBorders>
            <w:noWrap w:val="0"/>
            <w:vAlign w:val="top"/>
          </w:tcPr>
          <w:p w14:paraId="77A64D80">
            <w:pPr>
              <w:pStyle w:val="625"/>
              <w:keepNext w:val="0"/>
              <w:keepLines w:val="0"/>
              <w:suppressLineNumbers w:val="0"/>
              <w:spacing w:before="174" w:beforeAutospacing="0" w:after="0" w:afterAutospacing="0"/>
              <w:ind w:left="177" w:right="166"/>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专用条款</w:t>
            </w:r>
          </w:p>
        </w:tc>
        <w:tc>
          <w:tcPr>
            <w:tcW w:w="2838" w:type="dxa"/>
            <w:tcBorders>
              <w:top w:val="single" w:color="000000" w:sz="4" w:space="0"/>
              <w:left w:val="single" w:color="000000" w:sz="4" w:space="0"/>
              <w:bottom w:val="single" w:color="000000" w:sz="4" w:space="0"/>
              <w:right w:val="single" w:color="000000" w:sz="4" w:space="0"/>
            </w:tcBorders>
            <w:noWrap w:val="0"/>
            <w:vAlign w:val="top"/>
          </w:tcPr>
          <w:p w14:paraId="3A373009">
            <w:pPr>
              <w:pStyle w:val="625"/>
              <w:keepNext w:val="0"/>
              <w:keepLines w:val="0"/>
              <w:suppressLineNumbers w:val="0"/>
              <w:spacing w:before="174" w:beforeAutospacing="0" w:after="0" w:afterAutospacing="0"/>
              <w:ind w:left="220"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12"/>
                <w:sz w:val="21"/>
                <w:szCs w:val="21"/>
                <w:highlight w:val="none"/>
              </w:rPr>
              <w:t xml:space="preserve">结算款的 </w:t>
            </w:r>
            <w:r>
              <w:rPr>
                <w:rFonts w:hint="eastAsia" w:asciiTheme="minorEastAsia" w:hAnsiTheme="minorEastAsia" w:eastAsiaTheme="minorEastAsia" w:cstheme="minorEastAsia"/>
                <w:sz w:val="21"/>
                <w:szCs w:val="21"/>
                <w:highlight w:val="none"/>
                <w:lang w:val="en-US" w:eastAsia="zh-CN"/>
              </w:rPr>
              <w:t>3</w:t>
            </w:r>
            <w:r>
              <w:rPr>
                <w:rFonts w:hint="eastAsia" w:asciiTheme="minorEastAsia" w:hAnsiTheme="minorEastAsia" w:eastAsiaTheme="minorEastAsia" w:cstheme="minorEastAsia"/>
                <w:sz w:val="21"/>
                <w:szCs w:val="21"/>
                <w:highlight w:val="none"/>
              </w:rPr>
              <w:t>%</w:t>
            </w:r>
          </w:p>
        </w:tc>
        <w:tc>
          <w:tcPr>
            <w:tcW w:w="1673" w:type="dxa"/>
            <w:tcBorders>
              <w:top w:val="single" w:color="000000" w:sz="4" w:space="0"/>
              <w:left w:val="single" w:color="000000" w:sz="4" w:space="0"/>
              <w:bottom w:val="single" w:color="000000" w:sz="4" w:space="0"/>
              <w:right w:val="single" w:color="000000" w:sz="4" w:space="0"/>
            </w:tcBorders>
            <w:noWrap w:val="0"/>
            <w:vAlign w:val="top"/>
          </w:tcPr>
          <w:p w14:paraId="0BDCBB1D">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tc>
      </w:tr>
      <w:tr w14:paraId="769A4BD4">
        <w:tblPrEx>
          <w:tblCellMar>
            <w:top w:w="0" w:type="dxa"/>
            <w:left w:w="0" w:type="dxa"/>
            <w:bottom w:w="0" w:type="dxa"/>
            <w:right w:w="0" w:type="dxa"/>
          </w:tblCellMar>
        </w:tblPrEx>
        <w:trPr>
          <w:trHeight w:val="1020" w:hRule="atLeast"/>
        </w:trPr>
        <w:tc>
          <w:tcPr>
            <w:tcW w:w="994" w:type="dxa"/>
            <w:tcBorders>
              <w:top w:val="single" w:color="000000" w:sz="4" w:space="0"/>
              <w:left w:val="single" w:color="000000" w:sz="4" w:space="0"/>
              <w:bottom w:val="single" w:color="000000" w:sz="4" w:space="0"/>
              <w:right w:val="single" w:color="000000" w:sz="4" w:space="0"/>
            </w:tcBorders>
            <w:noWrap w:val="0"/>
            <w:vAlign w:val="top"/>
          </w:tcPr>
          <w:p w14:paraId="64158F8C">
            <w:pPr>
              <w:pStyle w:val="625"/>
              <w:keepNext w:val="0"/>
              <w:keepLines w:val="0"/>
              <w:suppressLineNumbers w:val="0"/>
              <w:spacing w:before="0" w:beforeAutospacing="0" w:after="0" w:afterAutospacing="0"/>
              <w:ind w:left="0" w:right="0"/>
              <w:rPr>
                <w:rFonts w:hint="eastAsia" w:asciiTheme="minorEastAsia" w:hAnsiTheme="minorEastAsia" w:eastAsiaTheme="minorEastAsia" w:cstheme="minorEastAsia"/>
                <w:sz w:val="21"/>
                <w:szCs w:val="21"/>
                <w:highlight w:val="none"/>
              </w:rPr>
            </w:pPr>
          </w:p>
          <w:p w14:paraId="70C7D43A">
            <w:pPr>
              <w:pStyle w:val="625"/>
              <w:keepNext w:val="0"/>
              <w:keepLines w:val="0"/>
              <w:suppressLineNumbers w:val="0"/>
              <w:spacing w:before="146" w:beforeAutospacing="0" w:after="0" w:afterAutospacing="0"/>
              <w:ind w:left="209" w:right="205"/>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14</w:t>
            </w:r>
          </w:p>
        </w:tc>
        <w:tc>
          <w:tcPr>
            <w:tcW w:w="1986" w:type="dxa"/>
            <w:tcBorders>
              <w:top w:val="single" w:color="000000" w:sz="4" w:space="0"/>
              <w:left w:val="single" w:color="000000" w:sz="4" w:space="0"/>
              <w:bottom w:val="single" w:color="000000" w:sz="4" w:space="0"/>
              <w:right w:val="single" w:color="000000" w:sz="4" w:space="0"/>
            </w:tcBorders>
            <w:noWrap w:val="0"/>
            <w:vAlign w:val="center"/>
          </w:tcPr>
          <w:p w14:paraId="1B41B7C9">
            <w:pPr>
              <w:pStyle w:val="625"/>
              <w:keepNext w:val="0"/>
              <w:keepLines w:val="0"/>
              <w:suppressLineNumbers w:val="0"/>
              <w:spacing w:before="0" w:beforeAutospacing="0" w:after="0" w:afterAutospacing="0"/>
              <w:ind w:left="0" w:right="0"/>
              <w:jc w:val="center"/>
              <w:rPr>
                <w:rFonts w:hint="eastAsia" w:asciiTheme="minorEastAsia" w:hAnsiTheme="minorEastAsia" w:eastAsiaTheme="minorEastAsia" w:cstheme="minorEastAsia"/>
                <w:sz w:val="21"/>
                <w:szCs w:val="21"/>
                <w:highlight w:val="none"/>
              </w:rPr>
            </w:pPr>
          </w:p>
          <w:p w14:paraId="722BD16C">
            <w:pPr>
              <w:pStyle w:val="625"/>
              <w:keepNext w:val="0"/>
              <w:keepLines w:val="0"/>
              <w:suppressLineNumbers w:val="0"/>
              <w:spacing w:before="0" w:beforeAutospacing="0" w:after="0" w:afterAutospacing="0" w:line="304" w:lineRule="auto"/>
              <w:ind w:left="781" w:right="193" w:hanging="579"/>
              <w:jc w:val="center"/>
              <w:rPr>
                <w:rFonts w:hint="eastAsia" w:asciiTheme="minorEastAsia" w:hAnsiTheme="minorEastAsia" w:eastAsiaTheme="minorEastAsia" w:cstheme="minorEastAsia"/>
                <w:sz w:val="21"/>
                <w:szCs w:val="21"/>
                <w:highlight w:val="none"/>
                <w:lang w:val="en-US"/>
              </w:rPr>
            </w:pPr>
            <w:r>
              <w:rPr>
                <w:rFonts w:hint="eastAsia" w:asciiTheme="minorEastAsia" w:hAnsiTheme="minorEastAsia" w:eastAsiaTheme="minorEastAsia" w:cstheme="minorEastAsia"/>
                <w:spacing w:val="-4"/>
                <w:sz w:val="21"/>
                <w:szCs w:val="21"/>
                <w:highlight w:val="none"/>
              </w:rPr>
              <w:t>第</w:t>
            </w:r>
            <w:r>
              <w:rPr>
                <w:rFonts w:hint="eastAsia" w:asciiTheme="minorEastAsia" w:hAnsiTheme="minorEastAsia" w:eastAsiaTheme="minorEastAsia" w:cstheme="minorEastAsia"/>
                <w:spacing w:val="-4"/>
                <w:sz w:val="21"/>
                <w:szCs w:val="21"/>
                <w:highlight w:val="none"/>
                <w:lang w:val="en-US"/>
              </w:rPr>
              <w:t>二</w:t>
            </w:r>
            <w:r>
              <w:rPr>
                <w:rFonts w:hint="eastAsia" w:asciiTheme="minorEastAsia" w:hAnsiTheme="minorEastAsia" w:eastAsiaTheme="minorEastAsia" w:cstheme="minorEastAsia"/>
                <w:spacing w:val="-4"/>
                <w:sz w:val="21"/>
                <w:szCs w:val="21"/>
                <w:highlight w:val="none"/>
              </w:rPr>
              <w:t xml:space="preserve">章 </w:t>
            </w:r>
            <w:r>
              <w:rPr>
                <w:rFonts w:hint="eastAsia" w:asciiTheme="minorEastAsia" w:hAnsiTheme="minorEastAsia" w:eastAsiaTheme="minorEastAsia" w:cstheme="minorEastAsia"/>
                <w:spacing w:val="-4"/>
                <w:sz w:val="21"/>
                <w:szCs w:val="21"/>
                <w:highlight w:val="none"/>
                <w:lang w:val="en-US"/>
              </w:rPr>
              <w:t>采购需求</w:t>
            </w:r>
          </w:p>
        </w:tc>
        <w:tc>
          <w:tcPr>
            <w:tcW w:w="1443" w:type="dxa"/>
            <w:tcBorders>
              <w:top w:val="single" w:color="000000" w:sz="4" w:space="0"/>
              <w:left w:val="single" w:color="000000" w:sz="4" w:space="0"/>
              <w:bottom w:val="single" w:color="000000" w:sz="4" w:space="0"/>
              <w:right w:val="single" w:color="000000" w:sz="4" w:space="0"/>
            </w:tcBorders>
            <w:noWrap w:val="0"/>
            <w:vAlign w:val="center"/>
          </w:tcPr>
          <w:p w14:paraId="6893FCA7">
            <w:pPr>
              <w:pStyle w:val="625"/>
              <w:keepNext w:val="0"/>
              <w:keepLines w:val="0"/>
              <w:suppressLineNumbers w:val="0"/>
              <w:spacing w:before="146" w:beforeAutospacing="0" w:after="0" w:afterAutospacing="0"/>
              <w:ind w:left="0"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w:t>
            </w:r>
          </w:p>
        </w:tc>
        <w:tc>
          <w:tcPr>
            <w:tcW w:w="2838" w:type="dxa"/>
            <w:tcBorders>
              <w:top w:val="single" w:color="000000" w:sz="4" w:space="0"/>
              <w:left w:val="single" w:color="000000" w:sz="4" w:space="0"/>
              <w:bottom w:val="single" w:color="000000" w:sz="4" w:space="0"/>
              <w:right w:val="single" w:color="000000" w:sz="4" w:space="0"/>
            </w:tcBorders>
            <w:noWrap w:val="0"/>
            <w:vAlign w:val="center"/>
          </w:tcPr>
          <w:p w14:paraId="6A60BC2A">
            <w:pPr>
              <w:pStyle w:val="625"/>
              <w:keepNext w:val="0"/>
              <w:keepLines w:val="0"/>
              <w:suppressLineNumbers w:val="0"/>
              <w:spacing w:before="146" w:beforeAutospacing="0" w:after="0" w:afterAutospacing="0"/>
              <w:ind w:left="0" w:right="0"/>
              <w:jc w:val="center"/>
              <w:rPr>
                <w:rFonts w:hint="eastAsia" w:asciiTheme="minorEastAsia" w:hAnsiTheme="minorEastAsia" w:eastAsiaTheme="minorEastAsia" w:cstheme="minorEastAsia"/>
                <w:spacing w:val="-1"/>
                <w:sz w:val="21"/>
                <w:szCs w:val="21"/>
                <w:highlight w:val="none"/>
              </w:rPr>
            </w:pPr>
            <w:r>
              <w:rPr>
                <w:rFonts w:hint="eastAsia" w:asciiTheme="minorEastAsia" w:hAnsiTheme="minorEastAsia" w:eastAsiaTheme="minorEastAsia" w:cstheme="minorEastAsia"/>
                <w:spacing w:val="-1"/>
                <w:sz w:val="21"/>
                <w:szCs w:val="21"/>
                <w:highlight w:val="none"/>
              </w:rPr>
              <w:t>第</w:t>
            </w:r>
            <w:r>
              <w:rPr>
                <w:rFonts w:hint="eastAsia" w:asciiTheme="minorEastAsia" w:hAnsiTheme="minorEastAsia" w:eastAsiaTheme="minorEastAsia" w:cstheme="minorEastAsia"/>
                <w:spacing w:val="-1"/>
                <w:sz w:val="21"/>
                <w:szCs w:val="21"/>
                <w:highlight w:val="none"/>
                <w:lang w:val="en-US"/>
              </w:rPr>
              <w:t>二</w:t>
            </w:r>
            <w:r>
              <w:rPr>
                <w:rFonts w:hint="eastAsia" w:asciiTheme="minorEastAsia" w:hAnsiTheme="minorEastAsia" w:eastAsiaTheme="minorEastAsia" w:cstheme="minorEastAsia"/>
                <w:spacing w:val="-1"/>
                <w:sz w:val="21"/>
                <w:szCs w:val="21"/>
                <w:highlight w:val="none"/>
              </w:rPr>
              <w:t xml:space="preserve">章 </w:t>
            </w:r>
            <w:r>
              <w:rPr>
                <w:rFonts w:hint="eastAsia" w:asciiTheme="minorEastAsia" w:hAnsiTheme="minorEastAsia" w:eastAsiaTheme="minorEastAsia" w:cstheme="minorEastAsia"/>
                <w:spacing w:val="-4"/>
                <w:sz w:val="21"/>
                <w:szCs w:val="21"/>
                <w:highlight w:val="none"/>
                <w:lang w:val="en-US"/>
              </w:rPr>
              <w:t>采购需求</w:t>
            </w:r>
          </w:p>
        </w:tc>
        <w:tc>
          <w:tcPr>
            <w:tcW w:w="1673" w:type="dxa"/>
            <w:tcBorders>
              <w:top w:val="single" w:color="000000" w:sz="4" w:space="0"/>
              <w:left w:val="single" w:color="000000" w:sz="4" w:space="0"/>
              <w:bottom w:val="single" w:color="000000" w:sz="4" w:space="0"/>
              <w:right w:val="single" w:color="000000" w:sz="4" w:space="0"/>
            </w:tcBorders>
            <w:noWrap w:val="0"/>
            <w:vAlign w:val="center"/>
          </w:tcPr>
          <w:p w14:paraId="39ADB3C4">
            <w:pPr>
              <w:pStyle w:val="625"/>
              <w:keepNext w:val="0"/>
              <w:keepLines w:val="0"/>
              <w:suppressLineNumbers w:val="0"/>
              <w:spacing w:before="61" w:beforeAutospacing="0" w:after="0" w:afterAutospacing="0"/>
              <w:ind w:left="0" w:right="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承诺按第</w:t>
            </w:r>
            <w:r>
              <w:rPr>
                <w:rFonts w:hint="eastAsia" w:asciiTheme="minorEastAsia" w:hAnsiTheme="minorEastAsia" w:eastAsiaTheme="minorEastAsia" w:cstheme="minorEastAsia"/>
                <w:sz w:val="21"/>
                <w:szCs w:val="21"/>
                <w:highlight w:val="none"/>
                <w:lang w:val="en-US"/>
              </w:rPr>
              <w:t>二</w:t>
            </w:r>
            <w:r>
              <w:rPr>
                <w:rFonts w:hint="eastAsia" w:asciiTheme="minorEastAsia" w:hAnsiTheme="minorEastAsia" w:eastAsiaTheme="minorEastAsia" w:cstheme="minorEastAsia"/>
                <w:sz w:val="21"/>
                <w:szCs w:val="21"/>
                <w:highlight w:val="none"/>
              </w:rPr>
              <w:t>章</w:t>
            </w:r>
          </w:p>
          <w:p w14:paraId="1CD4A40A">
            <w:pPr>
              <w:pStyle w:val="625"/>
              <w:keepNext w:val="0"/>
              <w:keepLines w:val="0"/>
              <w:suppressLineNumbers w:val="0"/>
              <w:spacing w:before="0" w:beforeAutospacing="0" w:after="0" w:afterAutospacing="0" w:line="340" w:lineRule="atLeast"/>
              <w:ind w:left="624" w:right="194" w:hanging="420"/>
              <w:jc w:val="center"/>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pacing w:val="-4"/>
                <w:sz w:val="21"/>
                <w:szCs w:val="21"/>
                <w:highlight w:val="none"/>
                <w:lang w:val="en-US"/>
              </w:rPr>
              <w:t>采购需求</w:t>
            </w:r>
            <w:r>
              <w:rPr>
                <w:rFonts w:hint="eastAsia" w:asciiTheme="minorEastAsia" w:hAnsiTheme="minorEastAsia" w:eastAsiaTheme="minorEastAsia" w:cstheme="minorEastAsia"/>
                <w:sz w:val="21"/>
                <w:szCs w:val="21"/>
                <w:highlight w:val="none"/>
              </w:rPr>
              <w:t>执行</w:t>
            </w:r>
          </w:p>
        </w:tc>
      </w:tr>
      <w:tr w14:paraId="6BA09513">
        <w:tblPrEx>
          <w:tblCellMar>
            <w:top w:w="0" w:type="dxa"/>
            <w:left w:w="0" w:type="dxa"/>
            <w:bottom w:w="0" w:type="dxa"/>
            <w:right w:w="0" w:type="dxa"/>
          </w:tblCellMar>
        </w:tblPrEx>
        <w:trPr>
          <w:trHeight w:val="928" w:hRule="atLeast"/>
        </w:trPr>
        <w:tc>
          <w:tcPr>
            <w:tcW w:w="8934" w:type="dxa"/>
            <w:gridSpan w:val="5"/>
            <w:tcBorders>
              <w:top w:val="single" w:color="000000" w:sz="4" w:space="0"/>
              <w:left w:val="single" w:color="000000" w:sz="4" w:space="0"/>
              <w:bottom w:val="single" w:color="000000" w:sz="4" w:space="0"/>
              <w:right w:val="single" w:color="000000" w:sz="4" w:space="0"/>
            </w:tcBorders>
            <w:noWrap w:val="0"/>
            <w:vAlign w:val="top"/>
          </w:tcPr>
          <w:p w14:paraId="416CDC57">
            <w:pPr>
              <w:pStyle w:val="625"/>
              <w:keepNext w:val="0"/>
              <w:keepLines w:val="0"/>
              <w:suppressLineNumbers w:val="0"/>
              <w:spacing w:before="6" w:beforeAutospacing="0" w:after="0" w:afterAutospacing="0"/>
              <w:ind w:left="0" w:right="0"/>
              <w:rPr>
                <w:rFonts w:hint="eastAsia" w:asciiTheme="minorEastAsia" w:hAnsiTheme="minorEastAsia" w:eastAsiaTheme="minorEastAsia" w:cstheme="minorEastAsia"/>
                <w:sz w:val="21"/>
                <w:szCs w:val="21"/>
                <w:highlight w:val="none"/>
              </w:rPr>
            </w:pPr>
          </w:p>
          <w:p w14:paraId="73BDB216">
            <w:pPr>
              <w:pStyle w:val="625"/>
              <w:keepNext w:val="0"/>
              <w:keepLines w:val="0"/>
              <w:suppressLineNumbers w:val="0"/>
              <w:spacing w:before="0" w:beforeAutospacing="0" w:after="0" w:afterAutospacing="0" w:line="302" w:lineRule="auto"/>
              <w:ind w:left="107" w:right="104"/>
              <w:rPr>
                <w:rFonts w:hint="eastAsia" w:asciiTheme="minorEastAsia" w:hAnsiTheme="minorEastAsia" w:eastAsiaTheme="minorEastAsia" w:cstheme="minorEastAsia"/>
                <w:sz w:val="21"/>
                <w:szCs w:val="21"/>
                <w:highlight w:val="none"/>
              </w:rPr>
            </w:pPr>
            <w:r>
              <w:rPr>
                <w:rFonts w:hint="eastAsia" w:asciiTheme="minorEastAsia" w:hAnsiTheme="minorEastAsia" w:eastAsiaTheme="minorEastAsia" w:cstheme="minorEastAsia"/>
                <w:sz w:val="21"/>
                <w:szCs w:val="21"/>
                <w:highlight w:val="none"/>
              </w:rPr>
              <w:t>说明：供应商在响应采购文件中规定的实质性要求和条件的基础上，可做出其他有利于采购人的承诺。此类承诺可在本表中予以补充填写。</w:t>
            </w:r>
          </w:p>
        </w:tc>
      </w:tr>
    </w:tbl>
    <w:p w14:paraId="51D7615D">
      <w:pPr>
        <w:pStyle w:val="20"/>
        <w:ind w:left="966"/>
        <w:rPr>
          <w:sz w:val="21"/>
          <w:szCs w:val="21"/>
          <w:highlight w:val="none"/>
        </w:rPr>
      </w:pPr>
      <w:r>
        <w:rPr>
          <w:rFonts w:hint="eastAsia"/>
          <w:spacing w:val="-1"/>
          <w:sz w:val="21"/>
          <w:szCs w:val="21"/>
          <w:highlight w:val="none"/>
        </w:rPr>
        <w:t>供应商</w:t>
      </w:r>
      <w:r>
        <w:rPr>
          <w:rFonts w:hint="eastAsia"/>
          <w:sz w:val="21"/>
          <w:szCs w:val="21"/>
          <w:highlight w:val="none"/>
        </w:rPr>
        <w:t>（电子签章）：</w:t>
      </w:r>
    </w:p>
    <w:p w14:paraId="4D06CF5D">
      <w:pPr>
        <w:pStyle w:val="20"/>
        <w:ind w:left="966"/>
        <w:rPr>
          <w:sz w:val="21"/>
          <w:szCs w:val="21"/>
          <w:highlight w:val="none"/>
        </w:rPr>
      </w:pPr>
      <w:r>
        <w:rPr>
          <w:rFonts w:hint="eastAsia"/>
          <w:spacing w:val="-1"/>
          <w:sz w:val="21"/>
          <w:szCs w:val="21"/>
          <w:highlight w:val="none"/>
        </w:rPr>
        <w:t>法定代表人</w:t>
      </w:r>
      <w:r>
        <w:rPr>
          <w:rFonts w:hint="eastAsia"/>
          <w:sz w:val="21"/>
          <w:szCs w:val="21"/>
          <w:highlight w:val="none"/>
        </w:rPr>
        <w:t>（签字或盖章）：</w:t>
      </w:r>
    </w:p>
    <w:p w14:paraId="6D7C6824">
      <w:pPr>
        <w:pStyle w:val="20"/>
        <w:tabs>
          <w:tab w:val="left" w:pos="3069"/>
          <w:tab w:val="left" w:pos="3907"/>
          <w:tab w:val="left" w:pos="4747"/>
        </w:tabs>
        <w:ind w:left="966"/>
        <w:rPr>
          <w:sz w:val="21"/>
          <w:szCs w:val="21"/>
          <w:highlight w:val="none"/>
        </w:rPr>
      </w:pPr>
      <w:r>
        <w:rPr>
          <w:rFonts w:hint="eastAsia"/>
          <w:sz w:val="21"/>
          <w:szCs w:val="21"/>
          <w:highlight w:val="none"/>
        </w:rPr>
        <w:t>日期：</w:t>
      </w:r>
      <w:r>
        <w:rPr>
          <w:sz w:val="21"/>
          <w:szCs w:val="21"/>
          <w:highlight w:val="none"/>
          <w:u w:val="single"/>
        </w:rPr>
        <w:tab/>
      </w:r>
      <w:r>
        <w:rPr>
          <w:rFonts w:hint="eastAsia"/>
          <w:sz w:val="21"/>
          <w:szCs w:val="21"/>
          <w:highlight w:val="none"/>
        </w:rPr>
        <w:t>年</w:t>
      </w:r>
      <w:r>
        <w:rPr>
          <w:sz w:val="21"/>
          <w:szCs w:val="21"/>
          <w:highlight w:val="none"/>
          <w:u w:val="single"/>
        </w:rPr>
        <w:tab/>
      </w:r>
      <w:r>
        <w:rPr>
          <w:rFonts w:hint="eastAsia"/>
          <w:sz w:val="21"/>
          <w:szCs w:val="21"/>
          <w:highlight w:val="none"/>
        </w:rPr>
        <w:t>月</w:t>
      </w:r>
      <w:r>
        <w:rPr>
          <w:sz w:val="21"/>
          <w:szCs w:val="21"/>
          <w:highlight w:val="none"/>
          <w:u w:val="single"/>
        </w:rPr>
        <w:tab/>
      </w:r>
      <w:r>
        <w:rPr>
          <w:rFonts w:hint="eastAsia"/>
          <w:sz w:val="21"/>
          <w:szCs w:val="21"/>
          <w:highlight w:val="none"/>
        </w:rPr>
        <w:t>日</w:t>
      </w:r>
    </w:p>
    <w:p w14:paraId="4CB4365A">
      <w:pPr>
        <w:rPr>
          <w:rFonts w:hint="eastAsia" w:ascii="宋体" w:hAnsi="宋体" w:cs="宋体"/>
          <w:b/>
          <w:bCs/>
          <w:color w:val="auto"/>
          <w:spacing w:val="0"/>
          <w:sz w:val="32"/>
          <w:highlight w:val="none"/>
        </w:rPr>
      </w:pPr>
      <w:bookmarkStart w:id="216" w:name="_Toc116123775"/>
      <w:bookmarkStart w:id="217" w:name="_Toc116229061"/>
      <w:bookmarkStart w:id="218" w:name="_Toc116204872"/>
      <w:r>
        <w:rPr>
          <w:rFonts w:hint="eastAsia" w:ascii="宋体" w:hAnsi="宋体" w:cs="宋体"/>
          <w:b/>
          <w:bCs/>
          <w:color w:val="auto"/>
          <w:spacing w:val="0"/>
          <w:sz w:val="32"/>
          <w:highlight w:val="none"/>
        </w:rPr>
        <w:br w:type="page" w:clear="all"/>
      </w:r>
    </w:p>
    <w:p w14:paraId="68897ED5">
      <w:pPr>
        <w:bidi w:val="0"/>
        <w:jc w:val="center"/>
        <w:rPr>
          <w:spacing w:val="96"/>
          <w:highlight w:val="none"/>
        </w:rPr>
      </w:pPr>
      <w:r>
        <w:rPr>
          <w:rFonts w:hint="eastAsia" w:ascii="宋体" w:hAnsi="宋体" w:cs="宋体"/>
          <w:b/>
          <w:bCs/>
          <w:color w:val="auto"/>
          <w:spacing w:val="0"/>
          <w:sz w:val="32"/>
          <w:highlight w:val="none"/>
        </w:rPr>
        <w:t>6.磋商报</w:t>
      </w:r>
      <w:r>
        <w:rPr>
          <w:rFonts w:hint="eastAsia" w:cs="宋体"/>
          <w:b/>
          <w:bCs/>
          <w:color w:val="auto"/>
          <w:spacing w:val="0"/>
          <w:sz w:val="32"/>
          <w:highlight w:val="none"/>
        </w:rPr>
        <w:t>价表</w:t>
      </w:r>
      <w:bookmarkEnd w:id="216"/>
      <w:bookmarkEnd w:id="217"/>
      <w:bookmarkEnd w:id="218"/>
      <w:r>
        <w:rPr>
          <w:rFonts w:hint="eastAsia" w:ascii="宋体" w:hAnsi="宋体"/>
          <w:szCs w:val="21"/>
          <w:highlight w:val="none"/>
        </w:rPr>
        <w:fldChar w:fldCharType="begin"/>
      </w:r>
      <w:r>
        <w:rPr>
          <w:rFonts w:hint="eastAsia" w:ascii="宋体" w:hAnsi="宋体"/>
          <w:szCs w:val="21"/>
          <w:highlight w:val="none"/>
        </w:rPr>
        <w:instrText xml:space="preserve"> DOCVARIABLE  采购编号  \* MERGEFORMAT </w:instrText>
      </w:r>
      <w:r>
        <w:rPr>
          <w:rFonts w:hint="eastAsia" w:ascii="宋体" w:hAnsi="宋体"/>
          <w:szCs w:val="21"/>
          <w:highlight w:val="none"/>
        </w:rPr>
        <w:fldChar w:fldCharType="end"/>
      </w:r>
      <w:r>
        <w:rPr>
          <w:rFonts w:hint="eastAsia" w:ascii="宋体" w:hAnsi="宋体"/>
          <w:szCs w:val="21"/>
          <w:highlight w:val="none"/>
        </w:rPr>
        <w:fldChar w:fldCharType="begin"/>
      </w:r>
      <w:r>
        <w:rPr>
          <w:rFonts w:hint="eastAsia" w:ascii="宋体" w:hAnsi="宋体"/>
          <w:szCs w:val="21"/>
          <w:highlight w:val="none"/>
        </w:rPr>
        <w:instrText xml:space="preserve"> DOCVARIABLE  采购编号  \* MERGEFORMAT </w:instrText>
      </w:r>
      <w:r>
        <w:rPr>
          <w:rFonts w:hint="eastAsia" w:ascii="宋体" w:hAnsi="宋体"/>
          <w:szCs w:val="21"/>
          <w:highlight w:val="none"/>
        </w:rPr>
        <w:fldChar w:fldCharType="end"/>
      </w:r>
    </w:p>
    <w:p w14:paraId="3972F2FA">
      <w:pPr>
        <w:spacing w:line="360" w:lineRule="auto"/>
        <w:ind w:firstLine="480"/>
        <w:contextualSpacing/>
        <w:rPr>
          <w:rFonts w:ascii="宋体" w:hAnsi="宋体" w:cs="仿宋_GB2312"/>
          <w:sz w:val="24"/>
          <w:highlight w:val="none"/>
        </w:rPr>
      </w:pPr>
      <w:r>
        <w:rPr>
          <w:rFonts w:hint="eastAsia" w:ascii="宋体" w:hAnsi="宋体" w:cs="仿宋_GB2312"/>
          <w:sz w:val="24"/>
          <w:highlight w:val="none"/>
        </w:rPr>
        <w:t>项目编号：</w:t>
      </w:r>
    </w:p>
    <w:p w14:paraId="63F0A147">
      <w:pPr>
        <w:spacing w:line="360" w:lineRule="auto"/>
        <w:ind w:firstLine="480"/>
        <w:contextualSpacing/>
        <w:rPr>
          <w:rFonts w:ascii="宋体" w:hAnsi="宋体" w:cs="仿宋_GB2312"/>
          <w:sz w:val="24"/>
          <w:highlight w:val="none"/>
        </w:rPr>
      </w:pPr>
      <w:r>
        <w:rPr>
          <w:rFonts w:hint="eastAsia" w:ascii="宋体" w:hAnsi="宋体" w:cs="仿宋_GB2312"/>
          <w:sz w:val="24"/>
          <w:highlight w:val="none"/>
        </w:rPr>
        <w:t>供应商名称：</w:t>
      </w:r>
    </w:p>
    <w:tbl>
      <w:tblPr>
        <w:tblStyle w:val="56"/>
        <w:tblW w:w="0" w:type="auto"/>
        <w:jc w:val="right"/>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4"/>
        <w:gridCol w:w="2395"/>
        <w:gridCol w:w="1505"/>
        <w:gridCol w:w="3107"/>
        <w:gridCol w:w="1184"/>
      </w:tblGrid>
      <w:tr w14:paraId="6EB9B2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4" w:type="dxa"/>
            <w:tcBorders>
              <w:top w:val="single" w:color="auto" w:sz="4" w:space="0"/>
              <w:left w:val="single" w:color="auto" w:sz="4" w:space="0"/>
              <w:bottom w:val="single" w:color="auto" w:sz="4" w:space="0"/>
              <w:right w:val="single" w:color="auto" w:sz="4" w:space="0"/>
            </w:tcBorders>
            <w:noWrap w:val="0"/>
            <w:vAlign w:val="center"/>
          </w:tcPr>
          <w:p w14:paraId="64B71683">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default" w:ascii="宋体" w:hAnsi="宋体" w:cs="仿宋_GB2312"/>
                <w:sz w:val="24"/>
                <w:highlight w:val="none"/>
              </w:rPr>
              <w:t>序号</w:t>
            </w:r>
          </w:p>
        </w:tc>
        <w:tc>
          <w:tcPr>
            <w:tcW w:w="2395" w:type="dxa"/>
            <w:tcBorders>
              <w:top w:val="single" w:color="auto" w:sz="4" w:space="0"/>
              <w:left w:val="single" w:color="auto" w:sz="4" w:space="0"/>
              <w:bottom w:val="single" w:color="auto" w:sz="4" w:space="0"/>
              <w:right w:val="single" w:color="auto" w:sz="4" w:space="0"/>
            </w:tcBorders>
            <w:noWrap w:val="0"/>
            <w:vAlign w:val="center"/>
          </w:tcPr>
          <w:p w14:paraId="25E3FFEB">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eastAsia" w:ascii="宋体" w:hAnsi="宋体" w:cs="仿宋_GB2312"/>
                <w:sz w:val="24"/>
                <w:highlight w:val="none"/>
              </w:rPr>
              <w:t>项目</w:t>
            </w:r>
            <w:r>
              <w:rPr>
                <w:rFonts w:hint="default" w:ascii="宋体" w:hAnsi="宋体" w:cs="仿宋_GB2312"/>
                <w:sz w:val="24"/>
                <w:highlight w:val="none"/>
              </w:rPr>
              <w:t>名称</w:t>
            </w:r>
          </w:p>
        </w:tc>
        <w:tc>
          <w:tcPr>
            <w:tcW w:w="1505" w:type="dxa"/>
            <w:tcBorders>
              <w:top w:val="single" w:color="auto" w:sz="4" w:space="0"/>
              <w:left w:val="single" w:color="auto" w:sz="4" w:space="0"/>
              <w:bottom w:val="single" w:color="auto" w:sz="4" w:space="0"/>
              <w:right w:val="single" w:color="auto" w:sz="4" w:space="0"/>
            </w:tcBorders>
            <w:noWrap w:val="0"/>
            <w:vAlign w:val="center"/>
          </w:tcPr>
          <w:p w14:paraId="0673BFC1">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eastAsia" w:ascii="宋体" w:hAnsi="宋体" w:cs="仿宋_GB2312"/>
                <w:sz w:val="24"/>
                <w:highlight w:val="none"/>
              </w:rPr>
              <w:t>数量及单位</w:t>
            </w:r>
          </w:p>
        </w:tc>
        <w:tc>
          <w:tcPr>
            <w:tcW w:w="3107" w:type="dxa"/>
            <w:tcBorders>
              <w:top w:val="single" w:color="auto" w:sz="4" w:space="0"/>
              <w:left w:val="single" w:color="auto" w:sz="4" w:space="0"/>
              <w:bottom w:val="single" w:color="auto" w:sz="4" w:space="0"/>
              <w:right w:val="single" w:color="auto" w:sz="4" w:space="0"/>
            </w:tcBorders>
            <w:noWrap w:val="0"/>
            <w:vAlign w:val="center"/>
          </w:tcPr>
          <w:p w14:paraId="5ADDB8D1">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eastAsia" w:ascii="宋体" w:hAnsi="宋体" w:cs="仿宋_GB2312"/>
                <w:sz w:val="24"/>
                <w:highlight w:val="none"/>
              </w:rPr>
              <w:t>总价（单位：元）</w:t>
            </w:r>
          </w:p>
        </w:tc>
        <w:tc>
          <w:tcPr>
            <w:tcW w:w="1184" w:type="dxa"/>
            <w:tcBorders>
              <w:top w:val="single" w:color="auto" w:sz="4" w:space="0"/>
              <w:left w:val="single" w:color="auto" w:sz="4" w:space="0"/>
              <w:bottom w:val="single" w:color="auto" w:sz="4" w:space="0"/>
              <w:right w:val="single" w:color="auto" w:sz="4" w:space="0"/>
            </w:tcBorders>
            <w:noWrap w:val="0"/>
            <w:vAlign w:val="center"/>
          </w:tcPr>
          <w:p w14:paraId="664F306D">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default" w:ascii="宋体" w:hAnsi="宋体" w:cs="仿宋_GB2312"/>
                <w:sz w:val="24"/>
                <w:highlight w:val="none"/>
              </w:rPr>
              <w:t>备注</w:t>
            </w:r>
          </w:p>
        </w:tc>
      </w:tr>
      <w:tr w14:paraId="245941B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4" w:type="dxa"/>
            <w:tcBorders>
              <w:top w:val="single" w:color="auto" w:sz="4" w:space="0"/>
              <w:left w:val="single" w:color="auto" w:sz="4" w:space="0"/>
              <w:bottom w:val="single" w:color="auto" w:sz="4" w:space="0"/>
              <w:right w:val="single" w:color="auto" w:sz="4" w:space="0"/>
            </w:tcBorders>
            <w:noWrap w:val="0"/>
            <w:vAlign w:val="center"/>
          </w:tcPr>
          <w:p w14:paraId="52B23C70">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default" w:ascii="宋体" w:hAnsi="宋体" w:cs="仿宋_GB2312"/>
                <w:sz w:val="24"/>
                <w:highlight w:val="none"/>
              </w:rPr>
              <w:t>1</w:t>
            </w:r>
          </w:p>
        </w:tc>
        <w:tc>
          <w:tcPr>
            <w:tcW w:w="2395" w:type="dxa"/>
            <w:tcBorders>
              <w:top w:val="single" w:color="auto" w:sz="4" w:space="0"/>
              <w:left w:val="single" w:color="auto" w:sz="4" w:space="0"/>
              <w:bottom w:val="single" w:color="auto" w:sz="4" w:space="0"/>
              <w:right w:val="single" w:color="auto" w:sz="4" w:space="0"/>
            </w:tcBorders>
            <w:noWrap w:val="0"/>
            <w:vAlign w:val="center"/>
          </w:tcPr>
          <w:p w14:paraId="328F08E3">
            <w:pPr>
              <w:keepNext w:val="0"/>
              <w:keepLines w:val="0"/>
              <w:suppressLineNumbers w:val="0"/>
              <w:spacing w:before="0" w:beforeAutospacing="0" w:after="0" w:afterAutospacing="0" w:line="360" w:lineRule="auto"/>
              <w:ind w:left="0" w:right="0" w:firstLine="480"/>
              <w:contextualSpacing/>
              <w:jc w:val="center"/>
              <w:rPr>
                <w:rFonts w:hint="default" w:ascii="宋体" w:hAnsi="宋体" w:cs="仿宋_GB2312"/>
                <w:sz w:val="24"/>
                <w:highlight w:val="none"/>
              </w:rPr>
            </w:pPr>
          </w:p>
        </w:tc>
        <w:tc>
          <w:tcPr>
            <w:tcW w:w="1505" w:type="dxa"/>
            <w:tcBorders>
              <w:top w:val="single" w:color="auto" w:sz="4" w:space="0"/>
              <w:left w:val="single" w:color="auto" w:sz="4" w:space="0"/>
              <w:bottom w:val="single" w:color="auto" w:sz="4" w:space="0"/>
              <w:right w:val="single" w:color="auto" w:sz="4" w:space="0"/>
            </w:tcBorders>
            <w:noWrap w:val="0"/>
            <w:vAlign w:val="center"/>
          </w:tcPr>
          <w:p w14:paraId="2C3E4155">
            <w:pPr>
              <w:keepNext w:val="0"/>
              <w:keepLines w:val="0"/>
              <w:suppressLineNumbers w:val="0"/>
              <w:spacing w:before="0" w:beforeAutospacing="0" w:after="0" w:afterAutospacing="0" w:line="360" w:lineRule="auto"/>
              <w:ind w:left="0" w:right="0" w:firstLine="0"/>
              <w:contextualSpacing/>
              <w:jc w:val="center"/>
              <w:rPr>
                <w:rFonts w:hint="default" w:ascii="宋体" w:hAnsi="宋体" w:cs="仿宋_GB2312"/>
                <w:sz w:val="24"/>
                <w:highlight w:val="none"/>
              </w:rPr>
            </w:pPr>
            <w:r>
              <w:rPr>
                <w:rFonts w:hint="eastAsia" w:ascii="宋体" w:hAnsi="宋体" w:cs="仿宋_GB2312"/>
                <w:sz w:val="24"/>
                <w:highlight w:val="none"/>
              </w:rPr>
              <w:t>1项</w:t>
            </w:r>
          </w:p>
        </w:tc>
        <w:tc>
          <w:tcPr>
            <w:tcW w:w="3107" w:type="dxa"/>
            <w:tcBorders>
              <w:top w:val="single" w:color="auto" w:sz="4" w:space="0"/>
              <w:left w:val="single" w:color="auto" w:sz="4" w:space="0"/>
              <w:bottom w:val="single" w:color="auto" w:sz="4" w:space="0"/>
              <w:right w:val="single" w:color="auto" w:sz="4" w:space="0"/>
            </w:tcBorders>
            <w:noWrap w:val="0"/>
            <w:vAlign w:val="top"/>
          </w:tcPr>
          <w:p w14:paraId="4273BC06">
            <w:pPr>
              <w:keepNext w:val="0"/>
              <w:keepLines w:val="0"/>
              <w:suppressLineNumbers w:val="0"/>
              <w:spacing w:before="0" w:beforeAutospacing="0" w:after="0" w:afterAutospacing="0" w:line="360" w:lineRule="auto"/>
              <w:ind w:left="0" w:right="0" w:firstLine="480"/>
              <w:contextualSpacing/>
              <w:jc w:val="center"/>
              <w:rPr>
                <w:rFonts w:hint="default" w:ascii="宋体" w:hAnsi="宋体" w:cs="仿宋_GB2312"/>
                <w:sz w:val="24"/>
                <w:highlight w:val="none"/>
              </w:rPr>
            </w:pPr>
          </w:p>
        </w:tc>
        <w:tc>
          <w:tcPr>
            <w:tcW w:w="1184" w:type="dxa"/>
            <w:tcBorders>
              <w:top w:val="single" w:color="auto" w:sz="4" w:space="0"/>
              <w:left w:val="single" w:color="auto" w:sz="4" w:space="0"/>
              <w:bottom w:val="single" w:color="auto" w:sz="4" w:space="0"/>
              <w:right w:val="single" w:color="auto" w:sz="4" w:space="0"/>
            </w:tcBorders>
            <w:noWrap w:val="0"/>
            <w:vAlign w:val="center"/>
          </w:tcPr>
          <w:p w14:paraId="125CB927">
            <w:pPr>
              <w:keepNext w:val="0"/>
              <w:keepLines w:val="0"/>
              <w:suppressLineNumbers w:val="0"/>
              <w:spacing w:before="0" w:beforeAutospacing="0" w:after="0" w:afterAutospacing="0" w:line="360" w:lineRule="auto"/>
              <w:ind w:left="0" w:right="0" w:firstLine="480"/>
              <w:contextualSpacing/>
              <w:jc w:val="center"/>
              <w:rPr>
                <w:rFonts w:hint="default" w:ascii="宋体" w:hAnsi="宋体" w:cs="仿宋_GB2312"/>
                <w:sz w:val="24"/>
                <w:highlight w:val="none"/>
              </w:rPr>
            </w:pPr>
          </w:p>
        </w:tc>
      </w:tr>
      <w:tr w14:paraId="15A0E09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32771B64">
            <w:pPr>
              <w:keepNext w:val="0"/>
              <w:keepLines w:val="0"/>
              <w:suppressLineNumbers w:val="0"/>
              <w:spacing w:before="0" w:beforeAutospacing="0" w:after="0" w:afterAutospacing="0" w:line="360" w:lineRule="auto"/>
              <w:ind w:left="0" w:right="0" w:firstLine="480"/>
              <w:contextualSpacing/>
              <w:rPr>
                <w:rFonts w:hint="default" w:ascii="宋体" w:hAnsi="宋体" w:cs="仿宋_GB2312"/>
                <w:sz w:val="24"/>
                <w:highlight w:val="none"/>
              </w:rPr>
            </w:pPr>
            <w:r>
              <w:rPr>
                <w:rFonts w:hint="eastAsia" w:ascii="宋体" w:hAnsi="宋体" w:cs="仿宋_GB2312"/>
                <w:sz w:val="24"/>
                <w:highlight w:val="none"/>
              </w:rPr>
              <w:t>合计金额（人民币）</w:t>
            </w:r>
            <w:r>
              <w:rPr>
                <w:rFonts w:hint="eastAsia" w:ascii="宋体" w:hAnsi="宋体" w:cs="仿宋_GB2312"/>
                <w:sz w:val="24"/>
                <w:highlight w:val="none"/>
                <w:u w:val="single"/>
              </w:rPr>
              <w:t xml:space="preserve">大写：           </w:t>
            </w:r>
            <w:r>
              <w:rPr>
                <w:rFonts w:hint="eastAsia" w:ascii="宋体" w:hAnsi="宋体" w:cs="仿宋_GB2312"/>
                <w:sz w:val="24"/>
                <w:highlight w:val="none"/>
              </w:rPr>
              <w:t>（</w:t>
            </w:r>
            <w:r>
              <w:rPr>
                <w:rFonts w:hint="eastAsia" w:ascii="宋体" w:hAnsi="宋体" w:cs="仿宋_GB2312"/>
                <w:sz w:val="24"/>
                <w:highlight w:val="none"/>
                <w:lang w:eastAsia="zh-CN"/>
              </w:rPr>
              <w:t>小写</w:t>
            </w:r>
            <w:r>
              <w:rPr>
                <w:rFonts w:hint="eastAsia" w:ascii="宋体" w:hAnsi="宋体" w:cs="仿宋_GB2312"/>
                <w:sz w:val="24"/>
                <w:highlight w:val="none"/>
                <w:u w:val="single"/>
              </w:rPr>
              <w:t>￥</w:t>
            </w:r>
            <w:r>
              <w:rPr>
                <w:rFonts w:hint="eastAsia" w:ascii="宋体" w:hAnsi="宋体" w:cs="仿宋_GB2312"/>
                <w:sz w:val="24"/>
                <w:highlight w:val="none"/>
                <w:u w:val="single"/>
                <w:lang w:val="en-US" w:eastAsia="zh-CN"/>
              </w:rPr>
              <w:t xml:space="preserve">      元</w:t>
            </w:r>
            <w:r>
              <w:rPr>
                <w:rFonts w:hint="eastAsia" w:ascii="宋体" w:hAnsi="宋体" w:cs="仿宋_GB2312"/>
                <w:sz w:val="24"/>
                <w:highlight w:val="none"/>
              </w:rPr>
              <w:t>）</w:t>
            </w:r>
          </w:p>
        </w:tc>
      </w:tr>
      <w:tr w14:paraId="4F563F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0857311D">
            <w:pPr>
              <w:keepNext w:val="0"/>
              <w:keepLines w:val="0"/>
              <w:suppressLineNumbers w:val="0"/>
              <w:spacing w:before="0" w:beforeAutospacing="0" w:after="0" w:afterAutospacing="0" w:line="360" w:lineRule="auto"/>
              <w:ind w:left="0" w:right="0" w:firstLine="480"/>
              <w:contextualSpacing/>
              <w:rPr>
                <w:rFonts w:hint="default" w:ascii="宋体" w:hAnsi="宋体" w:cs="仿宋_GB2312"/>
                <w:sz w:val="24"/>
                <w:highlight w:val="none"/>
              </w:rPr>
            </w:pPr>
            <w:r>
              <w:rPr>
                <w:rFonts w:hint="eastAsia" w:ascii="宋体" w:hAnsi="宋体" w:cs="仿宋_GB2312"/>
                <w:sz w:val="24"/>
                <w:highlight w:val="none"/>
              </w:rPr>
              <w:t>项目经理姓名及证书编号：</w:t>
            </w:r>
          </w:p>
        </w:tc>
      </w:tr>
      <w:tr w14:paraId="4A5DEF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24A33FF2">
            <w:pPr>
              <w:keepNext w:val="0"/>
              <w:keepLines w:val="0"/>
              <w:suppressLineNumbers w:val="0"/>
              <w:spacing w:before="0" w:beforeAutospacing="0" w:after="0" w:afterAutospacing="0" w:line="360" w:lineRule="auto"/>
              <w:ind w:left="0" w:right="0" w:firstLine="480"/>
              <w:contextualSpacing/>
              <w:rPr>
                <w:rFonts w:hint="default" w:ascii="宋体" w:hAnsi="宋体" w:cs="仿宋_GB2312"/>
                <w:sz w:val="24"/>
                <w:highlight w:val="none"/>
              </w:rPr>
            </w:pPr>
            <w:r>
              <w:rPr>
                <w:rFonts w:hint="eastAsia" w:ascii="宋体" w:hAnsi="宋体" w:cs="仿宋_GB2312"/>
                <w:sz w:val="24"/>
                <w:highlight w:val="none"/>
              </w:rPr>
              <w:t>质量要求：</w:t>
            </w:r>
          </w:p>
        </w:tc>
      </w:tr>
      <w:tr w14:paraId="25A91E8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cantSplit/>
          <w:trHeight w:val="797" w:hRule="atLeast"/>
          <w:jc w:val="right"/>
        </w:trPr>
        <w:tc>
          <w:tcPr>
            <w:tcW w:w="9095" w:type="dxa"/>
            <w:gridSpan w:val="5"/>
            <w:tcBorders>
              <w:top w:val="single" w:color="auto" w:sz="4" w:space="0"/>
              <w:left w:val="single" w:color="auto" w:sz="4" w:space="0"/>
              <w:bottom w:val="single" w:color="auto" w:sz="4" w:space="0"/>
              <w:right w:val="single" w:color="auto" w:sz="4" w:space="0"/>
            </w:tcBorders>
            <w:noWrap w:val="0"/>
            <w:vAlign w:val="center"/>
          </w:tcPr>
          <w:p w14:paraId="1BD5DCDA">
            <w:pPr>
              <w:keepNext w:val="0"/>
              <w:keepLines w:val="0"/>
              <w:suppressLineNumbers w:val="0"/>
              <w:spacing w:before="0" w:beforeAutospacing="0" w:after="0" w:afterAutospacing="0" w:line="360" w:lineRule="auto"/>
              <w:ind w:left="0" w:right="0" w:firstLine="480"/>
              <w:contextualSpacing/>
              <w:rPr>
                <w:rFonts w:hint="default" w:ascii="宋体" w:hAnsi="宋体" w:cs="仿宋_GB2312"/>
                <w:sz w:val="24"/>
                <w:highlight w:val="none"/>
              </w:rPr>
            </w:pPr>
            <w:r>
              <w:rPr>
                <w:rFonts w:hint="eastAsia" w:ascii="宋体" w:hAnsi="宋体" w:cs="仿宋_GB2312"/>
                <w:sz w:val="24"/>
                <w:highlight w:val="none"/>
                <w:lang w:eastAsia="zh-CN"/>
              </w:rPr>
              <w:t>合同履约期限</w:t>
            </w:r>
            <w:r>
              <w:rPr>
                <w:rFonts w:hint="eastAsia" w:ascii="宋体" w:hAnsi="宋体" w:cs="仿宋_GB2312"/>
                <w:sz w:val="24"/>
                <w:highlight w:val="none"/>
              </w:rPr>
              <w:t xml:space="preserve">：         </w:t>
            </w:r>
          </w:p>
        </w:tc>
      </w:tr>
    </w:tbl>
    <w:p w14:paraId="7498692B">
      <w:pPr>
        <w:tabs>
          <w:tab w:val="left" w:pos="7740"/>
        </w:tabs>
        <w:spacing w:line="400" w:lineRule="exact"/>
        <w:ind w:firstLine="210"/>
        <w:rPr>
          <w:rFonts w:ascii="宋体" w:hAnsi="宋体"/>
          <w:szCs w:val="21"/>
          <w:highlight w:val="none"/>
        </w:rPr>
      </w:pPr>
      <w:r>
        <w:rPr>
          <w:rFonts w:hint="eastAsia" w:ascii="宋体" w:hAnsi="宋体"/>
          <w:szCs w:val="21"/>
          <w:highlight w:val="none"/>
        </w:rPr>
        <w:t>注：1.供应商须按要求填写所有信息，不得随意更改本表格式。</w:t>
      </w:r>
    </w:p>
    <w:p w14:paraId="3CBF1A5D">
      <w:pPr>
        <w:tabs>
          <w:tab w:val="left" w:pos="7740"/>
        </w:tabs>
        <w:spacing w:line="400" w:lineRule="exact"/>
        <w:ind w:left="630" w:right="800"/>
        <w:rPr>
          <w:rFonts w:ascii="宋体" w:hAnsi="宋体"/>
          <w:szCs w:val="21"/>
          <w:highlight w:val="none"/>
        </w:rPr>
      </w:pPr>
      <w:r>
        <w:rPr>
          <w:rFonts w:hint="eastAsia" w:ascii="宋体" w:hAnsi="宋体"/>
          <w:szCs w:val="21"/>
          <w:highlight w:val="none"/>
        </w:rPr>
        <w:t>2.本项目执行单价包干，工程量按实结算。要求包工、包料、包机械、包工期、包质量、包安全生产、包文明施工、包劳保、包保修等的承包方式。</w:t>
      </w:r>
    </w:p>
    <w:p w14:paraId="42569BF3">
      <w:pPr>
        <w:tabs>
          <w:tab w:val="left" w:pos="7740"/>
        </w:tabs>
        <w:spacing w:line="400" w:lineRule="exact"/>
        <w:ind w:left="630" w:right="800"/>
        <w:rPr>
          <w:rFonts w:ascii="宋体" w:hAnsi="宋体"/>
          <w:szCs w:val="21"/>
          <w:highlight w:val="none"/>
        </w:rPr>
      </w:pPr>
      <w:r>
        <w:rPr>
          <w:rFonts w:hint="eastAsia" w:ascii="宋体" w:hAnsi="宋体"/>
          <w:szCs w:val="21"/>
          <w:highlight w:val="none"/>
        </w:rPr>
        <w:t>3.总报价应为包括人工费、材料费、机械费、管理费、利润、项目措施费、规费、税金以及施工合同包含的所有风险、</w:t>
      </w:r>
      <w:r>
        <w:rPr>
          <w:rFonts w:hint="eastAsia" w:ascii="宋体" w:hAnsi="宋体"/>
          <w:szCs w:val="21"/>
          <w:highlight w:val="none"/>
          <w:lang w:val="en-US" w:eastAsia="zh-CN"/>
        </w:rPr>
        <w:t>a</w:t>
      </w:r>
      <w:r>
        <w:rPr>
          <w:rFonts w:hint="eastAsia" w:ascii="宋体" w:hAnsi="宋体"/>
          <w:szCs w:val="21"/>
          <w:highlight w:val="none"/>
        </w:rPr>
        <w:t>责任等各项应有费用；</w:t>
      </w:r>
    </w:p>
    <w:p w14:paraId="291D707F">
      <w:pPr>
        <w:tabs>
          <w:tab w:val="left" w:pos="7740"/>
        </w:tabs>
        <w:spacing w:line="400" w:lineRule="exact"/>
        <w:ind w:firstLine="630"/>
        <w:rPr>
          <w:rFonts w:ascii="宋体" w:hAnsi="宋体"/>
          <w:szCs w:val="21"/>
          <w:highlight w:val="none"/>
        </w:rPr>
      </w:pPr>
      <w:r>
        <w:rPr>
          <w:rFonts w:hint="eastAsia" w:ascii="宋体" w:hAnsi="宋体"/>
          <w:szCs w:val="21"/>
          <w:highlight w:val="none"/>
        </w:rPr>
        <w:t>4.采购范围内所有设备及配件费；</w:t>
      </w:r>
    </w:p>
    <w:p w14:paraId="6680B6BD">
      <w:pPr>
        <w:tabs>
          <w:tab w:val="left" w:pos="7740"/>
        </w:tabs>
        <w:spacing w:line="400" w:lineRule="exact"/>
        <w:ind w:firstLine="630"/>
        <w:rPr>
          <w:rFonts w:ascii="宋体" w:hAnsi="宋体"/>
          <w:szCs w:val="21"/>
          <w:highlight w:val="none"/>
        </w:rPr>
      </w:pPr>
      <w:r>
        <w:rPr>
          <w:rFonts w:hint="eastAsia" w:ascii="宋体" w:hAnsi="宋体"/>
          <w:szCs w:val="21"/>
          <w:highlight w:val="none"/>
        </w:rPr>
        <w:t>5.安装中的相关费用（包括安装过程中损耗、额外材料、审批报建费用等）；</w:t>
      </w:r>
    </w:p>
    <w:p w14:paraId="7B163098">
      <w:pPr>
        <w:tabs>
          <w:tab w:val="left" w:pos="7740"/>
        </w:tabs>
        <w:spacing w:line="400" w:lineRule="exact"/>
        <w:ind w:firstLine="630"/>
        <w:rPr>
          <w:rFonts w:ascii="宋体" w:hAnsi="宋体"/>
          <w:szCs w:val="21"/>
          <w:highlight w:val="none"/>
        </w:rPr>
      </w:pPr>
      <w:r>
        <w:rPr>
          <w:rFonts w:hint="eastAsia" w:ascii="宋体" w:hAnsi="宋体"/>
          <w:szCs w:val="21"/>
          <w:highlight w:val="none"/>
        </w:rPr>
        <w:t>6.售后服务的相关费用。</w:t>
      </w:r>
    </w:p>
    <w:p w14:paraId="7400E105">
      <w:pPr>
        <w:spacing w:line="300" w:lineRule="auto"/>
        <w:rPr>
          <w:szCs w:val="21"/>
          <w:highlight w:val="none"/>
        </w:rPr>
      </w:pPr>
    </w:p>
    <w:p w14:paraId="319FF4A6">
      <w:pPr>
        <w:spacing w:line="300" w:lineRule="auto"/>
        <w:rPr>
          <w:szCs w:val="21"/>
          <w:highlight w:val="none"/>
        </w:rPr>
      </w:pPr>
    </w:p>
    <w:p w14:paraId="05FDF5A1">
      <w:pPr>
        <w:spacing w:line="300" w:lineRule="auto"/>
        <w:rPr>
          <w:szCs w:val="21"/>
          <w:highlight w:val="none"/>
        </w:rPr>
      </w:pPr>
    </w:p>
    <w:p w14:paraId="1E5E6274">
      <w:pPr>
        <w:spacing w:line="360" w:lineRule="auto"/>
        <w:ind w:firstLine="210"/>
        <w:rPr>
          <w:szCs w:val="21"/>
          <w:highlight w:val="none"/>
        </w:rPr>
      </w:pPr>
      <w:r>
        <w:rPr>
          <w:rFonts w:hint="eastAsia" w:ascii="宋体" w:hAnsi="宋体" w:cs="宋体"/>
          <w:szCs w:val="21"/>
          <w:highlight w:val="none"/>
        </w:rPr>
        <w:t>供应商法定代表人（或法定代表人授权代表）签字或盖章：</w:t>
      </w:r>
      <w:r>
        <w:rPr>
          <w:rFonts w:hint="eastAsia"/>
          <w:szCs w:val="21"/>
          <w:highlight w:val="none"/>
          <w:u w:val="single"/>
        </w:rPr>
        <w:t xml:space="preserve">                   </w:t>
      </w:r>
    </w:p>
    <w:p w14:paraId="6B260B64">
      <w:pPr>
        <w:spacing w:line="360" w:lineRule="auto"/>
        <w:ind w:firstLine="210"/>
        <w:rPr>
          <w:szCs w:val="21"/>
          <w:highlight w:val="none"/>
          <w:u w:val="single"/>
        </w:rPr>
      </w:pPr>
      <w:r>
        <w:rPr>
          <w:rFonts w:hint="eastAsia"/>
          <w:szCs w:val="21"/>
          <w:highlight w:val="none"/>
        </w:rPr>
        <w:t>供应商名称（</w:t>
      </w:r>
      <w:r>
        <w:rPr>
          <w:rFonts w:hint="eastAsia" w:ascii="宋体" w:hAnsi="宋体" w:cs="宋体"/>
          <w:szCs w:val="21"/>
          <w:highlight w:val="none"/>
        </w:rPr>
        <w:t>电子签章</w:t>
      </w:r>
      <w:r>
        <w:rPr>
          <w:rFonts w:hint="eastAsia"/>
          <w:szCs w:val="21"/>
          <w:highlight w:val="none"/>
        </w:rPr>
        <w:t>）：</w:t>
      </w:r>
      <w:r>
        <w:rPr>
          <w:rFonts w:hint="eastAsia"/>
          <w:szCs w:val="21"/>
          <w:highlight w:val="none"/>
          <w:u w:val="single"/>
        </w:rPr>
        <w:t xml:space="preserve">                        </w:t>
      </w:r>
    </w:p>
    <w:p w14:paraId="6EF0B4C9">
      <w:pPr>
        <w:spacing w:line="360" w:lineRule="auto"/>
        <w:ind w:firstLine="210"/>
        <w:rPr>
          <w:highlight w:val="none"/>
        </w:rPr>
      </w:pPr>
      <w:r>
        <w:rPr>
          <w:rFonts w:hint="eastAsia"/>
          <w:szCs w:val="21"/>
          <w:highlight w:val="none"/>
        </w:rPr>
        <w:t>日期：   年   月   日</w:t>
      </w:r>
    </w:p>
    <w:p w14:paraId="53827B41">
      <w:pPr>
        <w:jc w:val="center"/>
        <w:rPr>
          <w:rFonts w:hint="eastAsia"/>
          <w:b/>
          <w:sz w:val="32"/>
          <w:szCs w:val="32"/>
          <w:highlight w:val="none"/>
        </w:rPr>
      </w:pPr>
      <w:r>
        <w:rPr>
          <w:sz w:val="24"/>
          <w:highlight w:val="none"/>
        </w:rPr>
        <w:br w:type="page" w:clear="all"/>
      </w:r>
      <w:r>
        <w:rPr>
          <w:rFonts w:hint="eastAsia"/>
          <w:b/>
          <w:sz w:val="32"/>
          <w:szCs w:val="32"/>
          <w:highlight w:val="none"/>
        </w:rPr>
        <w:t>已标价工程量清单</w:t>
      </w:r>
    </w:p>
    <w:p w14:paraId="163084CB">
      <w:pPr>
        <w:jc w:val="center"/>
        <w:rPr>
          <w:rFonts w:hint="eastAsia"/>
          <w:b/>
          <w:sz w:val="32"/>
          <w:szCs w:val="32"/>
          <w:highlight w:val="none"/>
        </w:rPr>
      </w:pPr>
    </w:p>
    <w:p w14:paraId="725A6F1D">
      <w:pPr>
        <w:spacing w:line="360" w:lineRule="auto"/>
        <w:rPr>
          <w:rFonts w:hint="eastAsia" w:ascii="宋体" w:hAnsi="宋体"/>
          <w:b/>
          <w:szCs w:val="21"/>
          <w:highlight w:val="none"/>
        </w:rPr>
      </w:pPr>
      <w:r>
        <w:rPr>
          <w:rFonts w:hint="eastAsia" w:ascii="宋体" w:hAnsi="宋体"/>
          <w:b/>
          <w:szCs w:val="21"/>
          <w:highlight w:val="none"/>
        </w:rPr>
        <w:t>已标价工程量清单编制说明：</w:t>
      </w:r>
    </w:p>
    <w:p w14:paraId="077510CC">
      <w:pPr>
        <w:spacing w:line="360" w:lineRule="auto"/>
        <w:ind w:firstLine="420"/>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供应商应依据采购文件、采购人提供的工程量清单以及《计价规范</w:t>
      </w:r>
      <w:bookmarkStart w:id="219" w:name="REVIEW_BM_1231"/>
      <w:r>
        <w:rPr>
          <w:rFonts w:hint="eastAsia" w:ascii="宋体" w:hAnsi="宋体"/>
          <w:szCs w:val="21"/>
          <w:highlight w:val="none"/>
        </w:rPr>
        <w:t>》、《</w:t>
      </w:r>
      <w:bookmarkEnd w:id="219"/>
      <w:r>
        <w:rPr>
          <w:rFonts w:hint="eastAsia" w:ascii="宋体" w:hAnsi="宋体"/>
          <w:szCs w:val="21"/>
          <w:highlight w:val="none"/>
        </w:rPr>
        <w:t>计算规范》自主报价，自主报价不得违反计价规范强制性条文规定。供应商不得采用总价让利或以百分比让利等形式进行报价，任何优惠（或降价、让利）均应反映在相应清单项目的综合单价中。同时，不得出现任意一项单价重大让利，不得以自有机械闲置、自有材料等不计成本为由低于工程成本报价， 否则作磋商无效处理。</w:t>
      </w:r>
    </w:p>
    <w:p w14:paraId="669FE495">
      <w:pPr>
        <w:spacing w:line="360" w:lineRule="auto"/>
        <w:ind w:firstLine="420"/>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供应商应按工程量清单填报价格。项目编码、项目名称、项目特征、计量单位、工程量必须与招标工程量清单一致，供应商不得对工程量清单项目进行增减调整，否则作磋商无效处理。</w:t>
      </w:r>
    </w:p>
    <w:p w14:paraId="77D73733">
      <w:pPr>
        <w:spacing w:line="360" w:lineRule="auto"/>
        <w:ind w:firstLine="420"/>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rPr>
        <w:tab/>
      </w:r>
      <w:r>
        <w:rPr>
          <w:rFonts w:hint="eastAsia" w:ascii="宋体" w:hAnsi="宋体"/>
          <w:szCs w:val="21"/>
          <w:highlight w:val="none"/>
        </w:rPr>
        <w:t>综合单价中应包含采购文件中划分的应由供应商承担的风险范围及其费用。</w:t>
      </w:r>
    </w:p>
    <w:p w14:paraId="26C081B2">
      <w:pPr>
        <w:spacing w:line="360" w:lineRule="auto"/>
        <w:ind w:firstLine="420"/>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分部分项工程项目和单价措施项目，应根据采购文件和工程量清单项目中的特征描述确定综合单价计算。如出现工程量清单特征描述与</w:t>
      </w:r>
      <w:r>
        <w:rPr>
          <w:rFonts w:hint="eastAsia" w:ascii="宋体" w:hAnsi="宋体"/>
          <w:szCs w:val="21"/>
          <w:highlight w:val="none"/>
          <w:lang w:val="en-US" w:eastAsia="zh-CN"/>
        </w:rPr>
        <w:t>施工方案</w:t>
      </w:r>
      <w:r>
        <w:rPr>
          <w:rFonts w:hint="eastAsia" w:ascii="宋体" w:hAnsi="宋体"/>
          <w:szCs w:val="21"/>
          <w:highlight w:val="none"/>
        </w:rPr>
        <w:t>不符时，供应商应以招标工程量清单的项目特征描述为准，确定磋商报价的综合单价。</w:t>
      </w:r>
    </w:p>
    <w:p w14:paraId="2CB52C08">
      <w:pPr>
        <w:spacing w:line="360" w:lineRule="auto"/>
        <w:ind w:firstLine="420"/>
        <w:rPr>
          <w:rFonts w:hint="eastAsia" w:ascii="宋体" w:hAnsi="宋体"/>
          <w:szCs w:val="21"/>
          <w:highlight w:val="none"/>
        </w:rPr>
      </w:pPr>
      <w:r>
        <w:rPr>
          <w:rFonts w:hint="eastAsia" w:ascii="宋体" w:hAnsi="宋体"/>
          <w:szCs w:val="21"/>
          <w:highlight w:val="none"/>
        </w:rPr>
        <w:t>5.</w:t>
      </w:r>
      <w:r>
        <w:rPr>
          <w:rFonts w:hint="eastAsia" w:ascii="宋体" w:hAnsi="宋体"/>
          <w:szCs w:val="21"/>
          <w:highlight w:val="none"/>
        </w:rPr>
        <w:tab/>
      </w:r>
      <w:r>
        <w:rPr>
          <w:rFonts w:hint="eastAsia" w:ascii="宋体" w:hAnsi="宋体"/>
          <w:szCs w:val="21"/>
          <w:highlight w:val="none"/>
        </w:rPr>
        <w:t>总价措施项目的金额应根据竞标时拟定的施工组织设计或施工方案，按计价规范的规定自主确定。但安全文明施工费按国家、省级或行业建设主管部门的有关规定执行，作为不竞争费用单列。</w:t>
      </w:r>
    </w:p>
    <w:p w14:paraId="43BEA5FA">
      <w:pPr>
        <w:spacing w:line="360" w:lineRule="auto"/>
        <w:ind w:firstLine="420"/>
        <w:rPr>
          <w:rFonts w:hint="eastAsia" w:ascii="宋体" w:hAnsi="宋体"/>
          <w:szCs w:val="21"/>
          <w:highlight w:val="none"/>
        </w:rPr>
      </w:pPr>
      <w:r>
        <w:rPr>
          <w:rFonts w:hint="eastAsia" w:ascii="宋体" w:hAnsi="宋体"/>
          <w:szCs w:val="21"/>
          <w:highlight w:val="none"/>
        </w:rPr>
        <w:t>6.</w:t>
      </w:r>
      <w:r>
        <w:rPr>
          <w:rFonts w:hint="eastAsia" w:ascii="宋体" w:hAnsi="宋体"/>
          <w:szCs w:val="21"/>
          <w:highlight w:val="none"/>
        </w:rPr>
        <w:tab/>
      </w:r>
      <w:r>
        <w:rPr>
          <w:rFonts w:hint="eastAsia" w:ascii="宋体" w:hAnsi="宋体"/>
          <w:szCs w:val="21"/>
          <w:highlight w:val="none"/>
        </w:rPr>
        <w:t>其他项目费应按下列规定报价：</w:t>
      </w:r>
    </w:p>
    <w:p w14:paraId="1EB9A0BD">
      <w:pPr>
        <w:spacing w:line="360" w:lineRule="auto"/>
        <w:ind w:firstLine="420"/>
        <w:rPr>
          <w:rFonts w:hint="eastAsia" w:ascii="宋体" w:hAnsi="宋体"/>
          <w:szCs w:val="21"/>
          <w:highlight w:val="none"/>
        </w:rPr>
      </w:pPr>
      <w:r>
        <w:rPr>
          <w:rFonts w:hint="eastAsia" w:ascii="宋体" w:hAnsi="宋体"/>
          <w:szCs w:val="21"/>
          <w:highlight w:val="none"/>
        </w:rPr>
        <w:t>（1）</w:t>
      </w:r>
      <w:r>
        <w:rPr>
          <w:rFonts w:hint="eastAsia" w:ascii="宋体" w:hAnsi="宋体"/>
          <w:szCs w:val="21"/>
          <w:highlight w:val="none"/>
        </w:rPr>
        <w:tab/>
      </w:r>
      <w:r>
        <w:rPr>
          <w:rFonts w:hint="eastAsia" w:ascii="宋体" w:hAnsi="宋体"/>
          <w:szCs w:val="21"/>
          <w:highlight w:val="none"/>
        </w:rPr>
        <w:t>暂列金额应按招标工程量清单中列出的金额填写；</w:t>
      </w:r>
    </w:p>
    <w:p w14:paraId="7621DF29">
      <w:pPr>
        <w:spacing w:line="360" w:lineRule="auto"/>
        <w:ind w:firstLine="420"/>
        <w:rPr>
          <w:rFonts w:hint="eastAsia" w:ascii="宋体" w:hAnsi="宋体"/>
          <w:szCs w:val="21"/>
          <w:highlight w:val="none"/>
        </w:rPr>
      </w:pPr>
      <w:r>
        <w:rPr>
          <w:rFonts w:hint="eastAsia" w:ascii="宋体" w:hAnsi="宋体"/>
          <w:szCs w:val="21"/>
          <w:highlight w:val="none"/>
        </w:rPr>
        <w:t>（2）</w:t>
      </w:r>
      <w:r>
        <w:rPr>
          <w:rFonts w:hint="eastAsia" w:ascii="宋体" w:hAnsi="宋体"/>
          <w:szCs w:val="21"/>
          <w:highlight w:val="none"/>
        </w:rPr>
        <w:tab/>
      </w:r>
      <w:r>
        <w:rPr>
          <w:rFonts w:hint="eastAsia" w:ascii="宋体" w:hAnsi="宋体"/>
          <w:szCs w:val="21"/>
          <w:highlight w:val="none"/>
        </w:rPr>
        <w:t>材料、工程设备暂估价应按招标工程量清单中列出的单价计入综合单价；</w:t>
      </w:r>
    </w:p>
    <w:p w14:paraId="0D2FA180">
      <w:pPr>
        <w:spacing w:line="360" w:lineRule="auto"/>
        <w:ind w:firstLine="420"/>
        <w:rPr>
          <w:rFonts w:hint="eastAsia" w:ascii="宋体" w:hAnsi="宋体"/>
          <w:szCs w:val="21"/>
          <w:highlight w:val="none"/>
        </w:rPr>
      </w:pPr>
      <w:r>
        <w:rPr>
          <w:rFonts w:hint="eastAsia" w:ascii="宋体" w:hAnsi="宋体"/>
          <w:szCs w:val="21"/>
          <w:highlight w:val="none"/>
        </w:rPr>
        <w:t>（3）</w:t>
      </w:r>
      <w:r>
        <w:rPr>
          <w:rFonts w:hint="eastAsia" w:ascii="宋体" w:hAnsi="宋体"/>
          <w:szCs w:val="21"/>
          <w:highlight w:val="none"/>
        </w:rPr>
        <w:tab/>
      </w:r>
      <w:r>
        <w:rPr>
          <w:rFonts w:hint="eastAsia" w:ascii="宋体" w:hAnsi="宋体"/>
          <w:szCs w:val="21"/>
          <w:highlight w:val="none"/>
        </w:rPr>
        <w:t>专业工程暂估价应按招标工程量清单中列出的金额填写；</w:t>
      </w:r>
    </w:p>
    <w:p w14:paraId="58C4BCAD">
      <w:pPr>
        <w:spacing w:line="360" w:lineRule="auto"/>
        <w:ind w:firstLine="420"/>
        <w:rPr>
          <w:rFonts w:hint="eastAsia" w:ascii="宋体" w:hAnsi="宋体"/>
          <w:szCs w:val="21"/>
          <w:highlight w:val="none"/>
        </w:rPr>
      </w:pPr>
      <w:r>
        <w:rPr>
          <w:rFonts w:hint="eastAsia" w:ascii="宋体" w:hAnsi="宋体"/>
          <w:szCs w:val="21"/>
          <w:highlight w:val="none"/>
        </w:rPr>
        <w:t>（4）</w:t>
      </w:r>
      <w:r>
        <w:rPr>
          <w:rFonts w:hint="eastAsia" w:ascii="宋体" w:hAnsi="宋体"/>
          <w:szCs w:val="21"/>
          <w:highlight w:val="none"/>
        </w:rPr>
        <w:tab/>
      </w:r>
      <w:r>
        <w:rPr>
          <w:rFonts w:hint="eastAsia" w:ascii="宋体" w:hAnsi="宋体"/>
          <w:szCs w:val="21"/>
          <w:highlight w:val="none"/>
        </w:rPr>
        <w:t>计日工应按招标工程量清单中列出的项目和估算数量，自主确定综合单价并计算计日工总额；计日工单价均不含规费和税金；</w:t>
      </w:r>
    </w:p>
    <w:p w14:paraId="3738B844">
      <w:pPr>
        <w:spacing w:line="360" w:lineRule="auto"/>
        <w:ind w:firstLine="420"/>
        <w:rPr>
          <w:rFonts w:hint="eastAsia" w:ascii="宋体" w:hAnsi="宋体"/>
          <w:szCs w:val="21"/>
          <w:highlight w:val="none"/>
        </w:rPr>
      </w:pPr>
      <w:r>
        <w:rPr>
          <w:rFonts w:hint="eastAsia" w:ascii="宋体" w:hAnsi="宋体"/>
          <w:szCs w:val="21"/>
          <w:highlight w:val="none"/>
        </w:rPr>
        <w:t>（5）</w:t>
      </w:r>
      <w:r>
        <w:rPr>
          <w:rFonts w:hint="eastAsia" w:ascii="宋体" w:hAnsi="宋体"/>
          <w:szCs w:val="21"/>
          <w:highlight w:val="none"/>
        </w:rPr>
        <w:tab/>
      </w:r>
      <w:r>
        <w:rPr>
          <w:rFonts w:hint="eastAsia" w:ascii="宋体" w:hAnsi="宋体"/>
          <w:szCs w:val="21"/>
          <w:highlight w:val="none"/>
        </w:rPr>
        <w:t>总承包服务费应根据招标工程量清单中列出的内容和供应材料、设备情况，按照采购人提出的协调、配合与服务要求和施工现场管理需要自主确定。</w:t>
      </w:r>
    </w:p>
    <w:p w14:paraId="3CBA4B7F">
      <w:pPr>
        <w:spacing w:line="360" w:lineRule="auto"/>
        <w:ind w:firstLine="420"/>
        <w:rPr>
          <w:rFonts w:hint="eastAsia"/>
          <w:highlight w:val="none"/>
        </w:rPr>
      </w:pPr>
      <w:r>
        <w:rPr>
          <w:rFonts w:hint="eastAsia" w:ascii="宋体" w:hAnsi="宋体"/>
          <w:szCs w:val="21"/>
          <w:highlight w:val="none"/>
        </w:rPr>
        <w:t>（6）</w:t>
      </w:r>
      <w:r>
        <w:rPr>
          <w:rFonts w:hint="eastAsia" w:ascii="宋体" w:hAnsi="宋体"/>
          <w:szCs w:val="21"/>
          <w:highlight w:val="none"/>
        </w:rPr>
        <w:tab/>
      </w:r>
      <w:r>
        <w:rPr>
          <w:rFonts w:hint="eastAsia" w:ascii="宋体" w:hAnsi="宋体"/>
          <w:szCs w:val="21"/>
          <w:highlight w:val="none"/>
        </w:rPr>
        <w:t>安全生产责任保险费暂估价应按招标工程量清单中列出的金额填写。</w:t>
      </w:r>
    </w:p>
    <w:p w14:paraId="4BD9495A">
      <w:pPr>
        <w:spacing w:line="360" w:lineRule="auto"/>
        <w:ind w:firstLine="420"/>
        <w:rPr>
          <w:rFonts w:hint="eastAsia" w:ascii="宋体" w:hAnsi="宋体"/>
          <w:szCs w:val="21"/>
          <w:highlight w:val="none"/>
        </w:rPr>
      </w:pPr>
      <w:r>
        <w:rPr>
          <w:rFonts w:hint="eastAsia" w:ascii="宋体" w:hAnsi="宋体"/>
          <w:szCs w:val="21"/>
          <w:highlight w:val="none"/>
        </w:rPr>
        <w:t>7.</w:t>
      </w:r>
      <w:r>
        <w:rPr>
          <w:rFonts w:hint="eastAsia" w:ascii="宋体" w:hAnsi="宋体"/>
          <w:szCs w:val="21"/>
          <w:highlight w:val="none"/>
        </w:rPr>
        <w:tab/>
      </w:r>
      <w:r>
        <w:rPr>
          <w:rFonts w:hint="eastAsia" w:ascii="宋体" w:hAnsi="宋体"/>
          <w:szCs w:val="21"/>
          <w:highlight w:val="none"/>
        </w:rPr>
        <w:t>规费和增值税应按规定确定，作为不可竞争费用。</w:t>
      </w:r>
    </w:p>
    <w:p w14:paraId="20EF8253">
      <w:pPr>
        <w:spacing w:line="360" w:lineRule="auto"/>
        <w:ind w:firstLine="420"/>
        <w:rPr>
          <w:rFonts w:hint="eastAsia" w:ascii="宋体" w:hAnsi="宋体"/>
          <w:szCs w:val="21"/>
          <w:highlight w:val="none"/>
        </w:rPr>
      </w:pPr>
      <w:r>
        <w:rPr>
          <w:rFonts w:hint="eastAsia" w:ascii="宋体" w:hAnsi="宋体"/>
          <w:szCs w:val="21"/>
          <w:highlight w:val="none"/>
        </w:rPr>
        <w:t>8.</w:t>
      </w:r>
      <w:r>
        <w:rPr>
          <w:rFonts w:hint="eastAsia" w:ascii="宋体" w:hAnsi="宋体"/>
          <w:szCs w:val="21"/>
          <w:highlight w:val="none"/>
        </w:rPr>
        <w:tab/>
      </w:r>
      <w:r>
        <w:rPr>
          <w:rFonts w:hint="eastAsia" w:ascii="宋体" w:hAnsi="宋体"/>
          <w:szCs w:val="21"/>
          <w:highlight w:val="none"/>
        </w:rPr>
        <w:t>招标工程量清单与计价表中列明的所有需要填写的单价和合价的项目，供应商均应填写且只允许有一个报价。未填写单价和合价的项目，视为此项费用已包含在已标价工程量清单中其他项目的单价和合价之中。竣工结算时，此项目不得重新组价予以调整。</w:t>
      </w:r>
    </w:p>
    <w:p w14:paraId="344C903C">
      <w:pPr>
        <w:spacing w:line="360" w:lineRule="auto"/>
        <w:rPr>
          <w:rFonts w:hint="eastAsia" w:ascii="宋体" w:hAnsi="宋体"/>
          <w:szCs w:val="21"/>
          <w:highlight w:val="none"/>
        </w:rPr>
      </w:pPr>
      <w:r>
        <w:rPr>
          <w:rFonts w:ascii="宋体" w:hAnsi="宋体"/>
          <w:szCs w:val="21"/>
          <w:highlight w:val="none"/>
        </w:rPr>
        <w:t xml:space="preserve"> </w:t>
      </w:r>
      <w:r>
        <w:rPr>
          <w:rFonts w:hint="eastAsia" w:ascii="宋体" w:hAnsi="宋体"/>
          <w:szCs w:val="21"/>
          <w:highlight w:val="none"/>
        </w:rPr>
        <w:t xml:space="preserve">   9.</w:t>
      </w:r>
      <w:r>
        <w:rPr>
          <w:rFonts w:hint="eastAsia" w:ascii="宋体" w:hAnsi="宋体"/>
          <w:szCs w:val="21"/>
          <w:highlight w:val="none"/>
        </w:rPr>
        <w:tab/>
      </w:r>
      <w:r>
        <w:rPr>
          <w:rFonts w:hint="eastAsia" w:ascii="宋体" w:hAnsi="宋体"/>
          <w:szCs w:val="21"/>
          <w:highlight w:val="none"/>
        </w:rPr>
        <w:t>磋商总价应当与分部分项工程费、措施项目费、其他项目费和规费、增值税的合计金额一致。</w:t>
      </w:r>
    </w:p>
    <w:p w14:paraId="09B02D4A">
      <w:pPr>
        <w:spacing w:line="360" w:lineRule="auto"/>
        <w:ind w:firstLine="420"/>
        <w:rPr>
          <w:rFonts w:hint="eastAsia" w:ascii="宋体" w:hAnsi="宋体"/>
          <w:szCs w:val="21"/>
          <w:highlight w:val="none"/>
        </w:rPr>
      </w:pPr>
      <w:r>
        <w:rPr>
          <w:rFonts w:hint="eastAsia" w:ascii="宋体" w:hAnsi="宋体"/>
          <w:szCs w:val="21"/>
          <w:highlight w:val="none"/>
        </w:rPr>
        <w:t>10.</w:t>
      </w:r>
      <w:r>
        <w:rPr>
          <w:rFonts w:hint="eastAsia" w:ascii="宋体" w:hAnsi="宋体"/>
          <w:szCs w:val="21"/>
          <w:highlight w:val="none"/>
        </w:rPr>
        <w:tab/>
      </w:r>
      <w:r>
        <w:rPr>
          <w:rFonts w:hint="eastAsia" w:ascii="宋体" w:hAnsi="宋体"/>
          <w:szCs w:val="21"/>
          <w:highlight w:val="none"/>
        </w:rPr>
        <w:t>因分部分项工程量清单漏项、设计变更、相关签证引起工程项目、工程量任何变化的， 变更合同价款按专用合同条款中变更估价原则处理。</w:t>
      </w:r>
    </w:p>
    <w:p w14:paraId="445C9946">
      <w:pPr>
        <w:spacing w:line="360" w:lineRule="auto"/>
        <w:ind w:firstLine="420"/>
        <w:rPr>
          <w:rFonts w:hint="eastAsia" w:ascii="宋体" w:hAnsi="宋体"/>
          <w:szCs w:val="21"/>
          <w:highlight w:val="none"/>
        </w:rPr>
      </w:pPr>
      <w:r>
        <w:rPr>
          <w:rFonts w:hint="eastAsia" w:ascii="宋体" w:hAnsi="宋体"/>
          <w:szCs w:val="21"/>
          <w:highlight w:val="none"/>
        </w:rPr>
        <w:t>未尽事宜详见本工程招标工程量清单、招标控制价编制说明以及现行有关规定执行。</w:t>
      </w:r>
    </w:p>
    <w:p w14:paraId="4FF4B29A">
      <w:pPr>
        <w:rPr>
          <w:rFonts w:hint="eastAsia"/>
          <w:highlight w:val="none"/>
        </w:rPr>
      </w:pPr>
      <w:bookmarkStart w:id="220" w:name="_Toc116123776"/>
    </w:p>
    <w:p w14:paraId="4C8F9736">
      <w:pPr>
        <w:bidi w:val="0"/>
        <w:jc w:val="center"/>
        <w:rPr>
          <w:rFonts w:ascii="黑体" w:eastAsia="黑体" w:cs="黑体"/>
          <w:b/>
          <w:bCs/>
          <w:sz w:val="32"/>
          <w:szCs w:val="32"/>
          <w:highlight w:val="none"/>
        </w:rPr>
      </w:pPr>
      <w:bookmarkStart w:id="221" w:name="_Toc116229062"/>
      <w:bookmarkStart w:id="222" w:name="_Toc116204873"/>
      <w:r>
        <w:rPr>
          <w:rFonts w:hint="eastAsia" w:ascii="黑体" w:eastAsia="黑体" w:cs="黑体"/>
          <w:b/>
          <w:bCs/>
          <w:sz w:val="32"/>
          <w:szCs w:val="32"/>
          <w:highlight w:val="none"/>
        </w:rPr>
        <w:br w:type="page" w:clear="all"/>
      </w:r>
      <w:r>
        <w:rPr>
          <w:rFonts w:hint="eastAsia" w:ascii="宋体" w:hAnsi="宋体" w:cs="宋体"/>
          <w:b/>
          <w:bCs/>
          <w:sz w:val="32"/>
          <w:szCs w:val="32"/>
          <w:highlight w:val="none"/>
        </w:rPr>
        <w:t>7.建设工程项目管理承诺书</w:t>
      </w:r>
      <w:bookmarkEnd w:id="220"/>
      <w:bookmarkEnd w:id="221"/>
      <w:bookmarkEnd w:id="222"/>
    </w:p>
    <w:p w14:paraId="294134B4">
      <w:pPr>
        <w:tabs>
          <w:tab w:val="left" w:pos="3278"/>
        </w:tabs>
        <w:rPr>
          <w:rFonts w:hint="eastAsia" w:ascii="宋体" w:cs="宋体"/>
          <w:szCs w:val="21"/>
          <w:highlight w:val="none"/>
        </w:rPr>
      </w:pPr>
    </w:p>
    <w:p w14:paraId="41210E2B">
      <w:pPr>
        <w:tabs>
          <w:tab w:val="left" w:pos="3278"/>
        </w:tabs>
        <w:rPr>
          <w:rFonts w:ascii="宋体" w:cs="宋体"/>
          <w:szCs w:val="21"/>
          <w:highlight w:val="none"/>
        </w:rPr>
      </w:pPr>
      <w:r>
        <w:rPr>
          <w:rFonts w:hint="eastAsia" w:ascii="宋体" w:cs="宋体"/>
          <w:szCs w:val="21"/>
          <w:highlight w:val="none"/>
        </w:rPr>
        <w:t>致</w:t>
      </w:r>
      <w:r>
        <w:rPr>
          <w:szCs w:val="21"/>
          <w:highlight w:val="none"/>
          <w:u w:val="single"/>
        </w:rPr>
        <w:tab/>
      </w:r>
      <w:r>
        <w:rPr>
          <w:rFonts w:hint="eastAsia" w:ascii="宋体" w:cs="宋体"/>
          <w:szCs w:val="21"/>
          <w:highlight w:val="none"/>
        </w:rPr>
        <w:t>（采购人名称）：</w:t>
      </w:r>
    </w:p>
    <w:p w14:paraId="17642F14">
      <w:pPr>
        <w:tabs>
          <w:tab w:val="left" w:pos="3705"/>
        </w:tabs>
        <w:spacing w:before="1" w:line="465" w:lineRule="auto"/>
        <w:ind w:firstLine="455"/>
        <w:rPr>
          <w:rFonts w:hint="eastAsia" w:ascii="宋体" w:cs="宋体"/>
          <w:szCs w:val="21"/>
          <w:highlight w:val="none"/>
        </w:rPr>
      </w:pPr>
    </w:p>
    <w:p w14:paraId="3D1850D5">
      <w:pPr>
        <w:tabs>
          <w:tab w:val="left" w:pos="3705"/>
        </w:tabs>
        <w:spacing w:before="1" w:line="465" w:lineRule="auto"/>
        <w:ind w:firstLine="455"/>
        <w:rPr>
          <w:rFonts w:ascii="宋体" w:cs="宋体"/>
          <w:szCs w:val="21"/>
          <w:highlight w:val="none"/>
        </w:rPr>
      </w:pPr>
      <w:r>
        <w:rPr>
          <w:rFonts w:hint="eastAsia" w:ascii="宋体" w:cs="宋体"/>
          <w:szCs w:val="21"/>
          <w:highlight w:val="none"/>
        </w:rPr>
        <w:t>作为参与</w:t>
      </w:r>
      <w:r>
        <w:rPr>
          <w:rFonts w:hint="eastAsia" w:ascii="宋体" w:cs="宋体"/>
          <w:szCs w:val="21"/>
          <w:highlight w:val="none"/>
          <w:u w:val="single"/>
        </w:rPr>
        <w:t xml:space="preserve">      </w:t>
      </w:r>
      <w:r>
        <w:rPr>
          <w:rFonts w:hint="eastAsia" w:ascii="宋体" w:cs="宋体"/>
          <w:szCs w:val="21"/>
          <w:highlight w:val="none"/>
          <w:u w:val="single"/>
          <w:lang w:val="en-US" w:eastAsia="zh-CN"/>
        </w:rPr>
        <w:t xml:space="preserve">   </w:t>
      </w:r>
      <w:r>
        <w:rPr>
          <w:rFonts w:hint="eastAsia" w:ascii="宋体" w:cs="宋体"/>
          <w:szCs w:val="21"/>
          <w:highlight w:val="none"/>
          <w:u w:val="single"/>
        </w:rPr>
        <w:t xml:space="preserve">   </w:t>
      </w:r>
      <w:r>
        <w:rPr>
          <w:rFonts w:hint="eastAsia" w:ascii="宋体" w:cs="宋体"/>
          <w:spacing w:val="-2"/>
          <w:szCs w:val="21"/>
          <w:highlight w:val="none"/>
        </w:rPr>
        <w:t>（工程名称）项目的</w:t>
      </w:r>
      <w:bookmarkStart w:id="223" w:name="REVIEW_BM_1232"/>
      <w:r>
        <w:rPr>
          <w:rFonts w:hint="eastAsia" w:ascii="宋体" w:cs="宋体"/>
          <w:spacing w:val="-2"/>
          <w:szCs w:val="21"/>
          <w:highlight w:val="none"/>
        </w:rPr>
        <w:t>竞标方</w:t>
      </w:r>
      <w:bookmarkEnd w:id="223"/>
      <w:r>
        <w:rPr>
          <w:rFonts w:hint="eastAsia" w:ascii="宋体" w:cs="宋体"/>
          <w:spacing w:val="-2"/>
          <w:szCs w:val="21"/>
          <w:highlight w:val="none"/>
        </w:rPr>
        <w:t>，根据国家、自治区</w:t>
      </w:r>
      <w:r>
        <w:rPr>
          <w:rFonts w:hint="eastAsia" w:ascii="宋体" w:cs="宋体"/>
          <w:spacing w:val="-1"/>
          <w:szCs w:val="21"/>
          <w:highlight w:val="none"/>
        </w:rPr>
        <w:t>相关文件规定，</w:t>
      </w:r>
      <w:r>
        <w:rPr>
          <w:rFonts w:ascii="宋体" w:cs="宋体"/>
          <w:spacing w:val="-102"/>
          <w:szCs w:val="21"/>
          <w:highlight w:val="none"/>
        </w:rPr>
        <w:t xml:space="preserve"> </w:t>
      </w:r>
      <w:bookmarkStart w:id="224" w:name="REVIEW_BM_1234"/>
      <w:r>
        <w:rPr>
          <w:rFonts w:hint="eastAsia" w:ascii="宋体" w:cs="宋体"/>
          <w:szCs w:val="21"/>
          <w:highlight w:val="none"/>
        </w:rPr>
        <w:t>我方</w:t>
      </w:r>
      <w:bookmarkEnd w:id="224"/>
      <w:r>
        <w:rPr>
          <w:rFonts w:hint="eastAsia" w:ascii="宋体" w:cs="宋体"/>
          <w:szCs w:val="21"/>
          <w:highlight w:val="none"/>
        </w:rPr>
        <w:t>在此向</w:t>
      </w:r>
      <w:bookmarkStart w:id="225" w:name="REVIEW_BM_1233"/>
      <w:r>
        <w:rPr>
          <w:rFonts w:hint="eastAsia" w:ascii="宋体" w:cs="宋体"/>
          <w:szCs w:val="21"/>
          <w:highlight w:val="none"/>
        </w:rPr>
        <w:t>招标人</w:t>
      </w:r>
      <w:bookmarkEnd w:id="225"/>
      <w:r>
        <w:rPr>
          <w:rFonts w:hint="eastAsia" w:ascii="宋体" w:cs="宋体"/>
          <w:szCs w:val="21"/>
          <w:highlight w:val="none"/>
        </w:rPr>
        <w:t>承诺：</w:t>
      </w:r>
    </w:p>
    <w:p w14:paraId="1694B7D4">
      <w:pPr>
        <w:spacing w:line="465" w:lineRule="auto"/>
        <w:ind w:firstLine="455"/>
        <w:rPr>
          <w:rFonts w:ascii="宋体" w:cs="宋体"/>
          <w:szCs w:val="21"/>
          <w:highlight w:val="none"/>
        </w:rPr>
      </w:pPr>
      <w:r>
        <w:rPr>
          <w:spacing w:val="-2"/>
          <w:szCs w:val="21"/>
          <w:highlight w:val="none"/>
        </w:rPr>
        <w:t>1</w:t>
      </w:r>
      <w:r>
        <w:rPr>
          <w:rFonts w:hint="eastAsia" w:ascii="宋体" w:cs="宋体"/>
          <w:spacing w:val="-4"/>
          <w:szCs w:val="21"/>
          <w:highlight w:val="none"/>
        </w:rPr>
        <w:t>、一旦中标，</w:t>
      </w:r>
      <w:bookmarkStart w:id="226" w:name="REVIEW_BM_1236"/>
      <w:r>
        <w:rPr>
          <w:rFonts w:hint="eastAsia" w:ascii="宋体" w:cs="宋体"/>
          <w:spacing w:val="-4"/>
          <w:szCs w:val="21"/>
          <w:highlight w:val="none"/>
        </w:rPr>
        <w:t>我方</w:t>
      </w:r>
      <w:bookmarkEnd w:id="226"/>
      <w:r>
        <w:rPr>
          <w:rFonts w:hint="eastAsia" w:ascii="宋体" w:cs="宋体"/>
          <w:spacing w:val="-4"/>
          <w:szCs w:val="21"/>
          <w:highlight w:val="none"/>
        </w:rPr>
        <w:t>保证按照政府相关部门的规定，在发出成交通知书之日起</w:t>
      </w:r>
      <w:r>
        <w:rPr>
          <w:rFonts w:ascii="宋体" w:cs="宋体"/>
          <w:spacing w:val="-4"/>
          <w:szCs w:val="21"/>
          <w:highlight w:val="none"/>
        </w:rPr>
        <w:t xml:space="preserve"> </w:t>
      </w:r>
      <w:r>
        <w:rPr>
          <w:spacing w:val="-2"/>
          <w:szCs w:val="21"/>
          <w:highlight w:val="none"/>
        </w:rPr>
        <w:t>7</w:t>
      </w:r>
      <w:r>
        <w:rPr>
          <w:szCs w:val="21"/>
          <w:highlight w:val="none"/>
        </w:rPr>
        <w:t xml:space="preserve"> </w:t>
      </w:r>
      <w:r>
        <w:rPr>
          <w:rFonts w:hint="eastAsia" w:ascii="宋体" w:cs="宋体"/>
          <w:spacing w:val="-2"/>
          <w:szCs w:val="21"/>
          <w:highlight w:val="none"/>
        </w:rPr>
        <w:t>个工作日内足</w:t>
      </w:r>
      <w:r>
        <w:rPr>
          <w:rFonts w:hint="eastAsia" w:ascii="宋体" w:cs="宋体"/>
          <w:szCs w:val="21"/>
          <w:highlight w:val="none"/>
        </w:rPr>
        <w:t>额将农民工工资保障金转入农民工工资保障金专用账户。一旦</w:t>
      </w:r>
      <w:bookmarkStart w:id="227" w:name="REVIEW_BM_1237"/>
      <w:r>
        <w:rPr>
          <w:rFonts w:hint="eastAsia" w:ascii="宋体" w:cs="宋体"/>
          <w:szCs w:val="21"/>
          <w:highlight w:val="none"/>
        </w:rPr>
        <w:t>我方</w:t>
      </w:r>
      <w:bookmarkEnd w:id="227"/>
      <w:r>
        <w:rPr>
          <w:rFonts w:hint="eastAsia" w:ascii="宋体" w:cs="宋体"/>
          <w:szCs w:val="21"/>
          <w:highlight w:val="none"/>
        </w:rPr>
        <w:t>所承包的该项目中出现拖欠农</w:t>
      </w:r>
      <w:r>
        <w:rPr>
          <w:rFonts w:hint="eastAsia" w:ascii="宋体" w:cs="宋体"/>
          <w:spacing w:val="-14"/>
          <w:szCs w:val="21"/>
          <w:highlight w:val="none"/>
        </w:rPr>
        <w:t>民工工资情况，根据《关于调整建筑安装工程劳动保险费有关规定的通知</w:t>
      </w:r>
      <w:r>
        <w:rPr>
          <w:rFonts w:hint="eastAsia" w:ascii="宋体" w:cs="宋体"/>
          <w:szCs w:val="21"/>
          <w:highlight w:val="none"/>
        </w:rPr>
        <w:t>（</w:t>
      </w:r>
      <w:r>
        <w:rPr>
          <w:rFonts w:hint="eastAsia" w:ascii="宋体" w:cs="宋体"/>
          <w:spacing w:val="-2"/>
          <w:szCs w:val="21"/>
          <w:highlight w:val="none"/>
        </w:rPr>
        <w:t>桂造价</w:t>
      </w:r>
      <w:r>
        <w:rPr>
          <w:spacing w:val="-1"/>
          <w:szCs w:val="21"/>
          <w:highlight w:val="none"/>
        </w:rPr>
        <w:t>[2019]13</w:t>
      </w:r>
      <w:r>
        <w:rPr>
          <w:rFonts w:hint="eastAsia" w:ascii="宋体" w:cs="宋体"/>
          <w:szCs w:val="21"/>
          <w:highlight w:val="none"/>
        </w:rPr>
        <w:t>号</w:t>
      </w:r>
      <w:r>
        <w:rPr>
          <w:rFonts w:hint="eastAsia" w:ascii="宋体" w:cs="宋体"/>
          <w:spacing w:val="-48"/>
          <w:szCs w:val="21"/>
          <w:highlight w:val="none"/>
        </w:rPr>
        <w:t>）</w:t>
      </w:r>
      <w:bookmarkStart w:id="228" w:name="REVIEW_BM_1235"/>
      <w:r>
        <w:rPr>
          <w:rFonts w:hint="eastAsia" w:ascii="宋体" w:cs="宋体"/>
          <w:spacing w:val="-23"/>
          <w:szCs w:val="21"/>
          <w:highlight w:val="none"/>
        </w:rPr>
        <w:t>》、</w:t>
      </w:r>
      <w:r>
        <w:rPr>
          <w:rFonts w:hint="eastAsia" w:ascii="宋体" w:cs="宋体"/>
          <w:spacing w:val="-1"/>
          <w:szCs w:val="21"/>
          <w:highlight w:val="none"/>
        </w:rPr>
        <w:t>《</w:t>
      </w:r>
      <w:bookmarkEnd w:id="228"/>
      <w:r>
        <w:rPr>
          <w:rFonts w:hint="eastAsia" w:ascii="宋体" w:cs="宋体"/>
          <w:spacing w:val="-1"/>
          <w:szCs w:val="21"/>
          <w:highlight w:val="none"/>
        </w:rPr>
        <w:t>广西壮族自治区人民政府关于开展行政强制依据和实施主体清理工作的通知》</w:t>
      </w:r>
      <w:r>
        <w:rPr>
          <w:rFonts w:hint="eastAsia" w:ascii="宋体" w:cs="宋体"/>
          <w:szCs w:val="21"/>
          <w:highlight w:val="none"/>
        </w:rPr>
        <w:t>（桂政发〔</w:t>
      </w:r>
      <w:r>
        <w:rPr>
          <w:szCs w:val="21"/>
          <w:highlight w:val="none"/>
        </w:rPr>
        <w:t>2012</w:t>
      </w:r>
      <w:r>
        <w:rPr>
          <w:rFonts w:hint="eastAsia" w:ascii="宋体" w:cs="宋体"/>
          <w:szCs w:val="21"/>
          <w:highlight w:val="none"/>
        </w:rPr>
        <w:t>〕</w:t>
      </w:r>
      <w:r>
        <w:rPr>
          <w:spacing w:val="-2"/>
          <w:szCs w:val="21"/>
          <w:highlight w:val="none"/>
        </w:rPr>
        <w:t>4</w:t>
      </w:r>
      <w:r>
        <w:rPr>
          <w:spacing w:val="-12"/>
          <w:szCs w:val="21"/>
          <w:highlight w:val="none"/>
        </w:rPr>
        <w:t xml:space="preserve"> </w:t>
      </w:r>
      <w:r>
        <w:rPr>
          <w:rFonts w:hint="eastAsia" w:ascii="宋体" w:cs="宋体"/>
          <w:spacing w:val="-2"/>
          <w:szCs w:val="21"/>
          <w:highlight w:val="none"/>
        </w:rPr>
        <w:t>号）文件从</w:t>
      </w:r>
      <w:bookmarkStart w:id="229" w:name="REVIEW_BM_1238"/>
      <w:r>
        <w:rPr>
          <w:rFonts w:hint="eastAsia" w:ascii="宋体" w:cs="宋体"/>
          <w:spacing w:val="-2"/>
          <w:szCs w:val="21"/>
          <w:highlight w:val="none"/>
        </w:rPr>
        <w:t>我方</w:t>
      </w:r>
      <w:bookmarkEnd w:id="229"/>
      <w:r>
        <w:rPr>
          <w:rFonts w:hint="eastAsia" w:ascii="宋体" w:cs="宋体"/>
          <w:spacing w:val="-2"/>
          <w:szCs w:val="21"/>
          <w:highlight w:val="none"/>
        </w:rPr>
        <w:t>农民工工资保障金中先予划支。</w:t>
      </w:r>
      <w:bookmarkStart w:id="230" w:name="REVIEW_BM_1239"/>
      <w:r>
        <w:rPr>
          <w:rFonts w:hint="eastAsia" w:ascii="宋体" w:cs="宋体"/>
          <w:spacing w:val="-2"/>
          <w:szCs w:val="21"/>
          <w:highlight w:val="none"/>
        </w:rPr>
        <w:t>我方</w:t>
      </w:r>
      <w:bookmarkEnd w:id="230"/>
      <w:r>
        <w:rPr>
          <w:rFonts w:hint="eastAsia" w:ascii="宋体" w:cs="宋体"/>
          <w:spacing w:val="-2"/>
          <w:szCs w:val="21"/>
          <w:highlight w:val="none"/>
        </w:rPr>
        <w:t>将认真贯彻落实保障农民工工资支付各项要</w:t>
      </w:r>
      <w:r>
        <w:rPr>
          <w:rFonts w:hint="eastAsia" w:ascii="宋体" w:cs="宋体"/>
          <w:szCs w:val="21"/>
          <w:highlight w:val="none"/>
        </w:rPr>
        <w:t>求，保证不出现拖欠农民工资行为、不出现因工程款纠纷引发农民工集聚讨薪行为，做到按照规定签订劳动合同、推行农民工实名制、足额交纳农民工工资保障金、开设农民工工资专户、实行农民工工资支付分账制度和银行代发制度、确保按月足额发放农民工工资，保证按照规定做好广西建筑农民工实名制管理公共服务平台工人信息的采集、运用和数据的上传，保证落实劳资专员</w:t>
      </w:r>
      <w:r>
        <w:rPr>
          <w:rFonts w:hint="eastAsia" w:ascii="宋体" w:cs="宋体"/>
          <w:spacing w:val="-8"/>
          <w:szCs w:val="21"/>
          <w:highlight w:val="none"/>
        </w:rPr>
        <w:t>按照《南宁市城乡建委员会关于印发</w:t>
      </w:r>
      <w:r>
        <w:rPr>
          <w:szCs w:val="21"/>
          <w:highlight w:val="none"/>
        </w:rPr>
        <w:t>&lt;</w:t>
      </w:r>
      <w:r>
        <w:rPr>
          <w:rFonts w:hint="eastAsia" w:ascii="宋体" w:cs="宋体"/>
          <w:szCs w:val="21"/>
          <w:highlight w:val="none"/>
        </w:rPr>
        <w:t>南宁市房屋建筑和市政工程领域农民工工资支付管理资料样板</w:t>
      </w:r>
      <w:r>
        <w:rPr>
          <w:szCs w:val="21"/>
          <w:highlight w:val="none"/>
        </w:rPr>
        <w:t>&gt;</w:t>
      </w:r>
      <w:r>
        <w:rPr>
          <w:rFonts w:hint="eastAsia" w:ascii="宋体" w:cs="宋体"/>
          <w:szCs w:val="21"/>
          <w:highlight w:val="none"/>
        </w:rPr>
        <w:t>的通知》（南建〔</w:t>
      </w:r>
      <w:r>
        <w:rPr>
          <w:szCs w:val="21"/>
          <w:highlight w:val="none"/>
        </w:rPr>
        <w:t>2018</w:t>
      </w:r>
      <w:r>
        <w:rPr>
          <w:rFonts w:hint="eastAsia" w:ascii="宋体" w:cs="宋体"/>
          <w:szCs w:val="21"/>
          <w:highlight w:val="none"/>
        </w:rPr>
        <w:t>〕</w:t>
      </w:r>
      <w:r>
        <w:rPr>
          <w:szCs w:val="21"/>
          <w:highlight w:val="none"/>
        </w:rPr>
        <w:t>66</w:t>
      </w:r>
      <w:r>
        <w:rPr>
          <w:spacing w:val="-4"/>
          <w:szCs w:val="21"/>
          <w:highlight w:val="none"/>
        </w:rPr>
        <w:t xml:space="preserve"> </w:t>
      </w:r>
      <w:r>
        <w:rPr>
          <w:rFonts w:hint="eastAsia" w:ascii="宋体" w:cs="宋体"/>
          <w:szCs w:val="21"/>
          <w:highlight w:val="none"/>
        </w:rPr>
        <w:t>号）的要求做好农民工工资支付管理资料的整理、归档。</w:t>
      </w:r>
    </w:p>
    <w:p w14:paraId="3AAFF043">
      <w:pPr>
        <w:spacing w:line="463" w:lineRule="auto"/>
        <w:ind w:firstLine="455"/>
        <w:rPr>
          <w:rFonts w:ascii="宋体" w:cs="宋体"/>
          <w:szCs w:val="21"/>
          <w:highlight w:val="none"/>
        </w:rPr>
      </w:pPr>
      <w:r>
        <w:rPr>
          <w:spacing w:val="-2"/>
          <w:szCs w:val="21"/>
          <w:highlight w:val="none"/>
        </w:rPr>
        <w:t>2</w:t>
      </w:r>
      <w:r>
        <w:rPr>
          <w:rFonts w:hint="eastAsia" w:ascii="宋体" w:cs="宋体"/>
          <w:spacing w:val="-2"/>
          <w:szCs w:val="21"/>
          <w:highlight w:val="none"/>
        </w:rPr>
        <w:t>、一旦中标，</w:t>
      </w:r>
      <w:bookmarkStart w:id="231" w:name="REVIEW_BM_1240"/>
      <w:r>
        <w:rPr>
          <w:rFonts w:hint="eastAsia" w:ascii="宋体" w:cs="宋体"/>
          <w:spacing w:val="-2"/>
          <w:szCs w:val="21"/>
          <w:highlight w:val="none"/>
        </w:rPr>
        <w:t>我方</w:t>
      </w:r>
      <w:bookmarkEnd w:id="231"/>
      <w:r>
        <w:rPr>
          <w:rFonts w:hint="eastAsia" w:ascii="宋体" w:cs="宋体"/>
          <w:spacing w:val="-2"/>
          <w:szCs w:val="21"/>
          <w:highlight w:val="none"/>
        </w:rPr>
        <w:t>保证在施工过程中，严格执行《广西壮族自治区建筑工程安全文明施工费</w:t>
      </w:r>
      <w:r>
        <w:rPr>
          <w:rFonts w:hint="eastAsia" w:ascii="宋体" w:cs="宋体"/>
          <w:szCs w:val="21"/>
          <w:highlight w:val="none"/>
        </w:rPr>
        <w:t>使用管理细则》（桂建质〔</w:t>
      </w:r>
      <w:r>
        <w:rPr>
          <w:szCs w:val="21"/>
          <w:highlight w:val="none"/>
        </w:rPr>
        <w:t>2015</w:t>
      </w:r>
      <w:r>
        <w:rPr>
          <w:rFonts w:hint="eastAsia" w:ascii="宋体" w:cs="宋体"/>
          <w:szCs w:val="21"/>
          <w:highlight w:val="none"/>
        </w:rPr>
        <w:t>〕</w:t>
      </w:r>
      <w:r>
        <w:rPr>
          <w:szCs w:val="21"/>
          <w:highlight w:val="none"/>
        </w:rPr>
        <w:t>16</w:t>
      </w:r>
      <w:r>
        <w:rPr>
          <w:spacing w:val="-4"/>
          <w:szCs w:val="21"/>
          <w:highlight w:val="none"/>
        </w:rPr>
        <w:t xml:space="preserve"> </w:t>
      </w:r>
      <w:r>
        <w:rPr>
          <w:rFonts w:hint="eastAsia" w:ascii="宋体" w:cs="宋体"/>
          <w:szCs w:val="21"/>
          <w:highlight w:val="none"/>
        </w:rPr>
        <w:t>号）的有关规定，确保建设工程各项安全防护、文明施工措施落实到位。如</w:t>
      </w:r>
      <w:bookmarkStart w:id="232" w:name="REVIEW_BM_1241"/>
      <w:r>
        <w:rPr>
          <w:rFonts w:hint="eastAsia" w:ascii="宋体" w:cs="宋体"/>
          <w:szCs w:val="21"/>
          <w:highlight w:val="none"/>
        </w:rPr>
        <w:t>我方</w:t>
      </w:r>
      <w:bookmarkEnd w:id="232"/>
      <w:r>
        <w:rPr>
          <w:rFonts w:hint="eastAsia" w:ascii="宋体" w:cs="宋体"/>
          <w:szCs w:val="21"/>
          <w:highlight w:val="none"/>
        </w:rPr>
        <w:t>在该项目的承包中出现未按桂建质〔</w:t>
      </w:r>
      <w:r>
        <w:rPr>
          <w:szCs w:val="21"/>
          <w:highlight w:val="none"/>
        </w:rPr>
        <w:t>2015</w:t>
      </w:r>
      <w:r>
        <w:rPr>
          <w:rFonts w:hint="eastAsia" w:ascii="宋体" w:cs="宋体"/>
          <w:szCs w:val="21"/>
          <w:highlight w:val="none"/>
        </w:rPr>
        <w:t>〕</w:t>
      </w:r>
      <w:r>
        <w:rPr>
          <w:szCs w:val="21"/>
          <w:highlight w:val="none"/>
        </w:rPr>
        <w:t>16</w:t>
      </w:r>
      <w:r>
        <w:rPr>
          <w:spacing w:val="-4"/>
          <w:szCs w:val="21"/>
          <w:highlight w:val="none"/>
        </w:rPr>
        <w:t xml:space="preserve"> </w:t>
      </w:r>
      <w:r>
        <w:rPr>
          <w:rFonts w:hint="eastAsia" w:ascii="宋体" w:cs="宋体"/>
          <w:szCs w:val="21"/>
          <w:highlight w:val="none"/>
        </w:rPr>
        <w:t>号文附件一规定执行的情形，</w:t>
      </w:r>
      <w:r>
        <w:rPr>
          <w:rFonts w:ascii="宋体" w:cs="宋体"/>
          <w:spacing w:val="-103"/>
          <w:szCs w:val="21"/>
          <w:highlight w:val="none"/>
        </w:rPr>
        <w:t xml:space="preserve"> </w:t>
      </w:r>
      <w:bookmarkStart w:id="233" w:name="REVIEW_BM_1242"/>
      <w:r>
        <w:rPr>
          <w:rFonts w:hint="eastAsia" w:ascii="宋体" w:cs="宋体"/>
          <w:szCs w:val="21"/>
          <w:highlight w:val="none"/>
        </w:rPr>
        <w:t>我方</w:t>
      </w:r>
      <w:bookmarkEnd w:id="233"/>
      <w:r>
        <w:rPr>
          <w:rFonts w:hint="eastAsia" w:ascii="宋体" w:cs="宋体"/>
          <w:szCs w:val="21"/>
          <w:highlight w:val="none"/>
        </w:rPr>
        <w:t>愿意按照相关规定接受建设单位及有关主管部门的处罚。</w:t>
      </w:r>
    </w:p>
    <w:p w14:paraId="64B2AA45">
      <w:pPr>
        <w:spacing w:line="463" w:lineRule="auto"/>
        <w:ind w:firstLine="455"/>
        <w:rPr>
          <w:rFonts w:hint="eastAsia" w:ascii="宋体" w:cs="宋体"/>
          <w:szCs w:val="21"/>
          <w:highlight w:val="none"/>
        </w:rPr>
      </w:pPr>
      <w:r>
        <w:rPr>
          <w:szCs w:val="21"/>
          <w:highlight w:val="none"/>
        </w:rPr>
        <w:t>3</w:t>
      </w:r>
      <w:r>
        <w:rPr>
          <w:rFonts w:hint="eastAsia" w:ascii="宋体" w:cs="宋体"/>
          <w:szCs w:val="21"/>
          <w:highlight w:val="none"/>
        </w:rPr>
        <w:t>、一旦中标，</w:t>
      </w:r>
      <w:bookmarkStart w:id="234" w:name="REVIEW_BM_1243"/>
      <w:r>
        <w:rPr>
          <w:rFonts w:hint="eastAsia" w:ascii="宋体" w:cs="宋体"/>
          <w:szCs w:val="21"/>
          <w:highlight w:val="none"/>
        </w:rPr>
        <w:t>我方</w:t>
      </w:r>
      <w:bookmarkEnd w:id="234"/>
      <w:r>
        <w:rPr>
          <w:rFonts w:hint="eastAsia" w:ascii="宋体" w:cs="宋体"/>
          <w:szCs w:val="21"/>
          <w:highlight w:val="none"/>
        </w:rPr>
        <w:t>保证在施工过程中，严格执行《南宁市人民政府关于修改</w:t>
      </w:r>
      <w:r>
        <w:rPr>
          <w:szCs w:val="21"/>
          <w:highlight w:val="none"/>
        </w:rPr>
        <w:t>&lt;</w:t>
      </w:r>
      <w:r>
        <w:rPr>
          <w:rFonts w:hint="eastAsia" w:ascii="宋体" w:cs="宋体"/>
          <w:szCs w:val="21"/>
          <w:highlight w:val="none"/>
        </w:rPr>
        <w:t>南宁市散装水</w:t>
      </w:r>
      <w:r>
        <w:rPr>
          <w:rFonts w:hint="eastAsia" w:ascii="宋体" w:cs="宋体"/>
          <w:spacing w:val="-2"/>
          <w:szCs w:val="21"/>
          <w:highlight w:val="none"/>
        </w:rPr>
        <w:t>泥和预拌混凝土管理规定</w:t>
      </w:r>
      <w:r>
        <w:rPr>
          <w:spacing w:val="-2"/>
          <w:szCs w:val="21"/>
          <w:highlight w:val="none"/>
        </w:rPr>
        <w:t>&gt;</w:t>
      </w:r>
      <w:r>
        <w:rPr>
          <w:rFonts w:hint="eastAsia" w:ascii="宋体" w:cs="宋体"/>
          <w:spacing w:val="-1"/>
          <w:szCs w:val="21"/>
          <w:highlight w:val="none"/>
        </w:rPr>
        <w:t>的决定》（</w:t>
      </w:r>
      <w:r>
        <w:rPr>
          <w:rFonts w:hint="eastAsia" w:ascii="宋体" w:cs="宋体"/>
          <w:spacing w:val="-7"/>
          <w:szCs w:val="21"/>
          <w:highlight w:val="none"/>
        </w:rPr>
        <w:t>南宁市人民政府令</w:t>
      </w:r>
      <w:r>
        <w:rPr>
          <w:rFonts w:ascii="宋体" w:cs="宋体"/>
          <w:spacing w:val="-7"/>
          <w:szCs w:val="21"/>
          <w:highlight w:val="none"/>
        </w:rPr>
        <w:t xml:space="preserve"> </w:t>
      </w:r>
      <w:r>
        <w:rPr>
          <w:rFonts w:hint="eastAsia" w:ascii="宋体" w:cs="宋体"/>
          <w:spacing w:val="-7"/>
          <w:szCs w:val="21"/>
          <w:highlight w:val="none"/>
        </w:rPr>
        <w:t>第</w:t>
      </w:r>
      <w:r>
        <w:rPr>
          <w:rFonts w:ascii="宋体" w:cs="宋体"/>
          <w:spacing w:val="-7"/>
          <w:szCs w:val="21"/>
          <w:highlight w:val="none"/>
        </w:rPr>
        <w:t xml:space="preserve"> </w:t>
      </w:r>
      <w:r>
        <w:rPr>
          <w:spacing w:val="-1"/>
          <w:szCs w:val="21"/>
          <w:highlight w:val="none"/>
        </w:rPr>
        <w:t>32</w:t>
      </w:r>
      <w:r>
        <w:rPr>
          <w:spacing w:val="-3"/>
          <w:szCs w:val="21"/>
          <w:highlight w:val="none"/>
        </w:rPr>
        <w:t xml:space="preserve"> </w:t>
      </w:r>
      <w:r>
        <w:rPr>
          <w:rFonts w:hint="eastAsia" w:ascii="宋体" w:cs="宋体"/>
          <w:spacing w:val="-1"/>
          <w:szCs w:val="21"/>
          <w:highlight w:val="none"/>
        </w:rPr>
        <w:t>号）、《南宁市人民政府关于推广</w:t>
      </w:r>
      <w:r>
        <w:rPr>
          <w:rFonts w:hint="eastAsia" w:ascii="宋体" w:cs="宋体"/>
          <w:szCs w:val="21"/>
          <w:highlight w:val="none"/>
        </w:rPr>
        <w:t>使用预拌砂浆的实施意见》</w:t>
      </w:r>
      <w:r>
        <w:rPr>
          <w:szCs w:val="21"/>
          <w:highlight w:val="none"/>
        </w:rPr>
        <w:t>(</w:t>
      </w:r>
      <w:r>
        <w:rPr>
          <w:rFonts w:hint="eastAsia" w:ascii="宋体" w:cs="宋体"/>
          <w:szCs w:val="21"/>
          <w:highlight w:val="none"/>
        </w:rPr>
        <w:t>南府规〔</w:t>
      </w:r>
      <w:r>
        <w:rPr>
          <w:szCs w:val="21"/>
          <w:highlight w:val="none"/>
        </w:rPr>
        <w:t>2016</w:t>
      </w:r>
      <w:r>
        <w:rPr>
          <w:rFonts w:hint="eastAsia" w:ascii="宋体" w:cs="宋体"/>
          <w:szCs w:val="21"/>
          <w:highlight w:val="none"/>
        </w:rPr>
        <w:t>〕</w:t>
      </w:r>
      <w:r>
        <w:rPr>
          <w:szCs w:val="21"/>
          <w:highlight w:val="none"/>
        </w:rPr>
        <w:t>12</w:t>
      </w:r>
      <w:r>
        <w:rPr>
          <w:spacing w:val="-4"/>
          <w:szCs w:val="21"/>
          <w:highlight w:val="none"/>
        </w:rPr>
        <w:t xml:space="preserve"> </w:t>
      </w:r>
      <w:r>
        <w:rPr>
          <w:rFonts w:hint="eastAsia" w:ascii="宋体" w:cs="宋体"/>
          <w:szCs w:val="21"/>
          <w:highlight w:val="none"/>
        </w:rPr>
        <w:t>号</w:t>
      </w:r>
      <w:r>
        <w:rPr>
          <w:szCs w:val="21"/>
          <w:highlight w:val="none"/>
        </w:rPr>
        <w:t>)</w:t>
      </w:r>
      <w:r>
        <w:rPr>
          <w:rFonts w:hint="eastAsia" w:ascii="宋体" w:cs="宋体"/>
          <w:szCs w:val="21"/>
          <w:highlight w:val="none"/>
        </w:rPr>
        <w:t>等关于散装水泥和预拌混凝土管理的规定，确保建设工程按规定使用相应质量等级的散装水泥、预拌砂浆和预拌混凝土。如</w:t>
      </w:r>
      <w:bookmarkStart w:id="235" w:name="REVIEW_BM_1244"/>
      <w:r>
        <w:rPr>
          <w:rFonts w:hint="eastAsia" w:ascii="宋体" w:cs="宋体"/>
          <w:szCs w:val="21"/>
          <w:highlight w:val="none"/>
        </w:rPr>
        <w:t>我方</w:t>
      </w:r>
      <w:bookmarkEnd w:id="235"/>
      <w:r>
        <w:rPr>
          <w:rFonts w:hint="eastAsia" w:ascii="宋体" w:cs="宋体"/>
          <w:szCs w:val="21"/>
          <w:highlight w:val="none"/>
        </w:rPr>
        <w:t>在该项目的承包中出现未按规定执行的情形，</w:t>
      </w:r>
      <w:bookmarkStart w:id="236" w:name="REVIEW_BM_1245"/>
      <w:r>
        <w:rPr>
          <w:rFonts w:hint="eastAsia" w:ascii="宋体" w:cs="宋体"/>
          <w:szCs w:val="21"/>
          <w:highlight w:val="none"/>
        </w:rPr>
        <w:t>我方</w:t>
      </w:r>
      <w:bookmarkEnd w:id="236"/>
      <w:r>
        <w:rPr>
          <w:rFonts w:hint="eastAsia" w:ascii="宋体" w:cs="宋体"/>
          <w:szCs w:val="21"/>
          <w:highlight w:val="none"/>
        </w:rPr>
        <w:t>愿意按照相关规定接受建设单位及有关主管部门的处罚。</w:t>
      </w:r>
    </w:p>
    <w:p w14:paraId="7B63C197">
      <w:pPr>
        <w:spacing w:line="463" w:lineRule="auto"/>
        <w:ind w:firstLine="455"/>
        <w:rPr>
          <w:rFonts w:hint="eastAsia" w:ascii="宋体" w:cs="宋体"/>
          <w:szCs w:val="21"/>
          <w:highlight w:val="none"/>
        </w:rPr>
      </w:pPr>
      <w:r>
        <w:rPr>
          <w:spacing w:val="-1"/>
          <w:szCs w:val="21"/>
          <w:highlight w:val="none"/>
        </w:rPr>
        <w:t>4</w:t>
      </w:r>
      <w:r>
        <w:rPr>
          <w:rFonts w:hint="eastAsia" w:ascii="宋体" w:cs="宋体"/>
          <w:spacing w:val="-1"/>
          <w:szCs w:val="21"/>
          <w:highlight w:val="none"/>
        </w:rPr>
        <w:t>、一旦中标，</w:t>
      </w:r>
      <w:bookmarkStart w:id="237" w:name="REVIEW_BM_1247"/>
      <w:r>
        <w:rPr>
          <w:rFonts w:hint="eastAsia" w:ascii="宋体" w:cs="宋体"/>
          <w:spacing w:val="-1"/>
          <w:szCs w:val="21"/>
          <w:highlight w:val="none"/>
        </w:rPr>
        <w:t>我方</w:t>
      </w:r>
      <w:bookmarkEnd w:id="237"/>
      <w:r>
        <w:rPr>
          <w:rFonts w:hint="eastAsia" w:ascii="宋体" w:cs="宋体"/>
          <w:spacing w:val="-1"/>
          <w:szCs w:val="21"/>
          <w:highlight w:val="none"/>
        </w:rPr>
        <w:t>保证严格执行《危险性</w:t>
      </w:r>
      <w:bookmarkStart w:id="238" w:name="REVIEW_BM_1246"/>
      <w:r>
        <w:rPr>
          <w:rFonts w:hint="eastAsia" w:ascii="宋体" w:cs="宋体"/>
          <w:spacing w:val="-1"/>
          <w:szCs w:val="21"/>
          <w:highlight w:val="none"/>
        </w:rPr>
        <w:t>较大</w:t>
      </w:r>
      <w:bookmarkEnd w:id="238"/>
      <w:r>
        <w:rPr>
          <w:rFonts w:hint="eastAsia" w:ascii="宋体" w:cs="宋体"/>
          <w:spacing w:val="-1"/>
          <w:szCs w:val="21"/>
          <w:highlight w:val="none"/>
        </w:rPr>
        <w:t>的分部分项工程安全管理规定》</w:t>
      </w:r>
      <w:r>
        <w:rPr>
          <w:rFonts w:hint="eastAsia" w:ascii="宋体" w:cs="宋体"/>
          <w:szCs w:val="21"/>
          <w:highlight w:val="none"/>
        </w:rPr>
        <w:t>（中华人民共</w:t>
      </w:r>
      <w:r>
        <w:rPr>
          <w:rFonts w:hint="eastAsia" w:ascii="宋体" w:cs="宋体"/>
          <w:spacing w:val="-6"/>
          <w:szCs w:val="21"/>
          <w:highlight w:val="none"/>
        </w:rPr>
        <w:t>和国住房和城乡建设部令</w:t>
      </w:r>
      <w:r>
        <w:rPr>
          <w:rFonts w:ascii="宋体" w:cs="宋体"/>
          <w:spacing w:val="-6"/>
          <w:szCs w:val="21"/>
          <w:highlight w:val="none"/>
        </w:rPr>
        <w:t xml:space="preserve"> </w:t>
      </w:r>
      <w:r>
        <w:rPr>
          <w:rFonts w:hint="eastAsia" w:ascii="宋体" w:cs="宋体"/>
          <w:spacing w:val="-6"/>
          <w:szCs w:val="21"/>
          <w:highlight w:val="none"/>
        </w:rPr>
        <w:t>第</w:t>
      </w:r>
      <w:r>
        <w:rPr>
          <w:rFonts w:ascii="宋体" w:cs="宋体"/>
          <w:spacing w:val="-6"/>
          <w:szCs w:val="21"/>
          <w:highlight w:val="none"/>
        </w:rPr>
        <w:t xml:space="preserve"> </w:t>
      </w:r>
      <w:r>
        <w:rPr>
          <w:szCs w:val="21"/>
          <w:highlight w:val="none"/>
        </w:rPr>
        <w:t>37</w:t>
      </w:r>
      <w:r>
        <w:rPr>
          <w:spacing w:val="-3"/>
          <w:szCs w:val="21"/>
          <w:highlight w:val="none"/>
        </w:rPr>
        <w:t xml:space="preserve"> </w:t>
      </w:r>
      <w:r>
        <w:rPr>
          <w:rFonts w:hint="eastAsia" w:ascii="宋体" w:cs="宋体"/>
          <w:szCs w:val="21"/>
          <w:highlight w:val="none"/>
        </w:rPr>
        <w:t>号）、《广西壮族自治区建筑工程安全生产管理办法》（广西壮</w:t>
      </w:r>
      <w:r>
        <w:rPr>
          <w:rFonts w:hint="eastAsia" w:ascii="宋体" w:cs="宋体"/>
          <w:spacing w:val="-7"/>
          <w:szCs w:val="21"/>
          <w:highlight w:val="none"/>
        </w:rPr>
        <w:t>族自治区人民政府令</w:t>
      </w:r>
      <w:r>
        <w:rPr>
          <w:rFonts w:ascii="宋体" w:cs="宋体"/>
          <w:spacing w:val="-7"/>
          <w:szCs w:val="21"/>
          <w:highlight w:val="none"/>
        </w:rPr>
        <w:t xml:space="preserve"> </w:t>
      </w:r>
      <w:r>
        <w:rPr>
          <w:rFonts w:hint="eastAsia" w:ascii="宋体" w:cs="宋体"/>
          <w:spacing w:val="-7"/>
          <w:szCs w:val="21"/>
          <w:highlight w:val="none"/>
        </w:rPr>
        <w:t>第</w:t>
      </w:r>
      <w:r>
        <w:rPr>
          <w:rFonts w:ascii="宋体" w:cs="宋体"/>
          <w:spacing w:val="-7"/>
          <w:szCs w:val="21"/>
          <w:highlight w:val="none"/>
        </w:rPr>
        <w:t xml:space="preserve"> </w:t>
      </w:r>
      <w:r>
        <w:rPr>
          <w:spacing w:val="-1"/>
          <w:szCs w:val="21"/>
          <w:highlight w:val="none"/>
        </w:rPr>
        <w:t>124</w:t>
      </w:r>
      <w:r>
        <w:rPr>
          <w:szCs w:val="21"/>
          <w:highlight w:val="none"/>
        </w:rPr>
        <w:t xml:space="preserve"> </w:t>
      </w:r>
      <w:r>
        <w:rPr>
          <w:rFonts w:hint="eastAsia" w:ascii="宋体" w:cs="宋体"/>
          <w:spacing w:val="-1"/>
          <w:szCs w:val="21"/>
          <w:highlight w:val="none"/>
        </w:rPr>
        <w:t>号）的规定，按照南宁市安委办及市住房城乡建设行政主管部门的要</w:t>
      </w:r>
      <w:r>
        <w:rPr>
          <w:rFonts w:hint="eastAsia" w:ascii="宋体" w:cs="宋体"/>
          <w:szCs w:val="21"/>
          <w:highlight w:val="none"/>
        </w:rPr>
        <w:t>求，强化对深基坑、高切坡、高大模板、人工挖孔桩、起重吊装、临时活动板房等重大危险源的专项施工方案的编制、论证、审批、实施、检测的风险管理，做好施工现场安全风险分级管控和隐患排查治理“双预防”工作，并按照《南宁市房屋建筑及市政工程领域安全生产风险分级管控资料汇编》的要求建立管控台账，按时录入市安委办隐患排查治理信息平台。</w:t>
      </w:r>
    </w:p>
    <w:p w14:paraId="37BB4DE3">
      <w:pPr>
        <w:spacing w:before="4" w:line="463" w:lineRule="auto"/>
        <w:ind w:firstLine="455"/>
        <w:rPr>
          <w:rFonts w:ascii="宋体" w:cs="宋体"/>
          <w:szCs w:val="21"/>
          <w:highlight w:val="none"/>
        </w:rPr>
      </w:pPr>
      <w:r>
        <w:rPr>
          <w:spacing w:val="-2"/>
          <w:szCs w:val="21"/>
          <w:highlight w:val="none"/>
        </w:rPr>
        <w:t>5</w:t>
      </w:r>
      <w:r>
        <w:rPr>
          <w:rFonts w:hint="eastAsia" w:ascii="宋体" w:cs="宋体"/>
          <w:spacing w:val="-2"/>
          <w:szCs w:val="21"/>
          <w:highlight w:val="none"/>
        </w:rPr>
        <w:t>、一旦中标，</w:t>
      </w:r>
      <w:bookmarkStart w:id="239" w:name="REVIEW_BM_1248"/>
      <w:r>
        <w:rPr>
          <w:rFonts w:hint="eastAsia" w:ascii="宋体" w:cs="宋体"/>
          <w:spacing w:val="-2"/>
          <w:szCs w:val="21"/>
          <w:highlight w:val="none"/>
        </w:rPr>
        <w:t>我方</w:t>
      </w:r>
      <w:bookmarkEnd w:id="239"/>
      <w:r>
        <w:rPr>
          <w:rFonts w:hint="eastAsia" w:ascii="宋体" w:cs="宋体"/>
          <w:spacing w:val="-2"/>
          <w:szCs w:val="21"/>
          <w:highlight w:val="none"/>
        </w:rPr>
        <w:t>保证由法人签署授权书确认项目负责人，项目负责人签署建设工程质量终</w:t>
      </w:r>
      <w:r>
        <w:rPr>
          <w:rFonts w:hint="eastAsia" w:ascii="宋体" w:cs="宋体"/>
          <w:szCs w:val="21"/>
          <w:highlight w:val="none"/>
        </w:rPr>
        <w:t>身责任制承诺书，自觉承担建设工程终身责任，按程序履行设计变更手续，严格按照审查合格并经备案的施工图施工（包括：全装修工程、主体工程、基础工程、排水工程等）。</w:t>
      </w:r>
    </w:p>
    <w:p w14:paraId="780465A6">
      <w:pPr>
        <w:spacing w:before="3" w:line="463" w:lineRule="auto"/>
        <w:ind w:firstLine="455"/>
        <w:rPr>
          <w:rFonts w:ascii="宋体" w:cs="宋体"/>
          <w:szCs w:val="21"/>
          <w:highlight w:val="none"/>
        </w:rPr>
      </w:pPr>
      <w:r>
        <w:rPr>
          <w:szCs w:val="21"/>
          <w:highlight w:val="none"/>
        </w:rPr>
        <w:t>6</w:t>
      </w:r>
      <w:r>
        <w:rPr>
          <w:rFonts w:hint="eastAsia" w:ascii="宋体" w:cs="宋体"/>
          <w:szCs w:val="21"/>
          <w:highlight w:val="none"/>
        </w:rPr>
        <w:t>、一旦中标，</w:t>
      </w:r>
      <w:bookmarkStart w:id="240" w:name="REVIEW_BM_1249"/>
      <w:r>
        <w:rPr>
          <w:rFonts w:hint="eastAsia" w:ascii="宋体" w:cs="宋体"/>
          <w:szCs w:val="21"/>
          <w:highlight w:val="none"/>
        </w:rPr>
        <w:t>我方</w:t>
      </w:r>
      <w:bookmarkEnd w:id="240"/>
      <w:r>
        <w:rPr>
          <w:rFonts w:hint="eastAsia" w:ascii="宋体" w:cs="宋体"/>
          <w:szCs w:val="21"/>
          <w:highlight w:val="none"/>
        </w:rPr>
        <w:t>保证项目负责人和管理人员按招标文件和合同约定持证上岗并履职到位，</w:t>
      </w:r>
      <w:r>
        <w:rPr>
          <w:rFonts w:ascii="宋体" w:cs="宋体"/>
          <w:spacing w:val="-102"/>
          <w:szCs w:val="21"/>
          <w:highlight w:val="none"/>
        </w:rPr>
        <w:t xml:space="preserve"> </w:t>
      </w:r>
      <w:r>
        <w:rPr>
          <w:rFonts w:hint="eastAsia" w:ascii="宋体" w:cs="宋体"/>
          <w:szCs w:val="21"/>
          <w:highlight w:val="none"/>
        </w:rPr>
        <w:t>做好相关履约评价工作，绝不在项目承包中进行违法转包、违法分包及挂靠等违法行为，接受有关部门、专家对</w:t>
      </w:r>
      <w:bookmarkStart w:id="241" w:name="REVIEW_BM_1250"/>
      <w:r>
        <w:rPr>
          <w:rFonts w:hint="eastAsia" w:ascii="宋体" w:cs="宋体"/>
          <w:szCs w:val="21"/>
          <w:highlight w:val="none"/>
        </w:rPr>
        <w:t>我方</w:t>
      </w:r>
      <w:bookmarkEnd w:id="241"/>
      <w:r>
        <w:rPr>
          <w:rFonts w:hint="eastAsia" w:ascii="宋体" w:cs="宋体"/>
          <w:szCs w:val="21"/>
          <w:highlight w:val="none"/>
        </w:rPr>
        <w:t>的诚信考评。</w:t>
      </w:r>
    </w:p>
    <w:p w14:paraId="5101375A">
      <w:pPr>
        <w:spacing w:before="2" w:line="480" w:lineRule="auto"/>
        <w:ind w:firstLine="412"/>
        <w:rPr>
          <w:rFonts w:ascii="宋体" w:cs="宋体"/>
          <w:spacing w:val="-1"/>
          <w:szCs w:val="21"/>
          <w:highlight w:val="none"/>
        </w:rPr>
      </w:pPr>
      <w:r>
        <w:rPr>
          <w:spacing w:val="-2"/>
          <w:szCs w:val="21"/>
          <w:highlight w:val="none"/>
        </w:rPr>
        <w:t>7</w:t>
      </w:r>
      <w:r>
        <w:rPr>
          <w:rFonts w:hint="eastAsia" w:ascii="宋体" w:cs="宋体"/>
          <w:spacing w:val="-4"/>
          <w:szCs w:val="21"/>
          <w:highlight w:val="none"/>
        </w:rPr>
        <w:t>、一旦中标，</w:t>
      </w:r>
      <w:bookmarkStart w:id="242" w:name="REVIEW_BM_1252"/>
      <w:r>
        <w:rPr>
          <w:rFonts w:hint="eastAsia" w:ascii="宋体" w:cs="宋体"/>
          <w:spacing w:val="-4"/>
          <w:szCs w:val="21"/>
          <w:highlight w:val="none"/>
        </w:rPr>
        <w:t>我方</w:t>
      </w:r>
      <w:bookmarkEnd w:id="242"/>
      <w:r>
        <w:rPr>
          <w:rFonts w:hint="eastAsia" w:ascii="宋体" w:cs="宋体"/>
          <w:spacing w:val="-4"/>
          <w:szCs w:val="21"/>
          <w:highlight w:val="none"/>
        </w:rPr>
        <w:t>保证在施工过程中，严格执行《</w:t>
      </w:r>
      <w:bookmarkStart w:id="243" w:name="REVIEW_BM_1251"/>
      <w:r>
        <w:rPr>
          <w:rFonts w:hint="eastAsia" w:ascii="宋体" w:cs="宋体"/>
          <w:spacing w:val="-4"/>
          <w:szCs w:val="21"/>
          <w:highlight w:val="none"/>
        </w:rPr>
        <w:t>大气污染防治法</w:t>
      </w:r>
      <w:bookmarkEnd w:id="243"/>
      <w:r>
        <w:rPr>
          <w:rFonts w:hint="eastAsia" w:ascii="宋体" w:cs="宋体"/>
          <w:spacing w:val="-4"/>
          <w:szCs w:val="21"/>
          <w:highlight w:val="none"/>
        </w:rPr>
        <w:t>》</w:t>
      </w:r>
      <w:r>
        <w:rPr>
          <w:rFonts w:hint="eastAsia" w:ascii="宋体" w:cs="宋体"/>
          <w:spacing w:val="-2"/>
          <w:szCs w:val="21"/>
          <w:highlight w:val="none"/>
        </w:rPr>
        <w:t>（主席令第三十一号</w:t>
      </w:r>
      <w:r>
        <w:rPr>
          <w:rFonts w:hint="eastAsia" w:ascii="宋体" w:cs="宋体"/>
          <w:spacing w:val="-1"/>
          <w:szCs w:val="21"/>
          <w:highlight w:val="none"/>
        </w:rPr>
        <w:t>）、</w:t>
      </w:r>
    </w:p>
    <w:p w14:paraId="485C284C">
      <w:pPr>
        <w:spacing w:line="480" w:lineRule="auto"/>
        <w:rPr>
          <w:rFonts w:ascii="宋体" w:cs="宋体"/>
          <w:szCs w:val="21"/>
          <w:highlight w:val="none"/>
        </w:rPr>
      </w:pPr>
      <w:r>
        <w:rPr>
          <w:rFonts w:hint="eastAsia" w:ascii="宋体" w:cs="宋体"/>
          <w:szCs w:val="21"/>
          <w:highlight w:val="none"/>
        </w:rPr>
        <w:t>《南宁市建设工程质量和安全生产管理办法》（</w:t>
      </w:r>
      <w:r>
        <w:rPr>
          <w:rFonts w:hint="eastAsia" w:ascii="宋体" w:cs="宋体"/>
          <w:spacing w:val="-6"/>
          <w:szCs w:val="21"/>
          <w:highlight w:val="none"/>
        </w:rPr>
        <w:t>南宁市人民政府令</w:t>
      </w:r>
      <w:r>
        <w:rPr>
          <w:rFonts w:ascii="宋体" w:cs="宋体"/>
          <w:spacing w:val="-6"/>
          <w:szCs w:val="21"/>
          <w:highlight w:val="none"/>
        </w:rPr>
        <w:t xml:space="preserve"> </w:t>
      </w:r>
      <w:r>
        <w:rPr>
          <w:rFonts w:hint="eastAsia" w:ascii="宋体" w:cs="宋体"/>
          <w:spacing w:val="-6"/>
          <w:szCs w:val="21"/>
          <w:highlight w:val="none"/>
        </w:rPr>
        <w:t>第</w:t>
      </w:r>
      <w:r>
        <w:rPr>
          <w:rFonts w:ascii="宋体" w:cs="宋体"/>
          <w:spacing w:val="-6"/>
          <w:szCs w:val="21"/>
          <w:highlight w:val="none"/>
        </w:rPr>
        <w:t xml:space="preserve"> </w:t>
      </w:r>
      <w:r>
        <w:rPr>
          <w:szCs w:val="21"/>
          <w:highlight w:val="none"/>
        </w:rPr>
        <w:t xml:space="preserve">46 </w:t>
      </w:r>
      <w:r>
        <w:rPr>
          <w:rFonts w:hint="eastAsia" w:ascii="宋体" w:cs="宋体"/>
          <w:szCs w:val="21"/>
          <w:highlight w:val="none"/>
        </w:rPr>
        <w:t>号）、《南宁市建设工</w:t>
      </w:r>
      <w:r>
        <w:rPr>
          <w:rFonts w:hint="eastAsia" w:ascii="宋体" w:cs="宋体"/>
          <w:spacing w:val="-1"/>
          <w:szCs w:val="21"/>
          <w:highlight w:val="none"/>
        </w:rPr>
        <w:t>程质量安全标准化图集</w:t>
      </w:r>
      <w:bookmarkStart w:id="244" w:name="REVIEW_BM_1253"/>
      <w:r>
        <w:rPr>
          <w:rFonts w:hint="eastAsia" w:ascii="宋体" w:cs="宋体"/>
          <w:spacing w:val="-1"/>
          <w:szCs w:val="21"/>
          <w:highlight w:val="none"/>
        </w:rPr>
        <w:t>》、《</w:t>
      </w:r>
      <w:bookmarkEnd w:id="244"/>
      <w:r>
        <w:rPr>
          <w:rFonts w:hint="eastAsia" w:ascii="宋体" w:cs="宋体"/>
          <w:spacing w:val="-1"/>
          <w:szCs w:val="21"/>
          <w:highlight w:val="none"/>
        </w:rPr>
        <w:t>南宁市建设工程施工现场管理若干规定》</w:t>
      </w:r>
      <w:r>
        <w:rPr>
          <w:rFonts w:hint="eastAsia" w:ascii="宋体" w:cs="宋体"/>
          <w:szCs w:val="21"/>
          <w:highlight w:val="none"/>
        </w:rPr>
        <w:t>（</w:t>
      </w:r>
      <w:r>
        <w:rPr>
          <w:rFonts w:hint="eastAsia" w:ascii="宋体" w:cs="宋体"/>
          <w:spacing w:val="-6"/>
          <w:szCs w:val="21"/>
          <w:highlight w:val="none"/>
        </w:rPr>
        <w:t>南宁市人民政府令</w:t>
      </w:r>
      <w:r>
        <w:rPr>
          <w:rFonts w:ascii="宋体" w:cs="宋体"/>
          <w:spacing w:val="-6"/>
          <w:szCs w:val="21"/>
          <w:highlight w:val="none"/>
        </w:rPr>
        <w:t xml:space="preserve"> </w:t>
      </w:r>
      <w:r>
        <w:rPr>
          <w:rFonts w:hint="eastAsia" w:ascii="宋体" w:cs="宋体"/>
          <w:spacing w:val="-6"/>
          <w:szCs w:val="21"/>
          <w:highlight w:val="none"/>
        </w:rPr>
        <w:t>第</w:t>
      </w:r>
      <w:r>
        <w:rPr>
          <w:rFonts w:ascii="宋体" w:cs="宋体"/>
          <w:spacing w:val="-6"/>
          <w:szCs w:val="21"/>
          <w:highlight w:val="none"/>
        </w:rPr>
        <w:t xml:space="preserve"> </w:t>
      </w:r>
      <w:r>
        <w:rPr>
          <w:szCs w:val="21"/>
          <w:highlight w:val="none"/>
        </w:rPr>
        <w:t>8</w:t>
      </w:r>
      <w:r>
        <w:rPr>
          <w:spacing w:val="-50"/>
          <w:szCs w:val="21"/>
          <w:highlight w:val="none"/>
        </w:rPr>
        <w:t xml:space="preserve"> </w:t>
      </w:r>
      <w:r>
        <w:rPr>
          <w:rFonts w:hint="eastAsia" w:ascii="宋体" w:cs="宋体"/>
          <w:szCs w:val="21"/>
          <w:highlight w:val="none"/>
        </w:rPr>
        <w:t>号）的有关规定，与辖区卫生防疫、环卫管理部门或有合法资质资格的企业签订病媒生物消杀协议、生活垃圾清运协议、渣土密闭运输协议、在线远程监控扬尘</w:t>
      </w:r>
      <w:bookmarkStart w:id="245" w:name="REVIEW_BM_1254"/>
      <w:r>
        <w:rPr>
          <w:rFonts w:hint="eastAsia" w:ascii="宋体" w:cs="宋体"/>
          <w:szCs w:val="21"/>
          <w:highlight w:val="none"/>
        </w:rPr>
        <w:t>监测</w:t>
      </w:r>
      <w:bookmarkEnd w:id="245"/>
      <w:r>
        <w:rPr>
          <w:rFonts w:hint="eastAsia" w:ascii="宋体" w:cs="宋体"/>
          <w:szCs w:val="21"/>
          <w:highlight w:val="none"/>
        </w:rPr>
        <w:t>协议，遵守“一口两池三包四协议”的有关规定，施工前办理排水许可证，严格执行排水许可，做好工地泥浆水、临时生活污水的排放管理，现场设置三级沉淀池及化粪池，避免生活污水及施工废水直排市政排水管网及内河。采取道路硬化、裸土必盖（种草、绿网）、洗车出门、保洁路口、在线监测、抑尘喷淋等有效措施。</w:t>
      </w:r>
    </w:p>
    <w:p w14:paraId="6909B6B7">
      <w:pPr>
        <w:spacing w:line="463" w:lineRule="auto"/>
        <w:ind w:firstLine="455"/>
        <w:rPr>
          <w:rFonts w:hint="eastAsia" w:ascii="宋体" w:cs="宋体"/>
          <w:szCs w:val="21"/>
          <w:highlight w:val="none"/>
        </w:rPr>
      </w:pPr>
      <w:r>
        <w:rPr>
          <w:spacing w:val="-2"/>
          <w:szCs w:val="21"/>
          <w:highlight w:val="none"/>
        </w:rPr>
        <w:t>8</w:t>
      </w:r>
      <w:r>
        <w:rPr>
          <w:rFonts w:hint="eastAsia" w:ascii="宋体" w:cs="宋体"/>
          <w:spacing w:val="-2"/>
          <w:szCs w:val="21"/>
          <w:highlight w:val="none"/>
        </w:rPr>
        <w:t>、一旦中标，</w:t>
      </w:r>
      <w:bookmarkStart w:id="246" w:name="REVIEW_BM_1255"/>
      <w:r>
        <w:rPr>
          <w:rFonts w:hint="eastAsia" w:ascii="宋体" w:cs="宋体"/>
          <w:spacing w:val="-2"/>
          <w:szCs w:val="21"/>
          <w:highlight w:val="none"/>
        </w:rPr>
        <w:t>我方</w:t>
      </w:r>
      <w:bookmarkEnd w:id="246"/>
      <w:r>
        <w:rPr>
          <w:rFonts w:hint="eastAsia" w:ascii="宋体" w:cs="宋体"/>
          <w:spacing w:val="-2"/>
          <w:szCs w:val="21"/>
          <w:highlight w:val="none"/>
        </w:rPr>
        <w:t>保证在施工过程中，不使用不合格建材</w:t>
      </w:r>
      <w:r>
        <w:rPr>
          <w:rFonts w:hint="eastAsia" w:ascii="宋体" w:cs="宋体"/>
          <w:spacing w:val="-1"/>
          <w:szCs w:val="21"/>
          <w:highlight w:val="none"/>
        </w:rPr>
        <w:t>（如地条钢、海砂等）作为建筑用</w:t>
      </w:r>
      <w:r>
        <w:rPr>
          <w:rFonts w:hint="eastAsia" w:ascii="宋体" w:cs="宋体"/>
          <w:szCs w:val="21"/>
          <w:highlight w:val="none"/>
        </w:rPr>
        <w:t>材，按照《广西壮族自治区新型墙体材料促进条例》规定使用新型墙体材料，不使用黏土砖（制品）及无证无照企业生产、质量达不到标准的墙体材料。项目实施装配式建筑的，按照装配式建筑技术标准、规程采取相应安全措施，做好预制构件部品保护、施工安装，按质按量完成装配式施工。</w:t>
      </w:r>
    </w:p>
    <w:p w14:paraId="55AC621A">
      <w:pPr>
        <w:spacing w:line="463" w:lineRule="auto"/>
        <w:ind w:firstLine="455"/>
        <w:rPr>
          <w:rFonts w:hint="eastAsia" w:ascii="宋体" w:cs="宋体"/>
          <w:szCs w:val="21"/>
          <w:highlight w:val="none"/>
        </w:rPr>
      </w:pPr>
      <w:r>
        <w:rPr>
          <w:spacing w:val="-2"/>
          <w:szCs w:val="21"/>
          <w:highlight w:val="none"/>
        </w:rPr>
        <w:t>9</w:t>
      </w:r>
      <w:r>
        <w:rPr>
          <w:rFonts w:hint="eastAsia" w:ascii="宋体" w:cs="宋体"/>
          <w:spacing w:val="-2"/>
          <w:szCs w:val="21"/>
          <w:highlight w:val="none"/>
        </w:rPr>
        <w:t>、一旦中标，</w:t>
      </w:r>
      <w:bookmarkStart w:id="247" w:name="REVIEW_BM_1256"/>
      <w:r>
        <w:rPr>
          <w:rFonts w:hint="eastAsia" w:ascii="宋体" w:cs="宋体"/>
          <w:spacing w:val="-2"/>
          <w:szCs w:val="21"/>
          <w:highlight w:val="none"/>
        </w:rPr>
        <w:t>我方</w:t>
      </w:r>
      <w:bookmarkEnd w:id="247"/>
      <w:r>
        <w:rPr>
          <w:rFonts w:hint="eastAsia" w:ascii="宋体" w:cs="宋体"/>
          <w:spacing w:val="-2"/>
          <w:szCs w:val="21"/>
          <w:highlight w:val="none"/>
        </w:rPr>
        <w:t>保证根据相关法律法规要求，做好供水、排水、供电、通讯、燃气、油气</w:t>
      </w:r>
      <w:r>
        <w:rPr>
          <w:rFonts w:hint="eastAsia" w:ascii="宋体" w:cs="宋体"/>
          <w:szCs w:val="21"/>
          <w:highlight w:val="none"/>
        </w:rPr>
        <w:t>管道等地下管线设施的保护工作，在开工建设前，与设施维护运营单位、管理责任单位等共同制定设施保护方案，并采取相应的安全防护措施。</w:t>
      </w:r>
    </w:p>
    <w:p w14:paraId="15D97C45">
      <w:pPr>
        <w:spacing w:line="463" w:lineRule="auto"/>
        <w:ind w:firstLine="455"/>
        <w:rPr>
          <w:rFonts w:hint="eastAsia" w:ascii="宋体" w:cs="宋体"/>
          <w:szCs w:val="21"/>
          <w:highlight w:val="none"/>
        </w:rPr>
      </w:pPr>
    </w:p>
    <w:p w14:paraId="556CF655">
      <w:pPr>
        <w:tabs>
          <w:tab w:val="left" w:pos="6953"/>
        </w:tabs>
        <w:spacing w:before="1"/>
        <w:jc w:val="right"/>
        <w:rPr>
          <w:rFonts w:hint="eastAsia" w:ascii="宋体" w:cs="宋体"/>
          <w:szCs w:val="21"/>
          <w:highlight w:val="none"/>
          <w:u w:val="single"/>
        </w:rPr>
      </w:pPr>
      <w:r>
        <w:rPr>
          <w:rFonts w:hint="eastAsia" w:ascii="宋体" w:cs="宋体"/>
          <w:szCs w:val="21"/>
          <w:highlight w:val="none"/>
        </w:rPr>
        <w:t>供应商：</w:t>
      </w:r>
      <w:r>
        <w:rPr>
          <w:rFonts w:hint="eastAsia" w:ascii="宋体" w:cs="宋体"/>
          <w:szCs w:val="21"/>
          <w:highlight w:val="none"/>
          <w:u w:val="single"/>
        </w:rPr>
        <w:t xml:space="preserve">                              （电子签章）</w:t>
      </w:r>
    </w:p>
    <w:p w14:paraId="625D6329">
      <w:pPr>
        <w:tabs>
          <w:tab w:val="left" w:pos="6953"/>
        </w:tabs>
        <w:spacing w:before="1"/>
        <w:jc w:val="right"/>
        <w:rPr>
          <w:rFonts w:hint="eastAsia" w:ascii="宋体" w:cs="宋体"/>
          <w:szCs w:val="21"/>
          <w:highlight w:val="none"/>
          <w:u w:val="single"/>
        </w:rPr>
      </w:pPr>
    </w:p>
    <w:p w14:paraId="5B86EE9E">
      <w:pPr>
        <w:tabs>
          <w:tab w:val="left" w:pos="6953"/>
        </w:tabs>
        <w:spacing w:before="1"/>
        <w:jc w:val="right"/>
        <w:rPr>
          <w:szCs w:val="21"/>
          <w:highlight w:val="none"/>
        </w:rPr>
      </w:pPr>
    </w:p>
    <w:p w14:paraId="5B4FD1E2">
      <w:pPr>
        <w:tabs>
          <w:tab w:val="left" w:pos="5484"/>
          <w:tab w:val="left" w:pos="6533"/>
          <w:tab w:val="left" w:pos="7585"/>
          <w:tab w:val="left" w:pos="7901"/>
        </w:tabs>
        <w:spacing w:before="71" w:line="348" w:lineRule="auto"/>
        <w:jc w:val="right"/>
        <w:rPr>
          <w:rFonts w:hint="eastAsia" w:ascii="宋体" w:cs="宋体"/>
          <w:szCs w:val="21"/>
          <w:highlight w:val="none"/>
          <w:u w:val="single"/>
        </w:rPr>
      </w:pPr>
      <w:r>
        <w:rPr>
          <w:rFonts w:hint="eastAsia" w:ascii="宋体" w:cs="宋体"/>
          <w:szCs w:val="21"/>
          <w:highlight w:val="none"/>
        </w:rPr>
        <w:t xml:space="preserve">     法定代表人或授权代理人：</w:t>
      </w:r>
      <w:r>
        <w:rPr>
          <w:rFonts w:hint="eastAsia" w:ascii="宋体" w:cs="宋体"/>
          <w:szCs w:val="21"/>
          <w:highlight w:val="none"/>
          <w:u w:val="single"/>
        </w:rPr>
        <w:t xml:space="preserve">             （签字或盖章）</w:t>
      </w:r>
    </w:p>
    <w:p w14:paraId="29798072">
      <w:pPr>
        <w:tabs>
          <w:tab w:val="left" w:pos="5484"/>
          <w:tab w:val="left" w:pos="6533"/>
          <w:tab w:val="left" w:pos="7585"/>
          <w:tab w:val="left" w:pos="7901"/>
        </w:tabs>
        <w:spacing w:before="71" w:line="348" w:lineRule="auto"/>
        <w:jc w:val="right"/>
        <w:rPr>
          <w:rFonts w:hint="eastAsia" w:ascii="宋体" w:cs="宋体"/>
          <w:szCs w:val="21"/>
          <w:highlight w:val="none"/>
          <w:u w:val="single"/>
        </w:rPr>
      </w:pPr>
    </w:p>
    <w:p w14:paraId="137C6273">
      <w:pPr>
        <w:tabs>
          <w:tab w:val="left" w:pos="5484"/>
          <w:tab w:val="left" w:pos="6533"/>
          <w:tab w:val="left" w:pos="7585"/>
          <w:tab w:val="left" w:pos="7901"/>
        </w:tabs>
        <w:spacing w:before="71" w:line="348" w:lineRule="auto"/>
        <w:jc w:val="right"/>
        <w:rPr>
          <w:rFonts w:ascii="宋体" w:cs="宋体"/>
          <w:szCs w:val="21"/>
          <w:highlight w:val="none"/>
        </w:rPr>
      </w:pPr>
      <w:r>
        <w:rPr>
          <w:rFonts w:ascii="宋体" w:cs="宋体"/>
          <w:spacing w:val="-102"/>
          <w:szCs w:val="21"/>
          <w:highlight w:val="none"/>
          <w:u w:val="single"/>
        </w:rPr>
        <w:t xml:space="preserve"> </w:t>
      </w:r>
      <w:r>
        <w:rPr>
          <w:rFonts w:hint="eastAsia" w:ascii="宋体" w:cs="宋体"/>
          <w:szCs w:val="21"/>
          <w:highlight w:val="none"/>
        </w:rPr>
        <w:t>日期：</w:t>
      </w:r>
      <w:r>
        <w:rPr>
          <w:rFonts w:hint="eastAsia"/>
          <w:szCs w:val="21"/>
          <w:highlight w:val="none"/>
          <w:u w:val="single"/>
        </w:rPr>
        <w:t xml:space="preserve">     </w:t>
      </w:r>
      <w:r>
        <w:rPr>
          <w:rFonts w:hint="eastAsia" w:ascii="宋体" w:cs="宋体"/>
          <w:szCs w:val="21"/>
          <w:highlight w:val="none"/>
        </w:rPr>
        <w:t>年</w:t>
      </w:r>
      <w:r>
        <w:rPr>
          <w:rFonts w:hint="eastAsia"/>
          <w:szCs w:val="21"/>
          <w:highlight w:val="none"/>
          <w:u w:val="single"/>
        </w:rPr>
        <w:t xml:space="preserve">    </w:t>
      </w:r>
      <w:r>
        <w:rPr>
          <w:rFonts w:hint="eastAsia" w:ascii="宋体" w:cs="宋体"/>
          <w:szCs w:val="21"/>
          <w:highlight w:val="none"/>
        </w:rPr>
        <w:t>月</w:t>
      </w:r>
      <w:r>
        <w:rPr>
          <w:rFonts w:hint="eastAsia"/>
          <w:szCs w:val="21"/>
          <w:highlight w:val="none"/>
          <w:u w:val="single"/>
        </w:rPr>
        <w:t xml:space="preserve">    </w:t>
      </w:r>
      <w:r>
        <w:rPr>
          <w:rFonts w:hint="eastAsia" w:ascii="宋体" w:cs="宋体"/>
          <w:szCs w:val="21"/>
          <w:highlight w:val="none"/>
        </w:rPr>
        <w:t>日</w:t>
      </w:r>
    </w:p>
    <w:p w14:paraId="4E8E7539">
      <w:pPr>
        <w:spacing w:line="463" w:lineRule="auto"/>
        <w:ind w:left="426" w:right="802" w:firstLine="455"/>
        <w:rPr>
          <w:rFonts w:hint="eastAsia" w:ascii="宋体" w:cs="宋体"/>
          <w:szCs w:val="21"/>
          <w:highlight w:val="none"/>
        </w:rPr>
      </w:pPr>
    </w:p>
    <w:p w14:paraId="40ECCFDD">
      <w:pPr>
        <w:spacing w:line="463" w:lineRule="auto"/>
        <w:ind w:left="426" w:right="802" w:firstLine="455"/>
        <w:rPr>
          <w:rFonts w:hint="eastAsia" w:ascii="宋体" w:cs="宋体"/>
          <w:szCs w:val="21"/>
          <w:highlight w:val="none"/>
        </w:rPr>
      </w:pPr>
    </w:p>
    <w:p w14:paraId="174EDFBB">
      <w:pPr>
        <w:spacing w:line="463" w:lineRule="auto"/>
        <w:ind w:left="426" w:right="802" w:firstLine="455"/>
        <w:rPr>
          <w:rFonts w:hint="eastAsia" w:ascii="宋体" w:cs="宋体"/>
          <w:szCs w:val="21"/>
          <w:highlight w:val="none"/>
        </w:rPr>
      </w:pPr>
    </w:p>
    <w:p w14:paraId="478B0555">
      <w:pPr>
        <w:spacing w:line="463" w:lineRule="auto"/>
        <w:ind w:left="426" w:right="802" w:firstLine="455"/>
        <w:rPr>
          <w:rFonts w:hint="eastAsia" w:ascii="宋体" w:cs="宋体"/>
          <w:szCs w:val="21"/>
          <w:highlight w:val="none"/>
        </w:rPr>
      </w:pPr>
    </w:p>
    <w:p w14:paraId="062CDC5E">
      <w:pPr>
        <w:spacing w:line="463" w:lineRule="auto"/>
        <w:ind w:left="426" w:right="802" w:firstLine="455"/>
        <w:rPr>
          <w:rFonts w:hint="eastAsia" w:ascii="宋体" w:cs="宋体"/>
          <w:szCs w:val="21"/>
          <w:highlight w:val="none"/>
        </w:rPr>
      </w:pPr>
    </w:p>
    <w:p w14:paraId="0723EED3">
      <w:pPr>
        <w:spacing w:line="463" w:lineRule="auto"/>
        <w:ind w:left="426" w:right="802" w:firstLine="455"/>
        <w:rPr>
          <w:rFonts w:hint="eastAsia" w:ascii="宋体" w:cs="宋体"/>
          <w:szCs w:val="21"/>
          <w:highlight w:val="none"/>
        </w:rPr>
      </w:pPr>
    </w:p>
    <w:p w14:paraId="45EC6F5D">
      <w:pPr>
        <w:spacing w:line="463" w:lineRule="auto"/>
        <w:ind w:left="426" w:right="802" w:firstLine="455"/>
        <w:rPr>
          <w:rFonts w:hint="eastAsia" w:ascii="宋体" w:cs="宋体"/>
          <w:szCs w:val="21"/>
          <w:highlight w:val="none"/>
        </w:rPr>
      </w:pPr>
    </w:p>
    <w:p w14:paraId="3342D3A5">
      <w:pPr>
        <w:spacing w:line="463" w:lineRule="auto"/>
        <w:ind w:left="426" w:right="802" w:firstLine="455"/>
        <w:rPr>
          <w:rFonts w:hint="eastAsia" w:ascii="宋体" w:cs="宋体"/>
          <w:szCs w:val="21"/>
          <w:highlight w:val="none"/>
        </w:rPr>
      </w:pPr>
    </w:p>
    <w:p w14:paraId="7A22C978">
      <w:pPr>
        <w:spacing w:line="463" w:lineRule="auto"/>
        <w:ind w:left="426" w:right="802" w:firstLine="455"/>
        <w:rPr>
          <w:rFonts w:hint="eastAsia" w:ascii="宋体" w:cs="宋体"/>
          <w:szCs w:val="21"/>
          <w:highlight w:val="none"/>
        </w:rPr>
      </w:pPr>
    </w:p>
    <w:p w14:paraId="0AA3D1ED">
      <w:pPr>
        <w:spacing w:line="463" w:lineRule="auto"/>
        <w:ind w:left="426" w:right="802" w:firstLine="455"/>
        <w:rPr>
          <w:rFonts w:hint="eastAsia" w:ascii="宋体" w:cs="宋体"/>
          <w:szCs w:val="21"/>
          <w:highlight w:val="none"/>
        </w:rPr>
      </w:pPr>
    </w:p>
    <w:p w14:paraId="2DBBE5E0">
      <w:pPr>
        <w:spacing w:line="463" w:lineRule="auto"/>
        <w:ind w:left="426" w:right="802" w:firstLine="455"/>
        <w:rPr>
          <w:rFonts w:hint="eastAsia" w:ascii="宋体" w:cs="宋体"/>
          <w:szCs w:val="21"/>
          <w:highlight w:val="none"/>
        </w:rPr>
      </w:pPr>
    </w:p>
    <w:p w14:paraId="13C5C4AE">
      <w:pPr>
        <w:spacing w:line="463" w:lineRule="auto"/>
        <w:ind w:left="426" w:right="802" w:firstLine="455"/>
        <w:rPr>
          <w:rFonts w:hint="eastAsia" w:ascii="宋体" w:cs="宋体"/>
          <w:szCs w:val="21"/>
          <w:highlight w:val="none"/>
        </w:rPr>
      </w:pPr>
    </w:p>
    <w:p w14:paraId="5E7C21A8">
      <w:pPr>
        <w:spacing w:line="463" w:lineRule="auto"/>
        <w:ind w:left="426" w:right="802" w:firstLine="455"/>
        <w:rPr>
          <w:rFonts w:hint="eastAsia" w:ascii="宋体" w:cs="宋体"/>
          <w:szCs w:val="21"/>
          <w:highlight w:val="none"/>
        </w:rPr>
      </w:pPr>
    </w:p>
    <w:p w14:paraId="185ABB4E">
      <w:pPr>
        <w:spacing w:line="463" w:lineRule="auto"/>
        <w:ind w:left="426" w:right="802" w:firstLine="455"/>
        <w:rPr>
          <w:rFonts w:hint="eastAsia" w:ascii="宋体" w:cs="宋体"/>
          <w:szCs w:val="21"/>
          <w:highlight w:val="none"/>
        </w:rPr>
      </w:pPr>
    </w:p>
    <w:p w14:paraId="2E2F99E6">
      <w:pPr>
        <w:spacing w:line="463" w:lineRule="auto"/>
        <w:ind w:left="426" w:right="802" w:firstLine="455"/>
        <w:rPr>
          <w:rFonts w:hint="eastAsia" w:ascii="宋体" w:cs="宋体"/>
          <w:szCs w:val="21"/>
          <w:highlight w:val="none"/>
        </w:rPr>
      </w:pPr>
    </w:p>
    <w:p w14:paraId="5624293F">
      <w:pPr>
        <w:spacing w:line="463" w:lineRule="auto"/>
        <w:ind w:left="426" w:right="802" w:firstLine="455"/>
        <w:rPr>
          <w:rFonts w:hint="eastAsia" w:ascii="宋体" w:cs="宋体"/>
          <w:szCs w:val="21"/>
          <w:highlight w:val="none"/>
        </w:rPr>
      </w:pPr>
    </w:p>
    <w:p w14:paraId="63E36AC2">
      <w:pPr>
        <w:spacing w:line="463" w:lineRule="auto"/>
        <w:ind w:left="426" w:right="802" w:firstLine="455"/>
        <w:rPr>
          <w:rFonts w:hint="eastAsia" w:ascii="宋体" w:cs="宋体"/>
          <w:szCs w:val="21"/>
          <w:highlight w:val="none"/>
        </w:rPr>
      </w:pPr>
    </w:p>
    <w:p w14:paraId="3E6A4D44">
      <w:pPr>
        <w:spacing w:line="463" w:lineRule="auto"/>
        <w:ind w:left="426" w:right="802" w:firstLine="455"/>
        <w:rPr>
          <w:rFonts w:hint="eastAsia" w:ascii="宋体" w:cs="宋体"/>
          <w:szCs w:val="21"/>
          <w:highlight w:val="none"/>
        </w:rPr>
      </w:pPr>
    </w:p>
    <w:p w14:paraId="6DD85D50">
      <w:pPr>
        <w:spacing w:line="463" w:lineRule="auto"/>
        <w:ind w:left="426" w:right="802" w:firstLine="455"/>
        <w:rPr>
          <w:rFonts w:hint="eastAsia" w:ascii="宋体" w:cs="宋体"/>
          <w:szCs w:val="21"/>
          <w:highlight w:val="none"/>
        </w:rPr>
      </w:pPr>
    </w:p>
    <w:p w14:paraId="7DE4BF9C">
      <w:pPr>
        <w:spacing w:line="520" w:lineRule="exact"/>
        <w:ind w:left="540"/>
        <w:jc w:val="center"/>
        <w:rPr>
          <w:rFonts w:hint="eastAsia" w:ascii="宋体" w:hAnsi="宋体" w:cs="宋体"/>
          <w:b/>
          <w:sz w:val="32"/>
          <w:szCs w:val="32"/>
          <w:highlight w:val="none"/>
        </w:rPr>
      </w:pPr>
      <w:r>
        <w:rPr>
          <w:rFonts w:hint="eastAsia" w:ascii="宋体" w:hAnsi="宋体" w:cs="方正小标宋简体"/>
          <w:bCs/>
          <w:sz w:val="44"/>
          <w:szCs w:val="44"/>
          <w:highlight w:val="none"/>
        </w:rPr>
        <w:br w:type="page" w:clear="all"/>
      </w:r>
      <w:r>
        <w:rPr>
          <w:rFonts w:hint="eastAsia" w:ascii="宋体" w:hAnsi="宋体" w:cs="宋体"/>
          <w:b/>
          <w:sz w:val="32"/>
          <w:szCs w:val="32"/>
          <w:highlight w:val="none"/>
        </w:rPr>
        <w:t>8.法定代表人证明书</w:t>
      </w:r>
    </w:p>
    <w:p w14:paraId="7ABC6487">
      <w:pPr>
        <w:spacing w:line="520" w:lineRule="exact"/>
        <w:ind w:left="540"/>
        <w:rPr>
          <w:rFonts w:hint="eastAsia" w:ascii="宋体" w:hAnsi="宋体" w:cs="仿宋_GB2312"/>
          <w:sz w:val="32"/>
          <w:szCs w:val="32"/>
          <w:highlight w:val="none"/>
        </w:rPr>
      </w:pPr>
    </w:p>
    <w:p w14:paraId="7F4B45AA">
      <w:pPr>
        <w:spacing w:line="360" w:lineRule="auto"/>
        <w:ind w:left="540"/>
        <w:rPr>
          <w:rFonts w:hint="eastAsia" w:ascii="宋体" w:hAnsi="宋体" w:cs="仿宋_GB2312"/>
          <w:sz w:val="24"/>
          <w:highlight w:val="none"/>
        </w:rPr>
      </w:pPr>
      <w:r>
        <w:rPr>
          <w:rFonts w:hint="eastAsia" w:ascii="宋体" w:hAnsi="宋体" w:cs="仿宋_GB2312"/>
          <w:sz w:val="24"/>
          <w:highlight w:val="none"/>
        </w:rPr>
        <w:t>供应商名称：</w:t>
      </w:r>
      <w:r>
        <w:rPr>
          <w:rFonts w:hint="eastAsia" w:ascii="宋体" w:hAnsi="宋体" w:cs="仿宋_GB2312"/>
          <w:sz w:val="24"/>
          <w:highlight w:val="none"/>
          <w:u w:val="single"/>
        </w:rPr>
        <w:t xml:space="preserve">                                                  </w:t>
      </w:r>
    </w:p>
    <w:p w14:paraId="34F74890">
      <w:pPr>
        <w:spacing w:line="360" w:lineRule="auto"/>
        <w:ind w:left="540"/>
        <w:rPr>
          <w:rFonts w:hint="eastAsia" w:ascii="宋体" w:hAnsi="宋体" w:cs="仿宋_GB2312"/>
          <w:sz w:val="24"/>
          <w:highlight w:val="none"/>
        </w:rPr>
      </w:pPr>
      <w:r>
        <w:rPr>
          <w:rFonts w:hint="eastAsia" w:ascii="宋体" w:hAnsi="宋体" w:cs="仿宋_GB2312"/>
          <w:sz w:val="24"/>
          <w:highlight w:val="none"/>
        </w:rPr>
        <w:t>地    址：</w:t>
      </w:r>
      <w:r>
        <w:rPr>
          <w:rFonts w:hint="eastAsia" w:ascii="宋体" w:hAnsi="宋体" w:cs="仿宋_GB2312"/>
          <w:sz w:val="24"/>
          <w:highlight w:val="none"/>
          <w:u w:val="single"/>
        </w:rPr>
        <w:t xml:space="preserve">                                                    </w:t>
      </w:r>
    </w:p>
    <w:p w14:paraId="3B459FC3">
      <w:pPr>
        <w:spacing w:line="360" w:lineRule="auto"/>
        <w:ind w:left="540"/>
        <w:rPr>
          <w:rFonts w:hint="eastAsia" w:ascii="宋体" w:hAnsi="宋体" w:cs="仿宋_GB2312"/>
          <w:sz w:val="24"/>
          <w:highlight w:val="none"/>
        </w:rPr>
      </w:pPr>
      <w:r>
        <w:rPr>
          <w:rFonts w:hint="eastAsia" w:ascii="宋体" w:hAnsi="宋体" w:cs="仿宋_GB2312"/>
          <w:sz w:val="24"/>
          <w:highlight w:val="none"/>
        </w:rPr>
        <w:t>姓    名：</w:t>
      </w:r>
      <w:r>
        <w:rPr>
          <w:rFonts w:hint="eastAsia" w:ascii="宋体" w:hAnsi="宋体" w:cs="仿宋_GB2312"/>
          <w:sz w:val="24"/>
          <w:highlight w:val="none"/>
          <w:u w:val="single"/>
        </w:rPr>
        <w:t xml:space="preserve">                </w:t>
      </w:r>
      <w:r>
        <w:rPr>
          <w:rFonts w:hint="eastAsia" w:ascii="宋体" w:hAnsi="宋体" w:cs="仿宋_GB2312"/>
          <w:sz w:val="24"/>
          <w:highlight w:val="none"/>
        </w:rPr>
        <w:t>性     别：</w:t>
      </w:r>
      <w:r>
        <w:rPr>
          <w:rFonts w:hint="eastAsia" w:ascii="宋体" w:hAnsi="宋体" w:cs="仿宋_GB2312"/>
          <w:sz w:val="24"/>
          <w:highlight w:val="none"/>
          <w:u w:val="single"/>
        </w:rPr>
        <w:t xml:space="preserve">                </w:t>
      </w:r>
    </w:p>
    <w:p w14:paraId="531EB3EF">
      <w:pPr>
        <w:spacing w:line="360" w:lineRule="auto"/>
        <w:ind w:left="540"/>
        <w:rPr>
          <w:rFonts w:hint="eastAsia" w:ascii="宋体" w:hAnsi="宋体" w:cs="仿宋_GB2312"/>
          <w:sz w:val="24"/>
          <w:highlight w:val="none"/>
          <w:u w:val="single"/>
        </w:rPr>
      </w:pPr>
      <w:r>
        <w:rPr>
          <w:rFonts w:hint="eastAsia" w:ascii="宋体" w:hAnsi="宋体" w:cs="仿宋_GB2312"/>
          <w:sz w:val="24"/>
          <w:highlight w:val="none"/>
        </w:rPr>
        <w:t>年    龄：</w:t>
      </w:r>
      <w:r>
        <w:rPr>
          <w:rFonts w:hint="eastAsia" w:ascii="宋体" w:hAnsi="宋体" w:cs="仿宋_GB2312"/>
          <w:sz w:val="24"/>
          <w:highlight w:val="none"/>
          <w:u w:val="single"/>
        </w:rPr>
        <w:t xml:space="preserve">                </w:t>
      </w:r>
      <w:r>
        <w:rPr>
          <w:rFonts w:hint="eastAsia" w:ascii="宋体" w:hAnsi="宋体" w:cs="仿宋_GB2312"/>
          <w:sz w:val="24"/>
          <w:highlight w:val="none"/>
        </w:rPr>
        <w:t>职     务：</w:t>
      </w:r>
      <w:r>
        <w:rPr>
          <w:rFonts w:hint="eastAsia" w:ascii="宋体" w:hAnsi="宋体" w:cs="仿宋_GB2312"/>
          <w:sz w:val="24"/>
          <w:highlight w:val="none"/>
          <w:u w:val="single"/>
        </w:rPr>
        <w:t xml:space="preserve">                </w:t>
      </w:r>
    </w:p>
    <w:p w14:paraId="1A83C704">
      <w:pPr>
        <w:spacing w:line="360" w:lineRule="auto"/>
        <w:ind w:left="540"/>
        <w:rPr>
          <w:rFonts w:hint="eastAsia" w:ascii="宋体" w:hAnsi="宋体" w:cs="仿宋_GB2312"/>
          <w:sz w:val="24"/>
          <w:highlight w:val="none"/>
        </w:rPr>
      </w:pPr>
      <w:r>
        <w:rPr>
          <w:rFonts w:hint="eastAsia" w:ascii="宋体" w:hAnsi="宋体" w:cs="仿宋_GB2312"/>
          <w:sz w:val="24"/>
          <w:highlight w:val="none"/>
        </w:rPr>
        <w:t>身份证号码：</w:t>
      </w:r>
      <w:r>
        <w:rPr>
          <w:rFonts w:hint="eastAsia" w:ascii="宋体" w:hAnsi="宋体" w:cs="仿宋_GB2312"/>
          <w:sz w:val="24"/>
          <w:highlight w:val="none"/>
          <w:u w:val="single"/>
        </w:rPr>
        <w:t xml:space="preserve">                                        </w:t>
      </w:r>
    </w:p>
    <w:p w14:paraId="6B187F55">
      <w:pPr>
        <w:spacing w:line="360" w:lineRule="auto"/>
        <w:ind w:firstLine="480"/>
        <w:rPr>
          <w:rFonts w:hint="eastAsia" w:ascii="宋体" w:hAnsi="宋体" w:cs="仿宋_GB2312"/>
          <w:sz w:val="24"/>
          <w:highlight w:val="none"/>
        </w:rPr>
      </w:pP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w:t>
      </w:r>
      <w:r>
        <w:rPr>
          <w:rFonts w:hint="eastAsia" w:ascii="宋体" w:hAnsi="宋体" w:cs="仿宋_GB2312"/>
          <w:sz w:val="24"/>
          <w:highlight w:val="none"/>
        </w:rPr>
        <w:t>的法定代表人。</w:t>
      </w:r>
    </w:p>
    <w:p w14:paraId="752A2F06">
      <w:pPr>
        <w:spacing w:line="360" w:lineRule="auto"/>
        <w:ind w:left="540"/>
        <w:rPr>
          <w:rFonts w:hint="eastAsia" w:ascii="宋体" w:hAnsi="宋体" w:cs="仿宋_GB2312"/>
          <w:sz w:val="24"/>
          <w:highlight w:val="none"/>
        </w:rPr>
      </w:pPr>
      <w:r>
        <w:rPr>
          <w:rFonts w:hint="eastAsia" w:ascii="宋体" w:hAnsi="宋体" w:cs="仿宋_GB2312"/>
          <w:sz w:val="24"/>
          <w:highlight w:val="none"/>
        </w:rPr>
        <w:t>特此证明。</w:t>
      </w:r>
    </w:p>
    <w:p w14:paraId="5EAFE91E">
      <w:pPr>
        <w:spacing w:line="360" w:lineRule="auto"/>
        <w:ind w:left="540"/>
        <w:rPr>
          <w:rFonts w:hint="eastAsia" w:ascii="宋体" w:hAnsi="宋体" w:cs="仿宋_GB2312"/>
          <w:sz w:val="24"/>
          <w:highlight w:val="none"/>
        </w:rPr>
      </w:pPr>
    </w:p>
    <w:p w14:paraId="7970B871">
      <w:pPr>
        <w:spacing w:line="360" w:lineRule="auto"/>
        <w:ind w:left="540"/>
        <w:rPr>
          <w:rFonts w:hint="eastAsia" w:ascii="宋体" w:hAnsi="宋体" w:cs="仿宋_GB2312"/>
          <w:sz w:val="24"/>
          <w:highlight w:val="none"/>
        </w:rPr>
      </w:pPr>
    </w:p>
    <w:p w14:paraId="36A04EC7">
      <w:pPr>
        <w:spacing w:line="360" w:lineRule="auto"/>
        <w:ind w:left="540"/>
        <w:rPr>
          <w:rFonts w:hint="eastAsia" w:ascii="宋体" w:hAnsi="宋体" w:cs="仿宋_GB2312"/>
          <w:sz w:val="24"/>
          <w:highlight w:val="none"/>
        </w:rPr>
      </w:pPr>
    </w:p>
    <w:p w14:paraId="25125D3B">
      <w:pPr>
        <w:spacing w:line="360" w:lineRule="auto"/>
        <w:ind w:left="540"/>
        <w:rPr>
          <w:rFonts w:hint="eastAsia" w:ascii="宋体" w:hAnsi="宋体" w:cs="仿宋_GB2312"/>
          <w:sz w:val="24"/>
          <w:highlight w:val="none"/>
        </w:rPr>
      </w:pPr>
      <w:r>
        <w:rPr>
          <w:rFonts w:hint="eastAsia" w:ascii="宋体" w:hAnsi="宋体" w:cs="仿宋_GB2312"/>
          <w:sz w:val="24"/>
          <w:highlight w:val="none"/>
        </w:rPr>
        <w:t>附件：法定代表人有效身份证正反面复印件</w:t>
      </w:r>
    </w:p>
    <w:p w14:paraId="175E3425">
      <w:pPr>
        <w:spacing w:line="360" w:lineRule="auto"/>
        <w:ind w:left="540"/>
        <w:rPr>
          <w:rFonts w:hint="eastAsia" w:ascii="宋体" w:hAnsi="宋体" w:cs="仿宋_GB2312"/>
          <w:sz w:val="24"/>
          <w:highlight w:val="none"/>
        </w:rPr>
      </w:pPr>
    </w:p>
    <w:p w14:paraId="6FA15819">
      <w:pPr>
        <w:spacing w:line="360" w:lineRule="auto"/>
        <w:ind w:left="540" w:firstLine="2880"/>
        <w:rPr>
          <w:rFonts w:hint="eastAsia" w:ascii="宋体" w:hAnsi="宋体" w:cs="仿宋_GB2312"/>
          <w:sz w:val="24"/>
          <w:highlight w:val="none"/>
        </w:rPr>
      </w:pPr>
      <w:r>
        <w:rPr>
          <w:rFonts w:hint="eastAsia" w:ascii="宋体" w:hAnsi="宋体" w:cs="仿宋_GB2312"/>
          <w:sz w:val="24"/>
          <w:highlight w:val="none"/>
        </w:rPr>
        <w:t>供应商（电子签章）：</w:t>
      </w:r>
      <w:r>
        <w:rPr>
          <w:rFonts w:hint="eastAsia" w:ascii="宋体" w:hAnsi="宋体" w:cs="仿宋_GB2312"/>
          <w:sz w:val="24"/>
          <w:highlight w:val="none"/>
          <w:u w:val="single"/>
        </w:rPr>
        <w:t xml:space="preserve">               </w:t>
      </w:r>
    </w:p>
    <w:p w14:paraId="63B3C57C">
      <w:pPr>
        <w:spacing w:after="50" w:line="360" w:lineRule="auto"/>
        <w:ind w:firstLine="4080"/>
        <w:rPr>
          <w:rFonts w:hint="eastAsia" w:ascii="宋体" w:hAnsi="宋体" w:cs="仿宋_GB2312"/>
          <w:sz w:val="24"/>
          <w:highlight w:val="none"/>
        </w:rPr>
      </w:pPr>
      <w:r>
        <w:rPr>
          <w:rFonts w:hint="eastAsia" w:ascii="宋体" w:hAnsi="宋体" w:cs="仿宋_GB2312"/>
          <w:sz w:val="24"/>
          <w:highlight w:val="none"/>
          <w:u w:val="single"/>
        </w:rPr>
        <w:t xml:space="preserve">     </w:t>
      </w:r>
      <w:r>
        <w:rPr>
          <w:rFonts w:hint="eastAsia" w:ascii="宋体" w:hAnsi="宋体" w:cs="仿宋_GB2312"/>
          <w:sz w:val="24"/>
          <w:highlight w:val="none"/>
        </w:rPr>
        <w:t>年</w:t>
      </w:r>
      <w:r>
        <w:rPr>
          <w:rFonts w:hint="eastAsia" w:ascii="宋体" w:hAnsi="宋体" w:cs="仿宋_GB2312"/>
          <w:sz w:val="24"/>
          <w:highlight w:val="none"/>
          <w:u w:val="single"/>
        </w:rPr>
        <w:t xml:space="preserve">     </w:t>
      </w:r>
      <w:r>
        <w:rPr>
          <w:rFonts w:hint="eastAsia" w:ascii="宋体" w:hAnsi="宋体" w:cs="仿宋_GB2312"/>
          <w:sz w:val="24"/>
          <w:highlight w:val="none"/>
        </w:rPr>
        <w:t>月</w:t>
      </w:r>
      <w:r>
        <w:rPr>
          <w:rFonts w:hint="eastAsia" w:ascii="宋体" w:hAnsi="宋体" w:cs="仿宋_GB2312"/>
          <w:sz w:val="24"/>
          <w:highlight w:val="none"/>
          <w:u w:val="single"/>
        </w:rPr>
        <w:t xml:space="preserve">     </w:t>
      </w:r>
      <w:r>
        <w:rPr>
          <w:rFonts w:hint="eastAsia" w:ascii="宋体" w:hAnsi="宋体" w:cs="仿宋_GB2312"/>
          <w:sz w:val="24"/>
          <w:highlight w:val="none"/>
        </w:rPr>
        <w:t>日</w:t>
      </w:r>
    </w:p>
    <w:p w14:paraId="792D9CD0">
      <w:pPr>
        <w:spacing w:after="50" w:line="360" w:lineRule="auto"/>
        <w:jc w:val="center"/>
        <w:rPr>
          <w:rFonts w:hint="eastAsia" w:ascii="宋体" w:hAnsi="宋体" w:cs="仿宋_GB2312"/>
          <w:b/>
          <w:sz w:val="24"/>
          <w:highlight w:val="none"/>
        </w:rPr>
      </w:pPr>
    </w:p>
    <w:p w14:paraId="4F17B379">
      <w:pPr>
        <w:spacing w:after="50" w:line="360" w:lineRule="auto"/>
        <w:rPr>
          <w:rFonts w:hint="eastAsia" w:ascii="宋体" w:hAnsi="宋体" w:cs="仿宋_GB2312"/>
          <w:sz w:val="24"/>
          <w:highlight w:val="none"/>
        </w:rPr>
      </w:pPr>
    </w:p>
    <w:p w14:paraId="0FF7AA1D">
      <w:pPr>
        <w:spacing w:after="50" w:line="360" w:lineRule="auto"/>
        <w:ind w:firstLine="480"/>
        <w:rPr>
          <w:rFonts w:hint="eastAsia" w:ascii="宋体" w:hAnsi="宋体" w:cs="仿宋_GB2312"/>
          <w:sz w:val="24"/>
          <w:highlight w:val="none"/>
        </w:rPr>
      </w:pPr>
    </w:p>
    <w:p w14:paraId="6BD1882C">
      <w:pPr>
        <w:spacing w:after="50" w:line="360" w:lineRule="auto"/>
        <w:ind w:firstLine="480"/>
        <w:rPr>
          <w:rFonts w:hint="eastAsia" w:ascii="宋体" w:hAnsi="宋体" w:cs="仿宋_GB2312"/>
          <w:sz w:val="24"/>
          <w:highlight w:val="none"/>
        </w:rPr>
      </w:pPr>
    </w:p>
    <w:p w14:paraId="49E26B3A">
      <w:pPr>
        <w:spacing w:after="50" w:line="360" w:lineRule="auto"/>
        <w:ind w:firstLine="480"/>
        <w:rPr>
          <w:rFonts w:hint="eastAsia" w:ascii="宋体" w:hAnsi="宋体" w:cs="仿宋_GB2312"/>
          <w:sz w:val="24"/>
          <w:highlight w:val="none"/>
        </w:rPr>
      </w:pPr>
    </w:p>
    <w:p w14:paraId="1B3297AD">
      <w:pPr>
        <w:spacing w:after="50" w:line="360" w:lineRule="auto"/>
        <w:ind w:firstLine="480"/>
        <w:rPr>
          <w:rFonts w:hint="eastAsia" w:ascii="宋体" w:hAnsi="宋体" w:cs="仿宋_GB2312"/>
          <w:sz w:val="24"/>
          <w:highlight w:val="none"/>
        </w:rPr>
      </w:pPr>
    </w:p>
    <w:p w14:paraId="7A6E8685">
      <w:pPr>
        <w:spacing w:after="50" w:line="360" w:lineRule="auto"/>
        <w:ind w:firstLine="480"/>
        <w:rPr>
          <w:rFonts w:hint="eastAsia" w:ascii="宋体" w:hAnsi="宋体" w:cs="仿宋_GB2312"/>
          <w:sz w:val="24"/>
          <w:highlight w:val="none"/>
        </w:rPr>
      </w:pPr>
    </w:p>
    <w:p w14:paraId="627F23E1">
      <w:pPr>
        <w:spacing w:after="50" w:line="360" w:lineRule="auto"/>
        <w:ind w:firstLine="480"/>
        <w:rPr>
          <w:rFonts w:hint="eastAsia" w:ascii="宋体" w:hAnsi="宋体" w:cs="仿宋_GB2312"/>
          <w:sz w:val="24"/>
          <w:highlight w:val="none"/>
        </w:rPr>
      </w:pPr>
    </w:p>
    <w:p w14:paraId="2360B610">
      <w:pPr>
        <w:spacing w:after="50" w:line="360" w:lineRule="auto"/>
        <w:ind w:firstLine="480"/>
        <w:rPr>
          <w:rFonts w:hint="eastAsia" w:ascii="宋体" w:hAnsi="宋体" w:cs="仿宋_GB2312"/>
          <w:sz w:val="24"/>
          <w:highlight w:val="none"/>
        </w:rPr>
      </w:pPr>
    </w:p>
    <w:p w14:paraId="3F563EE2">
      <w:pPr>
        <w:spacing w:after="50" w:line="360" w:lineRule="auto"/>
        <w:ind w:firstLine="643"/>
        <w:rPr>
          <w:rFonts w:hint="eastAsia" w:ascii="宋体" w:hAnsi="宋体" w:cs="仿宋_GB2312"/>
          <w:b/>
          <w:sz w:val="32"/>
          <w:szCs w:val="32"/>
          <w:highlight w:val="none"/>
        </w:rPr>
      </w:pPr>
    </w:p>
    <w:p w14:paraId="3F3AA09F">
      <w:pPr>
        <w:spacing w:line="520" w:lineRule="exact"/>
        <w:jc w:val="center"/>
        <w:rPr>
          <w:rFonts w:hint="eastAsia" w:ascii="宋体" w:hAnsi="宋体" w:cs="宋体"/>
          <w:sz w:val="32"/>
          <w:szCs w:val="32"/>
          <w:highlight w:val="none"/>
        </w:rPr>
      </w:pPr>
      <w:r>
        <w:rPr>
          <w:rFonts w:hint="eastAsia" w:ascii="宋体" w:hAnsi="宋体" w:cs="宋体"/>
          <w:sz w:val="32"/>
          <w:szCs w:val="32"/>
          <w:highlight w:val="none"/>
        </w:rPr>
        <w:t>9.法定代表人授权委托书</w:t>
      </w:r>
    </w:p>
    <w:p w14:paraId="2B4742B1">
      <w:pPr>
        <w:spacing w:line="520" w:lineRule="exact"/>
        <w:jc w:val="center"/>
        <w:rPr>
          <w:rFonts w:hint="eastAsia" w:ascii="宋体" w:hAnsi="宋体" w:cs="方正小标宋简体"/>
          <w:sz w:val="44"/>
          <w:szCs w:val="44"/>
          <w:highlight w:val="none"/>
        </w:rPr>
      </w:pPr>
      <w:r>
        <w:rPr>
          <w:rFonts w:hint="eastAsia" w:ascii="宋体" w:hAnsi="宋体" w:cs="宋体"/>
          <w:sz w:val="32"/>
          <w:szCs w:val="32"/>
          <w:highlight w:val="none"/>
        </w:rPr>
        <w:t>（如有委托时）</w:t>
      </w:r>
    </w:p>
    <w:p w14:paraId="66DF0323">
      <w:pPr>
        <w:spacing w:line="520" w:lineRule="exact"/>
        <w:rPr>
          <w:rFonts w:hint="eastAsia" w:ascii="宋体" w:hAnsi="宋体" w:cs="仿宋_GB2312"/>
          <w:sz w:val="32"/>
          <w:szCs w:val="32"/>
          <w:highlight w:val="none"/>
        </w:rPr>
      </w:pPr>
    </w:p>
    <w:p w14:paraId="3CF28CED">
      <w:pPr>
        <w:widowControl/>
        <w:spacing w:line="360" w:lineRule="auto"/>
        <w:rPr>
          <w:rFonts w:hint="eastAsia" w:ascii="宋体" w:hAnsi="宋体" w:cs="仿宋_GB2312"/>
          <w:sz w:val="24"/>
          <w:highlight w:val="none"/>
        </w:rPr>
      </w:pPr>
      <w:r>
        <w:rPr>
          <w:rFonts w:hint="eastAsia" w:ascii="宋体" w:hAnsi="宋体" w:cs="仿宋_GB2312"/>
          <w:sz w:val="24"/>
          <w:highlight w:val="none"/>
        </w:rPr>
        <w:t>致：</w:t>
      </w:r>
      <w:r>
        <w:rPr>
          <w:rFonts w:hint="eastAsia" w:ascii="宋体" w:hAnsi="宋体" w:cs="仿宋_GB2312"/>
          <w:sz w:val="24"/>
          <w:highlight w:val="none"/>
          <w:u w:val="single"/>
        </w:rPr>
        <w:t>（采购人名称）</w:t>
      </w:r>
      <w:r>
        <w:rPr>
          <w:rFonts w:hint="eastAsia" w:ascii="宋体" w:hAnsi="宋体" w:cs="仿宋_GB2312"/>
          <w:sz w:val="24"/>
          <w:highlight w:val="none"/>
        </w:rPr>
        <w:t>：</w:t>
      </w:r>
    </w:p>
    <w:p w14:paraId="57A251DD">
      <w:pPr>
        <w:widowControl/>
        <w:spacing w:line="360" w:lineRule="auto"/>
        <w:ind w:firstLine="420"/>
        <w:rPr>
          <w:rFonts w:hint="eastAsia" w:ascii="宋体" w:hAnsi="宋体" w:cs="仿宋_GB2312"/>
          <w:sz w:val="24"/>
          <w:highlight w:val="none"/>
        </w:rPr>
      </w:pPr>
      <w:r>
        <w:rPr>
          <w:rFonts w:hint="eastAsia" w:ascii="宋体" w:hAnsi="宋体" w:cs="仿宋_GB2312"/>
          <w:sz w:val="24"/>
          <w:highlight w:val="none"/>
        </w:rPr>
        <w:t>我</w:t>
      </w:r>
      <w:r>
        <w:rPr>
          <w:rFonts w:hint="eastAsia" w:ascii="宋体" w:hAnsi="宋体" w:cs="仿宋_GB2312"/>
          <w:sz w:val="24"/>
          <w:highlight w:val="none"/>
          <w:u w:val="single"/>
        </w:rPr>
        <w:t xml:space="preserve">  （姓名）  </w:t>
      </w:r>
      <w:r>
        <w:rPr>
          <w:rFonts w:hint="eastAsia" w:ascii="宋体" w:hAnsi="宋体" w:cs="仿宋_GB2312"/>
          <w:sz w:val="24"/>
          <w:highlight w:val="none"/>
        </w:rPr>
        <w:t>系</w:t>
      </w:r>
      <w:r>
        <w:rPr>
          <w:rFonts w:hint="eastAsia" w:ascii="宋体" w:hAnsi="宋体" w:cs="仿宋_GB2312"/>
          <w:sz w:val="24"/>
          <w:highlight w:val="none"/>
          <w:u w:val="single"/>
        </w:rPr>
        <w:t xml:space="preserve">  （供应商名称）  </w:t>
      </w:r>
      <w:r>
        <w:rPr>
          <w:rFonts w:hint="eastAsia" w:ascii="宋体" w:hAnsi="宋体" w:cs="仿宋_GB2312"/>
          <w:sz w:val="24"/>
          <w:highlight w:val="none"/>
        </w:rPr>
        <w:t>的（</w:t>
      </w:r>
      <w:r>
        <w:rPr>
          <w:rFonts w:hint="eastAsia" w:ascii="宋体" w:hAnsi="宋体" w:cs="仿宋_GB2312"/>
          <w:sz w:val="24"/>
          <w:highlight w:val="none"/>
          <w:u w:val="single"/>
        </w:rPr>
        <w:t>□法定代表人/□负责人/□自然人本人</w:t>
      </w:r>
      <w:r>
        <w:rPr>
          <w:rFonts w:hint="eastAsia" w:ascii="宋体" w:hAnsi="宋体" w:cs="仿宋_GB2312"/>
          <w:sz w:val="24"/>
          <w:highlight w:val="none"/>
        </w:rPr>
        <w:t>），现授权</w:t>
      </w:r>
      <w:r>
        <w:rPr>
          <w:rFonts w:hint="eastAsia" w:ascii="宋体" w:hAnsi="宋体" w:cs="仿宋_GB2312"/>
          <w:sz w:val="24"/>
          <w:highlight w:val="none"/>
          <w:u w:val="single"/>
        </w:rPr>
        <w:t xml:space="preserve"> （姓名） </w:t>
      </w:r>
      <w:r>
        <w:rPr>
          <w:rFonts w:hint="eastAsia" w:ascii="宋体" w:hAnsi="宋体" w:cs="仿宋_GB2312"/>
          <w:sz w:val="24"/>
          <w:highlight w:val="none"/>
        </w:rPr>
        <w:t>以</w:t>
      </w:r>
      <w:bookmarkStart w:id="248" w:name="REVIEW_BM_1257"/>
      <w:r>
        <w:rPr>
          <w:rFonts w:hint="eastAsia" w:ascii="宋体" w:hAnsi="宋体" w:cs="仿宋_GB2312"/>
          <w:sz w:val="24"/>
          <w:highlight w:val="none"/>
        </w:rPr>
        <w:t>我方</w:t>
      </w:r>
      <w:bookmarkEnd w:id="248"/>
      <w:r>
        <w:rPr>
          <w:rFonts w:hint="eastAsia" w:ascii="宋体" w:hAnsi="宋体" w:cs="仿宋_GB2312"/>
          <w:sz w:val="24"/>
          <w:highlight w:val="none"/>
        </w:rPr>
        <w:t>的名义参加</w:t>
      </w:r>
      <w:r>
        <w:rPr>
          <w:rFonts w:hint="eastAsia" w:ascii="宋体" w:hAnsi="宋体" w:cs="仿宋_GB2312"/>
          <w:sz w:val="24"/>
          <w:highlight w:val="none"/>
          <w:u w:val="single"/>
        </w:rPr>
        <w:t xml:space="preserve">              </w:t>
      </w:r>
      <w:r>
        <w:rPr>
          <w:rFonts w:hint="eastAsia" w:ascii="宋体" w:hAnsi="宋体" w:cs="仿宋_GB2312"/>
          <w:sz w:val="24"/>
          <w:highlight w:val="none"/>
        </w:rPr>
        <w:t>项目的竞标活动，并代表</w:t>
      </w:r>
      <w:bookmarkStart w:id="249" w:name="REVIEW_BM_1258"/>
      <w:r>
        <w:rPr>
          <w:rFonts w:hint="eastAsia" w:ascii="宋体" w:hAnsi="宋体" w:cs="仿宋_GB2312"/>
          <w:sz w:val="24"/>
          <w:highlight w:val="none"/>
        </w:rPr>
        <w:t>我方</w:t>
      </w:r>
      <w:bookmarkEnd w:id="249"/>
      <w:r>
        <w:rPr>
          <w:rFonts w:hint="eastAsia" w:ascii="宋体" w:hAnsi="宋体" w:cs="仿宋_GB2312"/>
          <w:sz w:val="24"/>
          <w:highlight w:val="none"/>
        </w:rPr>
        <w:t>全权办理针对上述项目的所有采购程序和环节的具体事务和签署相关文件。</w:t>
      </w:r>
    </w:p>
    <w:p w14:paraId="25198353">
      <w:pPr>
        <w:widowControl/>
        <w:spacing w:line="360" w:lineRule="auto"/>
        <w:rPr>
          <w:rFonts w:hint="eastAsia" w:ascii="宋体" w:hAnsi="宋体" w:cs="仿宋_GB2312"/>
          <w:sz w:val="24"/>
          <w:highlight w:val="none"/>
        </w:rPr>
      </w:pPr>
      <w:r>
        <w:rPr>
          <w:rFonts w:hint="eastAsia" w:ascii="宋体" w:hAnsi="宋体" w:cs="仿宋_GB2312"/>
          <w:sz w:val="24"/>
          <w:highlight w:val="none"/>
        </w:rPr>
        <w:t xml:space="preserve">    </w:t>
      </w:r>
      <w:bookmarkStart w:id="250" w:name="REVIEW_BM_1259"/>
      <w:r>
        <w:rPr>
          <w:rFonts w:hint="eastAsia" w:ascii="宋体" w:hAnsi="宋体" w:cs="仿宋_GB2312"/>
          <w:sz w:val="24"/>
          <w:highlight w:val="none"/>
        </w:rPr>
        <w:t>我方</w:t>
      </w:r>
      <w:bookmarkEnd w:id="250"/>
      <w:r>
        <w:rPr>
          <w:rFonts w:hint="eastAsia" w:ascii="宋体" w:hAnsi="宋体" w:cs="仿宋_GB2312"/>
          <w:sz w:val="24"/>
          <w:highlight w:val="none"/>
        </w:rPr>
        <w:t>对委托代理人的签字事项负全部责任。</w:t>
      </w:r>
    </w:p>
    <w:p w14:paraId="348B1E47">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本授权书自签署之日起生效，在撤销授权的书面通知以前，本授权书一直有效。委托代理人在授权书有效期内签署的所有文件不因授权的撤销而失效。</w:t>
      </w:r>
    </w:p>
    <w:p w14:paraId="25C56612">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委托代理人无转委托权，特此委托。</w:t>
      </w:r>
    </w:p>
    <w:p w14:paraId="654DFDA7">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附：法定代表人身份证明书及委托代理人有效身份证正反面复印件</w:t>
      </w:r>
    </w:p>
    <w:p w14:paraId="0CF9B909">
      <w:pPr>
        <w:widowControl/>
        <w:spacing w:line="360" w:lineRule="auto"/>
        <w:rPr>
          <w:rFonts w:hint="eastAsia" w:ascii="宋体" w:hAnsi="宋体" w:cs="仿宋_GB2312"/>
          <w:sz w:val="24"/>
          <w:highlight w:val="none"/>
        </w:rPr>
      </w:pPr>
    </w:p>
    <w:p w14:paraId="4B0E3858">
      <w:pPr>
        <w:widowControl/>
        <w:spacing w:line="360" w:lineRule="auto"/>
        <w:ind w:firstLine="420"/>
        <w:rPr>
          <w:rFonts w:hint="eastAsia" w:ascii="宋体" w:hAnsi="宋体" w:cs="仿宋_GB2312"/>
          <w:sz w:val="24"/>
          <w:highlight w:val="none"/>
        </w:rPr>
      </w:pPr>
      <w:r>
        <w:rPr>
          <w:rFonts w:hint="eastAsia" w:ascii="宋体" w:hAnsi="宋体" w:cs="仿宋_GB2312"/>
          <w:sz w:val="24"/>
          <w:highlight w:val="none"/>
        </w:rPr>
        <w:t xml:space="preserve">委托代理人（签字）：         </w:t>
      </w:r>
      <w:r>
        <w:rPr>
          <w:rFonts w:hint="eastAsia" w:ascii="宋体" w:hAnsi="宋体" w:cs="仿宋_GB2312"/>
          <w:sz w:val="24"/>
          <w:highlight w:val="none"/>
        </w:rPr>
        <w:tab/>
      </w:r>
      <w:r>
        <w:rPr>
          <w:rFonts w:hint="eastAsia" w:ascii="宋体" w:hAnsi="宋体" w:cs="仿宋_GB2312"/>
          <w:sz w:val="24"/>
          <w:highlight w:val="none"/>
        </w:rPr>
        <w:t xml:space="preserve">法定代表人（签字）：                    </w:t>
      </w:r>
    </w:p>
    <w:p w14:paraId="45A52808">
      <w:pPr>
        <w:widowControl/>
        <w:spacing w:line="360" w:lineRule="auto"/>
        <w:ind w:firstLine="420"/>
        <w:rPr>
          <w:rFonts w:hint="eastAsia" w:ascii="宋体" w:hAnsi="宋体" w:cs="仿宋_GB2312"/>
          <w:sz w:val="24"/>
          <w:highlight w:val="none"/>
        </w:rPr>
      </w:pPr>
      <w:r>
        <w:rPr>
          <w:rFonts w:hint="eastAsia" w:ascii="宋体" w:hAnsi="宋体" w:cs="仿宋_GB2312"/>
          <w:sz w:val="24"/>
          <w:highlight w:val="none"/>
        </w:rPr>
        <w:t xml:space="preserve">委托代理人身份证号码：                              </w:t>
      </w:r>
    </w:p>
    <w:p w14:paraId="0BC4E198">
      <w:pPr>
        <w:widowControl/>
        <w:spacing w:line="360" w:lineRule="auto"/>
        <w:rPr>
          <w:rFonts w:hint="eastAsia" w:ascii="宋体" w:hAnsi="宋体" w:cs="仿宋_GB2312"/>
          <w:sz w:val="24"/>
          <w:highlight w:val="none"/>
        </w:rPr>
      </w:pPr>
      <w:r>
        <w:rPr>
          <w:rFonts w:hint="eastAsia" w:ascii="宋体" w:hAnsi="宋体" w:cs="仿宋_GB2312"/>
          <w:sz w:val="24"/>
          <w:highlight w:val="none"/>
        </w:rPr>
        <w:t xml:space="preserve">                                </w:t>
      </w:r>
    </w:p>
    <w:p w14:paraId="0CC62468">
      <w:pPr>
        <w:widowControl/>
        <w:spacing w:line="360" w:lineRule="auto"/>
        <w:rPr>
          <w:rFonts w:hint="eastAsia" w:ascii="宋体" w:hAnsi="宋体" w:cs="仿宋_GB2312"/>
          <w:sz w:val="24"/>
          <w:highlight w:val="none"/>
        </w:rPr>
      </w:pPr>
      <w:r>
        <w:rPr>
          <w:rFonts w:hint="eastAsia" w:ascii="宋体" w:hAnsi="宋体" w:cs="仿宋_GB2312"/>
          <w:sz w:val="24"/>
          <w:highlight w:val="none"/>
        </w:rPr>
        <w:t xml:space="preserve">                      </w:t>
      </w:r>
      <w:r>
        <w:rPr>
          <w:rFonts w:hint="eastAsia" w:ascii="宋体" w:hAnsi="宋体" w:cs="仿宋_GB2312"/>
          <w:sz w:val="24"/>
          <w:highlight w:val="none"/>
          <w:lang w:val="en-US" w:eastAsia="zh-CN"/>
        </w:rPr>
        <w:t xml:space="preserve">          </w:t>
      </w:r>
      <w:r>
        <w:rPr>
          <w:rFonts w:hint="eastAsia" w:ascii="宋体" w:hAnsi="宋体" w:cs="仿宋_GB2312"/>
          <w:sz w:val="24"/>
          <w:highlight w:val="none"/>
        </w:rPr>
        <w:t xml:space="preserve">   供应商（电子签章）：                      </w:t>
      </w:r>
    </w:p>
    <w:p w14:paraId="205683CF">
      <w:pPr>
        <w:widowControl/>
        <w:spacing w:line="360" w:lineRule="auto"/>
        <w:rPr>
          <w:rFonts w:hint="eastAsia" w:ascii="宋体" w:hAnsi="宋体" w:cs="仿宋_GB2312"/>
          <w:sz w:val="24"/>
          <w:highlight w:val="none"/>
        </w:rPr>
      </w:pPr>
      <w:r>
        <w:rPr>
          <w:rFonts w:hint="eastAsia" w:ascii="宋体" w:hAnsi="宋体" w:cs="仿宋_GB2312"/>
          <w:sz w:val="24"/>
          <w:highlight w:val="none"/>
        </w:rPr>
        <w:t xml:space="preserve">                                         年    月    日</w:t>
      </w:r>
    </w:p>
    <w:p w14:paraId="176D8EE7">
      <w:pPr>
        <w:spacing w:line="360" w:lineRule="auto"/>
        <w:rPr>
          <w:rFonts w:hint="eastAsia" w:ascii="宋体" w:hAnsi="宋体" w:cs="仿宋_GB2312"/>
          <w:sz w:val="24"/>
          <w:highlight w:val="none"/>
        </w:rPr>
      </w:pPr>
    </w:p>
    <w:p w14:paraId="5CFDB569">
      <w:pPr>
        <w:spacing w:after="50" w:line="360" w:lineRule="auto"/>
        <w:ind w:firstLine="643"/>
        <w:rPr>
          <w:rFonts w:hint="eastAsia" w:ascii="宋体" w:hAnsi="宋体" w:cs="仿宋_GB2312"/>
          <w:b/>
          <w:sz w:val="32"/>
          <w:szCs w:val="32"/>
          <w:highlight w:val="none"/>
        </w:rPr>
      </w:pPr>
    </w:p>
    <w:p w14:paraId="345D8D80">
      <w:pPr>
        <w:spacing w:after="50" w:line="360" w:lineRule="auto"/>
        <w:ind w:firstLine="643"/>
        <w:rPr>
          <w:rFonts w:hint="eastAsia" w:ascii="宋体" w:hAnsi="宋体" w:cs="仿宋_GB2312"/>
          <w:b/>
          <w:sz w:val="32"/>
          <w:szCs w:val="32"/>
          <w:highlight w:val="none"/>
        </w:rPr>
      </w:pPr>
    </w:p>
    <w:p w14:paraId="7A759449">
      <w:pPr>
        <w:spacing w:after="50" w:line="360" w:lineRule="auto"/>
        <w:ind w:firstLine="643"/>
        <w:rPr>
          <w:rFonts w:hint="eastAsia" w:ascii="宋体" w:hAnsi="宋体" w:cs="仿宋_GB2312"/>
          <w:b/>
          <w:sz w:val="32"/>
          <w:szCs w:val="32"/>
          <w:highlight w:val="none"/>
        </w:rPr>
      </w:pPr>
    </w:p>
    <w:p w14:paraId="35A6A6A0">
      <w:pPr>
        <w:spacing w:after="50" w:line="360" w:lineRule="auto"/>
        <w:ind w:firstLine="643"/>
        <w:rPr>
          <w:rFonts w:hint="eastAsia" w:ascii="宋体" w:hAnsi="宋体" w:cs="仿宋_GB2312"/>
          <w:b/>
          <w:sz w:val="32"/>
          <w:szCs w:val="32"/>
          <w:highlight w:val="none"/>
        </w:rPr>
      </w:pPr>
    </w:p>
    <w:p w14:paraId="79F4BA83">
      <w:pPr>
        <w:rPr>
          <w:rFonts w:hint="eastAsia"/>
          <w:highlight w:val="none"/>
        </w:rPr>
      </w:pPr>
    </w:p>
    <w:p w14:paraId="236ECBAA">
      <w:pPr>
        <w:rPr>
          <w:rFonts w:hint="eastAsia"/>
          <w:highlight w:val="none"/>
        </w:rPr>
      </w:pPr>
    </w:p>
    <w:p w14:paraId="1BAB3256">
      <w:pPr>
        <w:rPr>
          <w:rFonts w:hint="eastAsia"/>
          <w:highlight w:val="none"/>
        </w:rPr>
      </w:pPr>
    </w:p>
    <w:p w14:paraId="6EAA0894">
      <w:pPr>
        <w:spacing w:after="50" w:line="360" w:lineRule="auto"/>
        <w:ind w:firstLine="643"/>
        <w:rPr>
          <w:rFonts w:hint="eastAsia" w:ascii="宋体" w:hAnsi="宋体" w:cs="仿宋_GB2312"/>
          <w:b/>
          <w:sz w:val="32"/>
          <w:szCs w:val="32"/>
          <w:highlight w:val="none"/>
        </w:rPr>
      </w:pPr>
    </w:p>
    <w:p w14:paraId="2F0E5A92">
      <w:pPr>
        <w:pStyle w:val="20"/>
        <w:spacing w:before="34"/>
        <w:ind w:right="803"/>
        <w:jc w:val="center"/>
        <w:rPr>
          <w:b/>
          <w:bCs/>
          <w:sz w:val="28"/>
          <w:szCs w:val="28"/>
          <w:highlight w:val="none"/>
        </w:rPr>
      </w:pPr>
      <w:r>
        <w:rPr>
          <w:rFonts w:hint="eastAsia"/>
          <w:b/>
          <w:bCs/>
          <w:sz w:val="28"/>
          <w:szCs w:val="28"/>
          <w:highlight w:val="none"/>
        </w:rPr>
        <w:br w:type="page" w:clear="all"/>
      </w:r>
      <w:r>
        <w:rPr>
          <w:rFonts w:hint="eastAsia"/>
          <w:b/>
          <w:bCs/>
          <w:sz w:val="28"/>
          <w:szCs w:val="28"/>
          <w:highlight w:val="none"/>
        </w:rPr>
        <w:t>广西壮族自治区建筑工程安全文明施工措施项目清单内容</w:t>
      </w:r>
    </w:p>
    <w:p w14:paraId="0061C4C6">
      <w:pPr>
        <w:pStyle w:val="20"/>
        <w:spacing w:before="212" w:line="302" w:lineRule="auto"/>
        <w:ind w:right="803"/>
        <w:jc w:val="center"/>
        <w:rPr>
          <w:rFonts w:hint="eastAsia" w:ascii="宋体" w:hAnsi="宋体"/>
          <w:bCs/>
          <w:sz w:val="28"/>
          <w:szCs w:val="28"/>
          <w:highlight w:val="none"/>
        </w:rPr>
      </w:pPr>
      <w:r>
        <w:rPr>
          <w:rFonts w:hint="eastAsia" w:ascii="宋体" w:hAnsi="宋体"/>
          <w:bCs/>
          <w:sz w:val="28"/>
          <w:szCs w:val="28"/>
          <w:highlight w:val="none"/>
        </w:rPr>
        <w:t>（桂建质〔</w:t>
      </w:r>
      <w:r>
        <w:rPr>
          <w:rFonts w:ascii="宋体" w:hAnsi="宋体"/>
          <w:bCs/>
          <w:sz w:val="28"/>
          <w:szCs w:val="28"/>
          <w:highlight w:val="none"/>
        </w:rPr>
        <w:t>2015</w:t>
      </w:r>
      <w:r>
        <w:rPr>
          <w:rFonts w:hint="eastAsia" w:ascii="宋体" w:hAnsi="宋体"/>
          <w:bCs/>
          <w:sz w:val="28"/>
          <w:szCs w:val="28"/>
          <w:highlight w:val="none"/>
        </w:rPr>
        <w:t>〕</w:t>
      </w:r>
      <w:r>
        <w:rPr>
          <w:rFonts w:ascii="宋体" w:hAnsi="宋体"/>
          <w:bCs/>
          <w:sz w:val="28"/>
          <w:szCs w:val="28"/>
          <w:highlight w:val="none"/>
        </w:rPr>
        <w:t xml:space="preserve">16 </w:t>
      </w:r>
      <w:r>
        <w:rPr>
          <w:rFonts w:hint="eastAsia" w:ascii="宋体" w:hAnsi="宋体"/>
          <w:bCs/>
          <w:sz w:val="28"/>
          <w:szCs w:val="28"/>
          <w:highlight w:val="none"/>
        </w:rPr>
        <w:t>号文附件一）</w:t>
      </w:r>
    </w:p>
    <w:p w14:paraId="02120227">
      <w:pPr>
        <w:pStyle w:val="20"/>
        <w:spacing w:before="212" w:line="302" w:lineRule="auto"/>
        <w:ind w:right="803"/>
        <w:jc w:val="center"/>
        <w:rPr>
          <w:b/>
          <w:bCs/>
          <w:sz w:val="28"/>
          <w:szCs w:val="28"/>
          <w:highlight w:val="none"/>
        </w:rPr>
      </w:pPr>
      <w:r>
        <w:rPr>
          <w:rFonts w:hint="eastAsia"/>
          <w:b/>
          <w:bCs/>
          <w:sz w:val="28"/>
          <w:szCs w:val="28"/>
          <w:highlight w:val="none"/>
        </w:rPr>
        <w:t>广西壮族自治区建设工程安全文明施工措施项目清单内容</w:t>
      </w:r>
    </w:p>
    <w:tbl>
      <w:tblPr>
        <w:tblStyle w:val="56"/>
        <w:tblW w:w="0" w:type="auto"/>
        <w:jc w:val="center"/>
        <w:tblLayout w:type="fixed"/>
        <w:tblCellMar>
          <w:top w:w="0" w:type="dxa"/>
          <w:left w:w="0" w:type="dxa"/>
          <w:bottom w:w="0" w:type="dxa"/>
          <w:right w:w="0" w:type="dxa"/>
        </w:tblCellMar>
      </w:tblPr>
      <w:tblGrid>
        <w:gridCol w:w="739"/>
        <w:gridCol w:w="523"/>
        <w:gridCol w:w="1546"/>
        <w:gridCol w:w="6689"/>
      </w:tblGrid>
      <w:tr w14:paraId="6300D52A">
        <w:tblPrEx>
          <w:tblCellMar>
            <w:top w:w="0" w:type="dxa"/>
            <w:left w:w="0" w:type="dxa"/>
            <w:bottom w:w="0" w:type="dxa"/>
            <w:right w:w="0" w:type="dxa"/>
          </w:tblCellMar>
        </w:tblPrEx>
        <w:trPr>
          <w:trHeight w:val="471" w:hRule="atLeast"/>
          <w:jc w:val="center"/>
        </w:trPr>
        <w:tc>
          <w:tcPr>
            <w:tcW w:w="739" w:type="dxa"/>
            <w:tcBorders>
              <w:top w:val="single" w:color="000000" w:sz="12" w:space="0"/>
              <w:left w:val="single" w:color="000000" w:sz="12" w:space="0"/>
              <w:bottom w:val="single" w:color="000000" w:sz="4" w:space="0"/>
              <w:right w:val="single" w:color="000000" w:sz="4" w:space="0"/>
            </w:tcBorders>
            <w:noWrap w:val="0"/>
            <w:vAlign w:val="top"/>
          </w:tcPr>
          <w:p w14:paraId="4CDF51D8">
            <w:pPr>
              <w:pStyle w:val="625"/>
              <w:keepNext w:val="0"/>
              <w:keepLines w:val="0"/>
              <w:suppressLineNumbers w:val="0"/>
              <w:spacing w:before="48" w:beforeAutospacing="0" w:after="0" w:afterAutospacing="0"/>
              <w:ind w:left="157" w:right="0"/>
              <w:rPr>
                <w:rFonts w:hint="default" w:ascii="微软雅黑" w:eastAsia="微软雅黑" w:cs="微软雅黑"/>
                <w:b/>
                <w:bCs/>
                <w:sz w:val="21"/>
                <w:szCs w:val="21"/>
                <w:highlight w:val="none"/>
              </w:rPr>
            </w:pPr>
            <w:r>
              <w:rPr>
                <w:rFonts w:hint="eastAsia" w:ascii="微软雅黑" w:eastAsia="微软雅黑" w:cs="微软雅黑"/>
                <w:b/>
                <w:bCs/>
                <w:sz w:val="21"/>
                <w:szCs w:val="21"/>
                <w:highlight w:val="none"/>
              </w:rPr>
              <w:t>类别</w:t>
            </w:r>
          </w:p>
        </w:tc>
        <w:tc>
          <w:tcPr>
            <w:tcW w:w="2069" w:type="dxa"/>
            <w:gridSpan w:val="2"/>
            <w:tcBorders>
              <w:top w:val="single" w:color="000000" w:sz="12" w:space="0"/>
              <w:left w:val="single" w:color="000000" w:sz="4" w:space="0"/>
              <w:bottom w:val="single" w:color="000000" w:sz="4" w:space="0"/>
              <w:right w:val="single" w:color="000000" w:sz="4" w:space="0"/>
            </w:tcBorders>
            <w:noWrap w:val="0"/>
            <w:vAlign w:val="top"/>
          </w:tcPr>
          <w:p w14:paraId="4230D7E7">
            <w:pPr>
              <w:pStyle w:val="625"/>
              <w:keepNext w:val="0"/>
              <w:keepLines w:val="0"/>
              <w:suppressLineNumbers w:val="0"/>
              <w:spacing w:before="48" w:beforeAutospacing="0" w:after="0" w:afterAutospacing="0"/>
              <w:ind w:left="623" w:right="0"/>
              <w:rPr>
                <w:rFonts w:hint="default" w:ascii="微软雅黑" w:eastAsia="微软雅黑" w:cs="微软雅黑"/>
                <w:b/>
                <w:bCs/>
                <w:sz w:val="21"/>
                <w:szCs w:val="21"/>
                <w:highlight w:val="none"/>
              </w:rPr>
            </w:pPr>
            <w:r>
              <w:rPr>
                <w:rFonts w:hint="eastAsia" w:ascii="微软雅黑" w:eastAsia="微软雅黑" w:cs="微软雅黑"/>
                <w:b/>
                <w:bCs/>
                <w:sz w:val="21"/>
                <w:szCs w:val="21"/>
                <w:highlight w:val="none"/>
              </w:rPr>
              <w:t>项目名称</w:t>
            </w:r>
          </w:p>
        </w:tc>
        <w:tc>
          <w:tcPr>
            <w:tcW w:w="6689" w:type="dxa"/>
            <w:tcBorders>
              <w:top w:val="single" w:color="000000" w:sz="12" w:space="0"/>
              <w:left w:val="single" w:color="000000" w:sz="4" w:space="0"/>
              <w:bottom w:val="single" w:color="000000" w:sz="4" w:space="0"/>
              <w:right w:val="single" w:color="000000" w:sz="12" w:space="0"/>
            </w:tcBorders>
            <w:noWrap w:val="0"/>
            <w:vAlign w:val="top"/>
          </w:tcPr>
          <w:p w14:paraId="50A64D53">
            <w:pPr>
              <w:pStyle w:val="625"/>
              <w:keepNext w:val="0"/>
              <w:keepLines w:val="0"/>
              <w:suppressLineNumbers w:val="0"/>
              <w:spacing w:before="48" w:beforeAutospacing="0" w:after="0" w:afterAutospacing="0"/>
              <w:ind w:left="2574" w:right="2543"/>
              <w:jc w:val="center"/>
              <w:rPr>
                <w:rFonts w:hint="default" w:ascii="微软雅黑" w:eastAsia="微软雅黑" w:cs="微软雅黑"/>
                <w:b/>
                <w:bCs/>
                <w:sz w:val="21"/>
                <w:szCs w:val="21"/>
                <w:highlight w:val="none"/>
              </w:rPr>
            </w:pPr>
            <w:r>
              <w:rPr>
                <w:rFonts w:hint="eastAsia" w:ascii="微软雅黑" w:eastAsia="微软雅黑" w:cs="微软雅黑"/>
                <w:b/>
                <w:bCs/>
                <w:sz w:val="21"/>
                <w:szCs w:val="21"/>
                <w:highlight w:val="none"/>
              </w:rPr>
              <w:t>主要内容和要求</w:t>
            </w:r>
          </w:p>
        </w:tc>
      </w:tr>
      <w:tr w14:paraId="63369014">
        <w:tblPrEx>
          <w:tblCellMar>
            <w:top w:w="0" w:type="dxa"/>
            <w:left w:w="0" w:type="dxa"/>
            <w:bottom w:w="0" w:type="dxa"/>
            <w:right w:w="0" w:type="dxa"/>
          </w:tblCellMar>
        </w:tblPrEx>
        <w:trPr>
          <w:trHeight w:val="599" w:hRule="atLeast"/>
          <w:jc w:val="center"/>
        </w:trPr>
        <w:tc>
          <w:tcPr>
            <w:tcW w:w="739" w:type="dxa"/>
            <w:vMerge w:val="restart"/>
            <w:tcBorders>
              <w:top w:val="single" w:color="000000" w:sz="4" w:space="0"/>
              <w:left w:val="single" w:color="000000" w:sz="12" w:space="0"/>
              <w:bottom w:val="single" w:color="000000" w:sz="4" w:space="0"/>
              <w:right w:val="single" w:color="000000" w:sz="4" w:space="0"/>
            </w:tcBorders>
            <w:noWrap w:val="0"/>
            <w:vAlign w:val="top"/>
          </w:tcPr>
          <w:p w14:paraId="7F955593">
            <w:pPr>
              <w:pStyle w:val="625"/>
              <w:keepNext w:val="0"/>
              <w:keepLines w:val="0"/>
              <w:suppressLineNumbers w:val="0"/>
              <w:spacing w:before="0" w:beforeAutospacing="0" w:after="0" w:afterAutospacing="0"/>
              <w:ind w:left="0" w:right="0"/>
              <w:rPr>
                <w:rFonts w:hint="default"/>
                <w:b/>
                <w:bCs/>
                <w:sz w:val="28"/>
                <w:szCs w:val="28"/>
                <w:highlight w:val="none"/>
              </w:rPr>
            </w:pPr>
          </w:p>
          <w:p w14:paraId="5180CEEA">
            <w:pPr>
              <w:pStyle w:val="625"/>
              <w:keepNext w:val="0"/>
              <w:keepLines w:val="0"/>
              <w:suppressLineNumbers w:val="0"/>
              <w:spacing w:before="0" w:beforeAutospacing="0" w:after="0" w:afterAutospacing="0"/>
              <w:ind w:left="0" w:right="0"/>
              <w:rPr>
                <w:rFonts w:hint="default"/>
                <w:b/>
                <w:bCs/>
                <w:sz w:val="28"/>
                <w:szCs w:val="28"/>
                <w:highlight w:val="none"/>
              </w:rPr>
            </w:pPr>
          </w:p>
          <w:p w14:paraId="28E5137D">
            <w:pPr>
              <w:pStyle w:val="625"/>
              <w:keepNext w:val="0"/>
              <w:keepLines w:val="0"/>
              <w:suppressLineNumbers w:val="0"/>
              <w:spacing w:before="0" w:beforeAutospacing="0" w:after="0" w:afterAutospacing="0"/>
              <w:ind w:left="0" w:right="0"/>
              <w:rPr>
                <w:rFonts w:hint="default"/>
                <w:b/>
                <w:bCs/>
                <w:sz w:val="28"/>
                <w:szCs w:val="28"/>
                <w:highlight w:val="none"/>
              </w:rPr>
            </w:pPr>
          </w:p>
          <w:p w14:paraId="711B69B2">
            <w:pPr>
              <w:pStyle w:val="625"/>
              <w:keepNext w:val="0"/>
              <w:keepLines w:val="0"/>
              <w:suppressLineNumbers w:val="0"/>
              <w:spacing w:before="0" w:beforeAutospacing="0" w:after="0" w:afterAutospacing="0"/>
              <w:ind w:left="0" w:right="0"/>
              <w:rPr>
                <w:rFonts w:hint="default"/>
                <w:b/>
                <w:bCs/>
                <w:sz w:val="28"/>
                <w:szCs w:val="28"/>
                <w:highlight w:val="none"/>
              </w:rPr>
            </w:pPr>
          </w:p>
          <w:p w14:paraId="5DBC25FF">
            <w:pPr>
              <w:pStyle w:val="625"/>
              <w:keepNext w:val="0"/>
              <w:keepLines w:val="0"/>
              <w:suppressLineNumbers w:val="0"/>
              <w:spacing w:before="0" w:beforeAutospacing="0" w:after="0" w:afterAutospacing="0"/>
              <w:ind w:left="0" w:right="0"/>
              <w:rPr>
                <w:rFonts w:hint="default"/>
                <w:b/>
                <w:bCs/>
                <w:sz w:val="28"/>
                <w:szCs w:val="28"/>
                <w:highlight w:val="none"/>
              </w:rPr>
            </w:pPr>
          </w:p>
          <w:p w14:paraId="51446859">
            <w:pPr>
              <w:pStyle w:val="625"/>
              <w:keepNext w:val="0"/>
              <w:keepLines w:val="0"/>
              <w:suppressLineNumbers w:val="0"/>
              <w:spacing w:before="0" w:beforeAutospacing="0" w:after="0" w:afterAutospacing="0"/>
              <w:ind w:left="0" w:right="0"/>
              <w:rPr>
                <w:rFonts w:hint="default"/>
                <w:b/>
                <w:bCs/>
                <w:sz w:val="28"/>
                <w:szCs w:val="28"/>
                <w:highlight w:val="none"/>
              </w:rPr>
            </w:pPr>
          </w:p>
          <w:p w14:paraId="2DB41558">
            <w:pPr>
              <w:pStyle w:val="625"/>
              <w:keepNext w:val="0"/>
              <w:keepLines w:val="0"/>
              <w:suppressLineNumbers w:val="0"/>
              <w:spacing w:before="6" w:beforeAutospacing="0" w:after="0" w:afterAutospacing="0"/>
              <w:ind w:left="0" w:right="0"/>
              <w:rPr>
                <w:rFonts w:hint="default"/>
                <w:b/>
                <w:bCs/>
                <w:sz w:val="28"/>
                <w:szCs w:val="28"/>
                <w:highlight w:val="none"/>
              </w:rPr>
            </w:pPr>
          </w:p>
          <w:p w14:paraId="3DC4C485">
            <w:pPr>
              <w:pStyle w:val="625"/>
              <w:keepNext w:val="0"/>
              <w:keepLines w:val="0"/>
              <w:suppressLineNumbers w:val="0"/>
              <w:spacing w:before="0" w:beforeAutospacing="0" w:after="0" w:afterAutospacing="0" w:line="187" w:lineRule="auto"/>
              <w:ind w:left="157" w:right="126"/>
              <w:jc w:val="center"/>
              <w:rPr>
                <w:rFonts w:hint="default" w:ascii="微软雅黑" w:eastAsia="微软雅黑" w:cs="微软雅黑"/>
                <w:sz w:val="21"/>
                <w:szCs w:val="21"/>
                <w:highlight w:val="none"/>
              </w:rPr>
            </w:pPr>
            <w:r>
              <w:rPr>
                <w:rFonts w:hint="eastAsia" w:ascii="微软雅黑" w:eastAsia="微软雅黑" w:cs="微软雅黑"/>
                <w:sz w:val="21"/>
                <w:szCs w:val="21"/>
                <w:highlight w:val="none"/>
              </w:rPr>
              <w:t>文明施工不</w:t>
            </w:r>
            <w:r>
              <w:rPr>
                <w:rFonts w:hint="default" w:ascii="微软雅黑" w:eastAsia="微软雅黑" w:cs="微软雅黑"/>
                <w:spacing w:val="1"/>
                <w:sz w:val="21"/>
                <w:szCs w:val="21"/>
                <w:highlight w:val="none"/>
              </w:rPr>
              <w:t xml:space="preserve"> </w:t>
            </w:r>
            <w:r>
              <w:rPr>
                <w:rFonts w:hint="eastAsia" w:ascii="微软雅黑" w:eastAsia="微软雅黑" w:cs="微软雅黑"/>
                <w:sz w:val="21"/>
                <w:szCs w:val="21"/>
                <w:highlight w:val="none"/>
              </w:rPr>
              <w:t>环境保护</w:t>
            </w: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486C0181">
            <w:pPr>
              <w:pStyle w:val="625"/>
              <w:keepNext w:val="0"/>
              <w:keepLines w:val="0"/>
              <w:suppressLineNumbers w:val="0"/>
              <w:spacing w:before="0" w:beforeAutospacing="0" w:after="0" w:afterAutospacing="0" w:line="306" w:lineRule="exact"/>
              <w:ind w:left="605" w:right="574"/>
              <w:jc w:val="center"/>
              <w:rPr>
                <w:rFonts w:hint="default" w:ascii="微软雅黑" w:eastAsia="微软雅黑" w:cs="微软雅黑"/>
                <w:sz w:val="21"/>
                <w:szCs w:val="21"/>
                <w:highlight w:val="none"/>
              </w:rPr>
            </w:pPr>
            <w:r>
              <w:rPr>
                <w:rFonts w:hint="eastAsia" w:ascii="微软雅黑" w:eastAsia="微软雅黑" w:cs="微软雅黑"/>
                <w:sz w:val="21"/>
                <w:szCs w:val="21"/>
                <w:highlight w:val="none"/>
              </w:rPr>
              <w:t>安全警示</w:t>
            </w:r>
          </w:p>
          <w:p w14:paraId="58466E8A">
            <w:pPr>
              <w:pStyle w:val="625"/>
              <w:keepNext w:val="0"/>
              <w:keepLines w:val="0"/>
              <w:suppressLineNumbers w:val="0"/>
              <w:spacing w:before="0" w:beforeAutospacing="0" w:after="0" w:afterAutospacing="0" w:line="273" w:lineRule="exact"/>
              <w:ind w:left="602" w:right="574"/>
              <w:jc w:val="center"/>
              <w:rPr>
                <w:rFonts w:hint="default" w:ascii="微软雅黑" w:eastAsia="微软雅黑" w:cs="微软雅黑"/>
                <w:sz w:val="21"/>
                <w:szCs w:val="21"/>
                <w:highlight w:val="none"/>
              </w:rPr>
            </w:pPr>
            <w:r>
              <w:rPr>
                <w:rFonts w:hint="eastAsia" w:ascii="微软雅黑" w:eastAsia="微软雅黑" w:cs="微软雅黑"/>
                <w:sz w:val="21"/>
                <w:szCs w:val="21"/>
                <w:highlight w:val="none"/>
              </w:rPr>
              <w:t>标志牌</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6EC511DC">
            <w:pPr>
              <w:pStyle w:val="625"/>
              <w:keepNext w:val="0"/>
              <w:keepLines w:val="0"/>
              <w:suppressLineNumbers w:val="0"/>
              <w:spacing w:before="0" w:beforeAutospacing="0" w:after="0" w:afterAutospacing="0" w:line="306" w:lineRule="exact"/>
              <w:ind w:left="107" w:right="0"/>
              <w:rPr>
                <w:rFonts w:hint="default" w:ascii="微软雅黑" w:eastAsia="微软雅黑" w:cs="微软雅黑"/>
                <w:spacing w:val="-3"/>
                <w:sz w:val="21"/>
                <w:szCs w:val="21"/>
                <w:highlight w:val="none"/>
              </w:rPr>
            </w:pPr>
            <w:r>
              <w:rPr>
                <w:rFonts w:hint="eastAsia" w:ascii="微软雅黑" w:eastAsia="微软雅黑" w:cs="微软雅黑"/>
                <w:spacing w:val="-3"/>
                <w:sz w:val="21"/>
                <w:szCs w:val="21"/>
                <w:highlight w:val="none"/>
              </w:rPr>
              <w:t>在易发伤亡事故（或危险）处设置明显的、符合国家标准要求的安全警</w:t>
            </w:r>
          </w:p>
          <w:p w14:paraId="353FC5CF">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示标志牌。</w:t>
            </w:r>
          </w:p>
        </w:tc>
      </w:tr>
      <w:tr w14:paraId="6475DF2F">
        <w:tblPrEx>
          <w:tblCellMar>
            <w:top w:w="0" w:type="dxa"/>
            <w:left w:w="0" w:type="dxa"/>
            <w:bottom w:w="0" w:type="dxa"/>
            <w:right w:w="0" w:type="dxa"/>
          </w:tblCellMar>
        </w:tblPrEx>
        <w:trPr>
          <w:trHeight w:val="600"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2954F340">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184FD9B6">
            <w:pPr>
              <w:pStyle w:val="625"/>
              <w:keepNext w:val="0"/>
              <w:keepLines w:val="0"/>
              <w:suppressLineNumbers w:val="0"/>
              <w:spacing w:before="114"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现场围挡</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36688630">
            <w:pPr>
              <w:pStyle w:val="625"/>
              <w:keepNext w:val="0"/>
              <w:keepLines w:val="0"/>
              <w:numPr>
                <w:ilvl w:val="0"/>
                <w:numId w:val="4"/>
              </w:numPr>
              <w:suppressLineNumbers w:val="0"/>
              <w:tabs>
                <w:tab w:val="left" w:pos="389"/>
              </w:tabs>
              <w:spacing w:before="0" w:beforeAutospacing="0" w:after="0" w:afterAutospacing="0" w:line="306" w:lineRule="exact"/>
              <w:ind w:right="0" w:hanging="282"/>
              <w:rPr>
                <w:rFonts w:hint="default" w:ascii="微软雅黑" w:eastAsia="微软雅黑" w:cs="微软雅黑"/>
                <w:sz w:val="21"/>
                <w:szCs w:val="21"/>
                <w:highlight w:val="none"/>
              </w:rPr>
            </w:pPr>
            <w:r>
              <w:rPr>
                <w:rFonts w:hint="eastAsia" w:ascii="微软雅黑" w:eastAsia="微软雅黑" w:cs="微软雅黑"/>
                <w:spacing w:val="-1"/>
                <w:sz w:val="21"/>
                <w:szCs w:val="21"/>
                <w:highlight w:val="none"/>
              </w:rPr>
              <w:t>现场采用封闭围挡，高度丌小于</w:t>
            </w:r>
            <w:r>
              <w:rPr>
                <w:rFonts w:hint="default" w:ascii="微软雅黑" w:eastAsia="微软雅黑" w:cs="微软雅黑"/>
                <w:spacing w:val="-1"/>
                <w:sz w:val="21"/>
                <w:szCs w:val="21"/>
                <w:highlight w:val="none"/>
              </w:rPr>
              <w:t xml:space="preserve"> </w:t>
            </w:r>
            <w:r>
              <w:rPr>
                <w:rFonts w:hint="default" w:ascii="微软雅黑" w:eastAsia="微软雅黑" w:cs="微软雅黑"/>
                <w:sz w:val="21"/>
                <w:szCs w:val="21"/>
                <w:highlight w:val="none"/>
              </w:rPr>
              <w:t>1.8m</w:t>
            </w:r>
            <w:r>
              <w:rPr>
                <w:rFonts w:hint="eastAsia" w:ascii="微软雅黑" w:eastAsia="微软雅黑" w:cs="微软雅黑"/>
                <w:sz w:val="21"/>
                <w:szCs w:val="21"/>
                <w:highlight w:val="none"/>
              </w:rPr>
              <w:t>。</w:t>
            </w:r>
          </w:p>
          <w:p w14:paraId="0F3C9E06">
            <w:pPr>
              <w:pStyle w:val="625"/>
              <w:keepNext w:val="0"/>
              <w:keepLines w:val="0"/>
              <w:numPr>
                <w:ilvl w:val="0"/>
                <w:numId w:val="4"/>
              </w:numPr>
              <w:suppressLineNumbers w:val="0"/>
              <w:tabs>
                <w:tab w:val="left" w:pos="389"/>
              </w:tabs>
              <w:spacing w:before="0" w:beforeAutospacing="0" w:after="0" w:afterAutospacing="0" w:line="274"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围挡材料可用彩色、定垄钢板，砌块等墙体。</w:t>
            </w:r>
          </w:p>
        </w:tc>
      </w:tr>
      <w:tr w14:paraId="5A7CA683">
        <w:tblPrEx>
          <w:tblCellMar>
            <w:top w:w="0" w:type="dxa"/>
            <w:left w:w="0" w:type="dxa"/>
            <w:bottom w:w="0" w:type="dxa"/>
            <w:right w:w="0" w:type="dxa"/>
          </w:tblCellMar>
        </w:tblPrEx>
        <w:trPr>
          <w:trHeight w:val="8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53E19128">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32B7A2DE">
            <w:pPr>
              <w:pStyle w:val="625"/>
              <w:keepNext w:val="0"/>
              <w:keepLines w:val="0"/>
              <w:suppressLineNumbers w:val="0"/>
              <w:spacing w:before="6" w:beforeAutospacing="0" w:after="0" w:afterAutospacing="0"/>
              <w:ind w:left="0" w:right="0"/>
              <w:rPr>
                <w:rFonts w:hint="default"/>
                <w:b/>
                <w:bCs/>
                <w:sz w:val="20"/>
                <w:szCs w:val="20"/>
                <w:highlight w:val="none"/>
              </w:rPr>
            </w:pPr>
          </w:p>
          <w:p w14:paraId="3054F8AD">
            <w:pPr>
              <w:pStyle w:val="625"/>
              <w:keepNext w:val="0"/>
              <w:keepLines w:val="0"/>
              <w:suppressLineNumbers w:val="0"/>
              <w:spacing w:before="0"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七牌二图</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7BD43FAD">
            <w:pPr>
              <w:pStyle w:val="625"/>
              <w:keepNext w:val="0"/>
              <w:keepLines w:val="0"/>
              <w:suppressLineNumbers w:val="0"/>
              <w:spacing w:before="23" w:beforeAutospacing="0" w:after="0" w:afterAutospacing="0" w:line="187" w:lineRule="auto"/>
              <w:ind w:left="107" w:right="73"/>
              <w:rPr>
                <w:rFonts w:hint="default" w:ascii="微软雅黑" w:eastAsia="微软雅黑" w:cs="微软雅黑"/>
                <w:spacing w:val="-3"/>
                <w:sz w:val="21"/>
                <w:szCs w:val="21"/>
                <w:highlight w:val="none"/>
              </w:rPr>
            </w:pPr>
            <w:r>
              <w:rPr>
                <w:rFonts w:hint="eastAsia" w:ascii="微软雅黑" w:eastAsia="微软雅黑" w:cs="微软雅黑"/>
                <w:spacing w:val="-3"/>
                <w:sz w:val="21"/>
                <w:szCs w:val="21"/>
                <w:highlight w:val="none"/>
              </w:rPr>
              <w:t>在进门处悬挂工程概况、现场出入制度、管理人员名单及监督电话、安全生产规定、文明施工、消防保卫、节能公示等七牌以及施工现场总平</w:t>
            </w:r>
          </w:p>
          <w:p w14:paraId="62729CDC">
            <w:pPr>
              <w:pStyle w:val="625"/>
              <w:keepNext w:val="0"/>
              <w:keepLines w:val="0"/>
              <w:suppressLineNumbers w:val="0"/>
              <w:spacing w:before="0" w:beforeAutospacing="0" w:after="0" w:afterAutospacing="0" w:line="252"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面图、工程效果图。</w:t>
            </w:r>
          </w:p>
        </w:tc>
      </w:tr>
      <w:tr w14:paraId="76EA25E4">
        <w:tblPrEx>
          <w:tblCellMar>
            <w:top w:w="0" w:type="dxa"/>
            <w:left w:w="0" w:type="dxa"/>
            <w:bottom w:w="0" w:type="dxa"/>
            <w:right w:w="0" w:type="dxa"/>
          </w:tblCellMar>
        </w:tblPrEx>
        <w:trPr>
          <w:trHeight w:val="510"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64A86920">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357DA8BC">
            <w:pPr>
              <w:pStyle w:val="625"/>
              <w:keepNext w:val="0"/>
              <w:keepLines w:val="0"/>
              <w:suppressLineNumbers w:val="0"/>
              <w:spacing w:before="68"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企业标志</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02AD59C1">
            <w:pPr>
              <w:pStyle w:val="625"/>
              <w:keepNext w:val="0"/>
              <w:keepLines w:val="0"/>
              <w:suppressLineNumbers w:val="0"/>
              <w:spacing w:before="68" w:beforeAutospacing="0" w:after="0" w:afterAutospacing="0"/>
              <w:ind w:left="107" w:right="0"/>
              <w:rPr>
                <w:rFonts w:hint="default" w:ascii="微软雅黑" w:eastAsia="微软雅黑" w:cs="微软雅黑"/>
                <w:spacing w:val="-1"/>
                <w:sz w:val="21"/>
                <w:szCs w:val="21"/>
                <w:highlight w:val="none"/>
              </w:rPr>
            </w:pPr>
            <w:r>
              <w:rPr>
                <w:rFonts w:hint="eastAsia" w:ascii="微软雅黑" w:eastAsia="微软雅黑" w:cs="微软雅黑"/>
                <w:spacing w:val="-1"/>
                <w:sz w:val="21"/>
                <w:szCs w:val="21"/>
                <w:highlight w:val="none"/>
              </w:rPr>
              <w:t>现场出入的大门应设有本企业标志或企业标识。</w:t>
            </w:r>
          </w:p>
        </w:tc>
      </w:tr>
      <w:tr w14:paraId="6DEA02B1">
        <w:tblPrEx>
          <w:tblCellMar>
            <w:top w:w="0" w:type="dxa"/>
            <w:left w:w="0" w:type="dxa"/>
            <w:bottom w:w="0" w:type="dxa"/>
            <w:right w:w="0" w:type="dxa"/>
          </w:tblCellMar>
        </w:tblPrEx>
        <w:trPr>
          <w:trHeight w:val="11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12107652">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250895A5">
            <w:pPr>
              <w:pStyle w:val="625"/>
              <w:keepNext w:val="0"/>
              <w:keepLines w:val="0"/>
              <w:suppressLineNumbers w:val="0"/>
              <w:spacing w:before="3" w:beforeAutospacing="0" w:after="0" w:afterAutospacing="0"/>
              <w:ind w:left="0" w:right="0"/>
              <w:rPr>
                <w:rFonts w:hint="default"/>
                <w:b/>
                <w:bCs/>
                <w:sz w:val="32"/>
                <w:szCs w:val="32"/>
                <w:highlight w:val="none"/>
              </w:rPr>
            </w:pPr>
          </w:p>
          <w:p w14:paraId="474D131E">
            <w:pPr>
              <w:pStyle w:val="625"/>
              <w:keepNext w:val="0"/>
              <w:keepLines w:val="0"/>
              <w:suppressLineNumbers w:val="0"/>
              <w:spacing w:before="1"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场容场貌</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14FB3DB5">
            <w:pPr>
              <w:pStyle w:val="625"/>
              <w:keepNext w:val="0"/>
              <w:keepLines w:val="0"/>
              <w:numPr>
                <w:ilvl w:val="0"/>
                <w:numId w:val="5"/>
              </w:numPr>
              <w:suppressLineNumbers w:val="0"/>
              <w:tabs>
                <w:tab w:val="left" w:pos="389"/>
              </w:tabs>
              <w:spacing w:before="0" w:beforeAutospacing="0" w:after="0" w:afterAutospacing="0" w:line="306"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道路</w:t>
            </w:r>
            <w:bookmarkStart w:id="251" w:name="REVIEW_BM_1260"/>
            <w:r>
              <w:rPr>
                <w:rFonts w:hint="eastAsia" w:ascii="微软雅黑" w:eastAsia="微软雅黑" w:cs="微软雅黑"/>
                <w:sz w:val="21"/>
                <w:szCs w:val="21"/>
                <w:highlight w:val="none"/>
              </w:rPr>
              <w:t>畅通</w:t>
            </w:r>
            <w:bookmarkEnd w:id="251"/>
            <w:r>
              <w:rPr>
                <w:rFonts w:hint="eastAsia" w:ascii="微软雅黑" w:eastAsia="微软雅黑" w:cs="微软雅黑"/>
                <w:sz w:val="21"/>
                <w:szCs w:val="21"/>
                <w:highlight w:val="none"/>
              </w:rPr>
              <w:t>。</w:t>
            </w:r>
          </w:p>
          <w:p w14:paraId="1BFF001F">
            <w:pPr>
              <w:pStyle w:val="625"/>
              <w:keepNext w:val="0"/>
              <w:keepLines w:val="0"/>
              <w:numPr>
                <w:ilvl w:val="0"/>
                <w:numId w:val="5"/>
              </w:numPr>
              <w:suppressLineNumbers w:val="0"/>
              <w:tabs>
                <w:tab w:val="left" w:pos="389"/>
              </w:tabs>
              <w:spacing w:before="0" w:beforeAutospacing="0" w:after="0" w:afterAutospacing="0" w:line="300"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排水设施齐全</w:t>
            </w:r>
            <w:bookmarkStart w:id="252" w:name="REVIEW_BM_1261"/>
            <w:r>
              <w:rPr>
                <w:rFonts w:hint="eastAsia" w:ascii="微软雅黑" w:eastAsia="微软雅黑" w:cs="微软雅黑"/>
                <w:sz w:val="21"/>
                <w:szCs w:val="21"/>
                <w:highlight w:val="none"/>
              </w:rPr>
              <w:t>畅通</w:t>
            </w:r>
            <w:bookmarkEnd w:id="252"/>
            <w:r>
              <w:rPr>
                <w:rFonts w:hint="eastAsia" w:ascii="微软雅黑" w:eastAsia="微软雅黑" w:cs="微软雅黑"/>
                <w:sz w:val="21"/>
                <w:szCs w:val="21"/>
                <w:highlight w:val="none"/>
              </w:rPr>
              <w:t>。</w:t>
            </w:r>
          </w:p>
          <w:p w14:paraId="75683BEE">
            <w:pPr>
              <w:pStyle w:val="625"/>
              <w:keepNext w:val="0"/>
              <w:keepLines w:val="0"/>
              <w:numPr>
                <w:ilvl w:val="0"/>
                <w:numId w:val="5"/>
              </w:numPr>
              <w:suppressLineNumbers w:val="0"/>
              <w:tabs>
                <w:tab w:val="left" w:pos="389"/>
              </w:tabs>
              <w:spacing w:before="0" w:beforeAutospacing="0" w:after="0" w:afterAutospacing="0" w:line="300"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工地地面硬化处理（办公区、生活区、现场道路、材料堆放、混凝</w:t>
            </w:r>
          </w:p>
          <w:p w14:paraId="76958306">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pacing w:val="-1"/>
                <w:sz w:val="21"/>
                <w:szCs w:val="21"/>
                <w:highlight w:val="none"/>
              </w:rPr>
              <w:t>土搅拌、砂浆搅拌、钢筋加工等场地和外脚手架基础等</w:t>
            </w:r>
            <w:r>
              <w:rPr>
                <w:rFonts w:hint="eastAsia" w:ascii="微软雅黑" w:eastAsia="微软雅黑" w:cs="微软雅黑"/>
                <w:sz w:val="21"/>
                <w:szCs w:val="21"/>
                <w:highlight w:val="none"/>
              </w:rPr>
              <w:t>）。</w:t>
            </w:r>
          </w:p>
        </w:tc>
      </w:tr>
      <w:tr w14:paraId="647504DF">
        <w:tblPrEx>
          <w:tblCellMar>
            <w:top w:w="0" w:type="dxa"/>
            <w:left w:w="0" w:type="dxa"/>
            <w:bottom w:w="0" w:type="dxa"/>
            <w:right w:w="0" w:type="dxa"/>
          </w:tblCellMar>
        </w:tblPrEx>
        <w:trPr>
          <w:trHeight w:val="900"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1094A21A">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0B1C1066">
            <w:pPr>
              <w:pStyle w:val="625"/>
              <w:keepNext w:val="0"/>
              <w:keepLines w:val="0"/>
              <w:suppressLineNumbers w:val="0"/>
              <w:spacing w:before="6" w:beforeAutospacing="0" w:after="0" w:afterAutospacing="0"/>
              <w:ind w:left="0" w:right="0"/>
              <w:rPr>
                <w:rFonts w:hint="default"/>
                <w:b/>
                <w:bCs/>
                <w:sz w:val="20"/>
                <w:szCs w:val="20"/>
                <w:highlight w:val="none"/>
              </w:rPr>
            </w:pPr>
          </w:p>
          <w:p w14:paraId="0D882726">
            <w:pPr>
              <w:pStyle w:val="625"/>
              <w:keepNext w:val="0"/>
              <w:keepLines w:val="0"/>
              <w:suppressLineNumbers w:val="0"/>
              <w:spacing w:before="0"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材料堆放</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2A39F382">
            <w:pPr>
              <w:pStyle w:val="625"/>
              <w:keepNext w:val="0"/>
              <w:keepLines w:val="0"/>
              <w:numPr>
                <w:ilvl w:val="0"/>
                <w:numId w:val="6"/>
              </w:numPr>
              <w:suppressLineNumbers w:val="0"/>
              <w:tabs>
                <w:tab w:val="left" w:pos="341"/>
              </w:tabs>
              <w:spacing w:before="0" w:beforeAutospacing="0" w:after="0" w:afterAutospacing="0" w:line="306" w:lineRule="exact"/>
              <w:ind w:right="0" w:hanging="234"/>
              <w:rPr>
                <w:rFonts w:hint="default" w:ascii="微软雅黑" w:eastAsia="微软雅黑" w:cs="微软雅黑"/>
                <w:spacing w:val="-1"/>
                <w:sz w:val="21"/>
                <w:szCs w:val="21"/>
                <w:highlight w:val="none"/>
              </w:rPr>
            </w:pPr>
            <w:r>
              <w:rPr>
                <w:rFonts w:hint="eastAsia" w:ascii="微软雅黑" w:eastAsia="微软雅黑" w:cs="微软雅黑"/>
                <w:spacing w:val="-1"/>
                <w:sz w:val="21"/>
                <w:szCs w:val="21"/>
                <w:highlight w:val="none"/>
              </w:rPr>
              <w:t>材料、构件、料具等堆放时，应有名称、品种、规格等标牌。</w:t>
            </w:r>
          </w:p>
          <w:p w14:paraId="4068196F">
            <w:pPr>
              <w:pStyle w:val="625"/>
              <w:keepNext w:val="0"/>
              <w:keepLines w:val="0"/>
              <w:numPr>
                <w:ilvl w:val="0"/>
                <w:numId w:val="6"/>
              </w:numPr>
              <w:suppressLineNumbers w:val="0"/>
              <w:tabs>
                <w:tab w:val="left" w:pos="389"/>
              </w:tabs>
              <w:spacing w:before="0" w:beforeAutospacing="0" w:after="0" w:afterAutospacing="0" w:line="300" w:lineRule="exact"/>
              <w:ind w:left="388"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水泥和其它易飞扬细颗粒建筑材料应封闭存放或采取覆盖等措施。</w:t>
            </w:r>
          </w:p>
          <w:p w14:paraId="72164DEF">
            <w:pPr>
              <w:pStyle w:val="625"/>
              <w:keepNext w:val="0"/>
              <w:keepLines w:val="0"/>
              <w:numPr>
                <w:ilvl w:val="0"/>
                <w:numId w:val="6"/>
              </w:numPr>
              <w:suppressLineNumbers w:val="0"/>
              <w:tabs>
                <w:tab w:val="left" w:pos="389"/>
              </w:tabs>
              <w:spacing w:before="0" w:beforeAutospacing="0" w:after="0" w:afterAutospacing="0" w:line="274" w:lineRule="exact"/>
              <w:ind w:left="388"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易燃、易爆和有毒有害物品分类存放。</w:t>
            </w:r>
          </w:p>
        </w:tc>
      </w:tr>
      <w:tr w14:paraId="31356FE8">
        <w:tblPrEx>
          <w:tblCellMar>
            <w:top w:w="0" w:type="dxa"/>
            <w:left w:w="0" w:type="dxa"/>
            <w:bottom w:w="0" w:type="dxa"/>
            <w:right w:w="0" w:type="dxa"/>
          </w:tblCellMar>
        </w:tblPrEx>
        <w:trPr>
          <w:trHeight w:val="501"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6ED54457">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69DB49F7">
            <w:pPr>
              <w:pStyle w:val="625"/>
              <w:keepNext w:val="0"/>
              <w:keepLines w:val="0"/>
              <w:suppressLineNumbers w:val="0"/>
              <w:spacing w:before="63"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现场防火</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059829B9">
            <w:pPr>
              <w:pStyle w:val="625"/>
              <w:keepNext w:val="0"/>
              <w:keepLines w:val="0"/>
              <w:suppressLineNumbers w:val="0"/>
              <w:spacing w:before="63" w:beforeAutospacing="0" w:after="0" w:afterAutospacing="0"/>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消防器材配置合理，符合消防要求。</w:t>
            </w:r>
          </w:p>
        </w:tc>
      </w:tr>
      <w:tr w14:paraId="611C9BB4">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40ABC440">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0CB6BC90">
            <w:pPr>
              <w:pStyle w:val="625"/>
              <w:keepNext w:val="0"/>
              <w:keepLines w:val="0"/>
              <w:suppressLineNumbers w:val="0"/>
              <w:spacing w:before="111" w:beforeAutospacing="0" w:after="0" w:afterAutospacing="0"/>
              <w:ind w:left="623"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垃圾清运</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771EF548">
            <w:pPr>
              <w:pStyle w:val="625"/>
              <w:keepNext w:val="0"/>
              <w:keepLines w:val="0"/>
              <w:numPr>
                <w:ilvl w:val="0"/>
                <w:numId w:val="7"/>
              </w:numPr>
              <w:suppressLineNumbers w:val="0"/>
              <w:tabs>
                <w:tab w:val="left" w:pos="389"/>
              </w:tabs>
              <w:spacing w:before="0" w:beforeAutospacing="0" w:after="0" w:afterAutospacing="0" w:line="306"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施工现场应设置密闭式垃圾站，施工垃圾、生活垃圾应分类存放。</w:t>
            </w:r>
          </w:p>
          <w:p w14:paraId="18857112">
            <w:pPr>
              <w:pStyle w:val="625"/>
              <w:keepNext w:val="0"/>
              <w:keepLines w:val="0"/>
              <w:numPr>
                <w:ilvl w:val="0"/>
                <w:numId w:val="7"/>
              </w:numPr>
              <w:suppressLineNumbers w:val="0"/>
              <w:tabs>
                <w:tab w:val="left" w:pos="389"/>
              </w:tabs>
              <w:spacing w:before="0" w:beforeAutospacing="0" w:after="0" w:afterAutospacing="0" w:line="273"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施工垃圾必须采用相应容器或管道运输。</w:t>
            </w:r>
          </w:p>
        </w:tc>
      </w:tr>
      <w:tr w14:paraId="6E4BA2B5">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2945E715">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7A8BD48A">
            <w:pPr>
              <w:pStyle w:val="625"/>
              <w:keepNext w:val="0"/>
              <w:keepLines w:val="0"/>
              <w:suppressLineNumbers w:val="0"/>
              <w:spacing w:before="0" w:beforeAutospacing="0" w:after="0" w:afterAutospacing="0" w:line="306" w:lineRule="exact"/>
              <w:ind w:left="117" w:right="0"/>
              <w:rPr>
                <w:rFonts w:hint="default" w:ascii="微软雅黑" w:eastAsia="微软雅黑" w:cs="微软雅黑"/>
                <w:spacing w:val="-4"/>
                <w:sz w:val="21"/>
                <w:szCs w:val="21"/>
                <w:highlight w:val="none"/>
              </w:rPr>
            </w:pPr>
            <w:r>
              <w:rPr>
                <w:rFonts w:hint="eastAsia" w:ascii="微软雅黑" w:eastAsia="微软雅黑" w:cs="微软雅黑"/>
                <w:spacing w:val="-4"/>
                <w:sz w:val="21"/>
                <w:szCs w:val="21"/>
                <w:highlight w:val="none"/>
              </w:rPr>
              <w:t>宣传栏、环保及丌扰</w:t>
            </w:r>
          </w:p>
          <w:p w14:paraId="4CF4E271">
            <w:pPr>
              <w:pStyle w:val="625"/>
              <w:keepNext w:val="0"/>
              <w:keepLines w:val="0"/>
              <w:suppressLineNumbers w:val="0"/>
              <w:spacing w:before="0" w:beforeAutospacing="0" w:after="0" w:afterAutospacing="0" w:line="273" w:lineRule="exact"/>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民措施</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756CEB9A">
            <w:pPr>
              <w:pStyle w:val="625"/>
              <w:keepNext w:val="0"/>
              <w:keepLines w:val="0"/>
              <w:suppressLineNumbers w:val="0"/>
              <w:spacing w:before="0" w:beforeAutospacing="0" w:after="0" w:afterAutospacing="0" w:line="306" w:lineRule="exact"/>
              <w:ind w:left="107" w:right="0"/>
              <w:rPr>
                <w:rFonts w:hint="default" w:ascii="微软雅黑" w:eastAsia="微软雅黑" w:cs="微软雅黑"/>
                <w:spacing w:val="-3"/>
                <w:sz w:val="21"/>
                <w:szCs w:val="21"/>
                <w:highlight w:val="none"/>
              </w:rPr>
            </w:pPr>
            <w:r>
              <w:rPr>
                <w:rFonts w:hint="eastAsia" w:ascii="微软雅黑" w:eastAsia="微软雅黑" w:cs="微软雅黑"/>
                <w:spacing w:val="-3"/>
                <w:sz w:val="21"/>
                <w:szCs w:val="21"/>
                <w:highlight w:val="none"/>
              </w:rPr>
              <w:t>宣传栏、安全宣传标语等，洗车（防止污染市区道路）、粉尘、噪声控</w:t>
            </w:r>
          </w:p>
          <w:p w14:paraId="1C0230CE">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制和排污（污水、废气）措施等。</w:t>
            </w:r>
          </w:p>
        </w:tc>
      </w:tr>
      <w:tr w14:paraId="60DEE659">
        <w:tblPrEx>
          <w:tblCellMar>
            <w:top w:w="0" w:type="dxa"/>
            <w:left w:w="0" w:type="dxa"/>
            <w:bottom w:w="0" w:type="dxa"/>
            <w:right w:w="0" w:type="dxa"/>
          </w:tblCellMar>
        </w:tblPrEx>
        <w:trPr>
          <w:trHeight w:val="889" w:hRule="atLeast"/>
          <w:jc w:val="center"/>
        </w:trPr>
        <w:tc>
          <w:tcPr>
            <w:tcW w:w="739" w:type="dxa"/>
            <w:vMerge w:val="restart"/>
            <w:tcBorders>
              <w:top w:val="single" w:color="000000" w:sz="4" w:space="0"/>
              <w:left w:val="single" w:color="000000" w:sz="12" w:space="0"/>
              <w:bottom w:val="single" w:color="000000" w:sz="12" w:space="0"/>
              <w:right w:val="single" w:color="000000" w:sz="4" w:space="0"/>
            </w:tcBorders>
            <w:noWrap w:val="0"/>
            <w:vAlign w:val="top"/>
          </w:tcPr>
          <w:p w14:paraId="7BF11031">
            <w:pPr>
              <w:pStyle w:val="625"/>
              <w:keepNext w:val="0"/>
              <w:keepLines w:val="0"/>
              <w:suppressLineNumbers w:val="0"/>
              <w:spacing w:before="0" w:beforeAutospacing="0" w:after="0" w:afterAutospacing="0"/>
              <w:ind w:left="0" w:right="0"/>
              <w:rPr>
                <w:rFonts w:hint="default"/>
                <w:b/>
                <w:bCs/>
                <w:sz w:val="28"/>
                <w:szCs w:val="28"/>
                <w:highlight w:val="none"/>
              </w:rPr>
            </w:pPr>
          </w:p>
          <w:p w14:paraId="2645EC49">
            <w:pPr>
              <w:pStyle w:val="625"/>
              <w:keepNext w:val="0"/>
              <w:keepLines w:val="0"/>
              <w:suppressLineNumbers w:val="0"/>
              <w:spacing w:before="0" w:beforeAutospacing="0" w:after="0" w:afterAutospacing="0"/>
              <w:ind w:left="0" w:right="0"/>
              <w:rPr>
                <w:rFonts w:hint="default"/>
                <w:b/>
                <w:bCs/>
                <w:sz w:val="28"/>
                <w:szCs w:val="28"/>
                <w:highlight w:val="none"/>
              </w:rPr>
            </w:pPr>
          </w:p>
          <w:p w14:paraId="3F51C44E">
            <w:pPr>
              <w:pStyle w:val="625"/>
              <w:keepNext w:val="0"/>
              <w:keepLines w:val="0"/>
              <w:suppressLineNumbers w:val="0"/>
              <w:spacing w:before="0" w:beforeAutospacing="0" w:after="0" w:afterAutospacing="0"/>
              <w:ind w:left="0" w:right="0"/>
              <w:rPr>
                <w:rFonts w:hint="default"/>
                <w:b/>
                <w:bCs/>
                <w:sz w:val="28"/>
                <w:szCs w:val="28"/>
                <w:highlight w:val="none"/>
              </w:rPr>
            </w:pPr>
          </w:p>
          <w:p w14:paraId="7E68DD35">
            <w:pPr>
              <w:pStyle w:val="625"/>
              <w:keepNext w:val="0"/>
              <w:keepLines w:val="0"/>
              <w:suppressLineNumbers w:val="0"/>
              <w:spacing w:before="0" w:beforeAutospacing="0" w:after="0" w:afterAutospacing="0"/>
              <w:ind w:left="0" w:right="0"/>
              <w:rPr>
                <w:rFonts w:hint="default"/>
                <w:b/>
                <w:bCs/>
                <w:sz w:val="28"/>
                <w:szCs w:val="28"/>
                <w:highlight w:val="none"/>
              </w:rPr>
            </w:pPr>
          </w:p>
          <w:p w14:paraId="73928476">
            <w:pPr>
              <w:pStyle w:val="625"/>
              <w:keepNext w:val="0"/>
              <w:keepLines w:val="0"/>
              <w:suppressLineNumbers w:val="0"/>
              <w:spacing w:before="0" w:beforeAutospacing="0" w:after="0" w:afterAutospacing="0"/>
              <w:ind w:left="0" w:right="0"/>
              <w:rPr>
                <w:rFonts w:hint="default"/>
                <w:b/>
                <w:bCs/>
                <w:sz w:val="28"/>
                <w:szCs w:val="28"/>
                <w:highlight w:val="none"/>
              </w:rPr>
            </w:pPr>
          </w:p>
          <w:p w14:paraId="418F5755">
            <w:pPr>
              <w:pStyle w:val="625"/>
              <w:keepNext w:val="0"/>
              <w:keepLines w:val="0"/>
              <w:suppressLineNumbers w:val="0"/>
              <w:spacing w:before="184" w:beforeAutospacing="0" w:after="0" w:afterAutospacing="0" w:line="187" w:lineRule="auto"/>
              <w:ind w:left="157" w:right="126"/>
              <w:rPr>
                <w:rFonts w:hint="default" w:ascii="微软雅黑" w:eastAsia="微软雅黑" w:cs="微软雅黑"/>
                <w:sz w:val="21"/>
                <w:szCs w:val="21"/>
                <w:highlight w:val="none"/>
              </w:rPr>
            </w:pPr>
            <w:r>
              <w:rPr>
                <w:rFonts w:hint="eastAsia" w:ascii="微软雅黑" w:eastAsia="微软雅黑" w:cs="微软雅黑"/>
                <w:sz w:val="21"/>
                <w:szCs w:val="21"/>
                <w:highlight w:val="none"/>
              </w:rPr>
              <w:t>临时设施</w:t>
            </w: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0C34A23B">
            <w:pPr>
              <w:pStyle w:val="625"/>
              <w:keepNext w:val="0"/>
              <w:keepLines w:val="0"/>
              <w:suppressLineNumbers w:val="0"/>
              <w:spacing w:before="175" w:beforeAutospacing="0" w:after="0" w:afterAutospacing="0" w:line="187" w:lineRule="auto"/>
              <w:ind w:left="623" w:right="590"/>
              <w:rPr>
                <w:rFonts w:hint="default" w:ascii="微软雅黑" w:eastAsia="微软雅黑" w:cs="微软雅黑"/>
                <w:spacing w:val="-1"/>
                <w:sz w:val="21"/>
                <w:szCs w:val="21"/>
                <w:highlight w:val="none"/>
              </w:rPr>
            </w:pPr>
            <w:r>
              <w:rPr>
                <w:rFonts w:hint="eastAsia" w:ascii="微软雅黑" w:eastAsia="微软雅黑" w:cs="微软雅黑"/>
                <w:spacing w:val="-1"/>
                <w:sz w:val="21"/>
                <w:szCs w:val="21"/>
                <w:highlight w:val="none"/>
              </w:rPr>
              <w:t>现场办公生活设施</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07451D83">
            <w:pPr>
              <w:pStyle w:val="625"/>
              <w:keepNext w:val="0"/>
              <w:keepLines w:val="0"/>
              <w:numPr>
                <w:ilvl w:val="0"/>
                <w:numId w:val="8"/>
              </w:numPr>
              <w:suppressLineNumbers w:val="0"/>
              <w:tabs>
                <w:tab w:val="left" w:pos="389"/>
              </w:tabs>
              <w:spacing w:before="0" w:beforeAutospacing="0" w:after="0" w:afterAutospacing="0" w:line="306"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施工现场办公、生活区不作业区分开设置，保持安全距离。</w:t>
            </w:r>
          </w:p>
          <w:p w14:paraId="73E9CFDB">
            <w:pPr>
              <w:pStyle w:val="625"/>
              <w:keepNext w:val="0"/>
              <w:keepLines w:val="0"/>
              <w:numPr>
                <w:ilvl w:val="0"/>
                <w:numId w:val="8"/>
              </w:numPr>
              <w:suppressLineNumbers w:val="0"/>
              <w:tabs>
                <w:tab w:val="left" w:pos="389"/>
              </w:tabs>
              <w:spacing w:before="0" w:beforeAutospacing="0" w:after="0" w:afterAutospacing="0" w:line="300"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工地办公室、现场宿舍、食堂、厕所、饮水、沐浴、休息场所等符</w:t>
            </w:r>
          </w:p>
          <w:p w14:paraId="3EB9CF3A">
            <w:pPr>
              <w:pStyle w:val="625"/>
              <w:keepNext w:val="0"/>
              <w:keepLines w:val="0"/>
              <w:suppressLineNumbers w:val="0"/>
              <w:spacing w:before="0" w:beforeAutospacing="0" w:after="0" w:afterAutospacing="0" w:line="26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合卫生、消防安全要求。</w:t>
            </w:r>
          </w:p>
        </w:tc>
      </w:tr>
      <w:tr w14:paraId="4D35BFA8">
        <w:tblPrEx>
          <w:tblCellMar>
            <w:top w:w="0" w:type="dxa"/>
            <w:left w:w="0" w:type="dxa"/>
            <w:bottom w:w="0" w:type="dxa"/>
            <w:right w:w="0" w:type="dxa"/>
          </w:tblCellMar>
        </w:tblPrEx>
        <w:trPr>
          <w:trHeight w:val="1180"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515D0030">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523" w:type="dxa"/>
            <w:vMerge w:val="restart"/>
            <w:tcBorders>
              <w:top w:val="single" w:color="000000" w:sz="4" w:space="0"/>
              <w:left w:val="single" w:color="000000" w:sz="4" w:space="0"/>
              <w:bottom w:val="single" w:color="000000" w:sz="12" w:space="0"/>
              <w:right w:val="single" w:color="000000" w:sz="4" w:space="0"/>
            </w:tcBorders>
            <w:noWrap w:val="0"/>
            <w:vAlign w:val="top"/>
          </w:tcPr>
          <w:p w14:paraId="740C5A08">
            <w:pPr>
              <w:pStyle w:val="625"/>
              <w:keepNext w:val="0"/>
              <w:keepLines w:val="0"/>
              <w:suppressLineNumbers w:val="0"/>
              <w:spacing w:before="0" w:beforeAutospacing="0" w:after="0" w:afterAutospacing="0"/>
              <w:ind w:left="0" w:right="0"/>
              <w:rPr>
                <w:rFonts w:hint="default"/>
                <w:b/>
                <w:bCs/>
                <w:sz w:val="28"/>
                <w:szCs w:val="28"/>
                <w:highlight w:val="none"/>
              </w:rPr>
            </w:pPr>
          </w:p>
          <w:p w14:paraId="52F200F1">
            <w:pPr>
              <w:pStyle w:val="625"/>
              <w:keepNext w:val="0"/>
              <w:keepLines w:val="0"/>
              <w:suppressLineNumbers w:val="0"/>
              <w:spacing w:before="9" w:beforeAutospacing="0" w:after="0" w:afterAutospacing="0"/>
              <w:ind w:left="0" w:right="0"/>
              <w:rPr>
                <w:rFonts w:hint="default"/>
                <w:b/>
                <w:bCs/>
                <w:sz w:val="19"/>
                <w:szCs w:val="19"/>
                <w:highlight w:val="none"/>
              </w:rPr>
            </w:pPr>
          </w:p>
          <w:p w14:paraId="21B09F69">
            <w:pPr>
              <w:pStyle w:val="625"/>
              <w:keepNext w:val="0"/>
              <w:keepLines w:val="0"/>
              <w:suppressLineNumbers w:val="0"/>
              <w:spacing w:before="0" w:beforeAutospacing="0" w:after="0" w:afterAutospacing="0" w:line="187" w:lineRule="auto"/>
              <w:ind w:left="165" w:right="134"/>
              <w:jc w:val="both"/>
              <w:rPr>
                <w:rFonts w:hint="default" w:ascii="微软雅黑" w:eastAsia="微软雅黑" w:cs="微软雅黑"/>
                <w:sz w:val="21"/>
                <w:szCs w:val="21"/>
                <w:highlight w:val="none"/>
              </w:rPr>
            </w:pPr>
            <w:r>
              <w:rPr>
                <w:rFonts w:hint="eastAsia" w:ascii="微软雅黑" w:eastAsia="微软雅黑" w:cs="微软雅黑"/>
                <w:sz w:val="21"/>
                <w:szCs w:val="21"/>
                <w:highlight w:val="none"/>
              </w:rPr>
              <w:t>施工现场临时用电</w:t>
            </w: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30B78D5C">
            <w:pPr>
              <w:pStyle w:val="625"/>
              <w:keepNext w:val="0"/>
              <w:keepLines w:val="0"/>
              <w:suppressLineNumbers w:val="0"/>
              <w:spacing w:before="7" w:beforeAutospacing="0" w:after="0" w:afterAutospacing="0"/>
              <w:ind w:left="0" w:right="0"/>
              <w:rPr>
                <w:rFonts w:hint="default"/>
                <w:b/>
                <w:bCs/>
                <w:sz w:val="31"/>
                <w:szCs w:val="31"/>
                <w:highlight w:val="none"/>
              </w:rPr>
            </w:pPr>
          </w:p>
          <w:p w14:paraId="7A29973C">
            <w:pPr>
              <w:pStyle w:val="625"/>
              <w:keepNext w:val="0"/>
              <w:keepLines w:val="0"/>
              <w:suppressLineNumbers w:val="0"/>
              <w:spacing w:before="0" w:beforeAutospacing="0" w:after="0" w:afterAutospacing="0"/>
              <w:ind w:left="343" w:right="312"/>
              <w:jc w:val="center"/>
              <w:rPr>
                <w:rFonts w:hint="default" w:ascii="微软雅黑" w:eastAsia="微软雅黑" w:cs="微软雅黑"/>
                <w:sz w:val="21"/>
                <w:szCs w:val="21"/>
                <w:highlight w:val="none"/>
              </w:rPr>
            </w:pPr>
            <w:r>
              <w:rPr>
                <w:rFonts w:hint="eastAsia" w:ascii="微软雅黑" w:eastAsia="微软雅黑" w:cs="微软雅黑"/>
                <w:sz w:val="21"/>
                <w:szCs w:val="21"/>
                <w:highlight w:val="none"/>
              </w:rPr>
              <w:t>配电线路</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39483AA3">
            <w:pPr>
              <w:pStyle w:val="625"/>
              <w:keepNext w:val="0"/>
              <w:keepLines w:val="0"/>
              <w:numPr>
                <w:ilvl w:val="0"/>
                <w:numId w:val="9"/>
              </w:numPr>
              <w:suppressLineNumbers w:val="0"/>
              <w:tabs>
                <w:tab w:val="left" w:pos="389"/>
              </w:tabs>
              <w:spacing w:before="0" w:beforeAutospacing="0" w:after="0" w:afterAutospacing="0" w:line="296" w:lineRule="exact"/>
              <w:ind w:right="0" w:hanging="282"/>
              <w:rPr>
                <w:rFonts w:hint="default" w:ascii="微软雅黑" w:eastAsia="微软雅黑" w:cs="微软雅黑"/>
                <w:spacing w:val="-4"/>
                <w:sz w:val="21"/>
                <w:szCs w:val="21"/>
                <w:highlight w:val="none"/>
              </w:rPr>
            </w:pPr>
            <w:r>
              <w:rPr>
                <w:rFonts w:hint="eastAsia" w:ascii="微软雅黑" w:eastAsia="微软雅黑" w:cs="微软雅黑"/>
                <w:spacing w:val="-4"/>
                <w:sz w:val="21"/>
                <w:szCs w:val="21"/>
                <w:highlight w:val="none"/>
              </w:rPr>
              <w:t>按照</w:t>
            </w:r>
            <w:r>
              <w:rPr>
                <w:rFonts w:hint="default" w:ascii="微软雅黑" w:eastAsia="微软雅黑" w:cs="微软雅黑"/>
                <w:spacing w:val="-4"/>
                <w:sz w:val="21"/>
                <w:szCs w:val="21"/>
                <w:highlight w:val="none"/>
              </w:rPr>
              <w:t xml:space="preserve"> </w:t>
            </w:r>
            <w:r>
              <w:rPr>
                <w:rFonts w:hint="default" w:ascii="微软雅黑" w:eastAsia="微软雅黑" w:cs="微软雅黑"/>
                <w:sz w:val="21"/>
                <w:szCs w:val="21"/>
                <w:highlight w:val="none"/>
              </w:rPr>
              <w:t>TN-S</w:t>
            </w:r>
            <w:r>
              <w:rPr>
                <w:rFonts w:hint="default" w:ascii="微软雅黑" w:eastAsia="微软雅黑" w:cs="微软雅黑"/>
                <w:spacing w:val="-4"/>
                <w:sz w:val="21"/>
                <w:szCs w:val="21"/>
                <w:highlight w:val="none"/>
              </w:rPr>
              <w:t xml:space="preserve"> </w:t>
            </w:r>
            <w:r>
              <w:rPr>
                <w:rFonts w:hint="eastAsia" w:ascii="微软雅黑" w:eastAsia="微软雅黑" w:cs="微软雅黑"/>
                <w:spacing w:val="-4"/>
                <w:sz w:val="21"/>
                <w:szCs w:val="21"/>
                <w:highlight w:val="none"/>
              </w:rPr>
              <w:t>系统要求配备五芯电缆、四芯电缆和三芯电缆。</w:t>
            </w:r>
          </w:p>
          <w:p w14:paraId="0E62BEC7">
            <w:pPr>
              <w:pStyle w:val="625"/>
              <w:keepNext w:val="0"/>
              <w:keepLines w:val="0"/>
              <w:numPr>
                <w:ilvl w:val="0"/>
                <w:numId w:val="9"/>
              </w:numPr>
              <w:suppressLineNumbers w:val="0"/>
              <w:tabs>
                <w:tab w:val="left" w:pos="389"/>
              </w:tabs>
              <w:spacing w:before="17" w:beforeAutospacing="0" w:after="0" w:afterAutospacing="0" w:line="187" w:lineRule="auto"/>
              <w:ind w:left="107" w:right="78" w:firstLine="0"/>
              <w:rPr>
                <w:rFonts w:hint="default" w:ascii="微软雅黑" w:eastAsia="微软雅黑" w:cs="微软雅黑"/>
                <w:sz w:val="21"/>
                <w:szCs w:val="21"/>
                <w:highlight w:val="none"/>
              </w:rPr>
            </w:pPr>
            <w:r>
              <w:rPr>
                <w:rFonts w:hint="eastAsia" w:ascii="微软雅黑" w:eastAsia="微软雅黑" w:cs="微软雅黑"/>
                <w:sz w:val="21"/>
                <w:szCs w:val="21"/>
                <w:highlight w:val="none"/>
              </w:rPr>
              <w:t>按要求架设临时用电线路的电杆、横担、瓷夹、瓷瓶等，或电缆埋地的地沟。</w:t>
            </w:r>
          </w:p>
          <w:p w14:paraId="7C29794D">
            <w:pPr>
              <w:pStyle w:val="625"/>
              <w:keepNext w:val="0"/>
              <w:keepLines w:val="0"/>
              <w:numPr>
                <w:ilvl w:val="0"/>
                <w:numId w:val="9"/>
              </w:numPr>
              <w:suppressLineNumbers w:val="0"/>
              <w:tabs>
                <w:tab w:val="left" w:pos="389"/>
              </w:tabs>
              <w:spacing w:before="0" w:beforeAutospacing="0" w:after="0" w:afterAutospacing="0" w:line="243" w:lineRule="exact"/>
              <w:ind w:right="-44" w:hanging="282"/>
              <w:rPr>
                <w:rFonts w:hint="default" w:ascii="微软雅黑" w:eastAsia="微软雅黑" w:cs="微软雅黑"/>
                <w:spacing w:val="-1"/>
                <w:sz w:val="21"/>
                <w:szCs w:val="21"/>
                <w:highlight w:val="none"/>
              </w:rPr>
            </w:pPr>
            <w:r>
              <w:rPr>
                <w:rFonts w:hint="eastAsia" w:ascii="微软雅黑" w:eastAsia="微软雅黑" w:cs="微软雅黑"/>
                <w:spacing w:val="-1"/>
                <w:sz w:val="21"/>
                <w:szCs w:val="21"/>
                <w:highlight w:val="none"/>
              </w:rPr>
              <w:t>对靠近施工现场的外电线路，设置木质、塑料等绝缘体的防护设施。</w:t>
            </w:r>
          </w:p>
        </w:tc>
      </w:tr>
      <w:tr w14:paraId="41689A08">
        <w:tblPrEx>
          <w:tblCellMar>
            <w:top w:w="0" w:type="dxa"/>
            <w:left w:w="0" w:type="dxa"/>
            <w:bottom w:w="0" w:type="dxa"/>
            <w:right w:w="0" w:type="dxa"/>
          </w:tblCellMar>
        </w:tblPrEx>
        <w:trPr>
          <w:trHeight w:val="1782"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2F694C14">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12" w:space="0"/>
              <w:right w:val="single" w:color="000000" w:sz="4" w:space="0"/>
            </w:tcBorders>
            <w:noWrap w:val="0"/>
            <w:vAlign w:val="top"/>
          </w:tcPr>
          <w:p w14:paraId="562DD6B5">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145E6462">
            <w:pPr>
              <w:pStyle w:val="625"/>
              <w:keepNext w:val="0"/>
              <w:keepLines w:val="0"/>
              <w:suppressLineNumbers w:val="0"/>
              <w:spacing w:before="0" w:beforeAutospacing="0" w:after="0" w:afterAutospacing="0"/>
              <w:ind w:left="0" w:right="0"/>
              <w:rPr>
                <w:rFonts w:hint="default"/>
                <w:b/>
                <w:bCs/>
                <w:sz w:val="28"/>
                <w:szCs w:val="28"/>
                <w:highlight w:val="none"/>
              </w:rPr>
            </w:pPr>
          </w:p>
          <w:p w14:paraId="537CBD35">
            <w:pPr>
              <w:pStyle w:val="625"/>
              <w:keepNext w:val="0"/>
              <w:keepLines w:val="0"/>
              <w:suppressLineNumbers w:val="0"/>
              <w:spacing w:before="1" w:beforeAutospacing="0" w:after="0" w:afterAutospacing="0"/>
              <w:ind w:left="0" w:right="0"/>
              <w:rPr>
                <w:rFonts w:hint="default"/>
                <w:b/>
                <w:bCs/>
                <w:sz w:val="20"/>
                <w:szCs w:val="20"/>
                <w:highlight w:val="none"/>
              </w:rPr>
            </w:pPr>
          </w:p>
          <w:p w14:paraId="3D6B7441">
            <w:pPr>
              <w:pStyle w:val="625"/>
              <w:keepNext w:val="0"/>
              <w:keepLines w:val="0"/>
              <w:suppressLineNumbers w:val="0"/>
              <w:spacing w:before="0" w:beforeAutospacing="0" w:after="0" w:afterAutospacing="0" w:line="187" w:lineRule="auto"/>
              <w:ind w:left="465" w:right="434"/>
              <w:rPr>
                <w:rFonts w:hint="default" w:ascii="微软雅黑" w:eastAsia="微软雅黑" w:cs="微软雅黑"/>
                <w:sz w:val="21"/>
                <w:szCs w:val="21"/>
                <w:highlight w:val="none"/>
              </w:rPr>
            </w:pPr>
            <w:r>
              <w:rPr>
                <w:rFonts w:hint="eastAsia" w:ascii="微软雅黑" w:eastAsia="微软雅黑" w:cs="微软雅黑"/>
                <w:sz w:val="21"/>
                <w:szCs w:val="21"/>
                <w:highlight w:val="none"/>
              </w:rPr>
              <w:t>配电箱开关箱</w:t>
            </w:r>
          </w:p>
        </w:tc>
        <w:tc>
          <w:tcPr>
            <w:tcW w:w="6689" w:type="dxa"/>
            <w:tcBorders>
              <w:top w:val="single" w:color="000000" w:sz="4" w:space="0"/>
              <w:left w:val="single" w:color="000000" w:sz="4" w:space="0"/>
              <w:bottom w:val="single" w:color="000000" w:sz="4" w:space="0"/>
              <w:right w:val="single" w:color="000000" w:sz="12" w:space="0"/>
            </w:tcBorders>
            <w:noWrap w:val="0"/>
            <w:vAlign w:val="top"/>
          </w:tcPr>
          <w:p w14:paraId="2EB0471C">
            <w:pPr>
              <w:pStyle w:val="625"/>
              <w:keepNext w:val="0"/>
              <w:keepLines w:val="0"/>
              <w:numPr>
                <w:ilvl w:val="0"/>
                <w:numId w:val="10"/>
              </w:numPr>
              <w:suppressLineNumbers w:val="0"/>
              <w:tabs>
                <w:tab w:val="left" w:pos="389"/>
              </w:tabs>
              <w:spacing w:before="16" w:beforeAutospacing="0" w:after="0" w:afterAutospacing="0" w:line="187" w:lineRule="auto"/>
              <w:ind w:right="74" w:firstLine="0"/>
              <w:jc w:val="both"/>
              <w:rPr>
                <w:rFonts w:hint="default" w:ascii="微软雅黑" w:eastAsia="微软雅黑" w:cs="微软雅黑"/>
                <w:sz w:val="21"/>
                <w:szCs w:val="21"/>
                <w:highlight w:val="none"/>
              </w:rPr>
            </w:pPr>
            <w:r>
              <w:rPr>
                <w:rFonts w:hint="eastAsia" w:ascii="微软雅黑" w:eastAsia="微软雅黑" w:cs="微软雅黑"/>
                <w:sz w:val="21"/>
                <w:szCs w:val="21"/>
                <w:highlight w:val="none"/>
              </w:rPr>
              <w:t>按三级配电要求，配备总配电箱、分配电箱、开关箱三类（铁质）</w:t>
            </w:r>
            <w:r>
              <w:rPr>
                <w:rFonts w:hint="default" w:ascii="微软雅黑" w:eastAsia="微软雅黑" w:cs="微软雅黑"/>
                <w:spacing w:val="1"/>
                <w:sz w:val="21"/>
                <w:szCs w:val="21"/>
                <w:highlight w:val="none"/>
              </w:rPr>
              <w:t xml:space="preserve"> </w:t>
            </w:r>
            <w:r>
              <w:rPr>
                <w:rFonts w:hint="eastAsia" w:ascii="微软雅黑" w:eastAsia="微软雅黑" w:cs="微软雅黑"/>
                <w:spacing w:val="-3"/>
                <w:sz w:val="21"/>
                <w:szCs w:val="21"/>
                <w:highlight w:val="none"/>
              </w:rPr>
              <w:t>标准电箱，开关箱应符合“一机、一箱、一闸、一漏”，三类电箱中的</w:t>
            </w:r>
            <w:r>
              <w:rPr>
                <w:rFonts w:hint="eastAsia" w:ascii="微软雅黑" w:eastAsia="微软雅黑" w:cs="微软雅黑"/>
                <w:sz w:val="21"/>
                <w:szCs w:val="21"/>
                <w:highlight w:val="none"/>
              </w:rPr>
              <w:t>各类电器应是合格品。</w:t>
            </w:r>
          </w:p>
          <w:p w14:paraId="6615487E">
            <w:pPr>
              <w:pStyle w:val="625"/>
              <w:keepNext w:val="0"/>
              <w:keepLines w:val="0"/>
              <w:numPr>
                <w:ilvl w:val="0"/>
                <w:numId w:val="10"/>
              </w:numPr>
              <w:suppressLineNumbers w:val="0"/>
              <w:tabs>
                <w:tab w:val="left" w:pos="389"/>
              </w:tabs>
              <w:spacing w:before="0" w:beforeAutospacing="0" w:after="0" w:afterAutospacing="0" w:line="187" w:lineRule="auto"/>
              <w:ind w:right="78" w:firstLine="0"/>
              <w:jc w:val="both"/>
              <w:rPr>
                <w:rFonts w:hint="default" w:ascii="微软雅黑" w:eastAsia="微软雅黑" w:cs="微软雅黑"/>
                <w:sz w:val="21"/>
                <w:szCs w:val="21"/>
                <w:highlight w:val="none"/>
              </w:rPr>
            </w:pPr>
            <w:r>
              <w:rPr>
                <w:rFonts w:hint="eastAsia" w:ascii="微软雅黑" w:eastAsia="微软雅黑" w:cs="微软雅黑"/>
                <w:sz w:val="21"/>
                <w:szCs w:val="21"/>
                <w:highlight w:val="none"/>
              </w:rPr>
              <w:t>按两级保护的要求，选取符合容量要求和质量合格的总配电箱和开关箱中的漏电保护器。</w:t>
            </w:r>
          </w:p>
          <w:p w14:paraId="03F0357A">
            <w:pPr>
              <w:pStyle w:val="625"/>
              <w:keepNext w:val="0"/>
              <w:keepLines w:val="0"/>
              <w:numPr>
                <w:ilvl w:val="0"/>
                <w:numId w:val="10"/>
              </w:numPr>
              <w:suppressLineNumbers w:val="0"/>
              <w:tabs>
                <w:tab w:val="left" w:pos="389"/>
              </w:tabs>
              <w:spacing w:before="0" w:beforeAutospacing="0" w:after="0" w:afterAutospacing="0" w:line="242" w:lineRule="exact"/>
              <w:ind w:left="388" w:right="0" w:hanging="282"/>
              <w:jc w:val="both"/>
              <w:rPr>
                <w:rFonts w:hint="default" w:ascii="微软雅黑" w:eastAsia="微软雅黑" w:cs="微软雅黑"/>
                <w:sz w:val="21"/>
                <w:szCs w:val="21"/>
                <w:highlight w:val="none"/>
              </w:rPr>
            </w:pPr>
            <w:r>
              <w:rPr>
                <w:rFonts w:hint="eastAsia" w:ascii="微软雅黑" w:eastAsia="微软雅黑" w:cs="微软雅黑"/>
                <w:sz w:val="21"/>
                <w:szCs w:val="21"/>
                <w:highlight w:val="none"/>
              </w:rPr>
              <w:t>对大垄、落地式分配电箱、开关箱设置防护棚和</w:t>
            </w:r>
            <w:bookmarkStart w:id="253" w:name="REVIEW_BM_1262"/>
            <w:r>
              <w:rPr>
                <w:rFonts w:hint="eastAsia" w:ascii="微软雅黑" w:eastAsia="微软雅黑" w:cs="微软雅黑"/>
                <w:sz w:val="21"/>
                <w:szCs w:val="21"/>
                <w:highlight w:val="none"/>
              </w:rPr>
              <w:t>通透</w:t>
            </w:r>
            <w:bookmarkEnd w:id="253"/>
            <w:r>
              <w:rPr>
                <w:rFonts w:hint="eastAsia" w:ascii="微软雅黑" w:eastAsia="微软雅黑" w:cs="微软雅黑"/>
                <w:sz w:val="21"/>
                <w:szCs w:val="21"/>
                <w:highlight w:val="none"/>
              </w:rPr>
              <w:t>式围挡。</w:t>
            </w:r>
          </w:p>
        </w:tc>
      </w:tr>
      <w:tr w14:paraId="6FB1F201">
        <w:tblPrEx>
          <w:tblCellMar>
            <w:top w:w="0" w:type="dxa"/>
            <w:left w:w="0" w:type="dxa"/>
            <w:bottom w:w="0" w:type="dxa"/>
            <w:right w:w="0" w:type="dxa"/>
          </w:tblCellMar>
        </w:tblPrEx>
        <w:trPr>
          <w:trHeight w:val="562"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0057BAD7">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12" w:space="0"/>
              <w:right w:val="single" w:color="000000" w:sz="4" w:space="0"/>
            </w:tcBorders>
            <w:noWrap w:val="0"/>
            <w:vAlign w:val="top"/>
          </w:tcPr>
          <w:p w14:paraId="4D417F35">
            <w:pPr>
              <w:pStyle w:val="20"/>
              <w:keepNext w:val="0"/>
              <w:keepLines w:val="0"/>
              <w:suppressLineNumbers w:val="0"/>
              <w:spacing w:before="9" w:beforeAutospacing="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12" w:space="0"/>
              <w:right w:val="single" w:color="000000" w:sz="4" w:space="0"/>
            </w:tcBorders>
            <w:noWrap w:val="0"/>
            <w:vAlign w:val="top"/>
          </w:tcPr>
          <w:p w14:paraId="266D5202">
            <w:pPr>
              <w:pStyle w:val="625"/>
              <w:keepNext w:val="0"/>
              <w:keepLines w:val="0"/>
              <w:suppressLineNumbers w:val="0"/>
              <w:spacing w:before="89" w:beforeAutospacing="0" w:after="0" w:afterAutospacing="0"/>
              <w:ind w:left="343" w:right="312"/>
              <w:jc w:val="center"/>
              <w:rPr>
                <w:rFonts w:hint="default" w:ascii="微软雅黑" w:eastAsia="微软雅黑" w:cs="微软雅黑"/>
                <w:sz w:val="21"/>
                <w:szCs w:val="21"/>
                <w:highlight w:val="none"/>
              </w:rPr>
            </w:pPr>
            <w:r>
              <w:rPr>
                <w:rFonts w:hint="eastAsia" w:ascii="微软雅黑" w:eastAsia="微软雅黑" w:cs="微软雅黑"/>
                <w:sz w:val="21"/>
                <w:szCs w:val="21"/>
                <w:highlight w:val="none"/>
              </w:rPr>
              <w:t>接地装置</w:t>
            </w:r>
          </w:p>
        </w:tc>
        <w:tc>
          <w:tcPr>
            <w:tcW w:w="6689" w:type="dxa"/>
            <w:tcBorders>
              <w:top w:val="single" w:color="000000" w:sz="4" w:space="0"/>
              <w:left w:val="single" w:color="000000" w:sz="4" w:space="0"/>
              <w:bottom w:val="single" w:color="000000" w:sz="12" w:space="0"/>
              <w:right w:val="single" w:color="000000" w:sz="12" w:space="0"/>
            </w:tcBorders>
            <w:noWrap w:val="0"/>
            <w:vAlign w:val="top"/>
          </w:tcPr>
          <w:p w14:paraId="0F72420F">
            <w:pPr>
              <w:pStyle w:val="625"/>
              <w:keepNext w:val="0"/>
              <w:keepLines w:val="0"/>
              <w:suppressLineNumbers w:val="0"/>
              <w:spacing w:before="89" w:beforeAutospacing="0" w:after="0" w:afterAutospacing="0"/>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施工现场应设置丌少亍三处的重复接地装置。</w:t>
            </w:r>
          </w:p>
        </w:tc>
      </w:tr>
    </w:tbl>
    <w:p w14:paraId="53C9A35F">
      <w:pPr>
        <w:rPr>
          <w:b/>
          <w:bCs/>
          <w:sz w:val="24"/>
          <w:highlight w:val="none"/>
        </w:rPr>
        <w:sectPr>
          <w:pgSz w:w="11910" w:h="16840"/>
          <w:pgMar w:top="1440" w:right="1170" w:bottom="1440" w:left="1500" w:header="0" w:footer="1198" w:gutter="0"/>
          <w:cols w:space="720" w:num="1"/>
        </w:sectPr>
      </w:pPr>
    </w:p>
    <w:tbl>
      <w:tblPr>
        <w:tblStyle w:val="56"/>
        <w:tblW w:w="0" w:type="auto"/>
        <w:jc w:val="center"/>
        <w:tblLayout w:type="fixed"/>
        <w:tblCellMar>
          <w:top w:w="0" w:type="dxa"/>
          <w:left w:w="0" w:type="dxa"/>
          <w:bottom w:w="0" w:type="dxa"/>
          <w:right w:w="0" w:type="dxa"/>
        </w:tblCellMar>
      </w:tblPr>
      <w:tblGrid>
        <w:gridCol w:w="739"/>
        <w:gridCol w:w="523"/>
        <w:gridCol w:w="1546"/>
        <w:gridCol w:w="6647"/>
      </w:tblGrid>
      <w:tr w14:paraId="43B47BC6">
        <w:tblPrEx>
          <w:tblCellMar>
            <w:top w:w="0" w:type="dxa"/>
            <w:left w:w="0" w:type="dxa"/>
            <w:bottom w:w="0" w:type="dxa"/>
            <w:right w:w="0" w:type="dxa"/>
          </w:tblCellMar>
        </w:tblPrEx>
        <w:trPr>
          <w:trHeight w:val="916" w:hRule="atLeast"/>
          <w:jc w:val="center"/>
        </w:trPr>
        <w:tc>
          <w:tcPr>
            <w:tcW w:w="739" w:type="dxa"/>
            <w:tcBorders>
              <w:top w:val="single" w:color="000000" w:sz="12" w:space="0"/>
              <w:left w:val="single" w:color="000000" w:sz="12" w:space="0"/>
              <w:bottom w:val="single" w:color="000000" w:sz="4" w:space="0"/>
              <w:right w:val="single" w:color="000000" w:sz="4" w:space="0"/>
            </w:tcBorders>
            <w:noWrap w:val="0"/>
            <w:vAlign w:val="top"/>
          </w:tcPr>
          <w:p w14:paraId="702D5516">
            <w:pPr>
              <w:pStyle w:val="625"/>
              <w:keepNext w:val="0"/>
              <w:keepLines w:val="0"/>
              <w:suppressLineNumbers w:val="0"/>
              <w:spacing w:before="0" w:beforeAutospacing="0" w:after="0" w:afterAutospacing="0"/>
              <w:ind w:left="0" w:right="0"/>
              <w:rPr>
                <w:rFonts w:hint="default" w:ascii="Times New Roman" w:cs="Times New Roman"/>
                <w:sz w:val="20"/>
                <w:szCs w:val="20"/>
                <w:highlight w:val="none"/>
              </w:rPr>
            </w:pPr>
          </w:p>
        </w:tc>
        <w:tc>
          <w:tcPr>
            <w:tcW w:w="523" w:type="dxa"/>
            <w:tcBorders>
              <w:top w:val="single" w:color="000000" w:sz="12" w:space="0"/>
              <w:left w:val="single" w:color="000000" w:sz="4" w:space="0"/>
              <w:bottom w:val="single" w:color="000000" w:sz="4" w:space="0"/>
              <w:right w:val="single" w:color="000000" w:sz="4" w:space="0"/>
            </w:tcBorders>
            <w:noWrap w:val="0"/>
            <w:vAlign w:val="top"/>
          </w:tcPr>
          <w:p w14:paraId="4578095B">
            <w:pPr>
              <w:pStyle w:val="625"/>
              <w:keepNext w:val="0"/>
              <w:keepLines w:val="0"/>
              <w:suppressLineNumbers w:val="0"/>
              <w:spacing w:before="0" w:beforeAutospacing="0" w:after="0" w:afterAutospacing="0"/>
              <w:ind w:left="0" w:right="0"/>
              <w:rPr>
                <w:rFonts w:hint="default" w:ascii="Times New Roman" w:cs="Times New Roman"/>
                <w:sz w:val="20"/>
                <w:szCs w:val="20"/>
                <w:highlight w:val="none"/>
              </w:rPr>
            </w:pPr>
          </w:p>
        </w:tc>
        <w:tc>
          <w:tcPr>
            <w:tcW w:w="1546" w:type="dxa"/>
            <w:tcBorders>
              <w:top w:val="single" w:color="000000" w:sz="12" w:space="0"/>
              <w:left w:val="single" w:color="000000" w:sz="4" w:space="0"/>
              <w:bottom w:val="single" w:color="000000" w:sz="4" w:space="0"/>
              <w:right w:val="single" w:color="000000" w:sz="4" w:space="0"/>
            </w:tcBorders>
            <w:noWrap w:val="0"/>
            <w:vAlign w:val="top"/>
          </w:tcPr>
          <w:p w14:paraId="0832B810">
            <w:pPr>
              <w:pStyle w:val="625"/>
              <w:keepNext w:val="0"/>
              <w:keepLines w:val="0"/>
              <w:suppressLineNumbers w:val="0"/>
              <w:spacing w:before="182" w:beforeAutospacing="0" w:after="0" w:afterAutospacing="0" w:line="187" w:lineRule="auto"/>
              <w:ind w:left="676" w:right="120" w:hanging="526"/>
              <w:rPr>
                <w:rFonts w:hint="default" w:ascii="微软雅黑" w:eastAsia="微软雅黑" w:cs="微软雅黑"/>
                <w:sz w:val="21"/>
                <w:szCs w:val="21"/>
                <w:highlight w:val="none"/>
              </w:rPr>
            </w:pPr>
            <w:r>
              <w:rPr>
                <w:rFonts w:hint="eastAsia" w:ascii="微软雅黑" w:eastAsia="微软雅黑" w:cs="微软雅黑"/>
                <w:spacing w:val="-1"/>
                <w:sz w:val="21"/>
                <w:szCs w:val="21"/>
                <w:highlight w:val="none"/>
              </w:rPr>
              <w:t>现场变配电装</w:t>
            </w:r>
            <w:r>
              <w:rPr>
                <w:rFonts w:hint="eastAsia" w:ascii="微软雅黑" w:eastAsia="微软雅黑" w:cs="微软雅黑"/>
                <w:sz w:val="21"/>
                <w:szCs w:val="21"/>
                <w:highlight w:val="none"/>
              </w:rPr>
              <w:t>置</w:t>
            </w:r>
          </w:p>
        </w:tc>
        <w:tc>
          <w:tcPr>
            <w:tcW w:w="6647" w:type="dxa"/>
            <w:tcBorders>
              <w:top w:val="single" w:color="000000" w:sz="12" w:space="0"/>
              <w:left w:val="single" w:color="000000" w:sz="4" w:space="0"/>
              <w:bottom w:val="single" w:color="000000" w:sz="4" w:space="0"/>
              <w:right w:val="single" w:color="000000" w:sz="12" w:space="0"/>
            </w:tcBorders>
            <w:noWrap w:val="0"/>
            <w:vAlign w:val="top"/>
          </w:tcPr>
          <w:p w14:paraId="784E3E9F">
            <w:pPr>
              <w:pStyle w:val="625"/>
              <w:keepNext w:val="0"/>
              <w:keepLines w:val="0"/>
              <w:suppressLineNumbers w:val="0"/>
              <w:spacing w:before="3" w:beforeAutospacing="0" w:after="0" w:afterAutospacing="0"/>
              <w:ind w:left="0" w:right="0"/>
              <w:rPr>
                <w:rFonts w:hint="default"/>
                <w:b/>
                <w:bCs/>
                <w:sz w:val="21"/>
                <w:szCs w:val="21"/>
                <w:highlight w:val="none"/>
              </w:rPr>
            </w:pPr>
          </w:p>
          <w:p w14:paraId="00BE6369">
            <w:pPr>
              <w:pStyle w:val="625"/>
              <w:keepNext w:val="0"/>
              <w:keepLines w:val="0"/>
              <w:suppressLineNumbers w:val="0"/>
              <w:spacing w:before="0" w:beforeAutospacing="0" w:after="0" w:afterAutospacing="0"/>
              <w:ind w:left="107" w:right="0"/>
              <w:rPr>
                <w:rFonts w:hint="default" w:ascii="微软雅黑" w:eastAsia="微软雅黑" w:cs="微软雅黑"/>
                <w:spacing w:val="-1"/>
                <w:sz w:val="21"/>
                <w:szCs w:val="21"/>
                <w:highlight w:val="none"/>
              </w:rPr>
            </w:pPr>
            <w:r>
              <w:rPr>
                <w:rFonts w:hint="eastAsia" w:ascii="微软雅黑" w:eastAsia="微软雅黑" w:cs="微软雅黑"/>
                <w:spacing w:val="-1"/>
                <w:sz w:val="21"/>
                <w:szCs w:val="21"/>
                <w:highlight w:val="none"/>
              </w:rPr>
              <w:t>总配电房建筑材料必须达到消防防火要求，室内做硬地坪、电缆沟。</w:t>
            </w:r>
          </w:p>
        </w:tc>
      </w:tr>
      <w:tr w14:paraId="0CDE9528">
        <w:tblPrEx>
          <w:tblCellMar>
            <w:top w:w="0" w:type="dxa"/>
            <w:left w:w="0" w:type="dxa"/>
            <w:bottom w:w="0" w:type="dxa"/>
            <w:right w:w="0" w:type="dxa"/>
          </w:tblCellMar>
        </w:tblPrEx>
        <w:trPr>
          <w:trHeight w:val="611" w:hRule="atLeast"/>
          <w:jc w:val="center"/>
        </w:trPr>
        <w:tc>
          <w:tcPr>
            <w:tcW w:w="739" w:type="dxa"/>
            <w:tcBorders>
              <w:top w:val="single" w:color="000000" w:sz="4" w:space="0"/>
              <w:left w:val="single" w:color="000000" w:sz="12" w:space="0"/>
              <w:bottom w:val="single" w:color="000000" w:sz="4" w:space="0"/>
              <w:right w:val="single" w:color="000000" w:sz="4" w:space="0"/>
            </w:tcBorders>
            <w:noWrap w:val="0"/>
            <w:vAlign w:val="top"/>
          </w:tcPr>
          <w:p w14:paraId="336538DD">
            <w:pPr>
              <w:pStyle w:val="625"/>
              <w:keepNext w:val="0"/>
              <w:keepLines w:val="0"/>
              <w:suppressLineNumbers w:val="0"/>
              <w:spacing w:before="118" w:beforeAutospacing="0" w:after="0" w:afterAutospacing="0"/>
              <w:ind w:left="157" w:right="0"/>
              <w:rPr>
                <w:rFonts w:hint="default" w:ascii="微软雅黑" w:eastAsia="微软雅黑" w:cs="微软雅黑"/>
                <w:b/>
                <w:bCs/>
                <w:sz w:val="21"/>
                <w:szCs w:val="21"/>
                <w:highlight w:val="none"/>
              </w:rPr>
            </w:pPr>
            <w:r>
              <w:rPr>
                <w:rFonts w:hint="eastAsia" w:ascii="微软雅黑" w:eastAsia="微软雅黑" w:cs="微软雅黑"/>
                <w:b/>
                <w:bCs/>
                <w:sz w:val="21"/>
                <w:szCs w:val="21"/>
                <w:highlight w:val="none"/>
              </w:rPr>
              <w:t>类别</w:t>
            </w: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73EB42CC">
            <w:pPr>
              <w:pStyle w:val="625"/>
              <w:keepNext w:val="0"/>
              <w:keepLines w:val="0"/>
              <w:suppressLineNumbers w:val="0"/>
              <w:spacing w:before="118" w:beforeAutospacing="0" w:after="0" w:afterAutospacing="0"/>
              <w:ind w:left="623" w:right="0"/>
              <w:rPr>
                <w:rFonts w:hint="default" w:ascii="微软雅黑" w:eastAsia="微软雅黑" w:cs="微软雅黑"/>
                <w:b/>
                <w:bCs/>
                <w:sz w:val="21"/>
                <w:szCs w:val="21"/>
                <w:highlight w:val="none"/>
              </w:rPr>
            </w:pPr>
            <w:r>
              <w:rPr>
                <w:rFonts w:hint="eastAsia" w:ascii="微软雅黑" w:eastAsia="微软雅黑" w:cs="微软雅黑"/>
                <w:b/>
                <w:bCs/>
                <w:sz w:val="21"/>
                <w:szCs w:val="21"/>
                <w:highlight w:val="none"/>
              </w:rPr>
              <w:t>项目名称</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26F32541">
            <w:pPr>
              <w:pStyle w:val="625"/>
              <w:keepNext w:val="0"/>
              <w:keepLines w:val="0"/>
              <w:suppressLineNumbers w:val="0"/>
              <w:spacing w:before="118" w:beforeAutospacing="0" w:after="0" w:afterAutospacing="0"/>
              <w:ind w:left="2574" w:right="2543"/>
              <w:jc w:val="center"/>
              <w:rPr>
                <w:rFonts w:hint="default" w:ascii="微软雅黑" w:eastAsia="微软雅黑" w:cs="微软雅黑"/>
                <w:b/>
                <w:bCs/>
                <w:sz w:val="21"/>
                <w:szCs w:val="21"/>
                <w:highlight w:val="none"/>
              </w:rPr>
            </w:pPr>
            <w:r>
              <w:rPr>
                <w:rFonts w:hint="eastAsia" w:ascii="微软雅黑" w:eastAsia="微软雅黑" w:cs="微软雅黑"/>
                <w:b/>
                <w:bCs/>
                <w:sz w:val="21"/>
                <w:szCs w:val="21"/>
                <w:highlight w:val="none"/>
              </w:rPr>
              <w:t>主要内容和要求</w:t>
            </w:r>
          </w:p>
        </w:tc>
      </w:tr>
      <w:tr w14:paraId="3C499414">
        <w:tblPrEx>
          <w:tblCellMar>
            <w:top w:w="0" w:type="dxa"/>
            <w:left w:w="0" w:type="dxa"/>
            <w:bottom w:w="0" w:type="dxa"/>
            <w:right w:w="0" w:type="dxa"/>
          </w:tblCellMar>
        </w:tblPrEx>
        <w:trPr>
          <w:trHeight w:val="601" w:hRule="atLeast"/>
          <w:jc w:val="center"/>
        </w:trPr>
        <w:tc>
          <w:tcPr>
            <w:tcW w:w="739" w:type="dxa"/>
            <w:vMerge w:val="restart"/>
            <w:tcBorders>
              <w:top w:val="single" w:color="000000" w:sz="4" w:space="0"/>
              <w:left w:val="single" w:color="000000" w:sz="12" w:space="0"/>
              <w:bottom w:val="single" w:color="000000" w:sz="4" w:space="0"/>
              <w:right w:val="single" w:color="000000" w:sz="4" w:space="0"/>
            </w:tcBorders>
            <w:noWrap w:val="0"/>
            <w:vAlign w:val="top"/>
          </w:tcPr>
          <w:p w14:paraId="7C60E881">
            <w:pPr>
              <w:pStyle w:val="625"/>
              <w:keepNext w:val="0"/>
              <w:keepLines w:val="0"/>
              <w:suppressLineNumbers w:val="0"/>
              <w:spacing w:before="0" w:beforeAutospacing="0" w:after="0" w:afterAutospacing="0"/>
              <w:ind w:left="0" w:right="0"/>
              <w:rPr>
                <w:rFonts w:hint="default"/>
                <w:b/>
                <w:bCs/>
                <w:sz w:val="28"/>
                <w:szCs w:val="28"/>
                <w:highlight w:val="none"/>
              </w:rPr>
            </w:pPr>
          </w:p>
          <w:p w14:paraId="2364D0EA">
            <w:pPr>
              <w:pStyle w:val="625"/>
              <w:keepNext w:val="0"/>
              <w:keepLines w:val="0"/>
              <w:suppressLineNumbers w:val="0"/>
              <w:spacing w:before="0" w:beforeAutospacing="0" w:after="0" w:afterAutospacing="0"/>
              <w:ind w:left="0" w:right="0"/>
              <w:rPr>
                <w:rFonts w:hint="default"/>
                <w:b/>
                <w:bCs/>
                <w:sz w:val="28"/>
                <w:szCs w:val="28"/>
                <w:highlight w:val="none"/>
              </w:rPr>
            </w:pPr>
          </w:p>
          <w:p w14:paraId="3FE5B87E">
            <w:pPr>
              <w:pStyle w:val="625"/>
              <w:keepNext w:val="0"/>
              <w:keepLines w:val="0"/>
              <w:suppressLineNumbers w:val="0"/>
              <w:spacing w:before="0" w:beforeAutospacing="0" w:after="0" w:afterAutospacing="0"/>
              <w:ind w:left="0" w:right="0"/>
              <w:rPr>
                <w:rFonts w:hint="default"/>
                <w:b/>
                <w:bCs/>
                <w:sz w:val="28"/>
                <w:szCs w:val="28"/>
                <w:highlight w:val="none"/>
              </w:rPr>
            </w:pPr>
          </w:p>
          <w:p w14:paraId="530EA0E4">
            <w:pPr>
              <w:pStyle w:val="625"/>
              <w:keepNext w:val="0"/>
              <w:keepLines w:val="0"/>
              <w:suppressLineNumbers w:val="0"/>
              <w:spacing w:before="0" w:beforeAutospacing="0" w:after="0" w:afterAutospacing="0"/>
              <w:ind w:left="0" w:right="0"/>
              <w:rPr>
                <w:rFonts w:hint="default"/>
                <w:b/>
                <w:bCs/>
                <w:sz w:val="28"/>
                <w:szCs w:val="28"/>
                <w:highlight w:val="none"/>
              </w:rPr>
            </w:pPr>
          </w:p>
          <w:p w14:paraId="0CDD8F12">
            <w:pPr>
              <w:pStyle w:val="625"/>
              <w:keepNext w:val="0"/>
              <w:keepLines w:val="0"/>
              <w:suppressLineNumbers w:val="0"/>
              <w:spacing w:before="0" w:beforeAutospacing="0" w:after="0" w:afterAutospacing="0"/>
              <w:ind w:left="0" w:right="0"/>
              <w:rPr>
                <w:rFonts w:hint="default"/>
                <w:b/>
                <w:bCs/>
                <w:sz w:val="28"/>
                <w:szCs w:val="28"/>
                <w:highlight w:val="none"/>
              </w:rPr>
            </w:pPr>
          </w:p>
          <w:p w14:paraId="1FC5E7C3">
            <w:pPr>
              <w:pStyle w:val="625"/>
              <w:keepNext w:val="0"/>
              <w:keepLines w:val="0"/>
              <w:suppressLineNumbers w:val="0"/>
              <w:spacing w:before="12" w:beforeAutospacing="0" w:after="0" w:afterAutospacing="0"/>
              <w:ind w:left="0" w:right="0"/>
              <w:rPr>
                <w:rFonts w:hint="default"/>
                <w:b/>
                <w:bCs/>
                <w:sz w:val="40"/>
                <w:szCs w:val="40"/>
                <w:highlight w:val="none"/>
              </w:rPr>
            </w:pPr>
          </w:p>
          <w:p w14:paraId="089CDCB3">
            <w:pPr>
              <w:pStyle w:val="625"/>
              <w:keepNext w:val="0"/>
              <w:keepLines w:val="0"/>
              <w:suppressLineNumbers w:val="0"/>
              <w:spacing w:before="0" w:beforeAutospacing="0" w:after="0" w:afterAutospacing="0" w:line="187" w:lineRule="auto"/>
              <w:ind w:left="157" w:right="126"/>
              <w:rPr>
                <w:rFonts w:hint="default" w:ascii="微软雅黑" w:eastAsia="微软雅黑" w:cs="微软雅黑"/>
                <w:sz w:val="21"/>
                <w:szCs w:val="21"/>
                <w:highlight w:val="none"/>
              </w:rPr>
            </w:pPr>
            <w:r>
              <w:rPr>
                <w:rFonts w:hint="eastAsia" w:ascii="微软雅黑" w:eastAsia="微软雅黑" w:cs="微软雅黑"/>
                <w:sz w:val="21"/>
                <w:szCs w:val="21"/>
                <w:highlight w:val="none"/>
              </w:rPr>
              <w:t>安全施工</w:t>
            </w:r>
          </w:p>
        </w:tc>
        <w:tc>
          <w:tcPr>
            <w:tcW w:w="523" w:type="dxa"/>
            <w:vMerge w:val="restart"/>
            <w:tcBorders>
              <w:top w:val="single" w:color="000000" w:sz="4" w:space="0"/>
              <w:left w:val="single" w:color="000000" w:sz="4" w:space="0"/>
              <w:bottom w:val="single" w:color="000000" w:sz="4" w:space="0"/>
              <w:right w:val="single" w:color="000000" w:sz="4" w:space="0"/>
            </w:tcBorders>
            <w:noWrap w:val="0"/>
            <w:vAlign w:val="top"/>
          </w:tcPr>
          <w:p w14:paraId="0B086909">
            <w:pPr>
              <w:pStyle w:val="625"/>
              <w:keepNext w:val="0"/>
              <w:keepLines w:val="0"/>
              <w:suppressLineNumbers w:val="0"/>
              <w:spacing w:before="0" w:beforeAutospacing="0" w:after="0" w:afterAutospacing="0"/>
              <w:ind w:left="0" w:right="0"/>
              <w:rPr>
                <w:rFonts w:hint="default"/>
                <w:b/>
                <w:bCs/>
                <w:sz w:val="28"/>
                <w:szCs w:val="28"/>
                <w:highlight w:val="none"/>
              </w:rPr>
            </w:pPr>
          </w:p>
          <w:p w14:paraId="28F78C4D">
            <w:pPr>
              <w:pStyle w:val="625"/>
              <w:keepNext w:val="0"/>
              <w:keepLines w:val="0"/>
              <w:suppressLineNumbers w:val="0"/>
              <w:spacing w:before="0" w:beforeAutospacing="0" w:after="0" w:afterAutospacing="0"/>
              <w:ind w:left="0" w:right="0"/>
              <w:rPr>
                <w:rFonts w:hint="default"/>
                <w:b/>
                <w:bCs/>
                <w:sz w:val="28"/>
                <w:szCs w:val="28"/>
                <w:highlight w:val="none"/>
              </w:rPr>
            </w:pPr>
          </w:p>
          <w:p w14:paraId="087E27DD">
            <w:pPr>
              <w:pStyle w:val="625"/>
              <w:keepNext w:val="0"/>
              <w:keepLines w:val="0"/>
              <w:suppressLineNumbers w:val="0"/>
              <w:spacing w:before="0" w:beforeAutospacing="0" w:after="0" w:afterAutospacing="0"/>
              <w:ind w:left="0" w:right="0"/>
              <w:rPr>
                <w:rFonts w:hint="default"/>
                <w:b/>
                <w:bCs/>
                <w:sz w:val="28"/>
                <w:szCs w:val="28"/>
                <w:highlight w:val="none"/>
              </w:rPr>
            </w:pPr>
          </w:p>
          <w:p w14:paraId="0D347A7C">
            <w:pPr>
              <w:pStyle w:val="625"/>
              <w:keepNext w:val="0"/>
              <w:keepLines w:val="0"/>
              <w:suppressLineNumbers w:val="0"/>
              <w:spacing w:before="3" w:beforeAutospacing="0" w:after="0" w:afterAutospacing="0"/>
              <w:ind w:left="0" w:right="0"/>
              <w:rPr>
                <w:rFonts w:hint="default"/>
                <w:b/>
                <w:bCs/>
                <w:sz w:val="26"/>
                <w:szCs w:val="26"/>
                <w:highlight w:val="none"/>
              </w:rPr>
            </w:pPr>
          </w:p>
          <w:p w14:paraId="631E5A35">
            <w:pPr>
              <w:pStyle w:val="625"/>
              <w:keepNext w:val="0"/>
              <w:keepLines w:val="0"/>
              <w:suppressLineNumbers w:val="0"/>
              <w:spacing w:before="1" w:beforeAutospacing="0" w:after="0" w:afterAutospacing="0" w:line="187" w:lineRule="auto"/>
              <w:ind w:left="165" w:right="134"/>
              <w:jc w:val="both"/>
              <w:rPr>
                <w:rFonts w:hint="default" w:ascii="微软雅黑" w:eastAsia="微软雅黑" w:cs="微软雅黑"/>
                <w:sz w:val="21"/>
                <w:szCs w:val="21"/>
                <w:highlight w:val="none"/>
              </w:rPr>
            </w:pPr>
            <w:r>
              <w:rPr>
                <w:rFonts w:hint="eastAsia" w:ascii="微软雅黑" w:eastAsia="微软雅黑" w:cs="微软雅黑"/>
                <w:sz w:val="21"/>
                <w:szCs w:val="21"/>
                <w:highlight w:val="none"/>
              </w:rPr>
              <w:t>高处作业防护</w:t>
            </w: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1E785CDB">
            <w:pPr>
              <w:pStyle w:val="625"/>
              <w:keepNext w:val="0"/>
              <w:keepLines w:val="0"/>
              <w:suppressLineNumbers w:val="0"/>
              <w:spacing w:before="0" w:beforeAutospacing="0" w:after="0" w:afterAutospacing="0" w:line="309" w:lineRule="exact"/>
              <w:ind w:left="117" w:right="0"/>
              <w:rPr>
                <w:rFonts w:hint="default" w:ascii="微软雅黑" w:eastAsia="微软雅黑" w:cs="微软雅黑"/>
                <w:spacing w:val="9"/>
                <w:sz w:val="21"/>
                <w:szCs w:val="21"/>
                <w:highlight w:val="none"/>
              </w:rPr>
            </w:pPr>
            <w:r>
              <w:rPr>
                <w:rFonts w:hint="eastAsia" w:ascii="微软雅黑" w:eastAsia="微软雅黑" w:cs="微软雅黑"/>
                <w:spacing w:val="9"/>
                <w:sz w:val="21"/>
                <w:szCs w:val="21"/>
                <w:highlight w:val="none"/>
              </w:rPr>
              <w:t>楼层、屋面、</w:t>
            </w:r>
          </w:p>
          <w:p w14:paraId="61330D80">
            <w:pPr>
              <w:pStyle w:val="625"/>
              <w:keepNext w:val="0"/>
              <w:keepLines w:val="0"/>
              <w:suppressLineNumbers w:val="0"/>
              <w:spacing w:before="0" w:beforeAutospacing="0" w:after="0" w:afterAutospacing="0" w:line="273" w:lineRule="exact"/>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阳台等临边</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78AC9FEE">
            <w:pPr>
              <w:pStyle w:val="625"/>
              <w:keepNext w:val="0"/>
              <w:keepLines w:val="0"/>
              <w:suppressLineNumbers w:val="0"/>
              <w:spacing w:before="114" w:beforeAutospacing="0" w:after="0" w:afterAutospacing="0"/>
              <w:ind w:left="107" w:right="0"/>
              <w:rPr>
                <w:rFonts w:hint="default" w:ascii="微软雅黑" w:eastAsia="微软雅黑" w:cs="微软雅黑"/>
                <w:spacing w:val="-3"/>
                <w:sz w:val="21"/>
                <w:szCs w:val="21"/>
                <w:highlight w:val="none"/>
              </w:rPr>
            </w:pPr>
            <w:r>
              <w:rPr>
                <w:rFonts w:hint="eastAsia" w:ascii="微软雅黑" w:eastAsia="微软雅黑" w:cs="微软雅黑"/>
                <w:spacing w:val="-2"/>
                <w:sz w:val="21"/>
                <w:szCs w:val="21"/>
                <w:highlight w:val="none"/>
              </w:rPr>
              <w:t>设两道防护栏杆和</w:t>
            </w:r>
            <w:r>
              <w:rPr>
                <w:rFonts w:hint="default" w:ascii="微软雅黑" w:eastAsia="微软雅黑" w:cs="微软雅黑"/>
                <w:spacing w:val="-2"/>
                <w:sz w:val="21"/>
                <w:szCs w:val="21"/>
                <w:highlight w:val="none"/>
              </w:rPr>
              <w:t xml:space="preserve"> </w:t>
            </w:r>
            <w:r>
              <w:rPr>
                <w:rFonts w:hint="default" w:ascii="微软雅黑" w:eastAsia="微软雅黑" w:cs="微软雅黑"/>
                <w:sz w:val="21"/>
                <w:szCs w:val="21"/>
                <w:highlight w:val="none"/>
              </w:rPr>
              <w:t>18cm</w:t>
            </w:r>
            <w:r>
              <w:rPr>
                <w:rFonts w:hint="default" w:ascii="微软雅黑" w:eastAsia="微软雅黑" w:cs="微软雅黑"/>
                <w:spacing w:val="-3"/>
                <w:sz w:val="21"/>
                <w:szCs w:val="21"/>
                <w:highlight w:val="none"/>
              </w:rPr>
              <w:t xml:space="preserve"> </w:t>
            </w:r>
            <w:r>
              <w:rPr>
                <w:rFonts w:hint="eastAsia" w:ascii="微软雅黑" w:eastAsia="微软雅黑" w:cs="微软雅黑"/>
                <w:spacing w:val="-3"/>
                <w:sz w:val="21"/>
                <w:szCs w:val="21"/>
                <w:highlight w:val="none"/>
              </w:rPr>
              <w:t>高的踢脚板，用密目式安全立网全封闭。</w:t>
            </w:r>
          </w:p>
        </w:tc>
      </w:tr>
      <w:tr w14:paraId="4BF2CC1C">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627BAA94">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4FD0A9B6">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78EA2AEF">
            <w:pPr>
              <w:pStyle w:val="625"/>
              <w:keepNext w:val="0"/>
              <w:keepLines w:val="0"/>
              <w:suppressLineNumbers w:val="0"/>
              <w:spacing w:before="111" w:beforeAutospacing="0" w:after="0" w:afterAutospacing="0"/>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通道口</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7FBA2E66">
            <w:pPr>
              <w:pStyle w:val="625"/>
              <w:keepNext w:val="0"/>
              <w:keepLines w:val="0"/>
              <w:suppressLineNumbers w:val="0"/>
              <w:spacing w:before="0" w:beforeAutospacing="0" w:after="0" w:afterAutospacing="0" w:line="306" w:lineRule="exact"/>
              <w:ind w:left="107" w:right="-44"/>
              <w:rPr>
                <w:rFonts w:hint="default" w:ascii="微软雅黑" w:eastAsia="微软雅黑" w:cs="微软雅黑"/>
                <w:spacing w:val="-4"/>
                <w:sz w:val="21"/>
                <w:szCs w:val="21"/>
                <w:highlight w:val="none"/>
              </w:rPr>
            </w:pPr>
            <w:r>
              <w:rPr>
                <w:rFonts w:hint="eastAsia" w:ascii="微软雅黑" w:eastAsia="微软雅黑" w:cs="微软雅黑"/>
                <w:spacing w:val="-12"/>
                <w:sz w:val="21"/>
                <w:szCs w:val="21"/>
                <w:highlight w:val="none"/>
              </w:rPr>
              <w:t>设防护棚，防护棚应为丌小于</w:t>
            </w:r>
            <w:r>
              <w:rPr>
                <w:rFonts w:hint="default" w:ascii="微软雅黑" w:eastAsia="微软雅黑" w:cs="微软雅黑"/>
                <w:spacing w:val="-12"/>
                <w:sz w:val="21"/>
                <w:szCs w:val="21"/>
                <w:highlight w:val="none"/>
              </w:rPr>
              <w:t xml:space="preserve"> </w:t>
            </w:r>
            <w:r>
              <w:rPr>
                <w:rFonts w:hint="default" w:ascii="微软雅黑" w:eastAsia="微软雅黑" w:cs="微软雅黑"/>
                <w:sz w:val="21"/>
                <w:szCs w:val="21"/>
                <w:highlight w:val="none"/>
              </w:rPr>
              <w:t>5cm</w:t>
            </w:r>
            <w:r>
              <w:rPr>
                <w:rFonts w:hint="default" w:ascii="微软雅黑" w:eastAsia="微软雅黑" w:cs="微软雅黑"/>
                <w:spacing w:val="-4"/>
                <w:sz w:val="21"/>
                <w:szCs w:val="21"/>
                <w:highlight w:val="none"/>
              </w:rPr>
              <w:t xml:space="preserve"> </w:t>
            </w:r>
            <w:r>
              <w:rPr>
                <w:rFonts w:hint="eastAsia" w:ascii="微软雅黑" w:eastAsia="微软雅黑" w:cs="微软雅黑"/>
                <w:spacing w:val="-4"/>
                <w:sz w:val="21"/>
                <w:szCs w:val="21"/>
                <w:highlight w:val="none"/>
              </w:rPr>
              <w:t>厚的木板或两道相距</w:t>
            </w:r>
            <w:r>
              <w:rPr>
                <w:rFonts w:hint="default" w:ascii="微软雅黑" w:eastAsia="微软雅黑" w:cs="微软雅黑"/>
                <w:spacing w:val="-4"/>
                <w:sz w:val="21"/>
                <w:szCs w:val="21"/>
                <w:highlight w:val="none"/>
              </w:rPr>
              <w:t xml:space="preserve"> </w:t>
            </w:r>
            <w:r>
              <w:rPr>
                <w:rFonts w:hint="default" w:ascii="微软雅黑" w:eastAsia="微软雅黑" w:cs="微软雅黑"/>
                <w:sz w:val="21"/>
                <w:szCs w:val="21"/>
                <w:highlight w:val="none"/>
              </w:rPr>
              <w:t>50cm</w:t>
            </w:r>
            <w:r>
              <w:rPr>
                <w:rFonts w:hint="default" w:ascii="微软雅黑" w:eastAsia="微软雅黑" w:cs="微软雅黑"/>
                <w:spacing w:val="-4"/>
                <w:sz w:val="21"/>
                <w:szCs w:val="21"/>
                <w:highlight w:val="none"/>
              </w:rPr>
              <w:t xml:space="preserve"> </w:t>
            </w:r>
            <w:r>
              <w:rPr>
                <w:rFonts w:hint="eastAsia" w:ascii="微软雅黑" w:eastAsia="微软雅黑" w:cs="微软雅黑"/>
                <w:spacing w:val="-4"/>
                <w:sz w:val="21"/>
                <w:szCs w:val="21"/>
                <w:highlight w:val="none"/>
              </w:rPr>
              <w:t>的竹笆。</w:t>
            </w:r>
          </w:p>
          <w:p w14:paraId="11C2E100">
            <w:pPr>
              <w:pStyle w:val="625"/>
              <w:keepNext w:val="0"/>
              <w:keepLines w:val="0"/>
              <w:suppressLineNumbers w:val="0"/>
              <w:spacing w:before="0" w:beforeAutospacing="0" w:after="0" w:afterAutospacing="0" w:line="273" w:lineRule="exact"/>
              <w:ind w:left="107" w:right="0"/>
              <w:rPr>
                <w:rFonts w:hint="default" w:ascii="微软雅黑" w:eastAsia="微软雅黑" w:cs="微软雅黑"/>
                <w:spacing w:val="-1"/>
                <w:sz w:val="21"/>
                <w:szCs w:val="21"/>
                <w:highlight w:val="none"/>
              </w:rPr>
            </w:pPr>
            <w:r>
              <w:rPr>
                <w:rFonts w:hint="eastAsia" w:ascii="微软雅黑" w:eastAsia="微软雅黑" w:cs="微软雅黑"/>
                <w:spacing w:val="-1"/>
                <w:sz w:val="21"/>
                <w:szCs w:val="21"/>
                <w:highlight w:val="none"/>
              </w:rPr>
              <w:t>两侧应沿栏杆架用密目式安全网封闭。</w:t>
            </w:r>
          </w:p>
        </w:tc>
      </w:tr>
      <w:tr w14:paraId="575ADED6">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77729F8F">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19DC7193">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09F41BD4">
            <w:pPr>
              <w:pStyle w:val="625"/>
              <w:keepNext w:val="0"/>
              <w:keepLines w:val="0"/>
              <w:suppressLineNumbers w:val="0"/>
              <w:spacing w:before="111" w:beforeAutospacing="0" w:after="0" w:afterAutospacing="0"/>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预留洞口</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303F3C57">
            <w:pPr>
              <w:pStyle w:val="625"/>
              <w:keepNext w:val="0"/>
              <w:keepLines w:val="0"/>
              <w:suppressLineNumbers w:val="0"/>
              <w:spacing w:before="0" w:beforeAutospacing="0" w:after="0" w:afterAutospacing="0" w:line="306" w:lineRule="exact"/>
              <w:ind w:left="107" w:right="0"/>
              <w:rPr>
                <w:rFonts w:hint="default" w:ascii="微软雅黑" w:eastAsia="微软雅黑" w:cs="微软雅黑"/>
                <w:spacing w:val="-5"/>
                <w:sz w:val="21"/>
                <w:szCs w:val="21"/>
                <w:highlight w:val="none"/>
              </w:rPr>
            </w:pPr>
            <w:r>
              <w:rPr>
                <w:rFonts w:hint="eastAsia" w:ascii="微软雅黑" w:eastAsia="微软雅黑" w:cs="微软雅黑"/>
                <w:spacing w:val="-3"/>
                <w:sz w:val="21"/>
                <w:szCs w:val="21"/>
                <w:highlight w:val="none"/>
              </w:rPr>
              <w:t>用硬质材料全封闭，短边超过</w:t>
            </w:r>
            <w:r>
              <w:rPr>
                <w:rFonts w:hint="default" w:ascii="微软雅黑" w:eastAsia="微软雅黑" w:cs="微软雅黑"/>
                <w:spacing w:val="-3"/>
                <w:sz w:val="21"/>
                <w:szCs w:val="21"/>
                <w:highlight w:val="none"/>
              </w:rPr>
              <w:t xml:space="preserve"> </w:t>
            </w:r>
            <w:r>
              <w:rPr>
                <w:rFonts w:hint="default" w:ascii="微软雅黑" w:eastAsia="微软雅黑" w:cs="微软雅黑"/>
                <w:spacing w:val="-2"/>
                <w:sz w:val="21"/>
                <w:szCs w:val="21"/>
                <w:highlight w:val="none"/>
              </w:rPr>
              <w:t>1.5m</w:t>
            </w:r>
            <w:r>
              <w:rPr>
                <w:rFonts w:hint="default" w:ascii="微软雅黑" w:eastAsia="微软雅黑" w:cs="微软雅黑"/>
                <w:spacing w:val="-5"/>
                <w:sz w:val="21"/>
                <w:szCs w:val="21"/>
                <w:highlight w:val="none"/>
              </w:rPr>
              <w:t xml:space="preserve"> </w:t>
            </w:r>
            <w:r>
              <w:rPr>
                <w:rFonts w:hint="eastAsia" w:ascii="微软雅黑" w:eastAsia="微软雅黑" w:cs="微软雅黑"/>
                <w:spacing w:val="-5"/>
                <w:sz w:val="21"/>
                <w:szCs w:val="21"/>
                <w:highlight w:val="none"/>
              </w:rPr>
              <w:t>长的洞口，除封闭外四周还应设有</w:t>
            </w:r>
          </w:p>
          <w:p w14:paraId="279C8FE8">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防护栏杆。</w:t>
            </w:r>
          </w:p>
        </w:tc>
      </w:tr>
      <w:tr w14:paraId="1D3D8672">
        <w:tblPrEx>
          <w:tblCellMar>
            <w:top w:w="0" w:type="dxa"/>
            <w:left w:w="0" w:type="dxa"/>
            <w:bottom w:w="0" w:type="dxa"/>
            <w:right w:w="0" w:type="dxa"/>
          </w:tblCellMar>
        </w:tblPrEx>
        <w:trPr>
          <w:trHeight w:val="604"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2B67ABA8">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05E1549B">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45F7EBE2">
            <w:pPr>
              <w:pStyle w:val="625"/>
              <w:keepNext w:val="0"/>
              <w:keepLines w:val="0"/>
              <w:suppressLineNumbers w:val="0"/>
              <w:spacing w:before="117" w:beforeAutospacing="0" w:after="0" w:afterAutospacing="0"/>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电梯井口</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067AAE37">
            <w:pPr>
              <w:pStyle w:val="625"/>
              <w:keepNext w:val="0"/>
              <w:keepLines w:val="0"/>
              <w:suppressLineNumbers w:val="0"/>
              <w:spacing w:before="0" w:beforeAutospacing="0" w:after="0" w:afterAutospacing="0" w:line="309" w:lineRule="exact"/>
              <w:ind w:left="107" w:right="0"/>
              <w:rPr>
                <w:rFonts w:hint="default" w:ascii="微软雅黑" w:eastAsia="微软雅黑" w:cs="微软雅黑"/>
                <w:sz w:val="21"/>
                <w:szCs w:val="21"/>
                <w:highlight w:val="none"/>
              </w:rPr>
            </w:pPr>
            <w:r>
              <w:rPr>
                <w:rFonts w:hint="eastAsia" w:ascii="微软雅黑" w:eastAsia="微软雅黑" w:cs="微软雅黑"/>
                <w:spacing w:val="-1"/>
                <w:sz w:val="21"/>
                <w:szCs w:val="21"/>
                <w:highlight w:val="none"/>
              </w:rPr>
              <w:t>设置定垄化、工具化的防护门，在电梯井内每隔</w:t>
            </w:r>
            <w:r>
              <w:rPr>
                <w:rFonts w:hint="default" w:ascii="微软雅黑" w:eastAsia="微软雅黑" w:cs="微软雅黑"/>
                <w:spacing w:val="-1"/>
                <w:sz w:val="21"/>
                <w:szCs w:val="21"/>
                <w:highlight w:val="none"/>
              </w:rPr>
              <w:t xml:space="preserve"> </w:t>
            </w:r>
            <w:r>
              <w:rPr>
                <w:rFonts w:hint="default" w:ascii="微软雅黑" w:eastAsia="微软雅黑" w:cs="微软雅黑"/>
                <w:sz w:val="21"/>
                <w:szCs w:val="21"/>
                <w:highlight w:val="none"/>
              </w:rPr>
              <w:t xml:space="preserve">2 </w:t>
            </w:r>
            <w:r>
              <w:rPr>
                <w:rFonts w:hint="eastAsia" w:ascii="微软雅黑" w:eastAsia="微软雅黑" w:cs="微软雅黑"/>
                <w:sz w:val="21"/>
                <w:szCs w:val="21"/>
                <w:highlight w:val="none"/>
              </w:rPr>
              <w:t>层（丌大亍</w:t>
            </w:r>
            <w:r>
              <w:rPr>
                <w:rFonts w:hint="default" w:ascii="微软雅黑" w:eastAsia="微软雅黑" w:cs="微软雅黑"/>
                <w:sz w:val="21"/>
                <w:szCs w:val="21"/>
                <w:highlight w:val="none"/>
              </w:rPr>
              <w:t xml:space="preserve"> 10m</w:t>
            </w:r>
            <w:r>
              <w:rPr>
                <w:rFonts w:hint="eastAsia" w:ascii="微软雅黑" w:eastAsia="微软雅黑" w:cs="微软雅黑"/>
                <w:sz w:val="21"/>
                <w:szCs w:val="21"/>
                <w:highlight w:val="none"/>
              </w:rPr>
              <w:t>）</w:t>
            </w:r>
          </w:p>
          <w:p w14:paraId="4C0BB6EE">
            <w:pPr>
              <w:pStyle w:val="625"/>
              <w:keepNext w:val="0"/>
              <w:keepLines w:val="0"/>
              <w:suppressLineNumbers w:val="0"/>
              <w:spacing w:before="0" w:beforeAutospacing="0" w:after="0" w:afterAutospacing="0" w:line="276"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设置一道水平防护。</w:t>
            </w:r>
          </w:p>
        </w:tc>
      </w:tr>
      <w:tr w14:paraId="6B6CB335">
        <w:tblPrEx>
          <w:tblCellMar>
            <w:top w:w="0" w:type="dxa"/>
            <w:left w:w="0" w:type="dxa"/>
            <w:bottom w:w="0" w:type="dxa"/>
            <w:right w:w="0" w:type="dxa"/>
          </w:tblCellMar>
        </w:tblPrEx>
        <w:trPr>
          <w:trHeight w:val="2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07BB8D01">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1C89D404">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4A015071">
            <w:pPr>
              <w:pStyle w:val="625"/>
              <w:keepNext w:val="0"/>
              <w:keepLines w:val="0"/>
              <w:suppressLineNumbers w:val="0"/>
              <w:spacing w:before="0" w:beforeAutospacing="0" w:after="0" w:afterAutospacing="0" w:line="280" w:lineRule="exact"/>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楼梯边</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5A62D741">
            <w:pPr>
              <w:pStyle w:val="625"/>
              <w:keepNext w:val="0"/>
              <w:keepLines w:val="0"/>
              <w:suppressLineNumbers w:val="0"/>
              <w:spacing w:before="0" w:beforeAutospacing="0" w:after="0" w:afterAutospacing="0" w:line="280" w:lineRule="exact"/>
              <w:ind w:left="107" w:right="0"/>
              <w:rPr>
                <w:rFonts w:hint="default" w:ascii="微软雅黑" w:eastAsia="微软雅黑" w:cs="微软雅黑"/>
                <w:spacing w:val="-4"/>
                <w:sz w:val="21"/>
                <w:szCs w:val="21"/>
                <w:highlight w:val="none"/>
              </w:rPr>
            </w:pPr>
            <w:r>
              <w:rPr>
                <w:rFonts w:hint="eastAsia" w:ascii="微软雅黑" w:eastAsia="微软雅黑" w:cs="微软雅黑"/>
                <w:spacing w:val="-5"/>
                <w:sz w:val="21"/>
                <w:szCs w:val="21"/>
                <w:highlight w:val="none"/>
              </w:rPr>
              <w:t>设</w:t>
            </w:r>
            <w:r>
              <w:rPr>
                <w:rFonts w:hint="default" w:ascii="微软雅黑" w:eastAsia="微软雅黑" w:cs="微软雅黑"/>
                <w:spacing w:val="-5"/>
                <w:sz w:val="21"/>
                <w:szCs w:val="21"/>
                <w:highlight w:val="none"/>
              </w:rPr>
              <w:t xml:space="preserve"> </w:t>
            </w:r>
            <w:r>
              <w:rPr>
                <w:rFonts w:hint="default" w:ascii="微软雅黑" w:eastAsia="微软雅黑" w:cs="微软雅黑"/>
                <w:sz w:val="21"/>
                <w:szCs w:val="21"/>
                <w:highlight w:val="none"/>
              </w:rPr>
              <w:t>1.2m</w:t>
            </w:r>
            <w:r>
              <w:rPr>
                <w:rFonts w:hint="default" w:ascii="微软雅黑" w:eastAsia="微软雅黑" w:cs="微软雅黑"/>
                <w:spacing w:val="-4"/>
                <w:sz w:val="21"/>
                <w:szCs w:val="21"/>
                <w:highlight w:val="none"/>
              </w:rPr>
              <w:t xml:space="preserve"> </w:t>
            </w:r>
            <w:r>
              <w:rPr>
                <w:rFonts w:hint="eastAsia" w:ascii="微软雅黑" w:eastAsia="微软雅黑" w:cs="微软雅黑"/>
                <w:spacing w:val="-4"/>
                <w:sz w:val="21"/>
                <w:szCs w:val="21"/>
                <w:highlight w:val="none"/>
              </w:rPr>
              <w:t>高的定垄化、工具化的防护栏，</w:t>
            </w:r>
            <w:r>
              <w:rPr>
                <w:rFonts w:hint="default" w:ascii="微软雅黑" w:eastAsia="微软雅黑" w:cs="微软雅黑"/>
                <w:sz w:val="21"/>
                <w:szCs w:val="21"/>
                <w:highlight w:val="none"/>
              </w:rPr>
              <w:t>18cm</w:t>
            </w:r>
            <w:r>
              <w:rPr>
                <w:rFonts w:hint="default" w:ascii="微软雅黑" w:eastAsia="微软雅黑" w:cs="微软雅黑"/>
                <w:spacing w:val="-4"/>
                <w:sz w:val="21"/>
                <w:szCs w:val="21"/>
                <w:highlight w:val="none"/>
              </w:rPr>
              <w:t xml:space="preserve"> </w:t>
            </w:r>
            <w:r>
              <w:rPr>
                <w:rFonts w:hint="eastAsia" w:ascii="微软雅黑" w:eastAsia="微软雅黑" w:cs="微软雅黑"/>
                <w:spacing w:val="-4"/>
                <w:sz w:val="21"/>
                <w:szCs w:val="21"/>
                <w:highlight w:val="none"/>
              </w:rPr>
              <w:t>高的踢脚板。</w:t>
            </w:r>
          </w:p>
        </w:tc>
      </w:tr>
      <w:tr w14:paraId="07AD162C">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693E7F00">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0D3485BA">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31DBA529">
            <w:pPr>
              <w:pStyle w:val="625"/>
              <w:keepNext w:val="0"/>
              <w:keepLines w:val="0"/>
              <w:suppressLineNumbers w:val="0"/>
              <w:spacing w:before="0" w:beforeAutospacing="0" w:after="0" w:afterAutospacing="0" w:line="306" w:lineRule="exact"/>
              <w:ind w:left="117" w:right="0"/>
              <w:rPr>
                <w:rFonts w:hint="default" w:ascii="微软雅黑" w:eastAsia="微软雅黑" w:cs="微软雅黑"/>
                <w:spacing w:val="9"/>
                <w:sz w:val="21"/>
                <w:szCs w:val="21"/>
                <w:highlight w:val="none"/>
              </w:rPr>
            </w:pPr>
            <w:r>
              <w:rPr>
                <w:rFonts w:hint="eastAsia" w:ascii="微软雅黑" w:eastAsia="微软雅黑" w:cs="微软雅黑"/>
                <w:spacing w:val="9"/>
                <w:sz w:val="21"/>
                <w:szCs w:val="21"/>
                <w:highlight w:val="none"/>
              </w:rPr>
              <w:t>垂直方向交叉</w:t>
            </w:r>
          </w:p>
          <w:p w14:paraId="585F9FA4">
            <w:pPr>
              <w:pStyle w:val="625"/>
              <w:keepNext w:val="0"/>
              <w:keepLines w:val="0"/>
              <w:suppressLineNumbers w:val="0"/>
              <w:spacing w:before="0" w:beforeAutospacing="0" w:after="0" w:afterAutospacing="0" w:line="273" w:lineRule="exact"/>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作业</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5E1D47F7">
            <w:pPr>
              <w:pStyle w:val="625"/>
              <w:keepNext w:val="0"/>
              <w:keepLines w:val="0"/>
              <w:suppressLineNumbers w:val="0"/>
              <w:spacing w:before="114" w:beforeAutospacing="0" w:after="0" w:afterAutospacing="0"/>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设置防护隔离棚或其它设施。</w:t>
            </w:r>
          </w:p>
        </w:tc>
      </w:tr>
      <w:tr w14:paraId="528E990F">
        <w:tblPrEx>
          <w:tblCellMar>
            <w:top w:w="0" w:type="dxa"/>
            <w:left w:w="0" w:type="dxa"/>
            <w:bottom w:w="0" w:type="dxa"/>
            <w:right w:w="0" w:type="dxa"/>
          </w:tblCellMar>
        </w:tblPrEx>
        <w:trPr>
          <w:trHeight w:val="602"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19D6A3D9">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27F4BA6F">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1342FF38">
            <w:pPr>
              <w:pStyle w:val="625"/>
              <w:keepNext w:val="0"/>
              <w:keepLines w:val="0"/>
              <w:suppressLineNumbers w:val="0"/>
              <w:spacing w:before="114" w:beforeAutospacing="0" w:after="0" w:afterAutospacing="0"/>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高处作业</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1EB38B5E">
            <w:pPr>
              <w:pStyle w:val="625"/>
              <w:keepNext w:val="0"/>
              <w:keepLines w:val="0"/>
              <w:suppressLineNumbers w:val="0"/>
              <w:spacing w:before="0" w:beforeAutospacing="0" w:after="0" w:afterAutospacing="0" w:line="309" w:lineRule="exact"/>
              <w:ind w:left="107" w:right="0"/>
              <w:rPr>
                <w:rFonts w:hint="default" w:ascii="微软雅黑" w:eastAsia="微软雅黑" w:cs="微软雅黑"/>
                <w:spacing w:val="-3"/>
                <w:sz w:val="21"/>
                <w:szCs w:val="21"/>
                <w:highlight w:val="none"/>
              </w:rPr>
            </w:pPr>
            <w:r>
              <w:rPr>
                <w:rFonts w:hint="eastAsia" w:ascii="微软雅黑" w:eastAsia="微软雅黑" w:cs="微软雅黑"/>
                <w:spacing w:val="-3"/>
                <w:sz w:val="21"/>
                <w:szCs w:val="21"/>
                <w:highlight w:val="none"/>
              </w:rPr>
              <w:t>有悬挂安全带的悬索或其它设施，有操作平台，有上下的梯子或其它形</w:t>
            </w:r>
          </w:p>
          <w:p w14:paraId="4B82CBE7">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式的通道。</w:t>
            </w:r>
          </w:p>
        </w:tc>
      </w:tr>
      <w:tr w14:paraId="7FE8D3C9">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7A91E6D5">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72D951D8">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47EB045E">
            <w:pPr>
              <w:pStyle w:val="625"/>
              <w:keepNext w:val="0"/>
              <w:keepLines w:val="0"/>
              <w:suppressLineNumbers w:val="0"/>
              <w:spacing w:before="0" w:beforeAutospacing="0" w:after="0" w:afterAutospacing="0" w:line="306" w:lineRule="exact"/>
              <w:ind w:left="117" w:right="0"/>
              <w:rPr>
                <w:rFonts w:hint="default" w:ascii="微软雅黑" w:eastAsia="微软雅黑" w:cs="微软雅黑"/>
                <w:spacing w:val="9"/>
                <w:sz w:val="21"/>
                <w:szCs w:val="21"/>
                <w:highlight w:val="none"/>
              </w:rPr>
            </w:pPr>
            <w:r>
              <w:rPr>
                <w:rFonts w:hint="eastAsia" w:ascii="微软雅黑" w:eastAsia="微软雅黑" w:cs="微软雅黑"/>
                <w:spacing w:val="9"/>
                <w:sz w:val="21"/>
                <w:szCs w:val="21"/>
                <w:highlight w:val="none"/>
              </w:rPr>
              <w:t>基坑、物料平</w:t>
            </w:r>
          </w:p>
          <w:p w14:paraId="62888B21">
            <w:pPr>
              <w:pStyle w:val="625"/>
              <w:keepNext w:val="0"/>
              <w:keepLines w:val="0"/>
              <w:suppressLineNumbers w:val="0"/>
              <w:spacing w:before="0" w:beforeAutospacing="0" w:after="0" w:afterAutospacing="0" w:line="273" w:lineRule="exact"/>
              <w:ind w:left="11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台</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73FE7A5E">
            <w:pPr>
              <w:pStyle w:val="625"/>
              <w:keepNext w:val="0"/>
              <w:keepLines w:val="0"/>
              <w:suppressLineNumbers w:val="0"/>
              <w:spacing w:before="111" w:beforeAutospacing="0" w:after="0" w:afterAutospacing="0"/>
              <w:ind w:left="107" w:right="0"/>
              <w:rPr>
                <w:rFonts w:hint="default" w:ascii="微软雅黑" w:eastAsia="微软雅黑" w:cs="微软雅黑"/>
                <w:spacing w:val="-4"/>
                <w:sz w:val="21"/>
                <w:szCs w:val="21"/>
                <w:highlight w:val="none"/>
              </w:rPr>
            </w:pPr>
            <w:r>
              <w:rPr>
                <w:rFonts w:hint="eastAsia" w:ascii="微软雅黑" w:eastAsia="微软雅黑" w:cs="微软雅黑"/>
                <w:spacing w:val="-5"/>
                <w:sz w:val="21"/>
                <w:szCs w:val="21"/>
                <w:highlight w:val="none"/>
              </w:rPr>
              <w:t>设</w:t>
            </w:r>
            <w:r>
              <w:rPr>
                <w:rFonts w:hint="default" w:ascii="微软雅黑" w:eastAsia="微软雅黑" w:cs="微软雅黑"/>
                <w:spacing w:val="-5"/>
                <w:sz w:val="21"/>
                <w:szCs w:val="21"/>
                <w:highlight w:val="none"/>
              </w:rPr>
              <w:t xml:space="preserve"> </w:t>
            </w:r>
            <w:r>
              <w:rPr>
                <w:rFonts w:hint="default" w:ascii="微软雅黑" w:eastAsia="微软雅黑" w:cs="微软雅黑"/>
                <w:sz w:val="21"/>
                <w:szCs w:val="21"/>
                <w:highlight w:val="none"/>
              </w:rPr>
              <w:t>1.2m</w:t>
            </w:r>
            <w:r>
              <w:rPr>
                <w:rFonts w:hint="default" w:ascii="微软雅黑" w:eastAsia="微软雅黑" w:cs="微软雅黑"/>
                <w:spacing w:val="-4"/>
                <w:sz w:val="21"/>
                <w:szCs w:val="21"/>
                <w:highlight w:val="none"/>
              </w:rPr>
              <w:t xml:space="preserve"> </w:t>
            </w:r>
            <w:r>
              <w:rPr>
                <w:rFonts w:hint="eastAsia" w:ascii="微软雅黑" w:eastAsia="微软雅黑" w:cs="微软雅黑"/>
                <w:spacing w:val="-4"/>
                <w:sz w:val="21"/>
                <w:szCs w:val="21"/>
                <w:highlight w:val="none"/>
              </w:rPr>
              <w:t>高标准化的防护栏，用密目式安全立网封闭，悬挂标识。</w:t>
            </w:r>
          </w:p>
        </w:tc>
      </w:tr>
      <w:tr w14:paraId="52E417C4">
        <w:tblPrEx>
          <w:tblCellMar>
            <w:top w:w="0" w:type="dxa"/>
            <w:left w:w="0" w:type="dxa"/>
            <w:bottom w:w="0" w:type="dxa"/>
            <w:right w:w="0" w:type="dxa"/>
          </w:tblCellMar>
        </w:tblPrEx>
        <w:trPr>
          <w:trHeight w:val="599" w:hRule="atLeast"/>
          <w:jc w:val="center"/>
        </w:trPr>
        <w:tc>
          <w:tcPr>
            <w:tcW w:w="739" w:type="dxa"/>
            <w:vMerge w:val="continue"/>
            <w:tcBorders>
              <w:top w:val="nil"/>
              <w:left w:val="single" w:color="000000" w:sz="12" w:space="0"/>
              <w:bottom w:val="single" w:color="000000" w:sz="4" w:space="0"/>
              <w:right w:val="single" w:color="000000" w:sz="4" w:space="0"/>
            </w:tcBorders>
            <w:noWrap w:val="0"/>
            <w:vAlign w:val="top"/>
          </w:tcPr>
          <w:p w14:paraId="348D2574">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3C7D91A1">
            <w:pPr>
              <w:pStyle w:val="625"/>
              <w:keepNext w:val="0"/>
              <w:keepLines w:val="0"/>
              <w:suppressLineNumbers w:val="0"/>
              <w:spacing w:before="111" w:beforeAutospacing="0" w:after="0" w:afterAutospacing="0"/>
              <w:ind w:left="412"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安全防护用品</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6FE10384">
            <w:pPr>
              <w:pStyle w:val="625"/>
              <w:keepNext w:val="0"/>
              <w:keepLines w:val="0"/>
              <w:suppressLineNumbers w:val="0"/>
              <w:spacing w:before="0" w:beforeAutospacing="0" w:after="0" w:afterAutospacing="0" w:line="306" w:lineRule="exact"/>
              <w:ind w:left="107" w:right="-15"/>
              <w:rPr>
                <w:rFonts w:hint="default" w:ascii="微软雅黑" w:eastAsia="微软雅黑" w:cs="微软雅黑"/>
                <w:sz w:val="21"/>
                <w:szCs w:val="21"/>
                <w:highlight w:val="none"/>
              </w:rPr>
            </w:pPr>
            <w:r>
              <w:rPr>
                <w:rFonts w:hint="eastAsia" w:ascii="微软雅黑" w:eastAsia="微软雅黑" w:cs="微软雅黑"/>
                <w:spacing w:val="-1"/>
                <w:sz w:val="21"/>
                <w:szCs w:val="21"/>
                <w:highlight w:val="none"/>
              </w:rPr>
              <w:t>安全帽、安全带、特种作业人员</w:t>
            </w:r>
            <w:r>
              <w:rPr>
                <w:rFonts w:hint="eastAsia" w:ascii="微软雅黑" w:eastAsia="微软雅黑" w:cs="微软雅黑"/>
                <w:sz w:val="21"/>
                <w:szCs w:val="21"/>
                <w:highlight w:val="none"/>
              </w:rPr>
              <w:t>（电工、焊工、架子工等）防护服装、</w:t>
            </w:r>
          </w:p>
          <w:p w14:paraId="3BC3BF56">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用品等。</w:t>
            </w:r>
          </w:p>
        </w:tc>
      </w:tr>
      <w:tr w14:paraId="7AD20384">
        <w:tblPrEx>
          <w:tblCellMar>
            <w:top w:w="0" w:type="dxa"/>
            <w:left w:w="0" w:type="dxa"/>
            <w:bottom w:w="0" w:type="dxa"/>
            <w:right w:w="0" w:type="dxa"/>
          </w:tblCellMar>
        </w:tblPrEx>
        <w:trPr>
          <w:trHeight w:val="645" w:hRule="atLeast"/>
          <w:jc w:val="center"/>
        </w:trPr>
        <w:tc>
          <w:tcPr>
            <w:tcW w:w="739" w:type="dxa"/>
            <w:vMerge w:val="restart"/>
            <w:tcBorders>
              <w:top w:val="single" w:color="000000" w:sz="4" w:space="0"/>
              <w:left w:val="single" w:color="000000" w:sz="12" w:space="0"/>
              <w:bottom w:val="single" w:color="000000" w:sz="12" w:space="0"/>
              <w:right w:val="single" w:color="000000" w:sz="4" w:space="0"/>
            </w:tcBorders>
            <w:noWrap w:val="0"/>
            <w:vAlign w:val="top"/>
          </w:tcPr>
          <w:p w14:paraId="01542B9D">
            <w:pPr>
              <w:pStyle w:val="625"/>
              <w:keepNext w:val="0"/>
              <w:keepLines w:val="0"/>
              <w:suppressLineNumbers w:val="0"/>
              <w:spacing w:before="0" w:beforeAutospacing="0" w:after="0" w:afterAutospacing="0"/>
              <w:ind w:left="0" w:right="0"/>
              <w:rPr>
                <w:rFonts w:hint="default"/>
                <w:b/>
                <w:bCs/>
                <w:sz w:val="28"/>
                <w:szCs w:val="28"/>
                <w:highlight w:val="none"/>
              </w:rPr>
            </w:pPr>
          </w:p>
          <w:p w14:paraId="7E376BE2">
            <w:pPr>
              <w:pStyle w:val="625"/>
              <w:keepNext w:val="0"/>
              <w:keepLines w:val="0"/>
              <w:suppressLineNumbers w:val="0"/>
              <w:spacing w:before="0" w:beforeAutospacing="0" w:after="0" w:afterAutospacing="0"/>
              <w:ind w:left="0" w:right="0"/>
              <w:rPr>
                <w:rFonts w:hint="default"/>
                <w:b/>
                <w:bCs/>
                <w:sz w:val="28"/>
                <w:szCs w:val="28"/>
                <w:highlight w:val="none"/>
              </w:rPr>
            </w:pPr>
          </w:p>
          <w:p w14:paraId="233C7F36">
            <w:pPr>
              <w:pStyle w:val="625"/>
              <w:keepNext w:val="0"/>
              <w:keepLines w:val="0"/>
              <w:suppressLineNumbers w:val="0"/>
              <w:spacing w:before="0" w:beforeAutospacing="0" w:after="0" w:afterAutospacing="0"/>
              <w:ind w:left="0" w:right="0"/>
              <w:rPr>
                <w:rFonts w:hint="default"/>
                <w:b/>
                <w:bCs/>
                <w:sz w:val="28"/>
                <w:szCs w:val="28"/>
                <w:highlight w:val="none"/>
              </w:rPr>
            </w:pPr>
          </w:p>
          <w:p w14:paraId="2A12D293">
            <w:pPr>
              <w:pStyle w:val="625"/>
              <w:keepNext w:val="0"/>
              <w:keepLines w:val="0"/>
              <w:suppressLineNumbers w:val="0"/>
              <w:spacing w:before="3" w:beforeAutospacing="0" w:after="0" w:afterAutospacing="0"/>
              <w:ind w:left="0" w:right="0"/>
              <w:rPr>
                <w:rFonts w:hint="default"/>
                <w:b/>
                <w:bCs/>
                <w:sz w:val="35"/>
                <w:szCs w:val="35"/>
                <w:highlight w:val="none"/>
              </w:rPr>
            </w:pPr>
          </w:p>
          <w:p w14:paraId="0FCBF95F">
            <w:pPr>
              <w:pStyle w:val="625"/>
              <w:keepNext w:val="0"/>
              <w:keepLines w:val="0"/>
              <w:suppressLineNumbers w:val="0"/>
              <w:spacing w:before="0" w:beforeAutospacing="0" w:after="0" w:afterAutospacing="0"/>
              <w:ind w:left="15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其它</w:t>
            </w:r>
          </w:p>
        </w:tc>
        <w:tc>
          <w:tcPr>
            <w:tcW w:w="523" w:type="dxa"/>
            <w:vMerge w:val="restart"/>
            <w:tcBorders>
              <w:top w:val="single" w:color="000000" w:sz="4" w:space="0"/>
              <w:left w:val="single" w:color="000000" w:sz="4" w:space="0"/>
              <w:bottom w:val="single" w:color="000000" w:sz="4" w:space="0"/>
              <w:right w:val="single" w:color="000000" w:sz="4" w:space="0"/>
            </w:tcBorders>
            <w:noWrap w:val="0"/>
            <w:vAlign w:val="top"/>
          </w:tcPr>
          <w:p w14:paraId="08C6BF43">
            <w:pPr>
              <w:pStyle w:val="625"/>
              <w:keepNext w:val="0"/>
              <w:keepLines w:val="0"/>
              <w:suppressLineNumbers w:val="0"/>
              <w:spacing w:before="23" w:beforeAutospacing="0" w:after="0" w:afterAutospacing="0" w:line="187" w:lineRule="auto"/>
              <w:ind w:left="165" w:right="134"/>
              <w:jc w:val="both"/>
              <w:rPr>
                <w:rFonts w:hint="default" w:ascii="微软雅黑" w:eastAsia="微软雅黑" w:cs="微软雅黑"/>
                <w:sz w:val="21"/>
                <w:szCs w:val="21"/>
                <w:highlight w:val="none"/>
              </w:rPr>
            </w:pPr>
            <w:r>
              <w:rPr>
                <w:rFonts w:hint="eastAsia" w:ascii="微软雅黑" w:eastAsia="微软雅黑" w:cs="微软雅黑"/>
                <w:sz w:val="21"/>
                <w:szCs w:val="21"/>
                <w:highlight w:val="none"/>
              </w:rPr>
              <w:t>机械设备防</w:t>
            </w:r>
          </w:p>
          <w:p w14:paraId="1CA9718F">
            <w:pPr>
              <w:pStyle w:val="625"/>
              <w:keepNext w:val="0"/>
              <w:keepLines w:val="0"/>
              <w:suppressLineNumbers w:val="0"/>
              <w:spacing w:before="0" w:beforeAutospacing="0" w:after="0" w:afterAutospacing="0" w:line="237" w:lineRule="exact"/>
              <w:ind w:left="165"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护</w:t>
            </w: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4B49C8B1">
            <w:pPr>
              <w:pStyle w:val="625"/>
              <w:keepNext w:val="0"/>
              <w:keepLines w:val="0"/>
              <w:suppressLineNumbers w:val="0"/>
              <w:spacing w:before="140" w:beforeAutospacing="0" w:after="0" w:afterAutospacing="0"/>
              <w:ind w:left="256"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中小垄机械</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69DFFC34">
            <w:pPr>
              <w:pStyle w:val="625"/>
              <w:keepNext w:val="0"/>
              <w:keepLines w:val="0"/>
              <w:suppressLineNumbers w:val="0"/>
              <w:spacing w:before="140" w:beforeAutospacing="0" w:after="0" w:afterAutospacing="0"/>
              <w:ind w:left="107" w:right="0"/>
              <w:rPr>
                <w:rFonts w:hint="default" w:ascii="微软雅黑" w:eastAsia="微软雅黑" w:cs="微软雅黑"/>
                <w:sz w:val="21"/>
                <w:szCs w:val="21"/>
                <w:highlight w:val="none"/>
              </w:rPr>
            </w:pPr>
            <w:r>
              <w:rPr>
                <w:rFonts w:hint="eastAsia" w:ascii="微软雅黑" w:eastAsia="微软雅黑" w:cs="微软雅黑"/>
                <w:spacing w:val="-1"/>
                <w:sz w:val="21"/>
                <w:szCs w:val="21"/>
                <w:highlight w:val="none"/>
              </w:rPr>
              <w:t>设防护棚</w:t>
            </w:r>
            <w:r>
              <w:rPr>
                <w:rFonts w:hint="eastAsia" w:ascii="微软雅黑" w:eastAsia="微软雅黑" w:cs="微软雅黑"/>
                <w:sz w:val="21"/>
                <w:szCs w:val="21"/>
                <w:highlight w:val="none"/>
              </w:rPr>
              <w:t>（同通道口防护并有防雨措施）。</w:t>
            </w:r>
          </w:p>
        </w:tc>
      </w:tr>
      <w:tr w14:paraId="471CFB95">
        <w:tblPrEx>
          <w:tblCellMar>
            <w:top w:w="0" w:type="dxa"/>
            <w:left w:w="0" w:type="dxa"/>
            <w:bottom w:w="0" w:type="dxa"/>
            <w:right w:w="0" w:type="dxa"/>
          </w:tblCellMar>
        </w:tblPrEx>
        <w:trPr>
          <w:trHeight w:val="1114"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7E635A45">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523" w:type="dxa"/>
            <w:vMerge w:val="continue"/>
            <w:tcBorders>
              <w:top w:val="nil"/>
              <w:left w:val="single" w:color="000000" w:sz="4" w:space="0"/>
              <w:bottom w:val="single" w:color="000000" w:sz="4" w:space="0"/>
              <w:right w:val="single" w:color="000000" w:sz="4" w:space="0"/>
            </w:tcBorders>
            <w:noWrap w:val="0"/>
            <w:vAlign w:val="top"/>
          </w:tcPr>
          <w:p w14:paraId="1E1762C9">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1546" w:type="dxa"/>
            <w:tcBorders>
              <w:top w:val="single" w:color="000000" w:sz="4" w:space="0"/>
              <w:left w:val="single" w:color="000000" w:sz="4" w:space="0"/>
              <w:bottom w:val="single" w:color="000000" w:sz="4" w:space="0"/>
              <w:right w:val="single" w:color="000000" w:sz="4" w:space="0"/>
            </w:tcBorders>
            <w:noWrap w:val="0"/>
            <w:vAlign w:val="top"/>
          </w:tcPr>
          <w:p w14:paraId="02204B62">
            <w:pPr>
              <w:pStyle w:val="625"/>
              <w:keepNext w:val="0"/>
              <w:keepLines w:val="0"/>
              <w:suppressLineNumbers w:val="0"/>
              <w:spacing w:before="11" w:beforeAutospacing="0" w:after="0" w:afterAutospacing="0"/>
              <w:ind w:left="0" w:right="0"/>
              <w:rPr>
                <w:rFonts w:hint="default"/>
                <w:b/>
                <w:bCs/>
                <w:sz w:val="28"/>
                <w:szCs w:val="28"/>
                <w:highlight w:val="none"/>
              </w:rPr>
            </w:pPr>
          </w:p>
          <w:p w14:paraId="6BBEA01B">
            <w:pPr>
              <w:pStyle w:val="625"/>
              <w:keepNext w:val="0"/>
              <w:keepLines w:val="0"/>
              <w:suppressLineNumbers w:val="0"/>
              <w:spacing w:before="0" w:beforeAutospacing="0" w:after="0" w:afterAutospacing="0"/>
              <w:ind w:left="151"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垂直运输设备</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3F1E8568">
            <w:pPr>
              <w:pStyle w:val="625"/>
              <w:keepNext w:val="0"/>
              <w:keepLines w:val="0"/>
              <w:numPr>
                <w:ilvl w:val="0"/>
                <w:numId w:val="11"/>
              </w:numPr>
              <w:suppressLineNumbers w:val="0"/>
              <w:tabs>
                <w:tab w:val="left" w:pos="389"/>
              </w:tabs>
              <w:spacing w:before="70" w:beforeAutospacing="0" w:after="0" w:afterAutospacing="0" w:line="344" w:lineRule="exact"/>
              <w:ind w:right="0" w:hanging="282"/>
              <w:rPr>
                <w:rFonts w:hint="default" w:ascii="微软雅黑" w:eastAsia="微软雅黑" w:cs="微软雅黑"/>
                <w:sz w:val="21"/>
                <w:szCs w:val="21"/>
                <w:highlight w:val="none"/>
              </w:rPr>
            </w:pPr>
            <w:r>
              <w:rPr>
                <w:rFonts w:hint="eastAsia" w:ascii="微软雅黑" w:eastAsia="微软雅黑" w:cs="微软雅黑"/>
                <w:sz w:val="21"/>
                <w:szCs w:val="21"/>
                <w:highlight w:val="none"/>
              </w:rPr>
              <w:t>垂直运输设备梱测、梱验、日常维护、保养等。</w:t>
            </w:r>
          </w:p>
          <w:p w14:paraId="08191277">
            <w:pPr>
              <w:pStyle w:val="625"/>
              <w:keepNext w:val="0"/>
              <w:keepLines w:val="0"/>
              <w:numPr>
                <w:ilvl w:val="0"/>
                <w:numId w:val="11"/>
              </w:numPr>
              <w:suppressLineNumbers w:val="0"/>
              <w:tabs>
                <w:tab w:val="left" w:pos="389"/>
              </w:tabs>
              <w:spacing w:before="17" w:beforeAutospacing="0" w:after="0" w:afterAutospacing="0" w:line="187" w:lineRule="auto"/>
              <w:ind w:left="107" w:right="78" w:firstLine="0"/>
              <w:rPr>
                <w:rFonts w:hint="default" w:ascii="微软雅黑" w:eastAsia="微软雅黑" w:cs="微软雅黑"/>
                <w:sz w:val="21"/>
                <w:szCs w:val="21"/>
                <w:highlight w:val="none"/>
              </w:rPr>
            </w:pPr>
            <w:r>
              <w:rPr>
                <w:rFonts w:hint="eastAsia" w:ascii="微软雅黑" w:eastAsia="微软雅黑" w:cs="微软雅黑"/>
                <w:sz w:val="21"/>
                <w:szCs w:val="21"/>
                <w:highlight w:val="none"/>
              </w:rPr>
              <w:t>物料提升机、施工电梯等物料平台搭设、外侧用密目式安全立网全封闭，有安全通道、安全防护门、防护棚等。</w:t>
            </w:r>
          </w:p>
        </w:tc>
      </w:tr>
      <w:tr w14:paraId="28F8C30B">
        <w:tblPrEx>
          <w:tblCellMar>
            <w:top w:w="0" w:type="dxa"/>
            <w:left w:w="0" w:type="dxa"/>
            <w:bottom w:w="0" w:type="dxa"/>
            <w:right w:w="0" w:type="dxa"/>
          </w:tblCellMar>
        </w:tblPrEx>
        <w:trPr>
          <w:trHeight w:val="481"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2B4F59AF">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5D0C0620">
            <w:pPr>
              <w:pStyle w:val="625"/>
              <w:keepNext w:val="0"/>
              <w:keepLines w:val="0"/>
              <w:suppressLineNumbers w:val="0"/>
              <w:spacing w:before="53" w:beforeAutospacing="0" w:after="0" w:afterAutospacing="0"/>
              <w:ind w:left="412"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与家论证审查</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695DBEE2">
            <w:pPr>
              <w:pStyle w:val="625"/>
              <w:keepNext w:val="0"/>
              <w:keepLines w:val="0"/>
              <w:suppressLineNumbers w:val="0"/>
              <w:spacing w:before="53" w:beforeAutospacing="0" w:after="0" w:afterAutospacing="0"/>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超过一定规模的危险性</w:t>
            </w:r>
            <w:bookmarkStart w:id="254" w:name="REVIEW_BM_1263"/>
            <w:r>
              <w:rPr>
                <w:rFonts w:hint="eastAsia" w:ascii="微软雅黑" w:eastAsia="微软雅黑" w:cs="微软雅黑"/>
                <w:sz w:val="21"/>
                <w:szCs w:val="21"/>
                <w:highlight w:val="none"/>
              </w:rPr>
              <w:t>较大</w:t>
            </w:r>
            <w:bookmarkEnd w:id="254"/>
            <w:r>
              <w:rPr>
                <w:rFonts w:hint="eastAsia" w:ascii="微软雅黑" w:eastAsia="微软雅黑" w:cs="微软雅黑"/>
                <w:sz w:val="21"/>
                <w:szCs w:val="21"/>
                <w:highlight w:val="none"/>
              </w:rPr>
              <w:t>分部分项工程与家论证审查。</w:t>
            </w:r>
          </w:p>
        </w:tc>
      </w:tr>
      <w:tr w14:paraId="025A9866">
        <w:tblPrEx>
          <w:tblCellMar>
            <w:top w:w="0" w:type="dxa"/>
            <w:left w:w="0" w:type="dxa"/>
            <w:bottom w:w="0" w:type="dxa"/>
            <w:right w:w="0" w:type="dxa"/>
          </w:tblCellMar>
        </w:tblPrEx>
        <w:trPr>
          <w:trHeight w:val="478"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06E98429">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4" w:space="0"/>
              <w:right w:val="single" w:color="000000" w:sz="4" w:space="0"/>
            </w:tcBorders>
            <w:noWrap w:val="0"/>
            <w:vAlign w:val="top"/>
          </w:tcPr>
          <w:p w14:paraId="3054F9DF">
            <w:pPr>
              <w:pStyle w:val="625"/>
              <w:keepNext w:val="0"/>
              <w:keepLines w:val="0"/>
              <w:suppressLineNumbers w:val="0"/>
              <w:spacing w:before="51" w:beforeAutospacing="0" w:after="0" w:afterAutospacing="0"/>
              <w:ind w:left="412"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应急救援预案</w:t>
            </w:r>
          </w:p>
        </w:tc>
        <w:tc>
          <w:tcPr>
            <w:tcW w:w="6647" w:type="dxa"/>
            <w:tcBorders>
              <w:top w:val="single" w:color="000000" w:sz="4" w:space="0"/>
              <w:left w:val="single" w:color="000000" w:sz="4" w:space="0"/>
              <w:bottom w:val="single" w:color="000000" w:sz="4" w:space="0"/>
              <w:right w:val="single" w:color="000000" w:sz="12" w:space="0"/>
            </w:tcBorders>
            <w:noWrap w:val="0"/>
            <w:vAlign w:val="top"/>
          </w:tcPr>
          <w:p w14:paraId="61058A89">
            <w:pPr>
              <w:pStyle w:val="625"/>
              <w:keepNext w:val="0"/>
              <w:keepLines w:val="0"/>
              <w:suppressLineNumbers w:val="0"/>
              <w:spacing w:before="51" w:beforeAutospacing="0" w:after="0" w:afterAutospacing="0"/>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救援器材准备及演练等。</w:t>
            </w:r>
          </w:p>
        </w:tc>
      </w:tr>
      <w:tr w14:paraId="2D9D6487">
        <w:tblPrEx>
          <w:tblCellMar>
            <w:top w:w="0" w:type="dxa"/>
            <w:left w:w="0" w:type="dxa"/>
            <w:bottom w:w="0" w:type="dxa"/>
            <w:right w:w="0" w:type="dxa"/>
          </w:tblCellMar>
        </w:tblPrEx>
        <w:trPr>
          <w:trHeight w:val="589" w:hRule="atLeast"/>
          <w:jc w:val="center"/>
        </w:trPr>
        <w:tc>
          <w:tcPr>
            <w:tcW w:w="739" w:type="dxa"/>
            <w:vMerge w:val="continue"/>
            <w:tcBorders>
              <w:top w:val="nil"/>
              <w:left w:val="single" w:color="000000" w:sz="12" w:space="0"/>
              <w:bottom w:val="single" w:color="000000" w:sz="12" w:space="0"/>
              <w:right w:val="single" w:color="000000" w:sz="4" w:space="0"/>
            </w:tcBorders>
            <w:noWrap w:val="0"/>
            <w:vAlign w:val="top"/>
          </w:tcPr>
          <w:p w14:paraId="3A616FED">
            <w:pPr>
              <w:keepNext w:val="0"/>
              <w:keepLines w:val="0"/>
              <w:suppressLineNumbers w:val="0"/>
              <w:spacing w:before="0" w:beforeAutospacing="0" w:after="0" w:afterAutospacing="0"/>
              <w:ind w:left="0" w:right="0"/>
              <w:rPr>
                <w:rFonts w:hint="default" w:ascii="Times New Roman" w:hAnsi="Times New Roman" w:cs="Times New Roman"/>
                <w:b/>
                <w:bCs/>
                <w:sz w:val="2"/>
                <w:szCs w:val="2"/>
                <w:highlight w:val="none"/>
              </w:rPr>
            </w:pPr>
          </w:p>
        </w:tc>
        <w:tc>
          <w:tcPr>
            <w:tcW w:w="2069" w:type="dxa"/>
            <w:gridSpan w:val="2"/>
            <w:tcBorders>
              <w:top w:val="single" w:color="000000" w:sz="4" w:space="0"/>
              <w:left w:val="single" w:color="000000" w:sz="4" w:space="0"/>
              <w:bottom w:val="single" w:color="000000" w:sz="12" w:space="0"/>
              <w:right w:val="single" w:color="000000" w:sz="4" w:space="0"/>
            </w:tcBorders>
            <w:noWrap w:val="0"/>
            <w:vAlign w:val="top"/>
          </w:tcPr>
          <w:p w14:paraId="51AB28EF">
            <w:pPr>
              <w:pStyle w:val="625"/>
              <w:keepNext w:val="0"/>
              <w:keepLines w:val="0"/>
              <w:suppressLineNumbers w:val="0"/>
              <w:spacing w:before="104" w:beforeAutospacing="0" w:after="0" w:afterAutospacing="0"/>
              <w:ind w:left="3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非正常情况施工</w:t>
            </w:r>
          </w:p>
        </w:tc>
        <w:tc>
          <w:tcPr>
            <w:tcW w:w="6647" w:type="dxa"/>
            <w:tcBorders>
              <w:top w:val="single" w:color="000000" w:sz="4" w:space="0"/>
              <w:left w:val="single" w:color="000000" w:sz="4" w:space="0"/>
              <w:bottom w:val="single" w:color="000000" w:sz="12" w:space="0"/>
              <w:right w:val="single" w:color="000000" w:sz="12" w:space="0"/>
            </w:tcBorders>
            <w:noWrap w:val="0"/>
            <w:vAlign w:val="top"/>
          </w:tcPr>
          <w:p w14:paraId="1574EB08">
            <w:pPr>
              <w:pStyle w:val="625"/>
              <w:keepNext w:val="0"/>
              <w:keepLines w:val="0"/>
              <w:suppressLineNumbers w:val="0"/>
              <w:spacing w:before="0" w:beforeAutospacing="0" w:after="0" w:afterAutospacing="0" w:line="296" w:lineRule="exact"/>
              <w:ind w:left="107" w:right="0"/>
              <w:rPr>
                <w:rFonts w:hint="default" w:ascii="微软雅黑" w:eastAsia="微软雅黑" w:cs="微软雅黑"/>
                <w:spacing w:val="-3"/>
                <w:sz w:val="21"/>
                <w:szCs w:val="21"/>
                <w:highlight w:val="none"/>
              </w:rPr>
            </w:pPr>
            <w:r>
              <w:rPr>
                <w:rFonts w:hint="eastAsia" w:ascii="微软雅黑" w:eastAsia="微软雅黑" w:cs="微软雅黑"/>
                <w:spacing w:val="-3"/>
                <w:sz w:val="21"/>
                <w:szCs w:val="21"/>
                <w:highlight w:val="none"/>
              </w:rPr>
              <w:t>其它特殊情况下的防护费用，如：城市主干道、人流密集、河边等处施</w:t>
            </w:r>
          </w:p>
          <w:p w14:paraId="603B7D92">
            <w:pPr>
              <w:pStyle w:val="625"/>
              <w:keepNext w:val="0"/>
              <w:keepLines w:val="0"/>
              <w:suppressLineNumbers w:val="0"/>
              <w:spacing w:before="0" w:beforeAutospacing="0" w:after="0" w:afterAutospacing="0" w:line="273" w:lineRule="exact"/>
              <w:ind w:left="107" w:right="0"/>
              <w:rPr>
                <w:rFonts w:hint="default" w:ascii="微软雅黑" w:eastAsia="微软雅黑" w:cs="微软雅黑"/>
                <w:sz w:val="21"/>
                <w:szCs w:val="21"/>
                <w:highlight w:val="none"/>
              </w:rPr>
            </w:pPr>
            <w:r>
              <w:rPr>
                <w:rFonts w:hint="eastAsia" w:ascii="微软雅黑" w:eastAsia="微软雅黑" w:cs="微软雅黑"/>
                <w:sz w:val="21"/>
                <w:szCs w:val="21"/>
                <w:highlight w:val="none"/>
              </w:rPr>
              <w:t>工及文物、古建筑、古树保护等。</w:t>
            </w:r>
          </w:p>
        </w:tc>
      </w:tr>
    </w:tbl>
    <w:p w14:paraId="76B359AF">
      <w:pPr>
        <w:pStyle w:val="20"/>
        <w:rPr>
          <w:b/>
          <w:bCs/>
          <w:szCs w:val="20"/>
          <w:highlight w:val="none"/>
        </w:rPr>
      </w:pPr>
    </w:p>
    <w:p w14:paraId="310133A5">
      <w:pPr>
        <w:pStyle w:val="20"/>
        <w:spacing w:before="1"/>
        <w:rPr>
          <w:b/>
          <w:bCs/>
          <w:sz w:val="19"/>
          <w:szCs w:val="19"/>
          <w:highlight w:val="none"/>
        </w:rPr>
      </w:pPr>
    </w:p>
    <w:p w14:paraId="4247D9A3">
      <w:pPr>
        <w:pStyle w:val="20"/>
        <w:spacing w:line="278" w:lineRule="auto"/>
        <w:ind w:left="546" w:right="714" w:firstLine="419"/>
        <w:rPr>
          <w:sz w:val="21"/>
          <w:szCs w:val="21"/>
          <w:highlight w:val="none"/>
        </w:rPr>
      </w:pPr>
      <w:r>
        <w:rPr>
          <w:rFonts w:hint="eastAsia"/>
          <w:sz w:val="21"/>
          <w:szCs w:val="21"/>
          <w:highlight w:val="none"/>
        </w:rPr>
        <w:t>注：本表所列建筑工程安全文明施工费，是依据现行法律法规及标准规范确定的。如法律法规和标准规范修订，本表所列项目应按照修订后的法律法规和标准规范进行调整。</w:t>
      </w:r>
    </w:p>
    <w:p w14:paraId="4742A341">
      <w:pPr>
        <w:pStyle w:val="20"/>
        <w:spacing w:line="278" w:lineRule="auto"/>
        <w:ind w:left="546" w:right="714" w:firstLine="419"/>
        <w:rPr>
          <w:sz w:val="21"/>
          <w:szCs w:val="21"/>
          <w:highlight w:val="none"/>
        </w:rPr>
        <w:sectPr>
          <w:pgSz w:w="11910" w:h="16840"/>
          <w:pgMar w:top="1440" w:right="1080" w:bottom="1440" w:left="1500" w:header="0" w:footer="1198" w:gutter="0"/>
          <w:cols w:space="720" w:num="1"/>
        </w:sectPr>
      </w:pPr>
    </w:p>
    <w:p w14:paraId="43502247">
      <w:pPr>
        <w:bidi w:val="0"/>
        <w:spacing w:line="360" w:lineRule="auto"/>
        <w:jc w:val="center"/>
        <w:rPr>
          <w:rFonts w:hint="eastAsia" w:asciiTheme="minorEastAsia" w:hAnsiTheme="minorEastAsia" w:eastAsiaTheme="minorEastAsia" w:cstheme="minorEastAsia"/>
          <w:b/>
          <w:bCs/>
          <w:sz w:val="32"/>
          <w:szCs w:val="32"/>
          <w:highlight w:val="none"/>
        </w:rPr>
      </w:pPr>
      <w:bookmarkStart w:id="255" w:name="_Toc116229063"/>
      <w:bookmarkStart w:id="256" w:name="_Toc116123777"/>
      <w:bookmarkStart w:id="257" w:name="_Toc116204874"/>
      <w:r>
        <w:rPr>
          <w:rFonts w:hint="eastAsia" w:asciiTheme="minorEastAsia" w:hAnsiTheme="minorEastAsia" w:eastAsiaTheme="minorEastAsia" w:cstheme="minorEastAsia"/>
          <w:b/>
          <w:bCs/>
          <w:sz w:val="32"/>
          <w:szCs w:val="32"/>
          <w:highlight w:val="none"/>
        </w:rPr>
        <w:t>10.项目管理机构配备情况表</w:t>
      </w:r>
      <w:bookmarkEnd w:id="255"/>
      <w:bookmarkEnd w:id="256"/>
      <w:bookmarkEnd w:id="257"/>
    </w:p>
    <w:p w14:paraId="495D0196">
      <w:pPr>
        <w:pStyle w:val="20"/>
        <w:tabs>
          <w:tab w:val="left" w:pos="4435"/>
        </w:tabs>
        <w:spacing w:after="20"/>
        <w:rPr>
          <w:highlight w:val="none"/>
        </w:rPr>
      </w:pPr>
      <w:r>
        <w:rPr>
          <w:rFonts w:hint="eastAsia"/>
          <w:sz w:val="21"/>
          <w:szCs w:val="21"/>
          <w:highlight w:val="none"/>
        </w:rPr>
        <w:t>（工程项目名称）</w:t>
      </w:r>
      <w:r>
        <w:rPr>
          <w:highlight w:val="none"/>
        </w:rPr>
        <w:tab/>
      </w:r>
    </w:p>
    <w:tbl>
      <w:tblPr>
        <w:tblStyle w:val="56"/>
        <w:tblW w:w="0" w:type="auto"/>
        <w:jc w:val="center"/>
        <w:tblLayout w:type="fixed"/>
        <w:tblCellMar>
          <w:top w:w="0" w:type="dxa"/>
          <w:left w:w="0" w:type="dxa"/>
          <w:bottom w:w="0" w:type="dxa"/>
          <w:right w:w="0" w:type="dxa"/>
        </w:tblCellMar>
      </w:tblPr>
      <w:tblGrid>
        <w:gridCol w:w="992"/>
        <w:gridCol w:w="831"/>
        <w:gridCol w:w="817"/>
        <w:gridCol w:w="1148"/>
        <w:gridCol w:w="1151"/>
        <w:gridCol w:w="1148"/>
        <w:gridCol w:w="1148"/>
        <w:gridCol w:w="851"/>
        <w:gridCol w:w="1456"/>
      </w:tblGrid>
      <w:tr w14:paraId="22FE40A9">
        <w:tblPrEx>
          <w:tblCellMar>
            <w:top w:w="0" w:type="dxa"/>
            <w:left w:w="0" w:type="dxa"/>
            <w:bottom w:w="0" w:type="dxa"/>
            <w:right w:w="0" w:type="dxa"/>
          </w:tblCellMar>
        </w:tblPrEx>
        <w:trPr>
          <w:trHeight w:val="467" w:hRule="atLeast"/>
          <w:jc w:val="center"/>
        </w:trPr>
        <w:tc>
          <w:tcPr>
            <w:tcW w:w="992" w:type="dxa"/>
            <w:vMerge w:val="restart"/>
            <w:tcBorders>
              <w:top w:val="single" w:color="000000" w:sz="4" w:space="0"/>
              <w:left w:val="single" w:color="000000" w:sz="4" w:space="0"/>
              <w:bottom w:val="single" w:color="000000" w:sz="4" w:space="0"/>
              <w:right w:val="single" w:color="000000" w:sz="4" w:space="0"/>
            </w:tcBorders>
            <w:noWrap w:val="0"/>
            <w:vAlign w:val="top"/>
          </w:tcPr>
          <w:p w14:paraId="5782E2EC">
            <w:pPr>
              <w:pStyle w:val="625"/>
              <w:keepNext w:val="0"/>
              <w:keepLines w:val="0"/>
              <w:suppressLineNumbers w:val="0"/>
              <w:spacing w:before="0" w:beforeAutospacing="0" w:after="0" w:afterAutospacing="0"/>
              <w:ind w:left="0" w:right="0"/>
              <w:rPr>
                <w:rFonts w:hint="default"/>
                <w:sz w:val="20"/>
                <w:szCs w:val="20"/>
                <w:highlight w:val="none"/>
              </w:rPr>
            </w:pPr>
          </w:p>
          <w:p w14:paraId="5F036908">
            <w:pPr>
              <w:pStyle w:val="625"/>
              <w:keepNext w:val="0"/>
              <w:keepLines w:val="0"/>
              <w:suppressLineNumbers w:val="0"/>
              <w:spacing w:before="160" w:beforeAutospacing="0" w:after="0" w:afterAutospacing="0"/>
              <w:ind w:left="285" w:right="0"/>
              <w:rPr>
                <w:rFonts w:hint="default"/>
                <w:sz w:val="21"/>
                <w:szCs w:val="21"/>
                <w:highlight w:val="none"/>
              </w:rPr>
            </w:pPr>
            <w:r>
              <w:rPr>
                <w:rFonts w:hint="eastAsia"/>
                <w:sz w:val="21"/>
                <w:szCs w:val="21"/>
                <w:highlight w:val="none"/>
              </w:rPr>
              <w:t>岗位</w:t>
            </w:r>
          </w:p>
        </w:tc>
        <w:tc>
          <w:tcPr>
            <w:tcW w:w="831" w:type="dxa"/>
            <w:vMerge w:val="restart"/>
            <w:tcBorders>
              <w:top w:val="single" w:color="000000" w:sz="4" w:space="0"/>
              <w:left w:val="single" w:color="000000" w:sz="4" w:space="0"/>
              <w:bottom w:val="single" w:color="000000" w:sz="4" w:space="0"/>
              <w:right w:val="single" w:color="000000" w:sz="4" w:space="0"/>
            </w:tcBorders>
            <w:noWrap w:val="0"/>
            <w:vAlign w:val="top"/>
          </w:tcPr>
          <w:p w14:paraId="5E78A956">
            <w:pPr>
              <w:pStyle w:val="625"/>
              <w:keepNext w:val="0"/>
              <w:keepLines w:val="0"/>
              <w:suppressLineNumbers w:val="0"/>
              <w:spacing w:before="0" w:beforeAutospacing="0" w:after="0" w:afterAutospacing="0"/>
              <w:ind w:left="0" w:right="0"/>
              <w:rPr>
                <w:rFonts w:hint="default"/>
                <w:sz w:val="20"/>
                <w:szCs w:val="20"/>
                <w:highlight w:val="none"/>
              </w:rPr>
            </w:pPr>
          </w:p>
          <w:p w14:paraId="4613813B">
            <w:pPr>
              <w:pStyle w:val="625"/>
              <w:keepNext w:val="0"/>
              <w:keepLines w:val="0"/>
              <w:suppressLineNumbers w:val="0"/>
              <w:spacing w:before="160" w:beforeAutospacing="0" w:after="0" w:afterAutospacing="0"/>
              <w:ind w:left="205" w:right="0"/>
              <w:rPr>
                <w:rFonts w:hint="default"/>
                <w:sz w:val="21"/>
                <w:szCs w:val="21"/>
                <w:highlight w:val="none"/>
              </w:rPr>
            </w:pPr>
            <w:r>
              <w:rPr>
                <w:rFonts w:hint="eastAsia"/>
                <w:sz w:val="21"/>
                <w:szCs w:val="21"/>
                <w:highlight w:val="none"/>
              </w:rPr>
              <w:t>姓名</w:t>
            </w:r>
          </w:p>
        </w:tc>
        <w:tc>
          <w:tcPr>
            <w:tcW w:w="817" w:type="dxa"/>
            <w:vMerge w:val="restart"/>
            <w:tcBorders>
              <w:top w:val="single" w:color="000000" w:sz="4" w:space="0"/>
              <w:left w:val="single" w:color="000000" w:sz="4" w:space="0"/>
              <w:bottom w:val="single" w:color="000000" w:sz="4" w:space="0"/>
              <w:right w:val="single" w:color="000000" w:sz="4" w:space="0"/>
            </w:tcBorders>
            <w:noWrap w:val="0"/>
            <w:vAlign w:val="top"/>
          </w:tcPr>
          <w:p w14:paraId="761FCDCC">
            <w:pPr>
              <w:pStyle w:val="625"/>
              <w:keepNext w:val="0"/>
              <w:keepLines w:val="0"/>
              <w:suppressLineNumbers w:val="0"/>
              <w:spacing w:before="0" w:beforeAutospacing="0" w:after="0" w:afterAutospacing="0"/>
              <w:ind w:left="0" w:right="0"/>
              <w:rPr>
                <w:rFonts w:hint="default"/>
                <w:sz w:val="20"/>
                <w:szCs w:val="20"/>
                <w:highlight w:val="none"/>
              </w:rPr>
            </w:pPr>
          </w:p>
          <w:p w14:paraId="57483206">
            <w:pPr>
              <w:pStyle w:val="625"/>
              <w:keepNext w:val="0"/>
              <w:keepLines w:val="0"/>
              <w:suppressLineNumbers w:val="0"/>
              <w:spacing w:before="160" w:beforeAutospacing="0" w:after="0" w:afterAutospacing="0"/>
              <w:ind w:left="195" w:right="0"/>
              <w:rPr>
                <w:rFonts w:hint="default"/>
                <w:sz w:val="21"/>
                <w:szCs w:val="21"/>
                <w:highlight w:val="none"/>
              </w:rPr>
            </w:pPr>
            <w:r>
              <w:rPr>
                <w:rFonts w:hint="eastAsia"/>
                <w:sz w:val="21"/>
                <w:szCs w:val="21"/>
                <w:highlight w:val="none"/>
              </w:rPr>
              <w:t>职称</w:t>
            </w:r>
          </w:p>
        </w:tc>
        <w:tc>
          <w:tcPr>
            <w:tcW w:w="4595" w:type="dxa"/>
            <w:gridSpan w:val="4"/>
            <w:tcBorders>
              <w:top w:val="single" w:color="000000" w:sz="4" w:space="0"/>
              <w:left w:val="single" w:color="000000" w:sz="4" w:space="0"/>
              <w:bottom w:val="single" w:color="000000" w:sz="4" w:space="0"/>
              <w:right w:val="single" w:color="000000" w:sz="4" w:space="0"/>
            </w:tcBorders>
            <w:noWrap w:val="0"/>
            <w:vAlign w:val="top"/>
          </w:tcPr>
          <w:p w14:paraId="53541C29">
            <w:pPr>
              <w:pStyle w:val="625"/>
              <w:keepNext w:val="0"/>
              <w:keepLines w:val="0"/>
              <w:suppressLineNumbers w:val="0"/>
              <w:spacing w:before="99" w:beforeAutospacing="0" w:after="0" w:afterAutospacing="0"/>
              <w:ind w:left="1347" w:right="0"/>
              <w:rPr>
                <w:rFonts w:hint="default"/>
                <w:sz w:val="21"/>
                <w:szCs w:val="21"/>
                <w:highlight w:val="none"/>
              </w:rPr>
            </w:pPr>
            <w:r>
              <w:rPr>
                <w:rFonts w:hint="eastAsia"/>
                <w:sz w:val="21"/>
                <w:szCs w:val="21"/>
                <w:highlight w:val="none"/>
              </w:rPr>
              <w:t>执业或职业资格证明</w:t>
            </w:r>
          </w:p>
        </w:tc>
        <w:tc>
          <w:tcPr>
            <w:tcW w:w="2307" w:type="dxa"/>
            <w:gridSpan w:val="2"/>
            <w:tcBorders>
              <w:top w:val="single" w:color="000000" w:sz="4" w:space="0"/>
              <w:left w:val="single" w:color="000000" w:sz="4" w:space="0"/>
              <w:bottom w:val="single" w:color="000000" w:sz="4" w:space="0"/>
              <w:right w:val="single" w:color="000000" w:sz="4" w:space="0"/>
            </w:tcBorders>
            <w:noWrap w:val="0"/>
            <w:vAlign w:val="top"/>
          </w:tcPr>
          <w:p w14:paraId="63D8C7BA">
            <w:pPr>
              <w:pStyle w:val="625"/>
              <w:keepNext w:val="0"/>
              <w:keepLines w:val="0"/>
              <w:suppressLineNumbers w:val="0"/>
              <w:spacing w:before="99" w:beforeAutospacing="0" w:after="0" w:afterAutospacing="0"/>
              <w:ind w:left="420" w:right="0"/>
              <w:rPr>
                <w:rFonts w:hint="default"/>
                <w:sz w:val="21"/>
                <w:szCs w:val="21"/>
                <w:highlight w:val="none"/>
              </w:rPr>
            </w:pPr>
            <w:r>
              <w:rPr>
                <w:rFonts w:hint="eastAsia"/>
                <w:sz w:val="21"/>
                <w:szCs w:val="21"/>
                <w:highlight w:val="none"/>
              </w:rPr>
              <w:t>承担完工工程情况</w:t>
            </w:r>
          </w:p>
        </w:tc>
      </w:tr>
      <w:tr w14:paraId="468BFE7F">
        <w:tblPrEx>
          <w:tblCellMar>
            <w:top w:w="0" w:type="dxa"/>
            <w:left w:w="0" w:type="dxa"/>
            <w:bottom w:w="0" w:type="dxa"/>
            <w:right w:w="0" w:type="dxa"/>
          </w:tblCellMar>
        </w:tblPrEx>
        <w:trPr>
          <w:trHeight w:val="623" w:hRule="atLeast"/>
          <w:jc w:val="center"/>
        </w:trPr>
        <w:tc>
          <w:tcPr>
            <w:tcW w:w="992" w:type="dxa"/>
            <w:vMerge w:val="continue"/>
            <w:tcBorders>
              <w:top w:val="nil"/>
              <w:left w:val="single" w:color="000000" w:sz="4" w:space="0"/>
              <w:bottom w:val="single" w:color="000000" w:sz="4" w:space="0"/>
              <w:right w:val="single" w:color="000000" w:sz="4" w:space="0"/>
            </w:tcBorders>
            <w:noWrap w:val="0"/>
            <w:vAlign w:val="top"/>
          </w:tcPr>
          <w:p w14:paraId="6BA8030B">
            <w:pPr>
              <w:pStyle w:val="20"/>
              <w:keepNext w:val="0"/>
              <w:keepLines w:val="0"/>
              <w:suppressLineNumbers w:val="0"/>
              <w:tabs>
                <w:tab w:val="left" w:pos="4435"/>
              </w:tabs>
              <w:spacing w:before="0" w:beforeAutospacing="0" w:after="20" w:afterAutospacing="0"/>
              <w:ind w:left="1809" w:right="0"/>
              <w:rPr>
                <w:rFonts w:hint="default" w:ascii="Times New Roman" w:hAnsi="Times New Roman" w:cs="Times New Roman"/>
                <w:sz w:val="2"/>
                <w:szCs w:val="2"/>
                <w:highlight w:val="none"/>
              </w:rPr>
            </w:pPr>
          </w:p>
        </w:tc>
        <w:tc>
          <w:tcPr>
            <w:tcW w:w="831" w:type="dxa"/>
            <w:vMerge w:val="continue"/>
            <w:tcBorders>
              <w:top w:val="nil"/>
              <w:left w:val="single" w:color="000000" w:sz="4" w:space="0"/>
              <w:bottom w:val="single" w:color="000000" w:sz="4" w:space="0"/>
              <w:right w:val="single" w:color="000000" w:sz="4" w:space="0"/>
            </w:tcBorders>
            <w:noWrap w:val="0"/>
            <w:vAlign w:val="top"/>
          </w:tcPr>
          <w:p w14:paraId="12BF26FB">
            <w:pPr>
              <w:pStyle w:val="20"/>
              <w:keepNext w:val="0"/>
              <w:keepLines w:val="0"/>
              <w:suppressLineNumbers w:val="0"/>
              <w:tabs>
                <w:tab w:val="left" w:pos="4435"/>
              </w:tabs>
              <w:spacing w:before="0" w:beforeAutospacing="0" w:after="20" w:afterAutospacing="0"/>
              <w:ind w:left="1809" w:right="0"/>
              <w:rPr>
                <w:rFonts w:hint="default" w:ascii="Times New Roman" w:hAnsi="Times New Roman" w:cs="Times New Roman"/>
                <w:sz w:val="2"/>
                <w:szCs w:val="2"/>
                <w:highlight w:val="none"/>
              </w:rPr>
            </w:pPr>
          </w:p>
        </w:tc>
        <w:tc>
          <w:tcPr>
            <w:tcW w:w="817" w:type="dxa"/>
            <w:vMerge w:val="continue"/>
            <w:tcBorders>
              <w:top w:val="nil"/>
              <w:left w:val="single" w:color="000000" w:sz="4" w:space="0"/>
              <w:bottom w:val="single" w:color="000000" w:sz="4" w:space="0"/>
              <w:right w:val="single" w:color="000000" w:sz="4" w:space="0"/>
            </w:tcBorders>
            <w:noWrap w:val="0"/>
            <w:vAlign w:val="top"/>
          </w:tcPr>
          <w:p w14:paraId="36E325F3">
            <w:pPr>
              <w:pStyle w:val="20"/>
              <w:keepNext w:val="0"/>
              <w:keepLines w:val="0"/>
              <w:suppressLineNumbers w:val="0"/>
              <w:tabs>
                <w:tab w:val="left" w:pos="4435"/>
              </w:tabs>
              <w:spacing w:before="0" w:beforeAutospacing="0" w:after="20" w:afterAutospacing="0"/>
              <w:ind w:left="1809" w:right="0"/>
              <w:rPr>
                <w:rFonts w:hint="default" w:ascii="Times New Roman" w:hAnsi="Times New Roman" w:cs="Times New Roman"/>
                <w:sz w:val="2"/>
                <w:szCs w:val="2"/>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5978BF28">
            <w:pPr>
              <w:pStyle w:val="625"/>
              <w:keepNext w:val="0"/>
              <w:keepLines w:val="0"/>
              <w:suppressLineNumbers w:val="0"/>
              <w:spacing w:before="178" w:beforeAutospacing="0" w:after="0" w:afterAutospacing="0"/>
              <w:ind w:left="152" w:right="0"/>
              <w:rPr>
                <w:rFonts w:hint="default"/>
                <w:sz w:val="21"/>
                <w:szCs w:val="21"/>
                <w:highlight w:val="none"/>
              </w:rPr>
            </w:pPr>
            <w:r>
              <w:rPr>
                <w:rFonts w:hint="eastAsia"/>
                <w:sz w:val="21"/>
                <w:szCs w:val="21"/>
                <w:highlight w:val="none"/>
              </w:rPr>
              <w:t>证书名称</w:t>
            </w: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5842C86C">
            <w:pPr>
              <w:pStyle w:val="625"/>
              <w:keepNext w:val="0"/>
              <w:keepLines w:val="0"/>
              <w:suppressLineNumbers w:val="0"/>
              <w:spacing w:before="178" w:beforeAutospacing="0" w:after="0" w:afterAutospacing="0"/>
              <w:ind w:left="360" w:right="0"/>
              <w:rPr>
                <w:rFonts w:hint="default"/>
                <w:sz w:val="21"/>
                <w:szCs w:val="21"/>
                <w:highlight w:val="none"/>
              </w:rPr>
            </w:pPr>
            <w:r>
              <w:rPr>
                <w:rFonts w:hint="eastAsia"/>
                <w:sz w:val="21"/>
                <w:szCs w:val="21"/>
                <w:highlight w:val="none"/>
              </w:rPr>
              <w:t>级别</w:t>
            </w: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00F53F6D">
            <w:pPr>
              <w:pStyle w:val="625"/>
              <w:keepNext w:val="0"/>
              <w:keepLines w:val="0"/>
              <w:suppressLineNumbers w:val="0"/>
              <w:spacing w:before="178" w:beforeAutospacing="0" w:after="0" w:afterAutospacing="0"/>
              <w:ind w:left="358" w:right="0"/>
              <w:rPr>
                <w:rFonts w:hint="default"/>
                <w:sz w:val="21"/>
                <w:szCs w:val="21"/>
                <w:highlight w:val="none"/>
              </w:rPr>
            </w:pPr>
            <w:r>
              <w:rPr>
                <w:rFonts w:hint="eastAsia"/>
                <w:sz w:val="21"/>
                <w:szCs w:val="21"/>
                <w:highlight w:val="none"/>
              </w:rPr>
              <w:t>证号</w:t>
            </w: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5CDAB83F">
            <w:pPr>
              <w:pStyle w:val="625"/>
              <w:keepNext w:val="0"/>
              <w:keepLines w:val="0"/>
              <w:suppressLineNumbers w:val="0"/>
              <w:spacing w:before="178" w:beforeAutospacing="0" w:after="0" w:afterAutospacing="0"/>
              <w:ind w:left="358" w:right="0"/>
              <w:rPr>
                <w:rFonts w:hint="default"/>
                <w:sz w:val="21"/>
                <w:szCs w:val="21"/>
                <w:highlight w:val="none"/>
              </w:rPr>
            </w:pPr>
            <w:r>
              <w:rPr>
                <w:rFonts w:hint="eastAsia"/>
                <w:sz w:val="21"/>
                <w:szCs w:val="21"/>
                <w:highlight w:val="none"/>
              </w:rPr>
              <w:t>专业</w:t>
            </w: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6E9E2783">
            <w:pPr>
              <w:pStyle w:val="625"/>
              <w:keepNext w:val="0"/>
              <w:keepLines w:val="0"/>
              <w:suppressLineNumbers w:val="0"/>
              <w:spacing w:before="178" w:beforeAutospacing="0" w:after="0" w:afterAutospacing="0"/>
              <w:ind w:left="103" w:right="0"/>
              <w:rPr>
                <w:rFonts w:hint="default"/>
                <w:sz w:val="21"/>
                <w:szCs w:val="21"/>
                <w:highlight w:val="none"/>
              </w:rPr>
            </w:pPr>
            <w:r>
              <w:rPr>
                <w:rFonts w:hint="eastAsia"/>
                <w:sz w:val="21"/>
                <w:szCs w:val="21"/>
                <w:highlight w:val="none"/>
              </w:rPr>
              <w:t>项目数</w:t>
            </w: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617F7B80">
            <w:pPr>
              <w:pStyle w:val="625"/>
              <w:keepNext w:val="0"/>
              <w:keepLines w:val="0"/>
              <w:suppressLineNumbers w:val="0"/>
              <w:spacing w:before="22" w:beforeAutospacing="0" w:after="0" w:afterAutospacing="0"/>
              <w:ind w:left="0" w:right="-34"/>
              <w:jc w:val="center"/>
              <w:rPr>
                <w:rFonts w:hint="default"/>
                <w:sz w:val="21"/>
                <w:szCs w:val="21"/>
                <w:highlight w:val="none"/>
              </w:rPr>
            </w:pPr>
            <w:r>
              <w:rPr>
                <w:rFonts w:hint="eastAsia"/>
                <w:sz w:val="21"/>
                <w:szCs w:val="21"/>
                <w:highlight w:val="none"/>
              </w:rPr>
              <w:t>主要项目名称</w:t>
            </w:r>
          </w:p>
        </w:tc>
      </w:tr>
      <w:tr w14:paraId="120F8121">
        <w:tblPrEx>
          <w:tblCellMar>
            <w:top w:w="0" w:type="dxa"/>
            <w:left w:w="0" w:type="dxa"/>
            <w:bottom w:w="0" w:type="dxa"/>
            <w:right w:w="0" w:type="dxa"/>
          </w:tblCellMar>
        </w:tblPrEx>
        <w:trPr>
          <w:trHeight w:val="659"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009A9955">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7791FA2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58F9D834">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4908DAC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123999B8">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4BAE60E3">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387CB28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5057717C">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31F6A530">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27686BA3">
        <w:tblPrEx>
          <w:tblCellMar>
            <w:top w:w="0" w:type="dxa"/>
            <w:left w:w="0" w:type="dxa"/>
            <w:bottom w:w="0" w:type="dxa"/>
            <w:right w:w="0" w:type="dxa"/>
          </w:tblCellMar>
        </w:tblPrEx>
        <w:trPr>
          <w:trHeight w:val="659"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3D01653F">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3916A961">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4872C4A7">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7B3154D0">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0839192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5D8BFA3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3EA69CF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5A108B6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28736373">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7BFBECFE">
        <w:tblPrEx>
          <w:tblCellMar>
            <w:top w:w="0" w:type="dxa"/>
            <w:left w:w="0" w:type="dxa"/>
            <w:bottom w:w="0" w:type="dxa"/>
            <w:right w:w="0" w:type="dxa"/>
          </w:tblCellMar>
        </w:tblPrEx>
        <w:trPr>
          <w:trHeight w:val="660"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7A634D74">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4E93D431">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60738426">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6AD5CFE1">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5FD7C26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4427B348">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0CD78E58">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00A06BAB">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562A3F70">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5615D9DE">
        <w:tblPrEx>
          <w:tblCellMar>
            <w:top w:w="0" w:type="dxa"/>
            <w:left w:w="0" w:type="dxa"/>
            <w:bottom w:w="0" w:type="dxa"/>
            <w:right w:w="0" w:type="dxa"/>
          </w:tblCellMar>
        </w:tblPrEx>
        <w:trPr>
          <w:trHeight w:val="659"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55751292">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31AAB615">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5D14A37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0861A0FC">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067D41B4">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7FF7475C">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103BE00B">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2ABA5635">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3F0AC363">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225E1BAF">
        <w:tblPrEx>
          <w:tblCellMar>
            <w:top w:w="0" w:type="dxa"/>
            <w:left w:w="0" w:type="dxa"/>
            <w:bottom w:w="0" w:type="dxa"/>
            <w:right w:w="0" w:type="dxa"/>
          </w:tblCellMar>
        </w:tblPrEx>
        <w:trPr>
          <w:trHeight w:val="662"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4232968A">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58A79DCB">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10239DC3">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42AB8D36">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57044EFC">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23F27B3A">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6F903D16">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1BB50D95">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7A1F2F30">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4E88009C">
        <w:tblPrEx>
          <w:tblCellMar>
            <w:top w:w="0" w:type="dxa"/>
            <w:left w:w="0" w:type="dxa"/>
            <w:bottom w:w="0" w:type="dxa"/>
            <w:right w:w="0" w:type="dxa"/>
          </w:tblCellMar>
        </w:tblPrEx>
        <w:trPr>
          <w:trHeight w:val="659"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760CF50E">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136FD1F7">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11B7527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6F74BD60">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089E51E2">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1AA535BF">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143E41D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04685F0E">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1B5545CA">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10947C70">
        <w:tblPrEx>
          <w:tblCellMar>
            <w:top w:w="0" w:type="dxa"/>
            <w:left w:w="0" w:type="dxa"/>
            <w:bottom w:w="0" w:type="dxa"/>
            <w:right w:w="0" w:type="dxa"/>
          </w:tblCellMar>
        </w:tblPrEx>
        <w:trPr>
          <w:trHeight w:val="659"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17A390EF">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2FB4DC40">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6B51842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41599F1F">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251C00DC">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138807C4">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2D49758F">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65793917">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48280D6D">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7C65D838">
        <w:tblPrEx>
          <w:tblCellMar>
            <w:top w:w="0" w:type="dxa"/>
            <w:left w:w="0" w:type="dxa"/>
            <w:bottom w:w="0" w:type="dxa"/>
            <w:right w:w="0" w:type="dxa"/>
          </w:tblCellMar>
        </w:tblPrEx>
        <w:trPr>
          <w:trHeight w:val="660"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4D6097FB">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259594F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7E7D5B1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1F8D2693">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76631267">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5D5C854E">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5A6EB728">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3C945E29">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41DC2016">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4A22C8FC">
        <w:tblPrEx>
          <w:tblCellMar>
            <w:top w:w="0" w:type="dxa"/>
            <w:left w:w="0" w:type="dxa"/>
            <w:bottom w:w="0" w:type="dxa"/>
            <w:right w:w="0" w:type="dxa"/>
          </w:tblCellMar>
        </w:tblPrEx>
        <w:trPr>
          <w:trHeight w:val="659" w:hRule="atLeast"/>
          <w:jc w:val="center"/>
        </w:trPr>
        <w:tc>
          <w:tcPr>
            <w:tcW w:w="992" w:type="dxa"/>
            <w:tcBorders>
              <w:top w:val="single" w:color="000000" w:sz="4" w:space="0"/>
              <w:left w:val="single" w:color="000000" w:sz="4" w:space="0"/>
              <w:bottom w:val="single" w:color="000000" w:sz="4" w:space="0"/>
              <w:right w:val="single" w:color="000000" w:sz="4" w:space="0"/>
            </w:tcBorders>
            <w:noWrap w:val="0"/>
            <w:vAlign w:val="top"/>
          </w:tcPr>
          <w:p w14:paraId="3A3ED7B6">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31" w:type="dxa"/>
            <w:tcBorders>
              <w:top w:val="single" w:color="000000" w:sz="4" w:space="0"/>
              <w:left w:val="single" w:color="000000" w:sz="4" w:space="0"/>
              <w:bottom w:val="single" w:color="000000" w:sz="4" w:space="0"/>
              <w:right w:val="single" w:color="000000" w:sz="4" w:space="0"/>
            </w:tcBorders>
            <w:noWrap w:val="0"/>
            <w:vAlign w:val="top"/>
          </w:tcPr>
          <w:p w14:paraId="2D7661EF">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17" w:type="dxa"/>
            <w:tcBorders>
              <w:top w:val="single" w:color="000000" w:sz="4" w:space="0"/>
              <w:left w:val="single" w:color="000000" w:sz="4" w:space="0"/>
              <w:bottom w:val="single" w:color="000000" w:sz="4" w:space="0"/>
              <w:right w:val="single" w:color="000000" w:sz="4" w:space="0"/>
            </w:tcBorders>
            <w:noWrap w:val="0"/>
            <w:vAlign w:val="top"/>
          </w:tcPr>
          <w:p w14:paraId="10ED414D">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063BF3EB">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51" w:type="dxa"/>
            <w:tcBorders>
              <w:top w:val="single" w:color="000000" w:sz="4" w:space="0"/>
              <w:left w:val="single" w:color="000000" w:sz="4" w:space="0"/>
              <w:bottom w:val="single" w:color="000000" w:sz="4" w:space="0"/>
              <w:right w:val="single" w:color="000000" w:sz="4" w:space="0"/>
            </w:tcBorders>
            <w:noWrap w:val="0"/>
            <w:vAlign w:val="top"/>
          </w:tcPr>
          <w:p w14:paraId="17161F10">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1F2A4B90">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148" w:type="dxa"/>
            <w:tcBorders>
              <w:top w:val="single" w:color="000000" w:sz="4" w:space="0"/>
              <w:left w:val="single" w:color="000000" w:sz="4" w:space="0"/>
              <w:bottom w:val="single" w:color="000000" w:sz="4" w:space="0"/>
              <w:right w:val="single" w:color="000000" w:sz="4" w:space="0"/>
            </w:tcBorders>
            <w:noWrap w:val="0"/>
            <w:vAlign w:val="top"/>
          </w:tcPr>
          <w:p w14:paraId="294399B2">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851" w:type="dxa"/>
            <w:tcBorders>
              <w:top w:val="single" w:color="000000" w:sz="4" w:space="0"/>
              <w:left w:val="single" w:color="000000" w:sz="4" w:space="0"/>
              <w:bottom w:val="single" w:color="000000" w:sz="4" w:space="0"/>
              <w:right w:val="single" w:color="000000" w:sz="4" w:space="0"/>
            </w:tcBorders>
            <w:noWrap w:val="0"/>
            <w:vAlign w:val="top"/>
          </w:tcPr>
          <w:p w14:paraId="368DAC7A">
            <w:pPr>
              <w:pStyle w:val="625"/>
              <w:keepNext w:val="0"/>
              <w:keepLines w:val="0"/>
              <w:suppressLineNumbers w:val="0"/>
              <w:spacing w:before="0" w:beforeAutospacing="0" w:after="0" w:afterAutospacing="0"/>
              <w:ind w:left="0" w:right="0"/>
              <w:rPr>
                <w:rFonts w:hint="default" w:ascii="Times New Roman" w:cs="Times New Roman"/>
                <w:highlight w:val="none"/>
              </w:rPr>
            </w:pPr>
          </w:p>
        </w:tc>
        <w:tc>
          <w:tcPr>
            <w:tcW w:w="1456" w:type="dxa"/>
            <w:tcBorders>
              <w:top w:val="single" w:color="000000" w:sz="4" w:space="0"/>
              <w:left w:val="single" w:color="000000" w:sz="4" w:space="0"/>
              <w:bottom w:val="single" w:color="000000" w:sz="4" w:space="0"/>
              <w:right w:val="single" w:color="000000" w:sz="4" w:space="0"/>
            </w:tcBorders>
            <w:noWrap w:val="0"/>
            <w:vAlign w:val="top"/>
          </w:tcPr>
          <w:p w14:paraId="3665B627">
            <w:pPr>
              <w:pStyle w:val="625"/>
              <w:keepNext w:val="0"/>
              <w:keepLines w:val="0"/>
              <w:suppressLineNumbers w:val="0"/>
              <w:spacing w:before="0" w:beforeAutospacing="0" w:after="0" w:afterAutospacing="0"/>
              <w:ind w:left="0" w:right="0"/>
              <w:rPr>
                <w:rFonts w:hint="default" w:ascii="Times New Roman" w:cs="Times New Roman"/>
                <w:highlight w:val="none"/>
              </w:rPr>
            </w:pPr>
          </w:p>
        </w:tc>
      </w:tr>
      <w:tr w14:paraId="17CAD0AC">
        <w:tblPrEx>
          <w:tblCellMar>
            <w:top w:w="0" w:type="dxa"/>
            <w:left w:w="0" w:type="dxa"/>
            <w:bottom w:w="0" w:type="dxa"/>
            <w:right w:w="0" w:type="dxa"/>
          </w:tblCellMar>
        </w:tblPrEx>
        <w:trPr>
          <w:trHeight w:val="1250" w:hRule="atLeast"/>
          <w:jc w:val="center"/>
        </w:trPr>
        <w:tc>
          <w:tcPr>
            <w:tcW w:w="9542" w:type="dxa"/>
            <w:gridSpan w:val="9"/>
            <w:tcBorders>
              <w:top w:val="single" w:color="000000" w:sz="4" w:space="0"/>
              <w:left w:val="single" w:color="000000" w:sz="4" w:space="0"/>
              <w:bottom w:val="single" w:color="000000" w:sz="4" w:space="0"/>
              <w:right w:val="single" w:color="000000" w:sz="4" w:space="0"/>
            </w:tcBorders>
            <w:noWrap w:val="0"/>
            <w:vAlign w:val="top"/>
          </w:tcPr>
          <w:p w14:paraId="10872C94">
            <w:pPr>
              <w:pStyle w:val="625"/>
              <w:keepNext w:val="0"/>
              <w:keepLines w:val="0"/>
              <w:suppressLineNumbers w:val="0"/>
              <w:spacing w:before="11" w:beforeAutospacing="0" w:after="0" w:afterAutospacing="0"/>
              <w:ind w:left="0" w:right="0"/>
              <w:rPr>
                <w:rFonts w:hint="default"/>
                <w:sz w:val="19"/>
                <w:szCs w:val="19"/>
                <w:highlight w:val="none"/>
              </w:rPr>
            </w:pPr>
          </w:p>
          <w:p w14:paraId="0B08DC53">
            <w:pPr>
              <w:pStyle w:val="625"/>
              <w:keepNext w:val="0"/>
              <w:keepLines w:val="0"/>
              <w:suppressLineNumbers w:val="0"/>
              <w:spacing w:before="1" w:beforeAutospacing="0" w:after="0" w:afterAutospacing="0" w:line="417" w:lineRule="auto"/>
              <w:ind w:left="108" w:right="108"/>
              <w:rPr>
                <w:rFonts w:hint="default"/>
                <w:sz w:val="21"/>
                <w:szCs w:val="21"/>
                <w:highlight w:val="none"/>
              </w:rPr>
            </w:pPr>
            <w:r>
              <w:rPr>
                <w:rFonts w:hint="eastAsia"/>
                <w:sz w:val="21"/>
                <w:szCs w:val="21"/>
                <w:highlight w:val="none"/>
              </w:rPr>
              <w:t>一旦</w:t>
            </w:r>
            <w:bookmarkStart w:id="258" w:name="REVIEW_BM_1264"/>
            <w:r>
              <w:rPr>
                <w:rFonts w:hint="eastAsia"/>
                <w:sz w:val="21"/>
                <w:szCs w:val="21"/>
                <w:highlight w:val="none"/>
              </w:rPr>
              <w:t>我单位</w:t>
            </w:r>
            <w:bookmarkEnd w:id="258"/>
            <w:r>
              <w:rPr>
                <w:rFonts w:hint="eastAsia"/>
                <w:sz w:val="21"/>
                <w:szCs w:val="21"/>
                <w:highlight w:val="none"/>
              </w:rPr>
              <w:t>成交，将实行项目经理负责制，</w:t>
            </w:r>
            <w:bookmarkStart w:id="259" w:name="REVIEW_BM_1265"/>
            <w:r>
              <w:rPr>
                <w:rFonts w:hint="eastAsia"/>
                <w:sz w:val="21"/>
                <w:szCs w:val="21"/>
                <w:highlight w:val="none"/>
              </w:rPr>
              <w:t>我方</w:t>
            </w:r>
            <w:bookmarkEnd w:id="259"/>
            <w:r>
              <w:rPr>
                <w:rFonts w:hint="eastAsia"/>
                <w:sz w:val="21"/>
                <w:szCs w:val="21"/>
                <w:highlight w:val="none"/>
              </w:rPr>
              <w:t>保证并配备上述项目管理机构。上述填报内容真实，若不真实，愿按有关规定接受处理。（人员证书另附。）</w:t>
            </w:r>
          </w:p>
        </w:tc>
      </w:tr>
    </w:tbl>
    <w:p w14:paraId="5F23D639">
      <w:pPr>
        <w:pStyle w:val="20"/>
        <w:rPr>
          <w:szCs w:val="20"/>
          <w:highlight w:val="none"/>
        </w:rPr>
      </w:pPr>
    </w:p>
    <w:p w14:paraId="64099EB9">
      <w:pPr>
        <w:pStyle w:val="20"/>
        <w:rPr>
          <w:sz w:val="23"/>
          <w:szCs w:val="23"/>
          <w:highlight w:val="none"/>
        </w:rPr>
      </w:pPr>
    </w:p>
    <w:p w14:paraId="3B1472F6">
      <w:pPr>
        <w:pStyle w:val="20"/>
        <w:tabs>
          <w:tab w:val="left" w:pos="3042"/>
          <w:tab w:val="left" w:pos="5402"/>
          <w:tab w:val="left" w:pos="5604"/>
        </w:tabs>
        <w:spacing w:before="1" w:line="364" w:lineRule="auto"/>
        <w:ind w:left="546" w:right="4539"/>
        <w:rPr>
          <w:sz w:val="24"/>
          <w:highlight w:val="none"/>
          <w:u w:val="single"/>
        </w:rPr>
      </w:pPr>
      <w:r>
        <w:rPr>
          <w:rFonts w:hint="eastAsia"/>
          <w:sz w:val="24"/>
          <w:highlight w:val="none"/>
        </w:rPr>
        <w:t>法定代表人或者委托代理人</w:t>
      </w:r>
      <w:r>
        <w:rPr>
          <w:rFonts w:hint="eastAsia"/>
          <w:spacing w:val="38"/>
          <w:sz w:val="24"/>
          <w:highlight w:val="none"/>
        </w:rPr>
        <w:t>签</w:t>
      </w:r>
      <w:r>
        <w:rPr>
          <w:rFonts w:hint="eastAsia"/>
          <w:spacing w:val="40"/>
          <w:sz w:val="24"/>
          <w:highlight w:val="none"/>
        </w:rPr>
        <w:t>字</w:t>
      </w:r>
      <w:r>
        <w:rPr>
          <w:rFonts w:hint="eastAsia"/>
          <w:sz w:val="24"/>
          <w:highlight w:val="none"/>
        </w:rPr>
        <w:t>：</w:t>
      </w:r>
      <w:r>
        <w:rPr>
          <w:spacing w:val="-79"/>
          <w:sz w:val="24"/>
          <w:highlight w:val="none"/>
        </w:rPr>
        <w:t xml:space="preserve"> </w:t>
      </w:r>
      <w:r>
        <w:rPr>
          <w:sz w:val="24"/>
          <w:highlight w:val="none"/>
          <w:u w:val="single"/>
        </w:rPr>
        <w:t xml:space="preserve"> </w:t>
      </w:r>
      <w:r>
        <w:rPr>
          <w:sz w:val="24"/>
          <w:highlight w:val="none"/>
          <w:u w:val="single"/>
        </w:rPr>
        <w:tab/>
      </w:r>
      <w:r>
        <w:rPr>
          <w:sz w:val="24"/>
          <w:highlight w:val="none"/>
          <w:u w:val="single"/>
        </w:rPr>
        <w:tab/>
      </w:r>
      <w:r>
        <w:rPr>
          <w:sz w:val="24"/>
          <w:highlight w:val="none"/>
          <w:u w:val="single"/>
        </w:rPr>
        <w:t xml:space="preserve"> </w:t>
      </w:r>
    </w:p>
    <w:p w14:paraId="2EDC558B">
      <w:pPr>
        <w:pStyle w:val="20"/>
        <w:tabs>
          <w:tab w:val="left" w:pos="3042"/>
          <w:tab w:val="left" w:pos="5402"/>
          <w:tab w:val="left" w:pos="5604"/>
        </w:tabs>
        <w:spacing w:before="1" w:line="364" w:lineRule="auto"/>
        <w:ind w:left="546" w:right="4539"/>
        <w:rPr>
          <w:sz w:val="24"/>
          <w:highlight w:val="none"/>
          <w:u w:val="single"/>
        </w:rPr>
      </w:pPr>
      <w:r>
        <w:rPr>
          <w:rFonts w:hint="eastAsia"/>
          <w:sz w:val="24"/>
          <w:highlight w:val="none"/>
        </w:rPr>
        <w:t>供应商名称（</w:t>
      </w:r>
      <w:r>
        <w:rPr>
          <w:spacing w:val="-82"/>
          <w:sz w:val="24"/>
          <w:highlight w:val="none"/>
        </w:rPr>
        <w:t xml:space="preserve"> </w:t>
      </w:r>
      <w:r>
        <w:rPr>
          <w:rFonts w:hint="eastAsia" w:ascii="宋体" w:hAnsi="宋体" w:cs="仿宋_GB2312"/>
          <w:sz w:val="24"/>
          <w:highlight w:val="none"/>
        </w:rPr>
        <w:t>电子签章</w:t>
      </w:r>
      <w:r>
        <w:rPr>
          <w:rFonts w:hint="eastAsia"/>
          <w:sz w:val="24"/>
          <w:highlight w:val="none"/>
        </w:rPr>
        <w:t>）</w:t>
      </w:r>
      <w:r>
        <w:rPr>
          <w:spacing w:val="-82"/>
          <w:sz w:val="24"/>
          <w:highlight w:val="none"/>
        </w:rPr>
        <w:t xml:space="preserve"> </w:t>
      </w:r>
      <w:r>
        <w:rPr>
          <w:rFonts w:hint="eastAsia"/>
          <w:sz w:val="24"/>
          <w:highlight w:val="none"/>
        </w:rPr>
        <w:t>：</w:t>
      </w:r>
      <w:r>
        <w:rPr>
          <w:spacing w:val="-78"/>
          <w:sz w:val="24"/>
          <w:highlight w:val="none"/>
        </w:rPr>
        <w:t xml:space="preserve"> </w:t>
      </w:r>
      <w:r>
        <w:rPr>
          <w:sz w:val="24"/>
          <w:highlight w:val="none"/>
          <w:u w:val="single"/>
        </w:rPr>
        <w:t xml:space="preserve"> </w:t>
      </w:r>
      <w:r>
        <w:rPr>
          <w:sz w:val="24"/>
          <w:highlight w:val="none"/>
          <w:u w:val="single"/>
        </w:rPr>
        <w:tab/>
      </w:r>
      <w:r>
        <w:rPr>
          <w:sz w:val="24"/>
          <w:highlight w:val="none"/>
          <w:u w:val="single"/>
        </w:rPr>
        <w:t xml:space="preserve"> </w:t>
      </w:r>
    </w:p>
    <w:p w14:paraId="1B4DB195">
      <w:pPr>
        <w:pStyle w:val="20"/>
        <w:tabs>
          <w:tab w:val="left" w:pos="3042"/>
          <w:tab w:val="left" w:pos="5402"/>
          <w:tab w:val="left" w:pos="5604"/>
        </w:tabs>
        <w:spacing w:before="1" w:line="364" w:lineRule="auto"/>
        <w:ind w:left="546" w:right="4539"/>
        <w:rPr>
          <w:sz w:val="24"/>
          <w:highlight w:val="none"/>
        </w:rPr>
      </w:pPr>
      <w:r>
        <w:rPr>
          <w:rFonts w:hint="eastAsia"/>
          <w:sz w:val="24"/>
          <w:highlight w:val="none"/>
        </w:rPr>
        <w:t>日</w:t>
      </w:r>
      <w:r>
        <w:rPr>
          <w:spacing w:val="79"/>
          <w:sz w:val="24"/>
          <w:highlight w:val="none"/>
        </w:rPr>
        <w:t xml:space="preserve"> </w:t>
      </w:r>
      <w:r>
        <w:rPr>
          <w:rFonts w:hint="eastAsia"/>
          <w:spacing w:val="40"/>
          <w:sz w:val="24"/>
          <w:highlight w:val="none"/>
        </w:rPr>
        <w:t>期</w:t>
      </w:r>
      <w:r>
        <w:rPr>
          <w:rFonts w:hint="eastAsia"/>
          <w:sz w:val="24"/>
          <w:highlight w:val="none"/>
        </w:rPr>
        <w:t>：</w:t>
      </w:r>
      <w:r>
        <w:rPr>
          <w:spacing w:val="-82"/>
          <w:sz w:val="24"/>
          <w:highlight w:val="none"/>
        </w:rPr>
        <w:t xml:space="preserve"> </w:t>
      </w:r>
      <w:r>
        <w:rPr>
          <w:sz w:val="24"/>
          <w:highlight w:val="none"/>
          <w:u w:val="single"/>
        </w:rPr>
        <w:t xml:space="preserve"> </w:t>
      </w:r>
      <w:r>
        <w:rPr>
          <w:sz w:val="24"/>
          <w:highlight w:val="none"/>
          <w:u w:val="single"/>
        </w:rPr>
        <w:tab/>
      </w:r>
    </w:p>
    <w:p w14:paraId="47FD4312">
      <w:pPr>
        <w:pStyle w:val="20"/>
        <w:tabs>
          <w:tab w:val="left" w:pos="3042"/>
          <w:tab w:val="left" w:pos="5402"/>
          <w:tab w:val="left" w:pos="5604"/>
        </w:tabs>
        <w:spacing w:before="1" w:line="364" w:lineRule="auto"/>
        <w:ind w:left="546" w:right="4539"/>
        <w:rPr>
          <w:sz w:val="24"/>
          <w:highlight w:val="none"/>
        </w:rPr>
        <w:sectPr>
          <w:pgSz w:w="11910" w:h="16840"/>
          <w:pgMar w:top="1440" w:right="1080" w:bottom="1440" w:left="1500" w:header="0" w:footer="1198" w:gutter="0"/>
          <w:cols w:space="720" w:num="1"/>
        </w:sectPr>
      </w:pPr>
    </w:p>
    <w:p w14:paraId="1A610AEC">
      <w:pPr>
        <w:spacing w:line="360" w:lineRule="auto"/>
        <w:jc w:val="center"/>
        <w:rPr>
          <w:rFonts w:hint="eastAsia" w:ascii="宋体" w:hAnsi="宋体" w:cs="宋体"/>
          <w:sz w:val="32"/>
          <w:szCs w:val="32"/>
          <w:highlight w:val="none"/>
        </w:rPr>
      </w:pPr>
      <w:r>
        <w:rPr>
          <w:rFonts w:hint="eastAsia" w:ascii="宋体" w:hAnsi="宋体" w:cs="宋体"/>
          <w:b/>
          <w:bCs/>
          <w:sz w:val="32"/>
          <w:szCs w:val="32"/>
          <w:highlight w:val="none"/>
        </w:rPr>
        <w:t>11.供应商廉政承诺</w:t>
      </w:r>
    </w:p>
    <w:p w14:paraId="5EAE94A4">
      <w:pPr>
        <w:spacing w:line="360" w:lineRule="auto"/>
        <w:rPr>
          <w:rFonts w:hint="eastAsia" w:ascii="宋体" w:hAnsi="宋体" w:cs="仿宋_GB2312"/>
          <w:sz w:val="24"/>
          <w:highlight w:val="none"/>
        </w:rPr>
      </w:pPr>
    </w:p>
    <w:p w14:paraId="73345FD8">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一、不与</w:t>
      </w:r>
      <w:bookmarkStart w:id="260" w:name="REVIEW_BM_1266"/>
      <w:r>
        <w:rPr>
          <w:rFonts w:hint="eastAsia" w:ascii="宋体" w:hAnsi="宋体" w:cs="仿宋_GB2312"/>
          <w:sz w:val="24"/>
          <w:highlight w:val="none"/>
        </w:rPr>
        <w:t>招标代理机构</w:t>
      </w:r>
      <w:bookmarkEnd w:id="260"/>
      <w:r>
        <w:rPr>
          <w:rFonts w:hint="eastAsia" w:ascii="宋体" w:hAnsi="宋体" w:cs="仿宋_GB2312"/>
          <w:sz w:val="24"/>
          <w:highlight w:val="none"/>
        </w:rPr>
        <w:t>、采购人及其工作人员勾连操作项目中标。</w:t>
      </w:r>
    </w:p>
    <w:p w14:paraId="03470748">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二、不以任何形式向采购人及其工作人员送礼金、银行卡、有价证券、支付凭证和礼品等。</w:t>
      </w:r>
    </w:p>
    <w:p w14:paraId="4799C648">
      <w:pPr>
        <w:widowControl/>
        <w:spacing w:line="360" w:lineRule="auto"/>
        <w:ind w:left="479"/>
        <w:rPr>
          <w:rFonts w:hint="eastAsia" w:ascii="宋体" w:hAnsi="宋体" w:cs="仿宋_GB2312"/>
          <w:sz w:val="24"/>
          <w:highlight w:val="none"/>
        </w:rPr>
      </w:pPr>
      <w:r>
        <w:rPr>
          <w:rFonts w:hint="eastAsia" w:ascii="宋体" w:hAnsi="宋体" w:cs="仿宋_GB2312"/>
          <w:sz w:val="24"/>
          <w:highlight w:val="none"/>
        </w:rPr>
        <w:t>三、不支付采购人及其工作人员以咨询费、劳务费、</w:t>
      </w:r>
      <w:bookmarkStart w:id="261" w:name="REVIEW_BM_1267"/>
      <w:r>
        <w:rPr>
          <w:rFonts w:hint="eastAsia" w:ascii="宋体" w:hAnsi="宋体" w:cs="仿宋_GB2312"/>
          <w:sz w:val="24"/>
          <w:highlight w:val="none"/>
        </w:rPr>
        <w:t>回扣</w:t>
      </w:r>
      <w:bookmarkEnd w:id="261"/>
      <w:r>
        <w:rPr>
          <w:rFonts w:hint="eastAsia" w:ascii="宋体" w:hAnsi="宋体" w:cs="仿宋_GB2312"/>
          <w:sz w:val="24"/>
          <w:highlight w:val="none"/>
        </w:rPr>
        <w:t>费等名义索要的各种费用，</w:t>
      </w:r>
    </w:p>
    <w:p w14:paraId="77EB7BC9">
      <w:pPr>
        <w:widowControl/>
        <w:spacing w:line="360" w:lineRule="auto"/>
        <w:rPr>
          <w:rFonts w:hint="eastAsia" w:ascii="宋体" w:hAnsi="宋体" w:cs="仿宋_GB2312"/>
          <w:sz w:val="24"/>
          <w:highlight w:val="none"/>
        </w:rPr>
      </w:pPr>
      <w:r>
        <w:rPr>
          <w:rFonts w:hint="eastAsia" w:ascii="宋体" w:hAnsi="宋体" w:cs="仿宋_GB2312"/>
          <w:sz w:val="24"/>
          <w:highlight w:val="none"/>
        </w:rPr>
        <w:t>不得报销应由采购人单位或个人承担的费用。</w:t>
      </w:r>
    </w:p>
    <w:p w14:paraId="54F85559">
      <w:pPr>
        <w:widowControl/>
        <w:numPr>
          <w:ilvl w:val="0"/>
          <w:numId w:val="12"/>
        </w:numPr>
        <w:spacing w:line="360" w:lineRule="auto"/>
        <w:ind w:left="479"/>
        <w:rPr>
          <w:rFonts w:hint="eastAsia" w:ascii="宋体" w:hAnsi="宋体" w:cs="仿宋_GB2312"/>
          <w:sz w:val="24"/>
          <w:highlight w:val="none"/>
        </w:rPr>
      </w:pPr>
      <w:r>
        <w:rPr>
          <w:rFonts w:hint="eastAsia" w:ascii="宋体" w:hAnsi="宋体" w:cs="仿宋_GB2312"/>
          <w:sz w:val="24"/>
          <w:highlight w:val="none"/>
        </w:rPr>
        <w:t>不为采购人及其工作人员提供旅游、健身、娱乐等消费活动，不得利用宴请等活</w:t>
      </w:r>
    </w:p>
    <w:p w14:paraId="005FDFDF">
      <w:pPr>
        <w:widowControl/>
        <w:spacing w:line="360" w:lineRule="auto"/>
        <w:rPr>
          <w:rFonts w:hint="eastAsia" w:ascii="宋体" w:hAnsi="宋体" w:cs="仿宋_GB2312"/>
          <w:sz w:val="24"/>
          <w:highlight w:val="none"/>
        </w:rPr>
      </w:pPr>
      <w:r>
        <w:rPr>
          <w:rFonts w:hint="eastAsia" w:ascii="宋体" w:hAnsi="宋体" w:cs="仿宋_GB2312"/>
          <w:sz w:val="24"/>
          <w:highlight w:val="none"/>
        </w:rPr>
        <w:t>动影响采购人人员公正履行合同。</w:t>
      </w:r>
    </w:p>
    <w:p w14:paraId="7B862912">
      <w:pPr>
        <w:widowControl/>
        <w:numPr>
          <w:ilvl w:val="0"/>
          <w:numId w:val="12"/>
        </w:numPr>
        <w:spacing w:line="360" w:lineRule="auto"/>
        <w:ind w:left="479"/>
        <w:rPr>
          <w:rFonts w:hint="eastAsia" w:ascii="宋体" w:hAnsi="宋体" w:cs="仿宋_GB2312"/>
          <w:sz w:val="24"/>
          <w:highlight w:val="none"/>
        </w:rPr>
      </w:pPr>
      <w:r>
        <w:rPr>
          <w:rFonts w:hint="eastAsia" w:ascii="宋体" w:hAnsi="宋体" w:cs="仿宋_GB2312"/>
          <w:sz w:val="24"/>
          <w:highlight w:val="none"/>
        </w:rPr>
        <w:t>不为采购人及其工作人员购置或者提供通讯工具、交通工具、家电、办公用品等</w:t>
      </w:r>
    </w:p>
    <w:p w14:paraId="3DC811AB">
      <w:pPr>
        <w:widowControl/>
        <w:spacing w:line="360" w:lineRule="auto"/>
        <w:rPr>
          <w:rFonts w:hint="eastAsia" w:ascii="宋体" w:hAnsi="宋体" w:cs="仿宋_GB2312"/>
          <w:sz w:val="24"/>
          <w:highlight w:val="none"/>
        </w:rPr>
      </w:pPr>
      <w:r>
        <w:rPr>
          <w:rFonts w:hint="eastAsia" w:ascii="宋体" w:hAnsi="宋体" w:cs="仿宋_GB2312"/>
          <w:sz w:val="24"/>
          <w:highlight w:val="none"/>
        </w:rPr>
        <w:t>物品。</w:t>
      </w:r>
    </w:p>
    <w:p w14:paraId="1A42B9C2">
      <w:pPr>
        <w:widowControl/>
        <w:spacing w:line="360" w:lineRule="auto"/>
        <w:ind w:firstLine="480"/>
        <w:rPr>
          <w:rFonts w:hint="eastAsia" w:ascii="宋体" w:hAnsi="宋体" w:cs="仿宋_GB2312"/>
          <w:sz w:val="24"/>
          <w:highlight w:val="none"/>
        </w:rPr>
      </w:pPr>
      <w:r>
        <w:rPr>
          <w:rFonts w:hint="eastAsia" w:ascii="宋体" w:hAnsi="宋体" w:cs="仿宋_GB2312"/>
          <w:sz w:val="24"/>
          <w:highlight w:val="none"/>
        </w:rPr>
        <w:t>六、不为采购人工作人员的亲友的营利活动提供便利条件。</w:t>
      </w:r>
    </w:p>
    <w:p w14:paraId="1EF3E2FD">
      <w:pPr>
        <w:widowControl/>
        <w:spacing w:line="360" w:lineRule="auto"/>
        <w:ind w:left="479"/>
        <w:rPr>
          <w:rFonts w:hint="eastAsia" w:ascii="宋体" w:hAnsi="宋体" w:cs="仿宋_GB2312"/>
          <w:sz w:val="24"/>
          <w:highlight w:val="none"/>
        </w:rPr>
      </w:pPr>
      <w:r>
        <w:rPr>
          <w:rFonts w:hint="eastAsia" w:ascii="宋体" w:hAnsi="宋体" w:cs="仿宋_GB2312"/>
          <w:sz w:val="24"/>
          <w:highlight w:val="none"/>
        </w:rPr>
        <w:t>七、不为采购人工作人员在住房装修、婚丧嫁娶、家属和子女的工作安排以及出国等</w:t>
      </w:r>
    </w:p>
    <w:p w14:paraId="37185211">
      <w:pPr>
        <w:widowControl/>
        <w:spacing w:line="360" w:lineRule="auto"/>
        <w:rPr>
          <w:rFonts w:hint="eastAsia" w:ascii="宋体" w:hAnsi="宋体" w:cs="仿宋_GB2312"/>
          <w:sz w:val="24"/>
          <w:highlight w:val="none"/>
        </w:rPr>
      </w:pPr>
      <w:r>
        <w:rPr>
          <w:rFonts w:hint="eastAsia" w:ascii="宋体" w:hAnsi="宋体" w:cs="仿宋_GB2312"/>
          <w:sz w:val="24"/>
          <w:highlight w:val="none"/>
        </w:rPr>
        <w:t>提供</w:t>
      </w:r>
      <w:bookmarkStart w:id="262" w:name="REVIEW_BM_1268"/>
      <w:r>
        <w:rPr>
          <w:rFonts w:hint="eastAsia" w:ascii="宋体" w:hAnsi="宋体" w:cs="仿宋_GB2312"/>
          <w:sz w:val="24"/>
          <w:highlight w:val="none"/>
        </w:rPr>
        <w:t>便利</w:t>
      </w:r>
      <w:bookmarkEnd w:id="262"/>
      <w:r>
        <w:rPr>
          <w:rFonts w:hint="eastAsia" w:ascii="宋体" w:hAnsi="宋体" w:cs="仿宋_GB2312"/>
          <w:sz w:val="24"/>
          <w:highlight w:val="none"/>
        </w:rPr>
        <w:t>。</w:t>
      </w:r>
    </w:p>
    <w:p w14:paraId="5E17058C">
      <w:pPr>
        <w:widowControl/>
        <w:numPr>
          <w:ilvl w:val="0"/>
          <w:numId w:val="13"/>
        </w:numPr>
        <w:spacing w:line="360" w:lineRule="auto"/>
        <w:ind w:left="479"/>
        <w:rPr>
          <w:rFonts w:hint="eastAsia" w:ascii="宋体" w:hAnsi="宋体" w:cs="仿宋_GB2312"/>
          <w:sz w:val="24"/>
          <w:highlight w:val="none"/>
        </w:rPr>
      </w:pPr>
      <w:r>
        <w:rPr>
          <w:rFonts w:hint="eastAsia" w:ascii="宋体" w:hAnsi="宋体" w:cs="仿宋_GB2312"/>
          <w:sz w:val="24"/>
          <w:highlight w:val="none"/>
        </w:rPr>
        <w:t>不在合同签订、验收、付款等履行环节为获得</w:t>
      </w:r>
      <w:bookmarkStart w:id="263" w:name="REVIEW_BM_1269"/>
      <w:r>
        <w:rPr>
          <w:rFonts w:hint="eastAsia" w:ascii="宋体" w:hAnsi="宋体" w:cs="仿宋_GB2312"/>
          <w:sz w:val="24"/>
          <w:highlight w:val="none"/>
        </w:rPr>
        <w:t>便利</w:t>
      </w:r>
      <w:bookmarkEnd w:id="263"/>
      <w:r>
        <w:rPr>
          <w:rFonts w:hint="eastAsia" w:ascii="宋体" w:hAnsi="宋体" w:cs="仿宋_GB2312"/>
          <w:sz w:val="24"/>
          <w:highlight w:val="none"/>
        </w:rPr>
        <w:t>向采购人任何人支付任何合同</w:t>
      </w:r>
    </w:p>
    <w:p w14:paraId="67DD7D5A">
      <w:pPr>
        <w:widowControl/>
        <w:spacing w:line="360" w:lineRule="auto"/>
        <w:rPr>
          <w:rFonts w:hint="eastAsia" w:ascii="宋体" w:hAnsi="宋体" w:cs="仿宋_GB2312"/>
          <w:sz w:val="24"/>
          <w:highlight w:val="none"/>
        </w:rPr>
      </w:pPr>
      <w:r>
        <w:rPr>
          <w:rFonts w:hint="eastAsia" w:ascii="宋体" w:hAnsi="宋体" w:cs="仿宋_GB2312"/>
          <w:sz w:val="24"/>
          <w:highlight w:val="none"/>
        </w:rPr>
        <w:t>约定以外的费用。</w:t>
      </w:r>
    </w:p>
    <w:p w14:paraId="0CF3A212">
      <w:pPr>
        <w:widowControl/>
        <w:numPr>
          <w:ilvl w:val="0"/>
          <w:numId w:val="13"/>
        </w:numPr>
        <w:spacing w:line="360" w:lineRule="auto"/>
        <w:ind w:left="479"/>
        <w:rPr>
          <w:rFonts w:hint="eastAsia" w:ascii="宋体" w:hAnsi="宋体" w:cs="仿宋_GB2312"/>
          <w:sz w:val="24"/>
          <w:highlight w:val="none"/>
        </w:rPr>
      </w:pPr>
      <w:r>
        <w:rPr>
          <w:rFonts w:hint="eastAsia" w:ascii="宋体" w:hAnsi="宋体" w:cs="仿宋_GB2312"/>
          <w:sz w:val="24"/>
          <w:highlight w:val="none"/>
        </w:rPr>
        <w:t>不与采购人工作人员就物资费用、货物供应、物资验收、物资质量问题处理等进</w:t>
      </w:r>
    </w:p>
    <w:p w14:paraId="7B0A1649">
      <w:pPr>
        <w:widowControl/>
        <w:spacing w:line="360" w:lineRule="auto"/>
        <w:rPr>
          <w:rFonts w:hint="eastAsia" w:ascii="宋体" w:hAnsi="宋体" w:cs="仿宋_GB2312"/>
          <w:sz w:val="24"/>
          <w:highlight w:val="none"/>
        </w:rPr>
      </w:pPr>
      <w:r>
        <w:rPr>
          <w:rFonts w:hint="eastAsia" w:ascii="宋体" w:hAnsi="宋体" w:cs="仿宋_GB2312"/>
          <w:sz w:val="24"/>
          <w:highlight w:val="none"/>
        </w:rPr>
        <w:t>行私下商谈或者达成默契。</w:t>
      </w:r>
    </w:p>
    <w:p w14:paraId="7EA011D6">
      <w:pPr>
        <w:spacing w:line="360" w:lineRule="auto"/>
        <w:rPr>
          <w:rFonts w:hint="eastAsia" w:ascii="宋体" w:hAnsi="宋体" w:cs="仿宋_GB2312"/>
          <w:sz w:val="24"/>
          <w:highlight w:val="none"/>
        </w:rPr>
      </w:pPr>
    </w:p>
    <w:p w14:paraId="45C1B957">
      <w:pPr>
        <w:spacing w:line="480" w:lineRule="auto"/>
        <w:jc w:val="center"/>
        <w:rPr>
          <w:rFonts w:hint="eastAsia" w:ascii="宋体" w:hAnsi="宋体" w:cs="仿宋_GB2312"/>
          <w:sz w:val="24"/>
          <w:highlight w:val="none"/>
        </w:rPr>
      </w:pPr>
      <w:r>
        <w:rPr>
          <w:rFonts w:hint="eastAsia" w:ascii="宋体" w:hAnsi="宋体" w:cs="仿宋_GB2312"/>
          <w:sz w:val="24"/>
          <w:highlight w:val="none"/>
        </w:rPr>
        <w:t>供应商（电子签章）：</w:t>
      </w:r>
    </w:p>
    <w:p w14:paraId="5671C92E">
      <w:pPr>
        <w:spacing w:line="480" w:lineRule="auto"/>
        <w:jc w:val="center"/>
        <w:rPr>
          <w:rFonts w:hint="eastAsia" w:ascii="宋体" w:hAnsi="宋体" w:cs="仿宋_GB2312"/>
          <w:sz w:val="24"/>
          <w:highlight w:val="none"/>
        </w:rPr>
      </w:pPr>
      <w:r>
        <w:rPr>
          <w:rFonts w:hint="eastAsia" w:ascii="宋体" w:hAnsi="宋体" w:cs="仿宋_GB2312"/>
          <w:sz w:val="24"/>
          <w:highlight w:val="none"/>
        </w:rPr>
        <w:t xml:space="preserve">    法定代表人（签字）：</w:t>
      </w:r>
    </w:p>
    <w:p w14:paraId="05FCA5E7">
      <w:pPr>
        <w:spacing w:line="480" w:lineRule="auto"/>
        <w:jc w:val="center"/>
        <w:rPr>
          <w:rFonts w:ascii="宋体" w:hAnsi="宋体" w:cs="仿宋_GB2312"/>
          <w:sz w:val="24"/>
          <w:highlight w:val="none"/>
        </w:rPr>
      </w:pPr>
      <w:r>
        <w:rPr>
          <w:rFonts w:hint="eastAsia" w:ascii="宋体" w:hAnsi="宋体" w:cs="仿宋_GB2312"/>
          <w:sz w:val="24"/>
          <w:highlight w:val="none"/>
        </w:rPr>
        <w:t xml:space="preserve">        日期：    年    月     日</w:t>
      </w:r>
    </w:p>
    <w:p w14:paraId="30487E96">
      <w:pPr>
        <w:pStyle w:val="20"/>
        <w:spacing w:before="34"/>
        <w:ind w:left="1608" w:right="1780"/>
        <w:jc w:val="center"/>
        <w:rPr>
          <w:rFonts w:hint="eastAsia" w:ascii="宋体" w:hAnsi="宋体" w:cs="宋体"/>
          <w:b/>
          <w:sz w:val="32"/>
          <w:szCs w:val="32"/>
          <w:highlight w:val="none"/>
        </w:rPr>
      </w:pPr>
      <w:r>
        <w:rPr>
          <w:rFonts w:hint="eastAsia" w:ascii="宋体" w:hAnsi="宋体" w:cs="仿宋_GB2312"/>
          <w:sz w:val="32"/>
          <w:szCs w:val="32"/>
          <w:highlight w:val="none"/>
        </w:rPr>
        <w:br w:type="page" w:clear="all"/>
      </w:r>
      <w:r>
        <w:rPr>
          <w:rFonts w:hint="eastAsia" w:ascii="宋体" w:hAnsi="宋体" w:cs="宋体"/>
          <w:sz w:val="32"/>
          <w:szCs w:val="32"/>
          <w:highlight w:val="none"/>
        </w:rPr>
        <w:t>12.</w:t>
      </w:r>
      <w:r>
        <w:rPr>
          <w:rFonts w:hint="eastAsia" w:ascii="宋体" w:hAnsi="宋体" w:cs="宋体"/>
          <w:b/>
          <w:sz w:val="32"/>
          <w:szCs w:val="32"/>
          <w:highlight w:val="none"/>
        </w:rPr>
        <w:t>已完成类似工程一览表</w:t>
      </w:r>
    </w:p>
    <w:p w14:paraId="575C4668">
      <w:pPr>
        <w:pStyle w:val="20"/>
        <w:spacing w:before="5"/>
        <w:rPr>
          <w:rFonts w:hint="eastAsia"/>
          <w:b/>
          <w:sz w:val="10"/>
          <w:highlight w:val="none"/>
        </w:rPr>
      </w:pPr>
    </w:p>
    <w:tbl>
      <w:tblPr>
        <w:tblStyle w:val="56"/>
        <w:tblW w:w="0" w:type="auto"/>
        <w:jc w:val="center"/>
        <w:tblLayout w:type="fixed"/>
        <w:tblCellMar>
          <w:top w:w="0" w:type="dxa"/>
          <w:left w:w="108" w:type="dxa"/>
          <w:bottom w:w="0" w:type="dxa"/>
          <w:right w:w="108" w:type="dxa"/>
        </w:tblCellMar>
      </w:tblPr>
      <w:tblGrid>
        <w:gridCol w:w="675"/>
        <w:gridCol w:w="1470"/>
        <w:gridCol w:w="1648"/>
        <w:gridCol w:w="1097"/>
        <w:gridCol w:w="1185"/>
        <w:gridCol w:w="1095"/>
        <w:gridCol w:w="1320"/>
        <w:gridCol w:w="1123"/>
      </w:tblGrid>
      <w:tr w14:paraId="0DB64A32">
        <w:tblPrEx>
          <w:tblCellMar>
            <w:top w:w="0" w:type="dxa"/>
            <w:left w:w="108" w:type="dxa"/>
            <w:bottom w:w="0" w:type="dxa"/>
            <w:right w:w="108" w:type="dxa"/>
          </w:tblCellMar>
        </w:tblPrEx>
        <w:trPr>
          <w:trHeight w:val="866"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top"/>
          </w:tcPr>
          <w:p w14:paraId="33884F85">
            <w:pPr>
              <w:pStyle w:val="625"/>
              <w:keepNext w:val="0"/>
              <w:keepLines w:val="0"/>
              <w:suppressLineNumbers w:val="0"/>
              <w:spacing w:before="3" w:beforeAutospacing="0" w:after="0" w:afterAutospacing="0"/>
              <w:ind w:left="0" w:right="0"/>
              <w:rPr>
                <w:rFonts w:hint="eastAsia"/>
                <w:b/>
                <w:sz w:val="23"/>
                <w:highlight w:val="none"/>
              </w:rPr>
            </w:pPr>
          </w:p>
          <w:p w14:paraId="5FA7FBB6">
            <w:pPr>
              <w:pStyle w:val="625"/>
              <w:keepNext w:val="0"/>
              <w:keepLines w:val="0"/>
              <w:suppressLineNumbers w:val="0"/>
              <w:spacing w:before="1" w:beforeAutospacing="0" w:after="0" w:afterAutospacing="0"/>
              <w:ind w:left="0" w:right="0"/>
              <w:jc w:val="center"/>
              <w:rPr>
                <w:rFonts w:hint="eastAsia"/>
                <w:sz w:val="21"/>
                <w:highlight w:val="none"/>
              </w:rPr>
            </w:pPr>
            <w:r>
              <w:rPr>
                <w:rFonts w:hint="eastAsia"/>
                <w:sz w:val="21"/>
                <w:highlight w:val="none"/>
              </w:rPr>
              <w:t>序号</w:t>
            </w:r>
          </w:p>
        </w:tc>
        <w:tc>
          <w:tcPr>
            <w:tcW w:w="1470" w:type="dxa"/>
            <w:tcBorders>
              <w:top w:val="single" w:color="000000" w:sz="4" w:space="0"/>
              <w:left w:val="single" w:color="000000" w:sz="4" w:space="0"/>
              <w:bottom w:val="single" w:color="000000" w:sz="4" w:space="0"/>
              <w:right w:val="single" w:color="000000" w:sz="4" w:space="0"/>
            </w:tcBorders>
            <w:noWrap w:val="0"/>
            <w:vAlign w:val="top"/>
          </w:tcPr>
          <w:p w14:paraId="4F6841F2">
            <w:pPr>
              <w:pStyle w:val="625"/>
              <w:keepNext w:val="0"/>
              <w:keepLines w:val="0"/>
              <w:suppressLineNumbers w:val="0"/>
              <w:spacing w:before="3" w:beforeAutospacing="0" w:after="0" w:afterAutospacing="0"/>
              <w:ind w:left="0" w:right="0"/>
              <w:jc w:val="center"/>
              <w:rPr>
                <w:rFonts w:hint="eastAsia"/>
                <w:b/>
                <w:sz w:val="23"/>
                <w:highlight w:val="none"/>
              </w:rPr>
            </w:pPr>
          </w:p>
          <w:p w14:paraId="3202A587">
            <w:pPr>
              <w:pStyle w:val="625"/>
              <w:keepNext w:val="0"/>
              <w:keepLines w:val="0"/>
              <w:suppressLineNumbers w:val="0"/>
              <w:spacing w:before="1" w:beforeAutospacing="0" w:after="0" w:afterAutospacing="0"/>
              <w:ind w:left="0" w:right="0"/>
              <w:jc w:val="center"/>
              <w:rPr>
                <w:rFonts w:hint="eastAsia"/>
                <w:sz w:val="21"/>
                <w:highlight w:val="none"/>
              </w:rPr>
            </w:pPr>
            <w:bookmarkStart w:id="264" w:name="REVIEW_BM_1270"/>
            <w:r>
              <w:rPr>
                <w:rFonts w:hint="eastAsia"/>
                <w:sz w:val="21"/>
                <w:highlight w:val="none"/>
              </w:rPr>
              <w:t>发包人</w:t>
            </w:r>
            <w:bookmarkEnd w:id="264"/>
            <w:r>
              <w:rPr>
                <w:rFonts w:hint="eastAsia"/>
                <w:sz w:val="21"/>
                <w:highlight w:val="none"/>
              </w:rPr>
              <w:t>名称</w:t>
            </w:r>
          </w:p>
        </w:tc>
        <w:tc>
          <w:tcPr>
            <w:tcW w:w="1648" w:type="dxa"/>
            <w:tcBorders>
              <w:top w:val="single" w:color="000000" w:sz="4" w:space="0"/>
              <w:left w:val="single" w:color="000000" w:sz="4" w:space="0"/>
              <w:bottom w:val="single" w:color="000000" w:sz="4" w:space="0"/>
              <w:right w:val="single" w:color="000000" w:sz="4" w:space="0"/>
            </w:tcBorders>
            <w:noWrap w:val="0"/>
            <w:vAlign w:val="top"/>
          </w:tcPr>
          <w:p w14:paraId="3FDAAF43">
            <w:pPr>
              <w:pStyle w:val="625"/>
              <w:keepNext w:val="0"/>
              <w:keepLines w:val="0"/>
              <w:suppressLineNumbers w:val="0"/>
              <w:spacing w:before="142" w:beforeAutospacing="0" w:after="0" w:afterAutospacing="0" w:line="278" w:lineRule="auto"/>
              <w:ind w:left="0" w:right="168"/>
              <w:jc w:val="center"/>
              <w:rPr>
                <w:rFonts w:hint="eastAsia"/>
                <w:spacing w:val="-1"/>
                <w:sz w:val="21"/>
                <w:highlight w:val="none"/>
              </w:rPr>
            </w:pPr>
            <w:r>
              <w:rPr>
                <w:rFonts w:hint="eastAsia"/>
                <w:sz w:val="21"/>
                <w:highlight w:val="none"/>
              </w:rPr>
              <w:t>工程名称</w:t>
            </w:r>
            <w:r>
              <w:rPr>
                <w:rFonts w:hint="eastAsia"/>
                <w:spacing w:val="-1"/>
                <w:sz w:val="21"/>
                <w:highlight w:val="none"/>
              </w:rPr>
              <w:t>及建设地点</w:t>
            </w:r>
          </w:p>
        </w:tc>
        <w:tc>
          <w:tcPr>
            <w:tcW w:w="1097" w:type="dxa"/>
            <w:tcBorders>
              <w:top w:val="single" w:color="000000" w:sz="4" w:space="0"/>
              <w:left w:val="single" w:color="000000" w:sz="4" w:space="0"/>
              <w:bottom w:val="single" w:color="000000" w:sz="4" w:space="0"/>
              <w:right w:val="single" w:color="000000" w:sz="4" w:space="0"/>
            </w:tcBorders>
            <w:noWrap w:val="0"/>
            <w:vAlign w:val="top"/>
          </w:tcPr>
          <w:p w14:paraId="2CBD8D9C">
            <w:pPr>
              <w:pStyle w:val="625"/>
              <w:keepNext w:val="0"/>
              <w:keepLines w:val="0"/>
              <w:suppressLineNumbers w:val="0"/>
              <w:spacing w:before="142" w:beforeAutospacing="0" w:after="0" w:afterAutospacing="0" w:line="278" w:lineRule="auto"/>
              <w:ind w:left="215" w:right="201"/>
              <w:rPr>
                <w:rFonts w:hint="eastAsia"/>
                <w:spacing w:val="-1"/>
                <w:sz w:val="21"/>
                <w:highlight w:val="none"/>
              </w:rPr>
            </w:pPr>
            <w:r>
              <w:rPr>
                <w:rFonts w:hint="eastAsia"/>
                <w:spacing w:val="-1"/>
                <w:sz w:val="21"/>
                <w:highlight w:val="none"/>
              </w:rPr>
              <w:t>结构类型</w:t>
            </w:r>
          </w:p>
        </w:tc>
        <w:tc>
          <w:tcPr>
            <w:tcW w:w="1185" w:type="dxa"/>
            <w:tcBorders>
              <w:top w:val="single" w:color="000000" w:sz="4" w:space="0"/>
              <w:left w:val="single" w:color="000000" w:sz="4" w:space="0"/>
              <w:bottom w:val="single" w:color="000000" w:sz="4" w:space="0"/>
              <w:right w:val="single" w:color="000000" w:sz="4" w:space="0"/>
            </w:tcBorders>
            <w:noWrap w:val="0"/>
            <w:vAlign w:val="center"/>
          </w:tcPr>
          <w:p w14:paraId="4B7BF813">
            <w:pPr>
              <w:keepNext w:val="0"/>
              <w:keepLines w:val="0"/>
              <w:suppressLineNumbers w:val="0"/>
              <w:spacing w:before="0" w:beforeAutospacing="0" w:after="0" w:afterAutospacing="0"/>
              <w:ind w:left="0" w:right="0"/>
              <w:jc w:val="center"/>
              <w:rPr>
                <w:rFonts w:hint="eastAsia" w:ascii="Times New Roman" w:hAnsi="Times New Roman" w:cs="Times New Roman"/>
                <w:highlight w:val="none"/>
              </w:rPr>
            </w:pPr>
            <w:r>
              <w:rPr>
                <w:rFonts w:hint="eastAsia" w:ascii="Times New Roman" w:hAnsi="Times New Roman" w:cs="Times New Roman"/>
                <w:highlight w:val="none"/>
              </w:rPr>
              <w:t>建设规模</w:t>
            </w:r>
          </w:p>
        </w:tc>
        <w:tc>
          <w:tcPr>
            <w:tcW w:w="1095" w:type="dxa"/>
            <w:tcBorders>
              <w:top w:val="single" w:color="000000" w:sz="4" w:space="0"/>
              <w:left w:val="single" w:color="000000" w:sz="4" w:space="0"/>
              <w:bottom w:val="single" w:color="000000" w:sz="4" w:space="0"/>
              <w:right w:val="single" w:color="000000" w:sz="4" w:space="0"/>
            </w:tcBorders>
            <w:noWrap w:val="0"/>
            <w:vAlign w:val="center"/>
          </w:tcPr>
          <w:p w14:paraId="4659E620">
            <w:pPr>
              <w:keepNext w:val="0"/>
              <w:keepLines w:val="0"/>
              <w:suppressLineNumbers w:val="0"/>
              <w:spacing w:before="0" w:beforeAutospacing="0" w:after="0" w:afterAutospacing="0"/>
              <w:ind w:left="0" w:right="0"/>
              <w:jc w:val="center"/>
              <w:rPr>
                <w:rFonts w:hint="eastAsia" w:ascii="Times New Roman" w:hAnsi="Times New Roman" w:cs="Times New Roman"/>
                <w:highlight w:val="none"/>
              </w:rPr>
            </w:pPr>
            <w:r>
              <w:rPr>
                <w:rFonts w:hint="eastAsia" w:ascii="Times New Roman" w:hAnsi="Times New Roman" w:cs="Times New Roman"/>
                <w:highlight w:val="none"/>
              </w:rPr>
              <w:t>合同金额</w:t>
            </w:r>
          </w:p>
          <w:p w14:paraId="233ED79C">
            <w:pPr>
              <w:keepNext w:val="0"/>
              <w:keepLines w:val="0"/>
              <w:suppressLineNumbers w:val="0"/>
              <w:spacing w:before="0" w:beforeAutospacing="0" w:after="0" w:afterAutospacing="0"/>
              <w:ind w:left="0" w:right="0"/>
              <w:jc w:val="center"/>
              <w:rPr>
                <w:rFonts w:hint="eastAsia" w:ascii="Times New Roman" w:hAnsi="Times New Roman" w:cs="Times New Roman"/>
                <w:highlight w:val="none"/>
              </w:rPr>
            </w:pPr>
            <w:r>
              <w:rPr>
                <w:rFonts w:hint="eastAsia" w:ascii="Times New Roman" w:hAnsi="Times New Roman" w:cs="Times New Roman"/>
                <w:highlight w:val="none"/>
              </w:rPr>
              <w:t>（万元）</w:t>
            </w:r>
          </w:p>
        </w:tc>
        <w:tc>
          <w:tcPr>
            <w:tcW w:w="1320" w:type="dxa"/>
            <w:tcBorders>
              <w:top w:val="single" w:color="000000" w:sz="4" w:space="0"/>
              <w:left w:val="single" w:color="000000" w:sz="4" w:space="0"/>
              <w:bottom w:val="single" w:color="000000" w:sz="4" w:space="0"/>
              <w:right w:val="single" w:color="000000" w:sz="4" w:space="0"/>
            </w:tcBorders>
            <w:noWrap w:val="0"/>
            <w:vAlign w:val="center"/>
          </w:tcPr>
          <w:p w14:paraId="4CCFDFA9">
            <w:pPr>
              <w:keepNext w:val="0"/>
              <w:keepLines w:val="0"/>
              <w:suppressLineNumbers w:val="0"/>
              <w:spacing w:before="0" w:beforeAutospacing="0" w:after="0" w:afterAutospacing="0"/>
              <w:ind w:left="0" w:right="0"/>
              <w:jc w:val="center"/>
              <w:rPr>
                <w:rFonts w:hint="eastAsia" w:ascii="Times New Roman" w:hAnsi="Times New Roman" w:cs="Times New Roman"/>
                <w:spacing w:val="-1"/>
                <w:highlight w:val="none"/>
              </w:rPr>
            </w:pPr>
            <w:r>
              <w:rPr>
                <w:rFonts w:hint="eastAsia" w:ascii="Times New Roman" w:hAnsi="Times New Roman" w:cs="Times New Roman"/>
                <w:highlight w:val="none"/>
              </w:rPr>
              <w:t>竣工达到质量标准</w:t>
            </w:r>
          </w:p>
        </w:tc>
        <w:tc>
          <w:tcPr>
            <w:tcW w:w="1123" w:type="dxa"/>
            <w:tcBorders>
              <w:top w:val="single" w:color="000000" w:sz="4" w:space="0"/>
              <w:left w:val="single" w:color="000000" w:sz="4" w:space="0"/>
              <w:bottom w:val="single" w:color="000000" w:sz="4" w:space="0"/>
              <w:right w:val="single" w:color="000000" w:sz="4" w:space="0"/>
            </w:tcBorders>
            <w:noWrap w:val="0"/>
            <w:vAlign w:val="center"/>
          </w:tcPr>
          <w:p w14:paraId="1746D08C">
            <w:pPr>
              <w:keepNext w:val="0"/>
              <w:keepLines w:val="0"/>
              <w:suppressLineNumbers w:val="0"/>
              <w:spacing w:before="0" w:beforeAutospacing="0" w:after="0" w:afterAutospacing="0"/>
              <w:ind w:left="0" w:right="0"/>
              <w:jc w:val="center"/>
              <w:rPr>
                <w:rFonts w:hint="eastAsia" w:ascii="Times New Roman" w:hAnsi="Times New Roman" w:cs="Times New Roman"/>
                <w:highlight w:val="none"/>
              </w:rPr>
            </w:pPr>
            <w:r>
              <w:rPr>
                <w:rFonts w:hint="eastAsia" w:ascii="Times New Roman" w:hAnsi="Times New Roman" w:cs="Times New Roman"/>
                <w:highlight w:val="none"/>
              </w:rPr>
              <w:t>开竣工</w:t>
            </w:r>
          </w:p>
          <w:p w14:paraId="532F6DCF">
            <w:pPr>
              <w:keepNext w:val="0"/>
              <w:keepLines w:val="0"/>
              <w:suppressLineNumbers w:val="0"/>
              <w:spacing w:before="0" w:beforeAutospacing="0" w:after="0" w:afterAutospacing="0"/>
              <w:ind w:left="0" w:right="0"/>
              <w:jc w:val="center"/>
              <w:rPr>
                <w:rFonts w:hint="eastAsia" w:ascii="Times New Roman" w:hAnsi="Times New Roman" w:cs="Times New Roman"/>
                <w:spacing w:val="30"/>
                <w:highlight w:val="none"/>
              </w:rPr>
            </w:pPr>
            <w:r>
              <w:rPr>
                <w:rFonts w:hint="eastAsia" w:ascii="Times New Roman" w:hAnsi="Times New Roman" w:cs="Times New Roman"/>
                <w:highlight w:val="none"/>
              </w:rPr>
              <w:t>日期</w:t>
            </w:r>
          </w:p>
        </w:tc>
      </w:tr>
      <w:tr w14:paraId="2F03D68A">
        <w:tblPrEx>
          <w:tblCellMar>
            <w:top w:w="0" w:type="dxa"/>
            <w:left w:w="108" w:type="dxa"/>
            <w:bottom w:w="0" w:type="dxa"/>
            <w:right w:w="108" w:type="dxa"/>
          </w:tblCellMar>
        </w:tblPrEx>
        <w:trPr>
          <w:trHeight w:val="611"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top"/>
          </w:tcPr>
          <w:p w14:paraId="0076B296">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470" w:type="dxa"/>
            <w:tcBorders>
              <w:top w:val="single" w:color="000000" w:sz="4" w:space="0"/>
              <w:left w:val="single" w:color="000000" w:sz="4" w:space="0"/>
              <w:bottom w:val="single" w:color="000000" w:sz="4" w:space="0"/>
              <w:right w:val="single" w:color="000000" w:sz="4" w:space="0"/>
            </w:tcBorders>
            <w:noWrap w:val="0"/>
            <w:vAlign w:val="top"/>
          </w:tcPr>
          <w:p w14:paraId="6B338AB8">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648" w:type="dxa"/>
            <w:tcBorders>
              <w:top w:val="single" w:color="000000" w:sz="4" w:space="0"/>
              <w:left w:val="single" w:color="000000" w:sz="4" w:space="0"/>
              <w:bottom w:val="single" w:color="000000" w:sz="4" w:space="0"/>
              <w:right w:val="single" w:color="000000" w:sz="4" w:space="0"/>
            </w:tcBorders>
            <w:noWrap w:val="0"/>
            <w:vAlign w:val="top"/>
          </w:tcPr>
          <w:p w14:paraId="3CEA35AF">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top"/>
          </w:tcPr>
          <w:p w14:paraId="51FF92D3">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558B4CA7">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0982D5C8">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41826EB8">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top"/>
          </w:tcPr>
          <w:p w14:paraId="7F348EF5">
            <w:pPr>
              <w:pStyle w:val="625"/>
              <w:keepNext w:val="0"/>
              <w:keepLines w:val="0"/>
              <w:suppressLineNumbers w:val="0"/>
              <w:spacing w:before="0" w:beforeAutospacing="0" w:after="0" w:afterAutospacing="0"/>
              <w:ind w:left="0" w:right="0"/>
              <w:rPr>
                <w:rFonts w:hint="default" w:ascii="Times New Roman" w:eastAsia="Times New Roman"/>
                <w:highlight w:val="none"/>
              </w:rPr>
            </w:pPr>
          </w:p>
        </w:tc>
      </w:tr>
      <w:tr w14:paraId="10ECE3C5">
        <w:tblPrEx>
          <w:tblCellMar>
            <w:top w:w="0" w:type="dxa"/>
            <w:left w:w="108" w:type="dxa"/>
            <w:bottom w:w="0" w:type="dxa"/>
            <w:right w:w="108" w:type="dxa"/>
          </w:tblCellMar>
        </w:tblPrEx>
        <w:trPr>
          <w:trHeight w:val="621"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top"/>
          </w:tcPr>
          <w:p w14:paraId="7268EBF8">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470" w:type="dxa"/>
            <w:tcBorders>
              <w:top w:val="single" w:color="000000" w:sz="4" w:space="0"/>
              <w:left w:val="single" w:color="000000" w:sz="4" w:space="0"/>
              <w:bottom w:val="single" w:color="000000" w:sz="4" w:space="0"/>
              <w:right w:val="single" w:color="000000" w:sz="4" w:space="0"/>
            </w:tcBorders>
            <w:noWrap w:val="0"/>
            <w:vAlign w:val="top"/>
          </w:tcPr>
          <w:p w14:paraId="0701C8FA">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648" w:type="dxa"/>
            <w:tcBorders>
              <w:top w:val="single" w:color="000000" w:sz="4" w:space="0"/>
              <w:left w:val="single" w:color="000000" w:sz="4" w:space="0"/>
              <w:bottom w:val="single" w:color="000000" w:sz="4" w:space="0"/>
              <w:right w:val="single" w:color="000000" w:sz="4" w:space="0"/>
            </w:tcBorders>
            <w:noWrap w:val="0"/>
            <w:vAlign w:val="top"/>
          </w:tcPr>
          <w:p w14:paraId="288A5F0D">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top"/>
          </w:tcPr>
          <w:p w14:paraId="00AAF6CE">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666BB925">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3794305D">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4D72E84C">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top"/>
          </w:tcPr>
          <w:p w14:paraId="335A9F41">
            <w:pPr>
              <w:pStyle w:val="625"/>
              <w:keepNext w:val="0"/>
              <w:keepLines w:val="0"/>
              <w:suppressLineNumbers w:val="0"/>
              <w:spacing w:before="0" w:beforeAutospacing="0" w:after="0" w:afterAutospacing="0"/>
              <w:ind w:left="0" w:right="0"/>
              <w:rPr>
                <w:rFonts w:hint="default" w:ascii="Times New Roman" w:eastAsia="Times New Roman"/>
                <w:highlight w:val="none"/>
              </w:rPr>
            </w:pPr>
          </w:p>
        </w:tc>
      </w:tr>
      <w:tr w14:paraId="73ECC18A">
        <w:tblPrEx>
          <w:tblCellMar>
            <w:top w:w="0" w:type="dxa"/>
            <w:left w:w="108" w:type="dxa"/>
            <w:bottom w:w="0" w:type="dxa"/>
            <w:right w:w="108" w:type="dxa"/>
          </w:tblCellMar>
        </w:tblPrEx>
        <w:trPr>
          <w:trHeight w:val="613"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top"/>
          </w:tcPr>
          <w:p w14:paraId="168EBA4F">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470" w:type="dxa"/>
            <w:tcBorders>
              <w:top w:val="single" w:color="000000" w:sz="4" w:space="0"/>
              <w:left w:val="single" w:color="000000" w:sz="4" w:space="0"/>
              <w:bottom w:val="single" w:color="000000" w:sz="4" w:space="0"/>
              <w:right w:val="single" w:color="000000" w:sz="4" w:space="0"/>
            </w:tcBorders>
            <w:noWrap w:val="0"/>
            <w:vAlign w:val="top"/>
          </w:tcPr>
          <w:p w14:paraId="3D5A315E">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648" w:type="dxa"/>
            <w:tcBorders>
              <w:top w:val="single" w:color="000000" w:sz="4" w:space="0"/>
              <w:left w:val="single" w:color="000000" w:sz="4" w:space="0"/>
              <w:bottom w:val="single" w:color="000000" w:sz="4" w:space="0"/>
              <w:right w:val="single" w:color="000000" w:sz="4" w:space="0"/>
            </w:tcBorders>
            <w:noWrap w:val="0"/>
            <w:vAlign w:val="top"/>
          </w:tcPr>
          <w:p w14:paraId="1D9A8BA3">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top"/>
          </w:tcPr>
          <w:p w14:paraId="4814B97D">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160C1AC3">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07F3FF31">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35727659">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top"/>
          </w:tcPr>
          <w:p w14:paraId="332984FE">
            <w:pPr>
              <w:pStyle w:val="625"/>
              <w:keepNext w:val="0"/>
              <w:keepLines w:val="0"/>
              <w:suppressLineNumbers w:val="0"/>
              <w:spacing w:before="0" w:beforeAutospacing="0" w:after="0" w:afterAutospacing="0"/>
              <w:ind w:left="0" w:right="0"/>
              <w:rPr>
                <w:rFonts w:hint="default" w:ascii="Times New Roman" w:eastAsia="Times New Roman"/>
                <w:highlight w:val="none"/>
              </w:rPr>
            </w:pPr>
          </w:p>
        </w:tc>
      </w:tr>
      <w:tr w14:paraId="6039FAC8">
        <w:tblPrEx>
          <w:tblCellMar>
            <w:top w:w="0" w:type="dxa"/>
            <w:left w:w="108" w:type="dxa"/>
            <w:bottom w:w="0" w:type="dxa"/>
            <w:right w:w="108" w:type="dxa"/>
          </w:tblCellMar>
        </w:tblPrEx>
        <w:trPr>
          <w:trHeight w:val="614"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top"/>
          </w:tcPr>
          <w:p w14:paraId="425B7BFC">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470" w:type="dxa"/>
            <w:tcBorders>
              <w:top w:val="single" w:color="000000" w:sz="4" w:space="0"/>
              <w:left w:val="single" w:color="000000" w:sz="4" w:space="0"/>
              <w:bottom w:val="single" w:color="000000" w:sz="4" w:space="0"/>
              <w:right w:val="single" w:color="000000" w:sz="4" w:space="0"/>
            </w:tcBorders>
            <w:noWrap w:val="0"/>
            <w:vAlign w:val="top"/>
          </w:tcPr>
          <w:p w14:paraId="07368BB8">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648" w:type="dxa"/>
            <w:tcBorders>
              <w:top w:val="single" w:color="000000" w:sz="4" w:space="0"/>
              <w:left w:val="single" w:color="000000" w:sz="4" w:space="0"/>
              <w:bottom w:val="single" w:color="000000" w:sz="4" w:space="0"/>
              <w:right w:val="single" w:color="000000" w:sz="4" w:space="0"/>
            </w:tcBorders>
            <w:noWrap w:val="0"/>
            <w:vAlign w:val="top"/>
          </w:tcPr>
          <w:p w14:paraId="19C21812">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top"/>
          </w:tcPr>
          <w:p w14:paraId="522CEA7A">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7BEAE3D8">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2A92AEC2">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17AF84E4">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top"/>
          </w:tcPr>
          <w:p w14:paraId="172EB8AC">
            <w:pPr>
              <w:pStyle w:val="625"/>
              <w:keepNext w:val="0"/>
              <w:keepLines w:val="0"/>
              <w:suppressLineNumbers w:val="0"/>
              <w:spacing w:before="0" w:beforeAutospacing="0" w:after="0" w:afterAutospacing="0"/>
              <w:ind w:left="0" w:right="0"/>
              <w:rPr>
                <w:rFonts w:hint="default" w:ascii="Times New Roman" w:eastAsia="Times New Roman"/>
                <w:highlight w:val="none"/>
              </w:rPr>
            </w:pPr>
          </w:p>
        </w:tc>
      </w:tr>
      <w:tr w14:paraId="06BB6A7A">
        <w:tblPrEx>
          <w:tblCellMar>
            <w:top w:w="0" w:type="dxa"/>
            <w:left w:w="108" w:type="dxa"/>
            <w:bottom w:w="0" w:type="dxa"/>
            <w:right w:w="108" w:type="dxa"/>
          </w:tblCellMar>
        </w:tblPrEx>
        <w:trPr>
          <w:trHeight w:val="613" w:hRule="atLeast"/>
          <w:jc w:val="center"/>
        </w:trPr>
        <w:tc>
          <w:tcPr>
            <w:tcW w:w="675" w:type="dxa"/>
            <w:tcBorders>
              <w:top w:val="single" w:color="000000" w:sz="4" w:space="0"/>
              <w:left w:val="single" w:color="000000" w:sz="4" w:space="0"/>
              <w:bottom w:val="single" w:color="000000" w:sz="4" w:space="0"/>
              <w:right w:val="single" w:color="000000" w:sz="4" w:space="0"/>
            </w:tcBorders>
            <w:noWrap w:val="0"/>
            <w:vAlign w:val="top"/>
          </w:tcPr>
          <w:p w14:paraId="559B935F">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470" w:type="dxa"/>
            <w:tcBorders>
              <w:top w:val="single" w:color="000000" w:sz="4" w:space="0"/>
              <w:left w:val="single" w:color="000000" w:sz="4" w:space="0"/>
              <w:bottom w:val="single" w:color="000000" w:sz="4" w:space="0"/>
              <w:right w:val="single" w:color="000000" w:sz="4" w:space="0"/>
            </w:tcBorders>
            <w:noWrap w:val="0"/>
            <w:vAlign w:val="top"/>
          </w:tcPr>
          <w:p w14:paraId="60391D77">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648" w:type="dxa"/>
            <w:tcBorders>
              <w:top w:val="single" w:color="000000" w:sz="4" w:space="0"/>
              <w:left w:val="single" w:color="000000" w:sz="4" w:space="0"/>
              <w:bottom w:val="single" w:color="000000" w:sz="4" w:space="0"/>
              <w:right w:val="single" w:color="000000" w:sz="4" w:space="0"/>
            </w:tcBorders>
            <w:noWrap w:val="0"/>
            <w:vAlign w:val="top"/>
          </w:tcPr>
          <w:p w14:paraId="14631593">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7" w:type="dxa"/>
            <w:tcBorders>
              <w:top w:val="single" w:color="000000" w:sz="4" w:space="0"/>
              <w:left w:val="single" w:color="000000" w:sz="4" w:space="0"/>
              <w:bottom w:val="single" w:color="000000" w:sz="4" w:space="0"/>
              <w:right w:val="single" w:color="000000" w:sz="4" w:space="0"/>
            </w:tcBorders>
            <w:noWrap w:val="0"/>
            <w:vAlign w:val="top"/>
          </w:tcPr>
          <w:p w14:paraId="6F688F09">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85" w:type="dxa"/>
            <w:tcBorders>
              <w:top w:val="single" w:color="000000" w:sz="4" w:space="0"/>
              <w:left w:val="single" w:color="000000" w:sz="4" w:space="0"/>
              <w:bottom w:val="single" w:color="000000" w:sz="4" w:space="0"/>
              <w:right w:val="single" w:color="000000" w:sz="4" w:space="0"/>
            </w:tcBorders>
            <w:noWrap w:val="0"/>
            <w:vAlign w:val="top"/>
          </w:tcPr>
          <w:p w14:paraId="06CDEC75">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095" w:type="dxa"/>
            <w:tcBorders>
              <w:top w:val="single" w:color="000000" w:sz="4" w:space="0"/>
              <w:left w:val="single" w:color="000000" w:sz="4" w:space="0"/>
              <w:bottom w:val="single" w:color="000000" w:sz="4" w:space="0"/>
              <w:right w:val="single" w:color="000000" w:sz="4" w:space="0"/>
            </w:tcBorders>
            <w:noWrap w:val="0"/>
            <w:vAlign w:val="top"/>
          </w:tcPr>
          <w:p w14:paraId="2B461411">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320" w:type="dxa"/>
            <w:tcBorders>
              <w:top w:val="single" w:color="000000" w:sz="4" w:space="0"/>
              <w:left w:val="single" w:color="000000" w:sz="4" w:space="0"/>
              <w:bottom w:val="single" w:color="000000" w:sz="4" w:space="0"/>
              <w:right w:val="single" w:color="000000" w:sz="4" w:space="0"/>
            </w:tcBorders>
            <w:noWrap w:val="0"/>
            <w:vAlign w:val="top"/>
          </w:tcPr>
          <w:p w14:paraId="58A8EA5B">
            <w:pPr>
              <w:pStyle w:val="625"/>
              <w:keepNext w:val="0"/>
              <w:keepLines w:val="0"/>
              <w:suppressLineNumbers w:val="0"/>
              <w:spacing w:before="0" w:beforeAutospacing="0" w:after="0" w:afterAutospacing="0"/>
              <w:ind w:left="0" w:right="0"/>
              <w:rPr>
                <w:rFonts w:hint="default" w:ascii="Times New Roman" w:eastAsia="Times New Roman"/>
                <w:highlight w:val="none"/>
              </w:rPr>
            </w:pPr>
          </w:p>
        </w:tc>
        <w:tc>
          <w:tcPr>
            <w:tcW w:w="1123" w:type="dxa"/>
            <w:tcBorders>
              <w:top w:val="single" w:color="000000" w:sz="4" w:space="0"/>
              <w:left w:val="single" w:color="000000" w:sz="4" w:space="0"/>
              <w:bottom w:val="single" w:color="000000" w:sz="4" w:space="0"/>
              <w:right w:val="single" w:color="000000" w:sz="4" w:space="0"/>
            </w:tcBorders>
            <w:noWrap w:val="0"/>
            <w:vAlign w:val="top"/>
          </w:tcPr>
          <w:p w14:paraId="2AF8712C">
            <w:pPr>
              <w:pStyle w:val="625"/>
              <w:keepNext w:val="0"/>
              <w:keepLines w:val="0"/>
              <w:suppressLineNumbers w:val="0"/>
              <w:spacing w:before="0" w:beforeAutospacing="0" w:after="0" w:afterAutospacing="0"/>
              <w:ind w:left="0" w:right="0"/>
              <w:rPr>
                <w:rFonts w:hint="default" w:ascii="Times New Roman" w:eastAsia="Times New Roman"/>
                <w:highlight w:val="none"/>
              </w:rPr>
            </w:pPr>
          </w:p>
        </w:tc>
      </w:tr>
    </w:tbl>
    <w:p w14:paraId="30963F8A">
      <w:pPr>
        <w:pStyle w:val="20"/>
        <w:rPr>
          <w:rFonts w:hint="eastAsia"/>
          <w:b/>
          <w:sz w:val="28"/>
          <w:highlight w:val="none"/>
        </w:rPr>
      </w:pPr>
    </w:p>
    <w:p w14:paraId="0626B5FB">
      <w:pPr>
        <w:pStyle w:val="20"/>
        <w:spacing w:before="9"/>
        <w:rPr>
          <w:rFonts w:hint="eastAsia"/>
          <w:b/>
          <w:sz w:val="38"/>
          <w:highlight w:val="none"/>
        </w:rPr>
      </w:pPr>
    </w:p>
    <w:p w14:paraId="2810E28D">
      <w:pPr>
        <w:spacing w:before="50" w:after="50" w:line="360" w:lineRule="auto"/>
        <w:ind w:right="141" w:firstLine="2640"/>
        <w:rPr>
          <w:rFonts w:hint="eastAsia" w:ascii="宋体" w:hAnsi="宋体" w:cs="仿宋_GB2312"/>
          <w:sz w:val="24"/>
          <w:highlight w:val="none"/>
        </w:rPr>
      </w:pPr>
      <w:r>
        <w:rPr>
          <w:rFonts w:hint="eastAsia" w:ascii="宋体" w:hAnsi="宋体" w:cs="仿宋_GB2312"/>
          <w:sz w:val="24"/>
          <w:highlight w:val="none"/>
        </w:rPr>
        <w:t>法定代表人或者委托代理人（签字）：</w:t>
      </w:r>
      <w:r>
        <w:rPr>
          <w:rFonts w:hint="eastAsia" w:ascii="宋体" w:hAnsi="宋体" w:cs="仿宋_GB2312"/>
          <w:sz w:val="24"/>
          <w:highlight w:val="none"/>
          <w:u w:val="single"/>
        </w:rPr>
        <w:t xml:space="preserve">           </w:t>
      </w:r>
    </w:p>
    <w:p w14:paraId="62F2468A">
      <w:pPr>
        <w:spacing w:before="50" w:after="50" w:line="360" w:lineRule="auto"/>
        <w:ind w:right="141" w:firstLine="4560"/>
        <w:rPr>
          <w:rFonts w:hint="eastAsia" w:ascii="宋体" w:hAnsi="宋体" w:cs="仿宋_GB2312"/>
          <w:sz w:val="24"/>
          <w:highlight w:val="none"/>
          <w:u w:val="single"/>
        </w:rPr>
      </w:pPr>
      <w:r>
        <w:rPr>
          <w:rFonts w:hint="eastAsia" w:ascii="宋体" w:hAnsi="宋体" w:cs="仿宋_GB2312"/>
          <w:sz w:val="24"/>
          <w:highlight w:val="none"/>
        </w:rPr>
        <w:t>供应商（电子签章）：</w:t>
      </w:r>
      <w:r>
        <w:rPr>
          <w:rFonts w:hint="eastAsia" w:ascii="宋体" w:hAnsi="宋体" w:cs="仿宋_GB2312"/>
          <w:sz w:val="24"/>
          <w:highlight w:val="none"/>
          <w:u w:val="single"/>
        </w:rPr>
        <w:t xml:space="preserve">             </w:t>
      </w:r>
    </w:p>
    <w:p w14:paraId="6C0BB344">
      <w:pPr>
        <w:pStyle w:val="20"/>
        <w:tabs>
          <w:tab w:val="left" w:pos="1266"/>
          <w:tab w:val="left" w:pos="1866"/>
        </w:tabs>
        <w:spacing w:before="186"/>
        <w:ind w:left="546" w:firstLine="4000"/>
        <w:rPr>
          <w:rFonts w:hint="eastAsia"/>
          <w:sz w:val="24"/>
          <w:highlight w:val="none"/>
        </w:rPr>
        <w:sectPr>
          <w:pgSz w:w="11910" w:h="16840"/>
          <w:pgMar w:top="1440" w:right="1370" w:bottom="1440" w:left="1300" w:header="0" w:footer="1198" w:gutter="0"/>
          <w:lnNumType w:countBy="0" w:distance="360"/>
          <w:cols w:space="720" w:num="1"/>
        </w:sectPr>
      </w:pPr>
      <w:r>
        <w:rPr>
          <w:rFonts w:hint="eastAsia" w:ascii="宋体" w:hAnsi="宋体"/>
          <w:highlight w:val="none"/>
        </w:rPr>
        <w:t>日期：   年   月   日</w:t>
      </w:r>
    </w:p>
    <w:p w14:paraId="433E0AEE">
      <w:pPr>
        <w:rPr>
          <w:rFonts w:hint="eastAsia"/>
          <w:highlight w:val="none"/>
        </w:rPr>
      </w:pPr>
    </w:p>
    <w:p w14:paraId="07C9D4FF">
      <w:pPr>
        <w:rPr>
          <w:rFonts w:hint="eastAsia"/>
          <w:highlight w:val="none"/>
        </w:rPr>
      </w:pPr>
    </w:p>
    <w:p w14:paraId="485CD25B">
      <w:pPr>
        <w:rPr>
          <w:rFonts w:hint="eastAsia"/>
          <w:highlight w:val="none"/>
        </w:rPr>
      </w:pPr>
    </w:p>
    <w:p w14:paraId="4B8791EE">
      <w:pPr>
        <w:rPr>
          <w:rFonts w:hint="eastAsia"/>
          <w:highlight w:val="none"/>
        </w:rPr>
      </w:pPr>
    </w:p>
    <w:p w14:paraId="7CA2926F">
      <w:pPr>
        <w:rPr>
          <w:rFonts w:hint="eastAsia"/>
          <w:highlight w:val="none"/>
        </w:rPr>
      </w:pPr>
    </w:p>
    <w:p w14:paraId="75CE34A4">
      <w:pPr>
        <w:rPr>
          <w:rFonts w:hint="eastAsia"/>
          <w:highlight w:val="none"/>
        </w:rPr>
      </w:pPr>
    </w:p>
    <w:p w14:paraId="0F79E5F9">
      <w:pPr>
        <w:rPr>
          <w:rFonts w:hint="eastAsia"/>
          <w:highlight w:val="none"/>
        </w:rPr>
      </w:pPr>
    </w:p>
    <w:p w14:paraId="6B503B9F">
      <w:pPr>
        <w:rPr>
          <w:rFonts w:hint="eastAsia"/>
          <w:highlight w:val="none"/>
        </w:rPr>
      </w:pPr>
    </w:p>
    <w:p w14:paraId="7DE0949C">
      <w:pPr>
        <w:rPr>
          <w:rFonts w:hint="eastAsia"/>
          <w:highlight w:val="none"/>
        </w:rPr>
      </w:pPr>
    </w:p>
    <w:p w14:paraId="50932723">
      <w:pPr>
        <w:rPr>
          <w:rFonts w:hint="eastAsia"/>
          <w:highlight w:val="none"/>
        </w:rPr>
      </w:pPr>
    </w:p>
    <w:p w14:paraId="1381D7CC">
      <w:pPr>
        <w:rPr>
          <w:rFonts w:hint="eastAsia"/>
          <w:highlight w:val="none"/>
        </w:rPr>
      </w:pPr>
    </w:p>
    <w:p w14:paraId="2A53B9D7">
      <w:pPr>
        <w:rPr>
          <w:rFonts w:hint="eastAsia"/>
          <w:highlight w:val="none"/>
        </w:rPr>
      </w:pPr>
    </w:p>
    <w:p w14:paraId="4AEE2B69">
      <w:pPr>
        <w:rPr>
          <w:rFonts w:hint="eastAsia"/>
          <w:highlight w:val="none"/>
        </w:rPr>
      </w:pPr>
    </w:p>
    <w:p w14:paraId="6BD1B670">
      <w:pPr>
        <w:pStyle w:val="35"/>
        <w:rPr>
          <w:rFonts w:hint="eastAsia" w:ascii="宋体" w:hAnsi="宋体" w:cs="宋体"/>
          <w:highlight w:val="none"/>
        </w:rPr>
      </w:pPr>
    </w:p>
    <w:p w14:paraId="1491C33E">
      <w:pPr>
        <w:pStyle w:val="35"/>
        <w:rPr>
          <w:rFonts w:hint="eastAsia" w:ascii="宋体" w:hAnsi="宋体" w:cs="宋体"/>
          <w:highlight w:val="none"/>
        </w:rPr>
      </w:pPr>
    </w:p>
    <w:p w14:paraId="4C52E18A">
      <w:pPr>
        <w:pStyle w:val="35"/>
        <w:rPr>
          <w:rFonts w:hint="eastAsia" w:ascii="宋体" w:hAnsi="宋体" w:cs="宋体"/>
          <w:highlight w:val="none"/>
        </w:rPr>
      </w:pPr>
    </w:p>
    <w:p w14:paraId="0C404C29">
      <w:pPr>
        <w:pStyle w:val="35"/>
        <w:rPr>
          <w:rFonts w:hint="eastAsia" w:ascii="宋体" w:hAnsi="宋体" w:cs="宋体"/>
          <w:highlight w:val="none"/>
        </w:rPr>
      </w:pPr>
    </w:p>
    <w:p w14:paraId="31D836A4">
      <w:pPr>
        <w:pStyle w:val="35"/>
        <w:rPr>
          <w:rFonts w:hint="eastAsia" w:ascii="宋体" w:hAnsi="宋体" w:cs="宋体"/>
          <w:highlight w:val="none"/>
        </w:rPr>
      </w:pPr>
    </w:p>
    <w:p w14:paraId="4CAFA576">
      <w:pPr>
        <w:pStyle w:val="35"/>
        <w:rPr>
          <w:rFonts w:hint="eastAsia" w:ascii="宋体" w:hAnsi="宋体" w:cs="宋体"/>
          <w:highlight w:val="none"/>
        </w:rPr>
      </w:pPr>
    </w:p>
    <w:p w14:paraId="459BDF97">
      <w:pPr>
        <w:pStyle w:val="35"/>
        <w:rPr>
          <w:rFonts w:hint="eastAsia" w:ascii="宋体" w:hAnsi="宋体" w:cs="宋体"/>
          <w:highlight w:val="none"/>
        </w:rPr>
      </w:pPr>
    </w:p>
    <w:p w14:paraId="1230C8DA">
      <w:pPr>
        <w:pStyle w:val="35"/>
        <w:rPr>
          <w:rFonts w:hint="eastAsia" w:ascii="宋体" w:hAnsi="宋体" w:cs="宋体"/>
          <w:highlight w:val="none"/>
        </w:rPr>
      </w:pPr>
    </w:p>
    <w:p w14:paraId="4A56DE3F">
      <w:pPr>
        <w:pStyle w:val="35"/>
        <w:rPr>
          <w:rFonts w:hint="eastAsia" w:ascii="宋体" w:hAnsi="宋体" w:cs="宋体"/>
          <w:highlight w:val="none"/>
        </w:rPr>
      </w:pPr>
    </w:p>
    <w:p w14:paraId="263A0DE4">
      <w:pPr>
        <w:pStyle w:val="35"/>
        <w:rPr>
          <w:rFonts w:hint="eastAsia" w:ascii="宋体" w:hAnsi="宋体" w:cs="宋体"/>
          <w:highlight w:val="none"/>
        </w:rPr>
      </w:pPr>
    </w:p>
    <w:p w14:paraId="6F1D926D">
      <w:pPr>
        <w:pStyle w:val="35"/>
        <w:rPr>
          <w:rFonts w:hint="eastAsia" w:ascii="宋体" w:hAnsi="宋体" w:cs="宋体"/>
          <w:highlight w:val="none"/>
        </w:rPr>
      </w:pPr>
    </w:p>
    <w:p w14:paraId="599A26DB">
      <w:pPr>
        <w:pStyle w:val="35"/>
        <w:rPr>
          <w:rFonts w:hint="eastAsia" w:ascii="宋体" w:hAnsi="宋体" w:cs="宋体"/>
          <w:highlight w:val="none"/>
        </w:rPr>
      </w:pPr>
    </w:p>
    <w:p w14:paraId="7435545F">
      <w:pPr>
        <w:pStyle w:val="3"/>
        <w:bidi w:val="0"/>
        <w:jc w:val="center"/>
        <w:rPr>
          <w:rFonts w:hint="eastAsia" w:ascii="宋体" w:hAnsi="宋体" w:cs="宋体"/>
          <w:b w:val="0"/>
          <w:bCs w:val="0"/>
          <w:highlight w:val="none"/>
        </w:rPr>
        <w:sectPr>
          <w:footerReference r:id="rId9" w:type="default"/>
          <w:pgSz w:w="11910" w:h="16840"/>
          <w:pgMar w:top="1340" w:right="1500" w:bottom="280" w:left="1680" w:header="720" w:footer="720" w:gutter="0"/>
          <w:cols w:space="720" w:num="1"/>
        </w:sectPr>
      </w:pPr>
      <w:bookmarkStart w:id="265" w:name="_Toc120174210"/>
      <w:bookmarkStart w:id="266" w:name="_Toc3953"/>
      <w:bookmarkStart w:id="267" w:name="_Toc31621"/>
      <w:r>
        <w:rPr>
          <w:rFonts w:hint="eastAsia"/>
          <w:highlight w:val="none"/>
        </w:rPr>
        <w:t>第七章</w:t>
      </w:r>
      <w:r>
        <w:rPr>
          <w:rFonts w:hint="eastAsia"/>
          <w:highlight w:val="none"/>
          <w:lang w:val="en-US" w:eastAsia="zh-CN"/>
        </w:rPr>
        <w:t xml:space="preserve">  </w:t>
      </w:r>
      <w:r>
        <w:rPr>
          <w:rFonts w:hint="eastAsia"/>
          <w:highlight w:val="none"/>
        </w:rPr>
        <w:t>合同文本</w:t>
      </w:r>
      <w:bookmarkEnd w:id="265"/>
      <w:bookmarkEnd w:id="266"/>
      <w:bookmarkEnd w:id="267"/>
    </w:p>
    <w:p w14:paraId="5CE58A64">
      <w:pPr>
        <w:pStyle w:val="5"/>
        <w:ind w:right="850"/>
        <w:jc w:val="center"/>
        <w:rPr>
          <w:rFonts w:hint="eastAsia" w:ascii="宋体" w:hAnsi="宋体"/>
          <w:b w:val="0"/>
          <w:highlight w:val="none"/>
        </w:rPr>
      </w:pPr>
      <w:r>
        <w:rPr>
          <w:rFonts w:hint="eastAsia" w:ascii="宋体" w:hAnsi="宋体"/>
          <w:highlight w:val="none"/>
        </w:rPr>
        <w:t xml:space="preserve">  第一部分 合同协议书</w:t>
      </w:r>
      <w:r>
        <w:rPr>
          <w:highlight w:val="none"/>
        </w:rPr>
        <w:t>﻿</w:t>
      </w:r>
    </w:p>
    <w:p w14:paraId="6B21F1DD">
      <w:pPr>
        <w:widowControl/>
        <w:spacing w:line="360" w:lineRule="auto"/>
        <w:rPr>
          <w:rFonts w:hint="eastAsia" w:ascii="宋体" w:hAnsi="宋体"/>
          <w:b/>
          <w:szCs w:val="21"/>
          <w:highlight w:val="none"/>
          <w:u w:val="single"/>
        </w:rPr>
      </w:pPr>
      <w:bookmarkStart w:id="268" w:name="REVIEW_BM_1271"/>
      <w:r>
        <w:rPr>
          <w:rFonts w:hint="eastAsia" w:ascii="宋体" w:hAnsi="宋体"/>
          <w:b/>
          <w:szCs w:val="21"/>
          <w:highlight w:val="none"/>
        </w:rPr>
        <w:t>发包人</w:t>
      </w:r>
      <w:bookmarkEnd w:id="268"/>
      <w:r>
        <w:rPr>
          <w:rFonts w:hint="eastAsia" w:ascii="宋体" w:hAnsi="宋体"/>
          <w:b/>
          <w:szCs w:val="21"/>
          <w:highlight w:val="none"/>
        </w:rPr>
        <w:t>（全称）：</w:t>
      </w:r>
      <w:r>
        <w:rPr>
          <w:rFonts w:hint="eastAsia" w:ascii="宋体" w:hAnsi="宋体" w:cs="仿宋"/>
          <w:szCs w:val="21"/>
          <w:highlight w:val="none"/>
          <w:u w:val="single"/>
        </w:rPr>
        <w:t>广西医科大学</w:t>
      </w:r>
    </w:p>
    <w:p w14:paraId="16B06E96">
      <w:pPr>
        <w:widowControl/>
        <w:spacing w:line="360" w:lineRule="auto"/>
        <w:rPr>
          <w:rFonts w:hint="eastAsia" w:ascii="宋体" w:hAnsi="宋体"/>
          <w:b/>
          <w:szCs w:val="21"/>
          <w:highlight w:val="none"/>
          <w:u w:val="single"/>
        </w:rPr>
      </w:pPr>
      <w:bookmarkStart w:id="269" w:name="REVIEW_BM_1272"/>
      <w:r>
        <w:rPr>
          <w:rFonts w:hint="eastAsia" w:ascii="宋体" w:hAnsi="宋体"/>
          <w:b/>
          <w:szCs w:val="21"/>
          <w:highlight w:val="none"/>
        </w:rPr>
        <w:t>承包人</w:t>
      </w:r>
      <w:bookmarkEnd w:id="269"/>
      <w:r>
        <w:rPr>
          <w:rFonts w:hint="eastAsia" w:ascii="宋体" w:hAnsi="宋体"/>
          <w:b/>
          <w:szCs w:val="21"/>
          <w:highlight w:val="none"/>
        </w:rPr>
        <w:t>（全称）：</w:t>
      </w:r>
      <w:r>
        <w:rPr>
          <w:rFonts w:ascii="宋体" w:hAnsi="宋体"/>
          <w:szCs w:val="21"/>
          <w:highlight w:val="none"/>
          <w:u w:val="single"/>
        </w:rPr>
        <w:tab/>
      </w:r>
      <w:r>
        <w:rPr>
          <w:rFonts w:ascii="宋体" w:hAnsi="宋体"/>
          <w:szCs w:val="21"/>
          <w:highlight w:val="none"/>
          <w:u w:val="single"/>
        </w:rPr>
        <w:tab/>
      </w:r>
      <w:r>
        <w:rPr>
          <w:rFonts w:hint="eastAsia" w:ascii="宋体" w:hAnsi="宋体" w:cs="宋体"/>
          <w:b/>
          <w:bCs/>
          <w:szCs w:val="21"/>
          <w:highlight w:val="none"/>
          <w:u w:val="single"/>
        </w:rPr>
        <w:t xml:space="preserve">     </w:t>
      </w:r>
    </w:p>
    <w:p w14:paraId="14F72D2F">
      <w:pPr>
        <w:widowControl/>
        <w:spacing w:line="360" w:lineRule="auto"/>
        <w:ind w:firstLine="420"/>
        <w:rPr>
          <w:rFonts w:hint="eastAsia" w:ascii="宋体" w:hAnsi="宋体"/>
          <w:szCs w:val="21"/>
          <w:highlight w:val="none"/>
        </w:rPr>
      </w:pPr>
      <w:r>
        <w:rPr>
          <w:rFonts w:hint="eastAsia" w:ascii="宋体" w:hAnsi="宋体"/>
          <w:szCs w:val="21"/>
          <w:highlight w:val="none"/>
        </w:rPr>
        <w:t>根据《中华人民共和国民法典</w:t>
      </w:r>
      <w:bookmarkStart w:id="270" w:name="REVIEW_BM_1273"/>
      <w:r>
        <w:rPr>
          <w:rFonts w:hint="eastAsia" w:ascii="宋体" w:hAnsi="宋体"/>
          <w:szCs w:val="21"/>
          <w:highlight w:val="none"/>
        </w:rPr>
        <w:t>》、《</w:t>
      </w:r>
      <w:bookmarkEnd w:id="270"/>
      <w:r>
        <w:rPr>
          <w:rFonts w:hint="eastAsia" w:ascii="宋体" w:hAnsi="宋体"/>
          <w:szCs w:val="21"/>
          <w:highlight w:val="none"/>
        </w:rPr>
        <w:t>中华人民共和国建筑法》及有关法律规定，遵循平等、自愿、公平和诚实信用的原则，双方就</w:t>
      </w:r>
      <w:r>
        <w:rPr>
          <w:rFonts w:hint="eastAsia" w:ascii="宋体" w:hAnsi="宋体" w:cs="仿宋"/>
          <w:szCs w:val="21"/>
          <w:highlight w:val="none"/>
          <w:u w:val="single"/>
        </w:rPr>
        <w:t xml:space="preserve"> </w:t>
      </w:r>
      <w:r>
        <w:rPr>
          <w:rFonts w:hint="eastAsia" w:ascii="宋体" w:hAnsi="宋体" w:cs="仿宋"/>
          <w:szCs w:val="21"/>
          <w:highlight w:val="none"/>
          <w:u w:val="single"/>
          <w:lang w:eastAsia="zh-CN"/>
        </w:rPr>
        <w:t>2026级本科生新生宿舍修缮项目</w:t>
      </w:r>
      <w:r>
        <w:rPr>
          <w:rFonts w:hint="eastAsia" w:ascii="宋体" w:hAnsi="宋体" w:cs="仿宋"/>
          <w:szCs w:val="21"/>
          <w:highlight w:val="none"/>
          <w:u w:val="single"/>
          <w:lang w:val="en-US" w:eastAsia="zh-CN"/>
        </w:rPr>
        <w:t xml:space="preserve"> </w:t>
      </w:r>
      <w:r>
        <w:rPr>
          <w:rFonts w:hint="eastAsia" w:ascii="宋体" w:hAnsi="宋体"/>
          <w:szCs w:val="21"/>
          <w:highlight w:val="none"/>
        </w:rPr>
        <w:t>（</w:t>
      </w:r>
      <w:r>
        <w:rPr>
          <w:rFonts w:hint="eastAsia" w:ascii="宋体" w:hAnsi="宋体"/>
          <w:szCs w:val="21"/>
          <w:highlight w:val="none"/>
          <w:u w:val="single"/>
        </w:rPr>
        <w:t>以下简称“本工程”</w:t>
      </w:r>
      <w:r>
        <w:rPr>
          <w:rFonts w:hint="eastAsia" w:ascii="宋体" w:hAnsi="宋体"/>
          <w:szCs w:val="21"/>
          <w:highlight w:val="none"/>
        </w:rPr>
        <w:t>）施工及有关事项协商一致，共同达成如下协议：</w:t>
      </w:r>
    </w:p>
    <w:p w14:paraId="188E5E56">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r>
        <w:rPr>
          <w:rFonts w:hint="eastAsia" w:ascii="宋体" w:hAnsi="宋体"/>
          <w:b w:val="0"/>
          <w:sz w:val="21"/>
          <w:szCs w:val="21"/>
          <w:highlight w:val="none"/>
        </w:rPr>
        <w:t xml:space="preserve"> </w:t>
      </w:r>
      <w:bookmarkStart w:id="271" w:name="_Toc116229066"/>
      <w:bookmarkStart w:id="272" w:name="_Toc26418"/>
      <w:r>
        <w:rPr>
          <w:rFonts w:hint="eastAsia" w:ascii="宋体" w:hAnsi="宋体"/>
          <w:sz w:val="21"/>
          <w:szCs w:val="21"/>
          <w:highlight w:val="none"/>
        </w:rPr>
        <w:t>一、工程概况</w:t>
      </w:r>
      <w:bookmarkEnd w:id="271"/>
      <w:bookmarkEnd w:id="272"/>
    </w:p>
    <w:p w14:paraId="5AF26F29">
      <w:pPr>
        <w:widowControl/>
        <w:spacing w:line="360" w:lineRule="auto"/>
        <w:ind w:firstLine="411"/>
        <w:rPr>
          <w:rFonts w:hint="eastAsia" w:ascii="宋体" w:hAnsi="宋体"/>
          <w:szCs w:val="21"/>
          <w:highlight w:val="none"/>
        </w:rPr>
      </w:pPr>
      <w:r>
        <w:rPr>
          <w:rFonts w:hint="eastAsia" w:ascii="宋体" w:hAnsi="宋体"/>
          <w:bCs/>
          <w:szCs w:val="21"/>
          <w:highlight w:val="none"/>
        </w:rPr>
        <w:t>1.工程名称</w:t>
      </w:r>
      <w:r>
        <w:rPr>
          <w:rFonts w:hint="eastAsia" w:ascii="宋体" w:hAnsi="宋体"/>
          <w:szCs w:val="21"/>
          <w:highlight w:val="none"/>
        </w:rPr>
        <w:t>：</w:t>
      </w:r>
      <w:r>
        <w:rPr>
          <w:rFonts w:hint="eastAsia" w:ascii="宋体" w:hAnsi="宋体" w:cs="仿宋"/>
          <w:szCs w:val="21"/>
          <w:highlight w:val="none"/>
          <w:u w:val="single"/>
        </w:rPr>
        <w:t xml:space="preserve"> </w:t>
      </w:r>
      <w:r>
        <w:rPr>
          <w:rFonts w:hint="eastAsia" w:ascii="宋体" w:hAnsi="宋体" w:cs="仿宋"/>
          <w:szCs w:val="21"/>
          <w:highlight w:val="none"/>
          <w:u w:val="single"/>
          <w:lang w:eastAsia="zh-CN"/>
        </w:rPr>
        <w:t>2026级本科生新生宿舍修缮项目</w:t>
      </w:r>
      <w:r>
        <w:rPr>
          <w:rFonts w:hint="eastAsia" w:ascii="宋体" w:hAnsi="宋体" w:cs="仿宋"/>
          <w:szCs w:val="21"/>
          <w:highlight w:val="none"/>
          <w:u w:val="single"/>
        </w:rPr>
        <w:t xml:space="preserve"> </w:t>
      </w:r>
      <w:r>
        <w:rPr>
          <w:rFonts w:hint="eastAsia" w:ascii="宋体" w:hAnsi="宋体"/>
          <w:szCs w:val="21"/>
          <w:highlight w:val="none"/>
        </w:rPr>
        <w:t>。</w:t>
      </w:r>
    </w:p>
    <w:p w14:paraId="65DFC762">
      <w:pPr>
        <w:widowControl/>
        <w:spacing w:line="360" w:lineRule="auto"/>
        <w:ind w:firstLine="411"/>
        <w:rPr>
          <w:rFonts w:hint="eastAsia" w:ascii="宋体" w:hAnsi="宋体"/>
          <w:bCs/>
          <w:szCs w:val="21"/>
          <w:highlight w:val="none"/>
        </w:rPr>
      </w:pPr>
      <w:r>
        <w:rPr>
          <w:rFonts w:hint="eastAsia" w:ascii="宋体" w:hAnsi="宋体"/>
          <w:bCs/>
          <w:szCs w:val="21"/>
          <w:highlight w:val="none"/>
        </w:rPr>
        <w:t>2.工程地点：</w:t>
      </w:r>
      <w:r>
        <w:rPr>
          <w:rFonts w:hint="eastAsia" w:ascii="宋体" w:hAnsi="宋体" w:cs="仿宋"/>
          <w:szCs w:val="21"/>
          <w:highlight w:val="none"/>
          <w:u w:val="single"/>
        </w:rPr>
        <w:t xml:space="preserve"> 广西医科大学</w:t>
      </w:r>
      <w:r>
        <w:rPr>
          <w:rFonts w:hint="eastAsia" w:ascii="宋体" w:hAnsi="宋体" w:cs="仿宋"/>
          <w:szCs w:val="21"/>
          <w:highlight w:val="none"/>
          <w:u w:val="single"/>
          <w:lang w:val="en-US" w:eastAsia="zh-CN"/>
        </w:rPr>
        <w:t xml:space="preserve">武鸣校区 </w:t>
      </w:r>
      <w:r>
        <w:rPr>
          <w:rFonts w:hint="eastAsia" w:ascii="宋体" w:hAnsi="宋体"/>
          <w:bCs/>
          <w:szCs w:val="21"/>
          <w:highlight w:val="none"/>
        </w:rPr>
        <w:t>。</w:t>
      </w:r>
    </w:p>
    <w:p w14:paraId="1D20F8A8">
      <w:pPr>
        <w:widowControl/>
        <w:spacing w:line="360" w:lineRule="auto"/>
        <w:ind w:firstLine="411"/>
        <w:rPr>
          <w:rFonts w:ascii="宋体" w:hAnsi="宋体"/>
          <w:bCs/>
          <w:szCs w:val="21"/>
          <w:highlight w:val="none"/>
        </w:rPr>
      </w:pPr>
      <w:r>
        <w:rPr>
          <w:rFonts w:hint="eastAsia" w:ascii="宋体" w:hAnsi="宋体"/>
          <w:bCs/>
          <w:szCs w:val="21"/>
          <w:highlight w:val="none"/>
        </w:rPr>
        <w:t>3.工程立项批准文号：</w:t>
      </w:r>
      <w:r>
        <w:rPr>
          <w:rFonts w:hint="eastAsia" w:ascii="宋体" w:hAnsi="宋体"/>
          <w:bCs/>
          <w:szCs w:val="21"/>
          <w:highlight w:val="none"/>
          <w:u w:val="single"/>
        </w:rPr>
        <w:t xml:space="preserve"> </w:t>
      </w:r>
      <w:r>
        <w:rPr>
          <w:rFonts w:hint="eastAsia" w:ascii="宋体" w:hAnsi="宋体"/>
          <w:bCs/>
          <w:szCs w:val="21"/>
          <w:highlight w:val="none"/>
          <w:u w:val="single"/>
          <w:lang w:val="en-US" w:eastAsia="zh-CN"/>
        </w:rPr>
        <w:t xml:space="preserve">  </w:t>
      </w:r>
      <w:r>
        <w:rPr>
          <w:rFonts w:hint="eastAsia" w:ascii="宋体" w:hAnsi="宋体"/>
          <w:bCs/>
          <w:szCs w:val="21"/>
          <w:highlight w:val="none"/>
          <w:u w:val="single"/>
        </w:rPr>
        <w:t xml:space="preserve">/ </w:t>
      </w:r>
      <w:r>
        <w:rPr>
          <w:rFonts w:hint="eastAsia" w:ascii="宋体" w:hAnsi="宋体"/>
          <w:szCs w:val="21"/>
          <w:highlight w:val="none"/>
          <w:u w:val="single"/>
        </w:rPr>
        <w:t xml:space="preserve">   </w:t>
      </w:r>
    </w:p>
    <w:p w14:paraId="546DE169">
      <w:pPr>
        <w:widowControl/>
        <w:spacing w:line="360" w:lineRule="auto"/>
        <w:ind w:firstLine="411"/>
        <w:rPr>
          <w:rFonts w:hint="eastAsia" w:ascii="宋体" w:hAnsi="宋体"/>
          <w:bCs/>
          <w:szCs w:val="21"/>
          <w:highlight w:val="none"/>
        </w:rPr>
      </w:pPr>
      <w:r>
        <w:rPr>
          <w:rFonts w:hint="eastAsia" w:ascii="宋体" w:hAnsi="宋体"/>
          <w:bCs/>
          <w:szCs w:val="21"/>
          <w:highlight w:val="none"/>
        </w:rPr>
        <w:t>4.资金来源：</w:t>
      </w:r>
      <w:r>
        <w:rPr>
          <w:rFonts w:hint="eastAsia" w:ascii="宋体" w:hAnsi="宋体"/>
          <w:szCs w:val="21"/>
          <w:highlight w:val="none"/>
          <w:u w:val="single"/>
        </w:rPr>
        <w:t xml:space="preserve">   自筹资金   </w:t>
      </w:r>
      <w:r>
        <w:rPr>
          <w:rFonts w:hint="eastAsia" w:ascii="宋体" w:hAnsi="宋体"/>
          <w:bCs/>
          <w:szCs w:val="21"/>
          <w:highlight w:val="none"/>
        </w:rPr>
        <w:t>。</w:t>
      </w:r>
    </w:p>
    <w:p w14:paraId="0A09DF4D">
      <w:pPr>
        <w:widowControl/>
        <w:spacing w:line="360" w:lineRule="auto"/>
        <w:ind w:firstLine="411"/>
        <w:rPr>
          <w:rFonts w:hint="eastAsia" w:ascii="宋体" w:hAnsi="宋体" w:cs="宋体"/>
          <w:highlight w:val="none"/>
        </w:rPr>
      </w:pPr>
      <w:r>
        <w:rPr>
          <w:rFonts w:hint="eastAsia" w:ascii="宋体" w:hAnsi="宋体"/>
          <w:bCs/>
          <w:szCs w:val="21"/>
          <w:highlight w:val="none"/>
        </w:rPr>
        <w:t>5.工程承包范围及工程内容（工程内容以施工图及预算内工程量清单为准）：</w:t>
      </w:r>
      <w:r>
        <w:rPr>
          <w:rFonts w:hint="eastAsia" w:ascii="宋体" w:hAnsi="宋体" w:cs="宋体"/>
          <w:highlight w:val="none"/>
          <w:u w:val="single"/>
          <w:lang w:val="en-US" w:eastAsia="zh-CN"/>
        </w:rPr>
        <w:t xml:space="preserve"> 2026级本科生新生宿舍修缮项目工程量清单范围内的墙面、天面修缮等内容。</w:t>
      </w:r>
      <w:r>
        <w:rPr>
          <w:rFonts w:hint="eastAsia" w:ascii="宋体" w:hAnsi="宋体" w:cs="宋体"/>
          <w:b w:val="0"/>
          <w:bCs/>
          <w:sz w:val="21"/>
          <w:szCs w:val="21"/>
          <w:highlight w:val="none"/>
        </w:rPr>
        <w:t>具体详见施工</w:t>
      </w:r>
      <w:r>
        <w:rPr>
          <w:rFonts w:hint="eastAsia" w:ascii="宋体" w:hAnsi="宋体" w:cs="宋体"/>
          <w:b w:val="0"/>
          <w:bCs/>
          <w:sz w:val="21"/>
          <w:szCs w:val="21"/>
          <w:highlight w:val="none"/>
          <w:lang w:val="en-US" w:eastAsia="zh-CN"/>
        </w:rPr>
        <w:t>方案</w:t>
      </w:r>
      <w:r>
        <w:rPr>
          <w:rFonts w:hint="eastAsia" w:ascii="宋体" w:hAnsi="宋体" w:cs="宋体"/>
          <w:b w:val="0"/>
          <w:bCs/>
          <w:sz w:val="21"/>
          <w:szCs w:val="21"/>
          <w:highlight w:val="none"/>
        </w:rPr>
        <w:t>和工程量清单要求范围内所有内容</w:t>
      </w:r>
      <w:r>
        <w:rPr>
          <w:rFonts w:hint="eastAsia" w:ascii="宋体" w:hAnsi="宋体" w:cs="宋体"/>
          <w:highlight w:val="none"/>
          <w:u w:val="single"/>
          <w:lang w:val="en-US" w:eastAsia="zh-CN"/>
        </w:rPr>
        <w:t xml:space="preserve"> </w:t>
      </w:r>
      <w:r>
        <w:rPr>
          <w:rFonts w:hint="eastAsia" w:ascii="宋体" w:hAnsi="宋体" w:cs="宋体"/>
          <w:szCs w:val="21"/>
          <w:highlight w:val="none"/>
        </w:rPr>
        <w:t>。</w:t>
      </w:r>
    </w:p>
    <w:p w14:paraId="2DC1649A">
      <w:pPr>
        <w:pStyle w:val="6"/>
        <w:spacing w:before="120" w:after="120" w:line="360" w:lineRule="auto"/>
        <w:rPr>
          <w:rFonts w:hint="eastAsia" w:ascii="宋体" w:hAnsi="宋体"/>
          <w:sz w:val="21"/>
          <w:szCs w:val="21"/>
          <w:highlight w:val="none"/>
        </w:rPr>
      </w:pPr>
      <w:r>
        <w:rPr>
          <w:rFonts w:hint="eastAsia" w:ascii="宋体" w:hAnsi="宋体"/>
          <w:b w:val="0"/>
          <w:sz w:val="21"/>
          <w:szCs w:val="21"/>
          <w:highlight w:val="none"/>
        </w:rPr>
        <w:t xml:space="preserve">  </w:t>
      </w:r>
      <w:r>
        <w:rPr>
          <w:rFonts w:hint="eastAsia" w:ascii="宋体" w:hAnsi="宋体"/>
          <w:sz w:val="21"/>
          <w:szCs w:val="21"/>
          <w:highlight w:val="none"/>
        </w:rPr>
        <w:t xml:space="preserve"> </w:t>
      </w:r>
      <w:bookmarkStart w:id="273" w:name="_Toc116229067"/>
      <w:bookmarkStart w:id="274" w:name="_Toc4570"/>
      <w:r>
        <w:rPr>
          <w:rFonts w:hint="eastAsia" w:ascii="宋体" w:hAnsi="宋体"/>
          <w:sz w:val="21"/>
          <w:szCs w:val="21"/>
          <w:highlight w:val="none"/>
        </w:rPr>
        <w:t>二、合同工期</w:t>
      </w:r>
      <w:bookmarkEnd w:id="273"/>
      <w:bookmarkEnd w:id="274"/>
    </w:p>
    <w:p w14:paraId="15504F9A">
      <w:pPr>
        <w:widowControl/>
        <w:spacing w:line="360" w:lineRule="auto"/>
        <w:ind w:firstLine="459"/>
        <w:rPr>
          <w:rFonts w:hint="eastAsia" w:ascii="宋体" w:hAnsi="宋体"/>
          <w:szCs w:val="21"/>
          <w:highlight w:val="none"/>
        </w:rPr>
      </w:pPr>
      <w:r>
        <w:rPr>
          <w:rFonts w:hint="eastAsia" w:ascii="宋体" w:hAnsi="宋体"/>
          <w:szCs w:val="21"/>
          <w:highlight w:val="none"/>
        </w:rPr>
        <w:t>计划开工日期：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日（以开工令为准）。</w:t>
      </w:r>
    </w:p>
    <w:p w14:paraId="09C0EB2B">
      <w:pPr>
        <w:widowControl/>
        <w:spacing w:line="360" w:lineRule="auto"/>
        <w:ind w:firstLine="459"/>
        <w:rPr>
          <w:rFonts w:hint="eastAsia" w:ascii="宋体" w:hAnsi="宋体"/>
          <w:szCs w:val="21"/>
          <w:highlight w:val="none"/>
        </w:rPr>
      </w:pPr>
      <w:r>
        <w:rPr>
          <w:rFonts w:hint="eastAsia" w:ascii="宋体" w:hAnsi="宋体"/>
          <w:szCs w:val="21"/>
          <w:highlight w:val="none"/>
        </w:rPr>
        <w:t>计划竣工日期：</w:t>
      </w:r>
      <w:r>
        <w:rPr>
          <w:rFonts w:hint="eastAsia" w:ascii="宋体" w:hAnsi="宋体"/>
          <w:szCs w:val="21"/>
          <w:highlight w:val="none"/>
          <w:u w:val="single"/>
        </w:rPr>
        <w:t xml:space="preserve">     </w:t>
      </w:r>
      <w:r>
        <w:rPr>
          <w:rFonts w:hint="eastAsia" w:ascii="宋体" w:hAnsi="宋体"/>
          <w:szCs w:val="21"/>
          <w:highlight w:val="none"/>
        </w:rPr>
        <w:t>年</w:t>
      </w:r>
      <w:r>
        <w:rPr>
          <w:rFonts w:hint="eastAsia" w:ascii="宋体" w:hAnsi="宋体"/>
          <w:szCs w:val="21"/>
          <w:highlight w:val="none"/>
          <w:u w:val="single"/>
        </w:rPr>
        <w:t xml:space="preserve">     </w:t>
      </w:r>
      <w:r>
        <w:rPr>
          <w:rFonts w:hint="eastAsia" w:ascii="宋体" w:hAnsi="宋体"/>
          <w:szCs w:val="21"/>
          <w:highlight w:val="none"/>
        </w:rPr>
        <w:t>月</w:t>
      </w:r>
      <w:r>
        <w:rPr>
          <w:rFonts w:hint="eastAsia" w:ascii="宋体" w:hAnsi="宋体"/>
          <w:szCs w:val="21"/>
          <w:highlight w:val="none"/>
          <w:u w:val="single"/>
        </w:rPr>
        <w:t xml:space="preserve">     </w:t>
      </w:r>
      <w:r>
        <w:rPr>
          <w:rFonts w:hint="eastAsia" w:ascii="宋体" w:hAnsi="宋体"/>
          <w:szCs w:val="21"/>
          <w:highlight w:val="none"/>
        </w:rPr>
        <w:t>日。</w:t>
      </w:r>
    </w:p>
    <w:p w14:paraId="097235B4">
      <w:pPr>
        <w:widowControl/>
        <w:spacing w:line="360" w:lineRule="auto"/>
        <w:ind w:firstLine="459"/>
        <w:rPr>
          <w:rFonts w:hint="eastAsia" w:ascii="宋体" w:hAnsi="宋体"/>
          <w:szCs w:val="21"/>
          <w:highlight w:val="none"/>
        </w:rPr>
      </w:pPr>
      <w:r>
        <w:rPr>
          <w:rFonts w:hint="eastAsia" w:ascii="宋体" w:hAnsi="宋体"/>
          <w:szCs w:val="21"/>
          <w:highlight w:val="none"/>
        </w:rPr>
        <w:t xml:space="preserve">工期总日历： </w:t>
      </w:r>
      <w:r>
        <w:rPr>
          <w:rFonts w:hint="eastAsia" w:ascii="宋体" w:hAnsi="宋体"/>
          <w:szCs w:val="21"/>
          <w:highlight w:val="none"/>
          <w:u w:val="single"/>
        </w:rPr>
        <w:t xml:space="preserve"> </w:t>
      </w:r>
      <w:r>
        <w:rPr>
          <w:rFonts w:hint="eastAsia" w:ascii="宋体" w:hAnsi="宋体"/>
          <w:szCs w:val="21"/>
          <w:highlight w:val="none"/>
          <w:u w:val="single"/>
          <w:lang w:val="en-US" w:eastAsia="zh-CN"/>
        </w:rPr>
        <w:t>35</w:t>
      </w:r>
      <w:r>
        <w:rPr>
          <w:rFonts w:hint="eastAsia" w:ascii="宋体" w:hAnsi="宋体"/>
          <w:szCs w:val="21"/>
          <w:highlight w:val="none"/>
          <w:u w:val="single"/>
        </w:rPr>
        <w:t xml:space="preserve"> </w:t>
      </w:r>
      <w:r>
        <w:rPr>
          <w:rFonts w:hint="eastAsia" w:ascii="宋体" w:hAnsi="宋体"/>
          <w:szCs w:val="21"/>
          <w:highlight w:val="none"/>
        </w:rPr>
        <w:t>天。天数与根据前述计划开竣工日期计算的工期天数不一致的，以工期总日历为准。</w:t>
      </w:r>
    </w:p>
    <w:p w14:paraId="1BCDADD1">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bookmarkStart w:id="275" w:name="_Toc116229068"/>
      <w:bookmarkStart w:id="276" w:name="_Toc22522"/>
      <w:r>
        <w:rPr>
          <w:rFonts w:hint="eastAsia" w:ascii="宋体" w:hAnsi="宋体"/>
          <w:sz w:val="21"/>
          <w:szCs w:val="21"/>
          <w:highlight w:val="none"/>
        </w:rPr>
        <w:t>三、质量标准</w:t>
      </w:r>
      <w:bookmarkEnd w:id="275"/>
      <w:bookmarkEnd w:id="276"/>
    </w:p>
    <w:p w14:paraId="571EBA12">
      <w:pPr>
        <w:widowControl/>
        <w:spacing w:line="360" w:lineRule="auto"/>
        <w:ind w:firstLine="459"/>
        <w:rPr>
          <w:rFonts w:hint="eastAsia" w:ascii="宋体" w:hAnsi="宋体"/>
          <w:szCs w:val="21"/>
          <w:highlight w:val="none"/>
        </w:rPr>
      </w:pPr>
      <w:r>
        <w:rPr>
          <w:rFonts w:hint="eastAsia" w:ascii="宋体" w:hAnsi="宋体"/>
          <w:szCs w:val="21"/>
          <w:highlight w:val="none"/>
        </w:rPr>
        <w:t xml:space="preserve">   工程质量</w:t>
      </w:r>
      <w:r>
        <w:rPr>
          <w:rFonts w:hint="eastAsia" w:ascii="宋体" w:hAnsi="宋体" w:cs="宋体"/>
          <w:sz w:val="21"/>
          <w:szCs w:val="21"/>
          <w:highlight w:val="none"/>
        </w:rPr>
        <w:t>符合国家、建设部现行有关标准、规范要求，工程质量达到国家及行业现行施工验收规范合格标准</w:t>
      </w:r>
      <w:r>
        <w:rPr>
          <w:rFonts w:hint="eastAsia" w:ascii="宋体" w:hAnsi="宋体"/>
          <w:szCs w:val="21"/>
          <w:highlight w:val="none"/>
        </w:rPr>
        <w:t>及招标文件规定标准。</w:t>
      </w:r>
    </w:p>
    <w:p w14:paraId="545B39B2">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r>
        <w:rPr>
          <w:rFonts w:hint="eastAsia" w:ascii="宋体" w:hAnsi="宋体"/>
          <w:b w:val="0"/>
          <w:sz w:val="21"/>
          <w:szCs w:val="21"/>
          <w:highlight w:val="none"/>
        </w:rPr>
        <w:t xml:space="preserve"> </w:t>
      </w:r>
      <w:bookmarkStart w:id="277" w:name="_Toc116229069"/>
      <w:bookmarkStart w:id="278" w:name="_Toc19007"/>
      <w:r>
        <w:rPr>
          <w:rFonts w:hint="eastAsia" w:ascii="宋体" w:hAnsi="宋体"/>
          <w:sz w:val="21"/>
          <w:szCs w:val="21"/>
          <w:highlight w:val="none"/>
        </w:rPr>
        <w:t>四、签约合同价与合同价格形式</w:t>
      </w:r>
      <w:bookmarkEnd w:id="277"/>
      <w:bookmarkEnd w:id="278"/>
      <w:r>
        <w:rPr>
          <w:rFonts w:hint="eastAsia" w:ascii="宋体" w:hAnsi="宋体"/>
          <w:sz w:val="21"/>
          <w:szCs w:val="21"/>
          <w:highlight w:val="none"/>
        </w:rPr>
        <w:tab/>
      </w:r>
    </w:p>
    <w:p w14:paraId="49445F55">
      <w:pPr>
        <w:widowControl/>
        <w:spacing w:line="360" w:lineRule="auto"/>
        <w:rPr>
          <w:rFonts w:hint="eastAsia" w:ascii="宋体" w:hAnsi="宋体"/>
          <w:szCs w:val="21"/>
          <w:highlight w:val="none"/>
        </w:rPr>
      </w:pPr>
      <w:r>
        <w:rPr>
          <w:rFonts w:hint="eastAsia" w:ascii="宋体" w:hAnsi="宋体"/>
          <w:b/>
          <w:bCs/>
          <w:szCs w:val="21"/>
          <w:highlight w:val="none"/>
        </w:rPr>
        <w:t xml:space="preserve">  </w:t>
      </w:r>
      <w:r>
        <w:rPr>
          <w:rFonts w:hint="eastAsia" w:ascii="宋体" w:hAnsi="宋体"/>
          <w:szCs w:val="21"/>
          <w:highlight w:val="none"/>
        </w:rPr>
        <w:t xml:space="preserve">  本合同以人民币为报价及结算货币，除非</w:t>
      </w:r>
      <w:bookmarkStart w:id="279" w:name="REVIEW_BM_1275"/>
      <w:r>
        <w:rPr>
          <w:rFonts w:hint="eastAsia" w:ascii="宋体" w:hAnsi="宋体"/>
          <w:szCs w:val="21"/>
          <w:highlight w:val="none"/>
        </w:rPr>
        <w:t>发包人</w:t>
      </w:r>
      <w:bookmarkEnd w:id="279"/>
      <w:r>
        <w:rPr>
          <w:rFonts w:hint="eastAsia" w:ascii="宋体" w:hAnsi="宋体"/>
          <w:szCs w:val="21"/>
          <w:highlight w:val="none"/>
        </w:rPr>
        <w:t>与</w:t>
      </w:r>
      <w:bookmarkStart w:id="280" w:name="REVIEW_BM_1276"/>
      <w:r>
        <w:rPr>
          <w:rFonts w:hint="eastAsia" w:ascii="宋体" w:hAnsi="宋体"/>
          <w:szCs w:val="21"/>
          <w:highlight w:val="none"/>
        </w:rPr>
        <w:t>承包人</w:t>
      </w:r>
      <w:bookmarkEnd w:id="280"/>
      <w:r>
        <w:rPr>
          <w:rFonts w:hint="eastAsia" w:ascii="宋体" w:hAnsi="宋体"/>
          <w:szCs w:val="21"/>
          <w:highlight w:val="none"/>
        </w:rPr>
        <w:t>另有约定。具体合同总价组成详见经确认的工程量清单报价书。</w:t>
      </w:r>
      <w:r>
        <w:rPr>
          <w:rFonts w:hint="eastAsia" w:ascii="宋体" w:hAnsi="宋体"/>
          <w:b/>
          <w:bCs/>
          <w:szCs w:val="21"/>
          <w:highlight w:val="none"/>
        </w:rPr>
        <w:t>合同总价为：¥</w:t>
      </w:r>
      <w:r>
        <w:rPr>
          <w:rFonts w:ascii="宋体" w:hAnsi="宋体"/>
          <w:b/>
          <w:bCs/>
          <w:szCs w:val="21"/>
          <w:highlight w:val="none"/>
        </w:rPr>
        <w:t xml:space="preserve">       </w:t>
      </w:r>
      <w:r>
        <w:rPr>
          <w:rFonts w:hint="eastAsia" w:ascii="宋体" w:hAnsi="宋体"/>
          <w:b/>
          <w:bCs/>
          <w:szCs w:val="21"/>
          <w:highlight w:val="none"/>
        </w:rPr>
        <w:t xml:space="preserve">元（大写人民币： </w:t>
      </w:r>
      <w:r>
        <w:rPr>
          <w:rFonts w:ascii="宋体" w:hAnsi="宋体"/>
          <w:b/>
          <w:bCs/>
          <w:szCs w:val="21"/>
          <w:highlight w:val="none"/>
        </w:rPr>
        <w:t xml:space="preserve">           </w:t>
      </w:r>
      <w:r>
        <w:rPr>
          <w:rFonts w:hint="eastAsia" w:ascii="宋体" w:hAnsi="宋体"/>
          <w:b/>
          <w:bCs/>
          <w:szCs w:val="21"/>
          <w:highlight w:val="none"/>
        </w:rPr>
        <w:t>）</w:t>
      </w:r>
      <w:r>
        <w:rPr>
          <w:rFonts w:hint="eastAsia" w:ascii="宋体" w:hAnsi="宋体"/>
          <w:szCs w:val="21"/>
          <w:highlight w:val="none"/>
        </w:rPr>
        <w:t>。</w:t>
      </w:r>
      <w:bookmarkStart w:id="281" w:name="REVIEW_BM_1274"/>
      <w:r>
        <w:rPr>
          <w:rFonts w:hint="eastAsia" w:ascii="宋体" w:hAnsi="宋体"/>
          <w:szCs w:val="21"/>
          <w:highlight w:val="none"/>
        </w:rPr>
        <w:t>工程清单</w:t>
      </w:r>
      <w:bookmarkEnd w:id="281"/>
      <w:r>
        <w:rPr>
          <w:rFonts w:hint="eastAsia" w:ascii="宋体" w:hAnsi="宋体"/>
          <w:szCs w:val="21"/>
          <w:highlight w:val="none"/>
        </w:rPr>
        <w:t>报价书已包含</w:t>
      </w:r>
      <w:bookmarkStart w:id="282" w:name="REVIEW_BM_1277"/>
      <w:r>
        <w:rPr>
          <w:rFonts w:hint="eastAsia" w:ascii="宋体" w:hAnsi="宋体"/>
          <w:szCs w:val="21"/>
          <w:highlight w:val="none"/>
        </w:rPr>
        <w:t>承包人</w:t>
      </w:r>
      <w:bookmarkEnd w:id="282"/>
      <w:r>
        <w:rPr>
          <w:rFonts w:hint="eastAsia" w:ascii="宋体" w:hAnsi="宋体"/>
          <w:szCs w:val="21"/>
          <w:highlight w:val="none"/>
        </w:rPr>
        <w:t>完成合同约定承包范围内全部工程内容和工作内容所产生的一切费用，包括但不限于：人工费、材料费、机械费（含机械设备等的进、出场费），工程管理费，安全文明施工费、措施费，安全防护费、保险费，材料检测费，</w:t>
      </w:r>
      <w:r>
        <w:rPr>
          <w:rFonts w:hint="eastAsia" w:ascii="宋体" w:hAnsi="宋体"/>
          <w:szCs w:val="21"/>
          <w:highlight w:val="none"/>
          <w:lang w:eastAsia="zh-CN"/>
        </w:rPr>
        <w:t>税金，</w:t>
      </w:r>
      <w:r>
        <w:rPr>
          <w:rFonts w:hint="eastAsia" w:ascii="宋体" w:hAnsi="宋体"/>
          <w:szCs w:val="21"/>
          <w:highlight w:val="none"/>
        </w:rPr>
        <w:t>利润</w:t>
      </w:r>
      <w:r>
        <w:rPr>
          <w:rFonts w:hint="eastAsia" w:ascii="宋体" w:hAnsi="宋体"/>
          <w:szCs w:val="21"/>
          <w:highlight w:val="none"/>
          <w:lang w:eastAsia="zh-CN"/>
        </w:rPr>
        <w:t>等费用</w:t>
      </w:r>
      <w:r>
        <w:rPr>
          <w:rFonts w:hint="eastAsia" w:ascii="宋体" w:hAnsi="宋体"/>
          <w:szCs w:val="21"/>
          <w:highlight w:val="none"/>
        </w:rPr>
        <w:t>，本合同约定的单价为固定价格，不随施工时间、施工次数、施工分层分段、施工深度难度、施工天气和材料、人工费用上涨等任何因素而改变。</w:t>
      </w:r>
      <w:bookmarkStart w:id="283" w:name="REVIEW_BM_1278"/>
      <w:r>
        <w:rPr>
          <w:rFonts w:hint="eastAsia" w:ascii="宋体" w:hAnsi="宋体"/>
          <w:szCs w:val="21"/>
          <w:highlight w:val="none"/>
        </w:rPr>
        <w:t>承包人</w:t>
      </w:r>
      <w:bookmarkEnd w:id="283"/>
      <w:r>
        <w:rPr>
          <w:rFonts w:hint="eastAsia" w:ascii="宋体" w:hAnsi="宋体"/>
          <w:szCs w:val="21"/>
          <w:highlight w:val="none"/>
        </w:rPr>
        <w:t>在签订本合同前已详细研究并完全了解本项目</w:t>
      </w:r>
      <w:r>
        <w:rPr>
          <w:rFonts w:hint="eastAsia" w:ascii="宋体" w:hAnsi="宋体"/>
          <w:szCs w:val="21"/>
          <w:highlight w:val="none"/>
          <w:lang w:val="en-US" w:eastAsia="zh-CN"/>
        </w:rPr>
        <w:t>施工方案</w:t>
      </w:r>
      <w:r>
        <w:rPr>
          <w:rFonts w:hint="eastAsia" w:ascii="宋体" w:hAnsi="宋体"/>
          <w:szCs w:val="21"/>
          <w:highlight w:val="none"/>
        </w:rPr>
        <w:t>、技术要求及说明、质量要求、合同文件、现场条件及环境、承建风险、现场管理要求等，并已在合同价款中充分考虑前述因素。</w:t>
      </w:r>
    </w:p>
    <w:p w14:paraId="5772E879">
      <w:pPr>
        <w:widowControl/>
        <w:spacing w:line="360" w:lineRule="auto"/>
        <w:ind w:firstLine="420"/>
        <w:rPr>
          <w:rFonts w:hint="eastAsia" w:ascii="宋体" w:hAnsi="宋体"/>
          <w:szCs w:val="21"/>
          <w:highlight w:val="none"/>
        </w:rPr>
      </w:pPr>
      <w:r>
        <w:rPr>
          <w:rFonts w:hint="eastAsia" w:ascii="宋体" w:hAnsi="宋体"/>
          <w:szCs w:val="21"/>
          <w:highlight w:val="none"/>
        </w:rPr>
        <w:t>2.合同价格形式：</w:t>
      </w:r>
      <w:r>
        <w:rPr>
          <w:rFonts w:hint="eastAsia" w:ascii="宋体" w:hAnsi="宋体"/>
          <w:szCs w:val="21"/>
          <w:highlight w:val="none"/>
          <w:u w:val="single"/>
        </w:rPr>
        <w:t xml:space="preserve"> 固定综合单价合同 </w:t>
      </w:r>
      <w:r>
        <w:rPr>
          <w:rFonts w:hint="eastAsia" w:ascii="宋体" w:hAnsi="宋体"/>
          <w:szCs w:val="21"/>
          <w:highlight w:val="none"/>
        </w:rPr>
        <w:t>。由</w:t>
      </w:r>
      <w:bookmarkStart w:id="284" w:name="REVIEW_BM_1279"/>
      <w:r>
        <w:rPr>
          <w:rFonts w:hint="eastAsia" w:ascii="宋体" w:hAnsi="宋体"/>
          <w:szCs w:val="21"/>
          <w:highlight w:val="none"/>
        </w:rPr>
        <w:t>承包人</w:t>
      </w:r>
      <w:bookmarkEnd w:id="284"/>
      <w:r>
        <w:rPr>
          <w:rFonts w:hint="eastAsia" w:ascii="宋体" w:hAnsi="宋体"/>
          <w:szCs w:val="21"/>
          <w:highlight w:val="none"/>
        </w:rPr>
        <w:t>按照本合同约定范围和</w:t>
      </w:r>
      <w:r>
        <w:rPr>
          <w:rFonts w:hint="eastAsia" w:ascii="宋体" w:hAnsi="宋体"/>
          <w:szCs w:val="21"/>
          <w:highlight w:val="none"/>
          <w:lang w:eastAsia="zh-CN"/>
        </w:rPr>
        <w:t>施工方案</w:t>
      </w:r>
      <w:r>
        <w:rPr>
          <w:rFonts w:hint="eastAsia" w:ascii="宋体" w:hAnsi="宋体"/>
          <w:szCs w:val="21"/>
          <w:highlight w:val="none"/>
        </w:rPr>
        <w:t>内容实行工程施工总承包，包括但不限于包工、包料、包质量、包安全生产、包文明施工、包工期、包承包范围内工程验收通过、包移交、包结算、包资料整理、包施工总承包管理和现场整体组织、包专业协调及配合等。</w:t>
      </w:r>
    </w:p>
    <w:p w14:paraId="53B2F11D">
      <w:pPr>
        <w:pStyle w:val="6"/>
        <w:spacing w:before="120" w:after="120" w:line="360" w:lineRule="auto"/>
        <w:rPr>
          <w:rFonts w:hint="eastAsia" w:ascii="宋体" w:hAnsi="宋体"/>
          <w:sz w:val="21"/>
          <w:szCs w:val="21"/>
          <w:highlight w:val="none"/>
        </w:rPr>
      </w:pPr>
      <w:r>
        <w:rPr>
          <w:rFonts w:hint="eastAsia" w:ascii="宋体" w:hAnsi="宋体"/>
          <w:bCs w:val="0"/>
          <w:sz w:val="21"/>
          <w:szCs w:val="21"/>
          <w:highlight w:val="none"/>
        </w:rPr>
        <w:t xml:space="preserve">  </w:t>
      </w:r>
      <w:r>
        <w:rPr>
          <w:rFonts w:hint="eastAsia" w:ascii="宋体" w:hAnsi="宋体"/>
          <w:b w:val="0"/>
          <w:sz w:val="21"/>
          <w:szCs w:val="21"/>
          <w:highlight w:val="none"/>
        </w:rPr>
        <w:t xml:space="preserve"> </w:t>
      </w:r>
      <w:bookmarkStart w:id="285" w:name="_Toc116229070"/>
      <w:bookmarkStart w:id="286" w:name="_Toc8368"/>
      <w:r>
        <w:rPr>
          <w:rFonts w:hint="eastAsia" w:ascii="宋体" w:hAnsi="宋体"/>
          <w:sz w:val="21"/>
          <w:szCs w:val="21"/>
          <w:highlight w:val="none"/>
        </w:rPr>
        <w:t>五、项目经理</w:t>
      </w:r>
      <w:bookmarkEnd w:id="285"/>
      <w:bookmarkEnd w:id="286"/>
    </w:p>
    <w:p w14:paraId="74056C27">
      <w:pPr>
        <w:widowControl/>
        <w:spacing w:line="360" w:lineRule="auto"/>
        <w:ind w:firstLine="420"/>
        <w:rPr>
          <w:rFonts w:ascii="宋体" w:hAnsi="宋体"/>
          <w:szCs w:val="21"/>
          <w:highlight w:val="none"/>
        </w:rPr>
      </w:pPr>
      <w:bookmarkStart w:id="287" w:name="REVIEW_BM_1280"/>
      <w:r>
        <w:rPr>
          <w:rFonts w:hint="eastAsia" w:ascii="宋体" w:hAnsi="宋体"/>
          <w:szCs w:val="21"/>
          <w:highlight w:val="none"/>
        </w:rPr>
        <w:t>承包人</w:t>
      </w:r>
      <w:bookmarkEnd w:id="287"/>
      <w:r>
        <w:rPr>
          <w:rFonts w:hint="eastAsia" w:ascii="宋体" w:hAnsi="宋体"/>
          <w:szCs w:val="21"/>
          <w:highlight w:val="none"/>
        </w:rPr>
        <w:t>项目经理：</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hint="eastAsia" w:ascii="宋体" w:hAnsi="宋体"/>
          <w:szCs w:val="21"/>
          <w:highlight w:val="none"/>
          <w:u w:val="single"/>
        </w:rPr>
        <w:t xml:space="preserve">      </w:t>
      </w:r>
    </w:p>
    <w:p w14:paraId="745C34F6">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r>
        <w:rPr>
          <w:rFonts w:hint="eastAsia" w:ascii="宋体" w:hAnsi="宋体"/>
          <w:b w:val="0"/>
          <w:sz w:val="21"/>
          <w:szCs w:val="21"/>
          <w:highlight w:val="none"/>
        </w:rPr>
        <w:t xml:space="preserve"> </w:t>
      </w:r>
      <w:bookmarkStart w:id="288" w:name="_Toc116229071"/>
      <w:bookmarkStart w:id="289" w:name="_Toc25611"/>
      <w:r>
        <w:rPr>
          <w:rFonts w:hint="eastAsia" w:ascii="宋体" w:hAnsi="宋体"/>
          <w:sz w:val="21"/>
          <w:szCs w:val="21"/>
          <w:highlight w:val="none"/>
        </w:rPr>
        <w:t>六、合同文件构成</w:t>
      </w:r>
      <w:bookmarkEnd w:id="288"/>
      <w:bookmarkEnd w:id="289"/>
    </w:p>
    <w:p w14:paraId="22220624">
      <w:pPr>
        <w:widowControl/>
        <w:spacing w:line="360" w:lineRule="auto"/>
        <w:ind w:firstLine="420"/>
        <w:rPr>
          <w:rFonts w:hint="eastAsia" w:ascii="宋体" w:hAnsi="宋体"/>
          <w:bCs/>
          <w:szCs w:val="21"/>
          <w:highlight w:val="none"/>
        </w:rPr>
      </w:pPr>
      <w:r>
        <w:rPr>
          <w:rFonts w:hint="eastAsia" w:ascii="宋体" w:hAnsi="宋体"/>
          <w:bCs/>
          <w:szCs w:val="21"/>
          <w:highlight w:val="none"/>
        </w:rPr>
        <w:t>本协议书与下列文件一起构成合同文件：</w:t>
      </w:r>
    </w:p>
    <w:p w14:paraId="23AD5DC0">
      <w:pPr>
        <w:widowControl/>
        <w:numPr>
          <w:ilvl w:val="0"/>
          <w:numId w:val="0"/>
        </w:numPr>
        <w:spacing w:line="360" w:lineRule="auto"/>
        <w:ind w:firstLine="210"/>
        <w:rPr>
          <w:rFonts w:hint="eastAsia" w:ascii="宋体" w:hAnsi="宋体"/>
          <w:szCs w:val="21"/>
          <w:highlight w:val="none"/>
        </w:rPr>
      </w:pPr>
      <w:r>
        <w:rPr>
          <w:rFonts w:hint="eastAsia" w:ascii="宋体" w:hAnsi="宋体"/>
          <w:szCs w:val="21"/>
          <w:highlight w:val="none"/>
          <w:lang w:eastAsia="zh-CN"/>
        </w:rPr>
        <w:t>（</w:t>
      </w:r>
      <w:r>
        <w:rPr>
          <w:rFonts w:hint="eastAsia" w:ascii="宋体" w:hAnsi="宋体"/>
          <w:szCs w:val="21"/>
          <w:highlight w:val="none"/>
          <w:lang w:val="en-US" w:eastAsia="zh-CN"/>
        </w:rPr>
        <w:t>1</w:t>
      </w:r>
      <w:r>
        <w:rPr>
          <w:rFonts w:hint="eastAsia" w:ascii="宋体" w:hAnsi="宋体"/>
          <w:szCs w:val="21"/>
          <w:highlight w:val="none"/>
          <w:lang w:eastAsia="zh-CN"/>
        </w:rPr>
        <w:t>）</w:t>
      </w:r>
      <w:r>
        <w:rPr>
          <w:rFonts w:hint="eastAsia" w:ascii="宋体" w:hAnsi="宋体"/>
          <w:szCs w:val="21"/>
          <w:highlight w:val="none"/>
        </w:rPr>
        <w:t>合同协议书；</w:t>
      </w:r>
    </w:p>
    <w:p w14:paraId="2BFF9ED0">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2</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成交通知书；</w:t>
      </w:r>
    </w:p>
    <w:p w14:paraId="7C3EB85E">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3</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磋商函及其附录；</w:t>
      </w:r>
    </w:p>
    <w:p w14:paraId="64C08CD3">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4</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专用合同条款及其附件；</w:t>
      </w:r>
    </w:p>
    <w:p w14:paraId="266E2FF5">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5</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通用合同条款；</w:t>
      </w:r>
    </w:p>
    <w:p w14:paraId="4ADC3C5C">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6</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技术标准和要求；</w:t>
      </w:r>
    </w:p>
    <w:p w14:paraId="449BC2F6">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7</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已标价工程量清单；</w:t>
      </w:r>
    </w:p>
    <w:p w14:paraId="62A31B0C">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8</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lang w:val="en-US" w:eastAsia="zh-CN"/>
        </w:rPr>
        <w:t>施工方案</w:t>
      </w:r>
      <w:r>
        <w:rPr>
          <w:rFonts w:hint="eastAsia" w:ascii="宋体" w:hAnsi="宋体"/>
          <w:szCs w:val="21"/>
          <w:highlight w:val="none"/>
        </w:rPr>
        <w:t>；</w:t>
      </w:r>
    </w:p>
    <w:p w14:paraId="1AFD0799">
      <w:pPr>
        <w:widowControl/>
        <w:numPr>
          <w:ilvl w:val="0"/>
          <w:numId w:val="0"/>
        </w:numPr>
        <w:spacing w:line="360" w:lineRule="auto"/>
        <w:ind w:left="1138" w:hanging="928"/>
        <w:rPr>
          <w:rFonts w:hint="eastAsia" w:ascii="宋体" w:hAnsi="宋体"/>
          <w:szCs w:val="21"/>
          <w:highlight w:val="none"/>
        </w:rPr>
      </w:pPr>
      <w:r>
        <w:rPr>
          <w:rFonts w:hint="default" w:ascii="宋体" w:hAnsi="宋体" w:eastAsia="宋体" w:cs="Times New Roman"/>
          <w:sz w:val="21"/>
          <w:szCs w:val="21"/>
          <w:highlight w:val="none"/>
          <w:lang w:val="en-US" w:eastAsia="zh-CN" w:bidi="ar-SA"/>
        </w:rPr>
        <w:t>（</w:t>
      </w:r>
      <w:r>
        <w:rPr>
          <w:rFonts w:hint="eastAsia" w:ascii="宋体" w:hAnsi="宋体" w:cs="Times New Roman"/>
          <w:sz w:val="21"/>
          <w:szCs w:val="21"/>
          <w:highlight w:val="none"/>
          <w:lang w:val="en-US" w:eastAsia="zh-CN" w:bidi="ar-SA"/>
        </w:rPr>
        <w:t>9</w:t>
      </w:r>
      <w:r>
        <w:rPr>
          <w:rFonts w:hint="default" w:ascii="宋体" w:hAnsi="宋体" w:eastAsia="宋体" w:cs="Times New Roman"/>
          <w:sz w:val="21"/>
          <w:szCs w:val="21"/>
          <w:highlight w:val="none"/>
          <w:lang w:val="en-US" w:eastAsia="zh-CN" w:bidi="ar-SA"/>
        </w:rPr>
        <w:t>）</w:t>
      </w:r>
      <w:r>
        <w:rPr>
          <w:rFonts w:hint="eastAsia" w:ascii="宋体" w:hAnsi="宋体"/>
          <w:szCs w:val="21"/>
          <w:highlight w:val="none"/>
        </w:rPr>
        <w:t>其他合同文件；</w:t>
      </w:r>
    </w:p>
    <w:p w14:paraId="4AEDDEBA">
      <w:pPr>
        <w:widowControl/>
        <w:spacing w:line="360" w:lineRule="auto"/>
        <w:ind w:firstLine="420"/>
        <w:rPr>
          <w:rFonts w:hint="eastAsia" w:ascii="宋体" w:hAnsi="宋体"/>
          <w:szCs w:val="21"/>
          <w:highlight w:val="none"/>
        </w:rPr>
      </w:pPr>
      <w:r>
        <w:rPr>
          <w:rFonts w:hint="eastAsia" w:ascii="宋体" w:hAnsi="宋体"/>
          <w:szCs w:val="21"/>
          <w:highlight w:val="none"/>
        </w:rPr>
        <w:t>在合同订立及履行过程中形成的与合同有关的文件均构成合同文件组成部分。</w:t>
      </w:r>
    </w:p>
    <w:p w14:paraId="7339F072">
      <w:pPr>
        <w:widowControl/>
        <w:spacing w:line="360" w:lineRule="auto"/>
        <w:ind w:firstLine="420"/>
        <w:rPr>
          <w:rFonts w:hint="eastAsia" w:ascii="宋体" w:hAnsi="宋体"/>
          <w:szCs w:val="21"/>
          <w:highlight w:val="none"/>
        </w:rPr>
      </w:pPr>
      <w:r>
        <w:rPr>
          <w:rFonts w:hint="eastAsia" w:ascii="宋体" w:hAnsi="宋体"/>
          <w:szCs w:val="21"/>
          <w:highlight w:val="none"/>
        </w:rPr>
        <w:t>上述各项合同文件包括合同当事人就该项合同文件所作出的补充和修改，属于同一类内容的文件，应以最新签署的为准。专用合同条款及其附件须经合同当事人签字或盖章。</w:t>
      </w:r>
    </w:p>
    <w:p w14:paraId="003FA4F8">
      <w:pPr>
        <w:pStyle w:val="6"/>
        <w:spacing w:before="120" w:after="120" w:line="360" w:lineRule="auto"/>
        <w:rPr>
          <w:rFonts w:hint="eastAsia" w:ascii="宋体" w:hAnsi="宋体"/>
          <w:bCs w:val="0"/>
          <w:sz w:val="21"/>
          <w:szCs w:val="21"/>
          <w:highlight w:val="none"/>
        </w:rPr>
      </w:pPr>
      <w:r>
        <w:rPr>
          <w:rFonts w:hint="eastAsia" w:ascii="宋体" w:hAnsi="宋体"/>
          <w:b w:val="0"/>
          <w:bCs w:val="0"/>
          <w:sz w:val="21"/>
          <w:szCs w:val="21"/>
          <w:highlight w:val="none"/>
        </w:rPr>
        <w:t xml:space="preserve">  </w:t>
      </w:r>
      <w:r>
        <w:rPr>
          <w:rFonts w:hint="eastAsia" w:ascii="宋体" w:hAnsi="宋体"/>
          <w:sz w:val="21"/>
          <w:szCs w:val="21"/>
          <w:highlight w:val="none"/>
        </w:rPr>
        <w:t xml:space="preserve"> </w:t>
      </w:r>
      <w:bookmarkStart w:id="290" w:name="_Toc116229072"/>
      <w:bookmarkStart w:id="291" w:name="_Toc6820"/>
      <w:r>
        <w:rPr>
          <w:rFonts w:hint="eastAsia" w:ascii="宋体" w:hAnsi="宋体"/>
          <w:sz w:val="21"/>
          <w:szCs w:val="21"/>
          <w:highlight w:val="none"/>
        </w:rPr>
        <w:t>七、承诺</w:t>
      </w:r>
      <w:bookmarkEnd w:id="290"/>
      <w:bookmarkEnd w:id="291"/>
    </w:p>
    <w:p w14:paraId="2D353BAA">
      <w:pPr>
        <w:widowControl/>
        <w:spacing w:line="360" w:lineRule="auto"/>
        <w:ind w:firstLine="420"/>
        <w:rPr>
          <w:rFonts w:hint="eastAsia" w:ascii="宋体" w:hAnsi="宋体"/>
          <w:bCs/>
          <w:szCs w:val="21"/>
          <w:highlight w:val="none"/>
        </w:rPr>
      </w:pPr>
      <w:r>
        <w:rPr>
          <w:rFonts w:hint="eastAsia" w:ascii="宋体" w:hAnsi="宋体"/>
          <w:bCs/>
          <w:szCs w:val="21"/>
          <w:highlight w:val="none"/>
        </w:rPr>
        <w:t>1.</w:t>
      </w:r>
      <w:bookmarkStart w:id="292" w:name="REVIEW_BM_1281"/>
      <w:r>
        <w:rPr>
          <w:rFonts w:hint="eastAsia" w:ascii="宋体" w:hAnsi="宋体"/>
          <w:bCs/>
          <w:szCs w:val="21"/>
          <w:highlight w:val="none"/>
        </w:rPr>
        <w:t>发包人</w:t>
      </w:r>
      <w:bookmarkEnd w:id="292"/>
      <w:r>
        <w:rPr>
          <w:rFonts w:hint="eastAsia" w:ascii="宋体" w:hAnsi="宋体"/>
          <w:bCs/>
          <w:szCs w:val="21"/>
          <w:highlight w:val="none"/>
        </w:rPr>
        <w:t>承诺按照法律规定履行项目审批手续、筹集工程建设资金并按照合同约定的期限和方式支付合同价款。</w:t>
      </w:r>
    </w:p>
    <w:p w14:paraId="03A1A5B0">
      <w:pPr>
        <w:widowControl/>
        <w:spacing w:line="360" w:lineRule="auto"/>
        <w:ind w:firstLine="420"/>
        <w:rPr>
          <w:rFonts w:hint="eastAsia" w:ascii="宋体" w:hAnsi="宋体"/>
          <w:bCs/>
          <w:szCs w:val="21"/>
          <w:highlight w:val="none"/>
        </w:rPr>
      </w:pPr>
      <w:r>
        <w:rPr>
          <w:rFonts w:hint="eastAsia" w:ascii="宋体" w:hAnsi="宋体"/>
          <w:bCs/>
          <w:szCs w:val="21"/>
          <w:highlight w:val="none"/>
        </w:rPr>
        <w:t>2.</w:t>
      </w:r>
      <w:bookmarkStart w:id="293" w:name="REVIEW_BM_1282"/>
      <w:r>
        <w:rPr>
          <w:rFonts w:hint="eastAsia" w:ascii="宋体" w:hAnsi="宋体"/>
          <w:bCs/>
          <w:szCs w:val="21"/>
          <w:highlight w:val="none"/>
        </w:rPr>
        <w:t>承包人</w:t>
      </w:r>
      <w:bookmarkEnd w:id="293"/>
      <w:r>
        <w:rPr>
          <w:rFonts w:hint="eastAsia" w:ascii="宋体" w:hAnsi="宋体"/>
          <w:bCs/>
          <w:szCs w:val="21"/>
          <w:highlight w:val="none"/>
        </w:rPr>
        <w:t>承诺按照法律规定及合同约定组织完成工程施工，确保工程质量和安全，不进行转包及违法分包，并在建设期、缺陷责任期及保修期内承担相应的工程维修、维护责任。</w:t>
      </w:r>
    </w:p>
    <w:p w14:paraId="2AA99C15">
      <w:pPr>
        <w:widowControl/>
        <w:spacing w:line="360" w:lineRule="auto"/>
        <w:ind w:firstLine="420"/>
        <w:rPr>
          <w:rFonts w:hint="eastAsia" w:ascii="宋体" w:hAnsi="宋体"/>
          <w:bCs/>
          <w:szCs w:val="21"/>
          <w:highlight w:val="none"/>
        </w:rPr>
      </w:pPr>
      <w:r>
        <w:rPr>
          <w:rFonts w:hint="eastAsia" w:ascii="宋体" w:hAnsi="宋体"/>
          <w:bCs/>
          <w:szCs w:val="21"/>
          <w:highlight w:val="none"/>
        </w:rPr>
        <w:t>3.发包人和</w:t>
      </w:r>
      <w:bookmarkStart w:id="294" w:name="REVIEW_BM_1283"/>
      <w:r>
        <w:rPr>
          <w:rFonts w:hint="eastAsia" w:ascii="宋体" w:hAnsi="宋体"/>
          <w:bCs/>
          <w:szCs w:val="21"/>
          <w:highlight w:val="none"/>
        </w:rPr>
        <w:t>承包人</w:t>
      </w:r>
      <w:bookmarkEnd w:id="294"/>
      <w:r>
        <w:rPr>
          <w:rFonts w:hint="eastAsia" w:ascii="宋体" w:hAnsi="宋体"/>
          <w:bCs/>
          <w:szCs w:val="21"/>
          <w:highlight w:val="none"/>
        </w:rPr>
        <w:t>就</w:t>
      </w:r>
      <w:r>
        <w:rPr>
          <w:rFonts w:hint="eastAsia" w:ascii="宋体" w:hAnsi="宋体" w:cs="仿宋"/>
          <w:szCs w:val="21"/>
          <w:highlight w:val="none"/>
          <w:u w:val="single"/>
        </w:rPr>
        <w:t xml:space="preserve"> </w:t>
      </w:r>
      <w:r>
        <w:rPr>
          <w:rFonts w:hint="eastAsia" w:ascii="宋体" w:hAnsi="宋体" w:cs="仿宋"/>
          <w:szCs w:val="21"/>
          <w:highlight w:val="none"/>
          <w:u w:val="single"/>
          <w:lang w:eastAsia="zh-CN"/>
        </w:rPr>
        <w:t>2026级本科生新生宿舍修缮项目</w:t>
      </w:r>
      <w:r>
        <w:rPr>
          <w:rFonts w:hint="eastAsia" w:ascii="宋体" w:hAnsi="宋体" w:cs="仿宋"/>
          <w:szCs w:val="21"/>
          <w:highlight w:val="none"/>
          <w:u w:val="single"/>
        </w:rPr>
        <w:t xml:space="preserve"> </w:t>
      </w:r>
      <w:r>
        <w:rPr>
          <w:rFonts w:hint="eastAsia" w:ascii="宋体" w:hAnsi="宋体"/>
          <w:bCs/>
          <w:szCs w:val="21"/>
          <w:highlight w:val="none"/>
        </w:rPr>
        <w:t>签订本合同，双方理解并承诺不再就同一工程另行签订与合同实质性内容相背离的协议。</w:t>
      </w:r>
    </w:p>
    <w:p w14:paraId="3F18E75F">
      <w:pPr>
        <w:widowControl/>
        <w:spacing w:line="360" w:lineRule="auto"/>
        <w:rPr>
          <w:rFonts w:hint="eastAsia" w:ascii="宋体" w:hAnsi="宋体"/>
          <w:b/>
          <w:bCs/>
          <w:szCs w:val="21"/>
          <w:highlight w:val="none"/>
        </w:rPr>
      </w:pPr>
      <w:r>
        <w:rPr>
          <w:rFonts w:hint="eastAsia" w:ascii="宋体" w:hAnsi="宋体"/>
          <w:b/>
          <w:szCs w:val="21"/>
          <w:highlight w:val="none"/>
        </w:rPr>
        <w:t xml:space="preserve">  </w:t>
      </w:r>
      <w:r>
        <w:rPr>
          <w:rFonts w:hint="eastAsia" w:ascii="宋体" w:hAnsi="宋体"/>
          <w:b/>
          <w:bCs/>
          <w:szCs w:val="21"/>
          <w:highlight w:val="none"/>
        </w:rPr>
        <w:t xml:space="preserve"> 八、词语含义</w:t>
      </w:r>
    </w:p>
    <w:p w14:paraId="228024DA">
      <w:pPr>
        <w:widowControl/>
        <w:spacing w:line="360" w:lineRule="auto"/>
        <w:ind w:firstLine="420"/>
        <w:rPr>
          <w:rFonts w:hint="eastAsia" w:ascii="宋体" w:hAnsi="宋体"/>
          <w:bCs/>
          <w:szCs w:val="21"/>
          <w:highlight w:val="none"/>
        </w:rPr>
      </w:pPr>
      <w:r>
        <w:rPr>
          <w:rFonts w:hint="eastAsia" w:ascii="宋体" w:hAnsi="宋体"/>
          <w:bCs/>
          <w:szCs w:val="21"/>
          <w:highlight w:val="none"/>
        </w:rPr>
        <w:t>本协议书中词语含义与第二部分通用合同条款中赋予的含义相同。</w:t>
      </w:r>
    </w:p>
    <w:p w14:paraId="75B17315">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r>
        <w:rPr>
          <w:rFonts w:hint="eastAsia" w:ascii="宋体" w:hAnsi="宋体"/>
          <w:b w:val="0"/>
          <w:sz w:val="21"/>
          <w:szCs w:val="21"/>
          <w:highlight w:val="none"/>
        </w:rPr>
        <w:t xml:space="preserve">  </w:t>
      </w:r>
      <w:bookmarkStart w:id="295" w:name="_Toc116229073"/>
      <w:bookmarkStart w:id="296" w:name="_Toc14033"/>
      <w:r>
        <w:rPr>
          <w:rFonts w:hint="eastAsia" w:ascii="宋体" w:hAnsi="宋体"/>
          <w:sz w:val="21"/>
          <w:szCs w:val="21"/>
          <w:highlight w:val="none"/>
        </w:rPr>
        <w:t>九、签订时间</w:t>
      </w:r>
      <w:bookmarkEnd w:id="295"/>
      <w:bookmarkEnd w:id="296"/>
    </w:p>
    <w:p w14:paraId="0C9B3EA4">
      <w:pPr>
        <w:widowControl/>
        <w:spacing w:line="360" w:lineRule="auto"/>
        <w:ind w:firstLine="420"/>
        <w:rPr>
          <w:rFonts w:hint="eastAsia" w:ascii="宋体" w:hAnsi="宋体"/>
          <w:bCs/>
          <w:szCs w:val="21"/>
          <w:highlight w:val="none"/>
        </w:rPr>
      </w:pPr>
      <w:r>
        <w:rPr>
          <w:rFonts w:hint="eastAsia" w:ascii="宋体" w:hAnsi="宋体"/>
          <w:bCs/>
          <w:szCs w:val="21"/>
          <w:highlight w:val="none"/>
        </w:rPr>
        <w:t>本合同于</w:t>
      </w:r>
      <w:r>
        <w:rPr>
          <w:rFonts w:hint="eastAsia" w:ascii="宋体" w:hAnsi="宋体"/>
          <w:bCs/>
          <w:szCs w:val="21"/>
          <w:highlight w:val="none"/>
          <w:u w:val="single"/>
        </w:rPr>
        <w:t xml:space="preserve">         </w:t>
      </w:r>
      <w:r>
        <w:rPr>
          <w:rFonts w:hint="eastAsia" w:ascii="宋体" w:hAnsi="宋体"/>
          <w:bCs/>
          <w:szCs w:val="21"/>
          <w:highlight w:val="none"/>
        </w:rPr>
        <w:t>年</w:t>
      </w:r>
      <w:r>
        <w:rPr>
          <w:rFonts w:hint="eastAsia" w:ascii="宋体" w:hAnsi="宋体"/>
          <w:bCs/>
          <w:szCs w:val="21"/>
          <w:highlight w:val="none"/>
          <w:u w:val="single"/>
        </w:rPr>
        <w:t xml:space="preserve">        </w:t>
      </w:r>
      <w:r>
        <w:rPr>
          <w:rFonts w:hint="eastAsia" w:ascii="宋体" w:hAnsi="宋体"/>
          <w:bCs/>
          <w:szCs w:val="21"/>
          <w:highlight w:val="none"/>
        </w:rPr>
        <w:t>月</w:t>
      </w:r>
      <w:r>
        <w:rPr>
          <w:rFonts w:hint="eastAsia" w:ascii="宋体" w:hAnsi="宋体"/>
          <w:bCs/>
          <w:szCs w:val="21"/>
          <w:highlight w:val="none"/>
          <w:u w:val="single"/>
        </w:rPr>
        <w:t xml:space="preserve">        </w:t>
      </w:r>
      <w:r>
        <w:rPr>
          <w:rFonts w:hint="eastAsia" w:ascii="宋体" w:hAnsi="宋体"/>
          <w:bCs/>
          <w:szCs w:val="21"/>
          <w:highlight w:val="none"/>
        </w:rPr>
        <w:t>日签订。</w:t>
      </w:r>
    </w:p>
    <w:p w14:paraId="63BCACD9">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bookmarkStart w:id="297" w:name="_Toc7311"/>
      <w:bookmarkStart w:id="298" w:name="_Toc116229074"/>
      <w:r>
        <w:rPr>
          <w:rFonts w:hint="eastAsia" w:ascii="宋体" w:hAnsi="宋体"/>
          <w:sz w:val="21"/>
          <w:szCs w:val="21"/>
          <w:highlight w:val="none"/>
        </w:rPr>
        <w:t>十、签订地点</w:t>
      </w:r>
      <w:bookmarkEnd w:id="297"/>
      <w:bookmarkEnd w:id="298"/>
    </w:p>
    <w:p w14:paraId="6AD0A6C5">
      <w:pPr>
        <w:widowControl/>
        <w:spacing w:line="360" w:lineRule="auto"/>
        <w:ind w:firstLine="420"/>
        <w:rPr>
          <w:rFonts w:hint="eastAsia" w:ascii="宋体" w:hAnsi="宋体"/>
          <w:bCs/>
          <w:szCs w:val="21"/>
          <w:highlight w:val="none"/>
        </w:rPr>
      </w:pPr>
      <w:r>
        <w:rPr>
          <w:rFonts w:hint="eastAsia" w:ascii="宋体" w:hAnsi="宋体"/>
          <w:bCs/>
          <w:szCs w:val="21"/>
          <w:highlight w:val="none"/>
        </w:rPr>
        <w:t>本合同在</w:t>
      </w:r>
      <w:r>
        <w:rPr>
          <w:rFonts w:hint="eastAsia" w:ascii="宋体" w:hAnsi="宋体"/>
          <w:bCs/>
          <w:szCs w:val="21"/>
          <w:highlight w:val="none"/>
          <w:u w:val="single"/>
        </w:rPr>
        <w:t>南宁市</w:t>
      </w:r>
      <w:r>
        <w:rPr>
          <w:rFonts w:hint="eastAsia" w:ascii="宋体" w:hAnsi="宋体"/>
          <w:bCs/>
          <w:szCs w:val="21"/>
          <w:highlight w:val="none"/>
        </w:rPr>
        <w:t>签订。</w:t>
      </w:r>
    </w:p>
    <w:p w14:paraId="666A46BE">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bookmarkStart w:id="299" w:name="_Toc3572"/>
      <w:bookmarkStart w:id="300" w:name="_Toc116229075"/>
      <w:r>
        <w:rPr>
          <w:rFonts w:hint="eastAsia" w:ascii="宋体" w:hAnsi="宋体"/>
          <w:sz w:val="21"/>
          <w:szCs w:val="21"/>
          <w:highlight w:val="none"/>
        </w:rPr>
        <w:t>十一、补充协议</w:t>
      </w:r>
      <w:bookmarkEnd w:id="299"/>
      <w:bookmarkEnd w:id="300"/>
    </w:p>
    <w:p w14:paraId="00D3752E">
      <w:pPr>
        <w:widowControl/>
        <w:spacing w:line="360" w:lineRule="auto"/>
        <w:ind w:firstLine="420"/>
        <w:rPr>
          <w:rFonts w:hint="eastAsia" w:ascii="宋体" w:hAnsi="宋体"/>
          <w:b/>
          <w:bCs/>
          <w:szCs w:val="21"/>
          <w:highlight w:val="none"/>
        </w:rPr>
      </w:pPr>
      <w:r>
        <w:rPr>
          <w:rFonts w:hint="eastAsia" w:ascii="宋体" w:hAnsi="宋体"/>
          <w:bCs/>
          <w:szCs w:val="21"/>
          <w:highlight w:val="none"/>
        </w:rPr>
        <w:t>合同未尽事宜，合同当事人另行签订补充协议，补充协议是合同的组成部分。</w:t>
      </w:r>
    </w:p>
    <w:p w14:paraId="78C36684">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bookmarkStart w:id="301" w:name="_Toc116229076"/>
      <w:bookmarkStart w:id="302" w:name="_Toc7574"/>
      <w:r>
        <w:rPr>
          <w:rFonts w:hint="eastAsia" w:ascii="宋体" w:hAnsi="宋体"/>
          <w:sz w:val="21"/>
          <w:szCs w:val="21"/>
          <w:highlight w:val="none"/>
        </w:rPr>
        <w:t>十二、合同生效</w:t>
      </w:r>
      <w:bookmarkEnd w:id="301"/>
      <w:bookmarkEnd w:id="302"/>
    </w:p>
    <w:p w14:paraId="4247EF5A">
      <w:pPr>
        <w:widowControl/>
        <w:spacing w:line="360" w:lineRule="auto"/>
        <w:ind w:firstLine="420"/>
        <w:rPr>
          <w:rFonts w:hint="eastAsia" w:ascii="宋体" w:hAnsi="宋体"/>
          <w:bCs/>
          <w:szCs w:val="21"/>
          <w:highlight w:val="none"/>
        </w:rPr>
      </w:pPr>
      <w:r>
        <w:rPr>
          <w:rFonts w:hint="eastAsia" w:ascii="宋体" w:hAnsi="宋体"/>
          <w:bCs/>
          <w:szCs w:val="21"/>
          <w:highlight w:val="none"/>
        </w:rPr>
        <w:t>本合同自</w:t>
      </w:r>
      <w:r>
        <w:rPr>
          <w:rFonts w:hint="eastAsia" w:ascii="宋体" w:hAnsi="宋体"/>
          <w:bCs/>
          <w:szCs w:val="21"/>
          <w:highlight w:val="none"/>
          <w:u w:val="single"/>
        </w:rPr>
        <w:t>双方法定代表人或授权代表签字并双方盖章后</w:t>
      </w:r>
      <w:r>
        <w:rPr>
          <w:rFonts w:hint="eastAsia" w:ascii="宋体" w:hAnsi="宋体"/>
          <w:bCs/>
          <w:szCs w:val="21"/>
          <w:highlight w:val="none"/>
        </w:rPr>
        <w:t>生效。</w:t>
      </w:r>
    </w:p>
    <w:p w14:paraId="3568C3EA">
      <w:pPr>
        <w:pStyle w:val="6"/>
        <w:spacing w:before="120" w:after="120" w:line="360" w:lineRule="auto"/>
        <w:rPr>
          <w:rFonts w:hint="eastAsia" w:ascii="宋体" w:hAnsi="宋体"/>
          <w:bCs w:val="0"/>
          <w:sz w:val="21"/>
          <w:szCs w:val="21"/>
          <w:highlight w:val="none"/>
        </w:rPr>
      </w:pPr>
      <w:r>
        <w:rPr>
          <w:rFonts w:hint="eastAsia" w:ascii="宋体" w:hAnsi="宋体"/>
          <w:bCs w:val="0"/>
          <w:sz w:val="21"/>
          <w:szCs w:val="21"/>
          <w:highlight w:val="none"/>
        </w:rPr>
        <w:t xml:space="preserve">   </w:t>
      </w:r>
      <w:bookmarkStart w:id="303" w:name="_Toc116229077"/>
      <w:bookmarkStart w:id="304" w:name="_Toc8233"/>
      <w:r>
        <w:rPr>
          <w:rFonts w:hint="eastAsia" w:ascii="宋体" w:hAnsi="宋体"/>
          <w:sz w:val="21"/>
          <w:szCs w:val="21"/>
          <w:highlight w:val="none"/>
        </w:rPr>
        <w:t>十三、合同份数</w:t>
      </w:r>
      <w:bookmarkEnd w:id="303"/>
      <w:bookmarkEnd w:id="304"/>
    </w:p>
    <w:p w14:paraId="1DE325CB">
      <w:pPr>
        <w:widowControl/>
        <w:spacing w:line="360" w:lineRule="auto"/>
        <w:ind w:firstLine="420"/>
        <w:rPr>
          <w:rFonts w:hint="eastAsia" w:ascii="宋体" w:hAnsi="宋体"/>
          <w:bCs/>
          <w:szCs w:val="21"/>
          <w:highlight w:val="none"/>
        </w:rPr>
      </w:pPr>
      <w:r>
        <w:rPr>
          <w:rFonts w:hint="eastAsia" w:ascii="宋体" w:hAnsi="宋体"/>
          <w:bCs/>
          <w:szCs w:val="21"/>
          <w:highlight w:val="none"/>
        </w:rPr>
        <w:t>本合同一式</w:t>
      </w:r>
      <w:r>
        <w:rPr>
          <w:rFonts w:hint="eastAsia" w:ascii="宋体" w:hAnsi="宋体"/>
          <w:b/>
          <w:bCs/>
          <w:szCs w:val="21"/>
          <w:highlight w:val="none"/>
          <w:u w:val="single"/>
        </w:rPr>
        <w:t xml:space="preserve"> 捌 </w:t>
      </w:r>
      <w:r>
        <w:rPr>
          <w:rFonts w:hint="eastAsia" w:ascii="宋体" w:hAnsi="宋体"/>
          <w:bCs/>
          <w:szCs w:val="21"/>
          <w:highlight w:val="none"/>
        </w:rPr>
        <w:t>份，均具有同等法律效力，</w:t>
      </w:r>
      <w:bookmarkStart w:id="305" w:name="REVIEW_BM_1285"/>
      <w:r>
        <w:rPr>
          <w:rFonts w:hint="eastAsia" w:ascii="宋体" w:hAnsi="宋体"/>
          <w:bCs/>
          <w:szCs w:val="21"/>
          <w:highlight w:val="none"/>
        </w:rPr>
        <w:t>发包人</w:t>
      </w:r>
      <w:bookmarkEnd w:id="305"/>
      <w:r>
        <w:rPr>
          <w:rFonts w:hint="eastAsia" w:ascii="宋体" w:hAnsi="宋体"/>
          <w:bCs/>
          <w:szCs w:val="21"/>
          <w:highlight w:val="none"/>
        </w:rPr>
        <w:t>执</w:t>
      </w:r>
      <w:r>
        <w:rPr>
          <w:rFonts w:hint="eastAsia" w:ascii="宋体" w:hAnsi="宋体"/>
          <w:b/>
          <w:bCs/>
          <w:szCs w:val="21"/>
          <w:highlight w:val="none"/>
          <w:u w:val="single"/>
        </w:rPr>
        <w:t xml:space="preserve"> 肆</w:t>
      </w:r>
      <w:r>
        <w:rPr>
          <w:rFonts w:hint="eastAsia" w:ascii="宋体" w:hAnsi="宋体"/>
          <w:bCs/>
          <w:szCs w:val="21"/>
          <w:highlight w:val="none"/>
          <w:u w:val="single"/>
        </w:rPr>
        <w:t xml:space="preserve"> </w:t>
      </w:r>
      <w:r>
        <w:rPr>
          <w:rFonts w:hint="eastAsia" w:ascii="宋体" w:hAnsi="宋体"/>
          <w:bCs/>
          <w:szCs w:val="21"/>
          <w:highlight w:val="none"/>
        </w:rPr>
        <w:t>份，</w:t>
      </w:r>
      <w:bookmarkStart w:id="306" w:name="REVIEW_BM_1286"/>
      <w:r>
        <w:rPr>
          <w:rFonts w:hint="eastAsia" w:ascii="宋体" w:hAnsi="宋体"/>
          <w:bCs/>
          <w:szCs w:val="21"/>
          <w:highlight w:val="none"/>
        </w:rPr>
        <w:t>承包人</w:t>
      </w:r>
      <w:bookmarkEnd w:id="306"/>
      <w:r>
        <w:rPr>
          <w:rFonts w:hint="eastAsia" w:ascii="宋体" w:hAnsi="宋体"/>
          <w:bCs/>
          <w:szCs w:val="21"/>
          <w:highlight w:val="none"/>
        </w:rPr>
        <w:t>执</w:t>
      </w:r>
      <w:r>
        <w:rPr>
          <w:rFonts w:hint="eastAsia" w:ascii="宋体" w:hAnsi="宋体"/>
          <w:b/>
          <w:bCs/>
          <w:szCs w:val="21"/>
          <w:highlight w:val="none"/>
          <w:u w:val="single"/>
        </w:rPr>
        <w:t xml:space="preserve"> 叁</w:t>
      </w:r>
      <w:r>
        <w:rPr>
          <w:rFonts w:hint="eastAsia" w:ascii="宋体" w:hAnsi="宋体"/>
          <w:bCs/>
          <w:szCs w:val="21"/>
          <w:highlight w:val="none"/>
          <w:u w:val="single"/>
        </w:rPr>
        <w:t xml:space="preserve"> </w:t>
      </w:r>
      <w:r>
        <w:rPr>
          <w:rFonts w:hint="eastAsia" w:ascii="宋体" w:hAnsi="宋体"/>
          <w:bCs/>
          <w:szCs w:val="21"/>
          <w:highlight w:val="none"/>
        </w:rPr>
        <w:t>份，</w:t>
      </w:r>
      <w:bookmarkStart w:id="307" w:name="REVIEW_BM_1284"/>
      <w:r>
        <w:rPr>
          <w:rFonts w:hint="eastAsia" w:ascii="宋体" w:hAnsi="宋体"/>
          <w:bCs/>
          <w:szCs w:val="21"/>
          <w:highlight w:val="none"/>
        </w:rPr>
        <w:t>招标代理机构</w:t>
      </w:r>
      <w:bookmarkEnd w:id="307"/>
      <w:r>
        <w:rPr>
          <w:rFonts w:hint="eastAsia" w:ascii="宋体" w:hAnsi="宋体"/>
          <w:bCs/>
          <w:szCs w:val="21"/>
          <w:highlight w:val="none"/>
          <w:u w:val="single"/>
          <w:lang w:eastAsia="zh-CN"/>
        </w:rPr>
        <w:t>壹</w:t>
      </w:r>
      <w:r>
        <w:rPr>
          <w:rFonts w:hint="eastAsia" w:ascii="宋体" w:hAnsi="宋体"/>
          <w:bCs/>
          <w:szCs w:val="21"/>
          <w:highlight w:val="none"/>
        </w:rPr>
        <w:t>份。</w:t>
      </w:r>
    </w:p>
    <w:p w14:paraId="64469B2E">
      <w:pPr>
        <w:widowControl/>
        <w:spacing w:line="360" w:lineRule="auto"/>
        <w:rPr>
          <w:rFonts w:hint="eastAsia" w:ascii="宋体" w:hAnsi="宋体"/>
          <w:bCs/>
          <w:szCs w:val="21"/>
          <w:highlight w:val="none"/>
        </w:rPr>
      </w:pPr>
    </w:p>
    <w:p w14:paraId="5A0FAC4B">
      <w:pPr>
        <w:widowControl/>
        <w:spacing w:line="360" w:lineRule="auto"/>
        <w:ind w:left="5670" w:hanging="5670"/>
        <w:rPr>
          <w:rFonts w:hint="eastAsia" w:ascii="宋体" w:hAnsi="宋体"/>
          <w:szCs w:val="21"/>
          <w:highlight w:val="none"/>
          <w:u w:val="single"/>
        </w:rPr>
      </w:pPr>
      <w:bookmarkStart w:id="308" w:name="REVIEW_BM_1287"/>
      <w:r>
        <w:rPr>
          <w:rFonts w:hint="eastAsia" w:ascii="宋体" w:hAnsi="宋体"/>
          <w:szCs w:val="21"/>
          <w:highlight w:val="none"/>
        </w:rPr>
        <w:t>发包人</w:t>
      </w:r>
      <w:bookmarkEnd w:id="308"/>
      <w:r>
        <w:rPr>
          <w:rFonts w:hint="eastAsia" w:ascii="宋体" w:hAnsi="宋体"/>
          <w:szCs w:val="21"/>
          <w:highlight w:val="none"/>
        </w:rPr>
        <w:t>(公章)：</w:t>
      </w:r>
      <w:r>
        <w:rPr>
          <w:rFonts w:hint="eastAsia" w:ascii="宋体" w:hAnsi="宋体"/>
          <w:szCs w:val="21"/>
          <w:highlight w:val="none"/>
          <w:u w:val="single"/>
        </w:rPr>
        <w:t xml:space="preserve">              </w:t>
      </w:r>
      <w:r>
        <w:rPr>
          <w:rFonts w:hint="eastAsia" w:ascii="宋体" w:hAnsi="宋体"/>
          <w:szCs w:val="21"/>
          <w:highlight w:val="none"/>
        </w:rPr>
        <w:t xml:space="preserve">     </w:t>
      </w:r>
      <w:bookmarkStart w:id="309" w:name="REVIEW_BM_1288"/>
      <w:r>
        <w:rPr>
          <w:rFonts w:hint="eastAsia" w:ascii="宋体" w:hAnsi="宋体"/>
          <w:szCs w:val="21"/>
          <w:highlight w:val="none"/>
        </w:rPr>
        <w:t>承包人</w:t>
      </w:r>
      <w:bookmarkEnd w:id="309"/>
      <w:r>
        <w:rPr>
          <w:rFonts w:hint="eastAsia" w:ascii="宋体" w:hAnsi="宋体"/>
          <w:szCs w:val="21"/>
          <w:highlight w:val="none"/>
        </w:rPr>
        <w:t>(公章)：</w:t>
      </w:r>
      <w:r>
        <w:rPr>
          <w:rFonts w:hint="eastAsia" w:ascii="宋体" w:hAnsi="宋体"/>
          <w:szCs w:val="21"/>
          <w:highlight w:val="none"/>
          <w:u w:val="single"/>
        </w:rPr>
        <w:t xml:space="preserve">              </w:t>
      </w:r>
    </w:p>
    <w:p w14:paraId="371DC1D0">
      <w:pPr>
        <w:widowControl/>
        <w:spacing w:line="360" w:lineRule="auto"/>
        <w:rPr>
          <w:rFonts w:hint="eastAsia" w:ascii="宋体" w:hAnsi="宋体"/>
          <w:szCs w:val="21"/>
          <w:highlight w:val="none"/>
        </w:rPr>
      </w:pPr>
      <w:r>
        <w:rPr>
          <w:rFonts w:hint="eastAsia" w:ascii="宋体" w:hAnsi="宋体"/>
          <w:szCs w:val="21"/>
          <w:highlight w:val="none"/>
        </w:rPr>
        <w:t>地  址：</w:t>
      </w:r>
      <w:r>
        <w:rPr>
          <w:rFonts w:hint="eastAsia" w:ascii="宋体" w:hAnsi="宋体"/>
          <w:szCs w:val="21"/>
          <w:highlight w:val="none"/>
          <w:u w:val="single"/>
        </w:rPr>
        <w:t xml:space="preserve">              </w:t>
      </w:r>
      <w:r>
        <w:rPr>
          <w:rFonts w:hint="eastAsia" w:ascii="宋体" w:hAnsi="宋体"/>
          <w:szCs w:val="21"/>
          <w:highlight w:val="none"/>
        </w:rPr>
        <w:t xml:space="preserve">           地  址：</w:t>
      </w:r>
      <w:r>
        <w:rPr>
          <w:rFonts w:hint="eastAsia" w:ascii="宋体" w:hAnsi="宋体"/>
          <w:szCs w:val="21"/>
          <w:highlight w:val="none"/>
          <w:u w:val="single"/>
        </w:rPr>
        <w:t xml:space="preserve">              </w:t>
      </w:r>
    </w:p>
    <w:p w14:paraId="06D93E32">
      <w:pPr>
        <w:widowControl/>
        <w:spacing w:line="360" w:lineRule="auto"/>
        <w:rPr>
          <w:rFonts w:hint="eastAsia" w:ascii="宋体" w:hAnsi="宋体"/>
          <w:szCs w:val="21"/>
          <w:highlight w:val="none"/>
        </w:rPr>
      </w:pPr>
      <w:r>
        <w:rPr>
          <w:rFonts w:hint="eastAsia" w:ascii="宋体" w:hAnsi="宋体"/>
          <w:szCs w:val="21"/>
          <w:highlight w:val="none"/>
        </w:rPr>
        <w:t>法定代表人：</w:t>
      </w:r>
      <w:r>
        <w:rPr>
          <w:rFonts w:hint="eastAsia" w:ascii="宋体" w:hAnsi="宋体"/>
          <w:szCs w:val="21"/>
          <w:highlight w:val="none"/>
          <w:u w:val="single"/>
        </w:rPr>
        <w:t xml:space="preserve">          </w:t>
      </w:r>
      <w:r>
        <w:rPr>
          <w:rFonts w:hint="eastAsia" w:ascii="宋体" w:hAnsi="宋体"/>
          <w:szCs w:val="21"/>
          <w:highlight w:val="none"/>
        </w:rPr>
        <w:t xml:space="preserve">           法定代表人：</w:t>
      </w:r>
      <w:r>
        <w:rPr>
          <w:rFonts w:hint="eastAsia" w:ascii="宋体" w:hAnsi="宋体"/>
          <w:szCs w:val="21"/>
          <w:highlight w:val="none"/>
          <w:u w:val="single"/>
        </w:rPr>
        <w:t xml:space="preserve">           </w:t>
      </w:r>
    </w:p>
    <w:p w14:paraId="5A3913E0">
      <w:pPr>
        <w:widowControl/>
        <w:spacing w:line="360" w:lineRule="auto"/>
        <w:rPr>
          <w:rFonts w:hint="eastAsia" w:ascii="宋体" w:hAnsi="宋体"/>
          <w:szCs w:val="21"/>
          <w:highlight w:val="none"/>
        </w:rPr>
      </w:pPr>
      <w:r>
        <w:rPr>
          <w:rFonts w:hint="eastAsia" w:ascii="宋体" w:hAnsi="宋体"/>
          <w:szCs w:val="21"/>
          <w:highlight w:val="none"/>
        </w:rPr>
        <w:t>委托代理人(签字)：</w:t>
      </w:r>
      <w:r>
        <w:rPr>
          <w:rFonts w:hint="eastAsia" w:ascii="宋体" w:hAnsi="宋体"/>
          <w:szCs w:val="21"/>
          <w:highlight w:val="none"/>
          <w:u w:val="single"/>
        </w:rPr>
        <w:t xml:space="preserve">          </w:t>
      </w:r>
      <w:r>
        <w:rPr>
          <w:rFonts w:hint="eastAsia" w:ascii="宋体" w:hAnsi="宋体"/>
          <w:szCs w:val="21"/>
          <w:highlight w:val="none"/>
        </w:rPr>
        <w:t xml:space="preserve">     委托代理人(签字)：</w:t>
      </w:r>
      <w:r>
        <w:rPr>
          <w:rFonts w:hint="eastAsia" w:ascii="宋体" w:hAnsi="宋体"/>
          <w:szCs w:val="21"/>
          <w:highlight w:val="none"/>
          <w:u w:val="single"/>
        </w:rPr>
        <w:t xml:space="preserve">           </w:t>
      </w:r>
    </w:p>
    <w:p w14:paraId="4D9B3D72">
      <w:pPr>
        <w:widowControl/>
        <w:spacing w:line="360" w:lineRule="auto"/>
        <w:rPr>
          <w:rFonts w:hint="eastAsia" w:ascii="宋体" w:hAnsi="宋体"/>
          <w:szCs w:val="21"/>
          <w:highlight w:val="none"/>
        </w:rPr>
      </w:pPr>
      <w:r>
        <w:rPr>
          <w:rFonts w:hint="eastAsia" w:ascii="宋体" w:hAnsi="宋体"/>
          <w:szCs w:val="21"/>
          <w:highlight w:val="none"/>
        </w:rPr>
        <w:t>电  话：</w:t>
      </w:r>
      <w:r>
        <w:rPr>
          <w:rFonts w:hint="eastAsia" w:ascii="宋体" w:hAnsi="宋体"/>
          <w:szCs w:val="21"/>
          <w:highlight w:val="none"/>
          <w:u w:val="single"/>
        </w:rPr>
        <w:t xml:space="preserve">              </w:t>
      </w:r>
      <w:r>
        <w:rPr>
          <w:rFonts w:hint="eastAsia" w:ascii="宋体" w:hAnsi="宋体"/>
          <w:szCs w:val="21"/>
          <w:highlight w:val="none"/>
        </w:rPr>
        <w:t xml:space="preserve">         电  话：</w:t>
      </w:r>
      <w:r>
        <w:rPr>
          <w:rFonts w:hint="eastAsia" w:ascii="宋体" w:hAnsi="宋体"/>
          <w:szCs w:val="21"/>
          <w:highlight w:val="none"/>
          <w:u w:val="single"/>
        </w:rPr>
        <w:t xml:space="preserve">              </w:t>
      </w:r>
    </w:p>
    <w:p w14:paraId="735DA820">
      <w:pPr>
        <w:widowControl/>
        <w:spacing w:line="360" w:lineRule="auto"/>
        <w:rPr>
          <w:rFonts w:hint="eastAsia" w:ascii="宋体" w:hAnsi="宋体"/>
          <w:szCs w:val="21"/>
          <w:highlight w:val="none"/>
          <w:u w:val="single"/>
        </w:rPr>
      </w:pPr>
      <w:r>
        <w:rPr>
          <w:rFonts w:hint="eastAsia" w:ascii="宋体" w:hAnsi="宋体"/>
          <w:szCs w:val="21"/>
          <w:highlight w:val="none"/>
        </w:rPr>
        <w:t>传  真：</w:t>
      </w:r>
      <w:r>
        <w:rPr>
          <w:rFonts w:hint="eastAsia" w:ascii="宋体" w:hAnsi="宋体"/>
          <w:szCs w:val="21"/>
          <w:highlight w:val="none"/>
          <w:u w:val="single"/>
        </w:rPr>
        <w:t xml:space="preserve">              </w:t>
      </w:r>
      <w:r>
        <w:rPr>
          <w:rFonts w:hint="eastAsia" w:ascii="宋体" w:hAnsi="宋体"/>
          <w:szCs w:val="21"/>
          <w:highlight w:val="none"/>
        </w:rPr>
        <w:t xml:space="preserve">         传  真：</w:t>
      </w:r>
      <w:r>
        <w:rPr>
          <w:rFonts w:hint="eastAsia" w:ascii="宋体" w:hAnsi="宋体"/>
          <w:szCs w:val="21"/>
          <w:highlight w:val="none"/>
          <w:u w:val="single"/>
        </w:rPr>
        <w:t xml:space="preserve">              </w:t>
      </w:r>
    </w:p>
    <w:p w14:paraId="73E4B637">
      <w:pPr>
        <w:widowControl/>
        <w:spacing w:line="360" w:lineRule="auto"/>
        <w:rPr>
          <w:rFonts w:hint="eastAsia" w:ascii="宋体" w:hAnsi="宋体"/>
          <w:szCs w:val="21"/>
          <w:highlight w:val="none"/>
        </w:rPr>
      </w:pPr>
      <w:r>
        <w:rPr>
          <w:rFonts w:hint="eastAsia" w:ascii="宋体" w:hAnsi="宋体"/>
          <w:szCs w:val="21"/>
          <w:highlight w:val="none"/>
        </w:rPr>
        <w:t>开户银行：</w:t>
      </w:r>
      <w:r>
        <w:rPr>
          <w:rFonts w:hint="eastAsia" w:ascii="宋体" w:hAnsi="宋体"/>
          <w:szCs w:val="21"/>
          <w:highlight w:val="none"/>
          <w:u w:val="single"/>
        </w:rPr>
        <w:t xml:space="preserve">              </w:t>
      </w:r>
      <w:r>
        <w:rPr>
          <w:rFonts w:hint="eastAsia" w:ascii="宋体" w:hAnsi="宋体"/>
          <w:szCs w:val="21"/>
          <w:highlight w:val="none"/>
        </w:rPr>
        <w:t xml:space="preserve">         开户银行：</w:t>
      </w:r>
      <w:r>
        <w:rPr>
          <w:rFonts w:hint="eastAsia" w:ascii="宋体" w:hAnsi="宋体"/>
          <w:szCs w:val="21"/>
          <w:highlight w:val="none"/>
          <w:u w:val="single"/>
        </w:rPr>
        <w:t xml:space="preserve">               </w:t>
      </w:r>
    </w:p>
    <w:p w14:paraId="0942D4FC">
      <w:pPr>
        <w:widowControl/>
        <w:spacing w:line="360" w:lineRule="auto"/>
        <w:rPr>
          <w:rFonts w:hint="eastAsia" w:ascii="宋体" w:hAnsi="宋体"/>
          <w:szCs w:val="21"/>
          <w:highlight w:val="none"/>
        </w:rPr>
      </w:pPr>
      <w:r>
        <w:rPr>
          <w:rFonts w:hint="eastAsia" w:ascii="宋体" w:hAnsi="宋体"/>
          <w:szCs w:val="21"/>
          <w:highlight w:val="none"/>
        </w:rPr>
        <w:t>账  号：</w:t>
      </w:r>
      <w:r>
        <w:rPr>
          <w:rFonts w:hint="eastAsia" w:ascii="宋体" w:hAnsi="宋体"/>
          <w:szCs w:val="21"/>
          <w:highlight w:val="none"/>
          <w:u w:val="single"/>
        </w:rPr>
        <w:t xml:space="preserve">              </w:t>
      </w:r>
      <w:r>
        <w:rPr>
          <w:rFonts w:hint="eastAsia" w:ascii="宋体" w:hAnsi="宋体"/>
          <w:szCs w:val="21"/>
          <w:highlight w:val="none"/>
        </w:rPr>
        <w:t xml:space="preserve">           账  号：</w:t>
      </w:r>
      <w:r>
        <w:rPr>
          <w:rFonts w:hint="eastAsia" w:ascii="宋体" w:hAnsi="宋体"/>
          <w:szCs w:val="21"/>
          <w:highlight w:val="none"/>
          <w:u w:val="single"/>
        </w:rPr>
        <w:t xml:space="preserve">                </w:t>
      </w:r>
    </w:p>
    <w:p w14:paraId="2880C1C6">
      <w:pPr>
        <w:widowControl/>
        <w:spacing w:line="360" w:lineRule="auto"/>
        <w:rPr>
          <w:rFonts w:ascii="宋体" w:hAnsi="宋体"/>
          <w:szCs w:val="21"/>
          <w:highlight w:val="none"/>
        </w:rPr>
        <w:sectPr>
          <w:footerReference r:id="rId11" w:type="first"/>
          <w:footerReference r:id="rId10" w:type="default"/>
          <w:pgSz w:w="11906" w:h="16838"/>
          <w:pgMar w:top="1440" w:right="1366" w:bottom="1440" w:left="1320" w:header="851" w:footer="992" w:gutter="0"/>
          <w:cols w:space="720" w:num="1"/>
          <w:titlePg/>
        </w:sectPr>
      </w:pPr>
      <w:r>
        <w:rPr>
          <w:rFonts w:hint="eastAsia" w:ascii="宋体" w:hAnsi="宋体"/>
          <w:szCs w:val="21"/>
          <w:highlight w:val="none"/>
        </w:rPr>
        <w:t>邮政编码：</w:t>
      </w:r>
      <w:r>
        <w:rPr>
          <w:rFonts w:hint="eastAsia" w:ascii="宋体" w:hAnsi="宋体"/>
          <w:szCs w:val="21"/>
          <w:highlight w:val="none"/>
          <w:u w:val="single"/>
        </w:rPr>
        <w:t xml:space="preserve">            </w:t>
      </w:r>
      <w:r>
        <w:rPr>
          <w:rFonts w:hint="eastAsia" w:ascii="宋体" w:hAnsi="宋体"/>
          <w:szCs w:val="21"/>
          <w:highlight w:val="none"/>
        </w:rPr>
        <w:t xml:space="preserve">             邮政编码：</w:t>
      </w:r>
      <w:r>
        <w:rPr>
          <w:rFonts w:hint="eastAsia" w:ascii="宋体" w:hAnsi="宋体"/>
          <w:szCs w:val="21"/>
          <w:highlight w:val="none"/>
          <w:u w:val="single"/>
        </w:rPr>
        <w:t xml:space="preserve">             </w:t>
      </w:r>
    </w:p>
    <w:p w14:paraId="4C7B6A00">
      <w:pPr>
        <w:pStyle w:val="5"/>
        <w:jc w:val="center"/>
        <w:rPr>
          <w:rFonts w:hint="eastAsia" w:ascii="宋体" w:hAnsi="宋体"/>
          <w:sz w:val="21"/>
          <w:szCs w:val="21"/>
          <w:highlight w:val="none"/>
        </w:rPr>
      </w:pPr>
      <w:bookmarkStart w:id="310" w:name="_Toc116229078"/>
      <w:bookmarkStart w:id="311" w:name="_Toc11576"/>
      <w:r>
        <w:rPr>
          <w:rFonts w:hint="eastAsia" w:ascii="宋体" w:hAnsi="宋体"/>
          <w:sz w:val="21"/>
          <w:szCs w:val="21"/>
          <w:highlight w:val="none"/>
        </w:rPr>
        <w:t>第二部分 通用合同条款</w:t>
      </w:r>
      <w:bookmarkEnd w:id="310"/>
      <w:bookmarkEnd w:id="311"/>
      <w:bookmarkStart w:id="312" w:name="_Toc337558727"/>
      <w:bookmarkEnd w:id="312"/>
    </w:p>
    <w:p w14:paraId="710DD5FC">
      <w:pPr>
        <w:widowControl/>
        <w:spacing w:line="360" w:lineRule="auto"/>
        <w:jc w:val="center"/>
        <w:rPr>
          <w:rFonts w:hint="eastAsia" w:ascii="宋体" w:hAnsi="宋体"/>
          <w:szCs w:val="21"/>
          <w:highlight w:val="none"/>
        </w:rPr>
      </w:pPr>
      <w:r>
        <w:rPr>
          <w:rFonts w:hint="eastAsia"/>
          <w:b/>
          <w:bCs/>
          <w:spacing w:val="-1"/>
          <w:highlight w:val="none"/>
        </w:rPr>
        <w:t>采用《建设工程施工合同</w:t>
      </w:r>
      <w:r>
        <w:rPr>
          <w:rFonts w:hint="eastAsia"/>
          <w:b/>
          <w:bCs/>
          <w:highlight w:val="none"/>
        </w:rPr>
        <w:t>（示范文本）》（</w:t>
      </w:r>
      <w:r>
        <w:rPr>
          <w:b/>
          <w:bCs/>
          <w:highlight w:val="none"/>
        </w:rPr>
        <w:t>GF</w:t>
      </w:r>
      <w:r>
        <w:rPr>
          <w:rFonts w:hint="eastAsia"/>
          <w:b/>
          <w:bCs/>
          <w:highlight w:val="none"/>
        </w:rPr>
        <w:t>—</w:t>
      </w:r>
      <w:r>
        <w:rPr>
          <w:b/>
          <w:bCs/>
          <w:highlight w:val="none"/>
        </w:rPr>
        <w:t>2017</w:t>
      </w:r>
      <w:r>
        <w:rPr>
          <w:rFonts w:hint="eastAsia"/>
          <w:b/>
          <w:bCs/>
          <w:highlight w:val="none"/>
        </w:rPr>
        <w:t>—</w:t>
      </w:r>
      <w:r>
        <w:rPr>
          <w:b/>
          <w:bCs/>
          <w:highlight w:val="none"/>
        </w:rPr>
        <w:t>0201</w:t>
      </w:r>
      <w:r>
        <w:rPr>
          <w:rFonts w:hint="eastAsia"/>
          <w:b/>
          <w:bCs/>
          <w:highlight w:val="none"/>
        </w:rPr>
        <w:t>）</w:t>
      </w:r>
    </w:p>
    <w:p w14:paraId="71C3E745">
      <w:pPr>
        <w:widowControl/>
        <w:spacing w:line="360" w:lineRule="auto"/>
        <w:ind w:firstLine="420"/>
        <w:rPr>
          <w:rFonts w:hint="eastAsia" w:ascii="宋体" w:hAnsi="宋体"/>
          <w:szCs w:val="21"/>
          <w:highlight w:val="none"/>
        </w:rPr>
      </w:pPr>
    </w:p>
    <w:p w14:paraId="0C6F836A">
      <w:pPr>
        <w:widowControl/>
        <w:spacing w:line="360" w:lineRule="auto"/>
        <w:ind w:firstLine="420"/>
        <w:rPr>
          <w:rFonts w:hint="eastAsia" w:ascii="宋体" w:hAnsi="宋体"/>
          <w:szCs w:val="21"/>
          <w:highlight w:val="none"/>
        </w:rPr>
      </w:pPr>
    </w:p>
    <w:p w14:paraId="6A13C2C1">
      <w:pPr>
        <w:widowControl/>
        <w:spacing w:line="360" w:lineRule="auto"/>
        <w:ind w:firstLine="420"/>
        <w:rPr>
          <w:rFonts w:hint="eastAsia" w:ascii="宋体" w:hAnsi="宋体"/>
          <w:szCs w:val="21"/>
          <w:highlight w:val="none"/>
        </w:rPr>
      </w:pPr>
    </w:p>
    <w:p w14:paraId="0EF1F50A">
      <w:pPr>
        <w:widowControl/>
        <w:spacing w:line="360" w:lineRule="auto"/>
        <w:ind w:firstLine="420"/>
        <w:rPr>
          <w:rFonts w:hint="eastAsia" w:ascii="宋体" w:hAnsi="宋体"/>
          <w:szCs w:val="21"/>
          <w:highlight w:val="none"/>
        </w:rPr>
      </w:pPr>
    </w:p>
    <w:p w14:paraId="0592B9D4">
      <w:pPr>
        <w:widowControl/>
        <w:spacing w:line="360" w:lineRule="auto"/>
        <w:ind w:firstLine="420"/>
        <w:rPr>
          <w:rFonts w:hint="eastAsia" w:ascii="宋体" w:hAnsi="宋体"/>
          <w:szCs w:val="21"/>
          <w:highlight w:val="none"/>
        </w:rPr>
      </w:pPr>
    </w:p>
    <w:p w14:paraId="33BB1D7D">
      <w:pPr>
        <w:widowControl/>
        <w:spacing w:line="360" w:lineRule="auto"/>
        <w:ind w:firstLine="420"/>
        <w:rPr>
          <w:rFonts w:hint="eastAsia" w:ascii="宋体" w:hAnsi="宋体"/>
          <w:szCs w:val="21"/>
          <w:highlight w:val="none"/>
        </w:rPr>
      </w:pPr>
    </w:p>
    <w:p w14:paraId="624187CB">
      <w:pPr>
        <w:widowControl/>
        <w:spacing w:line="360" w:lineRule="auto"/>
        <w:ind w:firstLine="420"/>
        <w:rPr>
          <w:rFonts w:hint="eastAsia" w:ascii="宋体" w:hAnsi="宋体"/>
          <w:szCs w:val="21"/>
          <w:highlight w:val="none"/>
        </w:rPr>
      </w:pPr>
    </w:p>
    <w:p w14:paraId="1AF70F27">
      <w:pPr>
        <w:widowControl/>
        <w:spacing w:line="360" w:lineRule="auto"/>
        <w:ind w:firstLine="420"/>
        <w:rPr>
          <w:rFonts w:hint="eastAsia" w:ascii="宋体" w:hAnsi="宋体"/>
          <w:szCs w:val="21"/>
          <w:highlight w:val="none"/>
        </w:rPr>
      </w:pPr>
    </w:p>
    <w:p w14:paraId="5E3FE6BA">
      <w:pPr>
        <w:widowControl/>
        <w:spacing w:line="360" w:lineRule="auto"/>
        <w:ind w:firstLine="420"/>
        <w:rPr>
          <w:rFonts w:hint="eastAsia" w:ascii="宋体" w:hAnsi="宋体"/>
          <w:szCs w:val="21"/>
          <w:highlight w:val="none"/>
        </w:rPr>
      </w:pPr>
    </w:p>
    <w:p w14:paraId="196D3E9F">
      <w:pPr>
        <w:widowControl/>
        <w:spacing w:line="360" w:lineRule="auto"/>
        <w:ind w:firstLine="420"/>
        <w:rPr>
          <w:rFonts w:hint="eastAsia" w:ascii="宋体" w:hAnsi="宋体"/>
          <w:szCs w:val="21"/>
          <w:highlight w:val="none"/>
        </w:rPr>
      </w:pPr>
    </w:p>
    <w:p w14:paraId="147E70D5">
      <w:pPr>
        <w:widowControl/>
        <w:spacing w:line="360" w:lineRule="auto"/>
        <w:ind w:firstLine="420"/>
        <w:rPr>
          <w:rFonts w:hint="eastAsia" w:ascii="宋体" w:hAnsi="宋体"/>
          <w:szCs w:val="21"/>
          <w:highlight w:val="none"/>
        </w:rPr>
      </w:pPr>
    </w:p>
    <w:p w14:paraId="446A0AAD">
      <w:pPr>
        <w:widowControl/>
        <w:spacing w:line="360" w:lineRule="auto"/>
        <w:ind w:firstLine="420"/>
        <w:rPr>
          <w:rFonts w:hint="eastAsia" w:ascii="宋体" w:hAnsi="宋体"/>
          <w:szCs w:val="21"/>
          <w:highlight w:val="none"/>
        </w:rPr>
      </w:pPr>
    </w:p>
    <w:p w14:paraId="164C807B">
      <w:pPr>
        <w:widowControl/>
        <w:spacing w:line="360" w:lineRule="auto"/>
        <w:ind w:firstLine="420"/>
        <w:rPr>
          <w:rFonts w:hint="eastAsia" w:ascii="宋体" w:hAnsi="宋体"/>
          <w:szCs w:val="21"/>
          <w:highlight w:val="none"/>
        </w:rPr>
      </w:pPr>
    </w:p>
    <w:p w14:paraId="3B32B68B">
      <w:pPr>
        <w:widowControl/>
        <w:spacing w:line="360" w:lineRule="auto"/>
        <w:ind w:firstLine="420"/>
        <w:rPr>
          <w:rFonts w:hint="eastAsia" w:ascii="宋体" w:hAnsi="宋体"/>
          <w:szCs w:val="21"/>
          <w:highlight w:val="none"/>
        </w:rPr>
      </w:pPr>
    </w:p>
    <w:p w14:paraId="362E7A46">
      <w:pPr>
        <w:widowControl/>
        <w:spacing w:line="360" w:lineRule="auto"/>
        <w:ind w:firstLine="420"/>
        <w:rPr>
          <w:rFonts w:ascii="宋体" w:hAnsi="宋体"/>
          <w:szCs w:val="21"/>
          <w:highlight w:val="none"/>
        </w:rPr>
        <w:sectPr>
          <w:pgSz w:w="11906" w:h="16838"/>
          <w:pgMar w:top="1440" w:right="1366" w:bottom="1440" w:left="1300" w:header="851" w:footer="992" w:gutter="0"/>
          <w:cols w:space="720" w:num="1"/>
          <w:titlePg/>
        </w:sectPr>
      </w:pPr>
    </w:p>
    <w:p w14:paraId="45297F40">
      <w:pPr>
        <w:pStyle w:val="5"/>
        <w:spacing w:before="0" w:after="0" w:line="480" w:lineRule="auto"/>
        <w:jc w:val="center"/>
        <w:rPr>
          <w:rFonts w:hint="eastAsia" w:ascii="宋体" w:hAnsi="宋体"/>
          <w:highlight w:val="none"/>
        </w:rPr>
      </w:pPr>
      <w:bookmarkStart w:id="313" w:name="_Toc116229079"/>
      <w:bookmarkStart w:id="314" w:name="_Toc16651"/>
      <w:r>
        <w:rPr>
          <w:rFonts w:hint="eastAsia" w:ascii="宋体" w:hAnsi="宋体"/>
          <w:highlight w:val="none"/>
        </w:rPr>
        <w:t>第三部分 专用合同条款</w:t>
      </w:r>
      <w:bookmarkEnd w:id="313"/>
      <w:bookmarkEnd w:id="314"/>
    </w:p>
    <w:p w14:paraId="19D392EE">
      <w:pPr>
        <w:pStyle w:val="6"/>
        <w:spacing w:before="0" w:line="360" w:lineRule="auto"/>
        <w:rPr>
          <w:rFonts w:hint="eastAsia" w:ascii="宋体" w:hAnsi="宋体" w:cs="宋体"/>
          <w:bCs w:val="0"/>
          <w:sz w:val="21"/>
          <w:szCs w:val="21"/>
          <w:highlight w:val="none"/>
        </w:rPr>
      </w:pPr>
      <w:bookmarkStart w:id="315" w:name="_Toc116229080"/>
      <w:bookmarkStart w:id="316" w:name="_Toc18358"/>
      <w:r>
        <w:rPr>
          <w:rFonts w:hint="eastAsia" w:ascii="宋体" w:hAnsi="宋体" w:cs="宋体"/>
          <w:bCs w:val="0"/>
          <w:sz w:val="21"/>
          <w:szCs w:val="21"/>
          <w:highlight w:val="none"/>
        </w:rPr>
        <w:t>1</w:t>
      </w:r>
      <w:bookmarkStart w:id="317" w:name="_Toc296891196"/>
      <w:bookmarkStart w:id="318" w:name="_Toc296347155"/>
      <w:bookmarkStart w:id="319" w:name="_Toc297048342"/>
      <w:bookmarkStart w:id="320" w:name="_Toc292559361"/>
      <w:bookmarkStart w:id="321" w:name="_Toc297120456"/>
      <w:bookmarkStart w:id="322" w:name="_Toc296503156"/>
      <w:bookmarkStart w:id="323" w:name="_Toc296346657"/>
      <w:bookmarkStart w:id="324" w:name="_Toc296944495"/>
      <w:bookmarkStart w:id="325" w:name="_Toc292559866"/>
      <w:bookmarkStart w:id="326" w:name="_Toc296890984"/>
      <w:r>
        <w:rPr>
          <w:rFonts w:hint="eastAsia" w:ascii="宋体" w:hAnsi="宋体" w:cs="宋体"/>
          <w:bCs w:val="0"/>
          <w:sz w:val="21"/>
          <w:szCs w:val="21"/>
          <w:highlight w:val="none"/>
        </w:rPr>
        <w:t xml:space="preserve">. </w:t>
      </w:r>
      <w:bookmarkStart w:id="327" w:name="REVIEW_BM_1289"/>
      <w:r>
        <w:rPr>
          <w:rFonts w:hint="eastAsia" w:ascii="宋体" w:hAnsi="宋体" w:cs="宋体"/>
          <w:bCs w:val="0"/>
          <w:sz w:val="21"/>
          <w:szCs w:val="21"/>
          <w:highlight w:val="none"/>
        </w:rPr>
        <w:t>一般</w:t>
      </w:r>
      <w:bookmarkEnd w:id="327"/>
      <w:r>
        <w:rPr>
          <w:rFonts w:hint="eastAsia" w:ascii="宋体" w:hAnsi="宋体" w:cs="宋体"/>
          <w:bCs w:val="0"/>
          <w:sz w:val="21"/>
          <w:szCs w:val="21"/>
          <w:highlight w:val="none"/>
        </w:rPr>
        <w:t>约定</w:t>
      </w:r>
      <w:bookmarkEnd w:id="315"/>
      <w:bookmarkEnd w:id="316"/>
      <w:bookmarkEnd w:id="317"/>
      <w:bookmarkEnd w:id="318"/>
      <w:bookmarkEnd w:id="319"/>
      <w:bookmarkEnd w:id="320"/>
      <w:bookmarkEnd w:id="321"/>
      <w:bookmarkEnd w:id="322"/>
      <w:bookmarkEnd w:id="323"/>
      <w:bookmarkEnd w:id="324"/>
      <w:bookmarkEnd w:id="325"/>
      <w:bookmarkEnd w:id="326"/>
    </w:p>
    <w:p w14:paraId="6C839F0C">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1.1 词语定义</w:t>
      </w:r>
    </w:p>
    <w:p w14:paraId="3B1882FB">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1.1.1合同</w:t>
      </w:r>
    </w:p>
    <w:p w14:paraId="1645D3A5">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1.1.2 合同当事人及其他相关方</w:t>
      </w:r>
    </w:p>
    <w:p w14:paraId="35E3A454">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1.1.2.1 设计人：</w:t>
      </w:r>
    </w:p>
    <w:p w14:paraId="7C90FF9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名    称：</w:t>
      </w:r>
      <w:r>
        <w:rPr>
          <w:rFonts w:hint="eastAsia" w:ascii="宋体" w:hAnsi="宋体" w:cs="宋体"/>
          <w:b/>
          <w:bCs/>
          <w:szCs w:val="21"/>
          <w:highlight w:val="none"/>
          <w:u w:val="single"/>
        </w:rPr>
        <w:t xml:space="preserve"> </w:t>
      </w:r>
      <w:r>
        <w:rPr>
          <w:rFonts w:hint="eastAsia" w:ascii="宋体" w:hAnsi="宋体" w:cs="宋体"/>
          <w:b/>
          <w:bCs/>
          <w:szCs w:val="21"/>
          <w:highlight w:val="none"/>
          <w:u w:val="single"/>
          <w:lang w:val="en-US" w:eastAsia="zh-CN"/>
        </w:rPr>
        <w:t xml:space="preserve">  </w:t>
      </w:r>
      <w:r>
        <w:rPr>
          <w:rFonts w:hint="eastAsia" w:ascii="宋体" w:hAnsi="宋体" w:cs="宋体"/>
          <w:szCs w:val="21"/>
          <w:highlight w:val="none"/>
        </w:rPr>
        <w:t>；</w:t>
      </w:r>
    </w:p>
    <w:p w14:paraId="4B4282AA">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资质类别和等级：</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1E1BAB2E">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31066506">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  </w:t>
      </w:r>
      <w:r>
        <w:rPr>
          <w:rFonts w:hint="eastAsia" w:ascii="宋体" w:hAnsi="宋体" w:cs="宋体"/>
          <w:szCs w:val="21"/>
          <w:highlight w:val="none"/>
          <w:u w:val="single"/>
        </w:rPr>
        <w:t xml:space="preserve"> </w:t>
      </w:r>
      <w:r>
        <w:rPr>
          <w:rFonts w:hint="eastAsia" w:ascii="宋体" w:hAnsi="宋体" w:cs="宋体"/>
          <w:szCs w:val="21"/>
          <w:highlight w:val="none"/>
        </w:rPr>
        <w:t>；</w:t>
      </w:r>
    </w:p>
    <w:p w14:paraId="6B77B164">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70CCB2C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1.1.3 工程和设备</w:t>
      </w:r>
    </w:p>
    <w:p w14:paraId="6D28051F">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1.1.3.1 作为施工现场组成部分的其他场所包括：参照本合同通用条款执行。</w:t>
      </w:r>
    </w:p>
    <w:p w14:paraId="5C372266">
      <w:pPr>
        <w:widowControl/>
        <w:spacing w:line="360" w:lineRule="auto"/>
        <w:rPr>
          <w:rFonts w:hint="eastAsia" w:ascii="宋体" w:hAnsi="宋体" w:cs="宋体"/>
          <w:szCs w:val="21"/>
          <w:highlight w:val="none"/>
        </w:rPr>
      </w:pPr>
      <w:r>
        <w:rPr>
          <w:rFonts w:hint="eastAsia" w:ascii="宋体" w:hAnsi="宋体" w:cs="宋体"/>
          <w:szCs w:val="21"/>
          <w:highlight w:val="none"/>
        </w:rPr>
        <w:t xml:space="preserve">    1.1.3.2 永久占地包括：</w:t>
      </w:r>
      <w:r>
        <w:rPr>
          <w:rFonts w:hint="eastAsia" w:ascii="宋体" w:hAnsi="宋体" w:cs="宋体"/>
          <w:szCs w:val="21"/>
          <w:highlight w:val="none"/>
          <w:u w:val="single"/>
        </w:rPr>
        <w:t>参照本合同通用条款执行</w:t>
      </w:r>
      <w:r>
        <w:rPr>
          <w:rFonts w:hint="eastAsia" w:ascii="宋体" w:hAnsi="宋体" w:cs="宋体"/>
          <w:szCs w:val="21"/>
          <w:highlight w:val="none"/>
          <w:u w:val="single"/>
          <w:lang w:eastAsia="zh-CN"/>
        </w:rPr>
        <w:t>。</w:t>
      </w:r>
    </w:p>
    <w:p w14:paraId="6A895FA1">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1.1.3.3 临时占地包括：</w:t>
      </w:r>
      <w:r>
        <w:rPr>
          <w:rFonts w:hint="eastAsia" w:ascii="宋体" w:hAnsi="宋体" w:cs="宋体"/>
          <w:szCs w:val="21"/>
          <w:highlight w:val="none"/>
          <w:u w:val="single"/>
        </w:rPr>
        <w:t>参照本合同通用条款执行</w:t>
      </w:r>
      <w:r>
        <w:rPr>
          <w:rFonts w:hint="eastAsia" w:ascii="宋体" w:hAnsi="宋体" w:cs="宋体"/>
          <w:szCs w:val="21"/>
          <w:highlight w:val="none"/>
          <w:u w:val="single"/>
          <w:lang w:eastAsia="zh-CN"/>
        </w:rPr>
        <w:t>。</w:t>
      </w:r>
    </w:p>
    <w:p w14:paraId="2F286CF5">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 xml:space="preserve">1.2法律 </w:t>
      </w:r>
    </w:p>
    <w:p w14:paraId="33E2A1CC">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适用于合同的其他规范性文件：现行《中华人民共和国建筑法</w:t>
      </w:r>
      <w:bookmarkStart w:id="328" w:name="REVIEW_BM_1290"/>
      <w:r>
        <w:rPr>
          <w:rFonts w:hint="eastAsia" w:ascii="宋体" w:hAnsi="宋体" w:cs="宋体"/>
          <w:szCs w:val="21"/>
          <w:highlight w:val="none"/>
        </w:rPr>
        <w:t>》、《</w:t>
      </w:r>
      <w:bookmarkEnd w:id="328"/>
      <w:r>
        <w:rPr>
          <w:rFonts w:hint="eastAsia" w:ascii="宋体" w:hAnsi="宋体" w:cs="宋体"/>
          <w:szCs w:val="21"/>
          <w:highlight w:val="none"/>
        </w:rPr>
        <w:t>中华人民共和国民法典</w:t>
      </w:r>
      <w:bookmarkStart w:id="329" w:name="REVIEW_BM_1291"/>
      <w:r>
        <w:rPr>
          <w:rFonts w:hint="eastAsia" w:ascii="宋体" w:hAnsi="宋体" w:cs="宋体"/>
          <w:szCs w:val="21"/>
          <w:highlight w:val="none"/>
        </w:rPr>
        <w:t>》、《</w:t>
      </w:r>
      <w:bookmarkEnd w:id="329"/>
      <w:r>
        <w:rPr>
          <w:rFonts w:hint="eastAsia" w:ascii="宋体" w:hAnsi="宋体" w:cs="宋体"/>
          <w:szCs w:val="21"/>
          <w:highlight w:val="none"/>
        </w:rPr>
        <w:t>中华人民共和国招标投标法</w:t>
      </w:r>
      <w:bookmarkStart w:id="330" w:name="REVIEW_BM_1292"/>
      <w:r>
        <w:rPr>
          <w:rFonts w:hint="eastAsia" w:ascii="宋体" w:hAnsi="宋体" w:cs="宋体"/>
          <w:szCs w:val="21"/>
          <w:highlight w:val="none"/>
        </w:rPr>
        <w:t>》、《</w:t>
      </w:r>
      <w:bookmarkEnd w:id="330"/>
      <w:r>
        <w:rPr>
          <w:rFonts w:hint="eastAsia" w:ascii="宋体" w:hAnsi="宋体" w:cs="宋体"/>
          <w:szCs w:val="21"/>
          <w:highlight w:val="none"/>
        </w:rPr>
        <w:t>建筑施工合同管理办法》以及合同签订时现行的国家法律和行政法规、工程所在地政府的有关法规和规章及规范性文件。</w:t>
      </w:r>
    </w:p>
    <w:p w14:paraId="2C2E345E">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1.3 标准和规范</w:t>
      </w:r>
    </w:p>
    <w:p w14:paraId="0714236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1.3.1适用于工程的标准规范包括：</w:t>
      </w:r>
      <w:r>
        <w:rPr>
          <w:rFonts w:hint="eastAsia" w:ascii="宋体" w:hAnsi="宋体" w:cs="宋体"/>
          <w:szCs w:val="21"/>
          <w:highlight w:val="none"/>
          <w:u w:val="single"/>
        </w:rPr>
        <w:t xml:space="preserve"> 现行的国家、行业以及地方规范、标准和规程现行的国家、行业和地方现行标准、规范和规程等</w:t>
      </w:r>
      <w:r>
        <w:rPr>
          <w:rFonts w:hint="eastAsia" w:ascii="宋体" w:hAnsi="宋体" w:cs="宋体"/>
          <w:szCs w:val="21"/>
          <w:highlight w:val="none"/>
        </w:rPr>
        <w:t>。</w:t>
      </w:r>
    </w:p>
    <w:p w14:paraId="4A368F07">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 xml:space="preserve">1.3.2 </w:t>
      </w:r>
      <w:bookmarkStart w:id="331" w:name="REVIEW_BM_1293"/>
      <w:r>
        <w:rPr>
          <w:rFonts w:hint="eastAsia" w:ascii="宋体" w:hAnsi="宋体" w:cs="宋体"/>
          <w:szCs w:val="21"/>
          <w:highlight w:val="none"/>
        </w:rPr>
        <w:t>发包人</w:t>
      </w:r>
      <w:bookmarkEnd w:id="331"/>
      <w:r>
        <w:rPr>
          <w:rFonts w:hint="eastAsia" w:ascii="宋体" w:hAnsi="宋体" w:cs="宋体"/>
          <w:szCs w:val="21"/>
          <w:highlight w:val="none"/>
        </w:rPr>
        <w:t>提供</w:t>
      </w:r>
      <w:bookmarkStart w:id="332" w:name="REVIEW_BM_1294"/>
      <w:r>
        <w:rPr>
          <w:rFonts w:hint="eastAsia" w:ascii="宋体" w:hAnsi="宋体" w:cs="宋体"/>
          <w:szCs w:val="21"/>
          <w:highlight w:val="none"/>
        </w:rPr>
        <w:t>国外</w:t>
      </w:r>
      <w:bookmarkEnd w:id="332"/>
      <w:r>
        <w:rPr>
          <w:rFonts w:hint="eastAsia" w:ascii="宋体" w:hAnsi="宋体" w:cs="宋体"/>
          <w:szCs w:val="21"/>
          <w:highlight w:val="none"/>
        </w:rPr>
        <w:t>标准、规范的名称：</w:t>
      </w:r>
      <w:r>
        <w:rPr>
          <w:rFonts w:hint="eastAsia" w:ascii="宋体" w:hAnsi="宋体" w:cs="宋体"/>
          <w:szCs w:val="21"/>
          <w:highlight w:val="none"/>
          <w:u w:val="single"/>
        </w:rPr>
        <w:t>无</w:t>
      </w:r>
    </w:p>
    <w:p w14:paraId="499EC9B4">
      <w:pPr>
        <w:widowControl/>
        <w:spacing w:line="360" w:lineRule="auto"/>
        <w:ind w:firstLine="420"/>
        <w:rPr>
          <w:rFonts w:hint="eastAsia" w:ascii="宋体" w:hAnsi="宋体" w:cs="宋体"/>
          <w:szCs w:val="21"/>
          <w:highlight w:val="none"/>
        </w:rPr>
      </w:pPr>
      <w:bookmarkStart w:id="333" w:name="REVIEW_BM_1295"/>
      <w:r>
        <w:rPr>
          <w:rFonts w:hint="eastAsia" w:ascii="宋体" w:hAnsi="宋体" w:cs="宋体"/>
          <w:szCs w:val="21"/>
          <w:highlight w:val="none"/>
        </w:rPr>
        <w:t>发包人</w:t>
      </w:r>
      <w:bookmarkEnd w:id="333"/>
      <w:r>
        <w:rPr>
          <w:rFonts w:hint="eastAsia" w:ascii="宋体" w:hAnsi="宋体" w:cs="宋体"/>
          <w:szCs w:val="21"/>
          <w:highlight w:val="none"/>
        </w:rPr>
        <w:t>提供</w:t>
      </w:r>
      <w:bookmarkStart w:id="334" w:name="REVIEW_BM_1296"/>
      <w:r>
        <w:rPr>
          <w:rFonts w:hint="eastAsia" w:ascii="宋体" w:hAnsi="宋体" w:cs="宋体"/>
          <w:szCs w:val="21"/>
          <w:highlight w:val="none"/>
        </w:rPr>
        <w:t>国外</w:t>
      </w:r>
      <w:bookmarkEnd w:id="334"/>
      <w:r>
        <w:rPr>
          <w:rFonts w:hint="eastAsia" w:ascii="宋体" w:hAnsi="宋体" w:cs="宋体"/>
          <w:szCs w:val="21"/>
          <w:highlight w:val="none"/>
        </w:rPr>
        <w:t>标准、规范的份数：</w:t>
      </w:r>
      <w:r>
        <w:rPr>
          <w:rFonts w:hint="eastAsia" w:ascii="宋体" w:hAnsi="宋体" w:cs="宋体"/>
          <w:szCs w:val="21"/>
          <w:highlight w:val="none"/>
          <w:u w:val="single"/>
        </w:rPr>
        <w:t>无</w:t>
      </w:r>
    </w:p>
    <w:p w14:paraId="10A3250D">
      <w:pPr>
        <w:widowControl/>
        <w:spacing w:line="360" w:lineRule="auto"/>
        <w:ind w:firstLine="420"/>
        <w:rPr>
          <w:rFonts w:hint="eastAsia" w:ascii="宋体" w:hAnsi="宋体" w:cs="宋体"/>
          <w:szCs w:val="21"/>
          <w:highlight w:val="none"/>
        </w:rPr>
      </w:pPr>
      <w:bookmarkStart w:id="335" w:name="REVIEW_BM_1297"/>
      <w:r>
        <w:rPr>
          <w:rFonts w:hint="eastAsia" w:ascii="宋体" w:hAnsi="宋体" w:cs="宋体"/>
          <w:szCs w:val="21"/>
          <w:highlight w:val="none"/>
        </w:rPr>
        <w:t>发包人</w:t>
      </w:r>
      <w:bookmarkEnd w:id="335"/>
      <w:r>
        <w:rPr>
          <w:rFonts w:hint="eastAsia" w:ascii="宋体" w:hAnsi="宋体" w:cs="宋体"/>
          <w:szCs w:val="21"/>
          <w:highlight w:val="none"/>
        </w:rPr>
        <w:t>提供</w:t>
      </w:r>
      <w:bookmarkStart w:id="336" w:name="REVIEW_BM_1298"/>
      <w:r>
        <w:rPr>
          <w:rFonts w:hint="eastAsia" w:ascii="宋体" w:hAnsi="宋体" w:cs="宋体"/>
          <w:szCs w:val="21"/>
          <w:highlight w:val="none"/>
        </w:rPr>
        <w:t>国外</w:t>
      </w:r>
      <w:bookmarkEnd w:id="336"/>
      <w:r>
        <w:rPr>
          <w:rFonts w:hint="eastAsia" w:ascii="宋体" w:hAnsi="宋体" w:cs="宋体"/>
          <w:szCs w:val="21"/>
          <w:highlight w:val="none"/>
        </w:rPr>
        <w:t>标准、规范的名称：</w:t>
      </w:r>
      <w:r>
        <w:rPr>
          <w:rFonts w:hint="eastAsia" w:ascii="宋体" w:hAnsi="宋体" w:cs="宋体"/>
          <w:szCs w:val="21"/>
          <w:highlight w:val="none"/>
          <w:u w:val="single"/>
        </w:rPr>
        <w:t>无</w:t>
      </w:r>
    </w:p>
    <w:p w14:paraId="29362313">
      <w:pPr>
        <w:widowControl/>
        <w:spacing w:line="360" w:lineRule="auto"/>
        <w:ind w:firstLine="420"/>
        <w:rPr>
          <w:rFonts w:hint="eastAsia" w:ascii="宋体" w:hAnsi="宋体" w:eastAsia="宋体" w:cs="宋体"/>
          <w:szCs w:val="21"/>
          <w:highlight w:val="none"/>
          <w:lang w:eastAsia="zh-CN"/>
        </w:rPr>
      </w:pPr>
      <w:r>
        <w:rPr>
          <w:rFonts w:hint="eastAsia" w:ascii="宋体" w:hAnsi="宋体" w:cs="宋体"/>
          <w:szCs w:val="21"/>
          <w:highlight w:val="none"/>
        </w:rPr>
        <w:t>1.3.3</w:t>
      </w:r>
      <w:bookmarkStart w:id="337" w:name="REVIEW_BM_1299"/>
      <w:r>
        <w:rPr>
          <w:rFonts w:hint="eastAsia" w:ascii="宋体" w:hAnsi="宋体" w:cs="宋体"/>
          <w:szCs w:val="21"/>
          <w:highlight w:val="none"/>
        </w:rPr>
        <w:t>发包人</w:t>
      </w:r>
      <w:bookmarkEnd w:id="337"/>
      <w:r>
        <w:rPr>
          <w:rFonts w:hint="eastAsia" w:ascii="宋体" w:hAnsi="宋体" w:cs="宋体"/>
          <w:szCs w:val="21"/>
          <w:highlight w:val="none"/>
        </w:rPr>
        <w:t>对工程的技术标准和功能要求的特殊要求：</w:t>
      </w:r>
      <w:r>
        <w:rPr>
          <w:rFonts w:hint="eastAsia" w:ascii="宋体" w:hAnsi="宋体" w:cs="宋体"/>
          <w:szCs w:val="21"/>
          <w:highlight w:val="none"/>
          <w:u w:val="single"/>
          <w:lang w:eastAsia="zh-CN"/>
        </w:rPr>
        <w:t xml:space="preserve"> 现行的国家标准、规范，行业、地方标准、规范由</w:t>
      </w:r>
      <w:bookmarkStart w:id="338" w:name="REVIEW_BM_1300"/>
      <w:r>
        <w:rPr>
          <w:rFonts w:hint="eastAsia" w:ascii="宋体" w:hAnsi="宋体" w:cs="宋体"/>
          <w:szCs w:val="21"/>
          <w:highlight w:val="none"/>
          <w:u w:val="single"/>
          <w:lang w:eastAsia="zh-CN"/>
        </w:rPr>
        <w:t>承包人</w:t>
      </w:r>
      <w:bookmarkEnd w:id="338"/>
      <w:r>
        <w:rPr>
          <w:rFonts w:hint="eastAsia" w:ascii="宋体" w:hAnsi="宋体" w:cs="宋体"/>
          <w:szCs w:val="21"/>
          <w:highlight w:val="none"/>
          <w:u w:val="single"/>
          <w:lang w:eastAsia="zh-CN"/>
        </w:rPr>
        <w:t>自行收集，费用包含在投标价内。</w:t>
      </w:r>
    </w:p>
    <w:p w14:paraId="4660A703">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1.4 合同文件的优先顺序</w:t>
      </w:r>
    </w:p>
    <w:p w14:paraId="6689AF3D">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合同文件组成及优先顺序为：</w:t>
      </w:r>
    </w:p>
    <w:p w14:paraId="7792A0C5">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(1)合同协议书；</w:t>
      </w:r>
    </w:p>
    <w:p w14:paraId="49CBF05B">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(2)专用合同条款；</w:t>
      </w:r>
    </w:p>
    <w:p w14:paraId="4DB8008C">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(3)通用合同条款；</w:t>
      </w:r>
    </w:p>
    <w:p w14:paraId="66BD3F17">
      <w:pPr>
        <w:widowControl/>
        <w:spacing w:line="360" w:lineRule="auto"/>
        <w:ind w:firstLine="420"/>
        <w:rPr>
          <w:rFonts w:hint="eastAsia" w:ascii="宋体" w:hAnsi="宋体" w:cs="宋体"/>
          <w:szCs w:val="21"/>
          <w:highlight w:val="none"/>
        </w:rPr>
      </w:pPr>
      <w:bookmarkStart w:id="339" w:name="_Toc251051638"/>
      <w:r>
        <w:rPr>
          <w:rFonts w:hint="eastAsia" w:ascii="宋体" w:hAnsi="宋体" w:cs="宋体"/>
          <w:szCs w:val="21"/>
          <w:highlight w:val="none"/>
        </w:rPr>
        <w:t>(4)标准、规范及有关技术文件</w:t>
      </w:r>
      <w:bookmarkEnd w:id="339"/>
      <w:r>
        <w:rPr>
          <w:rFonts w:hint="eastAsia" w:ascii="宋体" w:hAnsi="宋体" w:cs="宋体"/>
          <w:szCs w:val="21"/>
          <w:highlight w:val="none"/>
        </w:rPr>
        <w:t>；</w:t>
      </w:r>
    </w:p>
    <w:p w14:paraId="0EE26944">
      <w:pPr>
        <w:widowControl/>
        <w:spacing w:line="360" w:lineRule="auto"/>
        <w:ind w:firstLine="420"/>
        <w:rPr>
          <w:rFonts w:hint="eastAsia" w:ascii="宋体" w:hAnsi="宋体" w:cs="宋体"/>
          <w:szCs w:val="21"/>
          <w:highlight w:val="none"/>
        </w:rPr>
      </w:pPr>
      <w:bookmarkStart w:id="340" w:name="_Toc251051639"/>
      <w:r>
        <w:rPr>
          <w:rFonts w:hint="eastAsia" w:ascii="宋体" w:hAnsi="宋体" w:cs="宋体"/>
          <w:szCs w:val="21"/>
          <w:highlight w:val="none"/>
        </w:rPr>
        <w:t>(5)</w:t>
      </w:r>
      <w:bookmarkEnd w:id="340"/>
      <w:r>
        <w:rPr>
          <w:rFonts w:hint="eastAsia" w:ascii="宋体" w:hAnsi="宋体" w:cs="宋体"/>
          <w:szCs w:val="21"/>
          <w:highlight w:val="none"/>
          <w:lang w:eastAsia="zh-CN"/>
        </w:rPr>
        <w:t>施工方案</w:t>
      </w:r>
      <w:r>
        <w:rPr>
          <w:rFonts w:hint="eastAsia" w:ascii="宋体" w:hAnsi="宋体" w:cs="宋体"/>
          <w:szCs w:val="21"/>
          <w:highlight w:val="none"/>
        </w:rPr>
        <w:t>；</w:t>
      </w:r>
    </w:p>
    <w:p w14:paraId="2364FBA6">
      <w:pPr>
        <w:widowControl/>
        <w:spacing w:line="360" w:lineRule="auto"/>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lang w:val="en-US" w:eastAsia="zh-CN"/>
        </w:rPr>
        <w:t xml:space="preserve"> (6)</w:t>
      </w:r>
      <w:r>
        <w:rPr>
          <w:rFonts w:hint="eastAsia" w:ascii="宋体" w:hAnsi="宋体" w:cs="宋体"/>
          <w:szCs w:val="21"/>
          <w:highlight w:val="none"/>
        </w:rPr>
        <w:t>经批准的施工组织设计、施工方案；</w:t>
      </w:r>
      <w:bookmarkStart w:id="341" w:name="_Toc251051642"/>
      <w:bookmarkEnd w:id="341"/>
    </w:p>
    <w:p w14:paraId="259A5898">
      <w:pPr>
        <w:widowControl/>
        <w:spacing w:line="360" w:lineRule="auto"/>
        <w:ind w:firstLine="424"/>
        <w:rPr>
          <w:rFonts w:hint="eastAsia" w:ascii="宋体" w:hAnsi="宋体" w:cs="宋体"/>
          <w:szCs w:val="21"/>
          <w:highlight w:val="none"/>
        </w:rPr>
      </w:pPr>
      <w:r>
        <w:rPr>
          <w:rFonts w:hint="eastAsia" w:ascii="宋体" w:hAnsi="宋体" w:cs="宋体"/>
          <w:szCs w:val="21"/>
          <w:highlight w:val="none"/>
          <w:lang w:val="en-US" w:eastAsia="zh-CN"/>
        </w:rPr>
        <w:t>(7)</w:t>
      </w:r>
      <w:r>
        <w:rPr>
          <w:rFonts w:hint="eastAsia" w:ascii="宋体" w:hAnsi="宋体" w:cs="宋体"/>
          <w:szCs w:val="21"/>
          <w:highlight w:val="none"/>
        </w:rPr>
        <w:t xml:space="preserve">其他。      </w:t>
      </w:r>
    </w:p>
    <w:p w14:paraId="2FD9EC22">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1.5图纸和</w:t>
      </w:r>
      <w:bookmarkStart w:id="342" w:name="REVIEW_BM_1301"/>
      <w:r>
        <w:rPr>
          <w:rFonts w:hint="eastAsia" w:ascii="宋体" w:hAnsi="宋体" w:cs="宋体"/>
          <w:b/>
          <w:szCs w:val="21"/>
          <w:highlight w:val="none"/>
        </w:rPr>
        <w:t>承包人</w:t>
      </w:r>
      <w:bookmarkEnd w:id="342"/>
      <w:r>
        <w:rPr>
          <w:rFonts w:hint="eastAsia" w:ascii="宋体" w:hAnsi="宋体" w:cs="宋体"/>
          <w:b/>
          <w:szCs w:val="21"/>
          <w:highlight w:val="none"/>
        </w:rPr>
        <w:t>文件</w:t>
      </w:r>
      <w:r>
        <w:rPr>
          <w:rFonts w:hint="eastAsia" w:ascii="宋体" w:hAnsi="宋体" w:cs="宋体"/>
          <w:b/>
          <w:szCs w:val="21"/>
          <w:highlight w:val="none"/>
        </w:rPr>
        <w:tab/>
      </w:r>
    </w:p>
    <w:p w14:paraId="4500C6A6">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1.5.1 图纸的提供</w:t>
      </w:r>
    </w:p>
    <w:p w14:paraId="74D281D1">
      <w:pPr>
        <w:widowControl/>
        <w:spacing w:line="360" w:lineRule="auto"/>
        <w:ind w:firstLine="420"/>
        <w:rPr>
          <w:rFonts w:hint="eastAsia" w:ascii="宋体" w:hAnsi="宋体" w:cs="宋体"/>
          <w:szCs w:val="21"/>
          <w:highlight w:val="none"/>
        </w:rPr>
      </w:pPr>
      <w:bookmarkStart w:id="343" w:name="REVIEW_BM_1303"/>
      <w:r>
        <w:rPr>
          <w:rFonts w:hint="eastAsia" w:ascii="宋体" w:hAnsi="宋体" w:cs="宋体"/>
          <w:szCs w:val="21"/>
          <w:highlight w:val="none"/>
        </w:rPr>
        <w:t>发包人</w:t>
      </w:r>
      <w:bookmarkEnd w:id="343"/>
      <w:r>
        <w:rPr>
          <w:rFonts w:hint="eastAsia" w:ascii="宋体" w:hAnsi="宋体" w:cs="宋体"/>
          <w:szCs w:val="21"/>
          <w:highlight w:val="none"/>
        </w:rPr>
        <w:t>向</w:t>
      </w:r>
      <w:bookmarkStart w:id="344" w:name="REVIEW_BM_1304"/>
      <w:r>
        <w:rPr>
          <w:rFonts w:hint="eastAsia" w:ascii="宋体" w:hAnsi="宋体" w:cs="宋体"/>
          <w:szCs w:val="21"/>
          <w:highlight w:val="none"/>
        </w:rPr>
        <w:t>承包人</w:t>
      </w:r>
      <w:bookmarkEnd w:id="344"/>
      <w:r>
        <w:rPr>
          <w:rFonts w:hint="eastAsia" w:ascii="宋体" w:hAnsi="宋体" w:cs="宋体"/>
          <w:szCs w:val="21"/>
          <w:highlight w:val="none"/>
        </w:rPr>
        <w:t>提供图纸的期限：</w:t>
      </w:r>
      <w:r>
        <w:rPr>
          <w:rFonts w:hint="eastAsia" w:ascii="宋体" w:hAnsi="宋体" w:cs="宋体"/>
          <w:szCs w:val="21"/>
          <w:highlight w:val="none"/>
          <w:u w:val="single"/>
        </w:rPr>
        <w:t xml:space="preserve">   </w:t>
      </w:r>
      <w:bookmarkStart w:id="345" w:name="REVIEW_BM_1302"/>
      <w:r>
        <w:rPr>
          <w:rFonts w:hint="eastAsia" w:ascii="宋体" w:hAnsi="宋体" w:cs="宋体"/>
          <w:szCs w:val="21"/>
          <w:highlight w:val="none"/>
          <w:u w:val="single"/>
        </w:rPr>
        <w:t>合同签定</w:t>
      </w:r>
      <w:bookmarkEnd w:id="345"/>
      <w:r>
        <w:rPr>
          <w:rFonts w:hint="eastAsia" w:ascii="宋体" w:hAnsi="宋体" w:cs="宋体"/>
          <w:szCs w:val="21"/>
          <w:highlight w:val="none"/>
          <w:u w:val="single"/>
        </w:rPr>
        <w:t xml:space="preserve">后7天内   </w:t>
      </w:r>
      <w:r>
        <w:rPr>
          <w:rFonts w:hint="eastAsia" w:ascii="宋体" w:hAnsi="宋体" w:cs="宋体"/>
          <w:szCs w:val="21"/>
          <w:highlight w:val="none"/>
        </w:rPr>
        <w:t>；</w:t>
      </w:r>
    </w:p>
    <w:p w14:paraId="60B8338E">
      <w:pPr>
        <w:widowControl/>
        <w:spacing w:line="360" w:lineRule="auto"/>
        <w:ind w:firstLine="420"/>
        <w:rPr>
          <w:rFonts w:hint="eastAsia" w:ascii="宋体" w:hAnsi="宋体" w:cs="宋体"/>
          <w:szCs w:val="21"/>
          <w:highlight w:val="none"/>
        </w:rPr>
      </w:pPr>
      <w:bookmarkStart w:id="346" w:name="REVIEW_BM_1305"/>
      <w:r>
        <w:rPr>
          <w:rFonts w:hint="eastAsia" w:ascii="宋体" w:hAnsi="宋体" w:cs="宋体"/>
          <w:szCs w:val="21"/>
          <w:highlight w:val="none"/>
        </w:rPr>
        <w:t>发包人</w:t>
      </w:r>
      <w:bookmarkEnd w:id="346"/>
      <w:r>
        <w:rPr>
          <w:rFonts w:hint="eastAsia" w:ascii="宋体" w:hAnsi="宋体" w:cs="宋体"/>
          <w:szCs w:val="21"/>
          <w:highlight w:val="none"/>
        </w:rPr>
        <w:t>向</w:t>
      </w:r>
      <w:bookmarkStart w:id="347" w:name="REVIEW_BM_1307"/>
      <w:r>
        <w:rPr>
          <w:rFonts w:hint="eastAsia" w:ascii="宋体" w:hAnsi="宋体" w:cs="宋体"/>
          <w:szCs w:val="21"/>
          <w:highlight w:val="none"/>
        </w:rPr>
        <w:t>承包人</w:t>
      </w:r>
      <w:bookmarkEnd w:id="347"/>
      <w:r>
        <w:rPr>
          <w:rFonts w:hint="eastAsia" w:ascii="宋体" w:hAnsi="宋体" w:cs="宋体"/>
          <w:szCs w:val="21"/>
          <w:highlight w:val="none"/>
        </w:rPr>
        <w:t>提供图纸的数量：</w:t>
      </w:r>
      <w:r>
        <w:rPr>
          <w:rFonts w:hint="eastAsia" w:ascii="宋体" w:hAnsi="宋体" w:cs="宋体"/>
          <w:szCs w:val="21"/>
          <w:highlight w:val="none"/>
          <w:u w:val="single"/>
        </w:rPr>
        <w:t>壹套，</w:t>
      </w:r>
      <w:bookmarkStart w:id="348" w:name="REVIEW_BM_1308"/>
      <w:r>
        <w:rPr>
          <w:rFonts w:hint="eastAsia" w:ascii="宋体" w:hAnsi="宋体" w:cs="宋体"/>
          <w:szCs w:val="21"/>
          <w:highlight w:val="none"/>
          <w:u w:val="single"/>
        </w:rPr>
        <w:t>承包人</w:t>
      </w:r>
      <w:bookmarkEnd w:id="348"/>
      <w:r>
        <w:rPr>
          <w:rFonts w:hint="eastAsia" w:ascii="宋体" w:hAnsi="宋体" w:cs="宋体"/>
          <w:szCs w:val="21"/>
          <w:highlight w:val="none"/>
          <w:u w:val="single"/>
        </w:rPr>
        <w:t>需要增加图纸套数的，</w:t>
      </w:r>
      <w:bookmarkStart w:id="349" w:name="REVIEW_BM_1306"/>
      <w:r>
        <w:rPr>
          <w:rFonts w:hint="eastAsia" w:ascii="宋体" w:hAnsi="宋体" w:cs="宋体"/>
          <w:szCs w:val="21"/>
          <w:highlight w:val="none"/>
          <w:u w:val="single"/>
        </w:rPr>
        <w:t>发包人</w:t>
      </w:r>
      <w:bookmarkEnd w:id="349"/>
      <w:r>
        <w:rPr>
          <w:rFonts w:hint="eastAsia" w:ascii="宋体" w:hAnsi="宋体" w:cs="宋体"/>
          <w:szCs w:val="21"/>
          <w:highlight w:val="none"/>
          <w:u w:val="single"/>
        </w:rPr>
        <w:t>可代为复制，复制费用由</w:t>
      </w:r>
      <w:bookmarkStart w:id="350" w:name="REVIEW_BM_1309"/>
      <w:r>
        <w:rPr>
          <w:rFonts w:hint="eastAsia" w:ascii="宋体" w:hAnsi="宋体" w:cs="宋体"/>
          <w:szCs w:val="21"/>
          <w:highlight w:val="none"/>
          <w:u w:val="single"/>
        </w:rPr>
        <w:t>承包人</w:t>
      </w:r>
      <w:bookmarkEnd w:id="350"/>
      <w:r>
        <w:rPr>
          <w:rFonts w:hint="eastAsia" w:ascii="宋体" w:hAnsi="宋体" w:cs="宋体"/>
          <w:szCs w:val="21"/>
          <w:highlight w:val="none"/>
          <w:u w:val="single"/>
        </w:rPr>
        <w:t>承担</w:t>
      </w:r>
      <w:r>
        <w:rPr>
          <w:rFonts w:hint="eastAsia" w:ascii="宋体" w:hAnsi="宋体" w:cs="宋体"/>
          <w:szCs w:val="21"/>
          <w:highlight w:val="none"/>
        </w:rPr>
        <w:t>；</w:t>
      </w:r>
    </w:p>
    <w:p w14:paraId="7B25EA76">
      <w:pPr>
        <w:widowControl/>
        <w:spacing w:line="360" w:lineRule="auto"/>
        <w:ind w:firstLine="420"/>
        <w:rPr>
          <w:rFonts w:hint="eastAsia" w:ascii="宋体" w:hAnsi="宋体" w:cs="宋体"/>
          <w:szCs w:val="21"/>
          <w:highlight w:val="none"/>
        </w:rPr>
      </w:pPr>
      <w:bookmarkStart w:id="351" w:name="REVIEW_BM_1310"/>
      <w:r>
        <w:rPr>
          <w:rFonts w:hint="eastAsia" w:ascii="宋体" w:hAnsi="宋体" w:cs="宋体"/>
          <w:szCs w:val="21"/>
          <w:highlight w:val="none"/>
        </w:rPr>
        <w:t>发包人</w:t>
      </w:r>
      <w:bookmarkEnd w:id="351"/>
      <w:r>
        <w:rPr>
          <w:rFonts w:hint="eastAsia" w:ascii="宋体" w:hAnsi="宋体" w:cs="宋体"/>
          <w:szCs w:val="21"/>
          <w:highlight w:val="none"/>
        </w:rPr>
        <w:t>向</w:t>
      </w:r>
      <w:bookmarkStart w:id="352" w:name="REVIEW_BM_1311"/>
      <w:r>
        <w:rPr>
          <w:rFonts w:hint="eastAsia" w:ascii="宋体" w:hAnsi="宋体" w:cs="宋体"/>
          <w:szCs w:val="21"/>
          <w:highlight w:val="none"/>
        </w:rPr>
        <w:t>承包人</w:t>
      </w:r>
      <w:bookmarkEnd w:id="352"/>
      <w:r>
        <w:rPr>
          <w:rFonts w:hint="eastAsia" w:ascii="宋体" w:hAnsi="宋体" w:cs="宋体"/>
          <w:szCs w:val="21"/>
          <w:highlight w:val="none"/>
        </w:rPr>
        <w:t>提供图纸的内容：</w:t>
      </w:r>
      <w:r>
        <w:rPr>
          <w:rFonts w:hint="eastAsia" w:ascii="宋体" w:hAnsi="宋体" w:cs="宋体"/>
          <w:szCs w:val="21"/>
          <w:highlight w:val="none"/>
          <w:u w:val="single"/>
        </w:rPr>
        <w:t>合同工程内容的全套</w:t>
      </w:r>
      <w:r>
        <w:rPr>
          <w:rFonts w:hint="eastAsia" w:ascii="宋体" w:hAnsi="宋体" w:cs="宋体"/>
          <w:szCs w:val="21"/>
          <w:highlight w:val="none"/>
          <w:u w:val="single"/>
          <w:lang w:val="en-US" w:eastAsia="zh-CN"/>
        </w:rPr>
        <w:t>图纸</w:t>
      </w:r>
      <w:r>
        <w:rPr>
          <w:rFonts w:hint="eastAsia" w:ascii="宋体" w:hAnsi="宋体" w:cs="宋体"/>
          <w:szCs w:val="21"/>
          <w:highlight w:val="none"/>
          <w:u w:val="single"/>
        </w:rPr>
        <w:t>及相关技术资料</w:t>
      </w:r>
      <w:r>
        <w:rPr>
          <w:rFonts w:hint="eastAsia" w:ascii="宋体" w:hAnsi="宋体" w:cs="宋体"/>
          <w:szCs w:val="21"/>
          <w:highlight w:val="none"/>
        </w:rPr>
        <w:t>。</w:t>
      </w:r>
    </w:p>
    <w:p w14:paraId="759C873D">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1.5.2 </w:t>
      </w:r>
      <w:bookmarkStart w:id="353" w:name="REVIEW_BM_1312"/>
      <w:r>
        <w:rPr>
          <w:rFonts w:hint="eastAsia" w:ascii="宋体" w:hAnsi="宋体" w:cs="宋体"/>
          <w:szCs w:val="21"/>
          <w:highlight w:val="none"/>
        </w:rPr>
        <w:t>承包人</w:t>
      </w:r>
      <w:bookmarkEnd w:id="353"/>
      <w:r>
        <w:rPr>
          <w:rFonts w:hint="eastAsia" w:ascii="宋体" w:hAnsi="宋体" w:cs="宋体"/>
          <w:szCs w:val="21"/>
          <w:highlight w:val="none"/>
        </w:rPr>
        <w:t>文件</w:t>
      </w:r>
    </w:p>
    <w:p w14:paraId="422A2047">
      <w:pPr>
        <w:widowControl/>
        <w:spacing w:line="360" w:lineRule="auto"/>
        <w:ind w:firstLine="420"/>
        <w:rPr>
          <w:rFonts w:hint="eastAsia" w:ascii="宋体" w:hAnsi="宋体" w:eastAsia="宋体" w:cs="宋体"/>
          <w:szCs w:val="21"/>
          <w:highlight w:val="none"/>
        </w:rPr>
      </w:pPr>
      <w:r>
        <w:rPr>
          <w:rFonts w:hint="eastAsia" w:ascii="宋体" w:hAnsi="宋体" w:cs="宋体"/>
          <w:szCs w:val="21"/>
          <w:highlight w:val="none"/>
        </w:rPr>
        <w:t>需要由</w:t>
      </w:r>
      <w:bookmarkStart w:id="354" w:name="REVIEW_BM_1313"/>
      <w:r>
        <w:rPr>
          <w:rFonts w:hint="eastAsia" w:ascii="宋体" w:hAnsi="宋体" w:cs="宋体"/>
          <w:szCs w:val="21"/>
          <w:highlight w:val="none"/>
        </w:rPr>
        <w:t>承包人</w:t>
      </w:r>
      <w:bookmarkEnd w:id="354"/>
      <w:r>
        <w:rPr>
          <w:rFonts w:hint="eastAsia" w:ascii="宋体" w:hAnsi="宋体" w:cs="宋体"/>
          <w:szCs w:val="21"/>
          <w:highlight w:val="none"/>
        </w:rPr>
        <w:t>提供的文件，</w:t>
      </w:r>
      <w:r>
        <w:rPr>
          <w:rFonts w:hint="eastAsia" w:ascii="宋体" w:hAnsi="宋体" w:eastAsia="宋体" w:cs="宋体"/>
          <w:szCs w:val="21"/>
          <w:highlight w:val="none"/>
        </w:rPr>
        <w:t>包括：</w:t>
      </w:r>
      <w:r>
        <w:rPr>
          <w:rFonts w:hint="eastAsia" w:ascii="宋体" w:hAnsi="宋体" w:eastAsia="宋体" w:cs="宋体"/>
          <w:szCs w:val="21"/>
          <w:highlight w:val="none"/>
          <w:u w:val="single"/>
          <w:lang w:val="en-US" w:eastAsia="zh-CN"/>
        </w:rPr>
        <w:t xml:space="preserve"> （1）施工组织设计、总平面布置图、施工进度网络计划、项目管理机构等；（2）有关的专项施工方案、二次深化设计文件、必要的加工图和大样图；（3）工程竣工备案资料（含竣工图）、工程结算书及资料等；其他需要由</w:t>
      </w:r>
      <w:bookmarkStart w:id="355" w:name="REVIEW_BM_1314"/>
      <w:r>
        <w:rPr>
          <w:rFonts w:hint="eastAsia" w:ascii="宋体" w:hAnsi="宋体" w:eastAsia="宋体" w:cs="宋体"/>
          <w:szCs w:val="21"/>
          <w:highlight w:val="none"/>
          <w:u w:val="single"/>
          <w:lang w:val="en-US" w:eastAsia="zh-CN"/>
        </w:rPr>
        <w:t>承包人</w:t>
      </w:r>
      <w:bookmarkEnd w:id="355"/>
      <w:r>
        <w:rPr>
          <w:rFonts w:hint="eastAsia" w:ascii="宋体" w:hAnsi="宋体" w:eastAsia="宋体" w:cs="宋体"/>
          <w:szCs w:val="21"/>
          <w:highlight w:val="none"/>
          <w:u w:val="single"/>
          <w:lang w:val="en-US" w:eastAsia="zh-CN"/>
        </w:rPr>
        <w:t>提供的文件由双方另行确定</w:t>
      </w:r>
      <w:r>
        <w:rPr>
          <w:rFonts w:hint="eastAsia" w:ascii="宋体" w:hAnsi="宋体" w:eastAsia="宋体" w:cs="宋体"/>
          <w:szCs w:val="21"/>
          <w:highlight w:val="none"/>
          <w:u w:val="single"/>
        </w:rPr>
        <w:t>；</w:t>
      </w:r>
    </w:p>
    <w:p w14:paraId="2A320D65">
      <w:pPr>
        <w:pStyle w:val="22"/>
        <w:widowControl/>
        <w:spacing w:line="360" w:lineRule="auto"/>
        <w:ind w:left="0" w:firstLine="420"/>
        <w:rPr>
          <w:rFonts w:hint="eastAsia" w:ascii="宋体" w:hAnsi="宋体" w:eastAsia="宋体" w:cs="宋体"/>
          <w:sz w:val="21"/>
          <w:szCs w:val="21"/>
          <w:highlight w:val="none"/>
          <w:u w:val="single"/>
        </w:rPr>
      </w:pPr>
      <w:bookmarkStart w:id="356" w:name="REVIEW_BM_1315"/>
      <w:r>
        <w:rPr>
          <w:rFonts w:hint="eastAsia" w:ascii="宋体" w:hAnsi="宋体" w:eastAsia="宋体" w:cs="宋体"/>
          <w:sz w:val="21"/>
          <w:szCs w:val="21"/>
          <w:highlight w:val="none"/>
        </w:rPr>
        <w:t>承包人</w:t>
      </w:r>
      <w:bookmarkEnd w:id="356"/>
      <w:r>
        <w:rPr>
          <w:rFonts w:hint="eastAsia" w:ascii="宋体" w:hAnsi="宋体" w:eastAsia="宋体" w:cs="宋体"/>
          <w:sz w:val="21"/>
          <w:szCs w:val="21"/>
          <w:highlight w:val="none"/>
        </w:rPr>
        <w:t>提供的文件的期限为：</w:t>
      </w:r>
      <w:r>
        <w:rPr>
          <w:rFonts w:hint="eastAsia" w:ascii="宋体" w:hAnsi="宋体" w:eastAsia="宋体" w:cs="宋体"/>
          <w:sz w:val="21"/>
          <w:szCs w:val="21"/>
          <w:highlight w:val="none"/>
          <w:u w:val="single"/>
        </w:rPr>
        <w:t>（1）以上第（1）部分内容的资料在签订合同之日起1日内；（2）以上第（2）部分内容的资料在项目计划实施前5日内；（3）以上第（3）部分内容的资料在工程竣工验收合格后</w:t>
      </w:r>
      <w:r>
        <w:rPr>
          <w:rFonts w:hint="eastAsia" w:ascii="宋体" w:hAnsi="宋体" w:eastAsia="宋体" w:cs="宋体"/>
          <w:sz w:val="21"/>
          <w:szCs w:val="21"/>
          <w:highlight w:val="none"/>
          <w:u w:val="single"/>
          <w:lang w:val="en-US" w:eastAsia="zh-CN"/>
        </w:rPr>
        <w:t>1</w:t>
      </w:r>
      <w:r>
        <w:rPr>
          <w:rFonts w:hint="eastAsia" w:ascii="宋体" w:hAnsi="宋体" w:eastAsia="宋体" w:cs="宋体"/>
          <w:sz w:val="21"/>
          <w:szCs w:val="21"/>
          <w:highlight w:val="none"/>
          <w:u w:val="single"/>
        </w:rPr>
        <w:t>5日内；</w:t>
      </w:r>
    </w:p>
    <w:p w14:paraId="638B8279">
      <w:pPr>
        <w:pStyle w:val="22"/>
        <w:widowControl/>
        <w:spacing w:line="360" w:lineRule="auto"/>
        <w:ind w:left="0" w:firstLine="420"/>
        <w:rPr>
          <w:rFonts w:hint="eastAsia" w:ascii="宋体" w:hAnsi="宋体" w:eastAsia="宋体" w:cs="宋体"/>
          <w:sz w:val="21"/>
          <w:szCs w:val="21"/>
          <w:highlight w:val="none"/>
        </w:rPr>
      </w:pPr>
      <w:bookmarkStart w:id="357" w:name="REVIEW_BM_1316"/>
      <w:r>
        <w:rPr>
          <w:rFonts w:hint="eastAsia" w:ascii="宋体" w:hAnsi="宋体" w:eastAsia="宋体" w:cs="宋体"/>
          <w:sz w:val="21"/>
          <w:szCs w:val="21"/>
          <w:highlight w:val="none"/>
        </w:rPr>
        <w:t>承包人</w:t>
      </w:r>
      <w:bookmarkEnd w:id="357"/>
      <w:r>
        <w:rPr>
          <w:rFonts w:hint="eastAsia" w:ascii="宋体" w:hAnsi="宋体" w:eastAsia="宋体" w:cs="宋体"/>
          <w:sz w:val="21"/>
          <w:szCs w:val="21"/>
          <w:highlight w:val="none"/>
        </w:rPr>
        <w:t>提供的文件的数量为：</w:t>
      </w:r>
      <w:r>
        <w:rPr>
          <w:rFonts w:hint="eastAsia" w:ascii="宋体" w:hAnsi="宋体" w:eastAsia="宋体" w:cs="宋体"/>
          <w:sz w:val="21"/>
          <w:szCs w:val="21"/>
          <w:highlight w:val="none"/>
          <w:u w:val="single"/>
        </w:rPr>
        <w:t>工程竣工备案资料（含竣工图）2套，其余资料均2套</w:t>
      </w:r>
      <w:r>
        <w:rPr>
          <w:rFonts w:hint="eastAsia" w:ascii="宋体" w:hAnsi="宋体" w:eastAsia="宋体" w:cs="宋体"/>
          <w:sz w:val="21"/>
          <w:szCs w:val="21"/>
          <w:highlight w:val="none"/>
        </w:rPr>
        <w:t>；</w:t>
      </w:r>
    </w:p>
    <w:p w14:paraId="5CA9729C">
      <w:pPr>
        <w:widowControl/>
        <w:spacing w:line="360" w:lineRule="auto"/>
        <w:ind w:firstLine="420"/>
        <w:rPr>
          <w:rFonts w:hint="eastAsia" w:ascii="宋体" w:hAnsi="宋体" w:eastAsia="宋体" w:cs="宋体"/>
          <w:szCs w:val="21"/>
          <w:highlight w:val="none"/>
        </w:rPr>
      </w:pPr>
      <w:bookmarkStart w:id="358" w:name="REVIEW_BM_1317"/>
      <w:r>
        <w:rPr>
          <w:rFonts w:hint="eastAsia" w:ascii="宋体" w:hAnsi="宋体" w:eastAsia="宋体" w:cs="宋体"/>
          <w:szCs w:val="21"/>
          <w:highlight w:val="none"/>
        </w:rPr>
        <w:t>承包人</w:t>
      </w:r>
      <w:bookmarkEnd w:id="358"/>
      <w:r>
        <w:rPr>
          <w:rFonts w:hint="eastAsia" w:ascii="宋体" w:hAnsi="宋体" w:eastAsia="宋体" w:cs="宋体"/>
          <w:szCs w:val="21"/>
          <w:highlight w:val="none"/>
        </w:rPr>
        <w:t>提供的文件的形式为：</w:t>
      </w:r>
      <w:r>
        <w:rPr>
          <w:rFonts w:hint="eastAsia" w:ascii="宋体" w:hAnsi="宋体" w:eastAsia="宋体" w:cs="宋体"/>
          <w:szCs w:val="21"/>
          <w:highlight w:val="none"/>
          <w:u w:val="single"/>
        </w:rPr>
        <w:t>书面、电子文档</w:t>
      </w:r>
      <w:r>
        <w:rPr>
          <w:rFonts w:hint="eastAsia" w:ascii="宋体" w:hAnsi="宋体" w:eastAsia="宋体" w:cs="宋体"/>
          <w:szCs w:val="21"/>
          <w:highlight w:val="none"/>
        </w:rPr>
        <w:t>；</w:t>
      </w:r>
    </w:p>
    <w:p w14:paraId="00FE5CEB">
      <w:pPr>
        <w:widowControl/>
        <w:spacing w:line="360" w:lineRule="auto"/>
        <w:ind w:firstLine="420"/>
        <w:rPr>
          <w:rFonts w:hint="eastAsia" w:ascii="宋体" w:hAnsi="宋体" w:eastAsia="宋体" w:cs="宋体"/>
          <w:szCs w:val="21"/>
          <w:highlight w:val="none"/>
          <w:u w:val="single"/>
        </w:rPr>
      </w:pPr>
      <w:bookmarkStart w:id="359" w:name="REVIEW_BM_1318"/>
      <w:r>
        <w:rPr>
          <w:rFonts w:hint="eastAsia" w:ascii="宋体" w:hAnsi="宋体" w:eastAsia="宋体" w:cs="宋体"/>
          <w:szCs w:val="21"/>
          <w:highlight w:val="none"/>
        </w:rPr>
        <w:t>发包人</w:t>
      </w:r>
      <w:bookmarkEnd w:id="359"/>
      <w:r>
        <w:rPr>
          <w:rFonts w:hint="eastAsia" w:ascii="宋体" w:hAnsi="宋体" w:eastAsia="宋体" w:cs="宋体"/>
          <w:szCs w:val="21"/>
          <w:highlight w:val="none"/>
        </w:rPr>
        <w:t>审批</w:t>
      </w:r>
      <w:bookmarkStart w:id="360" w:name="REVIEW_BM_1319"/>
      <w:r>
        <w:rPr>
          <w:rFonts w:hint="eastAsia" w:ascii="宋体" w:hAnsi="宋体" w:eastAsia="宋体" w:cs="宋体"/>
          <w:szCs w:val="21"/>
          <w:highlight w:val="none"/>
        </w:rPr>
        <w:t>承包人</w:t>
      </w:r>
      <w:bookmarkEnd w:id="360"/>
      <w:r>
        <w:rPr>
          <w:rFonts w:hint="eastAsia" w:ascii="宋体" w:hAnsi="宋体" w:eastAsia="宋体" w:cs="宋体"/>
          <w:szCs w:val="21"/>
          <w:highlight w:val="none"/>
        </w:rPr>
        <w:t>文件的期限：</w:t>
      </w:r>
      <w:r>
        <w:rPr>
          <w:rFonts w:hint="eastAsia" w:ascii="宋体" w:hAnsi="宋体" w:eastAsia="宋体" w:cs="宋体"/>
          <w:szCs w:val="21"/>
          <w:highlight w:val="none"/>
          <w:u w:val="single"/>
        </w:rPr>
        <w:t>（1）以上第（1）部分内容的资料在收到后3日内；</w:t>
      </w:r>
    </w:p>
    <w:p w14:paraId="34311F24">
      <w:pPr>
        <w:widowControl/>
        <w:spacing w:line="360" w:lineRule="auto"/>
        <w:ind w:firstLine="3360"/>
        <w:rPr>
          <w:rFonts w:hint="eastAsia" w:ascii="宋体" w:hAnsi="宋体" w:eastAsia="宋体" w:cs="宋体"/>
          <w:szCs w:val="21"/>
          <w:highlight w:val="none"/>
          <w:u w:val="single"/>
        </w:rPr>
      </w:pPr>
      <w:r>
        <w:rPr>
          <w:rFonts w:hint="eastAsia" w:ascii="宋体" w:hAnsi="宋体" w:eastAsia="宋体" w:cs="宋体"/>
          <w:szCs w:val="21"/>
          <w:highlight w:val="none"/>
          <w:u w:val="single"/>
        </w:rPr>
        <w:t>（2）以上第（2）部分内容的资料在收到后3日内；</w:t>
      </w:r>
    </w:p>
    <w:p w14:paraId="52222A34">
      <w:pPr>
        <w:widowControl/>
        <w:spacing w:line="360" w:lineRule="auto"/>
        <w:ind w:firstLine="3360"/>
        <w:rPr>
          <w:rFonts w:hint="eastAsia" w:ascii="宋体" w:hAnsi="宋体" w:eastAsia="宋体" w:cs="宋体"/>
          <w:szCs w:val="21"/>
          <w:highlight w:val="none"/>
        </w:rPr>
      </w:pPr>
      <w:r>
        <w:rPr>
          <w:rFonts w:hint="eastAsia" w:ascii="宋体" w:hAnsi="宋体" w:eastAsia="宋体" w:cs="宋体"/>
          <w:szCs w:val="21"/>
          <w:highlight w:val="none"/>
          <w:u w:val="single"/>
        </w:rPr>
        <w:t>（3）以上第（3）部分内容的资料在收到后20日内。</w:t>
      </w:r>
    </w:p>
    <w:p w14:paraId="7F9D0AF1">
      <w:pPr>
        <w:widowControl/>
        <w:spacing w:line="360" w:lineRule="auto"/>
        <w:ind w:firstLine="422"/>
        <w:rPr>
          <w:rFonts w:hint="eastAsia" w:ascii="宋体" w:hAnsi="宋体" w:eastAsia="宋体" w:cs="宋体"/>
          <w:b/>
          <w:szCs w:val="21"/>
          <w:highlight w:val="none"/>
        </w:rPr>
      </w:pPr>
      <w:r>
        <w:rPr>
          <w:rFonts w:hint="eastAsia" w:ascii="宋体" w:hAnsi="宋体" w:eastAsia="宋体" w:cs="宋体"/>
          <w:b/>
          <w:szCs w:val="21"/>
          <w:highlight w:val="none"/>
        </w:rPr>
        <w:t>1.6 联络</w:t>
      </w:r>
    </w:p>
    <w:p w14:paraId="1D1B62D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1.6.1发包人和</w:t>
      </w:r>
      <w:bookmarkStart w:id="361" w:name="REVIEW_BM_1320"/>
      <w:r>
        <w:rPr>
          <w:rFonts w:hint="eastAsia" w:ascii="宋体" w:hAnsi="宋体" w:cs="宋体"/>
          <w:szCs w:val="21"/>
          <w:highlight w:val="none"/>
        </w:rPr>
        <w:t>承包人</w:t>
      </w:r>
      <w:bookmarkEnd w:id="361"/>
      <w:r>
        <w:rPr>
          <w:rFonts w:hint="eastAsia" w:ascii="宋体" w:hAnsi="宋体" w:cs="宋体"/>
          <w:szCs w:val="21"/>
          <w:highlight w:val="none"/>
        </w:rPr>
        <w:t>应当在</w:t>
      </w:r>
      <w:r>
        <w:rPr>
          <w:rFonts w:hint="eastAsia" w:ascii="宋体" w:hAnsi="宋体" w:cs="宋体"/>
          <w:szCs w:val="21"/>
          <w:highlight w:val="none"/>
          <w:u w:val="single"/>
        </w:rPr>
        <w:t></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 xml:space="preserve"> </w:t>
      </w:r>
      <w:r>
        <w:rPr>
          <w:rFonts w:hint="eastAsia" w:ascii="宋体" w:hAnsi="宋体" w:cs="宋体"/>
          <w:szCs w:val="21"/>
          <w:highlight w:val="none"/>
        </w:rPr>
        <w:t>天内将与合同有关的通知、批准、证明、证书、指示、指令、要求、请求、同意、意见、确定和决定等书面函件送达对方当事人。</w:t>
      </w:r>
    </w:p>
    <w:p w14:paraId="19FDC4A7">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 xml:space="preserve">1.6.2 </w:t>
      </w:r>
      <w:bookmarkStart w:id="362" w:name="REVIEW_BM_1321"/>
      <w:r>
        <w:rPr>
          <w:rFonts w:hint="eastAsia" w:ascii="宋体" w:hAnsi="宋体" w:cs="宋体"/>
          <w:szCs w:val="21"/>
          <w:highlight w:val="none"/>
        </w:rPr>
        <w:t>发包人</w:t>
      </w:r>
      <w:bookmarkEnd w:id="362"/>
      <w:r>
        <w:rPr>
          <w:rFonts w:hint="eastAsia" w:ascii="宋体" w:hAnsi="宋体" w:cs="宋体"/>
          <w:szCs w:val="21"/>
          <w:highlight w:val="none"/>
        </w:rPr>
        <w:t>接收文件的地点：</w:t>
      </w:r>
      <w:bookmarkStart w:id="363" w:name="REVIEW_BM_1322"/>
      <w:r>
        <w:rPr>
          <w:rFonts w:hint="eastAsia" w:ascii="宋体" w:hAnsi="宋体" w:cs="宋体"/>
          <w:szCs w:val="21"/>
          <w:highlight w:val="none"/>
          <w:u w:val="single"/>
        </w:rPr>
        <w:t>发包人</w:t>
      </w:r>
      <w:bookmarkEnd w:id="363"/>
      <w:r>
        <w:rPr>
          <w:rFonts w:hint="eastAsia" w:ascii="宋体" w:hAnsi="宋体" w:cs="宋体"/>
          <w:szCs w:val="21"/>
          <w:highlight w:val="none"/>
          <w:u w:val="single"/>
        </w:rPr>
        <w:t>工程管理机构的办公地点；</w:t>
      </w:r>
    </w:p>
    <w:p w14:paraId="3B252F7B">
      <w:pPr>
        <w:widowControl/>
        <w:spacing w:line="360" w:lineRule="auto"/>
        <w:ind w:firstLine="420"/>
        <w:rPr>
          <w:rFonts w:hint="eastAsia" w:ascii="宋体" w:hAnsi="宋体" w:cs="宋体"/>
          <w:szCs w:val="21"/>
          <w:highlight w:val="none"/>
        </w:rPr>
      </w:pPr>
      <w:bookmarkStart w:id="364" w:name="REVIEW_BM_1323"/>
      <w:r>
        <w:rPr>
          <w:rFonts w:hint="eastAsia" w:ascii="宋体" w:hAnsi="宋体" w:cs="宋体"/>
          <w:szCs w:val="21"/>
          <w:highlight w:val="none"/>
        </w:rPr>
        <w:t>发包人</w:t>
      </w:r>
      <w:bookmarkEnd w:id="364"/>
      <w:r>
        <w:rPr>
          <w:rFonts w:hint="eastAsia" w:ascii="宋体" w:hAnsi="宋体" w:cs="宋体"/>
          <w:szCs w:val="21"/>
          <w:highlight w:val="none"/>
        </w:rPr>
        <w:t>指定的接收人为：</w:t>
      </w:r>
      <w:bookmarkStart w:id="365" w:name="REVIEW_BM_1324"/>
      <w:r>
        <w:rPr>
          <w:rFonts w:hint="eastAsia" w:ascii="宋体" w:hAnsi="宋体" w:cs="宋体"/>
          <w:szCs w:val="21"/>
          <w:highlight w:val="none"/>
          <w:u w:val="single"/>
        </w:rPr>
        <w:t>发包人</w:t>
      </w:r>
      <w:bookmarkEnd w:id="365"/>
      <w:r>
        <w:rPr>
          <w:rFonts w:hint="eastAsia" w:ascii="宋体" w:hAnsi="宋体" w:cs="宋体"/>
          <w:szCs w:val="21"/>
          <w:highlight w:val="none"/>
          <w:u w:val="single"/>
        </w:rPr>
        <w:t>代表</w:t>
      </w:r>
      <w:r>
        <w:rPr>
          <w:rFonts w:hint="eastAsia" w:ascii="宋体" w:hAnsi="宋体" w:cs="宋体"/>
          <w:szCs w:val="21"/>
          <w:highlight w:val="none"/>
        </w:rPr>
        <w:t>。</w:t>
      </w:r>
    </w:p>
    <w:p w14:paraId="4361E108">
      <w:pPr>
        <w:widowControl/>
        <w:spacing w:line="360" w:lineRule="auto"/>
        <w:ind w:firstLine="420"/>
        <w:rPr>
          <w:rFonts w:hint="eastAsia" w:ascii="宋体" w:hAnsi="宋体" w:cs="宋体"/>
          <w:szCs w:val="21"/>
          <w:highlight w:val="none"/>
        </w:rPr>
      </w:pPr>
      <w:bookmarkStart w:id="366" w:name="REVIEW_BM_1325"/>
      <w:r>
        <w:rPr>
          <w:rFonts w:hint="eastAsia" w:ascii="宋体" w:hAnsi="宋体" w:cs="宋体"/>
          <w:szCs w:val="21"/>
          <w:highlight w:val="none"/>
        </w:rPr>
        <w:t>承包人</w:t>
      </w:r>
      <w:bookmarkEnd w:id="366"/>
      <w:r>
        <w:rPr>
          <w:rFonts w:hint="eastAsia" w:ascii="宋体" w:hAnsi="宋体" w:cs="宋体"/>
          <w:szCs w:val="21"/>
          <w:highlight w:val="none"/>
        </w:rPr>
        <w:t>接收文件的地点：</w:t>
      </w:r>
      <w:r>
        <w:rPr>
          <w:rFonts w:hint="eastAsia" w:ascii="宋体" w:hAnsi="宋体" w:cs="宋体"/>
          <w:szCs w:val="21"/>
          <w:highlight w:val="none"/>
          <w:u w:val="single"/>
          <w:lang w:eastAsia="zh-CN"/>
        </w:rPr>
        <w:t>施工现场</w:t>
      </w:r>
      <w:r>
        <w:rPr>
          <w:rFonts w:hint="eastAsia" w:ascii="宋体" w:hAnsi="宋体" w:cs="宋体"/>
          <w:szCs w:val="21"/>
          <w:highlight w:val="none"/>
          <w:u w:val="single"/>
        </w:rPr>
        <w:t xml:space="preserve"> </w:t>
      </w:r>
      <w:r>
        <w:rPr>
          <w:rFonts w:hint="eastAsia" w:ascii="宋体" w:hAnsi="宋体" w:cs="宋体"/>
          <w:szCs w:val="21"/>
          <w:highlight w:val="none"/>
        </w:rPr>
        <w:t>；</w:t>
      </w:r>
    </w:p>
    <w:p w14:paraId="7B914E32">
      <w:pPr>
        <w:widowControl/>
        <w:spacing w:line="360" w:lineRule="auto"/>
        <w:ind w:firstLine="420"/>
        <w:rPr>
          <w:rFonts w:hint="eastAsia" w:ascii="宋体" w:hAnsi="宋体" w:cs="宋体"/>
          <w:szCs w:val="21"/>
          <w:highlight w:val="none"/>
        </w:rPr>
      </w:pPr>
      <w:bookmarkStart w:id="367" w:name="REVIEW_BM_1326"/>
      <w:r>
        <w:rPr>
          <w:rFonts w:hint="eastAsia" w:ascii="宋体" w:hAnsi="宋体" w:cs="宋体"/>
          <w:szCs w:val="21"/>
          <w:highlight w:val="none"/>
        </w:rPr>
        <w:t>承包人</w:t>
      </w:r>
      <w:bookmarkEnd w:id="367"/>
      <w:r>
        <w:rPr>
          <w:rFonts w:hint="eastAsia" w:ascii="宋体" w:hAnsi="宋体" w:cs="宋体"/>
          <w:szCs w:val="21"/>
          <w:highlight w:val="none"/>
        </w:rPr>
        <w:t>指定的接收人为：</w:t>
      </w:r>
      <w:r>
        <w:rPr>
          <w:rFonts w:hint="eastAsia" w:ascii="宋体" w:hAnsi="宋体" w:cs="宋体"/>
          <w:szCs w:val="21"/>
          <w:highlight w:val="none"/>
          <w:u w:val="single"/>
        </w:rPr>
        <w:t>项目经理</w:t>
      </w:r>
      <w:r>
        <w:rPr>
          <w:rFonts w:hint="eastAsia" w:ascii="宋体" w:hAnsi="宋体" w:cs="宋体"/>
          <w:szCs w:val="21"/>
          <w:highlight w:val="none"/>
        </w:rPr>
        <w:t>。</w:t>
      </w:r>
    </w:p>
    <w:p w14:paraId="14268B38">
      <w:pPr>
        <w:pStyle w:val="20"/>
        <w:spacing w:line="360" w:lineRule="auto"/>
        <w:rPr>
          <w:rFonts w:hint="eastAsia" w:ascii="宋体" w:hAnsi="宋体" w:cs="宋体"/>
          <w:sz w:val="21"/>
          <w:szCs w:val="21"/>
          <w:highlight w:val="none"/>
        </w:rPr>
      </w:pPr>
      <w:r>
        <w:rPr>
          <w:rFonts w:hint="eastAsia" w:ascii="宋体" w:hAnsi="宋体" w:cs="宋体"/>
          <w:sz w:val="21"/>
          <w:szCs w:val="21"/>
          <w:highlight w:val="none"/>
        </w:rPr>
        <w:t xml:space="preserve">    注：（1）除合同另有约定外，任何与本合同有关的通知、批准、证明、证书、指示、指令、要求、请求、同意、意见、确定和决定等或其他通讯往来应当采用书面形式并送达至上述列明的地址。除合同另有约定外，任何面呈的通知或其他通讯往来递交并得到签收时视为送达；任何以特快专递方式发出的通知或其他通讯往来在投邮后3个工作日视为送达；任何以邮寄方式发出的通知或其他通讯往来在投邮后7个工作日视为送达；任何以传真方式发出的通知或其他通讯往来在发出时视为送达。任何写上本合同列明的地址邮寄的信件及任何附有收件人已收取传真的传真报告，将视为任何有关通知或其他通讯往来已根据本合同被妥善传递及发出。</w:t>
      </w:r>
    </w:p>
    <w:p w14:paraId="697C196B">
      <w:pPr>
        <w:pStyle w:val="20"/>
        <w:spacing w:line="360" w:lineRule="auto"/>
        <w:ind w:firstLine="420"/>
        <w:rPr>
          <w:rFonts w:hint="eastAsia" w:ascii="宋体" w:hAnsi="宋体" w:cs="宋体"/>
          <w:sz w:val="21"/>
          <w:szCs w:val="21"/>
          <w:highlight w:val="none"/>
        </w:rPr>
      </w:pPr>
      <w:r>
        <w:rPr>
          <w:rFonts w:hint="eastAsia" w:ascii="宋体" w:hAnsi="宋体" w:cs="宋体"/>
          <w:sz w:val="21"/>
          <w:szCs w:val="21"/>
          <w:highlight w:val="none"/>
        </w:rPr>
        <w:t>（2）</w:t>
      </w:r>
      <w:bookmarkStart w:id="368" w:name="REVIEW_BM_1328"/>
      <w:r>
        <w:rPr>
          <w:rFonts w:hint="eastAsia" w:ascii="宋体" w:hAnsi="宋体" w:cs="宋体"/>
          <w:sz w:val="21"/>
          <w:szCs w:val="21"/>
          <w:highlight w:val="none"/>
        </w:rPr>
        <w:t>承包人</w:t>
      </w:r>
      <w:bookmarkEnd w:id="368"/>
      <w:r>
        <w:rPr>
          <w:rFonts w:hint="eastAsia" w:ascii="宋体" w:hAnsi="宋体" w:cs="宋体"/>
          <w:sz w:val="21"/>
          <w:szCs w:val="21"/>
          <w:highlight w:val="none"/>
        </w:rPr>
        <w:t>指定的接收人为合同协议书中载明的</w:t>
      </w:r>
      <w:bookmarkStart w:id="369" w:name="REVIEW_BM_1329"/>
      <w:r>
        <w:rPr>
          <w:rFonts w:hint="eastAsia" w:ascii="宋体" w:hAnsi="宋体" w:cs="宋体"/>
          <w:sz w:val="21"/>
          <w:szCs w:val="21"/>
          <w:highlight w:val="none"/>
        </w:rPr>
        <w:t>承包人</w:t>
      </w:r>
      <w:bookmarkEnd w:id="369"/>
      <w:r>
        <w:rPr>
          <w:rFonts w:hint="eastAsia" w:ascii="宋体" w:hAnsi="宋体" w:cs="宋体"/>
          <w:sz w:val="21"/>
          <w:szCs w:val="21"/>
          <w:highlight w:val="none"/>
        </w:rPr>
        <w:t>项目经理本人或者项目经理的授权代表。项目经理委托授权代表作为接受人的，应在收到开工通知后1天内，将其授权代表的姓名、授权范围和签名式样通知监理人和</w:t>
      </w:r>
      <w:bookmarkStart w:id="370" w:name="REVIEW_BM_1327"/>
      <w:r>
        <w:rPr>
          <w:rFonts w:hint="eastAsia" w:ascii="宋体" w:hAnsi="宋体" w:cs="宋体"/>
          <w:sz w:val="21"/>
          <w:szCs w:val="21"/>
          <w:highlight w:val="none"/>
        </w:rPr>
        <w:t>发包人</w:t>
      </w:r>
      <w:bookmarkEnd w:id="370"/>
      <w:r>
        <w:rPr>
          <w:rFonts w:hint="eastAsia" w:ascii="宋体" w:hAnsi="宋体" w:cs="宋体"/>
          <w:sz w:val="21"/>
          <w:szCs w:val="21"/>
          <w:highlight w:val="none"/>
        </w:rPr>
        <w:t>。除合同另有约定外，</w:t>
      </w:r>
      <w:bookmarkStart w:id="371" w:name="REVIEW_BM_1330"/>
      <w:r>
        <w:rPr>
          <w:rFonts w:hint="eastAsia" w:ascii="宋体" w:hAnsi="宋体" w:cs="宋体"/>
          <w:sz w:val="21"/>
          <w:szCs w:val="21"/>
          <w:highlight w:val="none"/>
        </w:rPr>
        <w:t>承包人</w:t>
      </w:r>
      <w:bookmarkEnd w:id="371"/>
      <w:r>
        <w:rPr>
          <w:rFonts w:hint="eastAsia" w:ascii="宋体" w:hAnsi="宋体" w:cs="宋体"/>
          <w:sz w:val="21"/>
          <w:szCs w:val="21"/>
          <w:highlight w:val="none"/>
        </w:rPr>
        <w:t>施工场地管理机构的办公地点即为</w:t>
      </w:r>
      <w:bookmarkStart w:id="372" w:name="REVIEW_BM_1331"/>
      <w:r>
        <w:rPr>
          <w:rFonts w:hint="eastAsia" w:ascii="宋体" w:hAnsi="宋体" w:cs="宋体"/>
          <w:sz w:val="21"/>
          <w:szCs w:val="21"/>
          <w:highlight w:val="none"/>
        </w:rPr>
        <w:t>承包人</w:t>
      </w:r>
      <w:bookmarkEnd w:id="372"/>
      <w:r>
        <w:rPr>
          <w:rFonts w:hint="eastAsia" w:ascii="宋体" w:hAnsi="宋体" w:cs="宋体"/>
          <w:sz w:val="21"/>
          <w:szCs w:val="21"/>
          <w:highlight w:val="none"/>
        </w:rPr>
        <w:t>指定的接收地点。</w:t>
      </w:r>
    </w:p>
    <w:p w14:paraId="7F64E9B0">
      <w:pPr>
        <w:pStyle w:val="20"/>
        <w:spacing w:line="360" w:lineRule="auto"/>
        <w:ind w:firstLine="420"/>
        <w:rPr>
          <w:rFonts w:hint="eastAsia" w:ascii="宋体" w:hAnsi="宋体" w:cs="宋体"/>
          <w:sz w:val="21"/>
          <w:szCs w:val="21"/>
          <w:highlight w:val="none"/>
        </w:rPr>
      </w:pPr>
      <w:r>
        <w:rPr>
          <w:rFonts w:hint="eastAsia" w:ascii="宋体" w:hAnsi="宋体" w:cs="宋体"/>
          <w:sz w:val="21"/>
          <w:szCs w:val="21"/>
          <w:highlight w:val="none"/>
        </w:rPr>
        <w:t>（3）以上任何一方指定的接收人或者接收地点发生变动，应当提前至少一个工作日以书面方式通知其他各方，并应当确保其指定的接收人在法定的和(或)符合合同约定的工作时间内始终工作在指定的接收地点，指定接收人离开工作岗位而无法及时签收来往信函的，构成拒不签收。</w:t>
      </w:r>
    </w:p>
    <w:p w14:paraId="5D157C82">
      <w:pPr>
        <w:pStyle w:val="20"/>
        <w:spacing w:line="360" w:lineRule="auto"/>
        <w:ind w:firstLine="420"/>
        <w:rPr>
          <w:rFonts w:hint="eastAsia" w:ascii="宋体" w:hAnsi="宋体" w:cs="宋体"/>
          <w:sz w:val="21"/>
          <w:szCs w:val="21"/>
          <w:highlight w:val="none"/>
        </w:rPr>
      </w:pPr>
      <w:r>
        <w:rPr>
          <w:rFonts w:hint="eastAsia" w:ascii="宋体" w:hAnsi="宋体" w:cs="宋体"/>
          <w:sz w:val="21"/>
          <w:szCs w:val="21"/>
          <w:highlight w:val="none"/>
        </w:rPr>
        <w:t>（4）以上任何一方均应当及时签收另一方送达其指定接收地点的来往信函，拒不签收的，送达信函的一方可以采用挂号或者公证方式送达，由此所造成的直接和间接的费用增加(包括被迫采用特殊送达方式所发生的费用)和(或)延误的工期由拒绝签收一方承担。</w:t>
      </w:r>
    </w:p>
    <w:p w14:paraId="701117FA">
      <w:pPr>
        <w:pStyle w:val="20"/>
        <w:rPr>
          <w:highlight w:val="none"/>
        </w:rPr>
      </w:pPr>
    </w:p>
    <w:p w14:paraId="02F54D60">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1.7 交通运输</w:t>
      </w:r>
    </w:p>
    <w:p w14:paraId="333B33A2">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lang w:eastAsia="zh-CN"/>
        </w:rPr>
        <w:t>7</w:t>
      </w:r>
      <w:r>
        <w:rPr>
          <w:rFonts w:hint="eastAsia" w:ascii="宋体" w:hAnsi="宋体" w:cs="宋体"/>
          <w:szCs w:val="21"/>
          <w:highlight w:val="none"/>
        </w:rPr>
        <w:t>.1 出入现场的权利</w:t>
      </w:r>
    </w:p>
    <w:p w14:paraId="2EAB02F8">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关于出入现场的权利的约定：由</w:t>
      </w:r>
      <w:bookmarkStart w:id="373" w:name="REVIEW_BM_1335"/>
      <w:r>
        <w:rPr>
          <w:rFonts w:hint="eastAsia" w:ascii="宋体" w:hAnsi="宋体" w:cs="宋体"/>
          <w:szCs w:val="21"/>
          <w:highlight w:val="none"/>
        </w:rPr>
        <w:t>承包人</w:t>
      </w:r>
      <w:bookmarkEnd w:id="373"/>
      <w:r>
        <w:rPr>
          <w:rFonts w:hint="eastAsia" w:ascii="宋体" w:hAnsi="宋体" w:cs="宋体"/>
          <w:szCs w:val="21"/>
          <w:highlight w:val="none"/>
        </w:rPr>
        <w:t>按</w:t>
      </w:r>
      <w:bookmarkStart w:id="374" w:name="REVIEW_BM_1332"/>
      <w:r>
        <w:rPr>
          <w:rFonts w:hint="eastAsia" w:ascii="宋体" w:hAnsi="宋体" w:cs="宋体"/>
          <w:szCs w:val="21"/>
          <w:highlight w:val="none"/>
        </w:rPr>
        <w:t>发包人</w:t>
      </w:r>
      <w:bookmarkEnd w:id="374"/>
      <w:r>
        <w:rPr>
          <w:rFonts w:hint="eastAsia" w:ascii="宋体" w:hAnsi="宋体" w:cs="宋体"/>
          <w:szCs w:val="21"/>
          <w:highlight w:val="none"/>
        </w:rPr>
        <w:t>要求办理出入施工现场所需的批准手续，在</w:t>
      </w:r>
      <w:bookmarkStart w:id="375" w:name="REVIEW_BM_1333"/>
      <w:r>
        <w:rPr>
          <w:rFonts w:hint="eastAsia" w:ascii="宋体" w:hAnsi="宋体" w:cs="宋体"/>
          <w:szCs w:val="21"/>
          <w:highlight w:val="none"/>
        </w:rPr>
        <w:t>发包人</w:t>
      </w:r>
      <w:bookmarkEnd w:id="375"/>
      <w:r>
        <w:rPr>
          <w:rFonts w:hint="eastAsia" w:ascii="宋体" w:hAnsi="宋体" w:cs="宋体"/>
          <w:szCs w:val="21"/>
          <w:highlight w:val="none"/>
        </w:rPr>
        <w:t>确定的路线和活动区域内开展施工，自觉遵守</w:t>
      </w:r>
      <w:bookmarkStart w:id="376" w:name="REVIEW_BM_1334"/>
      <w:r>
        <w:rPr>
          <w:rFonts w:hint="eastAsia" w:ascii="宋体" w:hAnsi="宋体" w:cs="宋体"/>
          <w:szCs w:val="21"/>
          <w:highlight w:val="none"/>
        </w:rPr>
        <w:t>发包人</w:t>
      </w:r>
      <w:bookmarkEnd w:id="376"/>
      <w:r>
        <w:rPr>
          <w:rFonts w:hint="eastAsia" w:ascii="宋体" w:hAnsi="宋体" w:cs="宋体"/>
          <w:szCs w:val="21"/>
          <w:highlight w:val="none"/>
        </w:rPr>
        <w:t>的管理规定。</w:t>
      </w:r>
      <w:bookmarkStart w:id="377" w:name="REVIEW_BM_1336"/>
      <w:r>
        <w:rPr>
          <w:rFonts w:hint="eastAsia" w:ascii="宋体" w:hAnsi="宋体" w:cs="宋体"/>
          <w:szCs w:val="21"/>
          <w:highlight w:val="none"/>
        </w:rPr>
        <w:t>承包人</w:t>
      </w:r>
      <w:bookmarkEnd w:id="377"/>
      <w:r>
        <w:rPr>
          <w:rFonts w:hint="eastAsia" w:ascii="宋体" w:hAnsi="宋体" w:cs="宋体"/>
          <w:szCs w:val="21"/>
          <w:highlight w:val="none"/>
        </w:rPr>
        <w:t>负责施工所需的场内临时道路和交通设施的修建、维护、养护和管理，相关费用由</w:t>
      </w:r>
      <w:bookmarkStart w:id="378" w:name="REVIEW_BM_1337"/>
      <w:r>
        <w:rPr>
          <w:rFonts w:hint="eastAsia" w:ascii="宋体" w:hAnsi="宋体" w:cs="宋体"/>
          <w:szCs w:val="21"/>
          <w:highlight w:val="none"/>
        </w:rPr>
        <w:t>承包人</w:t>
      </w:r>
      <w:bookmarkEnd w:id="378"/>
      <w:r>
        <w:rPr>
          <w:rFonts w:hint="eastAsia" w:ascii="宋体" w:hAnsi="宋体" w:cs="宋体"/>
          <w:szCs w:val="21"/>
          <w:highlight w:val="none"/>
        </w:rPr>
        <w:t>承担。发包人和监理人有权</w:t>
      </w:r>
      <w:bookmarkStart w:id="379" w:name="REVIEW_BM_1339"/>
      <w:r>
        <w:rPr>
          <w:rFonts w:hint="eastAsia" w:ascii="宋体" w:hAnsi="宋体" w:cs="宋体"/>
          <w:szCs w:val="21"/>
          <w:highlight w:val="none"/>
        </w:rPr>
        <w:t>无偿</w:t>
      </w:r>
      <w:bookmarkEnd w:id="379"/>
      <w:r>
        <w:rPr>
          <w:rFonts w:hint="eastAsia" w:ascii="宋体" w:hAnsi="宋体" w:cs="宋体"/>
          <w:szCs w:val="21"/>
          <w:highlight w:val="none"/>
        </w:rPr>
        <w:t>使用</w:t>
      </w:r>
      <w:bookmarkStart w:id="380" w:name="REVIEW_BM_1338"/>
      <w:r>
        <w:rPr>
          <w:rFonts w:hint="eastAsia" w:ascii="宋体" w:hAnsi="宋体" w:cs="宋体"/>
          <w:szCs w:val="21"/>
          <w:highlight w:val="none"/>
        </w:rPr>
        <w:t>承包人</w:t>
      </w:r>
      <w:bookmarkEnd w:id="380"/>
      <w:r>
        <w:rPr>
          <w:rFonts w:hint="eastAsia" w:ascii="宋体" w:hAnsi="宋体" w:cs="宋体"/>
          <w:szCs w:val="21"/>
          <w:highlight w:val="none"/>
        </w:rPr>
        <w:t>修建的临时道路和交通设施，不需要缴纳任何费用。</w:t>
      </w:r>
    </w:p>
    <w:p w14:paraId="56E2390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w:t>
      </w:r>
      <w:bookmarkStart w:id="381" w:name="_Toc304295522"/>
      <w:bookmarkStart w:id="382" w:name="_Toc312677987"/>
      <w:bookmarkStart w:id="383" w:name="_Toc300934944"/>
      <w:bookmarkStart w:id="384" w:name="_Toc303539101"/>
      <w:bookmarkStart w:id="385" w:name="_Toc318581156"/>
      <w:r>
        <w:rPr>
          <w:rFonts w:hint="eastAsia" w:ascii="宋体" w:hAnsi="宋体" w:cs="宋体"/>
          <w:szCs w:val="21"/>
          <w:highlight w:val="none"/>
        </w:rPr>
        <w:t>.7.</w:t>
      </w:r>
      <w:r>
        <w:rPr>
          <w:rFonts w:hint="eastAsia" w:ascii="宋体" w:hAnsi="宋体" w:cs="宋体"/>
          <w:szCs w:val="21"/>
          <w:highlight w:val="none"/>
          <w:lang w:val="en-US" w:eastAsia="zh-CN"/>
        </w:rPr>
        <w:t>2</w:t>
      </w:r>
      <w:r>
        <w:rPr>
          <w:rFonts w:hint="eastAsia" w:ascii="宋体" w:hAnsi="宋体" w:cs="宋体"/>
          <w:szCs w:val="21"/>
          <w:highlight w:val="none"/>
        </w:rPr>
        <w:t>场内交通</w:t>
      </w:r>
    </w:p>
    <w:p w14:paraId="5CDBC38F">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关于场外交通和场内交通的边界的约定：</w:t>
      </w:r>
      <w:r>
        <w:rPr>
          <w:rFonts w:hint="eastAsia" w:ascii="宋体" w:hAnsi="宋体" w:cs="宋体"/>
          <w:szCs w:val="21"/>
          <w:highlight w:val="none"/>
          <w:u w:val="single"/>
        </w:rPr>
        <w:t>以现场实际施工条件为准</w:t>
      </w:r>
      <w:r>
        <w:rPr>
          <w:rFonts w:hint="eastAsia" w:ascii="宋体" w:hAnsi="宋体" w:cs="宋体"/>
          <w:szCs w:val="21"/>
          <w:highlight w:val="none"/>
        </w:rPr>
        <w:t>。</w:t>
      </w:r>
    </w:p>
    <w:p w14:paraId="0AEC4BDD">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w:t>
      </w:r>
      <w:bookmarkStart w:id="386" w:name="REVIEW_BM_1340"/>
      <w:r>
        <w:rPr>
          <w:rFonts w:hint="eastAsia" w:ascii="宋体" w:hAnsi="宋体" w:cs="宋体"/>
          <w:szCs w:val="21"/>
          <w:highlight w:val="none"/>
        </w:rPr>
        <w:t>发包人</w:t>
      </w:r>
      <w:bookmarkEnd w:id="386"/>
      <w:r>
        <w:rPr>
          <w:rFonts w:hint="eastAsia" w:ascii="宋体" w:hAnsi="宋体" w:cs="宋体"/>
          <w:szCs w:val="21"/>
          <w:highlight w:val="none"/>
        </w:rPr>
        <w:t>向</w:t>
      </w:r>
      <w:bookmarkStart w:id="387" w:name="REVIEW_BM_1341"/>
      <w:r>
        <w:rPr>
          <w:rFonts w:hint="eastAsia" w:ascii="宋体" w:hAnsi="宋体" w:cs="宋体"/>
          <w:szCs w:val="21"/>
          <w:highlight w:val="none"/>
        </w:rPr>
        <w:t>承包人</w:t>
      </w:r>
      <w:bookmarkEnd w:id="387"/>
      <w:bookmarkStart w:id="388" w:name="REVIEW_BM_1343"/>
      <w:r>
        <w:rPr>
          <w:rFonts w:hint="eastAsia" w:ascii="宋体" w:hAnsi="宋体" w:cs="宋体"/>
          <w:szCs w:val="21"/>
          <w:highlight w:val="none"/>
        </w:rPr>
        <w:t>免费</w:t>
      </w:r>
      <w:bookmarkEnd w:id="388"/>
      <w:r>
        <w:rPr>
          <w:rFonts w:hint="eastAsia" w:ascii="宋体" w:hAnsi="宋体" w:cs="宋体"/>
          <w:szCs w:val="21"/>
          <w:highlight w:val="none"/>
        </w:rPr>
        <w:t>提供满足工程施工需要的场内道路和交通设施的约定：</w:t>
      </w:r>
      <w:r>
        <w:rPr>
          <w:rFonts w:hint="eastAsia" w:ascii="宋体" w:hAnsi="宋体" w:cs="宋体"/>
          <w:szCs w:val="21"/>
          <w:highlight w:val="none"/>
          <w:u w:val="single"/>
        </w:rPr>
        <w:t xml:space="preserve"> 不提供，</w:t>
      </w:r>
      <w:bookmarkStart w:id="389" w:name="REVIEW_BM_1342"/>
      <w:r>
        <w:rPr>
          <w:rFonts w:hint="eastAsia" w:ascii="宋体" w:hAnsi="宋体" w:cs="宋体"/>
          <w:szCs w:val="21"/>
          <w:highlight w:val="none"/>
          <w:u w:val="single"/>
        </w:rPr>
        <w:t>承包人</w:t>
      </w:r>
      <w:bookmarkEnd w:id="389"/>
      <w:r>
        <w:rPr>
          <w:rFonts w:hint="eastAsia" w:ascii="宋体" w:hAnsi="宋体" w:cs="宋体"/>
          <w:szCs w:val="21"/>
          <w:highlight w:val="none"/>
          <w:u w:val="single"/>
        </w:rPr>
        <w:t>自理</w:t>
      </w:r>
      <w:r>
        <w:rPr>
          <w:rFonts w:hint="eastAsia" w:ascii="宋体" w:hAnsi="宋体" w:cs="宋体"/>
          <w:szCs w:val="21"/>
          <w:highlight w:val="none"/>
        </w:rPr>
        <w:t>。</w:t>
      </w:r>
      <w:bookmarkEnd w:id="381"/>
      <w:bookmarkEnd w:id="382"/>
      <w:bookmarkEnd w:id="383"/>
      <w:bookmarkEnd w:id="384"/>
      <w:bookmarkEnd w:id="385"/>
      <w:r>
        <w:rPr>
          <w:rFonts w:hint="eastAsia" w:ascii="宋体" w:hAnsi="宋体" w:cs="宋体"/>
          <w:szCs w:val="21"/>
          <w:highlight w:val="none"/>
        </w:rPr>
        <w:t xml:space="preserve">  </w:t>
      </w:r>
      <w:bookmarkStart w:id="390" w:name="_Toc318581157"/>
    </w:p>
    <w:p w14:paraId="169EDC03">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1.7.</w:t>
      </w:r>
      <w:r>
        <w:rPr>
          <w:rFonts w:hint="eastAsia" w:ascii="宋体" w:hAnsi="宋体" w:cs="宋体"/>
          <w:szCs w:val="21"/>
          <w:highlight w:val="none"/>
          <w:lang w:val="en-US" w:eastAsia="zh-CN"/>
        </w:rPr>
        <w:t>3</w:t>
      </w:r>
      <w:bookmarkStart w:id="391" w:name="REVIEW_BM_1344"/>
      <w:r>
        <w:rPr>
          <w:rFonts w:hint="eastAsia" w:ascii="宋体" w:hAnsi="宋体" w:cs="宋体"/>
          <w:szCs w:val="21"/>
          <w:highlight w:val="none"/>
        </w:rPr>
        <w:t>超大</w:t>
      </w:r>
      <w:bookmarkEnd w:id="391"/>
      <w:r>
        <w:rPr>
          <w:rFonts w:hint="eastAsia" w:ascii="宋体" w:hAnsi="宋体" w:cs="宋体"/>
          <w:szCs w:val="21"/>
          <w:highlight w:val="none"/>
        </w:rPr>
        <w:t>件和超重件的运输</w:t>
      </w:r>
    </w:p>
    <w:p w14:paraId="09511C90">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运输</w:t>
      </w:r>
      <w:bookmarkStart w:id="392" w:name="REVIEW_BM_1346"/>
      <w:r>
        <w:rPr>
          <w:rFonts w:hint="eastAsia" w:ascii="宋体" w:hAnsi="宋体" w:cs="宋体"/>
          <w:szCs w:val="21"/>
          <w:highlight w:val="none"/>
        </w:rPr>
        <w:t>超大</w:t>
      </w:r>
      <w:bookmarkEnd w:id="392"/>
      <w:r>
        <w:rPr>
          <w:rFonts w:hint="eastAsia" w:ascii="宋体" w:hAnsi="宋体" w:cs="宋体"/>
          <w:szCs w:val="21"/>
          <w:highlight w:val="none"/>
        </w:rPr>
        <w:t>件或超重件所需的道路和桥梁临时加固改造费用和其他有关费用由</w:t>
      </w:r>
      <w:r>
        <w:rPr>
          <w:rFonts w:hint="eastAsia" w:ascii="宋体" w:hAnsi="宋体" w:cs="宋体"/>
          <w:szCs w:val="21"/>
          <w:highlight w:val="none"/>
          <w:u w:val="single"/>
        </w:rPr>
        <w:t xml:space="preserve"> </w:t>
      </w:r>
      <w:bookmarkStart w:id="393" w:name="REVIEW_BM_1345"/>
      <w:r>
        <w:rPr>
          <w:rFonts w:hint="eastAsia" w:ascii="宋体" w:hAnsi="宋体" w:cs="宋体"/>
          <w:szCs w:val="21"/>
          <w:highlight w:val="none"/>
          <w:u w:val="single"/>
        </w:rPr>
        <w:t>承包人</w:t>
      </w:r>
      <w:bookmarkEnd w:id="393"/>
      <w:r>
        <w:rPr>
          <w:rFonts w:hint="eastAsia" w:ascii="宋体" w:hAnsi="宋体" w:cs="宋体"/>
          <w:szCs w:val="21"/>
          <w:highlight w:val="none"/>
          <w:u w:val="single"/>
        </w:rPr>
        <w:t xml:space="preserve"> </w:t>
      </w:r>
      <w:r>
        <w:rPr>
          <w:rFonts w:hint="eastAsia" w:ascii="宋体" w:hAnsi="宋体" w:cs="宋体"/>
          <w:szCs w:val="21"/>
          <w:highlight w:val="none"/>
        </w:rPr>
        <w:t>承担。</w:t>
      </w:r>
      <w:bookmarkEnd w:id="390"/>
    </w:p>
    <w:p w14:paraId="327E512F">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1.8 知识产权</w:t>
      </w:r>
    </w:p>
    <w:p w14:paraId="295E11B3">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1.8.1关于</w:t>
      </w:r>
      <w:bookmarkStart w:id="394" w:name="REVIEW_BM_1347"/>
      <w:r>
        <w:rPr>
          <w:rFonts w:hint="eastAsia" w:ascii="宋体" w:hAnsi="宋体" w:cs="宋体"/>
          <w:szCs w:val="21"/>
          <w:highlight w:val="none"/>
        </w:rPr>
        <w:t>发包人</w:t>
      </w:r>
      <w:bookmarkEnd w:id="394"/>
      <w:r>
        <w:rPr>
          <w:rFonts w:hint="eastAsia" w:ascii="宋体" w:hAnsi="宋体" w:cs="宋体"/>
          <w:szCs w:val="21"/>
          <w:highlight w:val="none"/>
        </w:rPr>
        <w:t>提供给</w:t>
      </w:r>
      <w:bookmarkStart w:id="395" w:name="REVIEW_BM_1349"/>
      <w:r>
        <w:rPr>
          <w:rFonts w:hint="eastAsia" w:ascii="宋体" w:hAnsi="宋体" w:cs="宋体"/>
          <w:szCs w:val="21"/>
          <w:highlight w:val="none"/>
        </w:rPr>
        <w:t>承包人</w:t>
      </w:r>
      <w:bookmarkEnd w:id="395"/>
      <w:r>
        <w:rPr>
          <w:rFonts w:hint="eastAsia" w:ascii="宋体" w:hAnsi="宋体" w:cs="宋体"/>
          <w:szCs w:val="21"/>
          <w:highlight w:val="none"/>
        </w:rPr>
        <w:t>的图纸、发包人为实施工程自行编制或委托编制的技术规范以及反映</w:t>
      </w:r>
      <w:bookmarkStart w:id="396" w:name="REVIEW_BM_1348"/>
      <w:r>
        <w:rPr>
          <w:rFonts w:hint="eastAsia" w:ascii="宋体" w:hAnsi="宋体" w:cs="宋体"/>
          <w:szCs w:val="21"/>
          <w:highlight w:val="none"/>
        </w:rPr>
        <w:t>发包人</w:t>
      </w:r>
      <w:bookmarkEnd w:id="396"/>
      <w:r>
        <w:rPr>
          <w:rFonts w:hint="eastAsia" w:ascii="宋体" w:hAnsi="宋体" w:cs="宋体"/>
          <w:szCs w:val="21"/>
          <w:highlight w:val="none"/>
        </w:rPr>
        <w:t>关于合同要求或其他类似性质的文件的著作权的归属：</w:t>
      </w:r>
      <w:r>
        <w:rPr>
          <w:rFonts w:hint="eastAsia" w:ascii="宋体" w:hAnsi="宋体" w:cs="宋体"/>
          <w:szCs w:val="21"/>
          <w:highlight w:val="none"/>
          <w:u w:val="single"/>
        </w:rPr>
        <w:t xml:space="preserve"> 参照本合同通用条款执行 </w:t>
      </w:r>
      <w:r>
        <w:rPr>
          <w:rFonts w:hint="eastAsia" w:ascii="宋体" w:hAnsi="宋体" w:cs="宋体"/>
          <w:szCs w:val="21"/>
          <w:highlight w:val="none"/>
        </w:rPr>
        <w:t>。</w:t>
      </w:r>
    </w:p>
    <w:p w14:paraId="14F7D054">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w:t>
      </w:r>
      <w:bookmarkStart w:id="397" w:name="REVIEW_BM_1350"/>
      <w:r>
        <w:rPr>
          <w:rFonts w:hint="eastAsia" w:ascii="宋体" w:hAnsi="宋体" w:cs="宋体"/>
          <w:szCs w:val="21"/>
          <w:highlight w:val="none"/>
        </w:rPr>
        <w:t>发包人</w:t>
      </w:r>
      <w:bookmarkEnd w:id="397"/>
      <w:r>
        <w:rPr>
          <w:rFonts w:hint="eastAsia" w:ascii="宋体" w:hAnsi="宋体" w:cs="宋体"/>
          <w:szCs w:val="21"/>
          <w:highlight w:val="none"/>
        </w:rPr>
        <w:t>提供的上述文件的使用限制的要求：</w:t>
      </w:r>
      <w:r>
        <w:rPr>
          <w:rFonts w:hint="eastAsia" w:ascii="宋体" w:hAnsi="宋体" w:cs="宋体"/>
          <w:szCs w:val="21"/>
          <w:highlight w:val="none"/>
          <w:u w:val="single"/>
        </w:rPr>
        <w:t>参照本合同通用条款执行</w:t>
      </w:r>
      <w:r>
        <w:rPr>
          <w:rFonts w:hint="eastAsia" w:ascii="宋体" w:hAnsi="宋体" w:cs="宋体"/>
          <w:szCs w:val="21"/>
          <w:highlight w:val="none"/>
        </w:rPr>
        <w:t>。</w:t>
      </w:r>
    </w:p>
    <w:p w14:paraId="5EA65475">
      <w:pPr>
        <w:widowControl/>
        <w:spacing w:line="360" w:lineRule="auto"/>
        <w:rPr>
          <w:rFonts w:hint="eastAsia" w:ascii="宋体" w:hAnsi="宋体" w:cs="宋体"/>
          <w:szCs w:val="21"/>
          <w:highlight w:val="none"/>
        </w:rPr>
      </w:pPr>
      <w:r>
        <w:rPr>
          <w:rFonts w:hint="eastAsia" w:ascii="宋体" w:hAnsi="宋体" w:cs="宋体"/>
          <w:szCs w:val="21"/>
          <w:highlight w:val="none"/>
        </w:rPr>
        <w:t xml:space="preserve">    1.8.2 关于</w:t>
      </w:r>
      <w:bookmarkStart w:id="398" w:name="REVIEW_BM_1351"/>
      <w:r>
        <w:rPr>
          <w:rFonts w:hint="eastAsia" w:ascii="宋体" w:hAnsi="宋体" w:cs="宋体"/>
          <w:szCs w:val="21"/>
          <w:highlight w:val="none"/>
        </w:rPr>
        <w:t>承包人</w:t>
      </w:r>
      <w:bookmarkEnd w:id="398"/>
      <w:r>
        <w:rPr>
          <w:rFonts w:hint="eastAsia" w:ascii="宋体" w:hAnsi="宋体" w:cs="宋体"/>
          <w:szCs w:val="21"/>
          <w:highlight w:val="none"/>
        </w:rPr>
        <w:t>为实施工程所编制文件的著作权的归属：</w:t>
      </w:r>
      <w:r>
        <w:rPr>
          <w:rFonts w:hint="eastAsia" w:ascii="宋体" w:hAnsi="宋体" w:cs="宋体"/>
          <w:szCs w:val="21"/>
          <w:highlight w:val="none"/>
          <w:u w:val="single"/>
        </w:rPr>
        <w:t>参照本合同通用条款执行</w:t>
      </w:r>
      <w:r>
        <w:rPr>
          <w:rFonts w:hint="eastAsia" w:ascii="宋体" w:hAnsi="宋体" w:cs="宋体"/>
          <w:szCs w:val="21"/>
          <w:highlight w:val="none"/>
        </w:rPr>
        <w:t>。</w:t>
      </w:r>
    </w:p>
    <w:p w14:paraId="6FD15C10">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w:t>
      </w:r>
      <w:bookmarkStart w:id="399" w:name="REVIEW_BM_1352"/>
      <w:r>
        <w:rPr>
          <w:rFonts w:hint="eastAsia" w:ascii="宋体" w:hAnsi="宋体" w:cs="宋体"/>
          <w:szCs w:val="21"/>
          <w:highlight w:val="none"/>
        </w:rPr>
        <w:t>承包人</w:t>
      </w:r>
      <w:bookmarkEnd w:id="399"/>
      <w:r>
        <w:rPr>
          <w:rFonts w:hint="eastAsia" w:ascii="宋体" w:hAnsi="宋体" w:cs="宋体"/>
          <w:szCs w:val="21"/>
          <w:highlight w:val="none"/>
        </w:rPr>
        <w:t>提供的上述文件的使用限制的要求：</w:t>
      </w:r>
      <w:r>
        <w:rPr>
          <w:rFonts w:hint="eastAsia" w:ascii="宋体" w:hAnsi="宋体" w:cs="宋体"/>
          <w:szCs w:val="21"/>
          <w:highlight w:val="none"/>
          <w:u w:val="single"/>
        </w:rPr>
        <w:t>参照本合同通用条款执行</w:t>
      </w:r>
      <w:r>
        <w:rPr>
          <w:rFonts w:hint="eastAsia" w:ascii="宋体" w:hAnsi="宋体" w:cs="宋体"/>
          <w:szCs w:val="21"/>
          <w:highlight w:val="none"/>
        </w:rPr>
        <w:t>。</w:t>
      </w:r>
    </w:p>
    <w:p w14:paraId="513E3B2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1.8.3 </w:t>
      </w:r>
      <w:bookmarkStart w:id="400" w:name="REVIEW_BM_1354"/>
      <w:r>
        <w:rPr>
          <w:rFonts w:hint="eastAsia" w:ascii="宋体" w:hAnsi="宋体" w:cs="宋体"/>
          <w:szCs w:val="21"/>
          <w:highlight w:val="none"/>
        </w:rPr>
        <w:t>承包人</w:t>
      </w:r>
      <w:bookmarkEnd w:id="400"/>
      <w:r>
        <w:rPr>
          <w:rFonts w:hint="eastAsia" w:ascii="宋体" w:hAnsi="宋体" w:cs="宋体"/>
          <w:szCs w:val="21"/>
          <w:highlight w:val="none"/>
        </w:rPr>
        <w:t>在施工过程中所采用的专利、专有技术、技术秘密的使用费的承担方式：</w:t>
      </w:r>
      <w:r>
        <w:rPr>
          <w:rFonts w:hint="eastAsia" w:ascii="宋体" w:hAnsi="宋体" w:cs="宋体"/>
          <w:szCs w:val="21"/>
          <w:highlight w:val="none"/>
          <w:u w:val="single"/>
        </w:rPr>
        <w:t>由</w:t>
      </w:r>
      <w:bookmarkStart w:id="401" w:name="REVIEW_BM_1355"/>
      <w:r>
        <w:rPr>
          <w:rFonts w:hint="eastAsia" w:ascii="宋体" w:hAnsi="宋体" w:cs="宋体"/>
          <w:szCs w:val="21"/>
          <w:highlight w:val="none"/>
          <w:u w:val="single"/>
        </w:rPr>
        <w:t>承包人</w:t>
      </w:r>
      <w:bookmarkEnd w:id="401"/>
      <w:r>
        <w:rPr>
          <w:rFonts w:hint="eastAsia" w:ascii="宋体" w:hAnsi="宋体" w:cs="宋体"/>
          <w:szCs w:val="21"/>
          <w:highlight w:val="none"/>
          <w:u w:val="single"/>
        </w:rPr>
        <w:t>承担，已包含在签约合同价中，</w:t>
      </w:r>
      <w:bookmarkStart w:id="402" w:name="REVIEW_BM_1353"/>
      <w:r>
        <w:rPr>
          <w:rFonts w:hint="eastAsia" w:ascii="宋体" w:hAnsi="宋体" w:cs="宋体"/>
          <w:szCs w:val="21"/>
          <w:highlight w:val="none"/>
          <w:u w:val="single"/>
        </w:rPr>
        <w:t>发包人</w:t>
      </w:r>
      <w:bookmarkEnd w:id="402"/>
      <w:r>
        <w:rPr>
          <w:rFonts w:hint="eastAsia" w:ascii="宋体" w:hAnsi="宋体" w:cs="宋体"/>
          <w:szCs w:val="21"/>
          <w:highlight w:val="none"/>
          <w:u w:val="single"/>
        </w:rPr>
        <w:t>不再另行支付</w:t>
      </w:r>
      <w:r>
        <w:rPr>
          <w:rFonts w:hint="eastAsia" w:ascii="宋体" w:hAnsi="宋体" w:cs="宋体"/>
          <w:szCs w:val="21"/>
          <w:highlight w:val="none"/>
        </w:rPr>
        <w:t>。</w:t>
      </w:r>
    </w:p>
    <w:p w14:paraId="3CD59F39">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1.9工程量清单错误的修正</w:t>
      </w:r>
    </w:p>
    <w:p w14:paraId="6A38FE6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出现工程量清单错误时，是否调整合同价格：否。</w:t>
      </w:r>
    </w:p>
    <w:p w14:paraId="58DAE0BD">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允许调整合同价格的工程量偏差范围：</w:t>
      </w:r>
      <w:r>
        <w:rPr>
          <w:rFonts w:hint="eastAsia" w:ascii="宋体" w:hAnsi="宋体" w:cs="宋体"/>
          <w:szCs w:val="21"/>
          <w:highlight w:val="none"/>
          <w:u w:val="single"/>
        </w:rPr>
        <w:t xml:space="preserve">           /           </w:t>
      </w:r>
      <w:r>
        <w:rPr>
          <w:rFonts w:hint="eastAsia" w:ascii="宋体" w:hAnsi="宋体" w:cs="宋体"/>
          <w:szCs w:val="21"/>
          <w:highlight w:val="none"/>
        </w:rPr>
        <w:t>。</w:t>
      </w:r>
    </w:p>
    <w:p w14:paraId="7BC4BFFC">
      <w:pPr>
        <w:pStyle w:val="6"/>
        <w:spacing w:before="0" w:line="360" w:lineRule="auto"/>
        <w:rPr>
          <w:rFonts w:hint="eastAsia" w:ascii="宋体" w:hAnsi="宋体" w:cs="宋体"/>
          <w:bCs w:val="0"/>
          <w:sz w:val="21"/>
          <w:szCs w:val="21"/>
          <w:highlight w:val="none"/>
        </w:rPr>
      </w:pPr>
      <w:bookmarkStart w:id="403" w:name="_Toc116229081"/>
      <w:bookmarkStart w:id="404" w:name="_Toc14495"/>
      <w:r>
        <w:rPr>
          <w:rFonts w:hint="eastAsia" w:ascii="宋体" w:hAnsi="宋体" w:cs="宋体"/>
          <w:bCs w:val="0"/>
          <w:sz w:val="21"/>
          <w:szCs w:val="21"/>
          <w:highlight w:val="none"/>
        </w:rPr>
        <w:t>2</w:t>
      </w:r>
      <w:bookmarkStart w:id="405" w:name="_Toc292559867"/>
      <w:bookmarkStart w:id="406" w:name="_Toc296944496"/>
      <w:bookmarkStart w:id="407" w:name="_Toc296891197"/>
      <w:bookmarkStart w:id="408" w:name="_Toc297048343"/>
      <w:bookmarkStart w:id="409" w:name="_Toc296346658"/>
      <w:bookmarkStart w:id="410" w:name="_Toc297120457"/>
      <w:bookmarkStart w:id="411" w:name="_Toc292559362"/>
      <w:bookmarkStart w:id="412" w:name="_Toc296890985"/>
      <w:bookmarkStart w:id="413" w:name="_Toc296503157"/>
      <w:bookmarkStart w:id="414" w:name="_Toc296347156"/>
      <w:r>
        <w:rPr>
          <w:rFonts w:hint="eastAsia" w:ascii="宋体" w:hAnsi="宋体" w:cs="宋体"/>
          <w:bCs w:val="0"/>
          <w:sz w:val="21"/>
          <w:szCs w:val="21"/>
          <w:highlight w:val="none"/>
        </w:rPr>
        <w:t xml:space="preserve">. </w:t>
      </w:r>
      <w:bookmarkStart w:id="415" w:name="REVIEW_BM_1356"/>
      <w:r>
        <w:rPr>
          <w:rFonts w:hint="eastAsia" w:ascii="宋体" w:hAnsi="宋体" w:cs="宋体"/>
          <w:bCs w:val="0"/>
          <w:sz w:val="21"/>
          <w:szCs w:val="21"/>
          <w:highlight w:val="none"/>
        </w:rPr>
        <w:t>发包人</w:t>
      </w:r>
      <w:bookmarkEnd w:id="403"/>
      <w:bookmarkEnd w:id="404"/>
      <w:bookmarkEnd w:id="405"/>
      <w:bookmarkEnd w:id="406"/>
      <w:bookmarkEnd w:id="407"/>
      <w:bookmarkEnd w:id="408"/>
      <w:bookmarkEnd w:id="409"/>
      <w:bookmarkEnd w:id="410"/>
      <w:bookmarkEnd w:id="411"/>
      <w:bookmarkEnd w:id="412"/>
      <w:bookmarkEnd w:id="413"/>
      <w:bookmarkEnd w:id="414"/>
      <w:bookmarkEnd w:id="415"/>
    </w:p>
    <w:p w14:paraId="38D134E4">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2.1 </w:t>
      </w:r>
      <w:bookmarkStart w:id="416" w:name="REVIEW_BM_1357"/>
      <w:r>
        <w:rPr>
          <w:rFonts w:hint="eastAsia" w:ascii="宋体" w:hAnsi="宋体" w:cs="宋体"/>
          <w:szCs w:val="21"/>
          <w:highlight w:val="none"/>
        </w:rPr>
        <w:t>发包人</w:t>
      </w:r>
      <w:bookmarkEnd w:id="416"/>
      <w:r>
        <w:rPr>
          <w:rFonts w:hint="eastAsia" w:ascii="宋体" w:hAnsi="宋体" w:cs="宋体"/>
          <w:szCs w:val="21"/>
          <w:highlight w:val="none"/>
        </w:rPr>
        <w:t>代表</w:t>
      </w:r>
    </w:p>
    <w:p w14:paraId="190EC56B">
      <w:pPr>
        <w:widowControl/>
        <w:spacing w:line="360" w:lineRule="auto"/>
        <w:ind w:firstLine="420"/>
        <w:rPr>
          <w:rFonts w:hint="eastAsia" w:ascii="宋体" w:hAnsi="宋体" w:cs="宋体"/>
          <w:szCs w:val="21"/>
          <w:highlight w:val="none"/>
        </w:rPr>
      </w:pPr>
      <w:bookmarkStart w:id="417" w:name="REVIEW_BM_1358"/>
      <w:r>
        <w:rPr>
          <w:rFonts w:hint="eastAsia" w:ascii="宋体" w:hAnsi="宋体" w:cs="宋体"/>
          <w:szCs w:val="21"/>
          <w:highlight w:val="none"/>
        </w:rPr>
        <w:t>发包人</w:t>
      </w:r>
      <w:bookmarkEnd w:id="417"/>
      <w:r>
        <w:rPr>
          <w:rFonts w:hint="eastAsia" w:ascii="宋体" w:hAnsi="宋体" w:cs="宋体"/>
          <w:szCs w:val="21"/>
          <w:highlight w:val="none"/>
        </w:rPr>
        <w:t>代表：</w:t>
      </w:r>
    </w:p>
    <w:p w14:paraId="7865191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731DDC91">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身份证号：</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w:t>
      </w:r>
    </w:p>
    <w:p w14:paraId="64A65091">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职    务：</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75A7C7DD">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w:t>
      </w:r>
    </w:p>
    <w:p w14:paraId="041679B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lang w:val="en-US" w:eastAsia="zh-CN"/>
        </w:rPr>
        <w:t xml:space="preserve">                </w:t>
      </w:r>
      <w:r>
        <w:rPr>
          <w:rFonts w:hint="eastAsia" w:ascii="宋体" w:hAnsi="宋体" w:cs="宋体"/>
          <w:szCs w:val="21"/>
          <w:highlight w:val="none"/>
        </w:rPr>
        <w:t>；</w:t>
      </w:r>
    </w:p>
    <w:p w14:paraId="721EC28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lang w:val="en-US" w:eastAsia="zh-CN"/>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p>
    <w:p w14:paraId="2FCF3C9F">
      <w:pPr>
        <w:widowControl/>
        <w:spacing w:line="360" w:lineRule="auto"/>
        <w:ind w:firstLine="420"/>
        <w:rPr>
          <w:rFonts w:hint="eastAsia" w:ascii="宋体" w:hAnsi="宋体" w:cs="宋体"/>
          <w:szCs w:val="21"/>
          <w:highlight w:val="none"/>
        </w:rPr>
      </w:pPr>
      <w:bookmarkStart w:id="418" w:name="REVIEW_BM_1359"/>
      <w:r>
        <w:rPr>
          <w:rFonts w:hint="eastAsia" w:ascii="宋体" w:hAnsi="宋体" w:cs="宋体"/>
          <w:szCs w:val="21"/>
          <w:highlight w:val="none"/>
        </w:rPr>
        <w:t>发包人</w:t>
      </w:r>
      <w:bookmarkEnd w:id="418"/>
      <w:r>
        <w:rPr>
          <w:rFonts w:hint="eastAsia" w:ascii="宋体" w:hAnsi="宋体" w:cs="宋体"/>
          <w:szCs w:val="21"/>
          <w:highlight w:val="none"/>
        </w:rPr>
        <w:t>对</w:t>
      </w:r>
      <w:bookmarkStart w:id="419" w:name="REVIEW_BM_1360"/>
      <w:r>
        <w:rPr>
          <w:rFonts w:hint="eastAsia" w:ascii="宋体" w:hAnsi="宋体" w:cs="宋体"/>
          <w:szCs w:val="21"/>
          <w:highlight w:val="none"/>
        </w:rPr>
        <w:t>发包人</w:t>
      </w:r>
      <w:bookmarkEnd w:id="419"/>
      <w:r>
        <w:rPr>
          <w:rFonts w:hint="eastAsia" w:ascii="宋体" w:hAnsi="宋体" w:cs="宋体"/>
          <w:szCs w:val="21"/>
          <w:highlight w:val="none"/>
        </w:rPr>
        <w:t>代表的授权范围如下：督促指导监理工程师行使职权，协调工程参建各方的关系，协调处理工程质量、进度和安全文明施工存在的问题，文件签收与审批（包括但不限于设计变更确认、工程量签证、进度款审核），但涉及合同价款调整、工期顺延、合同解除等重大事项，需经</w:t>
      </w:r>
      <w:bookmarkStart w:id="420" w:name="REVIEW_BM_1361"/>
      <w:r>
        <w:rPr>
          <w:rFonts w:hint="eastAsia" w:ascii="宋体" w:hAnsi="宋体" w:cs="宋体"/>
          <w:szCs w:val="21"/>
          <w:highlight w:val="none"/>
        </w:rPr>
        <w:t>甲方</w:t>
      </w:r>
      <w:bookmarkEnd w:id="420"/>
      <w:r>
        <w:rPr>
          <w:rFonts w:hint="eastAsia" w:ascii="宋体" w:hAnsi="宋体" w:cs="宋体"/>
          <w:szCs w:val="21"/>
          <w:highlight w:val="none"/>
        </w:rPr>
        <w:t>法定代表人或其书面授权的代理人签字并加盖公章后方为有效。</w:t>
      </w:r>
    </w:p>
    <w:p w14:paraId="5DACCEAC">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2.2 施工现场、施工条件和基础资料的提供</w:t>
      </w:r>
    </w:p>
    <w:p w14:paraId="6743F754">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2.2.1 提供施工现场</w:t>
      </w:r>
    </w:p>
    <w:p w14:paraId="1B7FE5CE">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w:t>
      </w:r>
      <w:bookmarkStart w:id="421" w:name="REVIEW_BM_1362"/>
      <w:r>
        <w:rPr>
          <w:rFonts w:hint="eastAsia" w:ascii="宋体" w:hAnsi="宋体" w:cs="宋体"/>
          <w:szCs w:val="21"/>
          <w:highlight w:val="none"/>
        </w:rPr>
        <w:t>发包人</w:t>
      </w:r>
      <w:bookmarkEnd w:id="421"/>
      <w:r>
        <w:rPr>
          <w:rFonts w:hint="eastAsia" w:ascii="宋体" w:hAnsi="宋体" w:cs="宋体"/>
          <w:szCs w:val="21"/>
          <w:highlight w:val="none"/>
        </w:rPr>
        <w:t>移交施工现场的期限要求：</w:t>
      </w:r>
      <w:r>
        <w:rPr>
          <w:rFonts w:hint="eastAsia" w:ascii="宋体" w:hAnsi="宋体" w:cs="宋体"/>
          <w:spacing w:val="-5"/>
          <w:szCs w:val="21"/>
          <w:highlight w:val="none"/>
          <w:u w:val="single"/>
        </w:rPr>
        <w:t>参照本合同通用条款执行</w:t>
      </w:r>
      <w:r>
        <w:rPr>
          <w:rFonts w:hint="eastAsia" w:ascii="宋体" w:hAnsi="宋体" w:cs="宋体"/>
          <w:szCs w:val="21"/>
          <w:highlight w:val="none"/>
        </w:rPr>
        <w:t>。</w:t>
      </w:r>
    </w:p>
    <w:p w14:paraId="54C7F4D5">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2.2.2 提供施工条件</w:t>
      </w:r>
    </w:p>
    <w:p w14:paraId="43A22533">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w:t>
      </w:r>
      <w:bookmarkStart w:id="422" w:name="REVIEW_BM_1363"/>
      <w:r>
        <w:rPr>
          <w:rFonts w:hint="eastAsia" w:ascii="宋体" w:hAnsi="宋体" w:cs="宋体"/>
          <w:szCs w:val="21"/>
          <w:highlight w:val="none"/>
        </w:rPr>
        <w:t>发包人</w:t>
      </w:r>
      <w:bookmarkEnd w:id="422"/>
      <w:r>
        <w:rPr>
          <w:rFonts w:hint="eastAsia" w:ascii="宋体" w:hAnsi="宋体" w:cs="宋体"/>
          <w:szCs w:val="21"/>
          <w:highlight w:val="none"/>
        </w:rPr>
        <w:t>应负责提供施工所需要的条件，包括：</w:t>
      </w:r>
      <w:r>
        <w:rPr>
          <w:rFonts w:hint="eastAsia" w:ascii="宋体" w:hAnsi="宋体" w:cs="宋体"/>
          <w:szCs w:val="21"/>
          <w:highlight w:val="none"/>
          <w:u w:val="single"/>
        </w:rPr>
        <w:t>施工用水、用电及电讯线路由</w:t>
      </w:r>
      <w:bookmarkStart w:id="423" w:name="REVIEW_BM_1364"/>
      <w:r>
        <w:rPr>
          <w:rFonts w:hint="eastAsia" w:ascii="宋体" w:hAnsi="宋体" w:cs="宋体"/>
          <w:szCs w:val="21"/>
          <w:highlight w:val="none"/>
          <w:u w:val="single"/>
        </w:rPr>
        <w:t>承包人</w:t>
      </w:r>
      <w:bookmarkEnd w:id="423"/>
      <w:r>
        <w:rPr>
          <w:rFonts w:hint="eastAsia" w:ascii="宋体" w:hAnsi="宋体" w:cs="宋体"/>
          <w:szCs w:val="21"/>
          <w:highlight w:val="none"/>
          <w:u w:val="single"/>
        </w:rPr>
        <w:t>自行解决，费用由</w:t>
      </w:r>
      <w:bookmarkStart w:id="424" w:name="REVIEW_BM_1365"/>
      <w:r>
        <w:rPr>
          <w:rFonts w:hint="eastAsia" w:ascii="宋体" w:hAnsi="宋体" w:cs="宋体"/>
          <w:szCs w:val="21"/>
          <w:highlight w:val="none"/>
          <w:u w:val="single"/>
        </w:rPr>
        <w:t>承包人</w:t>
      </w:r>
      <w:bookmarkEnd w:id="424"/>
      <w:r>
        <w:rPr>
          <w:rFonts w:hint="eastAsia" w:ascii="宋体" w:hAnsi="宋体" w:cs="宋体"/>
          <w:szCs w:val="21"/>
          <w:highlight w:val="none"/>
          <w:u w:val="single"/>
        </w:rPr>
        <w:t>在各项综合单价中自行考虑，水、电由</w:t>
      </w:r>
      <w:bookmarkStart w:id="425" w:name="REVIEW_BM_1366"/>
      <w:r>
        <w:rPr>
          <w:rFonts w:hint="eastAsia" w:ascii="宋体" w:hAnsi="宋体" w:cs="宋体"/>
          <w:szCs w:val="21"/>
          <w:highlight w:val="none"/>
          <w:u w:val="single"/>
        </w:rPr>
        <w:t>承包人</w:t>
      </w:r>
      <w:bookmarkEnd w:id="425"/>
      <w:r>
        <w:rPr>
          <w:rFonts w:hint="eastAsia" w:ascii="宋体" w:hAnsi="宋体" w:cs="宋体"/>
          <w:szCs w:val="21"/>
          <w:highlight w:val="none"/>
          <w:u w:val="single"/>
        </w:rPr>
        <w:t>在指定接线位置装表计量、接至现场各施工地点并自行承担相关费用 。若供电部门的原因造成停电，</w:t>
      </w:r>
      <w:bookmarkStart w:id="426" w:name="REVIEW_BM_1367"/>
      <w:r>
        <w:rPr>
          <w:rFonts w:hint="eastAsia" w:ascii="宋体" w:hAnsi="宋体" w:cs="宋体"/>
          <w:szCs w:val="21"/>
          <w:highlight w:val="none"/>
          <w:u w:val="single"/>
        </w:rPr>
        <w:t>承包人</w:t>
      </w:r>
      <w:bookmarkEnd w:id="426"/>
      <w:r>
        <w:rPr>
          <w:rFonts w:hint="eastAsia" w:ascii="宋体" w:hAnsi="宋体" w:cs="宋体"/>
          <w:szCs w:val="21"/>
          <w:highlight w:val="none"/>
          <w:u w:val="single"/>
        </w:rPr>
        <w:t>必须自行解决施工用电，费用由</w:t>
      </w:r>
      <w:bookmarkStart w:id="427" w:name="REVIEW_BM_1368"/>
      <w:r>
        <w:rPr>
          <w:rFonts w:hint="eastAsia" w:ascii="宋体" w:hAnsi="宋体" w:cs="宋体"/>
          <w:szCs w:val="21"/>
          <w:highlight w:val="none"/>
          <w:u w:val="single"/>
        </w:rPr>
        <w:t>承包人</w:t>
      </w:r>
      <w:bookmarkEnd w:id="427"/>
      <w:r>
        <w:rPr>
          <w:rFonts w:hint="eastAsia" w:ascii="宋体" w:hAnsi="宋体" w:cs="宋体"/>
          <w:szCs w:val="21"/>
          <w:highlight w:val="none"/>
          <w:u w:val="single"/>
        </w:rPr>
        <w:t>负责。</w:t>
      </w:r>
    </w:p>
    <w:p w14:paraId="1B30B7D7">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2.2.3 提供基础资料</w:t>
      </w:r>
    </w:p>
    <w:p w14:paraId="69B40B28">
      <w:pPr>
        <w:widowControl/>
        <w:spacing w:line="360" w:lineRule="auto"/>
        <w:ind w:firstLine="420"/>
        <w:rPr>
          <w:rFonts w:hint="eastAsia" w:ascii="宋体" w:hAnsi="宋体" w:cs="宋体"/>
          <w:szCs w:val="21"/>
          <w:highlight w:val="none"/>
        </w:rPr>
      </w:pPr>
      <w:r>
        <w:rPr>
          <w:rFonts w:hint="eastAsia" w:ascii="宋体" w:hAnsi="宋体" w:cs="宋体"/>
          <w:szCs w:val="21"/>
          <w:highlight w:val="none"/>
          <w:u w:val="single"/>
        </w:rPr>
        <w:t>参照本合同通用条款执行</w:t>
      </w:r>
      <w:r>
        <w:rPr>
          <w:rFonts w:hint="eastAsia" w:ascii="宋体" w:hAnsi="宋体" w:cs="宋体"/>
          <w:szCs w:val="21"/>
          <w:highlight w:val="none"/>
        </w:rPr>
        <w:t>。</w:t>
      </w:r>
    </w:p>
    <w:p w14:paraId="0873309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2.3 资金来源证明及支付担保</w:t>
      </w:r>
    </w:p>
    <w:p w14:paraId="3C2F123D">
      <w:pPr>
        <w:widowControl/>
        <w:spacing w:line="360" w:lineRule="auto"/>
        <w:ind w:firstLine="420"/>
        <w:rPr>
          <w:rFonts w:hint="eastAsia" w:ascii="宋体" w:hAnsi="宋体" w:cs="宋体"/>
          <w:szCs w:val="21"/>
          <w:highlight w:val="none"/>
        </w:rPr>
      </w:pPr>
      <w:bookmarkStart w:id="428" w:name="REVIEW_BM_1369"/>
      <w:r>
        <w:rPr>
          <w:rFonts w:hint="eastAsia" w:ascii="宋体" w:hAnsi="宋体" w:cs="宋体"/>
          <w:szCs w:val="21"/>
          <w:highlight w:val="none"/>
        </w:rPr>
        <w:t>发包人</w:t>
      </w:r>
      <w:bookmarkEnd w:id="428"/>
      <w:r>
        <w:rPr>
          <w:rFonts w:hint="eastAsia" w:ascii="宋体" w:hAnsi="宋体" w:cs="宋体"/>
          <w:szCs w:val="21"/>
          <w:highlight w:val="none"/>
        </w:rPr>
        <w:t>提供资金来源证明的期限要求：</w:t>
      </w:r>
      <w:r>
        <w:rPr>
          <w:rFonts w:hint="eastAsia" w:ascii="宋体" w:hAnsi="宋体" w:cs="宋体"/>
          <w:szCs w:val="21"/>
          <w:highlight w:val="none"/>
          <w:u w:val="single"/>
        </w:rPr>
        <w:t xml:space="preserve"> /</w:t>
      </w:r>
      <w:r>
        <w:rPr>
          <w:rFonts w:hint="eastAsia" w:ascii="宋体" w:hAnsi="宋体" w:cs="宋体"/>
          <w:szCs w:val="21"/>
          <w:highlight w:val="none"/>
        </w:rPr>
        <w:t>。</w:t>
      </w:r>
    </w:p>
    <w:p w14:paraId="5BCDA038">
      <w:pPr>
        <w:widowControl/>
        <w:spacing w:line="360" w:lineRule="auto"/>
        <w:ind w:firstLine="420"/>
        <w:rPr>
          <w:rFonts w:hint="eastAsia" w:ascii="宋体" w:hAnsi="宋体" w:cs="宋体"/>
          <w:szCs w:val="21"/>
          <w:highlight w:val="none"/>
        </w:rPr>
      </w:pPr>
      <w:bookmarkStart w:id="429" w:name="REVIEW_BM_1370"/>
      <w:r>
        <w:rPr>
          <w:rFonts w:hint="eastAsia" w:ascii="宋体" w:hAnsi="宋体" w:cs="宋体"/>
          <w:szCs w:val="21"/>
          <w:highlight w:val="none"/>
        </w:rPr>
        <w:t>发包人</w:t>
      </w:r>
      <w:bookmarkEnd w:id="429"/>
      <w:r>
        <w:rPr>
          <w:rFonts w:hint="eastAsia" w:ascii="宋体" w:hAnsi="宋体" w:cs="宋体"/>
          <w:szCs w:val="21"/>
          <w:highlight w:val="none"/>
        </w:rPr>
        <w:t>是否提供支付担保：</w:t>
      </w:r>
      <w:r>
        <w:rPr>
          <w:rFonts w:hint="eastAsia" w:ascii="宋体" w:hAnsi="宋体" w:cs="宋体"/>
          <w:szCs w:val="21"/>
          <w:highlight w:val="none"/>
          <w:u w:val="single"/>
        </w:rPr>
        <w:t xml:space="preserve"> /</w:t>
      </w:r>
      <w:r>
        <w:rPr>
          <w:rFonts w:hint="eastAsia" w:ascii="宋体" w:hAnsi="宋体" w:cs="宋体"/>
          <w:szCs w:val="21"/>
          <w:highlight w:val="none"/>
        </w:rPr>
        <w:t>。</w:t>
      </w:r>
    </w:p>
    <w:p w14:paraId="38E5A7B0">
      <w:pPr>
        <w:widowControl/>
        <w:spacing w:line="360" w:lineRule="auto"/>
        <w:ind w:firstLine="420"/>
        <w:rPr>
          <w:rFonts w:hint="eastAsia" w:ascii="宋体" w:hAnsi="宋体" w:cs="宋体"/>
          <w:szCs w:val="21"/>
          <w:highlight w:val="none"/>
        </w:rPr>
      </w:pPr>
      <w:bookmarkStart w:id="430" w:name="REVIEW_BM_1371"/>
      <w:r>
        <w:rPr>
          <w:rFonts w:hint="eastAsia" w:ascii="宋体" w:hAnsi="宋体" w:cs="宋体"/>
          <w:szCs w:val="21"/>
          <w:highlight w:val="none"/>
        </w:rPr>
        <w:t>发包人</w:t>
      </w:r>
      <w:bookmarkEnd w:id="430"/>
      <w:r>
        <w:rPr>
          <w:rFonts w:hint="eastAsia" w:ascii="宋体" w:hAnsi="宋体" w:cs="宋体"/>
          <w:szCs w:val="21"/>
          <w:highlight w:val="none"/>
        </w:rPr>
        <w:t>提供支付担保的形式：</w:t>
      </w:r>
      <w:r>
        <w:rPr>
          <w:rFonts w:hint="eastAsia" w:ascii="宋体" w:hAnsi="宋体" w:cs="宋体"/>
          <w:szCs w:val="21"/>
          <w:highlight w:val="none"/>
          <w:u w:val="single"/>
        </w:rPr>
        <w:t xml:space="preserve"> /</w:t>
      </w:r>
      <w:r>
        <w:rPr>
          <w:rFonts w:hint="eastAsia" w:ascii="宋体" w:hAnsi="宋体" w:cs="宋体"/>
          <w:szCs w:val="21"/>
          <w:highlight w:val="none"/>
        </w:rPr>
        <w:t>。</w:t>
      </w:r>
    </w:p>
    <w:p w14:paraId="6EC22A2E">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2.4 组织竣工验收</w:t>
      </w:r>
    </w:p>
    <w:p w14:paraId="600EDC26">
      <w:pPr>
        <w:widowControl/>
        <w:spacing w:line="360" w:lineRule="auto"/>
        <w:ind w:firstLine="420"/>
        <w:rPr>
          <w:rFonts w:hint="eastAsia" w:ascii="宋体" w:hAnsi="宋体" w:cs="宋体"/>
          <w:szCs w:val="21"/>
          <w:highlight w:val="none"/>
        </w:rPr>
      </w:pPr>
      <w:bookmarkStart w:id="431" w:name="REVIEW_BM_1372"/>
      <w:r>
        <w:rPr>
          <w:rFonts w:hint="eastAsia" w:ascii="宋体" w:hAnsi="宋体" w:cs="宋体"/>
          <w:szCs w:val="21"/>
          <w:highlight w:val="none"/>
        </w:rPr>
        <w:t>发包人</w:t>
      </w:r>
      <w:bookmarkEnd w:id="431"/>
      <w:r>
        <w:rPr>
          <w:rFonts w:hint="eastAsia" w:ascii="宋体" w:hAnsi="宋体" w:cs="宋体"/>
          <w:szCs w:val="21"/>
          <w:highlight w:val="none"/>
        </w:rPr>
        <w:t>应按合同约定及时组织竣工验收。</w:t>
      </w:r>
    </w:p>
    <w:p w14:paraId="51E5C345">
      <w:pPr>
        <w:pStyle w:val="6"/>
        <w:spacing w:before="0" w:line="360" w:lineRule="auto"/>
        <w:rPr>
          <w:rFonts w:hint="eastAsia" w:ascii="宋体" w:hAnsi="宋体" w:cs="宋体"/>
          <w:bCs w:val="0"/>
          <w:sz w:val="21"/>
          <w:szCs w:val="21"/>
          <w:highlight w:val="none"/>
        </w:rPr>
      </w:pPr>
      <w:bookmarkStart w:id="432" w:name="_Toc116229082"/>
      <w:bookmarkStart w:id="433" w:name="_Toc31836"/>
      <w:r>
        <w:rPr>
          <w:rFonts w:hint="eastAsia" w:ascii="宋体" w:hAnsi="宋体" w:cs="宋体"/>
          <w:bCs w:val="0"/>
          <w:sz w:val="21"/>
          <w:szCs w:val="21"/>
          <w:highlight w:val="none"/>
        </w:rPr>
        <w:t>3</w:t>
      </w:r>
      <w:bookmarkStart w:id="434" w:name="_Toc292559363"/>
      <w:bookmarkStart w:id="435" w:name="_Toc296890986"/>
      <w:bookmarkStart w:id="436" w:name="_Toc296891198"/>
      <w:bookmarkStart w:id="437" w:name="_Toc296503158"/>
      <w:bookmarkStart w:id="438" w:name="_Toc297048344"/>
      <w:bookmarkStart w:id="439" w:name="_Toc296346659"/>
      <w:bookmarkStart w:id="440" w:name="_Toc297120458"/>
      <w:bookmarkStart w:id="441" w:name="_Toc296347157"/>
      <w:bookmarkStart w:id="442" w:name="_Toc296944497"/>
      <w:bookmarkStart w:id="443" w:name="_Toc292559868"/>
      <w:r>
        <w:rPr>
          <w:rFonts w:hint="eastAsia" w:ascii="宋体" w:hAnsi="宋体" w:cs="宋体"/>
          <w:bCs w:val="0"/>
          <w:sz w:val="21"/>
          <w:szCs w:val="21"/>
          <w:highlight w:val="none"/>
        </w:rPr>
        <w:t xml:space="preserve">. </w:t>
      </w:r>
      <w:bookmarkStart w:id="444" w:name="REVIEW_BM_1373"/>
      <w:r>
        <w:rPr>
          <w:rFonts w:hint="eastAsia" w:ascii="宋体" w:hAnsi="宋体" w:cs="宋体"/>
          <w:bCs w:val="0"/>
          <w:sz w:val="21"/>
          <w:szCs w:val="21"/>
          <w:highlight w:val="none"/>
        </w:rPr>
        <w:t>承包人</w:t>
      </w:r>
      <w:bookmarkEnd w:id="432"/>
      <w:bookmarkEnd w:id="433"/>
      <w:bookmarkEnd w:id="434"/>
      <w:bookmarkEnd w:id="435"/>
      <w:bookmarkEnd w:id="436"/>
      <w:bookmarkEnd w:id="437"/>
      <w:bookmarkEnd w:id="438"/>
      <w:bookmarkEnd w:id="439"/>
      <w:bookmarkEnd w:id="440"/>
      <w:bookmarkEnd w:id="441"/>
      <w:bookmarkEnd w:id="442"/>
      <w:bookmarkEnd w:id="443"/>
      <w:bookmarkEnd w:id="444"/>
    </w:p>
    <w:p w14:paraId="64DC6A15">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 xml:space="preserve">3.1 </w:t>
      </w:r>
      <w:bookmarkStart w:id="445" w:name="REVIEW_BM_1374"/>
      <w:r>
        <w:rPr>
          <w:rFonts w:hint="eastAsia" w:ascii="宋体" w:hAnsi="宋体" w:cs="宋体"/>
          <w:b/>
          <w:szCs w:val="21"/>
          <w:highlight w:val="none"/>
        </w:rPr>
        <w:t>承包人</w:t>
      </w:r>
      <w:bookmarkEnd w:id="445"/>
      <w:r>
        <w:rPr>
          <w:rFonts w:hint="eastAsia" w:ascii="宋体" w:hAnsi="宋体" w:cs="宋体"/>
          <w:b/>
          <w:szCs w:val="21"/>
          <w:highlight w:val="none"/>
        </w:rPr>
        <w:t>的</w:t>
      </w:r>
      <w:bookmarkStart w:id="446" w:name="REVIEW_BM_1375"/>
      <w:r>
        <w:rPr>
          <w:rFonts w:hint="eastAsia" w:ascii="宋体" w:hAnsi="宋体" w:cs="宋体"/>
          <w:b/>
          <w:szCs w:val="21"/>
          <w:highlight w:val="none"/>
        </w:rPr>
        <w:t>一般</w:t>
      </w:r>
      <w:bookmarkEnd w:id="446"/>
      <w:r>
        <w:rPr>
          <w:rFonts w:hint="eastAsia" w:ascii="宋体" w:hAnsi="宋体" w:cs="宋体"/>
          <w:b/>
          <w:szCs w:val="21"/>
          <w:highlight w:val="none"/>
        </w:rPr>
        <w:t>义务</w:t>
      </w:r>
    </w:p>
    <w:p w14:paraId="5A8F8742">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 xml:space="preserve">3.1.1 </w:t>
      </w:r>
      <w:bookmarkStart w:id="447" w:name="REVIEW_BM_1376"/>
      <w:r>
        <w:rPr>
          <w:rFonts w:hint="eastAsia" w:ascii="宋体" w:hAnsi="宋体" w:cs="宋体"/>
          <w:szCs w:val="21"/>
          <w:highlight w:val="none"/>
        </w:rPr>
        <w:t>承包人</w:t>
      </w:r>
      <w:bookmarkEnd w:id="447"/>
      <w:r>
        <w:rPr>
          <w:rFonts w:hint="eastAsia" w:ascii="宋体" w:hAnsi="宋体" w:cs="宋体"/>
          <w:szCs w:val="21"/>
          <w:highlight w:val="none"/>
        </w:rPr>
        <w:t>提交的竣工资料的内容：</w:t>
      </w:r>
      <w:r>
        <w:rPr>
          <w:rFonts w:hint="eastAsia" w:ascii="宋体" w:hAnsi="宋体" w:cs="宋体"/>
          <w:szCs w:val="21"/>
          <w:highlight w:val="none"/>
          <w:u w:val="single"/>
        </w:rPr>
        <w:t>施工技术管理文件；施工质量证明文件；检验和检测报告；施工记录；检验批质量验收记录；竣工图（设计变更</w:t>
      </w:r>
      <w:bookmarkStart w:id="448" w:name="REVIEW_BM_1377"/>
      <w:r>
        <w:rPr>
          <w:rFonts w:hint="eastAsia" w:ascii="宋体" w:hAnsi="宋体" w:cs="宋体"/>
          <w:szCs w:val="21"/>
          <w:highlight w:val="none"/>
          <w:u w:val="single"/>
        </w:rPr>
        <w:t>较多</w:t>
      </w:r>
      <w:bookmarkEnd w:id="448"/>
      <w:r>
        <w:rPr>
          <w:rFonts w:hint="eastAsia" w:ascii="宋体" w:hAnsi="宋体" w:cs="宋体"/>
          <w:szCs w:val="21"/>
          <w:highlight w:val="none"/>
          <w:u w:val="single"/>
        </w:rPr>
        <w:t>需重新绘制竣工图的，还包含竣工图电子文档）；工程结算书及相关支撑资料；现场影像资料；工程材料的质保资料；工程质量保修书等。</w:t>
      </w:r>
    </w:p>
    <w:p w14:paraId="21B1579F">
      <w:pPr>
        <w:widowControl/>
        <w:spacing w:line="360" w:lineRule="auto"/>
        <w:ind w:firstLine="420"/>
        <w:rPr>
          <w:rFonts w:hint="eastAsia" w:ascii="宋体" w:hAnsi="宋体" w:cs="宋体"/>
          <w:szCs w:val="21"/>
          <w:highlight w:val="none"/>
        </w:rPr>
      </w:pPr>
      <w:bookmarkStart w:id="449" w:name="REVIEW_BM_1378"/>
      <w:r>
        <w:rPr>
          <w:rFonts w:hint="eastAsia" w:ascii="宋体" w:hAnsi="宋体" w:cs="宋体"/>
          <w:szCs w:val="21"/>
          <w:highlight w:val="none"/>
        </w:rPr>
        <w:t>承包人</w:t>
      </w:r>
      <w:bookmarkEnd w:id="449"/>
      <w:r>
        <w:rPr>
          <w:rFonts w:hint="eastAsia" w:ascii="宋体" w:hAnsi="宋体" w:cs="宋体"/>
          <w:szCs w:val="21"/>
          <w:highlight w:val="none"/>
        </w:rPr>
        <w:t>需要提交的竣工资料套数：</w:t>
      </w:r>
      <w:r>
        <w:rPr>
          <w:rFonts w:hint="eastAsia" w:ascii="宋体" w:hAnsi="宋体" w:cs="宋体"/>
          <w:szCs w:val="21"/>
          <w:highlight w:val="none"/>
          <w:u w:val="single"/>
        </w:rPr>
        <w:t>壹式贰份</w:t>
      </w:r>
      <w:r>
        <w:rPr>
          <w:rFonts w:hint="eastAsia" w:ascii="宋体" w:hAnsi="宋体" w:cs="宋体"/>
          <w:szCs w:val="21"/>
          <w:highlight w:val="none"/>
        </w:rPr>
        <w:t>。</w:t>
      </w:r>
    </w:p>
    <w:p w14:paraId="17D8F006">
      <w:pPr>
        <w:widowControl/>
        <w:spacing w:line="360" w:lineRule="auto"/>
        <w:ind w:firstLine="420"/>
        <w:rPr>
          <w:rFonts w:hint="eastAsia" w:ascii="宋体" w:hAnsi="宋体" w:cs="宋体"/>
          <w:szCs w:val="21"/>
          <w:highlight w:val="none"/>
        </w:rPr>
      </w:pPr>
      <w:bookmarkStart w:id="450" w:name="REVIEW_BM_1379"/>
      <w:r>
        <w:rPr>
          <w:rFonts w:hint="eastAsia" w:ascii="宋体" w:hAnsi="宋体" w:cs="宋体"/>
          <w:szCs w:val="21"/>
          <w:highlight w:val="none"/>
        </w:rPr>
        <w:t>承包人</w:t>
      </w:r>
      <w:bookmarkEnd w:id="450"/>
      <w:r>
        <w:rPr>
          <w:rFonts w:hint="eastAsia" w:ascii="宋体" w:hAnsi="宋体" w:cs="宋体"/>
          <w:szCs w:val="21"/>
          <w:highlight w:val="none"/>
        </w:rPr>
        <w:t>提交的竣工资料的费用承担：</w:t>
      </w:r>
      <w:bookmarkStart w:id="451" w:name="REVIEW_BM_1380"/>
      <w:r>
        <w:rPr>
          <w:rFonts w:hint="eastAsia" w:ascii="宋体" w:hAnsi="宋体" w:cs="宋体"/>
          <w:szCs w:val="21"/>
          <w:highlight w:val="none"/>
          <w:u w:val="single"/>
        </w:rPr>
        <w:t>承包人</w:t>
      </w:r>
      <w:bookmarkEnd w:id="451"/>
      <w:r>
        <w:rPr>
          <w:rFonts w:hint="eastAsia" w:ascii="宋体" w:hAnsi="宋体" w:cs="宋体"/>
          <w:szCs w:val="21"/>
          <w:highlight w:val="none"/>
        </w:rPr>
        <w:t>。</w:t>
      </w:r>
    </w:p>
    <w:p w14:paraId="52466265">
      <w:pPr>
        <w:widowControl/>
        <w:spacing w:line="360" w:lineRule="auto"/>
        <w:ind w:firstLine="420"/>
        <w:rPr>
          <w:rFonts w:hint="eastAsia" w:ascii="宋体" w:hAnsi="宋体" w:cs="宋体"/>
          <w:szCs w:val="21"/>
          <w:highlight w:val="none"/>
        </w:rPr>
      </w:pPr>
      <w:bookmarkStart w:id="452" w:name="REVIEW_BM_1382"/>
      <w:r>
        <w:rPr>
          <w:rFonts w:hint="eastAsia" w:ascii="宋体" w:hAnsi="宋体" w:cs="宋体"/>
          <w:szCs w:val="21"/>
          <w:highlight w:val="none"/>
        </w:rPr>
        <w:t>承包人</w:t>
      </w:r>
      <w:bookmarkEnd w:id="452"/>
      <w:r>
        <w:rPr>
          <w:rFonts w:hint="eastAsia" w:ascii="宋体" w:hAnsi="宋体" w:cs="宋体"/>
          <w:szCs w:val="21"/>
          <w:highlight w:val="none"/>
        </w:rPr>
        <w:t>提交的竣工资料移交时间：</w:t>
      </w:r>
      <w:bookmarkStart w:id="453" w:name="REVIEW_BM_1383"/>
      <w:r>
        <w:rPr>
          <w:rFonts w:hint="eastAsia" w:ascii="宋体" w:hAnsi="宋体" w:cs="宋体"/>
          <w:szCs w:val="21"/>
          <w:highlight w:val="none"/>
          <w:u w:val="single"/>
        </w:rPr>
        <w:t>承包人</w:t>
      </w:r>
      <w:bookmarkEnd w:id="453"/>
      <w:r>
        <w:rPr>
          <w:rFonts w:hint="eastAsia" w:ascii="宋体" w:hAnsi="宋体" w:cs="宋体"/>
          <w:szCs w:val="21"/>
          <w:highlight w:val="none"/>
          <w:u w:val="single"/>
        </w:rPr>
        <w:t>应在竣工验收合格后28天内向</w:t>
      </w:r>
      <w:bookmarkStart w:id="454" w:name="REVIEW_BM_1381"/>
      <w:r>
        <w:rPr>
          <w:rFonts w:hint="eastAsia" w:ascii="宋体" w:hAnsi="宋体" w:cs="宋体"/>
          <w:szCs w:val="21"/>
          <w:highlight w:val="none"/>
          <w:u w:val="single"/>
        </w:rPr>
        <w:t>发包人</w:t>
      </w:r>
      <w:bookmarkEnd w:id="454"/>
      <w:r>
        <w:rPr>
          <w:rFonts w:hint="eastAsia" w:ascii="宋体" w:hAnsi="宋体" w:cs="宋体"/>
          <w:szCs w:val="21"/>
          <w:highlight w:val="none"/>
          <w:u w:val="single"/>
        </w:rPr>
        <w:t>移交竣工资料</w:t>
      </w:r>
      <w:r>
        <w:rPr>
          <w:rFonts w:hint="eastAsia" w:ascii="宋体" w:hAnsi="宋体" w:cs="宋体"/>
          <w:szCs w:val="21"/>
          <w:highlight w:val="none"/>
        </w:rPr>
        <w:t>。</w:t>
      </w:r>
    </w:p>
    <w:p w14:paraId="7911EE62">
      <w:pPr>
        <w:widowControl/>
        <w:spacing w:line="360" w:lineRule="auto"/>
        <w:ind w:firstLine="416"/>
        <w:rPr>
          <w:rFonts w:hint="eastAsia" w:ascii="宋体" w:hAnsi="宋体" w:cs="宋体"/>
          <w:szCs w:val="21"/>
          <w:highlight w:val="none"/>
        </w:rPr>
      </w:pPr>
      <w:bookmarkStart w:id="455" w:name="REVIEW_BM_1384"/>
      <w:r>
        <w:rPr>
          <w:rFonts w:hint="eastAsia" w:ascii="宋体" w:hAnsi="宋体" w:cs="宋体"/>
          <w:spacing w:val="-1"/>
          <w:szCs w:val="21"/>
          <w:highlight w:val="none"/>
        </w:rPr>
        <w:t>承包人</w:t>
      </w:r>
      <w:bookmarkEnd w:id="455"/>
      <w:r>
        <w:rPr>
          <w:rFonts w:hint="eastAsia" w:ascii="宋体" w:hAnsi="宋体" w:cs="宋体"/>
          <w:spacing w:val="-1"/>
          <w:szCs w:val="21"/>
          <w:highlight w:val="none"/>
        </w:rPr>
        <w:t>提交的竣工资料形式要求：</w:t>
      </w:r>
      <w:r>
        <w:rPr>
          <w:rFonts w:hint="eastAsia" w:ascii="宋体" w:hAnsi="宋体" w:cs="宋体"/>
          <w:szCs w:val="21"/>
          <w:highlight w:val="none"/>
          <w:u w:val="single"/>
        </w:rPr>
        <w:t>除提供纸质文件外，还应提供相关信息电子文件及影像文件。</w:t>
      </w:r>
    </w:p>
    <w:p w14:paraId="7E2821C9">
      <w:pPr>
        <w:widowControl/>
        <w:spacing w:line="360" w:lineRule="auto"/>
        <w:ind w:firstLine="420"/>
        <w:rPr>
          <w:rFonts w:hint="eastAsia" w:ascii="宋体" w:hAnsi="宋体" w:cs="宋体"/>
          <w:szCs w:val="21"/>
          <w:highlight w:val="none"/>
        </w:rPr>
      </w:pPr>
      <w:bookmarkStart w:id="456" w:name="REVIEW_BM_1387"/>
      <w:r>
        <w:rPr>
          <w:rFonts w:hint="eastAsia" w:ascii="宋体" w:hAnsi="宋体" w:cs="宋体"/>
          <w:szCs w:val="21"/>
          <w:highlight w:val="none"/>
        </w:rPr>
        <w:t>承包人</w:t>
      </w:r>
      <w:bookmarkEnd w:id="456"/>
      <w:r>
        <w:rPr>
          <w:rFonts w:hint="eastAsia" w:ascii="宋体" w:hAnsi="宋体" w:cs="宋体"/>
          <w:szCs w:val="21"/>
          <w:highlight w:val="none"/>
        </w:rPr>
        <w:t>必须按档案管理相关规定整理并移交竣工档案后（包括</w:t>
      </w:r>
      <w:bookmarkStart w:id="457" w:name="REVIEW_BM_1385"/>
      <w:r>
        <w:rPr>
          <w:rFonts w:hint="eastAsia" w:ascii="宋体" w:hAnsi="宋体" w:cs="宋体"/>
          <w:szCs w:val="21"/>
          <w:highlight w:val="none"/>
        </w:rPr>
        <w:t>发包人</w:t>
      </w:r>
      <w:bookmarkEnd w:id="457"/>
      <w:r>
        <w:rPr>
          <w:rFonts w:hint="eastAsia" w:ascii="宋体" w:hAnsi="宋体" w:cs="宋体"/>
          <w:szCs w:val="21"/>
          <w:highlight w:val="none"/>
        </w:rPr>
        <w:t>档案主管部门、</w:t>
      </w:r>
      <w:bookmarkStart w:id="458" w:name="REVIEW_BM_1386"/>
      <w:r>
        <w:rPr>
          <w:rFonts w:hint="eastAsia" w:ascii="宋体" w:hAnsi="宋体" w:cs="宋体"/>
          <w:szCs w:val="21"/>
          <w:highlight w:val="none"/>
        </w:rPr>
        <w:t>发包人</w:t>
      </w:r>
      <w:bookmarkEnd w:id="458"/>
      <w:r>
        <w:rPr>
          <w:rFonts w:hint="eastAsia" w:ascii="宋体" w:hAnsi="宋体" w:cs="宋体"/>
          <w:szCs w:val="21"/>
          <w:highlight w:val="none"/>
        </w:rPr>
        <w:t>接管单位或使用单位），凭相关工程档案移交签字单方可办理工程结算支付。</w:t>
      </w:r>
    </w:p>
    <w:p w14:paraId="7AB1914F">
      <w:pPr>
        <w:widowControl/>
        <w:spacing w:line="360" w:lineRule="auto"/>
        <w:ind w:firstLine="420"/>
        <w:rPr>
          <w:rFonts w:hint="eastAsia" w:ascii="宋体" w:hAnsi="宋体" w:cs="宋体"/>
          <w:szCs w:val="21"/>
          <w:highlight w:val="none"/>
        </w:rPr>
      </w:pPr>
      <w:bookmarkStart w:id="459" w:name="REVIEW_BM_1388"/>
      <w:r>
        <w:rPr>
          <w:rFonts w:hint="eastAsia" w:ascii="宋体" w:hAnsi="宋体" w:cs="宋体"/>
          <w:szCs w:val="21"/>
          <w:highlight w:val="none"/>
        </w:rPr>
        <w:t>发包人</w:t>
      </w:r>
      <w:bookmarkEnd w:id="459"/>
      <w:r>
        <w:rPr>
          <w:rFonts w:hint="eastAsia" w:ascii="宋体" w:hAnsi="宋体" w:cs="宋体"/>
          <w:szCs w:val="21"/>
          <w:highlight w:val="none"/>
        </w:rPr>
        <w:t>对</w:t>
      </w:r>
      <w:bookmarkStart w:id="460" w:name="REVIEW_BM_1390"/>
      <w:r>
        <w:rPr>
          <w:rFonts w:hint="eastAsia" w:ascii="宋体" w:hAnsi="宋体" w:cs="宋体"/>
          <w:szCs w:val="21"/>
          <w:highlight w:val="none"/>
        </w:rPr>
        <w:t>承包人</w:t>
      </w:r>
      <w:bookmarkEnd w:id="460"/>
      <w:r>
        <w:rPr>
          <w:rFonts w:hint="eastAsia" w:ascii="宋体" w:hAnsi="宋体" w:cs="宋体"/>
          <w:szCs w:val="21"/>
          <w:highlight w:val="none"/>
        </w:rPr>
        <w:t>无进度履约能力的部位和部分进行强制分割而形成的相关费用，须及时完善手续，列入</w:t>
      </w:r>
      <w:bookmarkStart w:id="461" w:name="REVIEW_BM_1391"/>
      <w:r>
        <w:rPr>
          <w:rFonts w:hint="eastAsia" w:ascii="宋体" w:hAnsi="宋体" w:cs="宋体"/>
          <w:szCs w:val="21"/>
          <w:highlight w:val="none"/>
        </w:rPr>
        <w:t>承包人</w:t>
      </w:r>
      <w:bookmarkEnd w:id="461"/>
      <w:r>
        <w:rPr>
          <w:rFonts w:hint="eastAsia" w:ascii="宋体" w:hAnsi="宋体" w:cs="宋体"/>
          <w:szCs w:val="21"/>
          <w:highlight w:val="none"/>
        </w:rPr>
        <w:t>成本。</w:t>
      </w:r>
      <w:bookmarkStart w:id="462" w:name="REVIEW_BM_1389"/>
      <w:r>
        <w:rPr>
          <w:rFonts w:hint="eastAsia" w:ascii="宋体" w:hAnsi="宋体" w:cs="宋体"/>
          <w:szCs w:val="21"/>
          <w:highlight w:val="none"/>
        </w:rPr>
        <w:t>发包人</w:t>
      </w:r>
      <w:bookmarkEnd w:id="462"/>
      <w:r>
        <w:rPr>
          <w:rFonts w:hint="eastAsia" w:ascii="宋体" w:hAnsi="宋体" w:cs="宋体"/>
          <w:szCs w:val="21"/>
          <w:highlight w:val="none"/>
        </w:rPr>
        <w:t>需及时组织监理，实施分割作业的队组负责人、</w:t>
      </w:r>
      <w:bookmarkStart w:id="463" w:name="REVIEW_BM_1392"/>
      <w:r>
        <w:rPr>
          <w:rFonts w:hint="eastAsia" w:ascii="宋体" w:hAnsi="宋体" w:cs="宋体"/>
          <w:szCs w:val="21"/>
          <w:highlight w:val="none"/>
        </w:rPr>
        <w:t>承包人</w:t>
      </w:r>
      <w:bookmarkEnd w:id="463"/>
      <w:r>
        <w:rPr>
          <w:rFonts w:hint="eastAsia" w:ascii="宋体" w:hAnsi="宋体" w:cs="宋体"/>
          <w:szCs w:val="21"/>
          <w:highlight w:val="none"/>
        </w:rPr>
        <w:t>代表等对现场形成的费用等共同确认，但</w:t>
      </w:r>
      <w:bookmarkStart w:id="464" w:name="REVIEW_BM_1393"/>
      <w:r>
        <w:rPr>
          <w:rFonts w:hint="eastAsia" w:ascii="宋体" w:hAnsi="宋体" w:cs="宋体"/>
          <w:szCs w:val="21"/>
          <w:highlight w:val="none"/>
        </w:rPr>
        <w:t>承包人</w:t>
      </w:r>
      <w:bookmarkEnd w:id="464"/>
      <w:r>
        <w:rPr>
          <w:rFonts w:hint="eastAsia" w:ascii="宋体" w:hAnsi="宋体" w:cs="宋体"/>
          <w:szCs w:val="21"/>
          <w:highlight w:val="none"/>
        </w:rPr>
        <w:t>为或故意对此现场费用的缺席确认，并不能免除</w:t>
      </w:r>
      <w:bookmarkStart w:id="465" w:name="REVIEW_BM_1394"/>
      <w:r>
        <w:rPr>
          <w:rFonts w:hint="eastAsia" w:ascii="宋体" w:hAnsi="宋体" w:cs="宋体"/>
          <w:szCs w:val="21"/>
          <w:highlight w:val="none"/>
        </w:rPr>
        <w:t>承包人</w:t>
      </w:r>
      <w:bookmarkEnd w:id="465"/>
      <w:r>
        <w:rPr>
          <w:rFonts w:hint="eastAsia" w:ascii="宋体" w:hAnsi="宋体" w:cs="宋体"/>
          <w:szCs w:val="21"/>
          <w:highlight w:val="none"/>
        </w:rPr>
        <w:t>责任。</w:t>
      </w:r>
    </w:p>
    <w:p w14:paraId="4C96DDF7">
      <w:pPr>
        <w:widowControl/>
        <w:spacing w:line="360" w:lineRule="auto"/>
        <w:ind w:firstLine="420"/>
        <w:rPr>
          <w:rFonts w:hint="eastAsia" w:ascii="宋体" w:hAnsi="宋体" w:cs="宋体"/>
          <w:szCs w:val="21"/>
          <w:highlight w:val="none"/>
        </w:rPr>
      </w:pPr>
      <w:r>
        <w:rPr>
          <w:rFonts w:hint="eastAsia" w:ascii="宋体" w:hAnsi="宋体" w:cs="宋体"/>
          <w:szCs w:val="21"/>
          <w:highlight w:val="none"/>
          <w:lang w:val="en-US" w:eastAsia="zh-CN"/>
        </w:rPr>
        <w:t xml:space="preserve">3.1.2 </w:t>
      </w:r>
      <w:bookmarkStart w:id="466" w:name="REVIEW_BM_1395"/>
      <w:r>
        <w:rPr>
          <w:rFonts w:hint="eastAsia" w:ascii="宋体" w:hAnsi="宋体" w:cs="宋体"/>
          <w:szCs w:val="21"/>
          <w:highlight w:val="none"/>
        </w:rPr>
        <w:t>承包人</w:t>
      </w:r>
      <w:bookmarkEnd w:id="466"/>
      <w:r>
        <w:rPr>
          <w:rFonts w:hint="eastAsia" w:ascii="宋体" w:hAnsi="宋体" w:cs="宋体"/>
          <w:szCs w:val="21"/>
          <w:highlight w:val="none"/>
        </w:rPr>
        <w:t>应履行的其他义务：</w:t>
      </w:r>
    </w:p>
    <w:p w14:paraId="09147546">
      <w:pPr>
        <w:widowControl/>
        <w:spacing w:line="360" w:lineRule="auto"/>
        <w:ind w:firstLine="420"/>
        <w:rPr>
          <w:rFonts w:hint="eastAsia" w:ascii="宋体" w:hAnsi="宋体" w:eastAsia="宋体" w:cs="宋体"/>
          <w:szCs w:val="21"/>
          <w:highlight w:val="none"/>
          <w:lang w:eastAsia="zh-CN"/>
        </w:rPr>
      </w:pPr>
      <w:r>
        <w:rPr>
          <w:rFonts w:hint="eastAsia" w:ascii="宋体" w:hAnsi="宋体" w:cs="宋体"/>
          <w:szCs w:val="21"/>
          <w:highlight w:val="none"/>
        </w:rPr>
        <w:t>1）a、安全生产，文明施工必须符合当地或军队规定及</w:t>
      </w:r>
      <w:bookmarkStart w:id="467" w:name="REVIEW_BM_1402"/>
      <w:r>
        <w:rPr>
          <w:rFonts w:hint="eastAsia" w:ascii="宋体" w:hAnsi="宋体" w:cs="宋体"/>
          <w:szCs w:val="21"/>
          <w:highlight w:val="none"/>
        </w:rPr>
        <w:t>招标人</w:t>
      </w:r>
      <w:bookmarkEnd w:id="467"/>
      <w:r>
        <w:rPr>
          <w:rFonts w:hint="eastAsia" w:ascii="宋体" w:hAnsi="宋体" w:cs="宋体"/>
          <w:szCs w:val="21"/>
          <w:highlight w:val="none"/>
        </w:rPr>
        <w:t>监督部门规定。b、按当地相关主管部门及</w:t>
      </w:r>
      <w:bookmarkStart w:id="468" w:name="REVIEW_BM_1403"/>
      <w:r>
        <w:rPr>
          <w:rFonts w:hint="eastAsia" w:ascii="宋体" w:hAnsi="宋体" w:cs="宋体"/>
          <w:szCs w:val="21"/>
          <w:highlight w:val="none"/>
        </w:rPr>
        <w:t>招标人</w:t>
      </w:r>
      <w:bookmarkEnd w:id="468"/>
      <w:r>
        <w:rPr>
          <w:rFonts w:hint="eastAsia" w:ascii="宋体" w:hAnsi="宋体" w:cs="宋体"/>
          <w:szCs w:val="21"/>
          <w:highlight w:val="none"/>
        </w:rPr>
        <w:t>监督部门有关规定配合</w:t>
      </w:r>
      <w:bookmarkStart w:id="469" w:name="REVIEW_BM_1397"/>
      <w:r>
        <w:rPr>
          <w:rFonts w:hint="eastAsia" w:ascii="宋体" w:hAnsi="宋体" w:cs="宋体"/>
          <w:szCs w:val="21"/>
          <w:highlight w:val="none"/>
        </w:rPr>
        <w:t>发包人</w:t>
      </w:r>
      <w:bookmarkEnd w:id="469"/>
      <w:r>
        <w:rPr>
          <w:rFonts w:hint="eastAsia" w:ascii="宋体" w:hAnsi="宋体" w:cs="宋体"/>
          <w:szCs w:val="21"/>
          <w:highlight w:val="none"/>
        </w:rPr>
        <w:t>其他工程的施工。c、根据现场场地条件，负责施工场地围场施工，所发生的费用由</w:t>
      </w:r>
      <w:bookmarkStart w:id="470" w:name="REVIEW_BM_1401"/>
      <w:r>
        <w:rPr>
          <w:rFonts w:hint="eastAsia" w:ascii="宋体" w:hAnsi="宋体" w:cs="宋体"/>
          <w:szCs w:val="21"/>
          <w:highlight w:val="none"/>
        </w:rPr>
        <w:t>承包人</w:t>
      </w:r>
      <w:bookmarkEnd w:id="470"/>
      <w:r>
        <w:rPr>
          <w:rFonts w:hint="eastAsia" w:ascii="宋体" w:hAnsi="宋体" w:cs="宋体"/>
          <w:szCs w:val="21"/>
          <w:highlight w:val="none"/>
        </w:rPr>
        <w:t>自行负责。d、迎接主管部门及</w:t>
      </w:r>
      <w:bookmarkStart w:id="471" w:name="REVIEW_BM_1398"/>
      <w:r>
        <w:rPr>
          <w:rFonts w:hint="eastAsia" w:ascii="宋体" w:hAnsi="宋体" w:cs="宋体"/>
          <w:szCs w:val="21"/>
          <w:highlight w:val="none"/>
        </w:rPr>
        <w:t>发包人</w:t>
      </w:r>
      <w:bookmarkEnd w:id="471"/>
      <w:r>
        <w:rPr>
          <w:rFonts w:hint="eastAsia" w:ascii="宋体" w:hAnsi="宋体" w:cs="宋体"/>
          <w:szCs w:val="21"/>
          <w:highlight w:val="none"/>
        </w:rPr>
        <w:t>监督部门相关检查并按有关要求进行资料和现场准备。e、</w:t>
      </w:r>
      <w:bookmarkStart w:id="472" w:name="REVIEW_BM_1396"/>
      <w:r>
        <w:rPr>
          <w:rFonts w:hint="eastAsia" w:ascii="宋体" w:hAnsi="宋体" w:cs="宋体"/>
          <w:szCs w:val="21"/>
          <w:highlight w:val="none"/>
        </w:rPr>
        <w:t>施工期间</w:t>
      </w:r>
      <w:bookmarkEnd w:id="472"/>
      <w:r>
        <w:rPr>
          <w:rFonts w:hint="eastAsia" w:ascii="宋体" w:hAnsi="宋体" w:cs="宋体"/>
          <w:szCs w:val="21"/>
          <w:highlight w:val="none"/>
        </w:rPr>
        <w:t>和施工完毕后，均应及时对施工场地和为其施工提供的公共道路进行保洁、维护以及维修，产生的垃圾和被破坏的场地，必须遵照</w:t>
      </w:r>
      <w:bookmarkStart w:id="473" w:name="REVIEW_BM_1399"/>
      <w:r>
        <w:rPr>
          <w:rFonts w:hint="eastAsia" w:ascii="宋体" w:hAnsi="宋体" w:cs="宋体"/>
          <w:szCs w:val="21"/>
          <w:highlight w:val="none"/>
        </w:rPr>
        <w:t>发包人</w:t>
      </w:r>
      <w:bookmarkEnd w:id="473"/>
      <w:r>
        <w:rPr>
          <w:rFonts w:hint="eastAsia" w:ascii="宋体" w:hAnsi="宋体" w:cs="宋体"/>
          <w:szCs w:val="21"/>
          <w:highlight w:val="none"/>
        </w:rPr>
        <w:t>或监理工程师和</w:t>
      </w:r>
      <w:bookmarkStart w:id="474" w:name="REVIEW_BM_1400"/>
      <w:r>
        <w:rPr>
          <w:rFonts w:hint="eastAsia" w:ascii="宋体" w:hAnsi="宋体" w:cs="宋体"/>
          <w:szCs w:val="21"/>
          <w:highlight w:val="none"/>
        </w:rPr>
        <w:t>发包人</w:t>
      </w:r>
      <w:bookmarkEnd w:id="474"/>
      <w:r>
        <w:rPr>
          <w:rFonts w:hint="eastAsia" w:ascii="宋体" w:hAnsi="宋体" w:cs="宋体"/>
          <w:szCs w:val="21"/>
          <w:highlight w:val="none"/>
        </w:rPr>
        <w:t>的指示进行清理、修复，并根据实际情况将场地恢复到原有状态，费用自理</w:t>
      </w:r>
      <w:r>
        <w:rPr>
          <w:rFonts w:hint="eastAsia" w:ascii="宋体" w:hAnsi="宋体" w:cs="宋体"/>
          <w:szCs w:val="21"/>
          <w:highlight w:val="none"/>
          <w:lang w:eastAsia="zh-CN"/>
        </w:rPr>
        <w:t>；</w:t>
      </w:r>
    </w:p>
    <w:p w14:paraId="2A10FA7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2）图纸核查、补遗和深化工作：开工前</w:t>
      </w:r>
      <w:bookmarkStart w:id="475" w:name="REVIEW_BM_1406"/>
      <w:r>
        <w:rPr>
          <w:rFonts w:hint="eastAsia" w:ascii="宋体" w:hAnsi="宋体" w:cs="宋体"/>
          <w:szCs w:val="21"/>
          <w:highlight w:val="none"/>
        </w:rPr>
        <w:t>承包人</w:t>
      </w:r>
      <w:bookmarkEnd w:id="475"/>
      <w:r>
        <w:rPr>
          <w:rFonts w:hint="eastAsia" w:ascii="宋体" w:hAnsi="宋体" w:cs="宋体"/>
          <w:szCs w:val="21"/>
          <w:highlight w:val="none"/>
        </w:rPr>
        <w:t>应对施工图纸进行认真核查，指出图纸上任何不符合施工常规、惯例或规范之处，以及设计图纸中错、漏、碰问题，并做好各系统管线的综合平衡工作，如因</w:t>
      </w:r>
      <w:bookmarkStart w:id="476" w:name="REVIEW_BM_1407"/>
      <w:r>
        <w:rPr>
          <w:rFonts w:hint="eastAsia" w:ascii="宋体" w:hAnsi="宋体" w:cs="宋体"/>
          <w:szCs w:val="21"/>
          <w:highlight w:val="none"/>
        </w:rPr>
        <w:t>承包人</w:t>
      </w:r>
      <w:bookmarkEnd w:id="476"/>
      <w:r>
        <w:rPr>
          <w:rFonts w:hint="eastAsia" w:ascii="宋体" w:hAnsi="宋体" w:cs="宋体"/>
          <w:szCs w:val="21"/>
          <w:highlight w:val="none"/>
        </w:rPr>
        <w:t>未能在施工该道工序前7天协调解决好此类矛盾、问题而造成工程费用增加和工期损失，</w:t>
      </w:r>
      <w:bookmarkStart w:id="477" w:name="REVIEW_BM_1408"/>
      <w:r>
        <w:rPr>
          <w:rFonts w:hint="eastAsia" w:ascii="宋体" w:hAnsi="宋体" w:cs="宋体"/>
          <w:szCs w:val="21"/>
          <w:highlight w:val="none"/>
        </w:rPr>
        <w:t>承包人</w:t>
      </w:r>
      <w:bookmarkEnd w:id="477"/>
      <w:r>
        <w:rPr>
          <w:rFonts w:hint="eastAsia" w:ascii="宋体" w:hAnsi="宋体" w:cs="宋体"/>
          <w:szCs w:val="21"/>
          <w:highlight w:val="none"/>
        </w:rPr>
        <w:t>承担相关责任。施工过程中，若发现施工图中出现错误或明显不合理的情况，</w:t>
      </w:r>
      <w:bookmarkStart w:id="478" w:name="REVIEW_BM_1409"/>
      <w:r>
        <w:rPr>
          <w:rFonts w:hint="eastAsia" w:ascii="宋体" w:hAnsi="宋体" w:cs="宋体"/>
          <w:szCs w:val="21"/>
          <w:highlight w:val="none"/>
        </w:rPr>
        <w:t>承包人</w:t>
      </w:r>
      <w:bookmarkEnd w:id="478"/>
      <w:r>
        <w:rPr>
          <w:rFonts w:hint="eastAsia" w:ascii="宋体" w:hAnsi="宋体" w:cs="宋体"/>
          <w:szCs w:val="21"/>
          <w:highlight w:val="none"/>
        </w:rPr>
        <w:t>应在该分项工程开工前7日通知</w:t>
      </w:r>
      <w:bookmarkStart w:id="479" w:name="REVIEW_BM_1404"/>
      <w:r>
        <w:rPr>
          <w:rFonts w:hint="eastAsia" w:ascii="宋体" w:hAnsi="宋体" w:cs="宋体"/>
          <w:szCs w:val="21"/>
          <w:highlight w:val="none"/>
        </w:rPr>
        <w:t>发包人</w:t>
      </w:r>
      <w:bookmarkEnd w:id="479"/>
      <w:r>
        <w:rPr>
          <w:rFonts w:hint="eastAsia" w:ascii="宋体" w:hAnsi="宋体" w:cs="宋体"/>
          <w:szCs w:val="21"/>
          <w:highlight w:val="none"/>
        </w:rPr>
        <w:t>，并提出相应的处理方案，经</w:t>
      </w:r>
      <w:bookmarkStart w:id="480" w:name="REVIEW_BM_1405"/>
      <w:r>
        <w:rPr>
          <w:rFonts w:hint="eastAsia" w:ascii="宋体" w:hAnsi="宋体" w:cs="宋体"/>
          <w:szCs w:val="21"/>
          <w:highlight w:val="none"/>
        </w:rPr>
        <w:t>发包人</w:t>
      </w:r>
      <w:bookmarkEnd w:id="480"/>
      <w:r>
        <w:rPr>
          <w:rFonts w:hint="eastAsia" w:ascii="宋体" w:hAnsi="宋体" w:cs="宋体"/>
          <w:szCs w:val="21"/>
          <w:highlight w:val="none"/>
        </w:rPr>
        <w:t>同意后实施，如：施工图纸未标明，但明显属于使用功能需要的、施工（相关）规范有要求的或明显影响美观效果的，</w:t>
      </w:r>
      <w:bookmarkStart w:id="481" w:name="REVIEW_BM_1410"/>
      <w:r>
        <w:rPr>
          <w:rFonts w:hint="eastAsia" w:ascii="宋体" w:hAnsi="宋体" w:cs="宋体"/>
          <w:szCs w:val="21"/>
          <w:highlight w:val="none"/>
        </w:rPr>
        <w:t>承包人</w:t>
      </w:r>
      <w:bookmarkEnd w:id="481"/>
      <w:r>
        <w:rPr>
          <w:rFonts w:hint="eastAsia" w:ascii="宋体" w:hAnsi="宋体" w:cs="宋体"/>
          <w:szCs w:val="21"/>
          <w:highlight w:val="none"/>
        </w:rPr>
        <w:t>有责任和义务自行完善。</w:t>
      </w:r>
    </w:p>
    <w:p w14:paraId="1E6415C0">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如果任何明显属于本工程的承包范围，且未以文字形式明确约定为属于任何专业分包人的工作范围，也未在本合同中以文字形式明确约定为属于</w:t>
      </w:r>
      <w:bookmarkStart w:id="482" w:name="REVIEW_BM_1411"/>
      <w:r>
        <w:rPr>
          <w:rFonts w:hint="eastAsia" w:ascii="宋体" w:hAnsi="宋体" w:cs="宋体"/>
          <w:szCs w:val="21"/>
          <w:highlight w:val="none"/>
        </w:rPr>
        <w:t>承包人</w:t>
      </w:r>
      <w:bookmarkEnd w:id="482"/>
      <w:r>
        <w:rPr>
          <w:rFonts w:hint="eastAsia" w:ascii="宋体" w:hAnsi="宋体" w:cs="宋体"/>
          <w:szCs w:val="21"/>
          <w:highlight w:val="none"/>
        </w:rPr>
        <w:t>自行完成的工作范围，此类工作也应由</w:t>
      </w:r>
      <w:bookmarkStart w:id="483" w:name="REVIEW_BM_1412"/>
      <w:r>
        <w:rPr>
          <w:rFonts w:hint="eastAsia" w:ascii="宋体" w:hAnsi="宋体" w:cs="宋体"/>
          <w:szCs w:val="21"/>
          <w:highlight w:val="none"/>
        </w:rPr>
        <w:t>承包人</w:t>
      </w:r>
      <w:bookmarkEnd w:id="483"/>
      <w:r>
        <w:rPr>
          <w:rFonts w:hint="eastAsia" w:ascii="宋体" w:hAnsi="宋体" w:cs="宋体"/>
          <w:szCs w:val="21"/>
          <w:highlight w:val="none"/>
        </w:rPr>
        <w:t>自行完成。</w:t>
      </w:r>
    </w:p>
    <w:p w14:paraId="069EF001">
      <w:pPr>
        <w:widowControl/>
        <w:spacing w:line="360" w:lineRule="auto"/>
        <w:ind w:firstLine="420"/>
        <w:rPr>
          <w:rFonts w:hint="eastAsia" w:ascii="宋体" w:hAnsi="宋体" w:cs="宋体"/>
          <w:szCs w:val="21"/>
          <w:highlight w:val="none"/>
        </w:rPr>
      </w:pPr>
      <w:bookmarkStart w:id="484" w:name="REVIEW_BM_1413"/>
      <w:r>
        <w:rPr>
          <w:rFonts w:hint="eastAsia" w:ascii="宋体" w:hAnsi="宋体" w:cs="宋体"/>
          <w:szCs w:val="21"/>
          <w:highlight w:val="none"/>
        </w:rPr>
        <w:t>发包人</w:t>
      </w:r>
      <w:bookmarkEnd w:id="484"/>
      <w:r>
        <w:rPr>
          <w:rFonts w:hint="eastAsia" w:ascii="宋体" w:hAnsi="宋体" w:cs="宋体"/>
          <w:szCs w:val="21"/>
          <w:highlight w:val="none"/>
        </w:rPr>
        <w:t>就施工场地情况、各类隐蔽管线和设施提供资料后，</w:t>
      </w:r>
      <w:bookmarkStart w:id="485" w:name="REVIEW_BM_1414"/>
      <w:r>
        <w:rPr>
          <w:rFonts w:hint="eastAsia" w:ascii="宋体" w:hAnsi="宋体" w:cs="宋体"/>
          <w:szCs w:val="21"/>
          <w:highlight w:val="none"/>
        </w:rPr>
        <w:t>承包人</w:t>
      </w:r>
      <w:bookmarkEnd w:id="485"/>
      <w:r>
        <w:rPr>
          <w:rFonts w:hint="eastAsia" w:ascii="宋体" w:hAnsi="宋体" w:cs="宋体"/>
          <w:szCs w:val="21"/>
          <w:highlight w:val="none"/>
        </w:rPr>
        <w:t>应当独立尽职调查，包括向有关的管理部门、管线监管部门进行调查或对现场详细勘查等，以获得全部真实资料。</w:t>
      </w:r>
    </w:p>
    <w:p w14:paraId="364E6C0A">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由</w:t>
      </w:r>
      <w:bookmarkStart w:id="486" w:name="REVIEW_BM_1415"/>
      <w:r>
        <w:rPr>
          <w:rFonts w:hint="eastAsia" w:ascii="宋体" w:hAnsi="宋体" w:cs="宋体"/>
          <w:szCs w:val="21"/>
          <w:highlight w:val="none"/>
        </w:rPr>
        <w:t>承包人</w:t>
      </w:r>
      <w:bookmarkEnd w:id="486"/>
      <w:r>
        <w:rPr>
          <w:rFonts w:hint="eastAsia" w:ascii="宋体" w:hAnsi="宋体" w:cs="宋体"/>
          <w:szCs w:val="21"/>
          <w:highlight w:val="none"/>
        </w:rPr>
        <w:t>负责完成的二次深化设计文件属于合同条款第1.6.4项约定的</w:t>
      </w:r>
      <w:bookmarkStart w:id="487" w:name="REVIEW_BM_1416"/>
      <w:r>
        <w:rPr>
          <w:rFonts w:hint="eastAsia" w:ascii="宋体" w:hAnsi="宋体" w:cs="宋体"/>
          <w:szCs w:val="21"/>
          <w:highlight w:val="none"/>
        </w:rPr>
        <w:t>承包人</w:t>
      </w:r>
      <w:bookmarkEnd w:id="487"/>
      <w:r>
        <w:rPr>
          <w:rFonts w:hint="eastAsia" w:ascii="宋体" w:hAnsi="宋体" w:cs="宋体"/>
          <w:szCs w:val="21"/>
          <w:highlight w:val="none"/>
        </w:rPr>
        <w:t>提供的文件，</w:t>
      </w:r>
      <w:bookmarkStart w:id="488" w:name="REVIEW_BM_1417"/>
      <w:r>
        <w:rPr>
          <w:rFonts w:hint="eastAsia" w:ascii="宋体" w:hAnsi="宋体" w:cs="宋体"/>
          <w:szCs w:val="21"/>
          <w:highlight w:val="none"/>
        </w:rPr>
        <w:t>承包人</w:t>
      </w:r>
      <w:bookmarkEnd w:id="488"/>
      <w:r>
        <w:rPr>
          <w:rFonts w:hint="eastAsia" w:ascii="宋体" w:hAnsi="宋体" w:cs="宋体"/>
          <w:szCs w:val="21"/>
          <w:highlight w:val="none"/>
        </w:rPr>
        <w:t>应按照专用合同条款第1.6.4项约定的期限和数量提交，由此发生的设计、施工等相关费用被认为已经包括在</w:t>
      </w:r>
      <w:bookmarkStart w:id="489" w:name="REVIEW_BM_1418"/>
      <w:r>
        <w:rPr>
          <w:rFonts w:hint="eastAsia" w:ascii="宋体" w:hAnsi="宋体" w:cs="宋体"/>
          <w:szCs w:val="21"/>
          <w:highlight w:val="none"/>
        </w:rPr>
        <w:t>承包人</w:t>
      </w:r>
      <w:bookmarkEnd w:id="489"/>
      <w:r>
        <w:rPr>
          <w:rFonts w:hint="eastAsia" w:ascii="宋体" w:hAnsi="宋体" w:cs="宋体"/>
          <w:szCs w:val="21"/>
          <w:highlight w:val="none"/>
        </w:rPr>
        <w:t>的签约合同价（中标价）中。</w:t>
      </w:r>
    </w:p>
    <w:p w14:paraId="4E86F22D">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 3）工程现场管理方面：</w:t>
      </w:r>
      <w:bookmarkStart w:id="490" w:name="REVIEW_BM_1419"/>
      <w:r>
        <w:rPr>
          <w:rFonts w:hint="eastAsia" w:ascii="宋体" w:hAnsi="宋体" w:cs="宋体"/>
          <w:szCs w:val="21"/>
          <w:highlight w:val="none"/>
        </w:rPr>
        <w:t>承包人</w:t>
      </w:r>
      <w:bookmarkEnd w:id="490"/>
      <w:r>
        <w:rPr>
          <w:rFonts w:hint="eastAsia" w:ascii="宋体" w:hAnsi="宋体" w:cs="宋体"/>
          <w:szCs w:val="21"/>
          <w:highlight w:val="none"/>
        </w:rPr>
        <w:t>须对本合同下的整个工程负责，对整个现场的施工组织和施工方案的适用性、稳定性和安全性负全面责任；并对在施工现场或者附近实施与合同工程有关的其他工作的独立</w:t>
      </w:r>
      <w:bookmarkStart w:id="491" w:name="REVIEW_BM_1420"/>
      <w:r>
        <w:rPr>
          <w:rFonts w:hint="eastAsia" w:ascii="宋体" w:hAnsi="宋体" w:cs="宋体"/>
          <w:szCs w:val="21"/>
          <w:highlight w:val="none"/>
        </w:rPr>
        <w:t>承包人</w:t>
      </w:r>
      <w:bookmarkEnd w:id="491"/>
      <w:r>
        <w:rPr>
          <w:rFonts w:hint="eastAsia" w:ascii="宋体" w:hAnsi="宋体" w:cs="宋体"/>
          <w:szCs w:val="21"/>
          <w:highlight w:val="none"/>
        </w:rPr>
        <w:t>履行管理、协调、配合、照管和服务义务。</w:t>
      </w:r>
    </w:p>
    <w:p w14:paraId="36F65AC2">
      <w:pPr>
        <w:widowControl/>
        <w:spacing w:line="360" w:lineRule="auto"/>
        <w:ind w:firstLine="420"/>
        <w:rPr>
          <w:rFonts w:hint="eastAsia" w:ascii="宋体" w:hAnsi="宋体" w:cs="宋体"/>
          <w:szCs w:val="21"/>
          <w:highlight w:val="none"/>
        </w:rPr>
      </w:pPr>
      <w:bookmarkStart w:id="492" w:name="REVIEW_BM_1421"/>
      <w:r>
        <w:rPr>
          <w:rFonts w:hint="eastAsia" w:ascii="宋体" w:hAnsi="宋体" w:cs="宋体"/>
          <w:szCs w:val="21"/>
          <w:highlight w:val="none"/>
        </w:rPr>
        <w:t>承包人</w:t>
      </w:r>
      <w:bookmarkEnd w:id="492"/>
      <w:r>
        <w:rPr>
          <w:rFonts w:hint="eastAsia" w:ascii="宋体" w:hAnsi="宋体" w:cs="宋体"/>
          <w:szCs w:val="21"/>
          <w:highlight w:val="none"/>
        </w:rPr>
        <w:t>须做好施工记录，隐蔽工程记录，汇集施工技术资料，包括摄影、录像资料。负责做好施工现场安全保卫和施工现场的组织管理工作，创建文明施工工地及标准化管理。</w:t>
      </w:r>
    </w:p>
    <w:p w14:paraId="6455AB20">
      <w:pPr>
        <w:widowControl/>
        <w:spacing w:line="360" w:lineRule="auto"/>
        <w:ind w:firstLine="420"/>
        <w:rPr>
          <w:rFonts w:hint="eastAsia" w:ascii="宋体" w:hAnsi="宋体" w:cs="宋体"/>
          <w:szCs w:val="21"/>
          <w:highlight w:val="none"/>
        </w:rPr>
      </w:pPr>
      <w:bookmarkStart w:id="493" w:name="REVIEW_BM_1424"/>
      <w:r>
        <w:rPr>
          <w:rFonts w:hint="eastAsia" w:ascii="宋体" w:hAnsi="宋体" w:cs="宋体"/>
          <w:szCs w:val="21"/>
          <w:highlight w:val="none"/>
        </w:rPr>
        <w:t>承包人</w:t>
      </w:r>
      <w:bookmarkEnd w:id="493"/>
      <w:r>
        <w:rPr>
          <w:rFonts w:hint="eastAsia" w:ascii="宋体" w:hAnsi="宋体" w:cs="宋体"/>
          <w:szCs w:val="21"/>
          <w:highlight w:val="none"/>
        </w:rPr>
        <w:t>必须配备专职的造价人员，向</w:t>
      </w:r>
      <w:bookmarkStart w:id="494" w:name="REVIEW_BM_1422"/>
      <w:r>
        <w:rPr>
          <w:rFonts w:hint="eastAsia" w:ascii="宋体" w:hAnsi="宋体" w:cs="宋体"/>
          <w:szCs w:val="21"/>
          <w:highlight w:val="none"/>
        </w:rPr>
        <w:t>发包人</w:t>
      </w:r>
      <w:bookmarkEnd w:id="494"/>
      <w:r>
        <w:rPr>
          <w:rFonts w:hint="eastAsia" w:ascii="宋体" w:hAnsi="宋体" w:cs="宋体"/>
          <w:szCs w:val="21"/>
          <w:highlight w:val="none"/>
        </w:rPr>
        <w:t>书面报送《施工计划》和《完成工程量月报表》，施工计划必须具体、详细，包括人力安排、增加人力的来源、工程量等。如不按时、按要求报送，</w:t>
      </w:r>
      <w:bookmarkStart w:id="495" w:name="REVIEW_BM_1423"/>
      <w:r>
        <w:rPr>
          <w:rFonts w:hint="eastAsia" w:ascii="宋体" w:hAnsi="宋体" w:cs="宋体"/>
          <w:szCs w:val="21"/>
          <w:highlight w:val="none"/>
        </w:rPr>
        <w:t>发包人</w:t>
      </w:r>
      <w:bookmarkEnd w:id="495"/>
      <w:r>
        <w:rPr>
          <w:rFonts w:hint="eastAsia" w:ascii="宋体" w:hAnsi="宋体" w:cs="宋体"/>
          <w:szCs w:val="21"/>
          <w:highlight w:val="none"/>
        </w:rPr>
        <w:t>有权不予支付本期进度款或支付时间顺延。</w:t>
      </w:r>
    </w:p>
    <w:p w14:paraId="197BCD36">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4）协调配合方面：</w:t>
      </w:r>
      <w:bookmarkStart w:id="496" w:name="REVIEW_BM_1426"/>
      <w:r>
        <w:rPr>
          <w:rFonts w:hint="eastAsia" w:ascii="宋体" w:hAnsi="宋体" w:cs="宋体"/>
          <w:szCs w:val="21"/>
          <w:highlight w:val="none"/>
        </w:rPr>
        <w:t>承包人</w:t>
      </w:r>
      <w:bookmarkEnd w:id="496"/>
      <w:r>
        <w:rPr>
          <w:rFonts w:hint="eastAsia" w:ascii="宋体" w:hAnsi="宋体" w:cs="宋体"/>
          <w:szCs w:val="21"/>
          <w:highlight w:val="none"/>
        </w:rPr>
        <w:t>在施工中的问题应本着“文来文去”的原则。</w:t>
      </w:r>
      <w:bookmarkStart w:id="497" w:name="REVIEW_BM_1427"/>
      <w:r>
        <w:rPr>
          <w:rFonts w:hint="eastAsia" w:ascii="宋体" w:hAnsi="宋体" w:cs="宋体"/>
          <w:szCs w:val="21"/>
          <w:highlight w:val="none"/>
        </w:rPr>
        <w:t>承包人</w:t>
      </w:r>
      <w:bookmarkEnd w:id="497"/>
      <w:r>
        <w:rPr>
          <w:rFonts w:hint="eastAsia" w:ascii="宋体" w:hAnsi="宋体" w:cs="宋体"/>
          <w:szCs w:val="21"/>
          <w:highlight w:val="none"/>
        </w:rPr>
        <w:t>发文应有标准固定格式，规范的文件编号，由项目经理签署并报监理单位审核后，报</w:t>
      </w:r>
      <w:bookmarkStart w:id="498" w:name="REVIEW_BM_1425"/>
      <w:r>
        <w:rPr>
          <w:rFonts w:hint="eastAsia" w:ascii="宋体" w:hAnsi="宋体" w:cs="宋体"/>
          <w:szCs w:val="21"/>
          <w:highlight w:val="none"/>
        </w:rPr>
        <w:t>发包人</w:t>
      </w:r>
      <w:bookmarkEnd w:id="498"/>
      <w:r>
        <w:rPr>
          <w:rFonts w:hint="eastAsia" w:ascii="宋体" w:hAnsi="宋体" w:cs="宋体"/>
          <w:szCs w:val="21"/>
          <w:highlight w:val="none"/>
        </w:rPr>
        <w:t>代表签署方为有效。</w:t>
      </w:r>
    </w:p>
    <w:p w14:paraId="57D60966">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5）</w:t>
      </w:r>
      <w:bookmarkStart w:id="499" w:name="REVIEW_BM_1430"/>
      <w:r>
        <w:rPr>
          <w:rFonts w:hint="eastAsia" w:ascii="宋体" w:hAnsi="宋体" w:cs="宋体"/>
          <w:szCs w:val="21"/>
          <w:highlight w:val="none"/>
        </w:rPr>
        <w:t>承包人</w:t>
      </w:r>
      <w:bookmarkEnd w:id="499"/>
      <w:r>
        <w:rPr>
          <w:rFonts w:hint="eastAsia" w:ascii="宋体" w:hAnsi="宋体" w:cs="宋体"/>
          <w:szCs w:val="21"/>
          <w:highlight w:val="none"/>
        </w:rPr>
        <w:t>必须如期开工、竣工并按时保质移交整个工程。在</w:t>
      </w:r>
      <w:bookmarkStart w:id="500" w:name="REVIEW_BM_1428"/>
      <w:r>
        <w:rPr>
          <w:rFonts w:hint="eastAsia" w:ascii="宋体" w:hAnsi="宋体" w:cs="宋体"/>
          <w:szCs w:val="21"/>
          <w:highlight w:val="none"/>
        </w:rPr>
        <w:t>任何情况下</w:t>
      </w:r>
      <w:bookmarkEnd w:id="500"/>
      <w:r>
        <w:rPr>
          <w:rFonts w:hint="eastAsia" w:ascii="宋体" w:hAnsi="宋体" w:cs="宋体"/>
          <w:szCs w:val="21"/>
          <w:highlight w:val="none"/>
        </w:rPr>
        <w:t>（除发生不可抗力之外），未经</w:t>
      </w:r>
      <w:bookmarkStart w:id="501" w:name="REVIEW_BM_1429"/>
      <w:r>
        <w:rPr>
          <w:rFonts w:hint="eastAsia" w:ascii="宋体" w:hAnsi="宋体" w:cs="宋体"/>
          <w:szCs w:val="21"/>
          <w:highlight w:val="none"/>
        </w:rPr>
        <w:t>发包人</w:t>
      </w:r>
      <w:bookmarkEnd w:id="501"/>
      <w:r>
        <w:rPr>
          <w:rFonts w:hint="eastAsia" w:ascii="宋体" w:hAnsi="宋体" w:cs="宋体"/>
          <w:szCs w:val="21"/>
          <w:highlight w:val="none"/>
        </w:rPr>
        <w:t>书面同意</w:t>
      </w:r>
      <w:bookmarkStart w:id="502" w:name="REVIEW_BM_1431"/>
      <w:r>
        <w:rPr>
          <w:rFonts w:hint="eastAsia" w:ascii="宋体" w:hAnsi="宋体" w:cs="宋体"/>
          <w:szCs w:val="21"/>
          <w:highlight w:val="none"/>
        </w:rPr>
        <w:t>承包人</w:t>
      </w:r>
      <w:bookmarkEnd w:id="502"/>
      <w:r>
        <w:rPr>
          <w:rFonts w:hint="eastAsia" w:ascii="宋体" w:hAnsi="宋体" w:cs="宋体"/>
          <w:szCs w:val="21"/>
          <w:highlight w:val="none"/>
        </w:rPr>
        <w:t xml:space="preserve">均不能擅自停工。 </w:t>
      </w:r>
    </w:p>
    <w:p w14:paraId="76E0EC42">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6）执行</w:t>
      </w:r>
      <w:bookmarkStart w:id="503" w:name="REVIEW_BM_1432"/>
      <w:r>
        <w:rPr>
          <w:rFonts w:hint="eastAsia" w:ascii="宋体" w:hAnsi="宋体" w:cs="宋体"/>
          <w:szCs w:val="21"/>
          <w:highlight w:val="none"/>
        </w:rPr>
        <w:t>发包人</w:t>
      </w:r>
      <w:bookmarkEnd w:id="503"/>
      <w:r>
        <w:rPr>
          <w:rFonts w:hint="eastAsia" w:ascii="宋体" w:hAnsi="宋体" w:cs="宋体"/>
          <w:szCs w:val="21"/>
          <w:highlight w:val="none"/>
        </w:rPr>
        <w:t>工地代表和总监理工程师的指令，如有异议，应立即向</w:t>
      </w:r>
      <w:bookmarkStart w:id="504" w:name="REVIEW_BM_1433"/>
      <w:r>
        <w:rPr>
          <w:rFonts w:hint="eastAsia" w:ascii="宋体" w:hAnsi="宋体" w:cs="宋体"/>
          <w:szCs w:val="21"/>
          <w:highlight w:val="none"/>
        </w:rPr>
        <w:t>发包人</w:t>
      </w:r>
      <w:bookmarkEnd w:id="504"/>
      <w:r>
        <w:rPr>
          <w:rFonts w:hint="eastAsia" w:ascii="宋体" w:hAnsi="宋体" w:cs="宋体"/>
          <w:szCs w:val="21"/>
          <w:highlight w:val="none"/>
        </w:rPr>
        <w:t xml:space="preserve">的工地代表、总监理工程师以书面形式提出，但不得拒绝执行或消极执行。 </w:t>
      </w:r>
    </w:p>
    <w:p w14:paraId="314C154F">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7）本工程生活及施工用水电接口由</w:t>
      </w:r>
      <w:bookmarkStart w:id="505" w:name="REVIEW_BM_1434"/>
      <w:r>
        <w:rPr>
          <w:rFonts w:hint="eastAsia" w:ascii="宋体" w:hAnsi="宋体" w:cs="宋体"/>
          <w:szCs w:val="21"/>
          <w:highlight w:val="none"/>
        </w:rPr>
        <w:t>发包人</w:t>
      </w:r>
      <w:bookmarkEnd w:id="505"/>
      <w:r>
        <w:rPr>
          <w:rFonts w:hint="eastAsia" w:ascii="宋体" w:hAnsi="宋体" w:cs="宋体"/>
          <w:szCs w:val="21"/>
          <w:highlight w:val="none"/>
        </w:rPr>
        <w:t>提供，</w:t>
      </w:r>
      <w:bookmarkStart w:id="506" w:name="REVIEW_BM_1439"/>
      <w:r>
        <w:rPr>
          <w:rFonts w:hint="eastAsia" w:ascii="宋体" w:hAnsi="宋体" w:cs="宋体"/>
          <w:szCs w:val="21"/>
          <w:highlight w:val="none"/>
        </w:rPr>
        <w:t>承包人</w:t>
      </w:r>
      <w:bookmarkEnd w:id="506"/>
      <w:r>
        <w:rPr>
          <w:rFonts w:hint="eastAsia" w:ascii="宋体" w:hAnsi="宋体" w:cs="宋体"/>
          <w:szCs w:val="21"/>
          <w:highlight w:val="none"/>
        </w:rPr>
        <w:t>在接用</w:t>
      </w:r>
      <w:bookmarkStart w:id="507" w:name="REVIEW_BM_1435"/>
      <w:r>
        <w:rPr>
          <w:rFonts w:hint="eastAsia" w:ascii="宋体" w:hAnsi="宋体" w:cs="宋体"/>
          <w:szCs w:val="21"/>
          <w:highlight w:val="none"/>
        </w:rPr>
        <w:t>发包人</w:t>
      </w:r>
      <w:bookmarkEnd w:id="507"/>
      <w:r>
        <w:rPr>
          <w:rFonts w:hint="eastAsia" w:ascii="宋体" w:hAnsi="宋体" w:cs="宋体"/>
          <w:szCs w:val="21"/>
          <w:highlight w:val="none"/>
        </w:rPr>
        <w:t>提供的水电接口前 5天，必须书面向</w:t>
      </w:r>
      <w:bookmarkStart w:id="508" w:name="REVIEW_BM_1436"/>
      <w:r>
        <w:rPr>
          <w:rFonts w:hint="eastAsia" w:ascii="宋体" w:hAnsi="宋体" w:cs="宋体"/>
          <w:szCs w:val="21"/>
          <w:highlight w:val="none"/>
        </w:rPr>
        <w:t>发包人</w:t>
      </w:r>
      <w:bookmarkEnd w:id="508"/>
      <w:r>
        <w:rPr>
          <w:rFonts w:hint="eastAsia" w:ascii="宋体" w:hAnsi="宋体" w:cs="宋体"/>
          <w:szCs w:val="21"/>
          <w:highlight w:val="none"/>
        </w:rPr>
        <w:t>申请用水用电，并在申请中注明水电的负荷，</w:t>
      </w:r>
      <w:bookmarkStart w:id="509" w:name="REVIEW_BM_1437"/>
      <w:r>
        <w:rPr>
          <w:rFonts w:hint="eastAsia" w:ascii="宋体" w:hAnsi="宋体" w:cs="宋体"/>
          <w:szCs w:val="21"/>
          <w:highlight w:val="none"/>
        </w:rPr>
        <w:t>发包人</w:t>
      </w:r>
      <w:bookmarkEnd w:id="509"/>
      <w:r>
        <w:rPr>
          <w:rFonts w:hint="eastAsia" w:ascii="宋体" w:hAnsi="宋体" w:cs="宋体"/>
          <w:szCs w:val="21"/>
          <w:highlight w:val="none"/>
        </w:rPr>
        <w:t>在接到</w:t>
      </w:r>
      <w:bookmarkStart w:id="510" w:name="REVIEW_BM_1440"/>
      <w:r>
        <w:rPr>
          <w:rFonts w:hint="eastAsia" w:ascii="宋体" w:hAnsi="宋体" w:cs="宋体"/>
          <w:szCs w:val="21"/>
          <w:highlight w:val="none"/>
        </w:rPr>
        <w:t>承包人</w:t>
      </w:r>
      <w:bookmarkEnd w:id="510"/>
      <w:r>
        <w:rPr>
          <w:rFonts w:hint="eastAsia" w:ascii="宋体" w:hAnsi="宋体" w:cs="宋体"/>
          <w:szCs w:val="21"/>
          <w:highlight w:val="none"/>
        </w:rPr>
        <w:t xml:space="preserve">申请后 3 个日历天内作出书面答复， </w:t>
      </w:r>
      <w:bookmarkStart w:id="511" w:name="REVIEW_BM_1441"/>
      <w:r>
        <w:rPr>
          <w:rFonts w:hint="eastAsia" w:ascii="宋体" w:hAnsi="宋体" w:cs="宋体"/>
          <w:szCs w:val="21"/>
          <w:highlight w:val="none"/>
        </w:rPr>
        <w:t>承包人</w:t>
      </w:r>
      <w:bookmarkEnd w:id="511"/>
      <w:r>
        <w:rPr>
          <w:rFonts w:hint="eastAsia" w:ascii="宋体" w:hAnsi="宋体" w:cs="宋体"/>
          <w:szCs w:val="21"/>
          <w:highlight w:val="none"/>
        </w:rPr>
        <w:t>不得未经</w:t>
      </w:r>
      <w:bookmarkStart w:id="512" w:name="REVIEW_BM_1438"/>
      <w:r>
        <w:rPr>
          <w:rFonts w:hint="eastAsia" w:ascii="宋体" w:hAnsi="宋体" w:cs="宋体"/>
          <w:szCs w:val="21"/>
          <w:highlight w:val="none"/>
        </w:rPr>
        <w:t>发包人</w:t>
      </w:r>
      <w:bookmarkEnd w:id="512"/>
      <w:r>
        <w:rPr>
          <w:rFonts w:hint="eastAsia" w:ascii="宋体" w:hAnsi="宋体" w:cs="宋体"/>
          <w:szCs w:val="21"/>
          <w:highlight w:val="none"/>
        </w:rPr>
        <w:t xml:space="preserve">同意自行接水接电。 </w:t>
      </w:r>
    </w:p>
    <w:p w14:paraId="0D73B8FD">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8）</w:t>
      </w:r>
      <w:bookmarkStart w:id="513" w:name="REVIEW_BM_1444"/>
      <w:r>
        <w:rPr>
          <w:rFonts w:hint="eastAsia" w:ascii="宋体" w:hAnsi="宋体" w:cs="宋体"/>
          <w:szCs w:val="21"/>
          <w:highlight w:val="none"/>
        </w:rPr>
        <w:t>承包人</w:t>
      </w:r>
      <w:bookmarkEnd w:id="513"/>
      <w:r>
        <w:rPr>
          <w:rFonts w:hint="eastAsia" w:ascii="宋体" w:hAnsi="宋体" w:cs="宋体"/>
          <w:szCs w:val="21"/>
          <w:highlight w:val="none"/>
        </w:rPr>
        <w:t>要听从</w:t>
      </w:r>
      <w:bookmarkStart w:id="514" w:name="REVIEW_BM_1442"/>
      <w:r>
        <w:rPr>
          <w:rFonts w:hint="eastAsia" w:ascii="宋体" w:hAnsi="宋体" w:cs="宋体"/>
          <w:szCs w:val="21"/>
          <w:highlight w:val="none"/>
        </w:rPr>
        <w:t>发包人</w:t>
      </w:r>
      <w:bookmarkEnd w:id="514"/>
      <w:r>
        <w:rPr>
          <w:rFonts w:hint="eastAsia" w:ascii="宋体" w:hAnsi="宋体" w:cs="宋体"/>
          <w:szCs w:val="21"/>
          <w:highlight w:val="none"/>
        </w:rPr>
        <w:t>、监理人现场管理人员的统筹指挥，认真做好施工组织设计，涉及到与其他施工单位配合的，应服从</w:t>
      </w:r>
      <w:bookmarkStart w:id="515" w:name="REVIEW_BM_1443"/>
      <w:r>
        <w:rPr>
          <w:rFonts w:hint="eastAsia" w:ascii="宋体" w:hAnsi="宋体" w:cs="宋体"/>
          <w:szCs w:val="21"/>
          <w:highlight w:val="none"/>
        </w:rPr>
        <w:t>发包人</w:t>
      </w:r>
      <w:bookmarkEnd w:id="515"/>
      <w:r>
        <w:rPr>
          <w:rFonts w:hint="eastAsia" w:ascii="宋体" w:hAnsi="宋体" w:cs="宋体"/>
          <w:szCs w:val="21"/>
          <w:highlight w:val="none"/>
        </w:rPr>
        <w:t>、监理人现场管理人员的统筹安排。</w:t>
      </w:r>
    </w:p>
    <w:p w14:paraId="11BBA830">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9）须按</w:t>
      </w:r>
      <w:bookmarkStart w:id="516" w:name="REVIEW_BM_1445"/>
      <w:r>
        <w:rPr>
          <w:rFonts w:hint="eastAsia" w:ascii="宋体" w:hAnsi="宋体" w:cs="宋体"/>
          <w:szCs w:val="21"/>
          <w:highlight w:val="none"/>
        </w:rPr>
        <w:t>发包人</w:t>
      </w:r>
      <w:bookmarkEnd w:id="516"/>
      <w:r>
        <w:rPr>
          <w:rFonts w:hint="eastAsia" w:ascii="宋体" w:hAnsi="宋体" w:cs="宋体"/>
          <w:szCs w:val="21"/>
          <w:highlight w:val="none"/>
        </w:rPr>
        <w:t>或监理人通知要求的人员、时间、地点参加或监理人组织的工程会议，否则每迟到 1 人次应按 500 元/人·次向</w:t>
      </w:r>
      <w:bookmarkStart w:id="517" w:name="REVIEW_BM_1446"/>
      <w:r>
        <w:rPr>
          <w:rFonts w:hint="eastAsia" w:ascii="宋体" w:hAnsi="宋体" w:cs="宋体"/>
          <w:szCs w:val="21"/>
          <w:highlight w:val="none"/>
        </w:rPr>
        <w:t>发包人</w:t>
      </w:r>
      <w:bookmarkEnd w:id="517"/>
      <w:r>
        <w:rPr>
          <w:rFonts w:hint="eastAsia" w:ascii="宋体" w:hAnsi="宋体" w:cs="宋体"/>
          <w:szCs w:val="21"/>
          <w:highlight w:val="none"/>
        </w:rPr>
        <w:t>支付违约金，每缺席 1 人·次应按 1000 元/人·次向</w:t>
      </w:r>
      <w:bookmarkStart w:id="518" w:name="REVIEW_BM_1447"/>
      <w:r>
        <w:rPr>
          <w:rFonts w:hint="eastAsia" w:ascii="宋体" w:hAnsi="宋体" w:cs="宋体"/>
          <w:szCs w:val="21"/>
          <w:highlight w:val="none"/>
        </w:rPr>
        <w:t>发包人</w:t>
      </w:r>
      <w:bookmarkEnd w:id="518"/>
      <w:r>
        <w:rPr>
          <w:rFonts w:hint="eastAsia" w:ascii="宋体" w:hAnsi="宋体" w:cs="宋体"/>
          <w:szCs w:val="21"/>
          <w:highlight w:val="none"/>
        </w:rPr>
        <w:t>支付违约金，迟到超过 1 小时的视为缺席；与会人员需按</w:t>
      </w:r>
      <w:bookmarkStart w:id="519" w:name="REVIEW_BM_1448"/>
      <w:r>
        <w:rPr>
          <w:rFonts w:hint="eastAsia" w:ascii="宋体" w:hAnsi="宋体" w:cs="宋体"/>
          <w:szCs w:val="21"/>
          <w:highlight w:val="none"/>
        </w:rPr>
        <w:t>发包人</w:t>
      </w:r>
      <w:bookmarkEnd w:id="519"/>
      <w:r>
        <w:rPr>
          <w:rFonts w:hint="eastAsia" w:ascii="宋体" w:hAnsi="宋体" w:cs="宋体"/>
          <w:szCs w:val="21"/>
          <w:highlight w:val="none"/>
        </w:rPr>
        <w:t>或监理的要求，及时在达成一致意见的会议记录（或会议纪要或会议备忘录）上签字，否则应按 1000 元/人·次向</w:t>
      </w:r>
      <w:bookmarkStart w:id="520" w:name="REVIEW_BM_1449"/>
      <w:r>
        <w:rPr>
          <w:rFonts w:hint="eastAsia" w:ascii="宋体" w:hAnsi="宋体" w:cs="宋体"/>
          <w:szCs w:val="21"/>
          <w:highlight w:val="none"/>
        </w:rPr>
        <w:t>发包人</w:t>
      </w:r>
      <w:bookmarkEnd w:id="520"/>
      <w:r>
        <w:rPr>
          <w:rFonts w:hint="eastAsia" w:ascii="宋体" w:hAnsi="宋体" w:cs="宋体"/>
          <w:szCs w:val="21"/>
          <w:highlight w:val="none"/>
        </w:rPr>
        <w:t>支付违约金。</w:t>
      </w:r>
    </w:p>
    <w:p w14:paraId="57C636DF">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10）施工时全面协调好周边关系，如因</w:t>
      </w:r>
      <w:bookmarkStart w:id="521" w:name="REVIEW_BM_1451"/>
      <w:r>
        <w:rPr>
          <w:rFonts w:hint="eastAsia" w:ascii="宋体" w:hAnsi="宋体" w:cs="宋体"/>
          <w:szCs w:val="21"/>
          <w:highlight w:val="none"/>
        </w:rPr>
        <w:t>承包人</w:t>
      </w:r>
      <w:bookmarkEnd w:id="521"/>
      <w:r>
        <w:rPr>
          <w:rFonts w:hint="eastAsia" w:ascii="宋体" w:hAnsi="宋体" w:cs="宋体"/>
          <w:szCs w:val="21"/>
          <w:highlight w:val="none"/>
        </w:rPr>
        <w:t>原因未处理好周边环境关系而导致工程停工的后果由</w:t>
      </w:r>
      <w:bookmarkStart w:id="522" w:name="REVIEW_BM_1452"/>
      <w:r>
        <w:rPr>
          <w:rFonts w:hint="eastAsia" w:ascii="宋体" w:hAnsi="宋体" w:cs="宋体"/>
          <w:szCs w:val="21"/>
          <w:highlight w:val="none"/>
        </w:rPr>
        <w:t>承包人</w:t>
      </w:r>
      <w:bookmarkEnd w:id="522"/>
      <w:r>
        <w:rPr>
          <w:rFonts w:hint="eastAsia" w:ascii="宋体" w:hAnsi="宋体" w:cs="宋体"/>
          <w:szCs w:val="21"/>
          <w:highlight w:val="none"/>
        </w:rPr>
        <w:t>自行承担，</w:t>
      </w:r>
      <w:bookmarkStart w:id="523" w:name="REVIEW_BM_1450"/>
      <w:r>
        <w:rPr>
          <w:rFonts w:hint="eastAsia" w:ascii="宋体" w:hAnsi="宋体" w:cs="宋体"/>
          <w:szCs w:val="21"/>
          <w:highlight w:val="none"/>
        </w:rPr>
        <w:t>发包人</w:t>
      </w:r>
      <w:bookmarkEnd w:id="523"/>
      <w:r>
        <w:rPr>
          <w:rFonts w:hint="eastAsia" w:ascii="宋体" w:hAnsi="宋体" w:cs="宋体"/>
          <w:szCs w:val="21"/>
          <w:highlight w:val="none"/>
        </w:rPr>
        <w:t>将不承担由此引起的工期延误及其他损失。</w:t>
      </w:r>
    </w:p>
    <w:p w14:paraId="4C8799F2">
      <w:pPr>
        <w:widowControl/>
        <w:spacing w:line="360" w:lineRule="auto"/>
        <w:ind w:firstLine="420"/>
        <w:rPr>
          <w:rFonts w:hint="eastAsia" w:ascii="宋体" w:hAnsi="宋体" w:eastAsia="宋体" w:cs="宋体"/>
          <w:szCs w:val="21"/>
          <w:highlight w:val="none"/>
          <w:lang w:eastAsia="zh-CN"/>
        </w:rPr>
      </w:pPr>
      <w:r>
        <w:rPr>
          <w:rFonts w:hint="eastAsia" w:ascii="宋体" w:hAnsi="宋体" w:cs="宋体"/>
          <w:szCs w:val="21"/>
          <w:highlight w:val="none"/>
        </w:rPr>
        <w:t xml:space="preserve"> 按照《中华人民共和国工会法</w:t>
      </w:r>
      <w:bookmarkStart w:id="524" w:name="REVIEW_BM_1453"/>
      <w:r>
        <w:rPr>
          <w:rFonts w:hint="eastAsia" w:ascii="宋体" w:hAnsi="宋体" w:cs="宋体"/>
          <w:szCs w:val="21"/>
          <w:highlight w:val="none"/>
        </w:rPr>
        <w:t>》、《</w:t>
      </w:r>
      <w:bookmarkEnd w:id="524"/>
      <w:r>
        <w:rPr>
          <w:rFonts w:hint="eastAsia" w:ascii="宋体" w:hAnsi="宋体" w:cs="宋体"/>
          <w:szCs w:val="21"/>
          <w:highlight w:val="none"/>
        </w:rPr>
        <w:t>国务院关于进一步做好为农民工服务工作的意见》（国发〔2014〕40号）、《中华全国总工会关于深入贯彻落实&lt;国务院关于进一步做好为农民工服务工作的意见&gt;的实施意见》（总工发〔2015〕14号）有关要求，依法保障农民工合法权益</w:t>
      </w:r>
      <w:r>
        <w:rPr>
          <w:rFonts w:hint="eastAsia" w:ascii="宋体" w:hAnsi="宋体" w:cs="宋体"/>
          <w:szCs w:val="21"/>
          <w:highlight w:val="none"/>
          <w:lang w:eastAsia="zh-CN"/>
        </w:rPr>
        <w:t>。</w:t>
      </w:r>
    </w:p>
    <w:p w14:paraId="747F34C7">
      <w:pPr>
        <w:widowControl/>
        <w:spacing w:line="360" w:lineRule="auto"/>
        <w:ind w:firstLine="416"/>
        <w:rPr>
          <w:rFonts w:hint="eastAsia" w:ascii="宋体" w:hAnsi="宋体" w:cs="宋体"/>
          <w:spacing w:val="-1"/>
          <w:szCs w:val="21"/>
          <w:highlight w:val="none"/>
        </w:rPr>
      </w:pPr>
      <w:r>
        <w:rPr>
          <w:rFonts w:hint="eastAsia" w:ascii="宋体" w:hAnsi="宋体" w:cs="宋体"/>
          <w:szCs w:val="21"/>
          <w:highlight w:val="none"/>
        </w:rPr>
        <w:t>3.1.</w:t>
      </w:r>
      <w:r>
        <w:rPr>
          <w:rFonts w:hint="eastAsia" w:ascii="宋体" w:hAnsi="宋体" w:cs="宋体"/>
          <w:szCs w:val="21"/>
          <w:highlight w:val="none"/>
          <w:lang w:val="en-US" w:eastAsia="zh-CN"/>
        </w:rPr>
        <w:t>3</w:t>
      </w:r>
      <w:bookmarkStart w:id="525" w:name="REVIEW_BM_1454"/>
      <w:r>
        <w:rPr>
          <w:rFonts w:hint="eastAsia" w:ascii="宋体" w:hAnsi="宋体" w:cs="宋体"/>
          <w:szCs w:val="21"/>
          <w:highlight w:val="none"/>
        </w:rPr>
        <w:t>承包人</w:t>
      </w:r>
      <w:bookmarkEnd w:id="525"/>
      <w:r>
        <w:rPr>
          <w:rFonts w:hint="eastAsia" w:ascii="宋体" w:hAnsi="宋体" w:cs="宋体"/>
          <w:szCs w:val="21"/>
          <w:highlight w:val="none"/>
        </w:rPr>
        <w:t>是否提供履约担保：</w:t>
      </w:r>
      <w:r>
        <w:rPr>
          <w:rFonts w:hint="eastAsia" w:ascii="宋体" w:hAnsi="宋体" w:cs="宋体"/>
          <w:spacing w:val="-1"/>
          <w:szCs w:val="21"/>
          <w:highlight w:val="none"/>
          <w:u w:val="single"/>
        </w:rPr>
        <w:t xml:space="preserve"> </w:t>
      </w:r>
      <w:r>
        <w:rPr>
          <w:rFonts w:hint="eastAsia" w:ascii="宋体" w:hAnsi="宋体" w:cs="宋体"/>
          <w:spacing w:val="-1"/>
          <w:szCs w:val="21"/>
          <w:highlight w:val="none"/>
          <w:u w:val="single"/>
          <w:lang w:eastAsia="zh-CN"/>
        </w:rPr>
        <w:t>是</w:t>
      </w:r>
      <w:r>
        <w:rPr>
          <w:rFonts w:hint="eastAsia" w:ascii="宋体" w:hAnsi="宋体" w:cs="宋体"/>
          <w:spacing w:val="-1"/>
          <w:szCs w:val="21"/>
          <w:highlight w:val="none"/>
          <w:u w:val="single"/>
        </w:rPr>
        <w:t xml:space="preserve"> 。</w:t>
      </w:r>
    </w:p>
    <w:p w14:paraId="10E9E2DC">
      <w:pPr>
        <w:widowControl/>
        <w:spacing w:line="360" w:lineRule="auto"/>
        <w:ind w:firstLine="420"/>
        <w:rPr>
          <w:rFonts w:hint="eastAsia" w:ascii="宋体" w:hAnsi="宋体" w:eastAsia="宋体" w:cs="宋体"/>
          <w:b w:val="0"/>
          <w:bCs/>
          <w:szCs w:val="21"/>
          <w:highlight w:val="none"/>
          <w:u w:val="none"/>
          <w:lang w:eastAsia="zh-CN"/>
        </w:rPr>
      </w:pPr>
      <w:r>
        <w:rPr>
          <w:rFonts w:hint="eastAsia" w:ascii="宋体" w:hAnsi="宋体" w:cs="宋体"/>
          <w:b w:val="0"/>
          <w:bCs/>
          <w:szCs w:val="21"/>
          <w:highlight w:val="none"/>
          <w:u w:val="none"/>
        </w:rPr>
        <w:t>履约保证金提交方式：</w:t>
      </w:r>
      <w:bookmarkStart w:id="526" w:name="REVIEW_BM_1456"/>
      <w:r>
        <w:rPr>
          <w:rFonts w:hint="eastAsia" w:ascii="宋体" w:hAnsi="宋体" w:cs="宋体"/>
          <w:b w:val="0"/>
          <w:bCs/>
          <w:szCs w:val="21"/>
          <w:highlight w:val="none"/>
          <w:u w:val="none"/>
        </w:rPr>
        <w:t>承包人</w:t>
      </w:r>
      <w:bookmarkEnd w:id="526"/>
      <w:r>
        <w:rPr>
          <w:rFonts w:hint="eastAsia" w:ascii="宋体" w:hAnsi="宋体" w:cs="宋体"/>
          <w:b w:val="0"/>
          <w:bCs/>
          <w:szCs w:val="21"/>
          <w:highlight w:val="none"/>
          <w:u w:val="none"/>
        </w:rPr>
        <w:t>在收到</w:t>
      </w:r>
      <w:r>
        <w:rPr>
          <w:rFonts w:hint="eastAsia" w:ascii="宋体" w:hAnsi="宋体" w:cs="宋体"/>
          <w:b w:val="0"/>
          <w:bCs/>
          <w:szCs w:val="21"/>
          <w:highlight w:val="none"/>
          <w:u w:val="none"/>
          <w:lang w:val="en-US" w:eastAsia="zh-CN"/>
        </w:rPr>
        <w:t>成交</w:t>
      </w:r>
      <w:r>
        <w:rPr>
          <w:rFonts w:hint="eastAsia" w:ascii="宋体" w:hAnsi="宋体" w:cs="宋体"/>
          <w:b w:val="0"/>
          <w:bCs/>
          <w:szCs w:val="21"/>
          <w:highlight w:val="none"/>
          <w:u w:val="none"/>
        </w:rPr>
        <w:t>通知书后，须在7日内缴纳履约保证金到指定账户，银行转账、支票、汇票、本票或者金融机构、担保机构出具的保函等非现金方式。履约担保的有效期应当自本合同生效之日起至</w:t>
      </w:r>
      <w:bookmarkStart w:id="527" w:name="REVIEW_BM_1455"/>
      <w:r>
        <w:rPr>
          <w:rFonts w:hint="eastAsia" w:ascii="宋体" w:hAnsi="宋体" w:cs="宋体"/>
          <w:b w:val="0"/>
          <w:bCs/>
          <w:szCs w:val="21"/>
          <w:highlight w:val="none"/>
          <w:u w:val="none"/>
        </w:rPr>
        <w:t>发包人</w:t>
      </w:r>
      <w:bookmarkEnd w:id="527"/>
      <w:r>
        <w:rPr>
          <w:rFonts w:hint="eastAsia" w:ascii="宋体" w:hAnsi="宋体" w:cs="宋体"/>
          <w:b w:val="0"/>
          <w:bCs/>
          <w:szCs w:val="21"/>
          <w:highlight w:val="none"/>
          <w:u w:val="none"/>
        </w:rPr>
        <w:t>签认并由监理人向</w:t>
      </w:r>
      <w:bookmarkStart w:id="528" w:name="REVIEW_BM_1457"/>
      <w:r>
        <w:rPr>
          <w:rFonts w:hint="eastAsia" w:ascii="宋体" w:hAnsi="宋体" w:cs="宋体"/>
          <w:b w:val="0"/>
          <w:bCs/>
          <w:szCs w:val="21"/>
          <w:highlight w:val="none"/>
          <w:u w:val="none"/>
        </w:rPr>
        <w:t>承包人</w:t>
      </w:r>
      <w:bookmarkEnd w:id="528"/>
      <w:r>
        <w:rPr>
          <w:rFonts w:hint="eastAsia" w:ascii="宋体" w:hAnsi="宋体" w:cs="宋体"/>
          <w:b w:val="0"/>
          <w:bCs/>
          <w:szCs w:val="21"/>
          <w:highlight w:val="none"/>
          <w:u w:val="none"/>
        </w:rPr>
        <w:t>出具竣工证明材料之日止</w:t>
      </w:r>
      <w:r>
        <w:rPr>
          <w:rFonts w:hint="eastAsia" w:ascii="宋体" w:hAnsi="宋体" w:cs="宋体"/>
          <w:b w:val="0"/>
          <w:bCs/>
          <w:szCs w:val="21"/>
          <w:highlight w:val="none"/>
          <w:u w:val="none"/>
          <w:lang w:eastAsia="zh-CN"/>
        </w:rPr>
        <w:t>。</w:t>
      </w:r>
    </w:p>
    <w:p w14:paraId="723B35DF">
      <w:pPr>
        <w:widowControl/>
        <w:spacing w:line="360" w:lineRule="auto"/>
        <w:ind w:firstLine="420"/>
        <w:rPr>
          <w:rFonts w:hint="eastAsia" w:ascii="宋体" w:hAnsi="宋体" w:cs="宋体"/>
          <w:b w:val="0"/>
          <w:bCs/>
          <w:szCs w:val="21"/>
          <w:highlight w:val="none"/>
          <w:u w:val="none"/>
        </w:rPr>
      </w:pPr>
      <w:r>
        <w:rPr>
          <w:rFonts w:hint="eastAsia" w:ascii="宋体" w:hAnsi="宋体" w:cs="宋体"/>
          <w:b w:val="0"/>
          <w:bCs/>
          <w:szCs w:val="21"/>
          <w:highlight w:val="none"/>
          <w:u w:val="none"/>
        </w:rPr>
        <w:t>履约保证金退付方式、时问及条件：验收合格后由</w:t>
      </w:r>
      <w:bookmarkStart w:id="529" w:name="REVIEW_BM_1459"/>
      <w:r>
        <w:rPr>
          <w:rFonts w:hint="eastAsia" w:ascii="宋体" w:hAnsi="宋体" w:cs="宋体"/>
          <w:b w:val="0"/>
          <w:bCs/>
          <w:szCs w:val="21"/>
          <w:highlight w:val="none"/>
          <w:u w:val="none"/>
          <w:lang w:val="en-US" w:eastAsia="zh-CN"/>
        </w:rPr>
        <w:t>承包人</w:t>
      </w:r>
      <w:bookmarkEnd w:id="529"/>
      <w:r>
        <w:rPr>
          <w:rFonts w:hint="eastAsia" w:ascii="宋体" w:hAnsi="宋体" w:cs="宋体"/>
          <w:b w:val="0"/>
          <w:bCs/>
          <w:szCs w:val="21"/>
          <w:highlight w:val="none"/>
          <w:u w:val="none"/>
        </w:rPr>
        <w:t>向履约保证金收取单位提供 《广西壮族自治区政府采购项月合同验收书》（详见附件1）及《政府采购项目履约保证金退付意见书》（详见附件2），</w:t>
      </w:r>
      <w:bookmarkStart w:id="530" w:name="REVIEW_BM_1458"/>
      <w:r>
        <w:rPr>
          <w:rFonts w:hint="eastAsia" w:ascii="宋体" w:hAnsi="宋体" w:cs="宋体"/>
          <w:b w:val="0"/>
          <w:bCs/>
          <w:szCs w:val="21"/>
          <w:highlight w:val="none"/>
          <w:u w:val="none"/>
          <w:lang w:val="en-US" w:eastAsia="zh-CN"/>
        </w:rPr>
        <w:t>发包</w:t>
      </w:r>
      <w:r>
        <w:rPr>
          <w:rFonts w:hint="eastAsia" w:ascii="宋体" w:hAnsi="宋体" w:cs="宋体"/>
          <w:b w:val="0"/>
          <w:bCs/>
          <w:szCs w:val="21"/>
          <w:highlight w:val="none"/>
          <w:u w:val="none"/>
        </w:rPr>
        <w:t>人</w:t>
      </w:r>
      <w:bookmarkEnd w:id="530"/>
      <w:r>
        <w:rPr>
          <w:rFonts w:hint="eastAsia" w:ascii="宋体" w:hAnsi="宋体" w:cs="宋体"/>
          <w:b w:val="0"/>
          <w:bCs/>
          <w:szCs w:val="21"/>
          <w:highlight w:val="none"/>
          <w:u w:val="none"/>
        </w:rPr>
        <w:t>在收到合格材料后 15个工作日内办理退还手续（不计利息），履约保证金按原账户退回。</w:t>
      </w:r>
    </w:p>
    <w:p w14:paraId="7021EB62">
      <w:pPr>
        <w:widowControl/>
        <w:spacing w:line="360" w:lineRule="auto"/>
        <w:ind w:firstLine="420"/>
        <w:rPr>
          <w:rFonts w:hint="eastAsia" w:ascii="宋体" w:hAnsi="宋体" w:cs="宋体"/>
          <w:b w:val="0"/>
          <w:bCs/>
          <w:szCs w:val="21"/>
          <w:highlight w:val="none"/>
          <w:u w:val="none"/>
        </w:rPr>
      </w:pPr>
      <w:r>
        <w:rPr>
          <w:rFonts w:hint="eastAsia" w:ascii="宋体" w:hAnsi="宋体" w:cs="宋体"/>
          <w:b w:val="0"/>
          <w:bCs/>
          <w:szCs w:val="21"/>
          <w:highlight w:val="none"/>
          <w:u w:val="none"/>
        </w:rPr>
        <w:t>缴纳履约保证金指定账户的信息：</w:t>
      </w:r>
    </w:p>
    <w:p w14:paraId="0350A0CD">
      <w:pPr>
        <w:widowControl/>
        <w:spacing w:line="360" w:lineRule="auto"/>
        <w:ind w:firstLine="420"/>
        <w:rPr>
          <w:rFonts w:hint="eastAsia" w:ascii="宋体" w:hAnsi="宋体" w:cs="宋体"/>
          <w:b w:val="0"/>
          <w:bCs/>
          <w:szCs w:val="21"/>
          <w:highlight w:val="none"/>
          <w:u w:val="none"/>
        </w:rPr>
      </w:pPr>
      <w:r>
        <w:rPr>
          <w:rFonts w:hint="eastAsia" w:ascii="宋体" w:hAnsi="宋体" w:cs="宋体"/>
          <w:b w:val="0"/>
          <w:bCs/>
          <w:szCs w:val="21"/>
          <w:highlight w:val="none"/>
          <w:u w:val="none"/>
        </w:rPr>
        <w:t>开户名称：广西医科大学</w:t>
      </w:r>
    </w:p>
    <w:p w14:paraId="585E6F42">
      <w:pPr>
        <w:widowControl/>
        <w:spacing w:line="360" w:lineRule="auto"/>
        <w:ind w:firstLine="420"/>
        <w:rPr>
          <w:rFonts w:hint="eastAsia" w:ascii="宋体" w:hAnsi="宋体" w:cs="宋体"/>
          <w:b w:val="0"/>
          <w:bCs/>
          <w:szCs w:val="21"/>
          <w:highlight w:val="none"/>
          <w:u w:val="none"/>
        </w:rPr>
      </w:pPr>
      <w:r>
        <w:rPr>
          <w:rFonts w:hint="eastAsia" w:ascii="宋体" w:hAnsi="宋体" w:cs="宋体"/>
          <w:b w:val="0"/>
          <w:bCs/>
          <w:szCs w:val="21"/>
          <w:highlight w:val="none"/>
          <w:u w:val="none"/>
        </w:rPr>
        <w:t>开户银行：中行南宁市医科大支行</w:t>
      </w:r>
    </w:p>
    <w:p w14:paraId="0BBBA856">
      <w:pPr>
        <w:widowControl/>
        <w:spacing w:line="360" w:lineRule="auto"/>
        <w:ind w:firstLine="420"/>
        <w:rPr>
          <w:rFonts w:hint="eastAsia" w:ascii="宋体" w:hAnsi="宋体" w:cs="宋体"/>
          <w:b w:val="0"/>
          <w:bCs/>
          <w:szCs w:val="21"/>
          <w:highlight w:val="none"/>
          <w:u w:val="none"/>
        </w:rPr>
      </w:pPr>
      <w:r>
        <w:rPr>
          <w:rFonts w:hint="eastAsia" w:ascii="宋体" w:hAnsi="宋体" w:cs="宋体"/>
          <w:b w:val="0"/>
          <w:bCs/>
          <w:szCs w:val="21"/>
          <w:highlight w:val="none"/>
          <w:u w:val="none"/>
        </w:rPr>
        <w:t>银行账号：622357485287</w:t>
      </w:r>
    </w:p>
    <w:p w14:paraId="7FAEFFC8">
      <w:pPr>
        <w:widowControl/>
        <w:spacing w:line="360" w:lineRule="auto"/>
        <w:rPr>
          <w:rFonts w:hint="eastAsia" w:ascii="宋体" w:hAnsi="宋体" w:cs="宋体"/>
          <w:b/>
          <w:szCs w:val="21"/>
          <w:highlight w:val="none"/>
        </w:rPr>
      </w:pPr>
      <w:r>
        <w:rPr>
          <w:rFonts w:hint="eastAsia" w:ascii="宋体" w:hAnsi="宋体" w:cs="宋体"/>
          <w:b/>
          <w:szCs w:val="21"/>
          <w:highlight w:val="none"/>
        </w:rPr>
        <w:t>3.2 项目经理</w:t>
      </w:r>
    </w:p>
    <w:p w14:paraId="3FE72A78">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3.2.1 项目经理：</w:t>
      </w:r>
    </w:p>
    <w:p w14:paraId="57983328">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32F96568">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身份证号：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7619B090">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执业资格等级：</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26689A6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注册证书号：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2650A38A">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执业印章号：</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70631DCF">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联系电话：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23170EDF">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通信地址：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p>
    <w:p w14:paraId="7720373D">
      <w:pPr>
        <w:widowControl/>
        <w:spacing w:line="360" w:lineRule="auto"/>
        <w:ind w:firstLine="420"/>
        <w:rPr>
          <w:rFonts w:hint="eastAsia" w:ascii="宋体" w:hAnsi="宋体" w:eastAsia="宋体" w:cs="宋体"/>
          <w:szCs w:val="21"/>
          <w:highlight w:val="none"/>
          <w:lang w:eastAsia="zh-CN"/>
        </w:rPr>
      </w:pPr>
      <w:bookmarkStart w:id="531" w:name="REVIEW_BM_1467"/>
      <w:r>
        <w:rPr>
          <w:rFonts w:hint="eastAsia" w:ascii="宋体" w:hAnsi="宋体" w:cs="宋体"/>
          <w:szCs w:val="21"/>
          <w:highlight w:val="none"/>
        </w:rPr>
        <w:t>承包人</w:t>
      </w:r>
      <w:bookmarkEnd w:id="531"/>
      <w:r>
        <w:rPr>
          <w:rFonts w:hint="eastAsia" w:ascii="宋体" w:hAnsi="宋体" w:cs="宋体"/>
          <w:szCs w:val="21"/>
          <w:highlight w:val="none"/>
        </w:rPr>
        <w:t>对项目经理的授权范围如下：</w:t>
      </w:r>
      <w:r>
        <w:rPr>
          <w:rFonts w:hint="eastAsia" w:ascii="宋体" w:hAnsi="宋体" w:cs="宋体"/>
          <w:szCs w:val="21"/>
          <w:highlight w:val="none"/>
          <w:u w:val="single"/>
        </w:rPr>
        <w:t>（1）对本工程的施工进行全面管理，包括对工程质量、进度、安全、成本等进行管理，行使施工合同约定的权利，履行施工合同约定的义务；（2）经</w:t>
      </w:r>
      <w:bookmarkStart w:id="532" w:name="REVIEW_BM_1460"/>
      <w:r>
        <w:rPr>
          <w:rFonts w:hint="eastAsia" w:ascii="宋体" w:hAnsi="宋体" w:cs="宋体"/>
          <w:szCs w:val="21"/>
          <w:highlight w:val="none"/>
          <w:u w:val="single"/>
        </w:rPr>
        <w:t>发包人</w:t>
      </w:r>
      <w:bookmarkEnd w:id="532"/>
      <w:r>
        <w:rPr>
          <w:rFonts w:hint="eastAsia" w:ascii="宋体" w:hAnsi="宋体" w:cs="宋体"/>
          <w:szCs w:val="21"/>
          <w:highlight w:val="none"/>
          <w:u w:val="single"/>
        </w:rPr>
        <w:t>同意分包的专业工程，项目经理参与选择并使用具有相应资质的分包人（由</w:t>
      </w:r>
      <w:bookmarkStart w:id="533" w:name="REVIEW_BM_1461"/>
      <w:r>
        <w:rPr>
          <w:rFonts w:hint="eastAsia" w:ascii="宋体" w:hAnsi="宋体" w:cs="宋体"/>
          <w:szCs w:val="21"/>
          <w:highlight w:val="none"/>
          <w:u w:val="single"/>
        </w:rPr>
        <w:t>发包人</w:t>
      </w:r>
      <w:bookmarkEnd w:id="533"/>
      <w:r>
        <w:rPr>
          <w:rFonts w:hint="eastAsia" w:ascii="宋体" w:hAnsi="宋体" w:cs="宋体"/>
          <w:szCs w:val="21"/>
          <w:highlight w:val="none"/>
          <w:u w:val="single"/>
        </w:rPr>
        <w:t>指定分包的除外）；（3）施工合同约定由</w:t>
      </w:r>
      <w:bookmarkStart w:id="534" w:name="REVIEW_BM_1468"/>
      <w:r>
        <w:rPr>
          <w:rFonts w:hint="eastAsia" w:ascii="宋体" w:hAnsi="宋体" w:cs="宋体"/>
          <w:szCs w:val="21"/>
          <w:highlight w:val="none"/>
          <w:u w:val="single"/>
        </w:rPr>
        <w:t>承包人</w:t>
      </w:r>
      <w:bookmarkEnd w:id="534"/>
      <w:r>
        <w:rPr>
          <w:rFonts w:hint="eastAsia" w:ascii="宋体" w:hAnsi="宋体" w:cs="宋体"/>
          <w:szCs w:val="21"/>
          <w:highlight w:val="none"/>
          <w:u w:val="single"/>
        </w:rPr>
        <w:t>采购的材料、工程设备，项目经理参与选择物资供应单位；（4）代表</w:t>
      </w:r>
      <w:bookmarkStart w:id="535" w:name="REVIEW_BM_1469"/>
      <w:r>
        <w:rPr>
          <w:rFonts w:hint="eastAsia" w:ascii="宋体" w:hAnsi="宋体" w:cs="宋体"/>
          <w:szCs w:val="21"/>
          <w:highlight w:val="none"/>
          <w:u w:val="single"/>
        </w:rPr>
        <w:t>承包人</w:t>
      </w:r>
      <w:bookmarkEnd w:id="535"/>
      <w:r>
        <w:rPr>
          <w:rFonts w:hint="eastAsia" w:ascii="宋体" w:hAnsi="宋体" w:cs="宋体"/>
          <w:szCs w:val="21"/>
          <w:highlight w:val="none"/>
          <w:u w:val="single"/>
        </w:rPr>
        <w:t>对工程施工中的相关事务（本授权第一项约定的事务）进行协商，代表</w:t>
      </w:r>
      <w:bookmarkStart w:id="536" w:name="REVIEW_BM_1470"/>
      <w:r>
        <w:rPr>
          <w:rFonts w:hint="eastAsia" w:ascii="宋体" w:hAnsi="宋体" w:cs="宋体"/>
          <w:szCs w:val="21"/>
          <w:highlight w:val="none"/>
          <w:u w:val="single"/>
        </w:rPr>
        <w:t>承包人</w:t>
      </w:r>
      <w:bookmarkEnd w:id="536"/>
      <w:r>
        <w:rPr>
          <w:rFonts w:hint="eastAsia" w:ascii="宋体" w:hAnsi="宋体" w:cs="宋体"/>
          <w:szCs w:val="21"/>
          <w:highlight w:val="none"/>
          <w:u w:val="single"/>
        </w:rPr>
        <w:t>参加</w:t>
      </w:r>
      <w:bookmarkStart w:id="537" w:name="REVIEW_BM_1462"/>
      <w:r>
        <w:rPr>
          <w:rFonts w:hint="eastAsia" w:ascii="宋体" w:hAnsi="宋体" w:cs="宋体"/>
          <w:szCs w:val="21"/>
          <w:highlight w:val="none"/>
          <w:u w:val="single"/>
        </w:rPr>
        <w:t>发包人</w:t>
      </w:r>
      <w:bookmarkEnd w:id="537"/>
      <w:r>
        <w:rPr>
          <w:rFonts w:hint="eastAsia" w:ascii="宋体" w:hAnsi="宋体" w:cs="宋体"/>
          <w:szCs w:val="21"/>
          <w:highlight w:val="none"/>
          <w:u w:val="single"/>
        </w:rPr>
        <w:t>组织的与本工程有关的会议；（5）负责与</w:t>
      </w:r>
      <w:bookmarkStart w:id="538" w:name="REVIEW_BM_1463"/>
      <w:r>
        <w:rPr>
          <w:rFonts w:hint="eastAsia" w:ascii="宋体" w:hAnsi="宋体" w:cs="宋体"/>
          <w:szCs w:val="21"/>
          <w:highlight w:val="none"/>
          <w:u w:val="single"/>
        </w:rPr>
        <w:t>发包人</w:t>
      </w:r>
      <w:bookmarkEnd w:id="538"/>
      <w:r>
        <w:rPr>
          <w:rFonts w:hint="eastAsia" w:ascii="宋体" w:hAnsi="宋体" w:cs="宋体"/>
          <w:szCs w:val="21"/>
          <w:highlight w:val="none"/>
          <w:u w:val="single"/>
        </w:rPr>
        <w:t>、监理人办理设计变更、现场签证等手续，及时办理本工程相关索赔；（6）负责签收</w:t>
      </w:r>
      <w:bookmarkStart w:id="539" w:name="REVIEW_BM_1464"/>
      <w:r>
        <w:rPr>
          <w:rFonts w:hint="eastAsia" w:ascii="宋体" w:hAnsi="宋体" w:cs="宋体"/>
          <w:szCs w:val="21"/>
          <w:highlight w:val="none"/>
          <w:u w:val="single"/>
        </w:rPr>
        <w:t>发包人</w:t>
      </w:r>
      <w:bookmarkEnd w:id="539"/>
      <w:r>
        <w:rPr>
          <w:rFonts w:hint="eastAsia" w:ascii="宋体" w:hAnsi="宋体" w:cs="宋体"/>
          <w:szCs w:val="21"/>
          <w:highlight w:val="none"/>
          <w:u w:val="single"/>
        </w:rPr>
        <w:t>、监理人往来函件，</w:t>
      </w:r>
      <w:bookmarkStart w:id="540" w:name="REVIEW_BM_1471"/>
      <w:r>
        <w:rPr>
          <w:rFonts w:hint="eastAsia" w:ascii="宋体" w:hAnsi="宋体" w:cs="宋体"/>
          <w:szCs w:val="21"/>
          <w:highlight w:val="none"/>
          <w:u w:val="single"/>
        </w:rPr>
        <w:t>承包人</w:t>
      </w:r>
      <w:bookmarkEnd w:id="540"/>
      <w:r>
        <w:rPr>
          <w:rFonts w:hint="eastAsia" w:ascii="宋体" w:hAnsi="宋体" w:cs="宋体"/>
          <w:szCs w:val="21"/>
          <w:highlight w:val="none"/>
          <w:u w:val="single"/>
        </w:rPr>
        <w:t>的要求、通知均应以书面形式由</w:t>
      </w:r>
      <w:bookmarkStart w:id="541" w:name="REVIEW_BM_1472"/>
      <w:r>
        <w:rPr>
          <w:rFonts w:hint="eastAsia" w:ascii="宋体" w:hAnsi="宋体" w:cs="宋体"/>
          <w:szCs w:val="21"/>
          <w:highlight w:val="none"/>
          <w:u w:val="single"/>
        </w:rPr>
        <w:t>承包人</w:t>
      </w:r>
      <w:bookmarkEnd w:id="541"/>
      <w:r>
        <w:rPr>
          <w:rFonts w:hint="eastAsia" w:ascii="宋体" w:hAnsi="宋体" w:cs="宋体"/>
          <w:szCs w:val="21"/>
          <w:highlight w:val="none"/>
          <w:u w:val="single"/>
        </w:rPr>
        <w:t>项目经理签字并加盖</w:t>
      </w:r>
      <w:bookmarkStart w:id="542" w:name="REVIEW_BM_1473"/>
      <w:r>
        <w:rPr>
          <w:rFonts w:hint="eastAsia" w:ascii="宋体" w:hAnsi="宋体" w:cs="宋体"/>
          <w:szCs w:val="21"/>
          <w:highlight w:val="none"/>
          <w:u w:val="single"/>
        </w:rPr>
        <w:t>承包人</w:t>
      </w:r>
      <w:bookmarkEnd w:id="542"/>
      <w:r>
        <w:rPr>
          <w:rFonts w:hint="eastAsia" w:ascii="宋体" w:hAnsi="宋体" w:cs="宋体"/>
          <w:szCs w:val="21"/>
          <w:highlight w:val="none"/>
          <w:u w:val="single"/>
        </w:rPr>
        <w:t>公司公章后递交</w:t>
      </w:r>
      <w:bookmarkStart w:id="543" w:name="REVIEW_BM_1465"/>
      <w:r>
        <w:rPr>
          <w:rFonts w:hint="eastAsia" w:ascii="宋体" w:hAnsi="宋体" w:cs="宋体"/>
          <w:szCs w:val="21"/>
          <w:highlight w:val="none"/>
          <w:u w:val="single"/>
        </w:rPr>
        <w:t>发包人</w:t>
      </w:r>
      <w:bookmarkEnd w:id="543"/>
      <w:r>
        <w:rPr>
          <w:rFonts w:hint="eastAsia" w:ascii="宋体" w:hAnsi="宋体" w:cs="宋体"/>
          <w:szCs w:val="21"/>
          <w:highlight w:val="none"/>
          <w:u w:val="single"/>
        </w:rPr>
        <w:t>；（7）代表</w:t>
      </w:r>
      <w:bookmarkStart w:id="544" w:name="REVIEW_BM_1474"/>
      <w:r>
        <w:rPr>
          <w:rFonts w:hint="eastAsia" w:ascii="宋体" w:hAnsi="宋体" w:cs="宋体"/>
          <w:szCs w:val="21"/>
          <w:highlight w:val="none"/>
          <w:u w:val="single"/>
        </w:rPr>
        <w:t>承包人</w:t>
      </w:r>
      <w:bookmarkEnd w:id="544"/>
      <w:r>
        <w:rPr>
          <w:rFonts w:hint="eastAsia" w:ascii="宋体" w:hAnsi="宋体" w:cs="宋体"/>
          <w:szCs w:val="21"/>
          <w:highlight w:val="none"/>
          <w:u w:val="single"/>
        </w:rPr>
        <w:t>接受监理工程师或</w:t>
      </w:r>
      <w:bookmarkStart w:id="545" w:name="REVIEW_BM_1466"/>
      <w:r>
        <w:rPr>
          <w:rFonts w:hint="eastAsia" w:ascii="宋体" w:hAnsi="宋体" w:cs="宋体"/>
          <w:szCs w:val="21"/>
          <w:highlight w:val="none"/>
          <w:u w:val="single"/>
        </w:rPr>
        <w:t>发包人</w:t>
      </w:r>
      <w:bookmarkEnd w:id="545"/>
      <w:r>
        <w:rPr>
          <w:rFonts w:hint="eastAsia" w:ascii="宋体" w:hAnsi="宋体" w:cs="宋体"/>
          <w:szCs w:val="21"/>
          <w:highlight w:val="none"/>
          <w:u w:val="single"/>
        </w:rPr>
        <w:t>现场代表发出的指示和指令</w:t>
      </w:r>
      <w:r>
        <w:rPr>
          <w:rFonts w:hint="eastAsia" w:ascii="宋体" w:hAnsi="宋体" w:cs="宋体"/>
          <w:szCs w:val="21"/>
          <w:highlight w:val="none"/>
          <w:u w:val="single"/>
          <w:lang w:eastAsia="zh-CN"/>
        </w:rPr>
        <w:t>；（8）未经</w:t>
      </w:r>
      <w:bookmarkStart w:id="546" w:name="REVIEW_BM_1475"/>
      <w:r>
        <w:rPr>
          <w:rFonts w:hint="eastAsia" w:ascii="宋体" w:hAnsi="宋体" w:cs="宋体"/>
          <w:szCs w:val="21"/>
          <w:highlight w:val="none"/>
          <w:u w:val="single"/>
          <w:lang w:eastAsia="zh-CN"/>
        </w:rPr>
        <w:t>承包人</w:t>
      </w:r>
      <w:bookmarkEnd w:id="546"/>
      <w:r>
        <w:rPr>
          <w:rFonts w:hint="eastAsia" w:ascii="宋体" w:hAnsi="宋体" w:cs="宋体"/>
          <w:szCs w:val="21"/>
          <w:highlight w:val="none"/>
          <w:u w:val="single"/>
          <w:lang w:eastAsia="zh-CN"/>
        </w:rPr>
        <w:t>盖章同意，不得以</w:t>
      </w:r>
      <w:bookmarkStart w:id="547" w:name="REVIEW_BM_1476"/>
      <w:r>
        <w:rPr>
          <w:rFonts w:hint="eastAsia" w:ascii="宋体" w:hAnsi="宋体" w:cs="宋体"/>
          <w:szCs w:val="21"/>
          <w:highlight w:val="none"/>
          <w:u w:val="single"/>
          <w:lang w:eastAsia="zh-CN"/>
        </w:rPr>
        <w:t>承包人</w:t>
      </w:r>
      <w:bookmarkEnd w:id="547"/>
      <w:r>
        <w:rPr>
          <w:rFonts w:hint="eastAsia" w:ascii="宋体" w:hAnsi="宋体" w:cs="宋体"/>
          <w:szCs w:val="21"/>
          <w:highlight w:val="none"/>
          <w:u w:val="single"/>
          <w:lang w:eastAsia="zh-CN"/>
        </w:rPr>
        <w:t>名义向外采购材料设备、租用建筑周转材料、雇用劳动力、签订分包合同等从事一切为</w:t>
      </w:r>
      <w:bookmarkStart w:id="548" w:name="REVIEW_BM_1477"/>
      <w:r>
        <w:rPr>
          <w:rFonts w:hint="eastAsia" w:ascii="宋体" w:hAnsi="宋体" w:cs="宋体"/>
          <w:szCs w:val="21"/>
          <w:highlight w:val="none"/>
          <w:u w:val="single"/>
          <w:lang w:eastAsia="zh-CN"/>
        </w:rPr>
        <w:t>承包人</w:t>
      </w:r>
      <w:bookmarkEnd w:id="548"/>
      <w:r>
        <w:rPr>
          <w:rFonts w:hint="eastAsia" w:ascii="宋体" w:hAnsi="宋体" w:cs="宋体"/>
          <w:szCs w:val="21"/>
          <w:highlight w:val="none"/>
          <w:u w:val="single"/>
          <w:lang w:eastAsia="zh-CN"/>
        </w:rPr>
        <w:t>设立义务或责任的行为。</w:t>
      </w:r>
    </w:p>
    <w:p w14:paraId="2E8E852B">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关于项目经理每月在施工现场的时间要求：</w:t>
      </w:r>
      <w:r>
        <w:rPr>
          <w:rFonts w:hint="eastAsia" w:ascii="宋体" w:hAnsi="宋体" w:cs="宋体"/>
          <w:szCs w:val="21"/>
          <w:highlight w:val="none"/>
          <w:u w:val="single"/>
        </w:rPr>
        <w:t>每月不少于22天，每天不少于6小时，在本工程现场工作，且必须参加</w:t>
      </w:r>
      <w:bookmarkStart w:id="549" w:name="REVIEW_BM_1482"/>
      <w:r>
        <w:rPr>
          <w:rFonts w:hint="eastAsia" w:ascii="宋体" w:hAnsi="宋体" w:cs="宋体"/>
          <w:szCs w:val="21"/>
          <w:highlight w:val="none"/>
          <w:u w:val="single"/>
        </w:rPr>
        <w:t>甲方</w:t>
      </w:r>
      <w:bookmarkEnd w:id="549"/>
      <w:r>
        <w:rPr>
          <w:rFonts w:hint="eastAsia" w:ascii="宋体" w:hAnsi="宋体" w:cs="宋体"/>
          <w:szCs w:val="21"/>
          <w:highlight w:val="none"/>
          <w:u w:val="single"/>
        </w:rPr>
        <w:t>召开的例会（有事须书面请假，需</w:t>
      </w:r>
      <w:bookmarkStart w:id="550" w:name="REVIEW_BM_1478"/>
      <w:r>
        <w:rPr>
          <w:rFonts w:hint="eastAsia" w:ascii="宋体" w:hAnsi="宋体" w:cs="宋体"/>
          <w:szCs w:val="21"/>
          <w:highlight w:val="none"/>
          <w:u w:val="single"/>
        </w:rPr>
        <w:t>发包人</w:t>
      </w:r>
      <w:bookmarkEnd w:id="550"/>
      <w:r>
        <w:rPr>
          <w:rFonts w:hint="eastAsia" w:ascii="宋体" w:hAnsi="宋体" w:cs="宋体"/>
          <w:szCs w:val="21"/>
          <w:highlight w:val="none"/>
          <w:u w:val="single"/>
        </w:rPr>
        <w:t>书面认可）。如发现项目经理不在现场，每次罚1000元整，连续5天不在现场，</w:t>
      </w:r>
      <w:bookmarkStart w:id="551" w:name="REVIEW_BM_1479"/>
      <w:r>
        <w:rPr>
          <w:rFonts w:hint="eastAsia" w:ascii="宋体" w:hAnsi="宋体" w:cs="宋体"/>
          <w:szCs w:val="21"/>
          <w:highlight w:val="none"/>
          <w:u w:val="single"/>
        </w:rPr>
        <w:t>发包人</w:t>
      </w:r>
      <w:bookmarkEnd w:id="551"/>
      <w:r>
        <w:rPr>
          <w:rFonts w:hint="eastAsia" w:ascii="宋体" w:hAnsi="宋体" w:cs="宋体"/>
          <w:szCs w:val="21"/>
          <w:highlight w:val="none"/>
          <w:u w:val="single"/>
        </w:rPr>
        <w:t>有权要求更换不称职的项目经理，并追究违约责任，</w:t>
      </w:r>
      <w:bookmarkStart w:id="552" w:name="REVIEW_BM_1480"/>
      <w:r>
        <w:rPr>
          <w:rFonts w:hint="eastAsia" w:ascii="宋体" w:hAnsi="宋体" w:cs="宋体"/>
          <w:szCs w:val="21"/>
          <w:highlight w:val="none"/>
          <w:u w:val="single"/>
        </w:rPr>
        <w:t>发包人</w:t>
      </w:r>
      <w:bookmarkEnd w:id="552"/>
      <w:r>
        <w:rPr>
          <w:rFonts w:hint="eastAsia" w:ascii="宋体" w:hAnsi="宋体" w:cs="宋体"/>
          <w:szCs w:val="21"/>
          <w:highlight w:val="none"/>
          <w:u w:val="single"/>
        </w:rPr>
        <w:t>有权扣除2000元违约金。项目经理考勤方法为</w:t>
      </w:r>
      <w:bookmarkStart w:id="553" w:name="REVIEW_BM_1481"/>
      <w:r>
        <w:rPr>
          <w:rFonts w:hint="eastAsia" w:ascii="宋体" w:hAnsi="宋体" w:cs="宋体"/>
          <w:szCs w:val="21"/>
          <w:highlight w:val="none"/>
          <w:u w:val="single"/>
        </w:rPr>
        <w:t>发包人</w:t>
      </w:r>
      <w:bookmarkEnd w:id="553"/>
      <w:r>
        <w:rPr>
          <w:rFonts w:hint="eastAsia" w:ascii="宋体" w:hAnsi="宋体" w:cs="宋体"/>
          <w:szCs w:val="21"/>
          <w:highlight w:val="none"/>
          <w:u w:val="single"/>
        </w:rPr>
        <w:t>书面统计考勤。</w:t>
      </w:r>
    </w:p>
    <w:p w14:paraId="505DDB94">
      <w:pPr>
        <w:widowControl/>
        <w:spacing w:line="360" w:lineRule="auto"/>
        <w:ind w:firstLine="420"/>
        <w:rPr>
          <w:rFonts w:hint="eastAsia" w:ascii="宋体" w:hAnsi="宋体" w:cs="宋体"/>
          <w:szCs w:val="21"/>
          <w:highlight w:val="none"/>
        </w:rPr>
      </w:pPr>
      <w:bookmarkStart w:id="554" w:name="REVIEW_BM_1484"/>
      <w:r>
        <w:rPr>
          <w:rFonts w:hint="eastAsia" w:ascii="宋体" w:hAnsi="宋体" w:cs="宋体"/>
          <w:szCs w:val="21"/>
          <w:highlight w:val="none"/>
        </w:rPr>
        <w:t>承包人</w:t>
      </w:r>
      <w:bookmarkEnd w:id="554"/>
      <w:r>
        <w:rPr>
          <w:rFonts w:hint="eastAsia" w:ascii="宋体" w:hAnsi="宋体" w:cs="宋体"/>
          <w:szCs w:val="21"/>
          <w:highlight w:val="none"/>
        </w:rPr>
        <w:t>未提交劳动合同，以及没有为项目经理缴纳社会保险证明的违约责任：</w:t>
      </w:r>
      <w:bookmarkStart w:id="555" w:name="REVIEW_BM_1485"/>
      <w:r>
        <w:rPr>
          <w:rFonts w:hint="eastAsia" w:ascii="宋体" w:hAnsi="宋体" w:cs="宋体"/>
          <w:szCs w:val="21"/>
          <w:highlight w:val="none"/>
          <w:u w:val="single"/>
        </w:rPr>
        <w:t>承包人</w:t>
      </w:r>
      <w:bookmarkEnd w:id="555"/>
      <w:r>
        <w:rPr>
          <w:rFonts w:hint="eastAsia" w:ascii="宋体" w:hAnsi="宋体" w:cs="宋体"/>
          <w:szCs w:val="21"/>
          <w:highlight w:val="none"/>
          <w:u w:val="single"/>
        </w:rPr>
        <w:t>须向</w:t>
      </w:r>
      <w:bookmarkStart w:id="556" w:name="REVIEW_BM_1483"/>
      <w:r>
        <w:rPr>
          <w:rFonts w:hint="eastAsia" w:ascii="宋体" w:hAnsi="宋体" w:cs="宋体"/>
          <w:szCs w:val="21"/>
          <w:highlight w:val="none"/>
          <w:u w:val="single"/>
        </w:rPr>
        <w:t>发包人</w:t>
      </w:r>
      <w:bookmarkEnd w:id="556"/>
      <w:r>
        <w:rPr>
          <w:rFonts w:hint="eastAsia" w:ascii="宋体" w:hAnsi="宋体" w:cs="宋体"/>
          <w:szCs w:val="21"/>
          <w:highlight w:val="none"/>
          <w:u w:val="single"/>
        </w:rPr>
        <w:t>支付2000元违约金，并限期提交劳动合同并补缴社会保险。</w:t>
      </w:r>
    </w:p>
    <w:p w14:paraId="00C1EBD4">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项目经理未经批准，擅自离开施工现场的违约责任：</w:t>
      </w:r>
      <w:r>
        <w:rPr>
          <w:rFonts w:hint="eastAsia" w:ascii="宋体" w:hAnsi="宋体" w:cs="宋体"/>
          <w:szCs w:val="21"/>
          <w:highlight w:val="none"/>
          <w:u w:val="single"/>
        </w:rPr>
        <w:t xml:space="preserve"> 未经</w:t>
      </w:r>
      <w:bookmarkStart w:id="557" w:name="REVIEW_BM_1486"/>
      <w:r>
        <w:rPr>
          <w:rFonts w:hint="eastAsia" w:ascii="宋体" w:hAnsi="宋体" w:cs="宋体"/>
          <w:szCs w:val="21"/>
          <w:highlight w:val="none"/>
          <w:u w:val="single"/>
        </w:rPr>
        <w:t>发包人</w:t>
      </w:r>
      <w:bookmarkEnd w:id="557"/>
      <w:r>
        <w:rPr>
          <w:rFonts w:hint="eastAsia" w:ascii="宋体" w:hAnsi="宋体" w:cs="宋体"/>
          <w:szCs w:val="21"/>
          <w:highlight w:val="none"/>
          <w:u w:val="single"/>
        </w:rPr>
        <w:t>同意或正当理由，项目经理擅自离岗的，视为</w:t>
      </w:r>
      <w:bookmarkStart w:id="558" w:name="REVIEW_BM_1489"/>
      <w:r>
        <w:rPr>
          <w:rFonts w:hint="eastAsia" w:ascii="宋体" w:hAnsi="宋体" w:cs="宋体"/>
          <w:szCs w:val="21"/>
          <w:highlight w:val="none"/>
          <w:u w:val="single"/>
        </w:rPr>
        <w:t>承包人</w:t>
      </w:r>
      <w:bookmarkEnd w:id="558"/>
      <w:r>
        <w:rPr>
          <w:rFonts w:hint="eastAsia" w:ascii="宋体" w:hAnsi="宋体" w:cs="宋体"/>
          <w:szCs w:val="21"/>
          <w:highlight w:val="none"/>
          <w:u w:val="single"/>
        </w:rPr>
        <w:t>违约，</w:t>
      </w:r>
      <w:bookmarkStart w:id="559" w:name="REVIEW_BM_1487"/>
      <w:r>
        <w:rPr>
          <w:rFonts w:hint="eastAsia" w:ascii="宋体" w:hAnsi="宋体" w:cs="宋体"/>
          <w:szCs w:val="21"/>
          <w:highlight w:val="none"/>
          <w:u w:val="single"/>
        </w:rPr>
        <w:t>发包人</w:t>
      </w:r>
      <w:bookmarkEnd w:id="559"/>
      <w:r>
        <w:rPr>
          <w:rFonts w:hint="eastAsia" w:ascii="宋体" w:hAnsi="宋体" w:cs="宋体"/>
          <w:szCs w:val="21"/>
          <w:highlight w:val="none"/>
          <w:u w:val="single"/>
        </w:rPr>
        <w:t>有权处违约金2000元/人•次(人民币) ，并承担上述违约给</w:t>
      </w:r>
      <w:bookmarkStart w:id="560" w:name="REVIEW_BM_1488"/>
      <w:r>
        <w:rPr>
          <w:rFonts w:hint="eastAsia" w:ascii="宋体" w:hAnsi="宋体" w:cs="宋体"/>
          <w:szCs w:val="21"/>
          <w:highlight w:val="none"/>
          <w:u w:val="single"/>
        </w:rPr>
        <w:t>发包人</w:t>
      </w:r>
      <w:bookmarkEnd w:id="560"/>
      <w:r>
        <w:rPr>
          <w:rFonts w:hint="eastAsia" w:ascii="宋体" w:hAnsi="宋体" w:cs="宋体"/>
          <w:szCs w:val="21"/>
          <w:highlight w:val="none"/>
          <w:u w:val="single"/>
        </w:rPr>
        <w:t>造成的一切损失 </w:t>
      </w:r>
      <w:r>
        <w:rPr>
          <w:rFonts w:hint="eastAsia" w:ascii="宋体" w:hAnsi="宋体" w:cs="宋体"/>
          <w:szCs w:val="21"/>
          <w:highlight w:val="none"/>
        </w:rPr>
        <w:t>。</w:t>
      </w:r>
    </w:p>
    <w:p w14:paraId="153EDAEA">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3.2.2 </w:t>
      </w:r>
      <w:bookmarkStart w:id="561" w:name="REVIEW_BM_1493"/>
      <w:r>
        <w:rPr>
          <w:rFonts w:hint="eastAsia" w:ascii="宋体" w:hAnsi="宋体" w:cs="宋体"/>
          <w:szCs w:val="21"/>
          <w:highlight w:val="none"/>
        </w:rPr>
        <w:t>承包人</w:t>
      </w:r>
      <w:bookmarkEnd w:id="561"/>
      <w:r>
        <w:rPr>
          <w:rFonts w:hint="eastAsia" w:ascii="宋体" w:hAnsi="宋体" w:cs="宋体"/>
          <w:szCs w:val="21"/>
          <w:highlight w:val="none"/>
        </w:rPr>
        <w:t>擅自更换项目经理的违约责任：</w:t>
      </w:r>
      <w:r>
        <w:rPr>
          <w:rFonts w:hint="eastAsia" w:ascii="宋体" w:hAnsi="宋体" w:cs="宋体"/>
          <w:szCs w:val="21"/>
          <w:highlight w:val="none"/>
          <w:u w:val="single"/>
        </w:rPr>
        <w:t>项目经理需与投标时提供的人员一致，</w:t>
      </w:r>
      <w:bookmarkStart w:id="562" w:name="REVIEW_BM_1494"/>
      <w:r>
        <w:rPr>
          <w:rFonts w:hint="eastAsia" w:ascii="宋体" w:hAnsi="宋体" w:cs="宋体"/>
          <w:szCs w:val="21"/>
          <w:highlight w:val="none"/>
          <w:u w:val="single"/>
        </w:rPr>
        <w:t>承包人</w:t>
      </w:r>
      <w:bookmarkEnd w:id="562"/>
      <w:r>
        <w:rPr>
          <w:rFonts w:hint="eastAsia" w:ascii="宋体" w:hAnsi="宋体" w:cs="宋体"/>
          <w:szCs w:val="21"/>
          <w:highlight w:val="none"/>
          <w:u w:val="single"/>
        </w:rPr>
        <w:t>擅自更换项目经理的</w:t>
      </w:r>
      <w:bookmarkStart w:id="563" w:name="REVIEW_BM_1495"/>
      <w:r>
        <w:rPr>
          <w:rFonts w:hint="eastAsia" w:ascii="宋体" w:hAnsi="宋体" w:cs="宋体"/>
          <w:szCs w:val="21"/>
          <w:highlight w:val="none"/>
          <w:u w:val="single"/>
        </w:rPr>
        <w:t>承包人</w:t>
      </w:r>
      <w:bookmarkEnd w:id="563"/>
      <w:r>
        <w:rPr>
          <w:rFonts w:hint="eastAsia" w:ascii="宋体" w:hAnsi="宋体" w:cs="宋体"/>
          <w:szCs w:val="21"/>
          <w:highlight w:val="none"/>
          <w:u w:val="single"/>
        </w:rPr>
        <w:t>须向</w:t>
      </w:r>
      <w:bookmarkStart w:id="564" w:name="REVIEW_BM_1490"/>
      <w:r>
        <w:rPr>
          <w:rFonts w:hint="eastAsia" w:ascii="宋体" w:hAnsi="宋体" w:cs="宋体"/>
          <w:szCs w:val="21"/>
          <w:highlight w:val="none"/>
          <w:u w:val="single"/>
        </w:rPr>
        <w:t>发包人</w:t>
      </w:r>
      <w:bookmarkEnd w:id="564"/>
      <w:r>
        <w:rPr>
          <w:rFonts w:hint="eastAsia" w:ascii="宋体" w:hAnsi="宋体" w:cs="宋体"/>
          <w:szCs w:val="21"/>
          <w:highlight w:val="none"/>
          <w:u w:val="single"/>
        </w:rPr>
        <w:t>支付 5000 元/次违约金，并承担上述违约给</w:t>
      </w:r>
      <w:bookmarkStart w:id="565" w:name="REVIEW_BM_1491"/>
      <w:r>
        <w:rPr>
          <w:rFonts w:hint="eastAsia" w:ascii="宋体" w:hAnsi="宋体" w:cs="宋体"/>
          <w:szCs w:val="21"/>
          <w:highlight w:val="none"/>
          <w:u w:val="single"/>
        </w:rPr>
        <w:t>发包人</w:t>
      </w:r>
      <w:bookmarkEnd w:id="565"/>
      <w:r>
        <w:rPr>
          <w:rFonts w:hint="eastAsia" w:ascii="宋体" w:hAnsi="宋体" w:cs="宋体"/>
          <w:szCs w:val="21"/>
          <w:highlight w:val="none"/>
          <w:u w:val="single"/>
        </w:rPr>
        <w:t>造成的一切损失，</w:t>
      </w:r>
      <w:bookmarkStart w:id="566" w:name="REVIEW_BM_1492"/>
      <w:r>
        <w:rPr>
          <w:rFonts w:hint="eastAsia" w:ascii="宋体" w:hAnsi="宋体" w:cs="宋体"/>
          <w:szCs w:val="21"/>
          <w:highlight w:val="none"/>
          <w:u w:val="single"/>
        </w:rPr>
        <w:t>发包人</w:t>
      </w:r>
      <w:bookmarkEnd w:id="566"/>
      <w:r>
        <w:rPr>
          <w:rFonts w:hint="eastAsia" w:ascii="宋体" w:hAnsi="宋体" w:cs="宋体"/>
          <w:szCs w:val="21"/>
          <w:highlight w:val="none"/>
          <w:u w:val="single"/>
        </w:rPr>
        <w:t xml:space="preserve">有权单方解除合同 </w:t>
      </w:r>
      <w:r>
        <w:rPr>
          <w:rFonts w:hint="eastAsia" w:ascii="宋体" w:hAnsi="宋体" w:cs="宋体"/>
          <w:szCs w:val="21"/>
          <w:highlight w:val="none"/>
        </w:rPr>
        <w:t>。</w:t>
      </w:r>
    </w:p>
    <w:p w14:paraId="70DB6EB8">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3.2.3</w:t>
      </w:r>
      <w:bookmarkStart w:id="567" w:name="REVIEW_BM_1501"/>
      <w:r>
        <w:rPr>
          <w:rFonts w:hint="eastAsia" w:ascii="宋体" w:hAnsi="宋体" w:cs="宋体"/>
          <w:szCs w:val="21"/>
          <w:highlight w:val="none"/>
        </w:rPr>
        <w:t>承包人</w:t>
      </w:r>
      <w:bookmarkEnd w:id="567"/>
      <w:r>
        <w:rPr>
          <w:rFonts w:hint="eastAsia" w:ascii="宋体" w:hAnsi="宋体" w:cs="宋体"/>
          <w:szCs w:val="21"/>
          <w:highlight w:val="none"/>
        </w:rPr>
        <w:t>无正当理由拒绝更换项目经理的违约责任：</w:t>
      </w:r>
      <w:r>
        <w:rPr>
          <w:rFonts w:hint="eastAsia" w:ascii="宋体" w:hAnsi="宋体" w:cs="宋体"/>
          <w:szCs w:val="21"/>
          <w:highlight w:val="none"/>
          <w:u w:val="single"/>
        </w:rPr>
        <w:t>因</w:t>
      </w:r>
      <w:bookmarkStart w:id="568" w:name="REVIEW_BM_1502"/>
      <w:r>
        <w:rPr>
          <w:rFonts w:hint="eastAsia" w:ascii="宋体" w:hAnsi="宋体" w:cs="宋体"/>
          <w:szCs w:val="21"/>
          <w:highlight w:val="none"/>
          <w:u w:val="single"/>
        </w:rPr>
        <w:t>承包人</w:t>
      </w:r>
      <w:bookmarkEnd w:id="568"/>
      <w:r>
        <w:rPr>
          <w:rFonts w:hint="eastAsia" w:ascii="宋体" w:hAnsi="宋体" w:cs="宋体"/>
          <w:szCs w:val="21"/>
          <w:highlight w:val="none"/>
          <w:u w:val="single"/>
        </w:rPr>
        <w:t>项目经理不称职，</w:t>
      </w:r>
      <w:bookmarkStart w:id="569" w:name="REVIEW_BM_1497"/>
      <w:r>
        <w:rPr>
          <w:rFonts w:hint="eastAsia" w:ascii="宋体" w:hAnsi="宋体" w:cs="宋体"/>
          <w:szCs w:val="21"/>
          <w:highlight w:val="none"/>
          <w:u w:val="single"/>
        </w:rPr>
        <w:t>发包人</w:t>
      </w:r>
      <w:bookmarkEnd w:id="569"/>
      <w:r>
        <w:rPr>
          <w:rFonts w:hint="eastAsia" w:ascii="宋体" w:hAnsi="宋体" w:cs="宋体"/>
          <w:szCs w:val="21"/>
          <w:highlight w:val="none"/>
          <w:u w:val="single"/>
        </w:rPr>
        <w:t>要求调换而未及时调换的，视为</w:t>
      </w:r>
      <w:bookmarkStart w:id="570" w:name="REVIEW_BM_1503"/>
      <w:r>
        <w:rPr>
          <w:rFonts w:hint="eastAsia" w:ascii="宋体" w:hAnsi="宋体" w:cs="宋体"/>
          <w:szCs w:val="21"/>
          <w:highlight w:val="none"/>
          <w:u w:val="single"/>
        </w:rPr>
        <w:t>承包人</w:t>
      </w:r>
      <w:bookmarkEnd w:id="570"/>
      <w:r>
        <w:rPr>
          <w:rFonts w:hint="eastAsia" w:ascii="宋体" w:hAnsi="宋体" w:cs="宋体"/>
          <w:szCs w:val="21"/>
          <w:highlight w:val="none"/>
          <w:u w:val="single"/>
        </w:rPr>
        <w:t>违约，必须向</w:t>
      </w:r>
      <w:bookmarkStart w:id="571" w:name="REVIEW_BM_1498"/>
      <w:r>
        <w:rPr>
          <w:rFonts w:hint="eastAsia" w:ascii="宋体" w:hAnsi="宋体" w:cs="宋体"/>
          <w:szCs w:val="21"/>
          <w:highlight w:val="none"/>
          <w:u w:val="single"/>
        </w:rPr>
        <w:t>发包人</w:t>
      </w:r>
      <w:bookmarkEnd w:id="571"/>
      <w:r>
        <w:rPr>
          <w:rFonts w:hint="eastAsia" w:ascii="宋体" w:hAnsi="宋体" w:cs="宋体"/>
          <w:szCs w:val="21"/>
          <w:highlight w:val="none"/>
          <w:u w:val="single"/>
        </w:rPr>
        <w:t>承担违约金5000元/人•次（人民币），责令两次仍然拒绝更换，</w:t>
      </w:r>
      <w:bookmarkStart w:id="572" w:name="REVIEW_BM_1499"/>
      <w:r>
        <w:rPr>
          <w:rFonts w:hint="eastAsia" w:ascii="宋体" w:hAnsi="宋体" w:cs="宋体"/>
          <w:szCs w:val="21"/>
          <w:highlight w:val="none"/>
          <w:u w:val="single"/>
        </w:rPr>
        <w:t>发包人</w:t>
      </w:r>
      <w:bookmarkEnd w:id="572"/>
      <w:bookmarkStart w:id="573" w:name="REVIEW_BM_1496"/>
      <w:r>
        <w:rPr>
          <w:rFonts w:hint="eastAsia" w:ascii="宋体" w:hAnsi="宋体" w:cs="宋体"/>
          <w:szCs w:val="21"/>
          <w:highlight w:val="none"/>
          <w:u w:val="single"/>
        </w:rPr>
        <w:t>有权解除合同</w:t>
      </w:r>
      <w:bookmarkEnd w:id="573"/>
      <w:r>
        <w:rPr>
          <w:rFonts w:hint="eastAsia" w:ascii="宋体" w:hAnsi="宋体" w:cs="宋体"/>
          <w:szCs w:val="21"/>
          <w:highlight w:val="none"/>
          <w:u w:val="single"/>
        </w:rPr>
        <w:t>，除要求承担违约责任外，</w:t>
      </w:r>
      <w:bookmarkStart w:id="574" w:name="REVIEW_BM_1504"/>
      <w:r>
        <w:rPr>
          <w:rFonts w:hint="eastAsia" w:ascii="宋体" w:hAnsi="宋体" w:cs="宋体"/>
          <w:szCs w:val="21"/>
          <w:highlight w:val="none"/>
          <w:u w:val="single"/>
        </w:rPr>
        <w:t>承包人</w:t>
      </w:r>
      <w:bookmarkEnd w:id="574"/>
      <w:r>
        <w:rPr>
          <w:rFonts w:hint="eastAsia" w:ascii="宋体" w:hAnsi="宋体" w:cs="宋体"/>
          <w:szCs w:val="21"/>
          <w:highlight w:val="none"/>
          <w:u w:val="single"/>
        </w:rPr>
        <w:t>还需承担</w:t>
      </w:r>
      <w:bookmarkStart w:id="575" w:name="REVIEW_BM_1500"/>
      <w:r>
        <w:rPr>
          <w:rFonts w:hint="eastAsia" w:ascii="宋体" w:hAnsi="宋体" w:cs="宋体"/>
          <w:szCs w:val="21"/>
          <w:highlight w:val="none"/>
          <w:u w:val="single"/>
        </w:rPr>
        <w:t>发包人</w:t>
      </w:r>
      <w:bookmarkEnd w:id="575"/>
      <w:r>
        <w:rPr>
          <w:rFonts w:hint="eastAsia" w:ascii="宋体" w:hAnsi="宋体" w:cs="宋体"/>
          <w:szCs w:val="21"/>
          <w:highlight w:val="none"/>
          <w:u w:val="single"/>
        </w:rPr>
        <w:t>解除合同产生的一切直接或者间接损失</w:t>
      </w:r>
      <w:r>
        <w:rPr>
          <w:rFonts w:hint="eastAsia" w:ascii="宋体" w:hAnsi="宋体" w:cs="宋体"/>
          <w:szCs w:val="21"/>
          <w:highlight w:val="none"/>
        </w:rPr>
        <w:t>。</w:t>
      </w:r>
    </w:p>
    <w:p w14:paraId="5AC5635A">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3.2.4</w:t>
      </w:r>
      <w:bookmarkStart w:id="576" w:name="REVIEW_BM_1505"/>
      <w:r>
        <w:rPr>
          <w:rFonts w:hint="eastAsia" w:ascii="宋体" w:hAnsi="宋体" w:cs="宋体"/>
          <w:szCs w:val="21"/>
          <w:highlight w:val="none"/>
        </w:rPr>
        <w:t>发包人</w:t>
      </w:r>
      <w:bookmarkEnd w:id="576"/>
      <w:r>
        <w:rPr>
          <w:rFonts w:hint="eastAsia" w:ascii="宋体" w:hAnsi="宋体" w:cs="宋体"/>
          <w:szCs w:val="21"/>
          <w:highlight w:val="none"/>
        </w:rPr>
        <w:t>有权从工程款中直接扣除违约金。</w:t>
      </w:r>
    </w:p>
    <w:p w14:paraId="1AB127C0">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 xml:space="preserve">3.3 </w:t>
      </w:r>
      <w:bookmarkStart w:id="577" w:name="REVIEW_BM_1506"/>
      <w:r>
        <w:rPr>
          <w:rFonts w:hint="eastAsia" w:ascii="宋体" w:hAnsi="宋体" w:cs="宋体"/>
          <w:b/>
          <w:szCs w:val="21"/>
          <w:highlight w:val="none"/>
        </w:rPr>
        <w:t>承包人</w:t>
      </w:r>
      <w:bookmarkEnd w:id="577"/>
      <w:r>
        <w:rPr>
          <w:rFonts w:hint="eastAsia" w:ascii="宋体" w:hAnsi="宋体" w:cs="宋体"/>
          <w:b/>
          <w:szCs w:val="21"/>
          <w:highlight w:val="none"/>
        </w:rPr>
        <w:t>人员</w:t>
      </w:r>
    </w:p>
    <w:p w14:paraId="2BF8A3DB">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3.3.1 </w:t>
      </w:r>
      <w:bookmarkStart w:id="578" w:name="REVIEW_BM_1507"/>
      <w:r>
        <w:rPr>
          <w:rFonts w:hint="eastAsia" w:ascii="宋体" w:hAnsi="宋体" w:cs="宋体"/>
          <w:szCs w:val="21"/>
          <w:highlight w:val="none"/>
        </w:rPr>
        <w:t>承包人</w:t>
      </w:r>
      <w:bookmarkEnd w:id="578"/>
      <w:r>
        <w:rPr>
          <w:rFonts w:hint="eastAsia" w:ascii="宋体" w:hAnsi="宋体" w:cs="宋体"/>
          <w:szCs w:val="21"/>
          <w:highlight w:val="none"/>
        </w:rPr>
        <w:t>提交项目管理机构及施工现场管理人员安排报告的期限：</w:t>
      </w:r>
      <w:r>
        <w:rPr>
          <w:rFonts w:hint="eastAsia" w:ascii="宋体" w:hAnsi="宋体" w:cs="宋体"/>
          <w:szCs w:val="21"/>
          <w:highlight w:val="none"/>
          <w:u w:val="single"/>
        </w:rPr>
        <w:t>接到开工通知后 7 天内</w:t>
      </w:r>
      <w:r>
        <w:rPr>
          <w:rFonts w:hint="eastAsia" w:ascii="宋体" w:hAnsi="宋体" w:cs="宋体"/>
          <w:szCs w:val="21"/>
          <w:highlight w:val="none"/>
          <w:u w:val="single"/>
          <w:lang w:eastAsia="zh-CN"/>
        </w:rPr>
        <w:t>，报告需包含人员姓名、职务、职称、资格证书、联系方式等信息</w:t>
      </w:r>
      <w:r>
        <w:rPr>
          <w:rFonts w:hint="eastAsia" w:ascii="宋体" w:hAnsi="宋体" w:cs="宋体"/>
          <w:szCs w:val="21"/>
          <w:highlight w:val="none"/>
        </w:rPr>
        <w:t>。</w:t>
      </w:r>
    </w:p>
    <w:p w14:paraId="3A4556F9">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3.3.2</w:t>
      </w:r>
      <w:bookmarkStart w:id="579" w:name="REVIEW_BM_1510"/>
      <w:r>
        <w:rPr>
          <w:rFonts w:hint="eastAsia" w:ascii="宋体" w:hAnsi="宋体" w:cs="宋体"/>
          <w:szCs w:val="21"/>
          <w:highlight w:val="none"/>
        </w:rPr>
        <w:t>承包人</w:t>
      </w:r>
      <w:bookmarkEnd w:id="579"/>
      <w:r>
        <w:rPr>
          <w:rFonts w:hint="eastAsia" w:ascii="宋体" w:hAnsi="宋体" w:cs="宋体"/>
          <w:szCs w:val="21"/>
          <w:highlight w:val="none"/>
        </w:rPr>
        <w:t>无正当理由拒绝撤换主要施工管理人员的违约责任：</w:t>
      </w:r>
      <w:bookmarkStart w:id="580" w:name="REVIEW_BM_1511"/>
      <w:r>
        <w:rPr>
          <w:rFonts w:hint="eastAsia" w:ascii="宋体" w:hAnsi="宋体" w:cs="宋体"/>
          <w:szCs w:val="21"/>
          <w:highlight w:val="none"/>
          <w:u w:val="single"/>
        </w:rPr>
        <w:t>承包人</w:t>
      </w:r>
      <w:bookmarkEnd w:id="580"/>
      <w:r>
        <w:rPr>
          <w:rFonts w:hint="eastAsia" w:ascii="宋体" w:hAnsi="宋体" w:cs="宋体"/>
          <w:szCs w:val="21"/>
          <w:highlight w:val="none"/>
          <w:u w:val="single"/>
        </w:rPr>
        <w:t>主要施工管理人员因不称职，</w:t>
      </w:r>
      <w:bookmarkStart w:id="581" w:name="REVIEW_BM_1508"/>
      <w:r>
        <w:rPr>
          <w:rFonts w:hint="eastAsia" w:ascii="宋体" w:hAnsi="宋体" w:cs="宋体"/>
          <w:szCs w:val="21"/>
          <w:highlight w:val="none"/>
          <w:u w:val="single"/>
        </w:rPr>
        <w:t>发包人</w:t>
      </w:r>
      <w:bookmarkEnd w:id="581"/>
      <w:r>
        <w:rPr>
          <w:rFonts w:hint="eastAsia" w:ascii="宋体" w:hAnsi="宋体" w:cs="宋体"/>
          <w:szCs w:val="21"/>
          <w:highlight w:val="none"/>
          <w:u w:val="single"/>
        </w:rPr>
        <w:t>要求调换而无正当理由拒绝撤换或未及时调换的，视为</w:t>
      </w:r>
      <w:bookmarkStart w:id="582" w:name="REVIEW_BM_1512"/>
      <w:r>
        <w:rPr>
          <w:rFonts w:hint="eastAsia" w:ascii="宋体" w:hAnsi="宋体" w:cs="宋体"/>
          <w:szCs w:val="21"/>
          <w:highlight w:val="none"/>
          <w:u w:val="single"/>
        </w:rPr>
        <w:t>承包人</w:t>
      </w:r>
      <w:bookmarkEnd w:id="582"/>
      <w:r>
        <w:rPr>
          <w:rFonts w:hint="eastAsia" w:ascii="宋体" w:hAnsi="宋体" w:cs="宋体"/>
          <w:szCs w:val="21"/>
          <w:highlight w:val="none"/>
          <w:u w:val="single"/>
        </w:rPr>
        <w:t>违约，必须向</w:t>
      </w:r>
      <w:bookmarkStart w:id="583" w:name="REVIEW_BM_1509"/>
      <w:r>
        <w:rPr>
          <w:rFonts w:hint="eastAsia" w:ascii="宋体" w:hAnsi="宋体" w:cs="宋体"/>
          <w:szCs w:val="21"/>
          <w:highlight w:val="none"/>
          <w:u w:val="single"/>
        </w:rPr>
        <w:t>发包人</w:t>
      </w:r>
      <w:bookmarkEnd w:id="583"/>
      <w:r>
        <w:rPr>
          <w:rFonts w:hint="eastAsia" w:ascii="宋体" w:hAnsi="宋体" w:cs="宋体"/>
          <w:szCs w:val="21"/>
          <w:highlight w:val="none"/>
          <w:u w:val="single"/>
        </w:rPr>
        <w:t>交违约金，违约金标准：技术负责人</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000元/人•次(人民币)；专业工程师</w:t>
      </w:r>
      <w:r>
        <w:rPr>
          <w:rFonts w:hint="eastAsia" w:ascii="宋体" w:hAnsi="宋体" w:cs="宋体"/>
          <w:szCs w:val="21"/>
          <w:highlight w:val="none"/>
          <w:u w:val="single"/>
          <w:lang w:val="en-US" w:eastAsia="zh-CN"/>
        </w:rPr>
        <w:t>4</w:t>
      </w:r>
      <w:r>
        <w:rPr>
          <w:rFonts w:hint="eastAsia" w:ascii="宋体" w:hAnsi="宋体" w:cs="宋体"/>
          <w:szCs w:val="21"/>
          <w:highlight w:val="none"/>
          <w:u w:val="single"/>
        </w:rPr>
        <w:t>000元/人•次(人民币)</w:t>
      </w:r>
      <w:r>
        <w:rPr>
          <w:rFonts w:hint="eastAsia" w:ascii="宋体" w:hAnsi="宋体" w:cs="宋体"/>
          <w:szCs w:val="21"/>
          <w:highlight w:val="none"/>
        </w:rPr>
        <w:t>。</w:t>
      </w:r>
    </w:p>
    <w:p w14:paraId="61A1998F">
      <w:pPr>
        <w:widowControl/>
        <w:spacing w:line="360" w:lineRule="auto"/>
        <w:ind w:firstLine="420"/>
        <w:rPr>
          <w:rFonts w:hint="eastAsia" w:ascii="宋体" w:hAnsi="宋体" w:cs="宋体"/>
          <w:szCs w:val="21"/>
          <w:highlight w:val="none"/>
          <w:u w:val="single"/>
        </w:rPr>
      </w:pPr>
      <w:r>
        <w:rPr>
          <w:rFonts w:hint="eastAsia" w:ascii="宋体" w:hAnsi="宋体" w:cs="宋体"/>
          <w:szCs w:val="21"/>
          <w:highlight w:val="none"/>
        </w:rPr>
        <w:t xml:space="preserve">3.3.3 </w:t>
      </w:r>
      <w:bookmarkStart w:id="584" w:name="REVIEW_BM_1514"/>
      <w:r>
        <w:rPr>
          <w:rFonts w:hint="eastAsia" w:ascii="宋体" w:hAnsi="宋体" w:cs="宋体"/>
          <w:szCs w:val="21"/>
          <w:highlight w:val="none"/>
        </w:rPr>
        <w:t>承包人</w:t>
      </w:r>
      <w:bookmarkEnd w:id="584"/>
      <w:r>
        <w:rPr>
          <w:rFonts w:hint="eastAsia" w:ascii="宋体" w:hAnsi="宋体" w:cs="宋体"/>
          <w:szCs w:val="21"/>
          <w:highlight w:val="none"/>
        </w:rPr>
        <w:t>主要施工管理人员离开施工现场的批准要求：</w:t>
      </w:r>
      <w:r>
        <w:rPr>
          <w:rFonts w:hint="eastAsia" w:ascii="宋体" w:hAnsi="宋体" w:cs="宋体"/>
          <w:szCs w:val="21"/>
          <w:highlight w:val="none"/>
          <w:u w:val="single"/>
        </w:rPr>
        <w:t xml:space="preserve"> 由总监理工程师批准，</w:t>
      </w:r>
      <w:bookmarkStart w:id="585" w:name="REVIEW_BM_1513"/>
      <w:r>
        <w:rPr>
          <w:rFonts w:hint="eastAsia" w:ascii="宋体" w:hAnsi="宋体" w:cs="宋体"/>
          <w:szCs w:val="21"/>
          <w:highlight w:val="none"/>
          <w:u w:val="single"/>
        </w:rPr>
        <w:t>发包人</w:t>
      </w:r>
      <w:bookmarkEnd w:id="585"/>
      <w:r>
        <w:rPr>
          <w:rFonts w:hint="eastAsia" w:ascii="宋体" w:hAnsi="宋体" w:cs="宋体"/>
          <w:szCs w:val="21"/>
          <w:highlight w:val="none"/>
          <w:u w:val="single"/>
        </w:rPr>
        <w:t>书面认可后方可离开</w:t>
      </w:r>
      <w:r>
        <w:rPr>
          <w:rFonts w:hint="eastAsia" w:ascii="宋体" w:hAnsi="宋体" w:cs="宋体"/>
          <w:szCs w:val="21"/>
          <w:highlight w:val="none"/>
        </w:rPr>
        <w:t>。</w:t>
      </w:r>
    </w:p>
    <w:p w14:paraId="093433C3">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3.3.4</w:t>
      </w:r>
      <w:bookmarkStart w:id="586" w:name="REVIEW_BM_1516"/>
      <w:r>
        <w:rPr>
          <w:rFonts w:hint="eastAsia" w:ascii="宋体" w:hAnsi="宋体" w:cs="宋体"/>
          <w:szCs w:val="21"/>
          <w:highlight w:val="none"/>
        </w:rPr>
        <w:t>承包人</w:t>
      </w:r>
      <w:bookmarkEnd w:id="586"/>
      <w:r>
        <w:rPr>
          <w:rFonts w:hint="eastAsia" w:ascii="宋体" w:hAnsi="宋体" w:cs="宋体"/>
          <w:szCs w:val="21"/>
          <w:highlight w:val="none"/>
        </w:rPr>
        <w:t>擅自更换主要施工管理人员的违约责任：</w:t>
      </w:r>
      <w:r>
        <w:rPr>
          <w:rFonts w:hint="eastAsia" w:ascii="宋体" w:hAnsi="宋体" w:cs="宋体"/>
          <w:szCs w:val="21"/>
          <w:highlight w:val="none"/>
          <w:u w:val="single"/>
        </w:rPr>
        <w:t xml:space="preserve">  技术负责人、专职安全生产管理人员</w:t>
      </w:r>
      <w:r>
        <w:rPr>
          <w:rFonts w:hint="eastAsia" w:ascii="宋体" w:hAnsi="宋体" w:cs="宋体"/>
          <w:szCs w:val="21"/>
          <w:highlight w:val="none"/>
          <w:u w:val="single"/>
          <w:lang w:eastAsia="zh-CN"/>
        </w:rPr>
        <w:t>及其承诺的其它在场管理人员</w:t>
      </w:r>
      <w:r>
        <w:rPr>
          <w:rFonts w:hint="eastAsia" w:ascii="宋体" w:hAnsi="宋体" w:cs="宋体"/>
          <w:szCs w:val="21"/>
          <w:highlight w:val="none"/>
          <w:u w:val="single"/>
        </w:rPr>
        <w:t>未经</w:t>
      </w:r>
      <w:bookmarkStart w:id="587" w:name="REVIEW_BM_1515"/>
      <w:r>
        <w:rPr>
          <w:rFonts w:hint="eastAsia" w:ascii="宋体" w:hAnsi="宋体" w:cs="宋体"/>
          <w:szCs w:val="21"/>
          <w:highlight w:val="none"/>
          <w:u w:val="single"/>
        </w:rPr>
        <w:t>发包人</w:t>
      </w:r>
      <w:bookmarkEnd w:id="587"/>
      <w:r>
        <w:rPr>
          <w:rFonts w:hint="eastAsia" w:ascii="宋体" w:hAnsi="宋体" w:cs="宋体"/>
          <w:szCs w:val="21"/>
          <w:highlight w:val="none"/>
          <w:u w:val="single"/>
        </w:rPr>
        <w:t>书面同意不准擅自更换，擅自更换技术负责人处</w:t>
      </w:r>
      <w:r>
        <w:rPr>
          <w:rFonts w:hint="eastAsia" w:ascii="宋体" w:hAnsi="宋体" w:cs="宋体"/>
          <w:szCs w:val="21"/>
          <w:highlight w:val="none"/>
          <w:u w:val="single"/>
          <w:lang w:val="en-US" w:eastAsia="zh-CN"/>
        </w:rPr>
        <w:t>5</w:t>
      </w:r>
      <w:r>
        <w:rPr>
          <w:rFonts w:hint="eastAsia" w:ascii="宋体" w:hAnsi="宋体" w:cs="宋体"/>
          <w:szCs w:val="21"/>
          <w:highlight w:val="none"/>
          <w:u w:val="single"/>
        </w:rPr>
        <w:t>000元/人•次(人民币)违约金；擅自更换专职安全生产管理人员处 3000 元/人•次（人民币）违约金；擅自更换专业工程师处</w:t>
      </w:r>
      <w:r>
        <w:rPr>
          <w:rFonts w:hint="eastAsia" w:ascii="宋体" w:hAnsi="宋体" w:cs="宋体"/>
          <w:szCs w:val="21"/>
          <w:highlight w:val="none"/>
          <w:u w:val="single"/>
          <w:lang w:val="en-US" w:eastAsia="zh-CN"/>
        </w:rPr>
        <w:t>10</w:t>
      </w:r>
      <w:r>
        <w:rPr>
          <w:rFonts w:hint="eastAsia" w:ascii="宋体" w:hAnsi="宋体" w:cs="宋体"/>
          <w:szCs w:val="21"/>
          <w:highlight w:val="none"/>
          <w:u w:val="single"/>
        </w:rPr>
        <w:t>00元/人•次(人民币)违约金</w:t>
      </w:r>
      <w:r>
        <w:rPr>
          <w:rFonts w:hint="eastAsia" w:ascii="宋体" w:hAnsi="宋体" w:cs="宋体"/>
          <w:szCs w:val="21"/>
          <w:highlight w:val="none"/>
        </w:rPr>
        <w:t>。</w:t>
      </w:r>
    </w:p>
    <w:p w14:paraId="47899B52">
      <w:pPr>
        <w:widowControl/>
        <w:spacing w:line="360" w:lineRule="auto"/>
        <w:ind w:firstLine="420"/>
        <w:rPr>
          <w:rFonts w:hint="eastAsia" w:ascii="宋体" w:hAnsi="宋体" w:cs="宋体"/>
          <w:szCs w:val="21"/>
          <w:highlight w:val="none"/>
        </w:rPr>
      </w:pPr>
      <w:bookmarkStart w:id="588" w:name="REVIEW_BM_1523"/>
      <w:r>
        <w:rPr>
          <w:rFonts w:hint="eastAsia" w:ascii="宋体" w:hAnsi="宋体" w:cs="宋体"/>
          <w:szCs w:val="21"/>
          <w:highlight w:val="none"/>
        </w:rPr>
        <w:t>承包人</w:t>
      </w:r>
      <w:bookmarkEnd w:id="588"/>
      <w:r>
        <w:rPr>
          <w:rFonts w:hint="eastAsia" w:ascii="宋体" w:hAnsi="宋体" w:cs="宋体"/>
          <w:szCs w:val="21"/>
          <w:highlight w:val="none"/>
        </w:rPr>
        <w:t>主要施工管理人员擅自离开施工现场的违约责任：</w:t>
      </w:r>
      <w:r>
        <w:rPr>
          <w:rFonts w:hint="eastAsia" w:ascii="宋体" w:hAnsi="宋体" w:cs="宋体"/>
          <w:szCs w:val="21"/>
          <w:highlight w:val="none"/>
          <w:u w:val="single"/>
        </w:rPr>
        <w:t xml:space="preserve"> 未经</w:t>
      </w:r>
      <w:bookmarkStart w:id="589" w:name="REVIEW_BM_1517"/>
      <w:r>
        <w:rPr>
          <w:rFonts w:hint="eastAsia" w:ascii="宋体" w:hAnsi="宋体" w:cs="宋体"/>
          <w:szCs w:val="21"/>
          <w:highlight w:val="none"/>
          <w:u w:val="single"/>
        </w:rPr>
        <w:t>发包人</w:t>
      </w:r>
      <w:bookmarkEnd w:id="589"/>
      <w:r>
        <w:rPr>
          <w:rFonts w:hint="eastAsia" w:ascii="宋体" w:hAnsi="宋体" w:cs="宋体"/>
          <w:szCs w:val="21"/>
          <w:highlight w:val="none"/>
          <w:u w:val="single"/>
        </w:rPr>
        <w:t>同意，技术负责人擅自离岗的，视为</w:t>
      </w:r>
      <w:bookmarkStart w:id="590" w:name="REVIEW_BM_1524"/>
      <w:r>
        <w:rPr>
          <w:rFonts w:hint="eastAsia" w:ascii="宋体" w:hAnsi="宋体" w:cs="宋体"/>
          <w:szCs w:val="21"/>
          <w:highlight w:val="none"/>
          <w:u w:val="single"/>
        </w:rPr>
        <w:t>承包人</w:t>
      </w:r>
      <w:bookmarkEnd w:id="590"/>
      <w:r>
        <w:rPr>
          <w:rFonts w:hint="eastAsia" w:ascii="宋体" w:hAnsi="宋体" w:cs="宋体"/>
          <w:szCs w:val="21"/>
          <w:highlight w:val="none"/>
          <w:u w:val="single"/>
        </w:rPr>
        <w:t>违约，</w:t>
      </w:r>
      <w:bookmarkStart w:id="591" w:name="REVIEW_BM_1518"/>
      <w:r>
        <w:rPr>
          <w:rFonts w:hint="eastAsia" w:ascii="宋体" w:hAnsi="宋体" w:cs="宋体"/>
          <w:szCs w:val="21"/>
          <w:highlight w:val="none"/>
          <w:u w:val="single"/>
        </w:rPr>
        <w:t>发包人</w:t>
      </w:r>
      <w:bookmarkEnd w:id="591"/>
      <w:r>
        <w:rPr>
          <w:rFonts w:hint="eastAsia" w:ascii="宋体" w:hAnsi="宋体" w:cs="宋体"/>
          <w:szCs w:val="21"/>
          <w:highlight w:val="none"/>
          <w:u w:val="single"/>
        </w:rPr>
        <w:t>有权处违约金5000元/人•次(人民币)</w:t>
      </w:r>
      <w:r>
        <w:rPr>
          <w:rFonts w:hint="eastAsia" w:ascii="宋体" w:hAnsi="宋体" w:cs="宋体"/>
          <w:szCs w:val="21"/>
          <w:highlight w:val="none"/>
          <w:u w:val="single"/>
          <w:lang w:eastAsia="zh-CN"/>
        </w:rPr>
        <w:t>；</w:t>
      </w:r>
      <w:r>
        <w:rPr>
          <w:rFonts w:hint="eastAsia" w:ascii="宋体" w:hAnsi="宋体" w:cs="宋体"/>
          <w:szCs w:val="21"/>
          <w:highlight w:val="none"/>
          <w:u w:val="single"/>
        </w:rPr>
        <w:t>未经</w:t>
      </w:r>
      <w:bookmarkStart w:id="592" w:name="REVIEW_BM_1519"/>
      <w:r>
        <w:rPr>
          <w:rFonts w:hint="eastAsia" w:ascii="宋体" w:hAnsi="宋体" w:cs="宋体"/>
          <w:szCs w:val="21"/>
          <w:highlight w:val="none"/>
          <w:u w:val="single"/>
        </w:rPr>
        <w:t>发包人</w:t>
      </w:r>
      <w:bookmarkEnd w:id="592"/>
      <w:r>
        <w:rPr>
          <w:rFonts w:hint="eastAsia" w:ascii="宋体" w:hAnsi="宋体" w:cs="宋体"/>
          <w:szCs w:val="21"/>
          <w:highlight w:val="none"/>
          <w:u w:val="single"/>
        </w:rPr>
        <w:t>同意，专职安全生产管理人员擅自离岗的，视为</w:t>
      </w:r>
      <w:bookmarkStart w:id="593" w:name="REVIEW_BM_1525"/>
      <w:r>
        <w:rPr>
          <w:rFonts w:hint="eastAsia" w:ascii="宋体" w:hAnsi="宋体" w:cs="宋体"/>
          <w:szCs w:val="21"/>
          <w:highlight w:val="none"/>
          <w:u w:val="single"/>
        </w:rPr>
        <w:t>承包人</w:t>
      </w:r>
      <w:bookmarkEnd w:id="593"/>
      <w:r>
        <w:rPr>
          <w:rFonts w:hint="eastAsia" w:ascii="宋体" w:hAnsi="宋体" w:cs="宋体"/>
          <w:szCs w:val="21"/>
          <w:highlight w:val="none"/>
          <w:u w:val="single"/>
        </w:rPr>
        <w:t>违约，</w:t>
      </w:r>
      <w:bookmarkStart w:id="594" w:name="REVIEW_BM_1520"/>
      <w:r>
        <w:rPr>
          <w:rFonts w:hint="eastAsia" w:ascii="宋体" w:hAnsi="宋体" w:cs="宋体"/>
          <w:szCs w:val="21"/>
          <w:highlight w:val="none"/>
          <w:u w:val="single"/>
        </w:rPr>
        <w:t>发包人</w:t>
      </w:r>
      <w:bookmarkEnd w:id="594"/>
      <w:r>
        <w:rPr>
          <w:rFonts w:hint="eastAsia" w:ascii="宋体" w:hAnsi="宋体" w:cs="宋体"/>
          <w:szCs w:val="21"/>
          <w:highlight w:val="none"/>
          <w:u w:val="single"/>
        </w:rPr>
        <w:t>有权处违约金 3000 元/人• 次（人民币）；未经</w:t>
      </w:r>
      <w:bookmarkStart w:id="595" w:name="REVIEW_BM_1521"/>
      <w:r>
        <w:rPr>
          <w:rFonts w:hint="eastAsia" w:ascii="宋体" w:hAnsi="宋体" w:cs="宋体"/>
          <w:szCs w:val="21"/>
          <w:highlight w:val="none"/>
          <w:u w:val="single"/>
        </w:rPr>
        <w:t>发包人</w:t>
      </w:r>
      <w:bookmarkEnd w:id="595"/>
      <w:r>
        <w:rPr>
          <w:rFonts w:hint="eastAsia" w:ascii="宋体" w:hAnsi="宋体" w:cs="宋体"/>
          <w:szCs w:val="21"/>
          <w:highlight w:val="none"/>
          <w:u w:val="single"/>
        </w:rPr>
        <w:t>同意，其它在场管理人员擅自离岗的，视为</w:t>
      </w:r>
      <w:bookmarkStart w:id="596" w:name="REVIEW_BM_1526"/>
      <w:r>
        <w:rPr>
          <w:rFonts w:hint="eastAsia" w:ascii="宋体" w:hAnsi="宋体" w:cs="宋体"/>
          <w:szCs w:val="21"/>
          <w:highlight w:val="none"/>
          <w:u w:val="single"/>
        </w:rPr>
        <w:t>承包人</w:t>
      </w:r>
      <w:bookmarkEnd w:id="596"/>
      <w:r>
        <w:rPr>
          <w:rFonts w:hint="eastAsia" w:ascii="宋体" w:hAnsi="宋体" w:cs="宋体"/>
          <w:szCs w:val="21"/>
          <w:highlight w:val="none"/>
          <w:u w:val="single"/>
        </w:rPr>
        <w:t>违约，</w:t>
      </w:r>
      <w:bookmarkStart w:id="597" w:name="REVIEW_BM_1522"/>
      <w:r>
        <w:rPr>
          <w:rFonts w:hint="eastAsia" w:ascii="宋体" w:hAnsi="宋体" w:cs="宋体"/>
          <w:szCs w:val="21"/>
          <w:highlight w:val="none"/>
          <w:u w:val="single"/>
        </w:rPr>
        <w:t>发包人</w:t>
      </w:r>
      <w:bookmarkEnd w:id="597"/>
      <w:r>
        <w:rPr>
          <w:rFonts w:hint="eastAsia" w:ascii="宋体" w:hAnsi="宋体" w:cs="宋体"/>
          <w:szCs w:val="21"/>
          <w:highlight w:val="none"/>
          <w:u w:val="single"/>
        </w:rPr>
        <w:t>有权处违约金1000元/人•次(人民币)</w:t>
      </w:r>
      <w:r>
        <w:rPr>
          <w:rFonts w:hint="eastAsia" w:ascii="宋体" w:hAnsi="宋体" w:cs="宋体"/>
          <w:szCs w:val="21"/>
          <w:highlight w:val="none"/>
        </w:rPr>
        <w:t>。</w:t>
      </w:r>
    </w:p>
    <w:p w14:paraId="5C1404E8">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3</w:t>
      </w:r>
      <w:bookmarkStart w:id="598" w:name="_Toc292559869"/>
      <w:bookmarkStart w:id="599" w:name="_Toc296944498"/>
      <w:bookmarkStart w:id="600" w:name="_Toc296347158"/>
      <w:bookmarkStart w:id="601" w:name="_Toc297123492"/>
      <w:bookmarkStart w:id="602" w:name="_Toc296346660"/>
      <w:bookmarkStart w:id="603" w:name="_Toc300934945"/>
      <w:bookmarkStart w:id="604" w:name="_Toc303539102"/>
      <w:bookmarkStart w:id="605" w:name="_Toc304295523"/>
      <w:bookmarkStart w:id="606" w:name="_Toc292559364"/>
      <w:bookmarkStart w:id="607" w:name="_Toc296890987"/>
      <w:bookmarkStart w:id="608" w:name="_Toc312677988"/>
      <w:bookmarkStart w:id="609" w:name="_Toc297048345"/>
      <w:bookmarkStart w:id="610" w:name="_Toc296891199"/>
      <w:bookmarkStart w:id="611" w:name="_Toc296503159"/>
      <w:bookmarkStart w:id="612" w:name="_Toc297120459"/>
      <w:bookmarkStart w:id="613" w:name="_Toc297216151"/>
      <w:r>
        <w:rPr>
          <w:rFonts w:hint="eastAsia" w:ascii="宋体" w:hAnsi="宋体" w:cs="宋体"/>
          <w:b/>
          <w:szCs w:val="21"/>
          <w:highlight w:val="none"/>
        </w:rPr>
        <w:t>.4 分包、转包</w:t>
      </w:r>
    </w:p>
    <w:p w14:paraId="2583C301">
      <w:pPr>
        <w:widowControl/>
        <w:spacing w:line="360" w:lineRule="auto"/>
        <w:ind w:firstLine="420"/>
        <w:rPr>
          <w:rFonts w:hint="eastAsia" w:ascii="宋体" w:hAnsi="宋体" w:cs="宋体"/>
          <w:szCs w:val="21"/>
          <w:highlight w:val="none"/>
        </w:rPr>
      </w:pPr>
      <w:r>
        <w:rPr>
          <w:rFonts w:hint="eastAsia" w:ascii="宋体" w:hAnsi="宋体" w:cs="宋体"/>
          <w:szCs w:val="21"/>
          <w:highlight w:val="none"/>
        </w:rPr>
        <w:t>本项目不允许分包、转包。</w:t>
      </w:r>
      <w:bookmarkEnd w:id="598"/>
      <w:bookmarkEnd w:id="599"/>
      <w:bookmarkEnd w:id="600"/>
      <w:bookmarkEnd w:id="601"/>
      <w:bookmarkEnd w:id="602"/>
      <w:bookmarkEnd w:id="603"/>
      <w:bookmarkEnd w:id="604"/>
      <w:bookmarkEnd w:id="605"/>
      <w:bookmarkEnd w:id="606"/>
      <w:bookmarkEnd w:id="607"/>
      <w:bookmarkEnd w:id="608"/>
      <w:bookmarkEnd w:id="609"/>
      <w:bookmarkEnd w:id="610"/>
      <w:bookmarkEnd w:id="611"/>
      <w:bookmarkEnd w:id="612"/>
      <w:bookmarkEnd w:id="613"/>
    </w:p>
    <w:p w14:paraId="2B6C2664">
      <w:pPr>
        <w:widowControl/>
        <w:spacing w:line="360" w:lineRule="auto"/>
        <w:ind w:firstLine="422"/>
        <w:rPr>
          <w:rFonts w:hint="eastAsia" w:ascii="宋体" w:hAnsi="宋体" w:cs="宋体"/>
          <w:b/>
          <w:szCs w:val="21"/>
          <w:highlight w:val="none"/>
        </w:rPr>
      </w:pPr>
      <w:r>
        <w:rPr>
          <w:rFonts w:hint="eastAsia" w:ascii="宋体" w:hAnsi="宋体" w:cs="宋体"/>
          <w:b/>
          <w:szCs w:val="21"/>
          <w:highlight w:val="none"/>
        </w:rPr>
        <w:t>3.5 工程照管与成品、半成品保护</w:t>
      </w:r>
    </w:p>
    <w:p w14:paraId="46B34262">
      <w:pPr>
        <w:widowControl w:val="0"/>
        <w:spacing w:line="360" w:lineRule="auto"/>
        <w:ind w:firstLine="420"/>
        <w:rPr>
          <w:rFonts w:hint="eastAsia" w:ascii="宋体" w:hAnsi="宋体" w:cs="宋体"/>
          <w:szCs w:val="21"/>
          <w:highlight w:val="none"/>
          <w:u w:val="single"/>
        </w:rPr>
      </w:pPr>
      <w:bookmarkStart w:id="614" w:name="REVIEW_BM_1528"/>
      <w:r>
        <w:rPr>
          <w:rFonts w:hint="eastAsia" w:ascii="宋体" w:hAnsi="宋体" w:cs="宋体"/>
          <w:szCs w:val="21"/>
          <w:highlight w:val="none"/>
        </w:rPr>
        <w:t>承包人</w:t>
      </w:r>
      <w:bookmarkEnd w:id="614"/>
      <w:r>
        <w:rPr>
          <w:rFonts w:hint="eastAsia" w:ascii="宋体" w:hAnsi="宋体" w:cs="宋体"/>
          <w:szCs w:val="21"/>
          <w:highlight w:val="none"/>
        </w:rPr>
        <w:t>负责照管工程及工程相关的材料、工程设备的起始时间：</w:t>
      </w:r>
      <w:r>
        <w:rPr>
          <w:rFonts w:hint="eastAsia" w:ascii="宋体" w:hAnsi="宋体" w:cs="宋体"/>
          <w:szCs w:val="21"/>
          <w:highlight w:val="none"/>
          <w:u w:val="single"/>
        </w:rPr>
        <w:t xml:space="preserve"> 从监理人（若无监理人，按</w:t>
      </w:r>
      <w:bookmarkStart w:id="615" w:name="REVIEW_BM_1527"/>
      <w:r>
        <w:rPr>
          <w:rFonts w:hint="eastAsia" w:ascii="宋体" w:hAnsi="宋体" w:cs="宋体"/>
          <w:szCs w:val="21"/>
          <w:highlight w:val="none"/>
          <w:u w:val="single"/>
        </w:rPr>
        <w:t>发包人</w:t>
      </w:r>
      <w:bookmarkEnd w:id="615"/>
      <w:r>
        <w:rPr>
          <w:rFonts w:hint="eastAsia" w:ascii="宋体" w:hAnsi="宋体" w:cs="宋体"/>
          <w:szCs w:val="21"/>
          <w:highlight w:val="none"/>
          <w:u w:val="single"/>
        </w:rPr>
        <w:t>）发出开工通知中载明的开工日期之日起至竣工验收合格期间由</w:t>
      </w:r>
      <w:bookmarkStart w:id="616" w:name="REVIEW_BM_1529"/>
      <w:r>
        <w:rPr>
          <w:rFonts w:hint="eastAsia" w:ascii="宋体" w:hAnsi="宋体" w:cs="宋体"/>
          <w:szCs w:val="21"/>
          <w:highlight w:val="none"/>
          <w:u w:val="single"/>
        </w:rPr>
        <w:t>承包人</w:t>
      </w:r>
      <w:bookmarkEnd w:id="616"/>
      <w:r>
        <w:rPr>
          <w:rFonts w:hint="eastAsia" w:ascii="宋体" w:hAnsi="宋体" w:cs="宋体"/>
          <w:szCs w:val="21"/>
          <w:highlight w:val="none"/>
          <w:u w:val="single"/>
        </w:rPr>
        <w:t>负责保管，无其他特殊要求的，费用由</w:t>
      </w:r>
      <w:bookmarkStart w:id="617" w:name="REVIEW_BM_1530"/>
      <w:r>
        <w:rPr>
          <w:rFonts w:hint="eastAsia" w:ascii="宋体" w:hAnsi="宋体" w:cs="宋体"/>
          <w:szCs w:val="21"/>
          <w:highlight w:val="none"/>
          <w:u w:val="single"/>
        </w:rPr>
        <w:t>承包人</w:t>
      </w:r>
      <w:bookmarkEnd w:id="617"/>
      <w:r>
        <w:rPr>
          <w:rFonts w:hint="eastAsia" w:ascii="宋体" w:hAnsi="宋体" w:cs="宋体"/>
          <w:szCs w:val="21"/>
          <w:highlight w:val="none"/>
          <w:u w:val="single"/>
        </w:rPr>
        <w:t>承担</w:t>
      </w:r>
      <w:r>
        <w:rPr>
          <w:rFonts w:hint="eastAsia" w:ascii="宋体" w:hAnsi="宋体" w:cs="宋体"/>
          <w:szCs w:val="21"/>
          <w:highlight w:val="none"/>
        </w:rPr>
        <w:t>。</w:t>
      </w:r>
    </w:p>
    <w:p w14:paraId="6E0FCBDD">
      <w:pPr>
        <w:pStyle w:val="6"/>
        <w:numPr>
          <w:ilvl w:val="0"/>
          <w:numId w:val="0"/>
        </w:numPr>
        <w:bidi w:val="0"/>
        <w:rPr>
          <w:rFonts w:hint="eastAsia"/>
          <w:highlight w:val="none"/>
        </w:rPr>
      </w:pPr>
      <w:bookmarkStart w:id="618" w:name="_Toc292559367"/>
      <w:bookmarkStart w:id="619" w:name="_Toc296346664"/>
      <w:bookmarkStart w:id="620" w:name="_Toc297048349"/>
      <w:bookmarkStart w:id="621" w:name="_Toc296890991"/>
      <w:bookmarkStart w:id="622" w:name="_Toc292559872"/>
      <w:bookmarkStart w:id="623" w:name="_Toc296891203"/>
      <w:bookmarkStart w:id="624" w:name="_Toc297120463"/>
      <w:bookmarkStart w:id="625" w:name="_Toc116229083"/>
      <w:bookmarkStart w:id="626" w:name="_Toc296944502"/>
      <w:bookmarkStart w:id="627" w:name="_Toc8299"/>
      <w:bookmarkStart w:id="628" w:name="_Toc296347162"/>
      <w:bookmarkStart w:id="629" w:name="_Toc296503163"/>
      <w:r>
        <w:rPr>
          <w:rFonts w:hint="eastAsia"/>
          <w:highlight w:val="none"/>
          <w:lang w:val="en-US" w:eastAsia="zh-CN"/>
        </w:rPr>
        <w:t xml:space="preserve">4. </w:t>
      </w:r>
      <w:r>
        <w:rPr>
          <w:rFonts w:hint="eastAsia"/>
          <w:highlight w:val="none"/>
        </w:rPr>
        <w:t xml:space="preserve">监理人 </w:t>
      </w:r>
      <w:bookmarkEnd w:id="618"/>
      <w:bookmarkEnd w:id="619"/>
      <w:bookmarkEnd w:id="620"/>
      <w:bookmarkEnd w:id="621"/>
      <w:bookmarkEnd w:id="622"/>
      <w:bookmarkEnd w:id="623"/>
      <w:bookmarkEnd w:id="624"/>
      <w:bookmarkEnd w:id="625"/>
      <w:bookmarkEnd w:id="626"/>
      <w:bookmarkEnd w:id="627"/>
      <w:bookmarkEnd w:id="628"/>
      <w:bookmarkEnd w:id="629"/>
      <w:bookmarkStart w:id="630" w:name="_Toc373227714"/>
      <w:bookmarkStart w:id="631" w:name="_Toc407135216"/>
      <w:bookmarkStart w:id="632" w:name="_Toc373478361"/>
      <w:bookmarkStart w:id="633" w:name="_Toc389065280"/>
      <w:bookmarkStart w:id="634" w:name="_Toc487632713"/>
    </w:p>
    <w:p w14:paraId="77E69963">
      <w:pPr>
        <w:bidi w:val="0"/>
        <w:rPr>
          <w:rFonts w:hint="eastAsia"/>
          <w:highlight w:val="none"/>
        </w:rPr>
      </w:pPr>
      <w:r>
        <w:rPr>
          <w:rFonts w:hint="eastAsia"/>
          <w:highlight w:val="none"/>
        </w:rPr>
        <w:t>4.1 监理人的</w:t>
      </w:r>
      <w:bookmarkStart w:id="635" w:name="REVIEW_BM_1531"/>
      <w:r>
        <w:rPr>
          <w:rFonts w:hint="eastAsia"/>
          <w:highlight w:val="none"/>
        </w:rPr>
        <w:t>一般</w:t>
      </w:r>
      <w:bookmarkEnd w:id="635"/>
      <w:r>
        <w:rPr>
          <w:rFonts w:hint="eastAsia"/>
          <w:highlight w:val="none"/>
        </w:rPr>
        <w:t>规定</w:t>
      </w:r>
      <w:bookmarkEnd w:id="630"/>
      <w:bookmarkEnd w:id="631"/>
      <w:bookmarkEnd w:id="632"/>
      <w:bookmarkEnd w:id="633"/>
      <w:bookmarkEnd w:id="634"/>
    </w:p>
    <w:p w14:paraId="415954E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关于监理人的监理内容：</w:t>
      </w:r>
      <w:r>
        <w:rPr>
          <w:rFonts w:hint="eastAsia" w:ascii="宋体" w:hAnsi="宋体" w:cs="宋体"/>
          <w:szCs w:val="21"/>
          <w:highlight w:val="none"/>
          <w:u w:val="single"/>
        </w:rPr>
        <w:t xml:space="preserve"> 审查施工</w:t>
      </w:r>
      <w:bookmarkStart w:id="636" w:name="REVIEW_BM_1535"/>
      <w:r>
        <w:rPr>
          <w:rFonts w:hint="eastAsia" w:ascii="宋体" w:hAnsi="宋体" w:cs="宋体"/>
          <w:szCs w:val="21"/>
          <w:highlight w:val="none"/>
          <w:u w:val="single"/>
        </w:rPr>
        <w:t>承包人</w:t>
      </w:r>
      <w:bookmarkEnd w:id="636"/>
      <w:r>
        <w:rPr>
          <w:rFonts w:hint="eastAsia" w:ascii="宋体" w:hAnsi="宋体" w:cs="宋体"/>
          <w:szCs w:val="21"/>
          <w:highlight w:val="none"/>
          <w:u w:val="single"/>
        </w:rPr>
        <w:t>提交的施工组织设计，专项施工方案与工程建设强制性标准的符合性；检查施工</w:t>
      </w:r>
      <w:bookmarkStart w:id="637" w:name="REVIEW_BM_1536"/>
      <w:r>
        <w:rPr>
          <w:rFonts w:hint="eastAsia" w:ascii="宋体" w:hAnsi="宋体" w:cs="宋体"/>
          <w:szCs w:val="21"/>
          <w:highlight w:val="none"/>
          <w:u w:val="single"/>
        </w:rPr>
        <w:t>承包人</w:t>
      </w:r>
      <w:bookmarkEnd w:id="637"/>
      <w:r>
        <w:rPr>
          <w:rFonts w:hint="eastAsia" w:ascii="宋体" w:hAnsi="宋体" w:cs="宋体"/>
          <w:szCs w:val="21"/>
          <w:highlight w:val="none"/>
          <w:u w:val="single"/>
        </w:rPr>
        <w:t>工程质量、安全、施工进度；审查施工</w:t>
      </w:r>
      <w:bookmarkStart w:id="638" w:name="REVIEW_BM_1537"/>
      <w:r>
        <w:rPr>
          <w:rFonts w:hint="eastAsia" w:ascii="宋体" w:hAnsi="宋体" w:cs="宋体"/>
          <w:szCs w:val="21"/>
          <w:highlight w:val="none"/>
          <w:u w:val="single"/>
        </w:rPr>
        <w:t>承包人</w:t>
      </w:r>
      <w:bookmarkEnd w:id="638"/>
      <w:r>
        <w:rPr>
          <w:rFonts w:hint="eastAsia" w:ascii="宋体" w:hAnsi="宋体" w:cs="宋体"/>
          <w:szCs w:val="21"/>
          <w:highlight w:val="none"/>
          <w:u w:val="single"/>
        </w:rPr>
        <w:t>报送的工程材料、构配件、设备质量证明文件的有效性和符合性；签发工程暂停令和复工令；验收隐蔽工程、分部分项工程；参与工程变更的审查签认，协助</w:t>
      </w:r>
      <w:bookmarkStart w:id="639" w:name="REVIEW_BM_1532"/>
      <w:r>
        <w:rPr>
          <w:rFonts w:hint="eastAsia" w:ascii="宋体" w:hAnsi="宋体" w:cs="宋体"/>
          <w:szCs w:val="21"/>
          <w:highlight w:val="none"/>
          <w:u w:val="single"/>
        </w:rPr>
        <w:t>发包人</w:t>
      </w:r>
      <w:bookmarkEnd w:id="639"/>
      <w:r>
        <w:rPr>
          <w:rFonts w:hint="eastAsia" w:ascii="宋体" w:hAnsi="宋体" w:cs="宋体"/>
          <w:szCs w:val="21"/>
          <w:highlight w:val="none"/>
          <w:u w:val="single"/>
        </w:rPr>
        <w:t>核签现场发生的签证，最终须经</w:t>
      </w:r>
      <w:bookmarkStart w:id="640" w:name="REVIEW_BM_1533"/>
      <w:r>
        <w:rPr>
          <w:rFonts w:hint="eastAsia" w:ascii="宋体" w:hAnsi="宋体" w:cs="宋体"/>
          <w:szCs w:val="21"/>
          <w:highlight w:val="none"/>
          <w:u w:val="single"/>
        </w:rPr>
        <w:t>发包人</w:t>
      </w:r>
      <w:bookmarkEnd w:id="640"/>
      <w:r>
        <w:rPr>
          <w:rFonts w:hint="eastAsia" w:ascii="宋体" w:hAnsi="宋体" w:cs="宋体"/>
          <w:szCs w:val="21"/>
          <w:highlight w:val="none"/>
          <w:u w:val="single"/>
        </w:rPr>
        <w:t>认可后作为结算的依据，审核月进度报表并报</w:t>
      </w:r>
      <w:bookmarkStart w:id="641" w:name="REVIEW_BM_1534"/>
      <w:r>
        <w:rPr>
          <w:rFonts w:hint="eastAsia" w:ascii="宋体" w:hAnsi="宋体" w:cs="宋体"/>
          <w:szCs w:val="21"/>
          <w:highlight w:val="none"/>
          <w:u w:val="single"/>
        </w:rPr>
        <w:t>发包人</w:t>
      </w:r>
      <w:bookmarkEnd w:id="641"/>
      <w:r>
        <w:rPr>
          <w:rFonts w:hint="eastAsia" w:ascii="宋体" w:hAnsi="宋体" w:cs="宋体"/>
          <w:szCs w:val="21"/>
          <w:highlight w:val="none"/>
          <w:u w:val="single"/>
        </w:rPr>
        <w:t xml:space="preserve">审批；审核工程款支付申请；参加工程竣工验收。（除应符合双方合同约定外，还应符合国家现行的有关强制性标准、规范的规定） </w:t>
      </w:r>
      <w:r>
        <w:rPr>
          <w:rFonts w:hint="eastAsia" w:ascii="宋体" w:hAnsi="宋体" w:cs="宋体"/>
          <w:szCs w:val="21"/>
          <w:highlight w:val="none"/>
        </w:rPr>
        <w:t>。</w:t>
      </w:r>
    </w:p>
    <w:p w14:paraId="6BEB32C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关于监理人的监理权限：</w:t>
      </w:r>
      <w:r>
        <w:rPr>
          <w:rFonts w:hint="eastAsia" w:ascii="宋体" w:hAnsi="宋体" w:cs="宋体"/>
          <w:szCs w:val="21"/>
          <w:highlight w:val="none"/>
          <w:u w:val="single"/>
        </w:rPr>
        <w:t xml:space="preserve">  1、在发出有关能引起工程费用实际增加（减少）或延长工期的指令前，应得到</w:t>
      </w:r>
      <w:bookmarkStart w:id="642" w:name="REVIEW_BM_1538"/>
      <w:r>
        <w:rPr>
          <w:rFonts w:hint="eastAsia" w:ascii="宋体" w:hAnsi="宋体" w:cs="宋体"/>
          <w:szCs w:val="21"/>
          <w:highlight w:val="none"/>
          <w:u w:val="single"/>
        </w:rPr>
        <w:t>发包人</w:t>
      </w:r>
      <w:bookmarkEnd w:id="642"/>
      <w:r>
        <w:rPr>
          <w:rFonts w:hint="eastAsia" w:ascii="宋体" w:hAnsi="宋体" w:cs="宋体"/>
          <w:szCs w:val="21"/>
          <w:highlight w:val="none"/>
          <w:u w:val="single"/>
        </w:rPr>
        <w:t>的书面批准。2、监理工程师在向</w:t>
      </w:r>
      <w:bookmarkStart w:id="643" w:name="REVIEW_BM_1543"/>
      <w:r>
        <w:rPr>
          <w:rFonts w:hint="eastAsia" w:ascii="宋体" w:hAnsi="宋体" w:cs="宋体"/>
          <w:szCs w:val="21"/>
          <w:highlight w:val="none"/>
          <w:u w:val="single"/>
        </w:rPr>
        <w:t>承包人</w:t>
      </w:r>
      <w:bookmarkEnd w:id="643"/>
      <w:r>
        <w:rPr>
          <w:rFonts w:hint="eastAsia" w:ascii="宋体" w:hAnsi="宋体" w:cs="宋体"/>
          <w:szCs w:val="21"/>
          <w:highlight w:val="none"/>
          <w:u w:val="single"/>
        </w:rPr>
        <w:t>发出有关技术规范的重大变更或有关变更合同条款的任何指令前均应获得</w:t>
      </w:r>
      <w:bookmarkStart w:id="644" w:name="REVIEW_BM_1539"/>
      <w:r>
        <w:rPr>
          <w:rFonts w:hint="eastAsia" w:ascii="宋体" w:hAnsi="宋体" w:cs="宋体"/>
          <w:szCs w:val="21"/>
          <w:highlight w:val="none"/>
          <w:u w:val="single"/>
        </w:rPr>
        <w:t>发包人</w:t>
      </w:r>
      <w:bookmarkEnd w:id="644"/>
      <w:r>
        <w:rPr>
          <w:rFonts w:hint="eastAsia" w:ascii="宋体" w:hAnsi="宋体" w:cs="宋体"/>
          <w:szCs w:val="21"/>
          <w:highlight w:val="none"/>
          <w:u w:val="single"/>
        </w:rPr>
        <w:t>书面批准。3、工程实际竣工日期提前或超过工程承包合同规定的竣工期限的签证之前应得到</w:t>
      </w:r>
      <w:bookmarkStart w:id="645" w:name="REVIEW_BM_1540"/>
      <w:r>
        <w:rPr>
          <w:rFonts w:hint="eastAsia" w:ascii="宋体" w:hAnsi="宋体" w:cs="宋体"/>
          <w:szCs w:val="21"/>
          <w:highlight w:val="none"/>
          <w:u w:val="single"/>
        </w:rPr>
        <w:t>发包人</w:t>
      </w:r>
      <w:bookmarkEnd w:id="645"/>
      <w:r>
        <w:rPr>
          <w:rFonts w:hint="eastAsia" w:ascii="宋体" w:hAnsi="宋体" w:cs="宋体"/>
          <w:szCs w:val="21"/>
          <w:highlight w:val="none"/>
          <w:u w:val="single"/>
        </w:rPr>
        <w:t>的书面批准。4、签证单监理只有证明权，无确认权。（详细见</w:t>
      </w:r>
      <w:bookmarkStart w:id="646" w:name="REVIEW_BM_1541"/>
      <w:r>
        <w:rPr>
          <w:rFonts w:hint="eastAsia" w:ascii="宋体" w:hAnsi="宋体" w:cs="宋体"/>
          <w:szCs w:val="21"/>
          <w:highlight w:val="none"/>
          <w:u w:val="single"/>
        </w:rPr>
        <w:t>发包人</w:t>
      </w:r>
      <w:bookmarkEnd w:id="646"/>
      <w:r>
        <w:rPr>
          <w:rFonts w:hint="eastAsia" w:ascii="宋体" w:hAnsi="宋体" w:cs="宋体"/>
          <w:szCs w:val="21"/>
          <w:highlight w:val="none"/>
          <w:u w:val="single"/>
        </w:rPr>
        <w:t>与监理单位签订的监理合同）。5、工程内容和材料变更确认应得到</w:t>
      </w:r>
      <w:bookmarkStart w:id="647" w:name="REVIEW_BM_1542"/>
      <w:r>
        <w:rPr>
          <w:rFonts w:hint="eastAsia" w:ascii="宋体" w:hAnsi="宋体" w:cs="宋体"/>
          <w:szCs w:val="21"/>
          <w:highlight w:val="none"/>
          <w:u w:val="single"/>
        </w:rPr>
        <w:t>发包人</w:t>
      </w:r>
      <w:bookmarkEnd w:id="647"/>
      <w:r>
        <w:rPr>
          <w:rFonts w:hint="eastAsia" w:ascii="宋体" w:hAnsi="宋体" w:cs="宋体"/>
          <w:szCs w:val="21"/>
          <w:highlight w:val="none"/>
          <w:u w:val="single"/>
        </w:rPr>
        <w:t xml:space="preserve">的书面批准 。6、审核月进度工作报表以及审核工程款支付申请 </w:t>
      </w:r>
      <w:r>
        <w:rPr>
          <w:rFonts w:hint="eastAsia" w:ascii="宋体" w:hAnsi="宋体" w:cs="宋体"/>
          <w:szCs w:val="21"/>
          <w:highlight w:val="none"/>
        </w:rPr>
        <w:t xml:space="preserve">。 </w:t>
      </w:r>
    </w:p>
    <w:p w14:paraId="5C9387E1">
      <w:pPr>
        <w:spacing w:line="360" w:lineRule="auto"/>
        <w:ind w:firstLine="420"/>
        <w:rPr>
          <w:rFonts w:hint="eastAsia" w:ascii="宋体" w:hAnsi="宋体" w:cs="宋体"/>
          <w:szCs w:val="21"/>
          <w:highlight w:val="none"/>
        </w:rPr>
      </w:pPr>
      <w:r>
        <w:rPr>
          <w:rFonts w:hint="eastAsia" w:ascii="宋体" w:hAnsi="宋体" w:cs="宋体"/>
          <w:szCs w:val="21"/>
          <w:highlight w:val="none"/>
        </w:rPr>
        <w:t>关于监理人在施工现场的办公场所、生活场所的提供和费用承担的约定：</w:t>
      </w:r>
      <w:r>
        <w:rPr>
          <w:rFonts w:hint="eastAsia" w:ascii="宋体" w:hAnsi="宋体" w:cs="宋体"/>
          <w:szCs w:val="21"/>
          <w:highlight w:val="none"/>
          <w:u w:val="single"/>
        </w:rPr>
        <w:t xml:space="preserve">  / </w:t>
      </w:r>
      <w:r>
        <w:rPr>
          <w:rFonts w:hint="eastAsia" w:ascii="宋体" w:hAnsi="宋体" w:cs="宋体"/>
          <w:szCs w:val="21"/>
          <w:highlight w:val="none"/>
        </w:rPr>
        <w:t>。</w:t>
      </w:r>
    </w:p>
    <w:p w14:paraId="01F816DE">
      <w:pPr>
        <w:bidi w:val="0"/>
        <w:rPr>
          <w:rFonts w:hint="eastAsia"/>
          <w:highlight w:val="none"/>
        </w:rPr>
      </w:pPr>
      <w:bookmarkStart w:id="648" w:name="_Toc487632714"/>
      <w:bookmarkStart w:id="649" w:name="_Toc373478362"/>
      <w:bookmarkStart w:id="650" w:name="_Toc373227715"/>
      <w:bookmarkStart w:id="651" w:name="_Toc407135217"/>
      <w:bookmarkStart w:id="652" w:name="_Toc389065281"/>
      <w:r>
        <w:rPr>
          <w:rFonts w:hint="eastAsia"/>
          <w:highlight w:val="none"/>
        </w:rPr>
        <w:t>4.2 监理人员</w:t>
      </w:r>
      <w:bookmarkEnd w:id="648"/>
      <w:bookmarkEnd w:id="649"/>
      <w:bookmarkEnd w:id="650"/>
      <w:bookmarkEnd w:id="651"/>
      <w:bookmarkEnd w:id="652"/>
    </w:p>
    <w:p w14:paraId="76F94489">
      <w:pPr>
        <w:spacing w:line="360" w:lineRule="auto"/>
        <w:ind w:firstLine="420"/>
        <w:rPr>
          <w:rFonts w:hint="eastAsia" w:ascii="宋体" w:hAnsi="宋体" w:cs="宋体"/>
          <w:szCs w:val="21"/>
          <w:highlight w:val="none"/>
        </w:rPr>
      </w:pPr>
      <w:r>
        <w:rPr>
          <w:rFonts w:hint="eastAsia" w:ascii="宋体" w:hAnsi="宋体" w:cs="宋体"/>
          <w:szCs w:val="21"/>
          <w:highlight w:val="none"/>
        </w:rPr>
        <w:t>总监理工程师：</w:t>
      </w:r>
    </w:p>
    <w:p w14:paraId="4B339DDE">
      <w:pPr>
        <w:spacing w:line="360" w:lineRule="auto"/>
        <w:ind w:firstLine="420"/>
        <w:rPr>
          <w:rFonts w:hint="eastAsia" w:ascii="宋体" w:hAnsi="宋体" w:cs="宋体"/>
          <w:szCs w:val="21"/>
          <w:highlight w:val="none"/>
        </w:rPr>
      </w:pPr>
      <w:r>
        <w:rPr>
          <w:rFonts w:hint="eastAsia" w:ascii="宋体" w:hAnsi="宋体" w:cs="宋体"/>
          <w:szCs w:val="21"/>
          <w:highlight w:val="none"/>
        </w:rPr>
        <w:t>姓    名：</w:t>
      </w:r>
      <w:r>
        <w:rPr>
          <w:rFonts w:hint="eastAsia" w:ascii="宋体" w:hAnsi="宋体" w:cs="宋体"/>
          <w:szCs w:val="21"/>
          <w:highlight w:val="none"/>
          <w:u w:val="single"/>
        </w:rPr>
        <w:t>   </w:t>
      </w:r>
      <w:r>
        <w:rPr>
          <w:rFonts w:hint="eastAsia" w:ascii="宋体" w:hAnsi="宋体" w:cs="宋体"/>
          <w:szCs w:val="21"/>
          <w:highlight w:val="none"/>
        </w:rPr>
        <w:t>；</w:t>
      </w:r>
    </w:p>
    <w:p w14:paraId="07467D99">
      <w:pPr>
        <w:spacing w:line="360" w:lineRule="auto"/>
        <w:ind w:firstLine="420"/>
        <w:rPr>
          <w:rFonts w:hint="eastAsia" w:ascii="宋体" w:hAnsi="宋体" w:cs="宋体"/>
          <w:szCs w:val="21"/>
          <w:highlight w:val="none"/>
        </w:rPr>
      </w:pPr>
      <w:r>
        <w:rPr>
          <w:rFonts w:hint="eastAsia" w:ascii="宋体" w:hAnsi="宋体" w:cs="宋体"/>
          <w:szCs w:val="21"/>
          <w:highlight w:val="none"/>
        </w:rPr>
        <w:t>职    务：</w:t>
      </w:r>
      <w:r>
        <w:rPr>
          <w:rFonts w:hint="eastAsia" w:ascii="宋体" w:hAnsi="宋体" w:cs="宋体"/>
          <w:szCs w:val="21"/>
          <w:highlight w:val="none"/>
          <w:u w:val="single"/>
        </w:rPr>
        <w:t>   </w:t>
      </w:r>
      <w:r>
        <w:rPr>
          <w:rFonts w:hint="eastAsia" w:ascii="宋体" w:hAnsi="宋体" w:cs="宋体"/>
          <w:szCs w:val="21"/>
          <w:highlight w:val="none"/>
        </w:rPr>
        <w:t>；</w:t>
      </w:r>
    </w:p>
    <w:p w14:paraId="46F043FD">
      <w:pPr>
        <w:spacing w:line="360" w:lineRule="auto"/>
        <w:ind w:firstLine="420"/>
        <w:rPr>
          <w:rFonts w:hint="eastAsia" w:ascii="宋体" w:hAnsi="宋体" w:cs="宋体"/>
          <w:szCs w:val="21"/>
          <w:highlight w:val="none"/>
        </w:rPr>
      </w:pPr>
      <w:r>
        <w:rPr>
          <w:rFonts w:hint="eastAsia" w:ascii="宋体" w:hAnsi="宋体" w:cs="宋体"/>
          <w:szCs w:val="21"/>
          <w:highlight w:val="none"/>
        </w:rPr>
        <w:t>监理工程师执业资格证书号：</w:t>
      </w:r>
      <w:r>
        <w:rPr>
          <w:rFonts w:hint="eastAsia" w:ascii="宋体" w:hAnsi="宋体" w:cs="宋体"/>
          <w:szCs w:val="21"/>
          <w:highlight w:val="none"/>
          <w:u w:val="single"/>
        </w:rPr>
        <w:t> </w:t>
      </w:r>
      <w:r>
        <w:rPr>
          <w:rFonts w:hint="eastAsia" w:ascii="宋体" w:hAnsi="宋体" w:cs="宋体"/>
          <w:szCs w:val="21"/>
          <w:highlight w:val="none"/>
        </w:rPr>
        <w:t>；</w:t>
      </w:r>
    </w:p>
    <w:p w14:paraId="711571DA">
      <w:pPr>
        <w:spacing w:line="360" w:lineRule="auto"/>
        <w:ind w:firstLine="420"/>
        <w:rPr>
          <w:rFonts w:hint="eastAsia" w:ascii="宋体" w:hAnsi="宋体" w:cs="宋体"/>
          <w:szCs w:val="21"/>
          <w:highlight w:val="none"/>
        </w:rPr>
      </w:pPr>
      <w:r>
        <w:rPr>
          <w:rFonts w:hint="eastAsia" w:ascii="宋体" w:hAnsi="宋体" w:cs="宋体"/>
          <w:szCs w:val="21"/>
          <w:highlight w:val="none"/>
        </w:rPr>
        <w:t>联系电话：</w:t>
      </w:r>
      <w:r>
        <w:rPr>
          <w:rFonts w:hint="eastAsia" w:ascii="宋体" w:hAnsi="宋体" w:cs="宋体"/>
          <w:szCs w:val="21"/>
          <w:highlight w:val="none"/>
          <w:u w:val="single"/>
        </w:rPr>
        <w:t>   </w:t>
      </w:r>
      <w:r>
        <w:rPr>
          <w:rFonts w:hint="eastAsia" w:ascii="宋体" w:hAnsi="宋体" w:cs="宋体"/>
          <w:szCs w:val="21"/>
          <w:highlight w:val="none"/>
        </w:rPr>
        <w:t>；</w:t>
      </w:r>
    </w:p>
    <w:p w14:paraId="3B820F75">
      <w:pPr>
        <w:spacing w:line="360" w:lineRule="auto"/>
        <w:ind w:firstLine="420"/>
        <w:rPr>
          <w:rFonts w:hint="eastAsia" w:ascii="宋体" w:hAnsi="宋体" w:cs="宋体"/>
          <w:szCs w:val="21"/>
          <w:highlight w:val="none"/>
        </w:rPr>
      </w:pPr>
      <w:r>
        <w:rPr>
          <w:rFonts w:hint="eastAsia" w:ascii="宋体" w:hAnsi="宋体" w:cs="宋体"/>
          <w:szCs w:val="21"/>
          <w:highlight w:val="none"/>
        </w:rPr>
        <w:t>电子信箱：</w:t>
      </w:r>
      <w:r>
        <w:rPr>
          <w:rFonts w:hint="eastAsia" w:ascii="宋体" w:hAnsi="宋体" w:cs="宋体"/>
          <w:szCs w:val="21"/>
          <w:highlight w:val="none"/>
          <w:u w:val="single"/>
        </w:rPr>
        <w:t>   </w:t>
      </w:r>
      <w:r>
        <w:rPr>
          <w:rFonts w:hint="eastAsia" w:ascii="宋体" w:hAnsi="宋体" w:cs="宋体"/>
          <w:szCs w:val="21"/>
          <w:highlight w:val="none"/>
        </w:rPr>
        <w:t>；</w:t>
      </w:r>
    </w:p>
    <w:p w14:paraId="7AF0063B">
      <w:pPr>
        <w:spacing w:line="360" w:lineRule="auto"/>
        <w:ind w:firstLine="420"/>
        <w:rPr>
          <w:rFonts w:hint="eastAsia" w:ascii="宋体" w:hAnsi="宋体" w:cs="宋体"/>
          <w:szCs w:val="21"/>
          <w:highlight w:val="none"/>
        </w:rPr>
      </w:pPr>
      <w:r>
        <w:rPr>
          <w:rFonts w:hint="eastAsia" w:ascii="宋体" w:hAnsi="宋体" w:cs="宋体"/>
          <w:szCs w:val="21"/>
          <w:highlight w:val="none"/>
        </w:rPr>
        <w:t>通信地址：</w:t>
      </w:r>
      <w:r>
        <w:rPr>
          <w:rFonts w:hint="eastAsia" w:ascii="宋体" w:hAnsi="宋体" w:cs="宋体"/>
          <w:szCs w:val="21"/>
          <w:highlight w:val="none"/>
          <w:u w:val="single"/>
        </w:rPr>
        <w:t>   </w:t>
      </w:r>
      <w:r>
        <w:rPr>
          <w:rFonts w:hint="eastAsia" w:ascii="宋体" w:hAnsi="宋体" w:cs="宋体"/>
          <w:szCs w:val="21"/>
          <w:highlight w:val="none"/>
        </w:rPr>
        <w:t>；</w:t>
      </w:r>
    </w:p>
    <w:p w14:paraId="2AEC96A1">
      <w:pPr>
        <w:spacing w:line="360" w:lineRule="auto"/>
        <w:ind w:firstLine="420"/>
        <w:rPr>
          <w:rFonts w:hint="eastAsia" w:ascii="宋体" w:hAnsi="宋体" w:cs="宋体"/>
          <w:szCs w:val="21"/>
          <w:highlight w:val="none"/>
          <w:u w:val="single"/>
        </w:rPr>
      </w:pPr>
      <w:r>
        <w:rPr>
          <w:rFonts w:hint="eastAsia" w:ascii="宋体" w:hAnsi="宋体" w:cs="宋体"/>
          <w:szCs w:val="21"/>
          <w:highlight w:val="none"/>
        </w:rPr>
        <w:t>关于监理人的其他约定：</w:t>
      </w:r>
      <w:r>
        <w:rPr>
          <w:rFonts w:hint="eastAsia" w:ascii="宋体" w:hAnsi="宋体" w:cs="宋体"/>
          <w:szCs w:val="21"/>
          <w:highlight w:val="none"/>
          <w:u w:val="single"/>
        </w:rPr>
        <w:t>监理在执行下列职责前应事先得到</w:t>
      </w:r>
      <w:bookmarkStart w:id="653" w:name="REVIEW_BM_1544"/>
      <w:r>
        <w:rPr>
          <w:rFonts w:hint="eastAsia" w:ascii="宋体" w:hAnsi="宋体" w:cs="宋体"/>
          <w:szCs w:val="21"/>
          <w:highlight w:val="none"/>
          <w:u w:val="single"/>
        </w:rPr>
        <w:t>发包人</w:t>
      </w:r>
      <w:bookmarkEnd w:id="653"/>
      <w:r>
        <w:rPr>
          <w:rFonts w:hint="eastAsia" w:ascii="宋体" w:hAnsi="宋体" w:cs="宋体"/>
          <w:szCs w:val="21"/>
          <w:highlight w:val="none"/>
          <w:u w:val="single"/>
        </w:rPr>
        <w:t>的特别认可：</w:t>
      </w:r>
    </w:p>
    <w:p w14:paraId="20917E6D">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（1）下达开工、停工指令或通知；</w:t>
      </w:r>
    </w:p>
    <w:p w14:paraId="14AE885F">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 xml:space="preserve">（2）认可工程任何部分的分包确认或同意分包人； </w:t>
      </w:r>
    </w:p>
    <w:p w14:paraId="3EAF4FA4">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 xml:space="preserve">（3）批准任何工期顺延； </w:t>
      </w:r>
    </w:p>
    <w:p w14:paraId="7F628A2E">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（4）对工期、工程造价有任何影响的变更指示；</w:t>
      </w:r>
    </w:p>
    <w:p w14:paraId="636D9480">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 xml:space="preserve">（5）确定变更估价； </w:t>
      </w:r>
    </w:p>
    <w:p w14:paraId="12E07473">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 xml:space="preserve">（6）发出接收证书或通过工程竣工验收； </w:t>
      </w:r>
    </w:p>
    <w:p w14:paraId="43627E46">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（7）认可</w:t>
      </w:r>
      <w:bookmarkStart w:id="654" w:name="REVIEW_BM_1545"/>
      <w:r>
        <w:rPr>
          <w:rFonts w:hint="eastAsia" w:ascii="宋体" w:hAnsi="宋体" w:cs="宋体"/>
          <w:szCs w:val="21"/>
          <w:highlight w:val="none"/>
          <w:u w:val="single"/>
        </w:rPr>
        <w:t>承包人</w:t>
      </w:r>
      <w:bookmarkEnd w:id="654"/>
      <w:r>
        <w:rPr>
          <w:rFonts w:hint="eastAsia" w:ascii="宋体" w:hAnsi="宋体" w:cs="宋体"/>
          <w:szCs w:val="21"/>
          <w:highlight w:val="none"/>
          <w:u w:val="single"/>
        </w:rPr>
        <w:t>的任何费用索赔。</w:t>
      </w:r>
    </w:p>
    <w:p w14:paraId="50DE6577">
      <w:pPr>
        <w:spacing w:line="360" w:lineRule="auto"/>
        <w:ind w:firstLine="420"/>
        <w:rPr>
          <w:rFonts w:hint="eastAsia" w:ascii="宋体" w:hAnsi="宋体" w:cs="宋体"/>
          <w:szCs w:val="21"/>
          <w:highlight w:val="none"/>
          <w:u w:val="single"/>
        </w:rPr>
      </w:pPr>
      <w:r>
        <w:rPr>
          <w:rFonts w:hint="eastAsia" w:ascii="宋体" w:hAnsi="宋体" w:cs="宋体"/>
          <w:szCs w:val="21"/>
          <w:highlight w:val="none"/>
          <w:u w:val="single"/>
        </w:rPr>
        <w:t>一切有关上述事宜而没有</w:t>
      </w:r>
      <w:bookmarkStart w:id="655" w:name="REVIEW_BM_1546"/>
      <w:r>
        <w:rPr>
          <w:rFonts w:hint="eastAsia" w:ascii="宋体" w:hAnsi="宋体" w:cs="宋体"/>
          <w:szCs w:val="21"/>
          <w:highlight w:val="none"/>
          <w:u w:val="single"/>
        </w:rPr>
        <w:t>发包人</w:t>
      </w:r>
      <w:bookmarkEnd w:id="655"/>
      <w:r>
        <w:rPr>
          <w:rFonts w:hint="eastAsia" w:ascii="宋体" w:hAnsi="宋体" w:cs="宋体"/>
          <w:szCs w:val="21"/>
          <w:highlight w:val="none"/>
          <w:u w:val="single"/>
        </w:rPr>
        <w:t xml:space="preserve">签认的指令或行动将被视为无效。 </w:t>
      </w:r>
    </w:p>
    <w:p w14:paraId="68A1B4FC">
      <w:pPr>
        <w:spacing w:line="360" w:lineRule="auto"/>
        <w:ind w:firstLine="420"/>
        <w:rPr>
          <w:rFonts w:hint="eastAsia" w:ascii="宋体" w:hAnsi="宋体" w:cs="宋体"/>
          <w:szCs w:val="21"/>
          <w:highlight w:val="none"/>
        </w:rPr>
      </w:pPr>
      <w:r>
        <w:rPr>
          <w:rFonts w:hint="eastAsia" w:ascii="宋体" w:hAnsi="宋体" w:cs="宋体"/>
          <w:szCs w:val="21"/>
          <w:highlight w:val="none"/>
          <w:u w:val="single"/>
        </w:rPr>
        <w:t>尽管有如上诉需征求特别许可的义务，但如果工程监理认为事故的发生会影响人员生命、工程或附近财产的安全，工程监理可以在不</w:t>
      </w:r>
      <w:bookmarkStart w:id="656" w:name="REVIEW_BM_1556"/>
      <w:r>
        <w:rPr>
          <w:rFonts w:hint="eastAsia" w:ascii="宋体" w:hAnsi="宋体" w:cs="宋体"/>
          <w:szCs w:val="21"/>
          <w:highlight w:val="none"/>
          <w:u w:val="single"/>
        </w:rPr>
        <w:t>减轻</w:t>
      </w:r>
      <w:bookmarkEnd w:id="656"/>
      <w:bookmarkStart w:id="657" w:name="REVIEW_BM_1551"/>
      <w:r>
        <w:rPr>
          <w:rFonts w:hint="eastAsia" w:ascii="宋体" w:hAnsi="宋体" w:cs="宋体"/>
          <w:szCs w:val="21"/>
          <w:highlight w:val="none"/>
          <w:u w:val="single"/>
        </w:rPr>
        <w:t>承包人</w:t>
      </w:r>
      <w:bookmarkEnd w:id="657"/>
      <w:r>
        <w:rPr>
          <w:rFonts w:hint="eastAsia" w:ascii="宋体" w:hAnsi="宋体" w:cs="宋体"/>
          <w:szCs w:val="21"/>
          <w:highlight w:val="none"/>
          <w:u w:val="single"/>
        </w:rPr>
        <w:t>任何合同规定的责任和义务的情况下，指示</w:t>
      </w:r>
      <w:bookmarkStart w:id="658" w:name="REVIEW_BM_1552"/>
      <w:r>
        <w:rPr>
          <w:rFonts w:hint="eastAsia" w:ascii="宋体" w:hAnsi="宋体" w:cs="宋体"/>
          <w:szCs w:val="21"/>
          <w:highlight w:val="none"/>
          <w:u w:val="single"/>
        </w:rPr>
        <w:t>承包人</w:t>
      </w:r>
      <w:bookmarkEnd w:id="658"/>
      <w:r>
        <w:rPr>
          <w:rFonts w:hint="eastAsia" w:ascii="宋体" w:hAnsi="宋体" w:cs="宋体"/>
          <w:szCs w:val="21"/>
          <w:highlight w:val="none"/>
          <w:u w:val="single"/>
        </w:rPr>
        <w:t>采取工程监理认为必要有效的措施及办法排除及减低危险。尽管没有得到</w:t>
      </w:r>
      <w:bookmarkStart w:id="659" w:name="REVIEW_BM_1547"/>
      <w:r>
        <w:rPr>
          <w:rFonts w:hint="eastAsia" w:ascii="宋体" w:hAnsi="宋体" w:cs="宋体"/>
          <w:szCs w:val="21"/>
          <w:highlight w:val="none"/>
          <w:u w:val="single"/>
        </w:rPr>
        <w:t>发包人</w:t>
      </w:r>
      <w:bookmarkEnd w:id="659"/>
      <w:r>
        <w:rPr>
          <w:rFonts w:hint="eastAsia" w:ascii="宋体" w:hAnsi="宋体" w:cs="宋体"/>
          <w:szCs w:val="21"/>
          <w:highlight w:val="none"/>
          <w:u w:val="single"/>
        </w:rPr>
        <w:t>的认可，</w:t>
      </w:r>
      <w:bookmarkStart w:id="660" w:name="REVIEW_BM_1553"/>
      <w:r>
        <w:rPr>
          <w:rFonts w:hint="eastAsia" w:ascii="宋体" w:hAnsi="宋体" w:cs="宋体"/>
          <w:szCs w:val="21"/>
          <w:highlight w:val="none"/>
          <w:u w:val="single"/>
        </w:rPr>
        <w:t>承包人</w:t>
      </w:r>
      <w:bookmarkEnd w:id="660"/>
      <w:r>
        <w:rPr>
          <w:rFonts w:hint="eastAsia" w:ascii="宋体" w:hAnsi="宋体" w:cs="宋体"/>
          <w:szCs w:val="21"/>
          <w:highlight w:val="none"/>
          <w:u w:val="single"/>
        </w:rPr>
        <w:t>应立即执行该等有关指令，此类指令</w:t>
      </w:r>
      <w:bookmarkStart w:id="661" w:name="REVIEW_BM_1554"/>
      <w:r>
        <w:rPr>
          <w:rFonts w:hint="eastAsia" w:ascii="宋体" w:hAnsi="宋体" w:cs="宋体"/>
          <w:szCs w:val="21"/>
          <w:highlight w:val="none"/>
          <w:u w:val="single"/>
        </w:rPr>
        <w:t>承包人</w:t>
      </w:r>
      <w:bookmarkEnd w:id="661"/>
      <w:r>
        <w:rPr>
          <w:rFonts w:hint="eastAsia" w:ascii="宋体" w:hAnsi="宋体" w:cs="宋体"/>
          <w:szCs w:val="21"/>
          <w:highlight w:val="none"/>
          <w:u w:val="single"/>
        </w:rPr>
        <w:t>必须在发出后 24 小时内得到</w:t>
      </w:r>
      <w:bookmarkStart w:id="662" w:name="REVIEW_BM_1548"/>
      <w:r>
        <w:rPr>
          <w:rFonts w:hint="eastAsia" w:ascii="宋体" w:hAnsi="宋体" w:cs="宋体"/>
          <w:szCs w:val="21"/>
          <w:highlight w:val="none"/>
          <w:u w:val="single"/>
        </w:rPr>
        <w:t>发包人</w:t>
      </w:r>
      <w:bookmarkEnd w:id="662"/>
      <w:r>
        <w:rPr>
          <w:rFonts w:hint="eastAsia" w:ascii="宋体" w:hAnsi="宋体" w:cs="宋体"/>
          <w:szCs w:val="21"/>
          <w:highlight w:val="none"/>
          <w:u w:val="single"/>
        </w:rPr>
        <w:t>的认可。除上述的紧急指令外，</w:t>
      </w:r>
      <w:bookmarkStart w:id="663" w:name="REVIEW_BM_1555"/>
      <w:r>
        <w:rPr>
          <w:rFonts w:hint="eastAsia" w:ascii="宋体" w:hAnsi="宋体" w:cs="宋体"/>
          <w:szCs w:val="21"/>
          <w:highlight w:val="none"/>
          <w:u w:val="single"/>
        </w:rPr>
        <w:t>承包人</w:t>
      </w:r>
      <w:bookmarkEnd w:id="663"/>
      <w:r>
        <w:rPr>
          <w:rFonts w:hint="eastAsia" w:ascii="宋体" w:hAnsi="宋体" w:cs="宋体"/>
          <w:szCs w:val="21"/>
          <w:highlight w:val="none"/>
          <w:u w:val="single"/>
        </w:rPr>
        <w:t>因遵守经</w:t>
      </w:r>
      <w:bookmarkStart w:id="664" w:name="REVIEW_BM_1549"/>
      <w:r>
        <w:rPr>
          <w:rFonts w:hint="eastAsia" w:ascii="宋体" w:hAnsi="宋体" w:cs="宋体"/>
          <w:szCs w:val="21"/>
          <w:highlight w:val="none"/>
          <w:u w:val="single"/>
        </w:rPr>
        <w:t>发包人</w:t>
      </w:r>
      <w:bookmarkEnd w:id="664"/>
      <w:r>
        <w:rPr>
          <w:rFonts w:hint="eastAsia" w:ascii="宋体" w:hAnsi="宋体" w:cs="宋体"/>
          <w:szCs w:val="21"/>
          <w:highlight w:val="none"/>
          <w:u w:val="single"/>
        </w:rPr>
        <w:t>特别认可的而又未经</w:t>
      </w:r>
      <w:bookmarkStart w:id="665" w:name="REVIEW_BM_1550"/>
      <w:r>
        <w:rPr>
          <w:rFonts w:hint="eastAsia" w:ascii="宋体" w:hAnsi="宋体" w:cs="宋体"/>
          <w:szCs w:val="21"/>
          <w:highlight w:val="none"/>
          <w:u w:val="single"/>
        </w:rPr>
        <w:t>发包人</w:t>
      </w:r>
      <w:bookmarkEnd w:id="665"/>
      <w:r>
        <w:rPr>
          <w:rFonts w:hint="eastAsia" w:ascii="宋体" w:hAnsi="宋体" w:cs="宋体"/>
          <w:szCs w:val="21"/>
          <w:highlight w:val="none"/>
          <w:u w:val="single"/>
        </w:rPr>
        <w:t>认可的指令而引致的索赔都不会获得接受。</w:t>
      </w:r>
    </w:p>
    <w:p w14:paraId="16034216">
      <w:pPr>
        <w:bidi w:val="0"/>
        <w:rPr>
          <w:rFonts w:hint="eastAsia"/>
          <w:highlight w:val="none"/>
        </w:rPr>
      </w:pPr>
      <w:bookmarkStart w:id="666" w:name="_Toc487632715"/>
      <w:bookmarkStart w:id="667" w:name="_Toc373227716"/>
      <w:bookmarkStart w:id="668" w:name="_Toc373478363"/>
      <w:bookmarkStart w:id="669" w:name="_Toc389065282"/>
      <w:bookmarkStart w:id="670" w:name="_Toc407135218"/>
      <w:r>
        <w:rPr>
          <w:rFonts w:hint="eastAsia"/>
          <w:highlight w:val="none"/>
        </w:rPr>
        <w:t>4.4 商定或确定</w:t>
      </w:r>
      <w:bookmarkEnd w:id="666"/>
      <w:bookmarkEnd w:id="667"/>
      <w:bookmarkEnd w:id="668"/>
      <w:bookmarkEnd w:id="669"/>
      <w:bookmarkEnd w:id="670"/>
    </w:p>
    <w:p w14:paraId="190AC760">
      <w:pPr>
        <w:spacing w:line="360" w:lineRule="auto"/>
        <w:ind w:firstLine="420"/>
        <w:rPr>
          <w:rFonts w:hint="eastAsia" w:ascii="宋体" w:hAnsi="宋体" w:cs="宋体"/>
          <w:szCs w:val="21"/>
          <w:highlight w:val="none"/>
        </w:rPr>
      </w:pPr>
      <w:bookmarkStart w:id="671" w:name="_Toc267251418"/>
      <w:r>
        <w:rPr>
          <w:rFonts w:hint="eastAsia" w:ascii="宋体" w:hAnsi="宋体" w:cs="宋体"/>
          <w:szCs w:val="21"/>
          <w:highlight w:val="none"/>
        </w:rPr>
        <w:t>在发包人和</w:t>
      </w:r>
      <w:bookmarkStart w:id="672" w:name="REVIEW_BM_1558"/>
      <w:r>
        <w:rPr>
          <w:rFonts w:hint="eastAsia" w:ascii="宋体" w:hAnsi="宋体" w:cs="宋体"/>
          <w:szCs w:val="21"/>
          <w:highlight w:val="none"/>
        </w:rPr>
        <w:t>承包人</w:t>
      </w:r>
      <w:bookmarkEnd w:id="672"/>
      <w:r>
        <w:rPr>
          <w:rFonts w:hint="eastAsia" w:ascii="宋体" w:hAnsi="宋体" w:cs="宋体"/>
          <w:szCs w:val="21"/>
          <w:highlight w:val="none"/>
        </w:rPr>
        <w:t>不能通过协商达成一致意见时，</w:t>
      </w:r>
      <w:bookmarkStart w:id="673" w:name="REVIEW_BM_1557"/>
      <w:r>
        <w:rPr>
          <w:rFonts w:hint="eastAsia" w:ascii="宋体" w:hAnsi="宋体" w:cs="宋体"/>
          <w:szCs w:val="21"/>
          <w:highlight w:val="none"/>
        </w:rPr>
        <w:t>发包人</w:t>
      </w:r>
      <w:bookmarkEnd w:id="673"/>
      <w:r>
        <w:rPr>
          <w:rFonts w:hint="eastAsia" w:ascii="宋体" w:hAnsi="宋体" w:cs="宋体"/>
          <w:szCs w:val="21"/>
          <w:highlight w:val="none"/>
        </w:rPr>
        <w:t>授权监理人对以下事项进行确定：</w:t>
      </w:r>
    </w:p>
    <w:p w14:paraId="3379BC8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r>
        <w:rPr>
          <w:rFonts w:hint="eastAsia" w:ascii="宋体" w:hAnsi="宋体" w:cs="宋体"/>
          <w:szCs w:val="21"/>
          <w:highlight w:val="none"/>
          <w:u w:val="single"/>
        </w:rPr>
        <w:t xml:space="preserve">   按通用条款执行  </w:t>
      </w:r>
      <w:r>
        <w:rPr>
          <w:rFonts w:hint="eastAsia" w:ascii="宋体" w:hAnsi="宋体" w:cs="宋体"/>
          <w:szCs w:val="21"/>
          <w:highlight w:val="none"/>
        </w:rPr>
        <w:t>；</w:t>
      </w:r>
    </w:p>
    <w:p w14:paraId="6837D24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r>
        <w:rPr>
          <w:rFonts w:hint="eastAsia" w:ascii="宋体" w:hAnsi="宋体" w:cs="宋体"/>
          <w:szCs w:val="21"/>
          <w:highlight w:val="none"/>
          <w:u w:val="single"/>
        </w:rPr>
        <w:t xml:space="preserve">      /      </w:t>
      </w:r>
      <w:r>
        <w:rPr>
          <w:rFonts w:hint="eastAsia" w:ascii="宋体" w:hAnsi="宋体" w:cs="宋体"/>
          <w:szCs w:val="21"/>
          <w:highlight w:val="none"/>
        </w:rPr>
        <w:t>；</w:t>
      </w:r>
    </w:p>
    <w:p w14:paraId="74A9CBB3">
      <w:pPr>
        <w:bidi w:val="0"/>
        <w:ind w:firstLine="420"/>
        <w:rPr>
          <w:rFonts w:hint="eastAsia" w:ascii="宋体" w:hAnsi="宋体" w:cs="宋体"/>
          <w:szCs w:val="21"/>
          <w:highlight w:val="none"/>
        </w:rPr>
      </w:pPr>
      <w:r>
        <w:rPr>
          <w:rFonts w:hint="eastAsia" w:ascii="宋体" w:hAnsi="宋体" w:cs="宋体"/>
          <w:szCs w:val="21"/>
          <w:highlight w:val="none"/>
        </w:rPr>
        <w:t>（3）</w:t>
      </w:r>
      <w:r>
        <w:rPr>
          <w:rFonts w:hint="eastAsia" w:ascii="宋体" w:hAnsi="宋体" w:cs="宋体"/>
          <w:szCs w:val="21"/>
          <w:highlight w:val="none"/>
          <w:u w:val="single"/>
        </w:rPr>
        <w:t xml:space="preserve">      /       </w:t>
      </w:r>
      <w:r>
        <w:rPr>
          <w:rFonts w:hint="eastAsia" w:ascii="宋体" w:hAnsi="宋体" w:cs="宋体"/>
          <w:szCs w:val="21"/>
          <w:highlight w:val="none"/>
        </w:rPr>
        <w:t>。</w:t>
      </w:r>
    </w:p>
    <w:p w14:paraId="458B93D3">
      <w:pPr>
        <w:pStyle w:val="6"/>
        <w:bidi w:val="0"/>
        <w:rPr>
          <w:rFonts w:hint="eastAsia"/>
          <w:sz w:val="21"/>
          <w:szCs w:val="21"/>
          <w:highlight w:val="none"/>
        </w:rPr>
      </w:pPr>
      <w:bookmarkStart w:id="674" w:name="_Toc407135219"/>
      <w:bookmarkStart w:id="675" w:name="_Toc351203637"/>
      <w:bookmarkStart w:id="676" w:name="_Toc389065283"/>
      <w:bookmarkStart w:id="677" w:name="_Toc487632716"/>
      <w:bookmarkStart w:id="678" w:name="_Toc373227717"/>
      <w:bookmarkStart w:id="679" w:name="_Toc373478364"/>
      <w:r>
        <w:rPr>
          <w:rFonts w:hint="eastAsia"/>
          <w:sz w:val="21"/>
          <w:szCs w:val="21"/>
          <w:highlight w:val="none"/>
        </w:rPr>
        <w:t>5</w:t>
      </w:r>
      <w:bookmarkEnd w:id="671"/>
      <w:r>
        <w:rPr>
          <w:rFonts w:hint="eastAsia"/>
          <w:sz w:val="21"/>
          <w:szCs w:val="21"/>
          <w:highlight w:val="none"/>
        </w:rPr>
        <w:t>. 工程质量</w:t>
      </w:r>
      <w:bookmarkEnd w:id="674"/>
      <w:bookmarkEnd w:id="675"/>
      <w:bookmarkEnd w:id="676"/>
      <w:bookmarkEnd w:id="677"/>
      <w:bookmarkEnd w:id="678"/>
      <w:bookmarkEnd w:id="679"/>
    </w:p>
    <w:p w14:paraId="29F43550">
      <w:pPr>
        <w:bidi w:val="0"/>
        <w:rPr>
          <w:rFonts w:hint="eastAsia"/>
          <w:sz w:val="21"/>
          <w:szCs w:val="21"/>
          <w:highlight w:val="none"/>
        </w:rPr>
      </w:pPr>
      <w:bookmarkStart w:id="680" w:name="_Toc373478365"/>
      <w:bookmarkStart w:id="681" w:name="_Toc373227718"/>
      <w:bookmarkStart w:id="682" w:name="_Toc487632717"/>
      <w:bookmarkStart w:id="683" w:name="_Toc407135220"/>
      <w:bookmarkStart w:id="684" w:name="_Toc389065284"/>
      <w:r>
        <w:rPr>
          <w:rFonts w:hint="eastAsia"/>
          <w:sz w:val="21"/>
          <w:szCs w:val="21"/>
          <w:highlight w:val="none"/>
        </w:rPr>
        <w:t>5.1 质量要求</w:t>
      </w:r>
      <w:bookmarkEnd w:id="680"/>
      <w:bookmarkEnd w:id="681"/>
      <w:bookmarkEnd w:id="682"/>
      <w:bookmarkEnd w:id="683"/>
      <w:bookmarkEnd w:id="684"/>
    </w:p>
    <w:p w14:paraId="13D13695">
      <w:pPr>
        <w:spacing w:line="360" w:lineRule="auto"/>
        <w:ind w:firstLine="420"/>
        <w:jc w:val="left"/>
        <w:rPr>
          <w:rFonts w:hint="eastAsia" w:ascii="宋体" w:hAnsi="宋体" w:cs="宋体"/>
          <w:sz w:val="21"/>
          <w:szCs w:val="21"/>
          <w:highlight w:val="none"/>
          <w:u w:val="single"/>
        </w:rPr>
      </w:pPr>
      <w:r>
        <w:rPr>
          <w:rFonts w:hint="eastAsia" w:ascii="宋体" w:hAnsi="宋体" w:cs="宋体"/>
          <w:sz w:val="21"/>
          <w:szCs w:val="21"/>
          <w:highlight w:val="none"/>
        </w:rPr>
        <w:t>5</w:t>
      </w:r>
      <w:bookmarkStart w:id="685" w:name="_Toc303539106"/>
      <w:bookmarkStart w:id="686" w:name="_Toc300934949"/>
      <w:bookmarkStart w:id="687" w:name="_Toc297123496"/>
      <w:bookmarkStart w:id="688" w:name="_Toc297216155"/>
      <w:bookmarkStart w:id="689" w:name="_Toc304295527"/>
      <w:bookmarkStart w:id="690" w:name="_Toc318581164"/>
      <w:bookmarkStart w:id="691" w:name="_Toc312677997"/>
      <w:r>
        <w:rPr>
          <w:rFonts w:hint="eastAsia" w:ascii="宋体" w:hAnsi="宋体" w:cs="宋体"/>
          <w:sz w:val="21"/>
          <w:szCs w:val="21"/>
          <w:highlight w:val="none"/>
        </w:rPr>
        <w:t>.1.1 特殊质量标准和要求：</w:t>
      </w:r>
      <w:r>
        <w:rPr>
          <w:rFonts w:hint="eastAsia" w:ascii="宋体" w:hAnsi="宋体" w:cs="宋体"/>
          <w:sz w:val="21"/>
          <w:szCs w:val="21"/>
          <w:highlight w:val="none"/>
          <w:u w:val="single"/>
        </w:rPr>
        <w:t>满足现行国家验收规范及消防验收规范，达到合格标准。严格执行广西壮族自治区住房和城乡建设厅《关于严格实行房屋建筑和市政基础设施工程质量终身责任承诺、永久性质量责任标牌、终身责任信息档案等制度的通知》(桂建管[2014]96号)要求，落实建设工程质量终身责任</w:t>
      </w:r>
      <w:r>
        <w:rPr>
          <w:rFonts w:hint="eastAsia" w:ascii="宋体" w:hAnsi="宋体" w:cs="宋体"/>
          <w:sz w:val="21"/>
          <w:szCs w:val="21"/>
          <w:highlight w:val="none"/>
        </w:rPr>
        <w:t>。</w:t>
      </w:r>
    </w:p>
    <w:p w14:paraId="2F007A2B">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关于工程奖项的约定：</w:t>
      </w:r>
      <w:r>
        <w:rPr>
          <w:rFonts w:hint="eastAsia" w:ascii="宋体" w:hAnsi="宋体" w:cs="宋体"/>
          <w:sz w:val="21"/>
          <w:szCs w:val="21"/>
          <w:highlight w:val="none"/>
          <w:u w:val="single"/>
        </w:rPr>
        <w:t xml:space="preserve">      无     </w:t>
      </w:r>
      <w:r>
        <w:rPr>
          <w:rFonts w:hint="eastAsia" w:ascii="宋体" w:hAnsi="宋体" w:cs="宋体"/>
          <w:sz w:val="21"/>
          <w:szCs w:val="21"/>
          <w:highlight w:val="none"/>
        </w:rPr>
        <w:t>。</w:t>
      </w:r>
    </w:p>
    <w:p w14:paraId="63BACDD5">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5.3 隐蔽工程检查</w:t>
      </w:r>
    </w:p>
    <w:p w14:paraId="1CD4488D">
      <w:pPr>
        <w:spacing w:line="360" w:lineRule="auto"/>
        <w:ind w:firstLine="420"/>
        <w:jc w:val="left"/>
        <w:rPr>
          <w:rFonts w:hint="eastAsia" w:ascii="宋体" w:hAnsi="宋体" w:cs="宋体"/>
          <w:sz w:val="21"/>
          <w:szCs w:val="21"/>
          <w:highlight w:val="none"/>
          <w:u w:val="single"/>
        </w:rPr>
      </w:pPr>
      <w:r>
        <w:rPr>
          <w:rFonts w:hint="eastAsia" w:ascii="宋体" w:hAnsi="宋体" w:cs="宋体"/>
          <w:sz w:val="21"/>
          <w:szCs w:val="21"/>
          <w:highlight w:val="none"/>
        </w:rPr>
        <w:t>5.3.2</w:t>
      </w:r>
      <w:bookmarkStart w:id="692" w:name="REVIEW_BM_1560"/>
      <w:r>
        <w:rPr>
          <w:rFonts w:hint="eastAsia" w:ascii="宋体" w:hAnsi="宋体" w:cs="宋体"/>
          <w:sz w:val="21"/>
          <w:szCs w:val="21"/>
          <w:highlight w:val="none"/>
        </w:rPr>
        <w:t>承包人</w:t>
      </w:r>
      <w:bookmarkEnd w:id="692"/>
      <w:r>
        <w:rPr>
          <w:rFonts w:hint="eastAsia" w:ascii="宋体" w:hAnsi="宋体" w:cs="宋体"/>
          <w:sz w:val="21"/>
          <w:szCs w:val="21"/>
          <w:highlight w:val="none"/>
        </w:rPr>
        <w:t>提前通知监理人隐蔽工程检查的期限的约定：工程隐蔽或中间验收前12小时以书面形式通知发包人和监理工程师验收的内容、时间、地点，</w:t>
      </w:r>
      <w:bookmarkStart w:id="693" w:name="REVIEW_BM_1561"/>
      <w:r>
        <w:rPr>
          <w:rFonts w:hint="eastAsia" w:ascii="宋体" w:hAnsi="宋体" w:cs="宋体"/>
          <w:sz w:val="21"/>
          <w:szCs w:val="21"/>
          <w:highlight w:val="none"/>
        </w:rPr>
        <w:t>承包人</w:t>
      </w:r>
      <w:bookmarkEnd w:id="693"/>
      <w:r>
        <w:rPr>
          <w:rFonts w:hint="eastAsia" w:ascii="宋体" w:hAnsi="宋体" w:cs="宋体"/>
          <w:sz w:val="21"/>
          <w:szCs w:val="21"/>
          <w:highlight w:val="none"/>
        </w:rPr>
        <w:t>准备验收记录单（最好是印制的表格）由双方签证。验收合格，</w:t>
      </w:r>
      <w:bookmarkStart w:id="694" w:name="REVIEW_BM_1562"/>
      <w:r>
        <w:rPr>
          <w:rFonts w:hint="eastAsia" w:ascii="宋体" w:hAnsi="宋体" w:cs="宋体"/>
          <w:sz w:val="21"/>
          <w:szCs w:val="21"/>
          <w:highlight w:val="none"/>
        </w:rPr>
        <w:t>承包人</w:t>
      </w:r>
      <w:bookmarkEnd w:id="694"/>
      <w:r>
        <w:rPr>
          <w:rFonts w:hint="eastAsia" w:ascii="宋体" w:hAnsi="宋体" w:cs="宋体"/>
          <w:sz w:val="21"/>
          <w:szCs w:val="21"/>
          <w:highlight w:val="none"/>
        </w:rPr>
        <w:t>可进行隐蔽和继续施工；验收不合格，</w:t>
      </w:r>
      <w:bookmarkStart w:id="695" w:name="REVIEW_BM_1559"/>
      <w:r>
        <w:rPr>
          <w:rFonts w:hint="eastAsia" w:ascii="宋体" w:hAnsi="宋体" w:cs="宋体"/>
          <w:sz w:val="21"/>
          <w:szCs w:val="21"/>
          <w:highlight w:val="none"/>
        </w:rPr>
        <w:t>双方商订</w:t>
      </w:r>
      <w:bookmarkEnd w:id="695"/>
      <w:r>
        <w:rPr>
          <w:rFonts w:hint="eastAsia" w:ascii="宋体" w:hAnsi="宋体" w:cs="宋体"/>
          <w:sz w:val="21"/>
          <w:szCs w:val="21"/>
          <w:highlight w:val="none"/>
        </w:rPr>
        <w:t>时限内修改后按上述循序重新验收。</w:t>
      </w:r>
    </w:p>
    <w:p w14:paraId="0B29AE51">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监理人不能按时进行检查时，应提前</w:t>
      </w:r>
      <w:r>
        <w:rPr>
          <w:rFonts w:hint="eastAsia" w:ascii="宋体" w:hAnsi="宋体" w:cs="宋体"/>
          <w:sz w:val="21"/>
          <w:szCs w:val="21"/>
          <w:highlight w:val="none"/>
          <w:u w:val="single"/>
        </w:rPr>
        <w:t xml:space="preserve">   24    </w:t>
      </w:r>
      <w:r>
        <w:rPr>
          <w:rFonts w:hint="eastAsia" w:ascii="宋体" w:hAnsi="宋体" w:cs="宋体"/>
          <w:sz w:val="21"/>
          <w:szCs w:val="21"/>
          <w:highlight w:val="none"/>
        </w:rPr>
        <w:t>小时提交书面延期要求。</w:t>
      </w:r>
    </w:p>
    <w:p w14:paraId="2187943C">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关于延期最长不得超过：</w:t>
      </w:r>
      <w:r>
        <w:rPr>
          <w:rFonts w:hint="eastAsia" w:ascii="宋体" w:hAnsi="宋体" w:cs="宋体"/>
          <w:sz w:val="21"/>
          <w:szCs w:val="21"/>
          <w:highlight w:val="none"/>
          <w:u w:val="single"/>
        </w:rPr>
        <w:t xml:space="preserve">   48    </w:t>
      </w:r>
      <w:r>
        <w:rPr>
          <w:rFonts w:hint="eastAsia" w:ascii="宋体" w:hAnsi="宋体" w:cs="宋体"/>
          <w:sz w:val="21"/>
          <w:szCs w:val="21"/>
          <w:highlight w:val="none"/>
        </w:rPr>
        <w:t>小时。</w:t>
      </w:r>
    </w:p>
    <w:p w14:paraId="1ABEE912">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5.3.3 重新检查</w:t>
      </w:r>
    </w:p>
    <w:p w14:paraId="4904513A">
      <w:pPr>
        <w:spacing w:line="360" w:lineRule="auto"/>
        <w:ind w:firstLine="420"/>
        <w:jc w:val="left"/>
        <w:rPr>
          <w:rFonts w:hint="eastAsia" w:ascii="宋体" w:hAnsi="宋体" w:cs="宋体"/>
          <w:sz w:val="21"/>
          <w:szCs w:val="21"/>
          <w:highlight w:val="none"/>
        </w:rPr>
      </w:pPr>
      <w:bookmarkStart w:id="696" w:name="REVIEW_BM_1565"/>
      <w:r>
        <w:rPr>
          <w:rFonts w:hint="eastAsia" w:ascii="宋体" w:hAnsi="宋体" w:cs="宋体"/>
          <w:sz w:val="21"/>
          <w:szCs w:val="21"/>
          <w:highlight w:val="none"/>
        </w:rPr>
        <w:t>承包人</w:t>
      </w:r>
      <w:bookmarkEnd w:id="696"/>
      <w:r>
        <w:rPr>
          <w:rFonts w:hint="eastAsia" w:ascii="宋体" w:hAnsi="宋体" w:cs="宋体"/>
          <w:sz w:val="21"/>
          <w:szCs w:val="21"/>
          <w:highlight w:val="none"/>
        </w:rPr>
        <w:t>覆盖工程隐蔽部位后，</w:t>
      </w:r>
      <w:bookmarkStart w:id="697" w:name="REVIEW_BM_1563"/>
      <w:r>
        <w:rPr>
          <w:rFonts w:hint="eastAsia" w:ascii="宋体" w:hAnsi="宋体" w:cs="宋体"/>
          <w:sz w:val="21"/>
          <w:szCs w:val="21"/>
          <w:highlight w:val="none"/>
        </w:rPr>
        <w:t>发包人</w:t>
      </w:r>
      <w:bookmarkEnd w:id="697"/>
      <w:r>
        <w:rPr>
          <w:rFonts w:hint="eastAsia" w:ascii="宋体" w:hAnsi="宋体" w:cs="宋体"/>
          <w:sz w:val="21"/>
          <w:szCs w:val="21"/>
          <w:highlight w:val="none"/>
        </w:rPr>
        <w:t>或监理人对质量有疑问的，可要求</w:t>
      </w:r>
      <w:bookmarkStart w:id="698" w:name="REVIEW_BM_1566"/>
      <w:r>
        <w:rPr>
          <w:rFonts w:hint="eastAsia" w:ascii="宋体" w:hAnsi="宋体" w:cs="宋体"/>
          <w:sz w:val="21"/>
          <w:szCs w:val="21"/>
          <w:highlight w:val="none"/>
        </w:rPr>
        <w:t>承包人</w:t>
      </w:r>
      <w:bookmarkEnd w:id="698"/>
      <w:r>
        <w:rPr>
          <w:rFonts w:hint="eastAsia" w:ascii="宋体" w:hAnsi="宋体" w:cs="宋体"/>
          <w:sz w:val="21"/>
          <w:szCs w:val="21"/>
          <w:highlight w:val="none"/>
        </w:rPr>
        <w:t>对已覆盖的部位进行钻孔探测或揭开重新检查，</w:t>
      </w:r>
      <w:bookmarkStart w:id="699" w:name="REVIEW_BM_1567"/>
      <w:r>
        <w:rPr>
          <w:rFonts w:hint="eastAsia" w:ascii="宋体" w:hAnsi="宋体" w:cs="宋体"/>
          <w:sz w:val="21"/>
          <w:szCs w:val="21"/>
          <w:highlight w:val="none"/>
        </w:rPr>
        <w:t>承包人</w:t>
      </w:r>
      <w:bookmarkEnd w:id="699"/>
      <w:r>
        <w:rPr>
          <w:rFonts w:hint="eastAsia" w:ascii="宋体" w:hAnsi="宋体" w:cs="宋体"/>
          <w:sz w:val="21"/>
          <w:szCs w:val="21"/>
          <w:highlight w:val="none"/>
        </w:rPr>
        <w:t>应遵照执行，并在检查后重新覆盖恢复原状。经检查证明工程质量符合合同要求的，由</w:t>
      </w:r>
      <w:bookmarkStart w:id="700" w:name="REVIEW_BM_1564"/>
      <w:r>
        <w:rPr>
          <w:rFonts w:hint="eastAsia" w:ascii="宋体" w:hAnsi="宋体" w:cs="宋体"/>
          <w:sz w:val="21"/>
          <w:szCs w:val="21"/>
          <w:highlight w:val="none"/>
        </w:rPr>
        <w:t>发包人</w:t>
      </w:r>
      <w:bookmarkEnd w:id="700"/>
      <w:r>
        <w:rPr>
          <w:rFonts w:hint="eastAsia" w:ascii="宋体" w:hAnsi="宋体" w:cs="宋体"/>
          <w:sz w:val="21"/>
          <w:szCs w:val="21"/>
          <w:highlight w:val="none"/>
        </w:rPr>
        <w:t>承担由此增加的费用和（或）延误的工期；经检查证明工程质量不符合合同要求的，由此增加的费用和（或）延误的工期由</w:t>
      </w:r>
      <w:bookmarkStart w:id="701" w:name="REVIEW_BM_1568"/>
      <w:r>
        <w:rPr>
          <w:rFonts w:hint="eastAsia" w:ascii="宋体" w:hAnsi="宋体" w:cs="宋体"/>
          <w:sz w:val="21"/>
          <w:szCs w:val="21"/>
          <w:highlight w:val="none"/>
        </w:rPr>
        <w:t>承包人</w:t>
      </w:r>
      <w:bookmarkEnd w:id="701"/>
      <w:r>
        <w:rPr>
          <w:rFonts w:hint="eastAsia" w:ascii="宋体" w:hAnsi="宋体" w:cs="宋体"/>
          <w:sz w:val="21"/>
          <w:szCs w:val="21"/>
          <w:highlight w:val="none"/>
        </w:rPr>
        <w:t>承担。</w:t>
      </w:r>
    </w:p>
    <w:p w14:paraId="3F7707F9">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5.4不合格工程的处理</w:t>
      </w:r>
    </w:p>
    <w:p w14:paraId="550D2884">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5.4.1因</w:t>
      </w:r>
      <w:bookmarkStart w:id="702" w:name="REVIEW_BM_1571"/>
      <w:r>
        <w:rPr>
          <w:rFonts w:hint="eastAsia" w:ascii="宋体" w:hAnsi="宋体" w:cs="宋体"/>
          <w:sz w:val="21"/>
          <w:szCs w:val="21"/>
          <w:highlight w:val="none"/>
        </w:rPr>
        <w:t>承包人</w:t>
      </w:r>
      <w:bookmarkEnd w:id="702"/>
      <w:r>
        <w:rPr>
          <w:rFonts w:hint="eastAsia" w:ascii="宋体" w:hAnsi="宋体" w:cs="宋体"/>
          <w:sz w:val="21"/>
          <w:szCs w:val="21"/>
          <w:highlight w:val="none"/>
        </w:rPr>
        <w:t>原因造成工程不合格的，</w:t>
      </w:r>
      <w:bookmarkStart w:id="703" w:name="REVIEW_BM_1569"/>
      <w:r>
        <w:rPr>
          <w:rFonts w:hint="eastAsia" w:ascii="宋体" w:hAnsi="宋体" w:cs="宋体"/>
          <w:sz w:val="21"/>
          <w:szCs w:val="21"/>
          <w:highlight w:val="none"/>
        </w:rPr>
        <w:t>发包人</w:t>
      </w:r>
      <w:bookmarkEnd w:id="703"/>
      <w:r>
        <w:rPr>
          <w:rFonts w:hint="eastAsia" w:ascii="宋体" w:hAnsi="宋体" w:cs="宋体"/>
          <w:sz w:val="21"/>
          <w:szCs w:val="21"/>
          <w:highlight w:val="none"/>
        </w:rPr>
        <w:t>有权随时要求</w:t>
      </w:r>
      <w:bookmarkStart w:id="704" w:name="REVIEW_BM_1572"/>
      <w:r>
        <w:rPr>
          <w:rFonts w:hint="eastAsia" w:ascii="宋体" w:hAnsi="宋体" w:cs="宋体"/>
          <w:sz w:val="21"/>
          <w:szCs w:val="21"/>
          <w:highlight w:val="none"/>
        </w:rPr>
        <w:t>承包人</w:t>
      </w:r>
      <w:bookmarkEnd w:id="704"/>
      <w:r>
        <w:rPr>
          <w:rFonts w:hint="eastAsia" w:ascii="宋体" w:hAnsi="宋体" w:cs="宋体"/>
          <w:sz w:val="21"/>
          <w:szCs w:val="21"/>
          <w:highlight w:val="none"/>
        </w:rPr>
        <w:t>采取补救措施，直至达到合同要求的质量标准，由此增加的费用和（或）延误的工期由</w:t>
      </w:r>
      <w:bookmarkStart w:id="705" w:name="REVIEW_BM_1573"/>
      <w:r>
        <w:rPr>
          <w:rFonts w:hint="eastAsia" w:ascii="宋体" w:hAnsi="宋体" w:cs="宋体"/>
          <w:sz w:val="21"/>
          <w:szCs w:val="21"/>
          <w:highlight w:val="none"/>
        </w:rPr>
        <w:t>承包人</w:t>
      </w:r>
      <w:bookmarkEnd w:id="705"/>
      <w:r>
        <w:rPr>
          <w:rFonts w:hint="eastAsia" w:ascii="宋体" w:hAnsi="宋体" w:cs="宋体"/>
          <w:sz w:val="21"/>
          <w:szCs w:val="21"/>
          <w:highlight w:val="none"/>
        </w:rPr>
        <w:t>承担，并承担由此给</w:t>
      </w:r>
      <w:bookmarkStart w:id="706" w:name="REVIEW_BM_1570"/>
      <w:r>
        <w:rPr>
          <w:rFonts w:hint="eastAsia" w:ascii="宋体" w:hAnsi="宋体" w:cs="宋体"/>
          <w:sz w:val="21"/>
          <w:szCs w:val="21"/>
          <w:highlight w:val="none"/>
        </w:rPr>
        <w:t>发包人</w:t>
      </w:r>
      <w:bookmarkEnd w:id="706"/>
      <w:r>
        <w:rPr>
          <w:rFonts w:hint="eastAsia" w:ascii="宋体" w:hAnsi="宋体" w:cs="宋体"/>
          <w:sz w:val="21"/>
          <w:szCs w:val="21"/>
          <w:highlight w:val="none"/>
        </w:rPr>
        <w:t xml:space="preserve">造成的损失。无法补救的，按照通用条款第13.2.4项〔拒绝接收全部或部分工程〕约定执行。 </w:t>
      </w:r>
    </w:p>
    <w:p w14:paraId="0E2E48B8">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5.4.2因</w:t>
      </w:r>
      <w:bookmarkStart w:id="707" w:name="REVIEW_BM_1574"/>
      <w:r>
        <w:rPr>
          <w:rFonts w:hint="eastAsia" w:ascii="宋体" w:hAnsi="宋体" w:cs="宋体"/>
          <w:sz w:val="21"/>
          <w:szCs w:val="21"/>
          <w:highlight w:val="none"/>
        </w:rPr>
        <w:t>发包人</w:t>
      </w:r>
      <w:bookmarkEnd w:id="707"/>
      <w:r>
        <w:rPr>
          <w:rFonts w:hint="eastAsia" w:ascii="宋体" w:hAnsi="宋体" w:cs="宋体"/>
          <w:sz w:val="21"/>
          <w:szCs w:val="21"/>
          <w:highlight w:val="none"/>
        </w:rPr>
        <w:t>原因造成工程不合格的，由此增加的费用和（或）延误的工期由</w:t>
      </w:r>
      <w:bookmarkStart w:id="708" w:name="REVIEW_BM_1575"/>
      <w:r>
        <w:rPr>
          <w:rFonts w:hint="eastAsia" w:ascii="宋体" w:hAnsi="宋体" w:cs="宋体"/>
          <w:sz w:val="21"/>
          <w:szCs w:val="21"/>
          <w:highlight w:val="none"/>
        </w:rPr>
        <w:t>发包人</w:t>
      </w:r>
      <w:bookmarkEnd w:id="708"/>
      <w:r>
        <w:rPr>
          <w:rFonts w:hint="eastAsia" w:ascii="宋体" w:hAnsi="宋体" w:cs="宋体"/>
          <w:sz w:val="21"/>
          <w:szCs w:val="21"/>
          <w:highlight w:val="none"/>
        </w:rPr>
        <w:t>承担，但不需要支付</w:t>
      </w:r>
      <w:bookmarkStart w:id="709" w:name="REVIEW_BM_1576"/>
      <w:r>
        <w:rPr>
          <w:rFonts w:hint="eastAsia" w:ascii="宋体" w:hAnsi="宋体" w:cs="宋体"/>
          <w:sz w:val="21"/>
          <w:szCs w:val="21"/>
          <w:highlight w:val="none"/>
        </w:rPr>
        <w:t>承包人</w:t>
      </w:r>
      <w:bookmarkEnd w:id="709"/>
      <w:r>
        <w:rPr>
          <w:rFonts w:hint="eastAsia" w:ascii="宋体" w:hAnsi="宋体" w:cs="宋体"/>
          <w:sz w:val="21"/>
          <w:szCs w:val="21"/>
          <w:highlight w:val="none"/>
        </w:rPr>
        <w:t>合理的利润。</w:t>
      </w:r>
    </w:p>
    <w:p w14:paraId="7C59E693">
      <w:pPr>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5.4.3因</w:t>
      </w:r>
      <w:bookmarkStart w:id="710" w:name="REVIEW_BM_1579"/>
      <w:r>
        <w:rPr>
          <w:rFonts w:hint="eastAsia" w:ascii="宋体" w:hAnsi="宋体" w:cs="宋体"/>
          <w:sz w:val="21"/>
          <w:szCs w:val="21"/>
          <w:highlight w:val="none"/>
        </w:rPr>
        <w:t>承包人</w:t>
      </w:r>
      <w:bookmarkEnd w:id="710"/>
      <w:r>
        <w:rPr>
          <w:rFonts w:hint="eastAsia" w:ascii="宋体" w:hAnsi="宋体" w:cs="宋体"/>
          <w:sz w:val="21"/>
          <w:szCs w:val="21"/>
          <w:highlight w:val="none"/>
        </w:rPr>
        <w:t>未按</w:t>
      </w:r>
      <w:bookmarkStart w:id="711" w:name="REVIEW_BM_1577"/>
      <w:r>
        <w:rPr>
          <w:rFonts w:hint="eastAsia" w:ascii="宋体" w:hAnsi="宋体" w:cs="宋体"/>
          <w:sz w:val="21"/>
          <w:szCs w:val="21"/>
          <w:highlight w:val="none"/>
        </w:rPr>
        <w:t>发包人</w:t>
      </w:r>
      <w:bookmarkEnd w:id="711"/>
      <w:r>
        <w:rPr>
          <w:rFonts w:hint="eastAsia" w:ascii="宋体" w:hAnsi="宋体" w:cs="宋体"/>
          <w:sz w:val="21"/>
          <w:szCs w:val="21"/>
          <w:highlight w:val="none"/>
        </w:rPr>
        <w:t>发函要求的期限内整改完成的，</w:t>
      </w:r>
      <w:bookmarkStart w:id="712" w:name="REVIEW_BM_1578"/>
      <w:r>
        <w:rPr>
          <w:rFonts w:hint="eastAsia" w:ascii="宋体" w:hAnsi="宋体" w:cs="宋体"/>
          <w:sz w:val="21"/>
          <w:szCs w:val="21"/>
          <w:highlight w:val="none"/>
        </w:rPr>
        <w:t>发包人</w:t>
      </w:r>
      <w:bookmarkEnd w:id="712"/>
      <w:r>
        <w:rPr>
          <w:rFonts w:hint="eastAsia" w:ascii="宋体" w:hAnsi="宋体" w:cs="宋体"/>
          <w:sz w:val="21"/>
          <w:szCs w:val="21"/>
          <w:highlight w:val="none"/>
        </w:rPr>
        <w:t>有权另行安排施工队伍进行施工，相关费用从</w:t>
      </w:r>
      <w:bookmarkStart w:id="713" w:name="REVIEW_BM_1580"/>
      <w:r>
        <w:rPr>
          <w:rFonts w:hint="eastAsia" w:ascii="宋体" w:hAnsi="宋体" w:cs="宋体"/>
          <w:sz w:val="21"/>
          <w:szCs w:val="21"/>
          <w:highlight w:val="none"/>
        </w:rPr>
        <w:t>承包人</w:t>
      </w:r>
      <w:bookmarkEnd w:id="713"/>
      <w:r>
        <w:rPr>
          <w:rFonts w:hint="eastAsia" w:ascii="宋体" w:hAnsi="宋体" w:cs="宋体"/>
          <w:sz w:val="21"/>
          <w:szCs w:val="21"/>
          <w:highlight w:val="none"/>
        </w:rPr>
        <w:t>工程款中扣除。</w:t>
      </w:r>
    </w:p>
    <w:p w14:paraId="2979F6BA">
      <w:pPr>
        <w:pStyle w:val="6"/>
        <w:bidi w:val="0"/>
        <w:rPr>
          <w:rFonts w:hint="eastAsia"/>
          <w:sz w:val="21"/>
          <w:szCs w:val="21"/>
          <w:highlight w:val="none"/>
        </w:rPr>
      </w:pPr>
      <w:bookmarkStart w:id="714" w:name="_Toc407135221"/>
      <w:bookmarkStart w:id="715" w:name="_Toc373227719"/>
      <w:bookmarkStart w:id="716" w:name="_Toc389065285"/>
      <w:bookmarkStart w:id="717" w:name="_Toc351203638"/>
      <w:bookmarkStart w:id="718" w:name="_Toc487632718"/>
      <w:bookmarkStart w:id="719" w:name="_Toc373478366"/>
      <w:r>
        <w:rPr>
          <w:rFonts w:hint="eastAsia"/>
          <w:sz w:val="21"/>
          <w:szCs w:val="21"/>
          <w:highlight w:val="none"/>
        </w:rPr>
        <w:t>6. 安全文明施工与环境保护</w:t>
      </w:r>
      <w:bookmarkEnd w:id="714"/>
      <w:bookmarkEnd w:id="715"/>
      <w:bookmarkEnd w:id="716"/>
      <w:bookmarkEnd w:id="717"/>
      <w:bookmarkEnd w:id="718"/>
      <w:bookmarkEnd w:id="719"/>
    </w:p>
    <w:p w14:paraId="042313ED">
      <w:pPr>
        <w:bidi w:val="0"/>
        <w:rPr>
          <w:rFonts w:hint="eastAsia"/>
          <w:highlight w:val="none"/>
        </w:rPr>
      </w:pPr>
      <w:bookmarkStart w:id="720" w:name="_Toc373227720"/>
      <w:bookmarkStart w:id="721" w:name="_Toc373478367"/>
      <w:bookmarkStart w:id="722" w:name="_Toc487632719"/>
      <w:bookmarkStart w:id="723" w:name="_Toc407135222"/>
      <w:bookmarkStart w:id="724" w:name="_Toc389065286"/>
      <w:r>
        <w:rPr>
          <w:rFonts w:hint="eastAsia"/>
          <w:highlight w:val="none"/>
        </w:rPr>
        <w:t>6.1 安全文明施工</w:t>
      </w:r>
      <w:bookmarkEnd w:id="720"/>
      <w:bookmarkEnd w:id="721"/>
      <w:bookmarkEnd w:id="722"/>
      <w:bookmarkEnd w:id="723"/>
      <w:bookmarkEnd w:id="724"/>
    </w:p>
    <w:p w14:paraId="16557E11">
      <w:pPr>
        <w:spacing w:line="360" w:lineRule="auto"/>
        <w:ind w:firstLine="420"/>
        <w:jc w:val="left"/>
        <w:rPr>
          <w:rFonts w:hint="eastAsia" w:ascii="宋体" w:hAnsi="宋体" w:cs="宋体"/>
          <w:szCs w:val="21"/>
          <w:highlight w:val="none"/>
        </w:rPr>
      </w:pPr>
      <w:r>
        <w:rPr>
          <w:rFonts w:hint="eastAsia" w:ascii="宋体" w:hAnsi="宋体" w:cs="宋体"/>
          <w:sz w:val="21"/>
          <w:szCs w:val="21"/>
          <w:highlight w:val="none"/>
        </w:rPr>
        <w:t>6.1.1 项目安全生产的达标目标及相应事项的约定：</w:t>
      </w:r>
      <w:r>
        <w:rPr>
          <w:rFonts w:hint="eastAsia" w:ascii="宋体" w:hAnsi="宋体" w:cs="宋体"/>
          <w:sz w:val="21"/>
          <w:szCs w:val="21"/>
          <w:highlight w:val="none"/>
          <w:u w:val="single"/>
        </w:rPr>
        <w:t xml:space="preserve">  </w:t>
      </w:r>
      <w:bookmarkStart w:id="725" w:name="REVIEW_BM_1582"/>
      <w:r>
        <w:rPr>
          <w:rFonts w:hint="eastAsia" w:ascii="宋体" w:hAnsi="宋体" w:cs="宋体"/>
          <w:sz w:val="21"/>
          <w:szCs w:val="21"/>
          <w:highlight w:val="none"/>
          <w:u w:val="single"/>
        </w:rPr>
        <w:t>承包人</w:t>
      </w:r>
      <w:bookmarkEnd w:id="725"/>
      <w:r>
        <w:rPr>
          <w:rFonts w:hint="eastAsia" w:ascii="宋体" w:hAnsi="宋体" w:cs="宋体"/>
          <w:sz w:val="21"/>
          <w:szCs w:val="21"/>
          <w:highlight w:val="none"/>
          <w:u w:val="single"/>
        </w:rPr>
        <w:t>应遵守工程建设安全生产有关管理规定、规范，严格按《建筑施工安全检查标准》</w:t>
      </w:r>
      <w:r>
        <w:rPr>
          <w:rFonts w:hint="eastAsia" w:ascii="宋体" w:hAnsi="宋体" w:cs="宋体"/>
          <w:szCs w:val="21"/>
          <w:highlight w:val="none"/>
          <w:u w:val="single"/>
        </w:rPr>
        <w:t>（JGJ59-2011）安全标准组织施工，符合《广西壮族自治区建设工程安全文明施工费使用管理细则》（桂建质（2015）16号文）的要求，并随时接受</w:t>
      </w:r>
      <w:bookmarkStart w:id="726" w:name="REVIEW_BM_1581"/>
      <w:r>
        <w:rPr>
          <w:rFonts w:hint="eastAsia" w:ascii="宋体" w:hAnsi="宋体" w:cs="宋体"/>
          <w:szCs w:val="21"/>
          <w:highlight w:val="none"/>
          <w:u w:val="single"/>
        </w:rPr>
        <w:t>发包人</w:t>
      </w:r>
      <w:bookmarkEnd w:id="726"/>
      <w:r>
        <w:rPr>
          <w:rFonts w:hint="eastAsia" w:ascii="宋体" w:hAnsi="宋体" w:cs="宋体"/>
          <w:szCs w:val="21"/>
          <w:highlight w:val="none"/>
          <w:u w:val="single"/>
        </w:rPr>
        <w:t>或行业安全检查人员依法实施的监督检查，采取可靠的安全防护措施，杜绝重大伤亡事故，重伤事故；达到安全文明工地合格要求</w:t>
      </w:r>
      <w:r>
        <w:rPr>
          <w:rFonts w:hint="eastAsia" w:ascii="宋体" w:hAnsi="宋体" w:cs="宋体"/>
          <w:szCs w:val="21"/>
          <w:highlight w:val="none"/>
        </w:rPr>
        <w:t>。由于</w:t>
      </w:r>
      <w:bookmarkStart w:id="727" w:name="REVIEW_BM_1583"/>
      <w:r>
        <w:rPr>
          <w:rFonts w:hint="eastAsia" w:ascii="宋体" w:hAnsi="宋体" w:cs="宋体"/>
          <w:szCs w:val="21"/>
          <w:highlight w:val="none"/>
        </w:rPr>
        <w:t>承包人</w:t>
      </w:r>
      <w:bookmarkEnd w:id="727"/>
      <w:r>
        <w:rPr>
          <w:rFonts w:hint="eastAsia" w:ascii="宋体" w:hAnsi="宋体" w:cs="宋体"/>
          <w:szCs w:val="21"/>
          <w:highlight w:val="none"/>
        </w:rPr>
        <w:t>安全文明施工措施不力造成事故的责任和因此发生的费用，由</w:t>
      </w:r>
      <w:bookmarkStart w:id="728" w:name="REVIEW_BM_1584"/>
      <w:r>
        <w:rPr>
          <w:rFonts w:hint="eastAsia" w:ascii="宋体" w:hAnsi="宋体" w:cs="宋体"/>
          <w:szCs w:val="21"/>
          <w:highlight w:val="none"/>
        </w:rPr>
        <w:t>承包人</w:t>
      </w:r>
      <w:bookmarkEnd w:id="728"/>
      <w:r>
        <w:rPr>
          <w:rFonts w:hint="eastAsia" w:ascii="宋体" w:hAnsi="宋体" w:cs="宋体"/>
          <w:szCs w:val="21"/>
          <w:highlight w:val="none"/>
        </w:rPr>
        <w:t>承担。</w:t>
      </w:r>
    </w:p>
    <w:p w14:paraId="27E730C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关于安全文明施工奖项的约定：</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67FEE28D">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6.1.4 关于治安保卫的特别约定：施工现场的治安保卫工作由</w:t>
      </w:r>
      <w:bookmarkStart w:id="729" w:name="REVIEW_BM_1585"/>
      <w:r>
        <w:rPr>
          <w:rFonts w:hint="eastAsia" w:ascii="宋体" w:hAnsi="宋体" w:cs="宋体"/>
          <w:szCs w:val="21"/>
          <w:highlight w:val="none"/>
        </w:rPr>
        <w:t>承包人</w:t>
      </w:r>
      <w:bookmarkEnd w:id="729"/>
      <w:r>
        <w:rPr>
          <w:rFonts w:hint="eastAsia" w:ascii="宋体" w:hAnsi="宋体" w:cs="宋体"/>
          <w:szCs w:val="21"/>
          <w:highlight w:val="none"/>
        </w:rPr>
        <w:t>负责，统一管理施工场地的治安保卫事项，履行合同工程的治安保卫职责。</w:t>
      </w:r>
      <w:bookmarkStart w:id="730" w:name="REVIEW_BM_1586"/>
      <w:r>
        <w:rPr>
          <w:rFonts w:hint="eastAsia" w:ascii="宋体" w:hAnsi="宋体" w:cs="宋体"/>
          <w:szCs w:val="21"/>
          <w:highlight w:val="none"/>
          <w:u w:val="single"/>
        </w:rPr>
        <w:t>承包人</w:t>
      </w:r>
      <w:bookmarkEnd w:id="730"/>
      <w:r>
        <w:rPr>
          <w:rFonts w:hint="eastAsia" w:ascii="宋体" w:hAnsi="宋体" w:cs="宋体"/>
          <w:szCs w:val="21"/>
          <w:highlight w:val="none"/>
          <w:u w:val="single"/>
        </w:rPr>
        <w:t>应承担施工安全保卫工作及非夜间施工照明的责任，</w:t>
      </w:r>
      <w:bookmarkStart w:id="731" w:name="REVIEW_BM_1587"/>
      <w:r>
        <w:rPr>
          <w:rFonts w:hint="eastAsia" w:ascii="宋体" w:hAnsi="宋体" w:cs="宋体"/>
          <w:szCs w:val="21"/>
          <w:highlight w:val="none"/>
          <w:u w:val="single"/>
        </w:rPr>
        <w:t>承包人</w:t>
      </w:r>
      <w:bookmarkEnd w:id="731"/>
      <w:r>
        <w:rPr>
          <w:rFonts w:hint="eastAsia" w:ascii="宋体" w:hAnsi="宋体" w:cs="宋体"/>
          <w:szCs w:val="21"/>
          <w:highlight w:val="none"/>
          <w:u w:val="single"/>
        </w:rPr>
        <w:t>应采取一切合理的预防措施，防止人员伤亡、财产损失事故，费用由</w:t>
      </w:r>
      <w:bookmarkStart w:id="732" w:name="REVIEW_BM_1588"/>
      <w:r>
        <w:rPr>
          <w:rFonts w:hint="eastAsia" w:ascii="宋体" w:hAnsi="宋体" w:cs="宋体"/>
          <w:szCs w:val="21"/>
          <w:highlight w:val="none"/>
          <w:u w:val="single"/>
        </w:rPr>
        <w:t>承包人</w:t>
      </w:r>
      <w:bookmarkEnd w:id="732"/>
      <w:r>
        <w:rPr>
          <w:rFonts w:hint="eastAsia" w:ascii="宋体" w:hAnsi="宋体" w:cs="宋体"/>
          <w:szCs w:val="21"/>
          <w:highlight w:val="none"/>
          <w:u w:val="single"/>
        </w:rPr>
        <w:t>承担。</w:t>
      </w:r>
      <w:bookmarkStart w:id="733" w:name="REVIEW_BM_1589"/>
      <w:r>
        <w:rPr>
          <w:rFonts w:hint="eastAsia" w:ascii="宋体" w:hAnsi="宋体" w:cs="宋体"/>
          <w:szCs w:val="21"/>
          <w:highlight w:val="none"/>
          <w:u w:val="single"/>
        </w:rPr>
        <w:t>承包人</w:t>
      </w:r>
      <w:bookmarkEnd w:id="733"/>
      <w:r>
        <w:rPr>
          <w:rFonts w:hint="eastAsia" w:ascii="宋体" w:hAnsi="宋体" w:cs="宋体"/>
          <w:szCs w:val="21"/>
          <w:highlight w:val="none"/>
          <w:u w:val="single"/>
        </w:rPr>
        <w:t>生活设施及施工场应自费配备消防设备，防止火灾发生。</w:t>
      </w:r>
    </w:p>
    <w:p w14:paraId="0CD02D8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关于编制施工场地治安管理计划的约定：</w:t>
      </w:r>
      <w:r>
        <w:rPr>
          <w:rFonts w:hint="eastAsia" w:ascii="宋体" w:hAnsi="宋体" w:cs="宋体"/>
          <w:szCs w:val="21"/>
          <w:highlight w:val="none"/>
          <w:u w:val="single"/>
        </w:rPr>
        <w:t xml:space="preserve"> 由</w:t>
      </w:r>
      <w:bookmarkStart w:id="734" w:name="REVIEW_BM_1590"/>
      <w:r>
        <w:rPr>
          <w:rFonts w:hint="eastAsia" w:ascii="宋体" w:hAnsi="宋体" w:cs="宋体"/>
          <w:szCs w:val="21"/>
          <w:highlight w:val="none"/>
          <w:u w:val="single"/>
        </w:rPr>
        <w:t>承包人</w:t>
      </w:r>
      <w:bookmarkEnd w:id="734"/>
      <w:r>
        <w:rPr>
          <w:rFonts w:hint="eastAsia" w:ascii="宋体" w:hAnsi="宋体" w:cs="宋体"/>
          <w:szCs w:val="21"/>
          <w:highlight w:val="none"/>
          <w:u w:val="single"/>
        </w:rPr>
        <w:t>编制</w:t>
      </w:r>
      <w:r>
        <w:rPr>
          <w:rFonts w:hint="eastAsia" w:ascii="宋体" w:hAnsi="宋体" w:cs="宋体"/>
          <w:szCs w:val="21"/>
          <w:highlight w:val="none"/>
          <w:u w:val="single"/>
          <w:lang w:eastAsia="zh-CN"/>
        </w:rPr>
        <w:t>，</w:t>
      </w:r>
      <w:r>
        <w:rPr>
          <w:rFonts w:hint="eastAsia" w:ascii="宋体" w:hAnsi="宋体" w:cs="宋体"/>
          <w:szCs w:val="21"/>
          <w:highlight w:val="none"/>
          <w:u w:val="single"/>
        </w:rPr>
        <w:t>开工前3天提供</w:t>
      </w:r>
      <w:r>
        <w:rPr>
          <w:rFonts w:hint="eastAsia" w:ascii="宋体" w:hAnsi="宋体" w:cs="宋体"/>
          <w:szCs w:val="21"/>
          <w:highlight w:val="none"/>
        </w:rPr>
        <w:t>。</w:t>
      </w:r>
    </w:p>
    <w:p w14:paraId="361C3F6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6.1.5 文明施工</w:t>
      </w:r>
    </w:p>
    <w:p w14:paraId="2204B165">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合同当事人对文明施工的要求：</w:t>
      </w:r>
      <w:r>
        <w:rPr>
          <w:rFonts w:hint="eastAsia" w:ascii="宋体" w:hAnsi="宋体" w:cs="宋体"/>
          <w:szCs w:val="21"/>
          <w:highlight w:val="none"/>
          <w:u w:val="single"/>
        </w:rPr>
        <w:t xml:space="preserve">  严格执行《</w:t>
      </w:r>
      <w:bookmarkStart w:id="735" w:name="REVIEW_BM_1591"/>
      <w:r>
        <w:rPr>
          <w:rFonts w:hint="eastAsia" w:ascii="宋体" w:hAnsi="宋体" w:cs="宋体"/>
          <w:szCs w:val="21"/>
          <w:highlight w:val="none"/>
          <w:u w:val="single"/>
        </w:rPr>
        <w:t>大气污染防治法</w:t>
      </w:r>
      <w:bookmarkEnd w:id="735"/>
      <w:r>
        <w:rPr>
          <w:rFonts w:hint="eastAsia" w:ascii="宋体" w:hAnsi="宋体" w:cs="宋体"/>
          <w:szCs w:val="21"/>
          <w:highlight w:val="none"/>
          <w:u w:val="single"/>
        </w:rPr>
        <w:t>》（主席令第三十一号）、《南宁市建设工程质量和安全生产管理办法》（南宁市政府令第46号）、《关于推进建筑业改革发展提升工程治理水平的若干意见》（南府规【2016】24号）、《南宁市土方作业文明施工工作导则</w:t>
      </w:r>
      <w:bookmarkStart w:id="736" w:name="REVIEW_BM_1592"/>
      <w:r>
        <w:rPr>
          <w:rFonts w:hint="eastAsia" w:ascii="宋体" w:hAnsi="宋体" w:cs="宋体"/>
          <w:szCs w:val="21"/>
          <w:highlight w:val="none"/>
          <w:u w:val="single"/>
        </w:rPr>
        <w:t>》、《</w:t>
      </w:r>
      <w:bookmarkEnd w:id="736"/>
      <w:r>
        <w:rPr>
          <w:rFonts w:hint="eastAsia" w:ascii="宋体" w:hAnsi="宋体" w:cs="宋体"/>
          <w:szCs w:val="21"/>
          <w:highlight w:val="none"/>
          <w:u w:val="single"/>
        </w:rPr>
        <w:t>南宁市建设工程质量安全标准化图集</w:t>
      </w:r>
      <w:bookmarkStart w:id="737" w:name="REVIEW_BM_1593"/>
      <w:r>
        <w:rPr>
          <w:rFonts w:hint="eastAsia" w:ascii="宋体" w:hAnsi="宋体" w:cs="宋体"/>
          <w:szCs w:val="21"/>
          <w:highlight w:val="none"/>
          <w:u w:val="single"/>
        </w:rPr>
        <w:t>》、《</w:t>
      </w:r>
      <w:bookmarkEnd w:id="737"/>
      <w:r>
        <w:rPr>
          <w:rFonts w:hint="eastAsia" w:ascii="宋体" w:hAnsi="宋体" w:cs="宋体"/>
          <w:szCs w:val="21"/>
          <w:highlight w:val="none"/>
          <w:u w:val="single"/>
        </w:rPr>
        <w:t>广西壮族自治区建设工程安全文明施工费使用管理细则》（桂建质【2015】16号）、《南宁市建设工程安全防护、文明施工措施费用管理规定》的有关规定，必须与合法运输企业签订运输合同使用符合密闭规定的合法车辆进行散体物料（建筑渣土、垃圾、砂石等）的运输，同时与辖区卫生防疫、环卫管理部门或有合法资质资格的企业签订病媒生物消杀协议、生活垃圾清运协议、在线远程监控扬尘</w:t>
      </w:r>
      <w:bookmarkStart w:id="738" w:name="REVIEW_BM_1594"/>
      <w:r>
        <w:rPr>
          <w:rFonts w:hint="eastAsia" w:ascii="宋体" w:hAnsi="宋体" w:cs="宋体"/>
          <w:szCs w:val="21"/>
          <w:highlight w:val="none"/>
          <w:u w:val="single"/>
        </w:rPr>
        <w:t>监测</w:t>
      </w:r>
      <w:bookmarkEnd w:id="738"/>
      <w:r>
        <w:rPr>
          <w:rFonts w:hint="eastAsia" w:ascii="宋体" w:hAnsi="宋体" w:cs="宋体"/>
          <w:szCs w:val="21"/>
          <w:highlight w:val="none"/>
          <w:u w:val="single"/>
        </w:rPr>
        <w:t>协议，采取道路硬化、裸土履盖、洗车出门、保洁路口、在线监测、抑尘喷淋等有效措施，确保建设工程各项安全防护、文明施工措施及其费用在工地一线按标准落实到位。</w:t>
      </w:r>
    </w:p>
    <w:p w14:paraId="63232CBE">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1）施工现场须符合有关文明卫生要求；</w:t>
      </w:r>
      <w:bookmarkStart w:id="739" w:name="REVIEW_BM_1598"/>
      <w:r>
        <w:rPr>
          <w:rFonts w:hint="eastAsia" w:ascii="宋体" w:hAnsi="宋体" w:cs="宋体"/>
          <w:szCs w:val="21"/>
          <w:highlight w:val="none"/>
          <w:u w:val="single"/>
        </w:rPr>
        <w:t>承包人</w:t>
      </w:r>
      <w:bookmarkEnd w:id="739"/>
      <w:r>
        <w:rPr>
          <w:rFonts w:hint="eastAsia" w:ascii="宋体" w:hAnsi="宋体" w:cs="宋体"/>
          <w:szCs w:val="21"/>
          <w:highlight w:val="none"/>
          <w:u w:val="single"/>
        </w:rPr>
        <w:t>须在施工过程中严格按施工方案和有关规定做好安全文明工作，如本工程</w:t>
      </w:r>
      <w:bookmarkStart w:id="740" w:name="REVIEW_BM_1599"/>
      <w:r>
        <w:rPr>
          <w:rFonts w:hint="eastAsia" w:ascii="宋体" w:hAnsi="宋体" w:cs="宋体"/>
          <w:szCs w:val="21"/>
          <w:highlight w:val="none"/>
          <w:u w:val="single"/>
        </w:rPr>
        <w:t>承包人</w:t>
      </w:r>
      <w:bookmarkEnd w:id="740"/>
      <w:r>
        <w:rPr>
          <w:rFonts w:hint="eastAsia" w:ascii="宋体" w:hAnsi="宋体" w:cs="宋体"/>
          <w:szCs w:val="21"/>
          <w:highlight w:val="none"/>
          <w:u w:val="single"/>
        </w:rPr>
        <w:t>因工程质量、安全文明等问题受到</w:t>
      </w:r>
      <w:bookmarkStart w:id="741" w:name="REVIEW_BM_1596"/>
      <w:r>
        <w:rPr>
          <w:rFonts w:hint="eastAsia" w:ascii="宋体" w:hAnsi="宋体" w:cs="宋体"/>
          <w:szCs w:val="21"/>
          <w:highlight w:val="none"/>
          <w:u w:val="single"/>
        </w:rPr>
        <w:t>发包人</w:t>
      </w:r>
      <w:bookmarkEnd w:id="741"/>
      <w:r>
        <w:rPr>
          <w:rFonts w:hint="eastAsia" w:ascii="宋体" w:hAnsi="宋体" w:cs="宋体"/>
          <w:szCs w:val="21"/>
          <w:highlight w:val="none"/>
          <w:u w:val="single"/>
        </w:rPr>
        <w:t>、军队质监机构通报或简报批评，</w:t>
      </w:r>
      <w:bookmarkStart w:id="742" w:name="REVIEW_BM_1597"/>
      <w:r>
        <w:rPr>
          <w:rFonts w:hint="eastAsia" w:ascii="宋体" w:hAnsi="宋体" w:cs="宋体"/>
          <w:szCs w:val="21"/>
          <w:highlight w:val="none"/>
          <w:u w:val="single"/>
        </w:rPr>
        <w:t>发包人</w:t>
      </w:r>
      <w:bookmarkEnd w:id="742"/>
      <w:r>
        <w:rPr>
          <w:rFonts w:hint="eastAsia" w:ascii="宋体" w:hAnsi="宋体" w:cs="宋体"/>
          <w:szCs w:val="21"/>
          <w:highlight w:val="none"/>
          <w:u w:val="single"/>
        </w:rPr>
        <w:t>将视情节严重程度对</w:t>
      </w:r>
      <w:bookmarkStart w:id="743" w:name="REVIEW_BM_1600"/>
      <w:r>
        <w:rPr>
          <w:rFonts w:hint="eastAsia" w:ascii="宋体" w:hAnsi="宋体" w:cs="宋体"/>
          <w:szCs w:val="21"/>
          <w:highlight w:val="none"/>
          <w:u w:val="single"/>
        </w:rPr>
        <w:t>承包人</w:t>
      </w:r>
      <w:bookmarkEnd w:id="743"/>
      <w:r>
        <w:rPr>
          <w:rFonts w:hint="eastAsia" w:ascii="宋体" w:hAnsi="宋体" w:cs="宋体"/>
          <w:szCs w:val="21"/>
          <w:highlight w:val="none"/>
          <w:u w:val="single"/>
        </w:rPr>
        <w:t>每次处以罚金2000元（在工程款中扣除）；</w:t>
      </w:r>
      <w:bookmarkStart w:id="744" w:name="REVIEW_BM_1595"/>
      <w:r>
        <w:rPr>
          <w:rFonts w:hint="eastAsia" w:ascii="宋体" w:hAnsi="宋体" w:cs="宋体"/>
          <w:szCs w:val="21"/>
          <w:highlight w:val="none"/>
          <w:u w:val="single"/>
        </w:rPr>
        <w:t>情节严重的</w:t>
      </w:r>
      <w:bookmarkEnd w:id="744"/>
      <w:r>
        <w:rPr>
          <w:rFonts w:hint="eastAsia" w:ascii="宋体" w:hAnsi="宋体" w:cs="宋体"/>
          <w:szCs w:val="21"/>
          <w:highlight w:val="none"/>
          <w:u w:val="single"/>
        </w:rPr>
        <w:t>，将追究刑事责任 。</w:t>
      </w:r>
    </w:p>
    <w:p w14:paraId="2EC827C6">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2）凡进入施工工地现场均须戴安全帽，高空作业必须佩戴安全带，不戴安全帽、带，每发现一人次向</w:t>
      </w:r>
      <w:bookmarkStart w:id="745" w:name="REVIEW_BM_1601"/>
      <w:r>
        <w:rPr>
          <w:rFonts w:hint="eastAsia" w:ascii="宋体" w:hAnsi="宋体" w:cs="宋体"/>
          <w:szCs w:val="21"/>
          <w:highlight w:val="none"/>
          <w:u w:val="single"/>
        </w:rPr>
        <w:t>承包人</w:t>
      </w:r>
      <w:bookmarkEnd w:id="745"/>
      <w:r>
        <w:rPr>
          <w:rFonts w:hint="eastAsia" w:ascii="宋体" w:hAnsi="宋体" w:cs="宋体"/>
          <w:szCs w:val="21"/>
          <w:highlight w:val="none"/>
          <w:u w:val="single"/>
        </w:rPr>
        <w:t>罚款人民币500元；屡教不改将其个人清理出场，主管人员处500元罚款；</w:t>
      </w:r>
    </w:p>
    <w:p w14:paraId="18E41012">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3）凡进入施工工地现场均不得喝酒，每发现一人次向</w:t>
      </w:r>
      <w:bookmarkStart w:id="746" w:name="REVIEW_BM_1602"/>
      <w:r>
        <w:rPr>
          <w:rFonts w:hint="eastAsia" w:ascii="宋体" w:hAnsi="宋体" w:cs="宋体"/>
          <w:szCs w:val="21"/>
          <w:highlight w:val="none"/>
          <w:u w:val="single"/>
        </w:rPr>
        <w:t>承包人</w:t>
      </w:r>
      <w:bookmarkEnd w:id="746"/>
      <w:r>
        <w:rPr>
          <w:rFonts w:hint="eastAsia" w:ascii="宋体" w:hAnsi="宋体" w:cs="宋体"/>
          <w:szCs w:val="21"/>
          <w:highlight w:val="none"/>
          <w:u w:val="single"/>
        </w:rPr>
        <w:t>罚款人民币500元；</w:t>
      </w:r>
    </w:p>
    <w:p w14:paraId="708A3716">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4）</w:t>
      </w:r>
      <w:bookmarkStart w:id="747" w:name="REVIEW_BM_1603"/>
      <w:r>
        <w:rPr>
          <w:rFonts w:hint="eastAsia" w:ascii="宋体" w:hAnsi="宋体" w:cs="宋体"/>
          <w:szCs w:val="21"/>
          <w:highlight w:val="none"/>
          <w:u w:val="single"/>
        </w:rPr>
        <w:t>承包人</w:t>
      </w:r>
      <w:bookmarkEnd w:id="747"/>
      <w:r>
        <w:rPr>
          <w:rFonts w:hint="eastAsia" w:ascii="宋体" w:hAnsi="宋体" w:cs="宋体"/>
          <w:szCs w:val="21"/>
          <w:highlight w:val="none"/>
          <w:u w:val="single"/>
        </w:rPr>
        <w:t>应加强对劳务人员安全文明卫生教育和管理，工地现场不得随地乱倒脏物、脏水和大小便，每发现一人次向</w:t>
      </w:r>
      <w:bookmarkStart w:id="748" w:name="REVIEW_BM_1604"/>
      <w:r>
        <w:rPr>
          <w:rFonts w:hint="eastAsia" w:ascii="宋体" w:hAnsi="宋体" w:cs="宋体"/>
          <w:szCs w:val="21"/>
          <w:highlight w:val="none"/>
          <w:u w:val="single"/>
        </w:rPr>
        <w:t>承包人</w:t>
      </w:r>
      <w:bookmarkEnd w:id="748"/>
      <w:r>
        <w:rPr>
          <w:rFonts w:hint="eastAsia" w:ascii="宋体" w:hAnsi="宋体" w:cs="宋体"/>
          <w:szCs w:val="21"/>
          <w:highlight w:val="none"/>
          <w:u w:val="single"/>
        </w:rPr>
        <w:t>罚款人民币500元；</w:t>
      </w:r>
    </w:p>
    <w:p w14:paraId="36BC3E3F">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5）工地现场材料、设备堆放应根据现场布局要求，整洁、整齐、规范堆放和保存；工地现场不得乱堆乱放，每发现一次向</w:t>
      </w:r>
      <w:bookmarkStart w:id="749" w:name="REVIEW_BM_1605"/>
      <w:r>
        <w:rPr>
          <w:rFonts w:hint="eastAsia" w:ascii="宋体" w:hAnsi="宋体" w:cs="宋体"/>
          <w:szCs w:val="21"/>
          <w:highlight w:val="none"/>
          <w:u w:val="single"/>
        </w:rPr>
        <w:t>承包人</w:t>
      </w:r>
      <w:bookmarkEnd w:id="749"/>
      <w:r>
        <w:rPr>
          <w:rFonts w:hint="eastAsia" w:ascii="宋体" w:hAnsi="宋体" w:cs="宋体"/>
          <w:szCs w:val="21"/>
          <w:highlight w:val="none"/>
          <w:u w:val="single"/>
        </w:rPr>
        <w:t>罚款人民币500元；</w:t>
      </w:r>
    </w:p>
    <w:p w14:paraId="326380F0">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6）</w:t>
      </w:r>
      <w:bookmarkStart w:id="750" w:name="REVIEW_BM_1606"/>
      <w:r>
        <w:rPr>
          <w:rFonts w:hint="eastAsia" w:ascii="宋体" w:hAnsi="宋体" w:cs="宋体"/>
          <w:szCs w:val="21"/>
          <w:highlight w:val="none"/>
          <w:u w:val="single"/>
        </w:rPr>
        <w:t>承包人</w:t>
      </w:r>
      <w:bookmarkEnd w:id="750"/>
      <w:r>
        <w:rPr>
          <w:rFonts w:hint="eastAsia" w:ascii="宋体" w:hAnsi="宋体" w:cs="宋体"/>
          <w:szCs w:val="21"/>
          <w:highlight w:val="none"/>
          <w:u w:val="single"/>
        </w:rPr>
        <w:t>须加强对劳务人员经常性法律法规教育和正常化正规化管理，防止劳务人员之间纠纷、矛盾、打架斗殴等现象发生，每发现一次向</w:t>
      </w:r>
      <w:bookmarkStart w:id="751" w:name="REVIEW_BM_1607"/>
      <w:r>
        <w:rPr>
          <w:rFonts w:hint="eastAsia" w:ascii="宋体" w:hAnsi="宋体" w:cs="宋体"/>
          <w:szCs w:val="21"/>
          <w:highlight w:val="none"/>
          <w:u w:val="single"/>
        </w:rPr>
        <w:t>承包人</w:t>
      </w:r>
      <w:bookmarkEnd w:id="751"/>
      <w:r>
        <w:rPr>
          <w:rFonts w:hint="eastAsia" w:ascii="宋体" w:hAnsi="宋体" w:cs="宋体"/>
          <w:szCs w:val="21"/>
          <w:highlight w:val="none"/>
          <w:u w:val="single"/>
        </w:rPr>
        <w:t>罚款人民币1000元；</w:t>
      </w:r>
    </w:p>
    <w:p w14:paraId="05DD29F8">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7）建筑垃圾应指定区域集中堆放并及时清理外运，不得乱堆乱放或久不清理，每发现一次向</w:t>
      </w:r>
      <w:bookmarkStart w:id="752" w:name="REVIEW_BM_1608"/>
      <w:r>
        <w:rPr>
          <w:rFonts w:hint="eastAsia" w:ascii="宋体" w:hAnsi="宋体" w:cs="宋体"/>
          <w:szCs w:val="21"/>
          <w:highlight w:val="none"/>
          <w:u w:val="single"/>
        </w:rPr>
        <w:t>承包人</w:t>
      </w:r>
      <w:bookmarkEnd w:id="752"/>
      <w:r>
        <w:rPr>
          <w:rFonts w:hint="eastAsia" w:ascii="宋体" w:hAnsi="宋体" w:cs="宋体"/>
          <w:szCs w:val="21"/>
          <w:highlight w:val="none"/>
          <w:u w:val="single"/>
        </w:rPr>
        <w:t>罚款人民币500元；</w:t>
      </w:r>
    </w:p>
    <w:p w14:paraId="195F1902">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8）安全员、电工、机械等技术组人员须持证上岗，且先报监理及</w:t>
      </w:r>
      <w:bookmarkStart w:id="753" w:name="REVIEW_BM_1609"/>
      <w:r>
        <w:rPr>
          <w:rFonts w:hint="eastAsia" w:ascii="宋体" w:hAnsi="宋体" w:cs="宋体"/>
          <w:szCs w:val="21"/>
          <w:highlight w:val="none"/>
          <w:u w:val="single"/>
        </w:rPr>
        <w:t>发包人</w:t>
      </w:r>
      <w:bookmarkEnd w:id="753"/>
      <w:r>
        <w:rPr>
          <w:rFonts w:hint="eastAsia" w:ascii="宋体" w:hAnsi="宋体" w:cs="宋体"/>
          <w:szCs w:val="21"/>
          <w:highlight w:val="none"/>
          <w:u w:val="single"/>
        </w:rPr>
        <w:t>审核，通过后方可进场施工，如发现有违规人员进行施工，处以1000元/人每次罚款。</w:t>
      </w:r>
    </w:p>
    <w:p w14:paraId="35F139DC">
      <w:pPr>
        <w:spacing w:line="360" w:lineRule="auto"/>
        <w:ind w:firstLine="420"/>
        <w:jc w:val="left"/>
        <w:rPr>
          <w:rFonts w:hint="eastAsia" w:ascii="宋体" w:hAnsi="宋体" w:cs="宋体"/>
          <w:szCs w:val="21"/>
          <w:highlight w:val="none"/>
        </w:rPr>
      </w:pPr>
      <w:r>
        <w:rPr>
          <w:rFonts w:hint="eastAsia" w:ascii="宋体" w:hAnsi="宋体" w:cs="宋体"/>
          <w:szCs w:val="21"/>
          <w:highlight w:val="none"/>
          <w:u w:val="single"/>
        </w:rPr>
        <w:t>9）</w:t>
      </w:r>
      <w:bookmarkStart w:id="754" w:name="REVIEW_BM_1613"/>
      <w:r>
        <w:rPr>
          <w:rFonts w:hint="eastAsia" w:ascii="宋体" w:hAnsi="宋体" w:cs="宋体"/>
          <w:szCs w:val="21"/>
          <w:highlight w:val="none"/>
          <w:u w:val="single"/>
        </w:rPr>
        <w:t>承包人</w:t>
      </w:r>
      <w:bookmarkEnd w:id="754"/>
      <w:r>
        <w:rPr>
          <w:rFonts w:hint="eastAsia" w:ascii="宋体" w:hAnsi="宋体" w:cs="宋体"/>
          <w:szCs w:val="21"/>
          <w:highlight w:val="none"/>
          <w:u w:val="single"/>
        </w:rPr>
        <w:t>并教育劳务人员应服从和配合监理人员和</w:t>
      </w:r>
      <w:bookmarkStart w:id="755" w:name="REVIEW_BM_1610"/>
      <w:r>
        <w:rPr>
          <w:rFonts w:hint="eastAsia" w:ascii="宋体" w:hAnsi="宋体" w:cs="宋体"/>
          <w:szCs w:val="21"/>
          <w:highlight w:val="none"/>
          <w:u w:val="single"/>
        </w:rPr>
        <w:t>发包人</w:t>
      </w:r>
      <w:bookmarkEnd w:id="755"/>
      <w:r>
        <w:rPr>
          <w:rFonts w:hint="eastAsia" w:ascii="宋体" w:hAnsi="宋体" w:cs="宋体"/>
          <w:szCs w:val="21"/>
          <w:highlight w:val="none"/>
          <w:u w:val="single"/>
        </w:rPr>
        <w:t>现场管理等人员的管理，不得顶撞、辱骂、抵制监理人员和</w:t>
      </w:r>
      <w:bookmarkStart w:id="756" w:name="REVIEW_BM_1611"/>
      <w:r>
        <w:rPr>
          <w:rFonts w:hint="eastAsia" w:ascii="宋体" w:hAnsi="宋体" w:cs="宋体"/>
          <w:szCs w:val="21"/>
          <w:highlight w:val="none"/>
          <w:u w:val="single"/>
        </w:rPr>
        <w:t>发包人</w:t>
      </w:r>
      <w:bookmarkEnd w:id="756"/>
      <w:r>
        <w:rPr>
          <w:rFonts w:hint="eastAsia" w:ascii="宋体" w:hAnsi="宋体" w:cs="宋体"/>
          <w:szCs w:val="21"/>
          <w:highlight w:val="none"/>
          <w:u w:val="single"/>
        </w:rPr>
        <w:t>现场管理等人员的管理，不得与监理人员和</w:t>
      </w:r>
      <w:bookmarkStart w:id="757" w:name="REVIEW_BM_1612"/>
      <w:r>
        <w:rPr>
          <w:rFonts w:hint="eastAsia" w:ascii="宋体" w:hAnsi="宋体" w:cs="宋体"/>
          <w:szCs w:val="21"/>
          <w:highlight w:val="none"/>
          <w:u w:val="single"/>
        </w:rPr>
        <w:t>发包人</w:t>
      </w:r>
      <w:bookmarkEnd w:id="757"/>
      <w:r>
        <w:rPr>
          <w:rFonts w:hint="eastAsia" w:ascii="宋体" w:hAnsi="宋体" w:cs="宋体"/>
          <w:szCs w:val="21"/>
          <w:highlight w:val="none"/>
          <w:u w:val="single"/>
        </w:rPr>
        <w:t>现场管理等人员发生矛盾、纠纷或更恶劣的行为，每发现一次向</w:t>
      </w:r>
      <w:bookmarkStart w:id="758" w:name="REVIEW_BM_1614"/>
      <w:r>
        <w:rPr>
          <w:rFonts w:hint="eastAsia" w:ascii="宋体" w:hAnsi="宋体" w:cs="宋体"/>
          <w:szCs w:val="21"/>
          <w:highlight w:val="none"/>
          <w:u w:val="single"/>
        </w:rPr>
        <w:t>承包人</w:t>
      </w:r>
      <w:bookmarkEnd w:id="758"/>
      <w:r>
        <w:rPr>
          <w:rFonts w:hint="eastAsia" w:ascii="宋体" w:hAnsi="宋体" w:cs="宋体"/>
          <w:szCs w:val="21"/>
          <w:highlight w:val="none"/>
          <w:u w:val="single"/>
        </w:rPr>
        <w:t>罚款人民币1000元。</w:t>
      </w:r>
    </w:p>
    <w:p w14:paraId="79BD9D3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6.1.6 关于安全文明施工费支付比例和支付期限的约定：</w:t>
      </w:r>
    </w:p>
    <w:p w14:paraId="6672F4C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（1）本合同价款已包含安全文明施工费</w:t>
      </w:r>
      <w:r>
        <w:rPr>
          <w:rFonts w:hint="eastAsia" w:ascii="宋体" w:hAnsi="宋体" w:cs="宋体"/>
          <w:szCs w:val="21"/>
          <w:highlight w:val="none"/>
          <w:u w:val="single"/>
        </w:rPr>
        <w:t xml:space="preserve">           </w:t>
      </w:r>
      <w:r>
        <w:rPr>
          <w:rFonts w:hint="eastAsia" w:ascii="宋体" w:hAnsi="宋体" w:cs="宋体"/>
          <w:szCs w:val="21"/>
          <w:highlight w:val="none"/>
        </w:rPr>
        <w:t>元。</w:t>
      </w:r>
    </w:p>
    <w:p w14:paraId="28B3E1D8">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（2）使用要求：专款专用。具体按</w:t>
      </w:r>
      <w:r>
        <w:rPr>
          <w:rFonts w:hint="eastAsia" w:ascii="宋体" w:hAnsi="宋体" w:cs="宋体"/>
          <w:szCs w:val="21"/>
          <w:highlight w:val="none"/>
          <w:u w:val="single"/>
        </w:rPr>
        <w:t>《广西壮族自治区建设工程安全文明施工费使用管理细则》（桂建质〔2015〕16号）</w:t>
      </w:r>
      <w:r>
        <w:rPr>
          <w:rFonts w:hint="eastAsia" w:ascii="宋体" w:hAnsi="宋体" w:cs="宋体"/>
          <w:szCs w:val="21"/>
          <w:highlight w:val="none"/>
        </w:rPr>
        <w:t>和</w:t>
      </w:r>
      <w:r>
        <w:rPr>
          <w:rFonts w:hint="eastAsia" w:ascii="宋体" w:hAnsi="宋体" w:cs="宋体"/>
          <w:szCs w:val="21"/>
          <w:highlight w:val="none"/>
          <w:u w:val="single"/>
        </w:rPr>
        <w:t xml:space="preserve">   南宁   </w:t>
      </w:r>
      <w:r>
        <w:rPr>
          <w:rFonts w:hint="eastAsia" w:ascii="宋体" w:hAnsi="宋体" w:cs="宋体"/>
          <w:szCs w:val="21"/>
          <w:highlight w:val="none"/>
        </w:rPr>
        <w:t>市相关规定执行。</w:t>
      </w:r>
    </w:p>
    <w:p w14:paraId="10BAEC4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支付约定：在本合同签订后10个工作日内，预付安全文明施工费总额的50%，其余部分与进度款同期支付，安全文明施工费预付款在工程进度款累计金额超过合同价的30%时开始起扣，每月从支付给承包商的工程款内按安全文明预付款占合同总价的同一百分比扣回。</w:t>
      </w:r>
    </w:p>
    <w:p w14:paraId="63C719CB">
      <w:pPr>
        <w:bidi w:val="0"/>
        <w:rPr>
          <w:rFonts w:hint="eastAsia"/>
          <w:highlight w:val="none"/>
        </w:rPr>
      </w:pPr>
      <w:bookmarkStart w:id="759" w:name="_Toc373227721"/>
      <w:bookmarkStart w:id="760" w:name="_Toc389065287"/>
      <w:bookmarkStart w:id="761" w:name="_Toc407135223"/>
      <w:bookmarkStart w:id="762" w:name="_Toc373478368"/>
      <w:bookmarkStart w:id="763" w:name="_Toc487632720"/>
      <w:r>
        <w:rPr>
          <w:rFonts w:hint="eastAsia"/>
          <w:highlight w:val="none"/>
        </w:rPr>
        <w:t>6.3 环境保护</w:t>
      </w:r>
      <w:bookmarkEnd w:id="759"/>
      <w:bookmarkEnd w:id="760"/>
      <w:bookmarkEnd w:id="761"/>
      <w:bookmarkEnd w:id="762"/>
      <w:bookmarkEnd w:id="763"/>
    </w:p>
    <w:p w14:paraId="2BB75E64">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因施工需要，经</w:t>
      </w:r>
      <w:bookmarkStart w:id="764" w:name="REVIEW_BM_1615"/>
      <w:r>
        <w:rPr>
          <w:rFonts w:hint="eastAsia" w:ascii="宋体" w:hAnsi="宋体" w:cs="宋体"/>
          <w:szCs w:val="21"/>
          <w:highlight w:val="none"/>
          <w:u w:val="single"/>
        </w:rPr>
        <w:t>发包人</w:t>
      </w:r>
      <w:bookmarkEnd w:id="764"/>
      <w:r>
        <w:rPr>
          <w:rFonts w:hint="eastAsia" w:ascii="宋体" w:hAnsi="宋体" w:cs="宋体"/>
          <w:szCs w:val="21"/>
          <w:highlight w:val="none"/>
          <w:u w:val="single"/>
        </w:rPr>
        <w:t>批准，由</w:t>
      </w:r>
      <w:bookmarkStart w:id="765" w:name="REVIEW_BM_1616"/>
      <w:r>
        <w:rPr>
          <w:rFonts w:hint="eastAsia" w:ascii="宋体" w:hAnsi="宋体" w:cs="宋体"/>
          <w:szCs w:val="21"/>
          <w:highlight w:val="none"/>
          <w:u w:val="single"/>
        </w:rPr>
        <w:t>承包人</w:t>
      </w:r>
      <w:bookmarkEnd w:id="765"/>
      <w:r>
        <w:rPr>
          <w:rFonts w:hint="eastAsia" w:ascii="宋体" w:hAnsi="宋体" w:cs="宋体"/>
          <w:szCs w:val="21"/>
          <w:highlight w:val="none"/>
          <w:u w:val="single"/>
        </w:rPr>
        <w:t>办理有关施工场地交通、环卫和施工噪音管理等手续，费用由</w:t>
      </w:r>
      <w:bookmarkStart w:id="766" w:name="REVIEW_BM_1617"/>
      <w:r>
        <w:rPr>
          <w:rFonts w:hint="eastAsia" w:ascii="宋体" w:hAnsi="宋体" w:cs="宋体"/>
          <w:szCs w:val="21"/>
          <w:highlight w:val="none"/>
          <w:u w:val="single"/>
        </w:rPr>
        <w:t>承包人</w:t>
      </w:r>
      <w:bookmarkEnd w:id="766"/>
      <w:r>
        <w:rPr>
          <w:rFonts w:hint="eastAsia" w:ascii="宋体" w:hAnsi="宋体" w:cs="宋体"/>
          <w:szCs w:val="21"/>
          <w:highlight w:val="none"/>
          <w:u w:val="single"/>
        </w:rPr>
        <w:t>负责。</w:t>
      </w:r>
    </w:p>
    <w:p w14:paraId="4F9A141D">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经过城市道路的施工车辆，必须按交警、城管、运输等部门相关规定执行。由于施工车辆造成的道路、环境等污染，其责任和费用均由</w:t>
      </w:r>
      <w:bookmarkStart w:id="767" w:name="REVIEW_BM_1618"/>
      <w:r>
        <w:rPr>
          <w:rFonts w:hint="eastAsia" w:ascii="宋体" w:hAnsi="宋体" w:cs="宋体"/>
          <w:szCs w:val="21"/>
          <w:highlight w:val="none"/>
          <w:u w:val="single"/>
        </w:rPr>
        <w:t>承包人</w:t>
      </w:r>
      <w:bookmarkEnd w:id="767"/>
      <w:r>
        <w:rPr>
          <w:rFonts w:hint="eastAsia" w:ascii="宋体" w:hAnsi="宋体" w:cs="宋体"/>
          <w:szCs w:val="21"/>
          <w:highlight w:val="none"/>
          <w:u w:val="single"/>
        </w:rPr>
        <w:t>承担。</w:t>
      </w:r>
      <w:bookmarkEnd w:id="685"/>
      <w:bookmarkEnd w:id="686"/>
      <w:bookmarkEnd w:id="687"/>
      <w:bookmarkEnd w:id="688"/>
      <w:bookmarkEnd w:id="689"/>
      <w:bookmarkEnd w:id="690"/>
      <w:bookmarkEnd w:id="691"/>
    </w:p>
    <w:p w14:paraId="7B3B3A0A">
      <w:pPr>
        <w:pStyle w:val="6"/>
        <w:bidi w:val="0"/>
        <w:rPr>
          <w:rFonts w:hint="eastAsia"/>
          <w:highlight w:val="none"/>
        </w:rPr>
      </w:pPr>
      <w:bookmarkStart w:id="768" w:name="_Toc487632721"/>
      <w:bookmarkStart w:id="769" w:name="_Toc351203639"/>
      <w:bookmarkStart w:id="770" w:name="_Toc407135224"/>
      <w:bookmarkStart w:id="771" w:name="_Toc373227722"/>
      <w:bookmarkStart w:id="772" w:name="_Toc389065288"/>
      <w:bookmarkStart w:id="773" w:name="_Toc373478369"/>
      <w:r>
        <w:rPr>
          <w:rFonts w:hint="eastAsia"/>
          <w:highlight w:val="none"/>
        </w:rPr>
        <w:t>7. 工期和进度</w:t>
      </w:r>
      <w:bookmarkEnd w:id="768"/>
      <w:bookmarkEnd w:id="769"/>
      <w:bookmarkEnd w:id="770"/>
      <w:bookmarkEnd w:id="771"/>
      <w:bookmarkEnd w:id="772"/>
      <w:bookmarkEnd w:id="773"/>
    </w:p>
    <w:p w14:paraId="2137E39A">
      <w:pPr>
        <w:bidi w:val="0"/>
        <w:rPr>
          <w:rFonts w:hint="eastAsia"/>
          <w:highlight w:val="none"/>
        </w:rPr>
      </w:pPr>
      <w:bookmarkStart w:id="774" w:name="_Toc407135225"/>
      <w:bookmarkStart w:id="775" w:name="_Toc389065289"/>
      <w:bookmarkStart w:id="776" w:name="_Toc487632722"/>
      <w:bookmarkStart w:id="777" w:name="_Toc373227723"/>
      <w:bookmarkStart w:id="778" w:name="_Toc373478370"/>
      <w:r>
        <w:rPr>
          <w:rFonts w:hint="eastAsia"/>
          <w:highlight w:val="none"/>
        </w:rPr>
        <w:t>7.1 施工组织设计</w:t>
      </w:r>
      <w:bookmarkEnd w:id="774"/>
      <w:bookmarkEnd w:id="775"/>
      <w:bookmarkEnd w:id="776"/>
      <w:bookmarkEnd w:id="777"/>
      <w:bookmarkEnd w:id="778"/>
    </w:p>
    <w:p w14:paraId="1A0BB489">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7.1.1 合同当事人约定的施工组织设计应包括的其他内容：</w:t>
      </w:r>
      <w:r>
        <w:rPr>
          <w:rFonts w:hint="eastAsia" w:ascii="宋体" w:hAnsi="宋体" w:cs="宋体"/>
          <w:szCs w:val="21"/>
          <w:highlight w:val="none"/>
          <w:u w:val="single"/>
        </w:rPr>
        <w:t xml:space="preserve">  （1）施工组织设计还应包括全部设备、材料、成品、半成品等需求供应进场计划，施工管理机构及劳动力组织，以及施工现场优化布置，危险性</w:t>
      </w:r>
      <w:bookmarkStart w:id="779" w:name="REVIEW_BM_1619"/>
      <w:r>
        <w:rPr>
          <w:rFonts w:hint="eastAsia" w:ascii="宋体" w:hAnsi="宋体" w:cs="宋体"/>
          <w:szCs w:val="21"/>
          <w:highlight w:val="none"/>
          <w:u w:val="single"/>
        </w:rPr>
        <w:t>较大</w:t>
      </w:r>
      <w:bookmarkEnd w:id="779"/>
      <w:r>
        <w:rPr>
          <w:rFonts w:hint="eastAsia" w:ascii="宋体" w:hAnsi="宋体" w:cs="宋体"/>
          <w:szCs w:val="21"/>
          <w:highlight w:val="none"/>
          <w:u w:val="single"/>
        </w:rPr>
        <w:t>的分部分项工程的专项施工方案等。</w:t>
      </w:r>
    </w:p>
    <w:p w14:paraId="240F2EB4">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（2）遇有特殊工艺或施工规范要求需要编制专项施工方案的，</w:t>
      </w:r>
      <w:bookmarkStart w:id="780" w:name="REVIEW_BM_1621"/>
      <w:r>
        <w:rPr>
          <w:rFonts w:hint="eastAsia" w:ascii="宋体" w:hAnsi="宋体" w:cs="宋体"/>
          <w:szCs w:val="21"/>
          <w:highlight w:val="none"/>
          <w:u w:val="single"/>
        </w:rPr>
        <w:t>承包人</w:t>
      </w:r>
      <w:bookmarkEnd w:id="780"/>
      <w:r>
        <w:rPr>
          <w:rFonts w:hint="eastAsia" w:ascii="宋体" w:hAnsi="宋体" w:cs="宋体"/>
          <w:szCs w:val="21"/>
          <w:highlight w:val="none"/>
          <w:u w:val="single"/>
        </w:rPr>
        <w:t>还需编制专项施工方案并提交</w:t>
      </w:r>
      <w:bookmarkStart w:id="781" w:name="REVIEW_BM_1620"/>
      <w:r>
        <w:rPr>
          <w:rFonts w:hint="eastAsia" w:ascii="宋体" w:hAnsi="宋体" w:cs="宋体"/>
          <w:szCs w:val="21"/>
          <w:highlight w:val="none"/>
          <w:u w:val="single"/>
        </w:rPr>
        <w:t>发包人</w:t>
      </w:r>
      <w:bookmarkEnd w:id="781"/>
      <w:r>
        <w:rPr>
          <w:rFonts w:hint="eastAsia" w:ascii="宋体" w:hAnsi="宋体" w:cs="宋体"/>
          <w:szCs w:val="21"/>
          <w:highlight w:val="none"/>
          <w:u w:val="single"/>
        </w:rPr>
        <w:t>及监理人审核书面确认后方能实施。施工组织设计仅作为施工指导文件，不作为工程款结算依据。</w:t>
      </w:r>
    </w:p>
    <w:p w14:paraId="62C4650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7.1.2 施工组织设计的提交和修改</w:t>
      </w:r>
    </w:p>
    <w:p w14:paraId="4CBEC890">
      <w:pPr>
        <w:spacing w:line="360" w:lineRule="auto"/>
        <w:ind w:firstLine="420"/>
        <w:jc w:val="left"/>
        <w:rPr>
          <w:rFonts w:hint="eastAsia" w:ascii="宋体" w:hAnsi="宋体" w:cs="宋体"/>
          <w:szCs w:val="21"/>
          <w:highlight w:val="none"/>
          <w:u w:val="single"/>
        </w:rPr>
      </w:pPr>
      <w:bookmarkStart w:id="782" w:name="REVIEW_BM_1625"/>
      <w:r>
        <w:rPr>
          <w:rFonts w:hint="eastAsia" w:ascii="宋体" w:hAnsi="宋体" w:cs="宋体"/>
          <w:szCs w:val="21"/>
          <w:highlight w:val="none"/>
        </w:rPr>
        <w:t>承包人</w:t>
      </w:r>
      <w:bookmarkEnd w:id="782"/>
      <w:r>
        <w:rPr>
          <w:rFonts w:hint="eastAsia" w:ascii="宋体" w:hAnsi="宋体" w:cs="宋体"/>
          <w:szCs w:val="21"/>
          <w:highlight w:val="none"/>
        </w:rPr>
        <w:t>提交详细施工组织设计的期限的约定：</w:t>
      </w:r>
      <w:r>
        <w:rPr>
          <w:rFonts w:hint="eastAsia" w:ascii="宋体" w:hAnsi="宋体" w:cs="宋体"/>
          <w:szCs w:val="21"/>
          <w:highlight w:val="none"/>
          <w:u w:val="single"/>
        </w:rPr>
        <w:t xml:space="preserve">  合同签订后七天内</w:t>
      </w:r>
      <w:r>
        <w:rPr>
          <w:rFonts w:hint="eastAsia" w:ascii="宋体" w:hAnsi="宋体" w:cs="宋体"/>
          <w:szCs w:val="21"/>
          <w:highlight w:val="none"/>
          <w:u w:val="single"/>
          <w:lang w:eastAsia="zh-CN"/>
        </w:rPr>
        <w:t>，但不得晚于监理人发出开工通知中载明的开工日期前3日，</w:t>
      </w:r>
      <w:bookmarkStart w:id="783" w:name="REVIEW_BM_1626"/>
      <w:r>
        <w:rPr>
          <w:rFonts w:hint="eastAsia" w:ascii="宋体" w:hAnsi="宋体" w:cs="宋体"/>
          <w:szCs w:val="21"/>
          <w:highlight w:val="none"/>
          <w:u w:val="single"/>
          <w:lang w:eastAsia="zh-CN"/>
        </w:rPr>
        <w:t>承包人</w:t>
      </w:r>
      <w:bookmarkEnd w:id="783"/>
      <w:r>
        <w:rPr>
          <w:rFonts w:hint="eastAsia" w:ascii="宋体" w:hAnsi="宋体" w:cs="宋体"/>
          <w:szCs w:val="21"/>
          <w:highlight w:val="none"/>
          <w:u w:val="single"/>
          <w:lang w:eastAsia="zh-CN"/>
        </w:rPr>
        <w:t>应提交详细的施工组织设计，报</w:t>
      </w:r>
      <w:bookmarkStart w:id="784" w:name="REVIEW_BM_1622"/>
      <w:r>
        <w:rPr>
          <w:rFonts w:hint="eastAsia" w:ascii="宋体" w:hAnsi="宋体" w:cs="宋体"/>
          <w:szCs w:val="21"/>
          <w:highlight w:val="none"/>
          <w:u w:val="single"/>
          <w:lang w:eastAsia="zh-CN"/>
        </w:rPr>
        <w:t>发包人</w:t>
      </w:r>
      <w:bookmarkEnd w:id="784"/>
      <w:r>
        <w:rPr>
          <w:rFonts w:hint="eastAsia" w:ascii="宋体" w:hAnsi="宋体" w:cs="宋体"/>
          <w:szCs w:val="21"/>
          <w:highlight w:val="none"/>
          <w:u w:val="single"/>
          <w:lang w:eastAsia="zh-CN"/>
        </w:rPr>
        <w:t>及监理人审批；</w:t>
      </w:r>
      <w:bookmarkStart w:id="785" w:name="REVIEW_BM_1627"/>
      <w:r>
        <w:rPr>
          <w:rFonts w:hint="eastAsia" w:ascii="宋体" w:hAnsi="宋体" w:cs="宋体"/>
          <w:szCs w:val="21"/>
          <w:highlight w:val="none"/>
          <w:u w:val="single"/>
          <w:lang w:eastAsia="zh-CN"/>
        </w:rPr>
        <w:t>承包人</w:t>
      </w:r>
      <w:bookmarkEnd w:id="785"/>
      <w:r>
        <w:rPr>
          <w:rFonts w:hint="eastAsia" w:ascii="宋体" w:hAnsi="宋体" w:cs="宋体"/>
          <w:szCs w:val="21"/>
          <w:highlight w:val="none"/>
          <w:u w:val="single"/>
          <w:lang w:eastAsia="zh-CN"/>
        </w:rPr>
        <w:t>不按时送审符合要求的施工组织设计，造成</w:t>
      </w:r>
      <w:bookmarkStart w:id="786" w:name="REVIEW_BM_1623"/>
      <w:r>
        <w:rPr>
          <w:rFonts w:hint="eastAsia" w:ascii="宋体" w:hAnsi="宋体" w:cs="宋体"/>
          <w:szCs w:val="21"/>
          <w:highlight w:val="none"/>
          <w:u w:val="single"/>
          <w:lang w:eastAsia="zh-CN"/>
        </w:rPr>
        <w:t>发包人</w:t>
      </w:r>
      <w:bookmarkEnd w:id="786"/>
      <w:r>
        <w:rPr>
          <w:rFonts w:hint="eastAsia" w:ascii="宋体" w:hAnsi="宋体" w:cs="宋体"/>
          <w:szCs w:val="21"/>
          <w:highlight w:val="none"/>
          <w:u w:val="single"/>
          <w:lang w:eastAsia="zh-CN"/>
        </w:rPr>
        <w:t>无法判断工程进展顺利与否，</w:t>
      </w:r>
      <w:bookmarkStart w:id="787" w:name="REVIEW_BM_1624"/>
      <w:r>
        <w:rPr>
          <w:rFonts w:hint="eastAsia" w:ascii="宋体" w:hAnsi="宋体" w:cs="宋体"/>
          <w:szCs w:val="21"/>
          <w:highlight w:val="none"/>
          <w:u w:val="single"/>
          <w:lang w:eastAsia="zh-CN"/>
        </w:rPr>
        <w:t>发包人</w:t>
      </w:r>
      <w:bookmarkEnd w:id="787"/>
      <w:r>
        <w:rPr>
          <w:rFonts w:hint="eastAsia" w:ascii="宋体" w:hAnsi="宋体" w:cs="宋体"/>
          <w:szCs w:val="21"/>
          <w:highlight w:val="none"/>
          <w:u w:val="single"/>
          <w:lang w:eastAsia="zh-CN"/>
        </w:rPr>
        <w:t>可拒付相应部分工程进度款，责任由</w:t>
      </w:r>
      <w:bookmarkStart w:id="788" w:name="REVIEW_BM_1628"/>
      <w:r>
        <w:rPr>
          <w:rFonts w:hint="eastAsia" w:ascii="宋体" w:hAnsi="宋体" w:cs="宋体"/>
          <w:szCs w:val="21"/>
          <w:highlight w:val="none"/>
          <w:u w:val="single"/>
          <w:lang w:eastAsia="zh-CN"/>
        </w:rPr>
        <w:t>承包人</w:t>
      </w:r>
      <w:bookmarkEnd w:id="788"/>
      <w:r>
        <w:rPr>
          <w:rFonts w:hint="eastAsia" w:ascii="宋体" w:hAnsi="宋体" w:cs="宋体"/>
          <w:szCs w:val="21"/>
          <w:highlight w:val="none"/>
          <w:u w:val="single"/>
          <w:lang w:eastAsia="zh-CN"/>
        </w:rPr>
        <w:t>承担</w:t>
      </w:r>
      <w:r>
        <w:rPr>
          <w:rFonts w:hint="eastAsia" w:ascii="宋体" w:hAnsi="宋体" w:cs="宋体"/>
          <w:szCs w:val="21"/>
          <w:highlight w:val="none"/>
        </w:rPr>
        <w:t>。</w:t>
      </w:r>
    </w:p>
    <w:p w14:paraId="3EFD578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发包人和监理人在收到详细的施工组织设计后确认或提出修改意见的期限：</w:t>
      </w:r>
      <w:r>
        <w:rPr>
          <w:rFonts w:hint="eastAsia" w:ascii="宋体" w:hAnsi="宋体" w:cs="宋体"/>
          <w:szCs w:val="21"/>
          <w:highlight w:val="none"/>
          <w:u w:val="single"/>
        </w:rPr>
        <w:t xml:space="preserve">  </w:t>
      </w:r>
      <w:bookmarkStart w:id="789" w:name="REVIEW_BM_1629"/>
      <w:r>
        <w:rPr>
          <w:rFonts w:hint="eastAsia" w:ascii="宋体" w:hAnsi="宋体" w:cs="宋体"/>
          <w:szCs w:val="21"/>
          <w:highlight w:val="none"/>
          <w:u w:val="single"/>
        </w:rPr>
        <w:t>发包人</w:t>
      </w:r>
      <w:bookmarkEnd w:id="789"/>
      <w:r>
        <w:rPr>
          <w:rFonts w:hint="eastAsia" w:ascii="宋体" w:hAnsi="宋体" w:cs="宋体"/>
          <w:szCs w:val="21"/>
          <w:highlight w:val="none"/>
          <w:u w:val="single"/>
        </w:rPr>
        <w:t>接到监理报来的详细施工组织设计（各工期接点不得迟于合同工期接点规定）后7日内组织审核批准或提出修改意见</w:t>
      </w:r>
      <w:r>
        <w:rPr>
          <w:rFonts w:hint="eastAsia" w:ascii="宋体" w:hAnsi="宋体" w:cs="宋体"/>
          <w:szCs w:val="21"/>
          <w:highlight w:val="none"/>
        </w:rPr>
        <w:t>。</w:t>
      </w:r>
    </w:p>
    <w:p w14:paraId="722C9496">
      <w:pPr>
        <w:bidi w:val="0"/>
        <w:rPr>
          <w:rFonts w:hint="eastAsia"/>
          <w:highlight w:val="none"/>
        </w:rPr>
      </w:pPr>
      <w:bookmarkStart w:id="790" w:name="_Toc487632723"/>
      <w:bookmarkStart w:id="791" w:name="_Toc407135226"/>
      <w:bookmarkStart w:id="792" w:name="_Toc373478371"/>
      <w:bookmarkStart w:id="793" w:name="_Toc373227724"/>
      <w:bookmarkStart w:id="794" w:name="_Toc389065290"/>
      <w:r>
        <w:rPr>
          <w:rFonts w:hint="eastAsia"/>
          <w:highlight w:val="none"/>
        </w:rPr>
        <w:t>7</w:t>
      </w:r>
      <w:bookmarkStart w:id="795" w:name="_Toc297216173"/>
      <w:bookmarkStart w:id="796" w:name="_Toc312677479"/>
      <w:bookmarkStart w:id="797" w:name="_Toc312678005"/>
      <w:bookmarkStart w:id="798" w:name="_Toc304295541"/>
      <w:bookmarkStart w:id="799" w:name="_Toc297123514"/>
      <w:bookmarkStart w:id="800" w:name="_Toc300934966"/>
      <w:bookmarkStart w:id="801" w:name="_Toc303539123"/>
      <w:r>
        <w:rPr>
          <w:rFonts w:hint="eastAsia"/>
          <w:highlight w:val="none"/>
        </w:rPr>
        <w:t>.2 施工进度计划</w:t>
      </w:r>
      <w:bookmarkEnd w:id="790"/>
      <w:bookmarkEnd w:id="791"/>
      <w:bookmarkEnd w:id="792"/>
      <w:bookmarkEnd w:id="793"/>
      <w:bookmarkEnd w:id="794"/>
    </w:p>
    <w:p w14:paraId="4317EB2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7.2.2 施工进度计划的修订</w:t>
      </w:r>
    </w:p>
    <w:p w14:paraId="2A293112">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发包人和监理人在收到修订的施工进度计划后确认或提出修改意见的期限：</w:t>
      </w:r>
      <w:r>
        <w:rPr>
          <w:rFonts w:hint="eastAsia" w:ascii="宋体" w:hAnsi="宋体" w:cs="宋体"/>
          <w:szCs w:val="21"/>
          <w:highlight w:val="none"/>
          <w:u w:val="single"/>
        </w:rPr>
        <w:t xml:space="preserve">  收到后7天内，逾期视为已认可   </w:t>
      </w:r>
      <w:r>
        <w:rPr>
          <w:rFonts w:hint="eastAsia" w:ascii="宋体" w:hAnsi="宋体" w:cs="宋体"/>
          <w:szCs w:val="21"/>
          <w:highlight w:val="none"/>
        </w:rPr>
        <w:t>。</w:t>
      </w:r>
    </w:p>
    <w:p w14:paraId="609A4973">
      <w:pPr>
        <w:bidi w:val="0"/>
        <w:rPr>
          <w:rFonts w:hint="eastAsia"/>
          <w:highlight w:val="none"/>
        </w:rPr>
      </w:pPr>
      <w:bookmarkStart w:id="802" w:name="_Toc373478372"/>
      <w:bookmarkStart w:id="803" w:name="_Toc407135227"/>
      <w:bookmarkStart w:id="804" w:name="_Toc373227725"/>
      <w:bookmarkStart w:id="805" w:name="_Toc487632724"/>
      <w:bookmarkStart w:id="806" w:name="_Toc389065291"/>
      <w:r>
        <w:rPr>
          <w:rFonts w:hint="eastAsia"/>
          <w:highlight w:val="none"/>
        </w:rPr>
        <w:t>7.3 开工</w:t>
      </w:r>
      <w:bookmarkEnd w:id="802"/>
      <w:bookmarkEnd w:id="803"/>
      <w:bookmarkEnd w:id="804"/>
      <w:bookmarkEnd w:id="805"/>
      <w:bookmarkEnd w:id="806"/>
    </w:p>
    <w:p w14:paraId="3CD4634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7.3.1 开工准备</w:t>
      </w:r>
    </w:p>
    <w:p w14:paraId="2C1D05EA">
      <w:pPr>
        <w:spacing w:line="360" w:lineRule="auto"/>
        <w:ind w:firstLine="426"/>
        <w:jc w:val="left"/>
        <w:rPr>
          <w:rFonts w:hint="eastAsia" w:ascii="宋体" w:hAnsi="宋体" w:cs="宋体"/>
          <w:szCs w:val="21"/>
          <w:highlight w:val="none"/>
          <w:u w:val="single"/>
        </w:rPr>
      </w:pPr>
      <w:r>
        <w:rPr>
          <w:rFonts w:hint="eastAsia" w:ascii="宋体" w:hAnsi="宋体" w:cs="宋体"/>
          <w:szCs w:val="21"/>
          <w:highlight w:val="none"/>
        </w:rPr>
        <w:t>关于</w:t>
      </w:r>
      <w:bookmarkStart w:id="807" w:name="REVIEW_BM_1630"/>
      <w:r>
        <w:rPr>
          <w:rFonts w:hint="eastAsia" w:ascii="宋体" w:hAnsi="宋体" w:cs="宋体"/>
          <w:szCs w:val="21"/>
          <w:highlight w:val="none"/>
        </w:rPr>
        <w:t>承包人</w:t>
      </w:r>
      <w:bookmarkEnd w:id="807"/>
      <w:r>
        <w:rPr>
          <w:rFonts w:hint="eastAsia" w:ascii="宋体" w:hAnsi="宋体" w:cs="宋体"/>
          <w:szCs w:val="21"/>
          <w:highlight w:val="none"/>
        </w:rPr>
        <w:t>提交工程开工报审表的期限：</w:t>
      </w:r>
      <w:r>
        <w:rPr>
          <w:rFonts w:hint="eastAsia" w:ascii="宋体" w:hAnsi="宋体" w:cs="宋体"/>
          <w:szCs w:val="21"/>
          <w:highlight w:val="none"/>
          <w:u w:val="single"/>
        </w:rPr>
        <w:t xml:space="preserve">   开工前7天   </w:t>
      </w:r>
      <w:r>
        <w:rPr>
          <w:rFonts w:hint="eastAsia" w:ascii="宋体" w:hAnsi="宋体" w:cs="宋体"/>
          <w:szCs w:val="21"/>
          <w:highlight w:val="none"/>
        </w:rPr>
        <w:t>。</w:t>
      </w:r>
    </w:p>
    <w:p w14:paraId="0E8E74D8">
      <w:pPr>
        <w:spacing w:line="360" w:lineRule="auto"/>
        <w:ind w:firstLine="426"/>
        <w:jc w:val="left"/>
        <w:rPr>
          <w:rFonts w:hint="eastAsia" w:ascii="宋体" w:hAnsi="宋体" w:cs="宋体"/>
          <w:szCs w:val="21"/>
          <w:highlight w:val="none"/>
          <w:u w:val="single"/>
        </w:rPr>
      </w:pPr>
      <w:r>
        <w:rPr>
          <w:rFonts w:hint="eastAsia" w:ascii="宋体" w:hAnsi="宋体" w:cs="宋体"/>
          <w:szCs w:val="21"/>
          <w:highlight w:val="none"/>
        </w:rPr>
        <w:t>关于</w:t>
      </w:r>
      <w:bookmarkStart w:id="808" w:name="REVIEW_BM_1631"/>
      <w:r>
        <w:rPr>
          <w:rFonts w:hint="eastAsia" w:ascii="宋体" w:hAnsi="宋体" w:cs="宋体"/>
          <w:szCs w:val="21"/>
          <w:highlight w:val="none"/>
        </w:rPr>
        <w:t>发包人</w:t>
      </w:r>
      <w:bookmarkEnd w:id="808"/>
      <w:r>
        <w:rPr>
          <w:rFonts w:hint="eastAsia" w:ascii="宋体" w:hAnsi="宋体" w:cs="宋体"/>
          <w:szCs w:val="21"/>
          <w:highlight w:val="none"/>
        </w:rPr>
        <w:t>应完成的其他开工准备工作及期限：</w:t>
      </w:r>
      <w:r>
        <w:rPr>
          <w:rFonts w:hint="eastAsia" w:ascii="宋体" w:hAnsi="宋体" w:cs="宋体"/>
          <w:szCs w:val="21"/>
          <w:highlight w:val="none"/>
          <w:u w:val="single"/>
        </w:rPr>
        <w:t xml:space="preserve"> ①开工前14天完成施工现场 “三通一平”工作，并满足施工要求；②开工前7天内</w:t>
      </w:r>
      <w:bookmarkStart w:id="809" w:name="REVIEW_BM_1632"/>
      <w:r>
        <w:rPr>
          <w:rFonts w:hint="eastAsia" w:ascii="宋体" w:hAnsi="宋体" w:cs="宋体"/>
          <w:szCs w:val="21"/>
          <w:highlight w:val="none"/>
          <w:u w:val="single"/>
        </w:rPr>
        <w:t>发包人</w:t>
      </w:r>
      <w:bookmarkEnd w:id="809"/>
      <w:r>
        <w:rPr>
          <w:rFonts w:hint="eastAsia" w:ascii="宋体" w:hAnsi="宋体" w:cs="宋体"/>
          <w:szCs w:val="21"/>
          <w:highlight w:val="none"/>
          <w:u w:val="single"/>
        </w:rPr>
        <w:t>确定施工用水、用电接入点； ③按监理核批的施工组织设计，开工前7天内由承包方完成施工临时道路的修建，并承担修建费用</w:t>
      </w:r>
      <w:r>
        <w:rPr>
          <w:rFonts w:hint="eastAsia" w:ascii="宋体" w:hAnsi="宋体" w:cs="宋体"/>
          <w:szCs w:val="21"/>
          <w:highlight w:val="none"/>
          <w:u w:val="single"/>
          <w:lang w:eastAsia="zh-CN"/>
        </w:rPr>
        <w:t>；</w:t>
      </w:r>
      <w:r>
        <w:rPr>
          <w:rFonts w:hint="eastAsia" w:ascii="宋体" w:hAnsi="宋体" w:cs="宋体"/>
          <w:szCs w:val="21"/>
          <w:highlight w:val="none"/>
          <w:u w:val="single"/>
        </w:rPr>
        <w:t>④开工前7天内将工程管线的资料提供给</w:t>
      </w:r>
      <w:bookmarkStart w:id="810" w:name="REVIEW_BM_1636"/>
      <w:r>
        <w:rPr>
          <w:rFonts w:hint="eastAsia" w:ascii="宋体" w:hAnsi="宋体" w:cs="宋体"/>
          <w:szCs w:val="21"/>
          <w:highlight w:val="none"/>
          <w:u w:val="single"/>
        </w:rPr>
        <w:t>承包人</w:t>
      </w:r>
      <w:bookmarkEnd w:id="810"/>
      <w:r>
        <w:rPr>
          <w:rFonts w:hint="eastAsia" w:ascii="宋体" w:hAnsi="宋体" w:cs="宋体"/>
          <w:szCs w:val="21"/>
          <w:highlight w:val="none"/>
          <w:u w:val="single"/>
        </w:rPr>
        <w:t>并确保图纸的准确性、有效性及完整性，如因图纸有误造成的损失由</w:t>
      </w:r>
      <w:bookmarkStart w:id="811" w:name="REVIEW_BM_1633"/>
      <w:r>
        <w:rPr>
          <w:rFonts w:hint="eastAsia" w:ascii="宋体" w:hAnsi="宋体" w:cs="宋体"/>
          <w:szCs w:val="21"/>
          <w:highlight w:val="none"/>
          <w:u w:val="single"/>
        </w:rPr>
        <w:t>发包人</w:t>
      </w:r>
      <w:bookmarkEnd w:id="811"/>
      <w:r>
        <w:rPr>
          <w:rFonts w:hint="eastAsia" w:ascii="宋体" w:hAnsi="宋体" w:cs="宋体"/>
          <w:szCs w:val="21"/>
          <w:highlight w:val="none"/>
          <w:u w:val="single"/>
        </w:rPr>
        <w:t>承担及由此产生的相关费用；⑤开工前7天内由</w:t>
      </w:r>
      <w:bookmarkStart w:id="812" w:name="REVIEW_BM_1634"/>
      <w:r>
        <w:rPr>
          <w:rFonts w:hint="eastAsia" w:ascii="宋体" w:hAnsi="宋体" w:cs="宋体"/>
          <w:szCs w:val="21"/>
          <w:highlight w:val="none"/>
          <w:u w:val="single"/>
        </w:rPr>
        <w:t>发包人</w:t>
      </w:r>
      <w:bookmarkEnd w:id="812"/>
      <w:r>
        <w:rPr>
          <w:rFonts w:hint="eastAsia" w:ascii="宋体" w:hAnsi="宋体" w:cs="宋体"/>
          <w:szCs w:val="21"/>
          <w:highlight w:val="none"/>
          <w:u w:val="single"/>
        </w:rPr>
        <w:t>办理的施工所需证件、批件，因</w:t>
      </w:r>
      <w:bookmarkStart w:id="813" w:name="REVIEW_BM_1635"/>
      <w:r>
        <w:rPr>
          <w:rFonts w:hint="eastAsia" w:ascii="宋体" w:hAnsi="宋体" w:cs="宋体"/>
          <w:szCs w:val="21"/>
          <w:highlight w:val="none"/>
          <w:u w:val="single"/>
        </w:rPr>
        <w:t>发包人</w:t>
      </w:r>
      <w:bookmarkEnd w:id="813"/>
      <w:r>
        <w:rPr>
          <w:rFonts w:hint="eastAsia" w:ascii="宋体" w:hAnsi="宋体" w:cs="宋体"/>
          <w:szCs w:val="21"/>
          <w:highlight w:val="none"/>
          <w:u w:val="single"/>
        </w:rPr>
        <w:t>证件资料不齐全，无法办理导致工程无法顺利进行，工期相应顺延；⑥开工前组织</w:t>
      </w:r>
      <w:bookmarkStart w:id="814" w:name="REVIEW_BM_1637"/>
      <w:r>
        <w:rPr>
          <w:rFonts w:hint="eastAsia" w:ascii="宋体" w:hAnsi="宋体" w:cs="宋体"/>
          <w:szCs w:val="21"/>
          <w:highlight w:val="none"/>
          <w:u w:val="single"/>
        </w:rPr>
        <w:t>承包人</w:t>
      </w:r>
      <w:bookmarkEnd w:id="814"/>
      <w:r>
        <w:rPr>
          <w:rFonts w:hint="eastAsia" w:ascii="宋体" w:hAnsi="宋体" w:cs="宋体"/>
          <w:szCs w:val="21"/>
          <w:highlight w:val="none"/>
          <w:u w:val="single"/>
        </w:rPr>
        <w:t>和设计单位进行图纸会审，并由设计单位向</w:t>
      </w:r>
      <w:bookmarkStart w:id="815" w:name="REVIEW_BM_1638"/>
      <w:r>
        <w:rPr>
          <w:rFonts w:hint="eastAsia" w:ascii="宋体" w:hAnsi="宋体" w:cs="宋体"/>
          <w:szCs w:val="21"/>
          <w:highlight w:val="none"/>
          <w:u w:val="single"/>
        </w:rPr>
        <w:t>承包人</w:t>
      </w:r>
      <w:bookmarkEnd w:id="815"/>
      <w:r>
        <w:rPr>
          <w:rFonts w:hint="eastAsia" w:ascii="宋体" w:hAnsi="宋体" w:cs="宋体"/>
          <w:szCs w:val="21"/>
          <w:highlight w:val="none"/>
          <w:u w:val="single"/>
        </w:rPr>
        <w:t>进行设计交底</w:t>
      </w:r>
      <w:r>
        <w:rPr>
          <w:rFonts w:hint="eastAsia" w:ascii="宋体" w:hAnsi="宋体" w:cs="宋体"/>
          <w:szCs w:val="21"/>
          <w:highlight w:val="none"/>
        </w:rPr>
        <w:t>。</w:t>
      </w:r>
    </w:p>
    <w:p w14:paraId="54B651DB">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关于</w:t>
      </w:r>
      <w:bookmarkStart w:id="816" w:name="REVIEW_BM_1639"/>
      <w:r>
        <w:rPr>
          <w:rFonts w:hint="eastAsia" w:ascii="宋体" w:hAnsi="宋体" w:cs="宋体"/>
          <w:szCs w:val="21"/>
          <w:highlight w:val="none"/>
        </w:rPr>
        <w:t>承包人</w:t>
      </w:r>
      <w:bookmarkEnd w:id="816"/>
      <w:r>
        <w:rPr>
          <w:rFonts w:hint="eastAsia" w:ascii="宋体" w:hAnsi="宋体" w:cs="宋体"/>
          <w:szCs w:val="21"/>
          <w:highlight w:val="none"/>
        </w:rPr>
        <w:t>应完成的其他开工准备工作及期限：</w:t>
      </w:r>
      <w:r>
        <w:rPr>
          <w:rFonts w:hint="eastAsia" w:ascii="宋体" w:hAnsi="宋体" w:cs="宋体"/>
          <w:szCs w:val="21"/>
          <w:highlight w:val="none"/>
          <w:u w:val="single"/>
        </w:rPr>
        <w:t xml:space="preserve"> ①按监理核批的施工组织设计，开工前7天内由承包方完成施工临时道路的修建，并承担修建费用；②施工机械设备、材料进场、人员配备、测量定点放线等工作在开工前7天完成</w:t>
      </w:r>
      <w:r>
        <w:rPr>
          <w:rFonts w:hint="eastAsia" w:ascii="宋体" w:hAnsi="宋体" w:cs="宋体"/>
          <w:szCs w:val="21"/>
          <w:highlight w:val="none"/>
        </w:rPr>
        <w:t>。</w:t>
      </w:r>
    </w:p>
    <w:p w14:paraId="68FCA75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7.3.2 开工通知</w:t>
      </w:r>
    </w:p>
    <w:p w14:paraId="471BF10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因</w:t>
      </w:r>
      <w:bookmarkStart w:id="817" w:name="REVIEW_BM_1640"/>
      <w:r>
        <w:rPr>
          <w:rFonts w:hint="eastAsia" w:ascii="宋体" w:hAnsi="宋体" w:cs="宋体"/>
          <w:szCs w:val="21"/>
          <w:highlight w:val="none"/>
        </w:rPr>
        <w:t>发包人</w:t>
      </w:r>
      <w:bookmarkEnd w:id="817"/>
      <w:r>
        <w:rPr>
          <w:rFonts w:hint="eastAsia" w:ascii="宋体" w:hAnsi="宋体" w:cs="宋体"/>
          <w:szCs w:val="21"/>
          <w:highlight w:val="none"/>
        </w:rPr>
        <w:t>原因造成监理人未能在计划开工日期之日起</w:t>
      </w:r>
      <w:r>
        <w:rPr>
          <w:rFonts w:hint="eastAsia" w:ascii="宋体" w:hAnsi="宋体" w:cs="宋体"/>
          <w:szCs w:val="21"/>
          <w:highlight w:val="none"/>
          <w:u w:val="single"/>
        </w:rPr>
        <w:t xml:space="preserve">  120   </w:t>
      </w:r>
      <w:r>
        <w:rPr>
          <w:rFonts w:hint="eastAsia" w:ascii="宋体" w:hAnsi="宋体" w:cs="宋体"/>
          <w:szCs w:val="21"/>
          <w:highlight w:val="none"/>
        </w:rPr>
        <w:t>天内发出开工通知的，</w:t>
      </w:r>
      <w:bookmarkStart w:id="818" w:name="REVIEW_BM_1641"/>
      <w:r>
        <w:rPr>
          <w:rFonts w:hint="eastAsia" w:ascii="宋体" w:hAnsi="宋体" w:cs="宋体"/>
          <w:szCs w:val="21"/>
          <w:highlight w:val="none"/>
        </w:rPr>
        <w:t>承包人</w:t>
      </w:r>
      <w:bookmarkEnd w:id="818"/>
      <w:r>
        <w:rPr>
          <w:rFonts w:hint="eastAsia" w:ascii="宋体" w:hAnsi="宋体" w:cs="宋体"/>
          <w:szCs w:val="21"/>
          <w:highlight w:val="none"/>
        </w:rPr>
        <w:t>有权提出价格调整要求，或者解除合同。</w:t>
      </w:r>
      <w:bookmarkEnd w:id="795"/>
      <w:bookmarkEnd w:id="796"/>
      <w:bookmarkEnd w:id="797"/>
      <w:bookmarkEnd w:id="798"/>
      <w:bookmarkEnd w:id="799"/>
      <w:bookmarkEnd w:id="800"/>
      <w:bookmarkEnd w:id="801"/>
    </w:p>
    <w:p w14:paraId="731F9EA9">
      <w:pPr>
        <w:bidi w:val="0"/>
        <w:rPr>
          <w:rFonts w:hint="eastAsia"/>
          <w:highlight w:val="none"/>
        </w:rPr>
      </w:pPr>
      <w:bookmarkStart w:id="819" w:name="_Toc373478373"/>
      <w:bookmarkStart w:id="820" w:name="_Toc487632725"/>
      <w:bookmarkStart w:id="821" w:name="_Toc389065292"/>
      <w:bookmarkStart w:id="822" w:name="_Toc407135228"/>
      <w:bookmarkStart w:id="823" w:name="_Toc373227726"/>
      <w:r>
        <w:rPr>
          <w:rFonts w:hint="eastAsia"/>
          <w:highlight w:val="none"/>
        </w:rPr>
        <w:t>7.4 测量放线</w:t>
      </w:r>
      <w:bookmarkEnd w:id="819"/>
      <w:bookmarkEnd w:id="820"/>
      <w:bookmarkEnd w:id="821"/>
      <w:bookmarkEnd w:id="822"/>
      <w:bookmarkEnd w:id="823"/>
    </w:p>
    <w:p w14:paraId="3681B08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7.4.1</w:t>
      </w:r>
      <w:bookmarkStart w:id="824" w:name="REVIEW_BM_1642"/>
      <w:r>
        <w:rPr>
          <w:rFonts w:hint="eastAsia" w:ascii="宋体" w:hAnsi="宋体" w:cs="宋体"/>
          <w:szCs w:val="21"/>
          <w:highlight w:val="none"/>
        </w:rPr>
        <w:t>发包人</w:t>
      </w:r>
      <w:bookmarkEnd w:id="824"/>
      <w:r>
        <w:rPr>
          <w:rFonts w:hint="eastAsia" w:ascii="宋体" w:hAnsi="宋体" w:cs="宋体"/>
          <w:szCs w:val="21"/>
          <w:highlight w:val="none"/>
        </w:rPr>
        <w:t>通过监理人向</w:t>
      </w:r>
      <w:bookmarkStart w:id="825" w:name="REVIEW_BM_1643"/>
      <w:r>
        <w:rPr>
          <w:rFonts w:hint="eastAsia" w:ascii="宋体" w:hAnsi="宋体" w:cs="宋体"/>
          <w:szCs w:val="21"/>
          <w:highlight w:val="none"/>
        </w:rPr>
        <w:t>承包人</w:t>
      </w:r>
      <w:bookmarkEnd w:id="825"/>
      <w:r>
        <w:rPr>
          <w:rFonts w:hint="eastAsia" w:ascii="宋体" w:hAnsi="宋体" w:cs="宋体"/>
          <w:szCs w:val="21"/>
          <w:highlight w:val="none"/>
        </w:rPr>
        <w:t>提供测量基准点、基准线和水准点及其书面资料的期限：</w:t>
      </w:r>
    </w:p>
    <w:p w14:paraId="7165902C">
      <w:pPr>
        <w:spacing w:line="360" w:lineRule="auto"/>
        <w:jc w:val="left"/>
        <w:rPr>
          <w:rFonts w:hint="eastAsia" w:ascii="宋体" w:hAnsi="宋体" w:cs="宋体"/>
          <w:szCs w:val="21"/>
          <w:highlight w:val="none"/>
          <w:u w:val="single"/>
        </w:rPr>
      </w:pP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738DB8CB">
      <w:pPr>
        <w:bidi w:val="0"/>
        <w:rPr>
          <w:rFonts w:hint="eastAsia"/>
          <w:highlight w:val="none"/>
        </w:rPr>
      </w:pPr>
      <w:bookmarkStart w:id="826" w:name="_Toc373227727"/>
      <w:bookmarkStart w:id="827" w:name="_Toc373478374"/>
      <w:bookmarkStart w:id="828" w:name="_Toc487632726"/>
      <w:bookmarkStart w:id="829" w:name="_Toc389065293"/>
      <w:bookmarkStart w:id="830" w:name="_Toc407135229"/>
      <w:r>
        <w:rPr>
          <w:rFonts w:hint="eastAsia"/>
          <w:highlight w:val="none"/>
        </w:rPr>
        <w:t>7</w:t>
      </w:r>
      <w:bookmarkStart w:id="831" w:name="_Toc312678010"/>
      <w:bookmarkStart w:id="832" w:name="_Toc303539125"/>
      <w:bookmarkStart w:id="833" w:name="_Toc297123516"/>
      <w:bookmarkStart w:id="834" w:name="_Toc304295546"/>
      <w:bookmarkStart w:id="835" w:name="_Toc312677484"/>
      <w:bookmarkStart w:id="836" w:name="_Toc300934968"/>
      <w:bookmarkStart w:id="837" w:name="_Toc297216175"/>
      <w:r>
        <w:rPr>
          <w:rFonts w:hint="eastAsia"/>
          <w:highlight w:val="none"/>
        </w:rPr>
        <w:t>.5 工期延误</w:t>
      </w:r>
      <w:bookmarkEnd w:id="826"/>
      <w:bookmarkEnd w:id="827"/>
      <w:bookmarkEnd w:id="828"/>
      <w:bookmarkEnd w:id="829"/>
      <w:bookmarkEnd w:id="830"/>
      <w:bookmarkEnd w:id="831"/>
      <w:bookmarkEnd w:id="832"/>
      <w:bookmarkEnd w:id="833"/>
      <w:bookmarkEnd w:id="834"/>
      <w:bookmarkEnd w:id="835"/>
      <w:bookmarkEnd w:id="836"/>
      <w:bookmarkEnd w:id="837"/>
    </w:p>
    <w:p w14:paraId="5E7E06A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7.5.1 因</w:t>
      </w:r>
      <w:bookmarkStart w:id="838" w:name="REVIEW_BM_1644"/>
      <w:r>
        <w:rPr>
          <w:rFonts w:hint="eastAsia" w:ascii="宋体" w:hAnsi="宋体" w:cs="宋体"/>
          <w:szCs w:val="21"/>
          <w:highlight w:val="none"/>
        </w:rPr>
        <w:t>发包人</w:t>
      </w:r>
      <w:bookmarkEnd w:id="838"/>
      <w:r>
        <w:rPr>
          <w:rFonts w:hint="eastAsia" w:ascii="宋体" w:hAnsi="宋体" w:cs="宋体"/>
          <w:szCs w:val="21"/>
          <w:highlight w:val="none"/>
        </w:rPr>
        <w:t>原因导致工期延误</w:t>
      </w:r>
    </w:p>
    <w:p w14:paraId="07CF89F4">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（7）因</w:t>
      </w:r>
      <w:bookmarkStart w:id="839" w:name="REVIEW_BM_1646"/>
      <w:r>
        <w:rPr>
          <w:rFonts w:hint="eastAsia" w:ascii="宋体" w:hAnsi="宋体" w:cs="宋体"/>
          <w:szCs w:val="21"/>
          <w:highlight w:val="none"/>
        </w:rPr>
        <w:t>发包人</w:t>
      </w:r>
      <w:bookmarkEnd w:id="839"/>
      <w:r>
        <w:rPr>
          <w:rFonts w:hint="eastAsia" w:ascii="宋体" w:hAnsi="宋体" w:cs="宋体"/>
          <w:szCs w:val="21"/>
          <w:highlight w:val="none"/>
        </w:rPr>
        <w:t>原因导致工期延误的其他情形：</w:t>
      </w:r>
      <w:r>
        <w:rPr>
          <w:rFonts w:hint="eastAsia" w:ascii="宋体" w:hAnsi="宋体" w:cs="宋体"/>
          <w:szCs w:val="21"/>
          <w:highlight w:val="none"/>
          <w:u w:val="single"/>
        </w:rPr>
        <w:t>①重大图纸变更影响关</w:t>
      </w:r>
      <w:r>
        <w:rPr>
          <w:rFonts w:hint="eastAsia" w:ascii="宋体" w:hAnsi="宋体" w:cs="宋体"/>
          <w:szCs w:val="21"/>
          <w:highlight w:val="none"/>
          <w:u w:val="single"/>
          <w:lang w:val="en-US" w:eastAsia="zh-CN"/>
        </w:rPr>
        <w:t>键</w:t>
      </w:r>
      <w:r>
        <w:rPr>
          <w:rFonts w:hint="eastAsia" w:ascii="宋体" w:hAnsi="宋体" w:cs="宋体"/>
          <w:szCs w:val="21"/>
          <w:highlight w:val="none"/>
          <w:u w:val="single"/>
        </w:rPr>
        <w:t>线路工序施工；②</w:t>
      </w:r>
      <w:bookmarkStart w:id="840" w:name="REVIEW_BM_1645"/>
      <w:r>
        <w:rPr>
          <w:rFonts w:hint="eastAsia" w:ascii="宋体" w:hAnsi="宋体" w:cs="宋体"/>
          <w:szCs w:val="21"/>
          <w:highlight w:val="none"/>
          <w:u w:val="single"/>
        </w:rPr>
        <w:t>施工期间</w:t>
      </w:r>
      <w:bookmarkEnd w:id="840"/>
      <w:r>
        <w:rPr>
          <w:rFonts w:hint="eastAsia" w:ascii="宋体" w:hAnsi="宋体" w:cs="宋体"/>
          <w:szCs w:val="21"/>
          <w:highlight w:val="none"/>
          <w:u w:val="single"/>
        </w:rPr>
        <w:t>如因停电、停水连续8小时以上或一周内间歇性停水、停电累计8小时（含8小时）影响正常施工的。③政府指令性停工。④在施工过程中遇到地下障碍物、溶洞、岩石、文物或地下管线的。⑤因</w:t>
      </w:r>
      <w:bookmarkStart w:id="841" w:name="REVIEW_BM_1647"/>
      <w:r>
        <w:rPr>
          <w:rFonts w:hint="eastAsia" w:ascii="宋体" w:hAnsi="宋体" w:cs="宋体"/>
          <w:szCs w:val="21"/>
          <w:highlight w:val="none"/>
          <w:u w:val="single"/>
        </w:rPr>
        <w:t>发包人</w:t>
      </w:r>
      <w:bookmarkEnd w:id="841"/>
      <w:r>
        <w:rPr>
          <w:rFonts w:hint="eastAsia" w:ascii="宋体" w:hAnsi="宋体" w:cs="宋体"/>
          <w:szCs w:val="21"/>
          <w:highlight w:val="none"/>
          <w:u w:val="single"/>
        </w:rPr>
        <w:t>未能及时确认变更价格或甲供材料提供延误的。⑥非</w:t>
      </w:r>
      <w:bookmarkStart w:id="842" w:name="REVIEW_BM_1648"/>
      <w:r>
        <w:rPr>
          <w:rFonts w:hint="eastAsia" w:ascii="宋体" w:hAnsi="宋体" w:cs="宋体"/>
          <w:szCs w:val="21"/>
          <w:highlight w:val="none"/>
          <w:u w:val="single"/>
        </w:rPr>
        <w:t>承包人</w:t>
      </w:r>
      <w:bookmarkEnd w:id="842"/>
      <w:r>
        <w:rPr>
          <w:rFonts w:hint="eastAsia" w:ascii="宋体" w:hAnsi="宋体" w:cs="宋体"/>
          <w:szCs w:val="21"/>
          <w:highlight w:val="none"/>
          <w:u w:val="single"/>
        </w:rPr>
        <w:t>的责任造成的工期延误其他情形</w:t>
      </w:r>
      <w:r>
        <w:rPr>
          <w:rFonts w:hint="eastAsia" w:ascii="宋体" w:hAnsi="宋体" w:cs="宋体"/>
          <w:szCs w:val="21"/>
          <w:highlight w:val="none"/>
        </w:rPr>
        <w:t>。</w:t>
      </w:r>
    </w:p>
    <w:p w14:paraId="544059F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w:t>
      </w:r>
      <w:bookmarkStart w:id="843" w:name="_Toc312677486"/>
      <w:bookmarkStart w:id="844" w:name="_Toc318581169"/>
      <w:bookmarkStart w:id="845" w:name="_Toc312678012"/>
      <w:bookmarkStart w:id="846" w:name="_Toc304295548"/>
      <w:bookmarkStart w:id="847" w:name="_Toc300934970"/>
      <w:bookmarkStart w:id="848" w:name="_Toc303539127"/>
      <w:bookmarkStart w:id="849" w:name="_Toc297216177"/>
      <w:bookmarkStart w:id="850" w:name="_Toc297123518"/>
      <w:r>
        <w:rPr>
          <w:rFonts w:hint="eastAsia" w:ascii="宋体" w:hAnsi="宋体" w:cs="宋体"/>
          <w:szCs w:val="21"/>
          <w:highlight w:val="none"/>
        </w:rPr>
        <w:t>.5.2 因</w:t>
      </w:r>
      <w:bookmarkStart w:id="851" w:name="REVIEW_BM_1649"/>
      <w:r>
        <w:rPr>
          <w:rFonts w:hint="eastAsia" w:ascii="宋体" w:hAnsi="宋体" w:cs="宋体"/>
          <w:szCs w:val="21"/>
          <w:highlight w:val="none"/>
        </w:rPr>
        <w:t>承包人</w:t>
      </w:r>
      <w:bookmarkEnd w:id="851"/>
      <w:r>
        <w:rPr>
          <w:rFonts w:hint="eastAsia" w:ascii="宋体" w:hAnsi="宋体" w:cs="宋体"/>
          <w:szCs w:val="21"/>
          <w:highlight w:val="none"/>
        </w:rPr>
        <w:t>原因导致工期延误</w:t>
      </w:r>
      <w:bookmarkEnd w:id="843"/>
      <w:bookmarkEnd w:id="844"/>
      <w:bookmarkEnd w:id="845"/>
    </w:p>
    <w:p w14:paraId="0593011D">
      <w:pPr>
        <w:pStyle w:val="461"/>
        <w:spacing w:line="360" w:lineRule="auto"/>
        <w:ind w:firstLine="420"/>
        <w:jc w:val="left"/>
        <w:rPr>
          <w:rFonts w:hint="eastAsia" w:ascii="宋体" w:hAnsi="宋体" w:cs="宋体"/>
          <w:szCs w:val="21"/>
          <w:highlight w:val="none"/>
        </w:rPr>
      </w:pPr>
      <w:r>
        <w:rPr>
          <w:rFonts w:hint="eastAsia" w:ascii="宋体" w:hAnsi="宋体" w:cs="宋体"/>
          <w:szCs w:val="21"/>
          <w:highlight w:val="none"/>
        </w:rPr>
        <w:t>双方约定经监理工程师确认，工期相应顺延的情况：</w:t>
      </w:r>
    </w:p>
    <w:p w14:paraId="46C1F2FE">
      <w:pPr>
        <w:pStyle w:val="461"/>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 xml:space="preserve"> （1）</w:t>
      </w:r>
      <w:bookmarkStart w:id="852" w:name="REVIEW_BM_1650"/>
      <w:r>
        <w:rPr>
          <w:rFonts w:hint="eastAsia" w:ascii="宋体" w:hAnsi="宋体" w:cs="宋体"/>
          <w:szCs w:val="21"/>
          <w:highlight w:val="none"/>
          <w:u w:val="single"/>
        </w:rPr>
        <w:t>发包人</w:t>
      </w:r>
      <w:bookmarkEnd w:id="852"/>
      <w:r>
        <w:rPr>
          <w:rFonts w:hint="eastAsia" w:ascii="宋体" w:hAnsi="宋体" w:cs="宋体"/>
          <w:szCs w:val="21"/>
          <w:highlight w:val="none"/>
          <w:u w:val="single"/>
        </w:rPr>
        <w:t>未能按专用条款的约定提供图纸或开工条件；</w:t>
      </w:r>
    </w:p>
    <w:p w14:paraId="18C62F2D">
      <w:pPr>
        <w:pStyle w:val="461"/>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（2）</w:t>
      </w:r>
      <w:bookmarkStart w:id="853" w:name="REVIEW_BM_1651"/>
      <w:r>
        <w:rPr>
          <w:rFonts w:hint="eastAsia" w:ascii="宋体" w:hAnsi="宋体" w:cs="宋体"/>
          <w:szCs w:val="21"/>
          <w:highlight w:val="none"/>
          <w:u w:val="single"/>
        </w:rPr>
        <w:t>发包人</w:t>
      </w:r>
      <w:bookmarkEnd w:id="853"/>
      <w:r>
        <w:rPr>
          <w:rFonts w:hint="eastAsia" w:ascii="宋体" w:hAnsi="宋体" w:cs="宋体"/>
          <w:szCs w:val="21"/>
          <w:highlight w:val="none"/>
          <w:u w:val="single"/>
        </w:rPr>
        <w:t>未能按约定日期支付工程预付款、进度款，致使施工不能正常进行；</w:t>
      </w:r>
    </w:p>
    <w:p w14:paraId="1ED76C4F">
      <w:pPr>
        <w:pStyle w:val="461"/>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（3）工程师未按合同约定提供所需指令、批准等，致使施工不能正常进行；</w:t>
      </w:r>
    </w:p>
    <w:p w14:paraId="57DE0C23">
      <w:pPr>
        <w:pStyle w:val="461"/>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（4）重大设计变更和工程量比招标清单工程量增加的；</w:t>
      </w:r>
    </w:p>
    <w:p w14:paraId="284753EA">
      <w:pPr>
        <w:pStyle w:val="461"/>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u w:val="single"/>
        </w:rPr>
        <w:t>（5）不可抗力；</w:t>
      </w:r>
    </w:p>
    <w:p w14:paraId="0240EC5C">
      <w:pPr>
        <w:spacing w:line="360" w:lineRule="auto"/>
        <w:ind w:firstLine="420"/>
        <w:jc w:val="left"/>
        <w:rPr>
          <w:rFonts w:hint="eastAsia" w:ascii="宋体" w:hAnsi="宋体" w:cs="宋体"/>
          <w:szCs w:val="21"/>
          <w:highlight w:val="none"/>
        </w:rPr>
      </w:pPr>
      <w:r>
        <w:rPr>
          <w:rFonts w:hint="eastAsia" w:ascii="宋体" w:hAnsi="宋体" w:cs="宋体"/>
          <w:szCs w:val="21"/>
          <w:highlight w:val="none"/>
          <w:u w:val="single"/>
        </w:rPr>
        <w:t>（6）非</w:t>
      </w:r>
      <w:bookmarkStart w:id="854" w:name="REVIEW_BM_1652"/>
      <w:r>
        <w:rPr>
          <w:rFonts w:hint="eastAsia" w:ascii="宋体" w:hAnsi="宋体" w:cs="宋体"/>
          <w:szCs w:val="21"/>
          <w:highlight w:val="none"/>
          <w:u w:val="single"/>
        </w:rPr>
        <w:t>承包人</w:t>
      </w:r>
      <w:bookmarkEnd w:id="854"/>
      <w:r>
        <w:rPr>
          <w:rFonts w:hint="eastAsia" w:ascii="宋体" w:hAnsi="宋体" w:cs="宋体"/>
          <w:szCs w:val="21"/>
          <w:highlight w:val="none"/>
          <w:u w:val="single"/>
        </w:rPr>
        <w:t xml:space="preserve">原因造成的工期延误或工程师同意工期顺延的其他情况   </w:t>
      </w:r>
      <w:r>
        <w:rPr>
          <w:rFonts w:hint="eastAsia" w:ascii="宋体" w:hAnsi="宋体" w:cs="宋体"/>
          <w:szCs w:val="21"/>
          <w:highlight w:val="none"/>
        </w:rPr>
        <w:t>。</w:t>
      </w:r>
    </w:p>
    <w:p w14:paraId="21AA0AC8">
      <w:pPr>
        <w:spacing w:line="360" w:lineRule="auto"/>
        <w:ind w:firstLine="420"/>
        <w:jc w:val="left"/>
        <w:rPr>
          <w:rFonts w:hint="eastAsia" w:ascii="宋体" w:hAnsi="宋体" w:cs="宋体"/>
          <w:szCs w:val="21"/>
          <w:highlight w:val="none"/>
        </w:rPr>
      </w:pPr>
      <w:bookmarkStart w:id="855" w:name="REVIEW_BM_1654"/>
      <w:r>
        <w:rPr>
          <w:rFonts w:hint="eastAsia" w:ascii="宋体" w:hAnsi="宋体" w:cs="宋体"/>
          <w:szCs w:val="21"/>
          <w:highlight w:val="none"/>
          <w:u w:val="single"/>
        </w:rPr>
        <w:t>承包人</w:t>
      </w:r>
      <w:bookmarkEnd w:id="855"/>
      <w:r>
        <w:rPr>
          <w:rFonts w:hint="eastAsia" w:ascii="宋体" w:hAnsi="宋体" w:cs="宋体"/>
          <w:szCs w:val="21"/>
          <w:highlight w:val="none"/>
          <w:u w:val="single"/>
        </w:rPr>
        <w:t>在以上情况发生后14天内，应就延误的工期以书面形式向工程师提出报告。</w:t>
      </w:r>
      <w:bookmarkStart w:id="856" w:name="REVIEW_BM_1655"/>
      <w:r>
        <w:rPr>
          <w:rFonts w:hint="eastAsia" w:ascii="宋体" w:hAnsi="宋体" w:cs="宋体"/>
          <w:szCs w:val="21"/>
          <w:highlight w:val="none"/>
          <w:u w:val="single"/>
        </w:rPr>
        <w:t>承包人</w:t>
      </w:r>
      <w:bookmarkEnd w:id="856"/>
      <w:r>
        <w:rPr>
          <w:rFonts w:hint="eastAsia" w:ascii="宋体" w:hAnsi="宋体" w:cs="宋体"/>
          <w:szCs w:val="21"/>
          <w:highlight w:val="none"/>
          <w:u w:val="single"/>
        </w:rPr>
        <w:t>14天内没有提出延误工期报告的，工程师则不予签证顺延工期。工程师在收到报告后28天内将审核意见报经</w:t>
      </w:r>
      <w:bookmarkStart w:id="857" w:name="REVIEW_BM_1653"/>
      <w:r>
        <w:rPr>
          <w:rFonts w:hint="eastAsia" w:ascii="宋体" w:hAnsi="宋体" w:cs="宋体"/>
          <w:szCs w:val="21"/>
          <w:highlight w:val="none"/>
          <w:u w:val="single"/>
        </w:rPr>
        <w:t>发包人</w:t>
      </w:r>
      <w:bookmarkEnd w:id="857"/>
      <w:r>
        <w:rPr>
          <w:rFonts w:hint="eastAsia" w:ascii="宋体" w:hAnsi="宋体" w:cs="宋体"/>
          <w:szCs w:val="21"/>
          <w:highlight w:val="none"/>
          <w:u w:val="single"/>
        </w:rPr>
        <w:t>批准并将决定通知</w:t>
      </w:r>
      <w:bookmarkStart w:id="858" w:name="REVIEW_BM_1656"/>
      <w:r>
        <w:rPr>
          <w:rFonts w:hint="eastAsia" w:ascii="宋体" w:hAnsi="宋体" w:cs="宋体"/>
          <w:szCs w:val="21"/>
          <w:highlight w:val="none"/>
          <w:u w:val="single"/>
        </w:rPr>
        <w:t>承包人</w:t>
      </w:r>
      <w:bookmarkEnd w:id="858"/>
      <w:r>
        <w:rPr>
          <w:rFonts w:hint="eastAsia" w:ascii="宋体" w:hAnsi="宋体" w:cs="宋体"/>
          <w:szCs w:val="21"/>
          <w:highlight w:val="none"/>
          <w:u w:val="single"/>
        </w:rPr>
        <w:t>，或要求</w:t>
      </w:r>
      <w:bookmarkStart w:id="859" w:name="REVIEW_BM_1657"/>
      <w:r>
        <w:rPr>
          <w:rFonts w:hint="eastAsia" w:ascii="宋体" w:hAnsi="宋体" w:cs="宋体"/>
          <w:szCs w:val="21"/>
          <w:highlight w:val="none"/>
          <w:u w:val="single"/>
        </w:rPr>
        <w:t>承包人</w:t>
      </w:r>
      <w:bookmarkEnd w:id="859"/>
      <w:r>
        <w:rPr>
          <w:rFonts w:hint="eastAsia" w:ascii="宋体" w:hAnsi="宋体" w:cs="宋体"/>
          <w:szCs w:val="21"/>
          <w:highlight w:val="none"/>
          <w:u w:val="single"/>
        </w:rPr>
        <w:t xml:space="preserve">进一步补充延期的理由。逾期不予确认也不提出修改意见，视为同意顺延工期 </w:t>
      </w:r>
      <w:r>
        <w:rPr>
          <w:rFonts w:hint="eastAsia" w:ascii="宋体" w:hAnsi="宋体" w:cs="宋体"/>
          <w:szCs w:val="21"/>
          <w:highlight w:val="none"/>
        </w:rPr>
        <w:t>。</w:t>
      </w:r>
    </w:p>
    <w:p w14:paraId="0CD532DE">
      <w:pPr>
        <w:spacing w:line="360" w:lineRule="auto"/>
        <w:ind w:firstLine="420"/>
        <w:jc w:val="left"/>
        <w:rPr>
          <w:rFonts w:hint="eastAsia" w:ascii="宋体" w:hAnsi="宋体" w:cs="宋体"/>
          <w:szCs w:val="21"/>
          <w:highlight w:val="none"/>
        </w:rPr>
      </w:pPr>
      <w:bookmarkStart w:id="860" w:name="REVIEW_BM_1659"/>
      <w:r>
        <w:rPr>
          <w:rFonts w:hint="eastAsia" w:ascii="宋体" w:hAnsi="宋体" w:cs="宋体"/>
          <w:szCs w:val="21"/>
          <w:highlight w:val="none"/>
        </w:rPr>
        <w:t>承包人</w:t>
      </w:r>
      <w:bookmarkEnd w:id="860"/>
      <w:r>
        <w:rPr>
          <w:rFonts w:hint="eastAsia" w:ascii="宋体" w:hAnsi="宋体" w:cs="宋体"/>
          <w:szCs w:val="21"/>
          <w:highlight w:val="none"/>
        </w:rPr>
        <w:t>不得以</w:t>
      </w:r>
      <w:bookmarkStart w:id="861" w:name="REVIEW_BM_1658"/>
      <w:r>
        <w:rPr>
          <w:rFonts w:hint="eastAsia" w:ascii="宋体" w:hAnsi="宋体" w:cs="宋体"/>
          <w:szCs w:val="21"/>
          <w:highlight w:val="none"/>
        </w:rPr>
        <w:t>发包人</w:t>
      </w:r>
      <w:bookmarkEnd w:id="861"/>
      <w:r>
        <w:rPr>
          <w:rFonts w:hint="eastAsia" w:ascii="宋体" w:hAnsi="宋体" w:cs="宋体"/>
          <w:szCs w:val="21"/>
          <w:highlight w:val="none"/>
        </w:rPr>
        <w:t>未支付工程进度款为由停工或拖延工期。</w:t>
      </w:r>
    </w:p>
    <w:p w14:paraId="7C7D53B0">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因</w:t>
      </w:r>
      <w:bookmarkStart w:id="862" w:name="REVIEW_BM_1663"/>
      <w:bookmarkStart w:id="863" w:name="_Toc318581170"/>
      <w:bookmarkStart w:id="864" w:name="_Toc312678013"/>
      <w:bookmarkStart w:id="865" w:name="_Toc312677487"/>
      <w:r>
        <w:rPr>
          <w:rFonts w:hint="eastAsia" w:ascii="宋体" w:hAnsi="宋体" w:cs="宋体"/>
          <w:szCs w:val="21"/>
          <w:highlight w:val="none"/>
        </w:rPr>
        <w:t>承包人</w:t>
      </w:r>
      <w:bookmarkEnd w:id="862"/>
      <w:r>
        <w:rPr>
          <w:rFonts w:hint="eastAsia" w:ascii="宋体" w:hAnsi="宋体" w:cs="宋体"/>
          <w:szCs w:val="21"/>
          <w:highlight w:val="none"/>
        </w:rPr>
        <w:t>原因造成工期延误，逾期竣工违约金的计算方法为：</w:t>
      </w:r>
      <w:r>
        <w:rPr>
          <w:rFonts w:hint="eastAsia" w:ascii="宋体" w:hAnsi="宋体" w:cs="宋体"/>
          <w:szCs w:val="21"/>
          <w:highlight w:val="none"/>
          <w:u w:val="single"/>
        </w:rPr>
        <w:t>非上述原因，</w:t>
      </w:r>
      <w:bookmarkStart w:id="866" w:name="REVIEW_BM_1664"/>
      <w:r>
        <w:rPr>
          <w:rFonts w:hint="eastAsia" w:ascii="宋体" w:hAnsi="宋体" w:cs="宋体"/>
          <w:szCs w:val="21"/>
          <w:highlight w:val="none"/>
          <w:u w:val="single"/>
        </w:rPr>
        <w:t>承包人</w:t>
      </w:r>
      <w:bookmarkEnd w:id="866"/>
      <w:r>
        <w:rPr>
          <w:rFonts w:hint="eastAsia" w:ascii="宋体" w:hAnsi="宋体" w:cs="宋体"/>
          <w:szCs w:val="21"/>
          <w:highlight w:val="none"/>
          <w:u w:val="single"/>
        </w:rPr>
        <w:t>不能按合同约定的时间竣工，</w:t>
      </w:r>
      <w:bookmarkStart w:id="867" w:name="REVIEW_BM_1665"/>
      <w:r>
        <w:rPr>
          <w:rFonts w:hint="eastAsia" w:ascii="宋体" w:hAnsi="宋体" w:cs="宋体"/>
          <w:szCs w:val="21"/>
          <w:highlight w:val="none"/>
          <w:u w:val="single"/>
        </w:rPr>
        <w:t>承包人</w:t>
      </w:r>
      <w:bookmarkEnd w:id="867"/>
      <w:r>
        <w:rPr>
          <w:rFonts w:hint="eastAsia" w:ascii="宋体" w:hAnsi="宋体" w:cs="宋体"/>
          <w:szCs w:val="21"/>
          <w:highlight w:val="none"/>
          <w:u w:val="single"/>
        </w:rPr>
        <w:t>应承担违约责任。应向</w:t>
      </w:r>
      <w:bookmarkStart w:id="868" w:name="REVIEW_BM_1660"/>
      <w:r>
        <w:rPr>
          <w:rFonts w:hint="eastAsia" w:ascii="宋体" w:hAnsi="宋体" w:cs="宋体"/>
          <w:szCs w:val="21"/>
          <w:highlight w:val="none"/>
          <w:u w:val="single"/>
        </w:rPr>
        <w:t>发包人</w:t>
      </w:r>
      <w:bookmarkEnd w:id="868"/>
      <w:r>
        <w:rPr>
          <w:rFonts w:hint="eastAsia" w:ascii="宋体" w:hAnsi="宋体" w:cs="宋体"/>
          <w:szCs w:val="21"/>
          <w:highlight w:val="none"/>
          <w:u w:val="single"/>
        </w:rPr>
        <w:t>支付误期赔偿费（每延误一天</w:t>
      </w:r>
      <w:bookmarkStart w:id="869" w:name="REVIEW_BM_1668"/>
      <w:r>
        <w:rPr>
          <w:rFonts w:hint="eastAsia" w:ascii="宋体" w:hAnsi="宋体" w:cs="宋体"/>
          <w:szCs w:val="21"/>
          <w:highlight w:val="none"/>
          <w:u w:val="single"/>
        </w:rPr>
        <w:t>,</w:t>
      </w:r>
      <w:bookmarkEnd w:id="869"/>
      <w:r>
        <w:rPr>
          <w:rFonts w:hint="eastAsia" w:ascii="宋体" w:hAnsi="宋体" w:cs="宋体"/>
          <w:szCs w:val="21"/>
          <w:highlight w:val="none"/>
          <w:u w:val="single"/>
        </w:rPr>
        <w:t xml:space="preserve"> 应支付合同协议书中约定的签约合同价（扣除暂列金、暂估价及甲供材）的千分之一（1‰）的违约金，罚款直接从结算款中扣除。），误期时间从规定竣工日期起直到实际竣工日期的天数（扣除</w:t>
      </w:r>
      <w:bookmarkStart w:id="870" w:name="REVIEW_BM_1661"/>
      <w:r>
        <w:rPr>
          <w:rFonts w:hint="eastAsia" w:ascii="宋体" w:hAnsi="宋体" w:cs="宋体"/>
          <w:szCs w:val="21"/>
          <w:highlight w:val="none"/>
          <w:u w:val="single"/>
        </w:rPr>
        <w:t>发包人</w:t>
      </w:r>
      <w:bookmarkEnd w:id="870"/>
      <w:r>
        <w:rPr>
          <w:rFonts w:hint="eastAsia" w:ascii="宋体" w:hAnsi="宋体" w:cs="宋体"/>
          <w:szCs w:val="21"/>
          <w:highlight w:val="none"/>
          <w:u w:val="single"/>
        </w:rPr>
        <w:t>批准顺延的工期）。</w:t>
      </w:r>
      <w:bookmarkStart w:id="871" w:name="REVIEW_BM_1662"/>
      <w:r>
        <w:rPr>
          <w:rFonts w:hint="eastAsia" w:ascii="宋体" w:hAnsi="宋体" w:cs="宋体"/>
          <w:szCs w:val="21"/>
          <w:highlight w:val="none"/>
          <w:u w:val="single"/>
        </w:rPr>
        <w:t>发包人</w:t>
      </w:r>
      <w:bookmarkEnd w:id="871"/>
      <w:r>
        <w:rPr>
          <w:rFonts w:hint="eastAsia" w:ascii="宋体" w:hAnsi="宋体" w:cs="宋体"/>
          <w:szCs w:val="21"/>
          <w:highlight w:val="none"/>
          <w:u w:val="single"/>
        </w:rPr>
        <w:t>可从应向</w:t>
      </w:r>
      <w:bookmarkStart w:id="872" w:name="REVIEW_BM_1666"/>
      <w:r>
        <w:rPr>
          <w:rFonts w:hint="eastAsia" w:ascii="宋体" w:hAnsi="宋体" w:cs="宋体"/>
          <w:szCs w:val="21"/>
          <w:highlight w:val="none"/>
          <w:u w:val="single"/>
        </w:rPr>
        <w:t>承包人</w:t>
      </w:r>
      <w:bookmarkEnd w:id="872"/>
      <w:r>
        <w:rPr>
          <w:rFonts w:hint="eastAsia" w:ascii="宋体" w:hAnsi="宋体" w:cs="宋体"/>
          <w:szCs w:val="21"/>
          <w:highlight w:val="none"/>
          <w:u w:val="single"/>
        </w:rPr>
        <w:t>支付的任何金额中扣除此项赔款费或其他方式收回此款，此赔偿款的支付并不能解除</w:t>
      </w:r>
      <w:bookmarkStart w:id="873" w:name="REVIEW_BM_1667"/>
      <w:r>
        <w:rPr>
          <w:rFonts w:hint="eastAsia" w:ascii="宋体" w:hAnsi="宋体" w:cs="宋体"/>
          <w:szCs w:val="21"/>
          <w:highlight w:val="none"/>
          <w:u w:val="single"/>
        </w:rPr>
        <w:t>承包人</w:t>
      </w:r>
      <w:bookmarkEnd w:id="873"/>
      <w:r>
        <w:rPr>
          <w:rFonts w:hint="eastAsia" w:ascii="宋体" w:hAnsi="宋体" w:cs="宋体"/>
          <w:szCs w:val="21"/>
          <w:highlight w:val="none"/>
          <w:u w:val="single"/>
        </w:rPr>
        <w:t xml:space="preserve">应完成工程的责任或合同规定的其他责任。 </w:t>
      </w:r>
      <w:bookmarkEnd w:id="846"/>
      <w:bookmarkEnd w:id="847"/>
      <w:bookmarkEnd w:id="848"/>
      <w:bookmarkEnd w:id="849"/>
      <w:bookmarkEnd w:id="850"/>
      <w:bookmarkEnd w:id="863"/>
      <w:bookmarkEnd w:id="864"/>
      <w:bookmarkEnd w:id="865"/>
    </w:p>
    <w:p w14:paraId="7E91320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因</w:t>
      </w:r>
      <w:bookmarkStart w:id="874" w:name="REVIEW_BM_1669"/>
      <w:r>
        <w:rPr>
          <w:rFonts w:hint="eastAsia" w:ascii="宋体" w:hAnsi="宋体" w:cs="宋体"/>
          <w:szCs w:val="21"/>
          <w:highlight w:val="none"/>
        </w:rPr>
        <w:t>承包人</w:t>
      </w:r>
      <w:bookmarkEnd w:id="874"/>
      <w:r>
        <w:rPr>
          <w:rFonts w:hint="eastAsia" w:ascii="宋体" w:hAnsi="宋体" w:cs="宋体"/>
          <w:szCs w:val="21"/>
          <w:highlight w:val="none"/>
        </w:rPr>
        <w:t>原因造成工期延误，逾</w:t>
      </w:r>
      <w:bookmarkStart w:id="875" w:name="_Toc312678014"/>
      <w:bookmarkStart w:id="876" w:name="_Toc318581171"/>
      <w:r>
        <w:rPr>
          <w:rFonts w:hint="eastAsia" w:ascii="宋体" w:hAnsi="宋体" w:cs="宋体"/>
          <w:szCs w:val="21"/>
          <w:highlight w:val="none"/>
        </w:rPr>
        <w:t>期竣工违约金的上限：</w:t>
      </w:r>
      <w:r>
        <w:rPr>
          <w:rFonts w:hint="eastAsia" w:ascii="宋体" w:hAnsi="宋体" w:cs="宋体"/>
          <w:szCs w:val="21"/>
          <w:highlight w:val="none"/>
          <w:u w:val="single"/>
        </w:rPr>
        <w:t>签约合同价格（扣暂列金、暂估价及甲供材）的5%</w:t>
      </w:r>
      <w:r>
        <w:rPr>
          <w:rFonts w:hint="eastAsia" w:ascii="宋体" w:hAnsi="宋体" w:cs="宋体"/>
          <w:szCs w:val="21"/>
          <w:highlight w:val="none"/>
        </w:rPr>
        <w:t>。</w:t>
      </w:r>
    </w:p>
    <w:bookmarkEnd w:id="875"/>
    <w:bookmarkEnd w:id="876"/>
    <w:p w14:paraId="1462C11C">
      <w:pPr>
        <w:spacing w:line="360" w:lineRule="auto"/>
        <w:ind w:firstLine="420"/>
        <w:jc w:val="left"/>
        <w:rPr>
          <w:rFonts w:hint="eastAsia" w:ascii="宋体" w:hAnsi="宋体" w:cs="宋体"/>
          <w:szCs w:val="21"/>
          <w:highlight w:val="none"/>
        </w:rPr>
      </w:pPr>
    </w:p>
    <w:p w14:paraId="7E179A7F">
      <w:pPr>
        <w:bidi w:val="0"/>
        <w:rPr>
          <w:rFonts w:hint="eastAsia"/>
          <w:highlight w:val="none"/>
        </w:rPr>
      </w:pPr>
      <w:bookmarkStart w:id="877" w:name="_Toc389065294"/>
      <w:bookmarkStart w:id="878" w:name="_Toc407135230"/>
      <w:bookmarkStart w:id="879" w:name="_Toc373227728"/>
      <w:bookmarkStart w:id="880" w:name="_Toc373478375"/>
      <w:bookmarkStart w:id="881" w:name="_Toc487632727"/>
      <w:r>
        <w:rPr>
          <w:rFonts w:hint="eastAsia"/>
          <w:highlight w:val="none"/>
        </w:rPr>
        <w:t>7</w:t>
      </w:r>
      <w:bookmarkStart w:id="882" w:name="_Toc303539128"/>
      <w:bookmarkStart w:id="883" w:name="_Toc304295549"/>
      <w:bookmarkStart w:id="884" w:name="_Toc297123519"/>
      <w:bookmarkStart w:id="885" w:name="_Toc312678015"/>
      <w:bookmarkStart w:id="886" w:name="_Toc300934971"/>
      <w:bookmarkStart w:id="887" w:name="_Toc297216178"/>
      <w:r>
        <w:rPr>
          <w:rFonts w:hint="eastAsia"/>
          <w:highlight w:val="none"/>
        </w:rPr>
        <w:t>.6 不</w:t>
      </w:r>
      <w:bookmarkEnd w:id="882"/>
      <w:bookmarkEnd w:id="883"/>
      <w:bookmarkEnd w:id="884"/>
      <w:bookmarkEnd w:id="885"/>
      <w:bookmarkEnd w:id="886"/>
      <w:bookmarkEnd w:id="887"/>
      <w:r>
        <w:rPr>
          <w:rFonts w:hint="eastAsia"/>
          <w:highlight w:val="none"/>
        </w:rPr>
        <w:t>利物质条件</w:t>
      </w:r>
      <w:bookmarkEnd w:id="877"/>
      <w:bookmarkEnd w:id="878"/>
      <w:bookmarkEnd w:id="879"/>
      <w:bookmarkEnd w:id="880"/>
      <w:bookmarkEnd w:id="881"/>
    </w:p>
    <w:p w14:paraId="20DD47DA">
      <w:pPr>
        <w:spacing w:line="360" w:lineRule="auto"/>
        <w:ind w:firstLine="420"/>
        <w:jc w:val="left"/>
        <w:rPr>
          <w:rFonts w:hint="eastAsia" w:ascii="宋体" w:hAnsi="宋体" w:cs="宋体"/>
          <w:szCs w:val="21"/>
          <w:highlight w:val="none"/>
          <w:u w:val="single"/>
        </w:rPr>
      </w:pPr>
      <w:bookmarkStart w:id="888" w:name="_Toc304295550"/>
      <w:bookmarkStart w:id="889" w:name="_Toc297216179"/>
      <w:bookmarkStart w:id="890" w:name="_Toc303539129"/>
      <w:bookmarkStart w:id="891" w:name="_Toc318581172"/>
      <w:bookmarkStart w:id="892" w:name="_Toc297123520"/>
      <w:bookmarkStart w:id="893" w:name="_Toc312678016"/>
      <w:bookmarkStart w:id="894" w:name="_Toc300934972"/>
      <w:r>
        <w:rPr>
          <w:rFonts w:hint="eastAsia" w:ascii="宋体" w:hAnsi="宋体" w:cs="宋体"/>
          <w:szCs w:val="21"/>
          <w:highlight w:val="none"/>
        </w:rPr>
        <w:t>不利物质条件的其他情形和有关约定：</w:t>
      </w:r>
      <w:r>
        <w:rPr>
          <w:rFonts w:hint="eastAsia" w:ascii="宋体" w:hAnsi="宋体" w:cs="宋体"/>
          <w:szCs w:val="21"/>
          <w:highlight w:val="none"/>
          <w:u w:val="single"/>
        </w:rPr>
        <w:t>招标文件中已明确或</w:t>
      </w:r>
      <w:bookmarkStart w:id="895" w:name="REVIEW_BM_1670"/>
      <w:r>
        <w:rPr>
          <w:rFonts w:hint="eastAsia" w:ascii="宋体" w:hAnsi="宋体" w:cs="宋体"/>
          <w:szCs w:val="21"/>
          <w:highlight w:val="none"/>
          <w:u w:val="single"/>
        </w:rPr>
        <w:t>投标文件</w:t>
      </w:r>
      <w:bookmarkEnd w:id="895"/>
      <w:bookmarkStart w:id="896" w:name="REVIEW_BM_1671"/>
      <w:r>
        <w:rPr>
          <w:rFonts w:hint="eastAsia" w:ascii="宋体" w:hAnsi="宋体" w:cs="宋体"/>
          <w:szCs w:val="21"/>
          <w:highlight w:val="none"/>
          <w:u w:val="single"/>
        </w:rPr>
        <w:t>承包人</w:t>
      </w:r>
      <w:bookmarkEnd w:id="896"/>
      <w:r>
        <w:rPr>
          <w:rFonts w:hint="eastAsia" w:ascii="宋体" w:hAnsi="宋体" w:cs="宋体"/>
          <w:szCs w:val="21"/>
          <w:highlight w:val="none"/>
          <w:u w:val="single"/>
        </w:rPr>
        <w:t>承诺完成，但暂未计入报价的项目不作为顺延工期的理由。雨雪、冰雹、台风、高温天气、低温天气、停水、停电、节假日、扰民和民扰、市政影响等不利因素等在总工期内，不另外考虑。如遇国家和政府要求短期（临时）停工的，双方协商处理。其余按本合同通用相关条款执行</w:t>
      </w:r>
      <w:r>
        <w:rPr>
          <w:rFonts w:hint="eastAsia" w:ascii="宋体" w:hAnsi="宋体" w:cs="宋体"/>
          <w:szCs w:val="21"/>
          <w:highlight w:val="none"/>
        </w:rPr>
        <w:t>。</w:t>
      </w:r>
      <w:bookmarkEnd w:id="888"/>
      <w:bookmarkEnd w:id="889"/>
      <w:bookmarkEnd w:id="890"/>
      <w:bookmarkEnd w:id="891"/>
      <w:bookmarkEnd w:id="892"/>
      <w:bookmarkEnd w:id="893"/>
      <w:bookmarkEnd w:id="894"/>
    </w:p>
    <w:p w14:paraId="2598E933">
      <w:pPr>
        <w:bidi w:val="0"/>
        <w:rPr>
          <w:rFonts w:hint="eastAsia"/>
          <w:highlight w:val="none"/>
        </w:rPr>
      </w:pPr>
      <w:bookmarkStart w:id="897" w:name="_Toc487632728"/>
      <w:bookmarkStart w:id="898" w:name="_Toc389065295"/>
      <w:bookmarkStart w:id="899" w:name="_Toc407135231"/>
      <w:bookmarkStart w:id="900" w:name="_Toc373478376"/>
      <w:bookmarkStart w:id="901" w:name="_Toc373227729"/>
      <w:r>
        <w:rPr>
          <w:rFonts w:hint="eastAsia"/>
          <w:highlight w:val="none"/>
        </w:rPr>
        <w:t>7</w:t>
      </w:r>
      <w:bookmarkStart w:id="902" w:name="_Toc312678017"/>
      <w:bookmarkStart w:id="903" w:name="_Toc297123521"/>
      <w:bookmarkStart w:id="904" w:name="_Toc297216180"/>
      <w:bookmarkStart w:id="905" w:name="_Toc303539130"/>
      <w:bookmarkStart w:id="906" w:name="_Toc304295551"/>
      <w:bookmarkStart w:id="907" w:name="_Toc300934973"/>
      <w:r>
        <w:rPr>
          <w:rFonts w:hint="eastAsia"/>
          <w:highlight w:val="none"/>
        </w:rPr>
        <w:t>.7 异常恶劣的气候条件</w:t>
      </w:r>
      <w:bookmarkEnd w:id="897"/>
      <w:bookmarkEnd w:id="898"/>
      <w:bookmarkEnd w:id="899"/>
      <w:bookmarkEnd w:id="900"/>
      <w:bookmarkEnd w:id="901"/>
      <w:bookmarkEnd w:id="902"/>
      <w:bookmarkEnd w:id="903"/>
      <w:bookmarkEnd w:id="904"/>
      <w:bookmarkEnd w:id="905"/>
      <w:bookmarkEnd w:id="906"/>
      <w:bookmarkEnd w:id="907"/>
    </w:p>
    <w:p w14:paraId="3B81D2F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发包人和</w:t>
      </w:r>
      <w:bookmarkStart w:id="908" w:name="REVIEW_BM_1672"/>
      <w:r>
        <w:rPr>
          <w:rFonts w:hint="eastAsia" w:ascii="宋体" w:hAnsi="宋体" w:cs="宋体"/>
          <w:szCs w:val="21"/>
          <w:highlight w:val="none"/>
        </w:rPr>
        <w:t>承包人</w:t>
      </w:r>
      <w:bookmarkEnd w:id="908"/>
      <w:r>
        <w:rPr>
          <w:rFonts w:hint="eastAsia" w:ascii="宋体" w:hAnsi="宋体" w:cs="宋体"/>
          <w:szCs w:val="21"/>
          <w:highlight w:val="none"/>
        </w:rPr>
        <w:t>同意以下情形视为异常恶劣的气候条件：</w:t>
      </w:r>
    </w:p>
    <w:p w14:paraId="0ECFCE3E">
      <w:pPr>
        <w:keepNext w:val="0"/>
        <w:keepLines w:val="0"/>
        <w:pageBreakBefore w:val="0"/>
        <w:widowControl w:val="0"/>
        <w:bidi w:val="0"/>
        <w:spacing w:line="360" w:lineRule="auto"/>
        <w:ind w:left="0" w:firstLine="420"/>
        <w:rPr>
          <w:rFonts w:hint="eastAsia"/>
          <w:highlight w:val="none"/>
          <w:u w:val="single"/>
        </w:rPr>
      </w:pPr>
      <w:r>
        <w:rPr>
          <w:rFonts w:hint="eastAsia"/>
          <w:highlight w:val="none"/>
          <w:u w:val="single"/>
        </w:rPr>
        <w:t>（1）8级以上的持续3天的大风；</w:t>
      </w:r>
    </w:p>
    <w:p w14:paraId="73FB437D">
      <w:pPr>
        <w:keepNext w:val="0"/>
        <w:keepLines w:val="0"/>
        <w:pageBreakBefore w:val="0"/>
        <w:widowControl w:val="0"/>
        <w:bidi w:val="0"/>
        <w:spacing w:line="360" w:lineRule="auto"/>
        <w:ind w:left="0" w:firstLine="420"/>
        <w:rPr>
          <w:rFonts w:hint="eastAsia"/>
          <w:highlight w:val="none"/>
          <w:u w:val="single"/>
        </w:rPr>
      </w:pPr>
      <w:r>
        <w:rPr>
          <w:rFonts w:hint="eastAsia"/>
          <w:highlight w:val="none"/>
          <w:u w:val="single"/>
        </w:rPr>
        <w:t>（2）暴雨级以上的持续3天的大雨；50年以上未发生过的洪水；</w:t>
      </w:r>
    </w:p>
    <w:p w14:paraId="77E3178F">
      <w:pPr>
        <w:keepNext w:val="0"/>
        <w:keepLines w:val="0"/>
        <w:pageBreakBefore w:val="0"/>
        <w:widowControl w:val="0"/>
        <w:bidi w:val="0"/>
        <w:spacing w:line="360" w:lineRule="auto"/>
        <w:ind w:left="0" w:firstLine="420"/>
        <w:rPr>
          <w:rFonts w:hint="eastAsia"/>
          <w:highlight w:val="none"/>
          <w:u w:val="single"/>
        </w:rPr>
      </w:pPr>
      <w:r>
        <w:rPr>
          <w:rFonts w:hint="eastAsia"/>
          <w:highlight w:val="none"/>
          <w:u w:val="single"/>
        </w:rPr>
        <w:t>（3）50年以上未发生过，持续3天的高温天气；50年以上未发生过，持续3天的严寒天气。</w:t>
      </w:r>
    </w:p>
    <w:p w14:paraId="63BFF623">
      <w:pPr>
        <w:bidi w:val="0"/>
        <w:spacing w:line="360" w:lineRule="auto"/>
        <w:ind w:firstLine="420"/>
        <w:rPr>
          <w:rFonts w:hint="eastAsia"/>
          <w:highlight w:val="none"/>
        </w:rPr>
      </w:pPr>
      <w:r>
        <w:rPr>
          <w:rFonts w:hint="eastAsia"/>
          <w:highlight w:val="none"/>
        </w:rPr>
        <w:t>以上异常恶劣的气候的认定以</w:t>
      </w:r>
      <w:bookmarkStart w:id="909" w:name="REVIEW_BM_1674"/>
      <w:r>
        <w:rPr>
          <w:rFonts w:hint="eastAsia"/>
          <w:highlight w:val="none"/>
        </w:rPr>
        <w:t>承包人</w:t>
      </w:r>
      <w:bookmarkEnd w:id="909"/>
      <w:r>
        <w:rPr>
          <w:rFonts w:hint="eastAsia"/>
          <w:highlight w:val="none"/>
        </w:rPr>
        <w:t>提交给</w:t>
      </w:r>
      <w:bookmarkStart w:id="910" w:name="REVIEW_BM_1673"/>
      <w:r>
        <w:rPr>
          <w:rFonts w:hint="eastAsia"/>
          <w:highlight w:val="none"/>
        </w:rPr>
        <w:t>发包人</w:t>
      </w:r>
      <w:bookmarkEnd w:id="910"/>
      <w:r>
        <w:rPr>
          <w:rFonts w:hint="eastAsia"/>
          <w:highlight w:val="none"/>
        </w:rPr>
        <w:t>的证明（并附有当地气象部门出具的材料）为准。</w:t>
      </w:r>
    </w:p>
    <w:p w14:paraId="39F95909">
      <w:pPr>
        <w:bidi w:val="0"/>
        <w:rPr>
          <w:rFonts w:hint="eastAsia"/>
          <w:highlight w:val="none"/>
        </w:rPr>
      </w:pPr>
      <w:bookmarkStart w:id="911" w:name="_Toc373478377"/>
      <w:bookmarkStart w:id="912" w:name="_Toc407135232"/>
      <w:bookmarkStart w:id="913" w:name="_Toc487632729"/>
      <w:bookmarkStart w:id="914" w:name="_Toc373227730"/>
      <w:bookmarkStart w:id="915" w:name="_Toc389065296"/>
      <w:r>
        <w:rPr>
          <w:rFonts w:hint="eastAsia"/>
          <w:highlight w:val="none"/>
        </w:rPr>
        <w:t>7.9 提前竣工</w:t>
      </w:r>
      <w:bookmarkEnd w:id="911"/>
      <w:bookmarkEnd w:id="912"/>
      <w:bookmarkEnd w:id="913"/>
      <w:bookmarkEnd w:id="914"/>
      <w:bookmarkEnd w:id="915"/>
    </w:p>
    <w:p w14:paraId="5903350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7.9.2提前竣工（赶工）增加费的计算方法：</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43818F2B">
      <w:pPr>
        <w:pStyle w:val="6"/>
        <w:bidi w:val="0"/>
        <w:rPr>
          <w:rFonts w:hint="eastAsia"/>
          <w:highlight w:val="none"/>
        </w:rPr>
      </w:pPr>
      <w:bookmarkStart w:id="916" w:name="_Toc487632730"/>
      <w:bookmarkStart w:id="917" w:name="_Toc373478378"/>
      <w:bookmarkStart w:id="918" w:name="_Toc407135233"/>
      <w:bookmarkStart w:id="919" w:name="_Toc389065297"/>
      <w:bookmarkStart w:id="920" w:name="_Toc373227731"/>
      <w:bookmarkStart w:id="921" w:name="_Toc351203640"/>
      <w:r>
        <w:rPr>
          <w:rFonts w:hint="eastAsia"/>
          <w:highlight w:val="none"/>
        </w:rPr>
        <w:t>8. 材料与设备</w:t>
      </w:r>
      <w:bookmarkEnd w:id="916"/>
      <w:bookmarkEnd w:id="917"/>
      <w:bookmarkEnd w:id="918"/>
      <w:bookmarkEnd w:id="919"/>
      <w:bookmarkEnd w:id="920"/>
      <w:bookmarkEnd w:id="921"/>
    </w:p>
    <w:p w14:paraId="0D853BAB">
      <w:pPr>
        <w:bidi w:val="0"/>
        <w:rPr>
          <w:rFonts w:hint="eastAsia"/>
          <w:highlight w:val="none"/>
        </w:rPr>
      </w:pPr>
      <w:bookmarkStart w:id="922" w:name="_Toc487632731"/>
      <w:bookmarkStart w:id="923" w:name="_Toc407135234"/>
      <w:bookmarkStart w:id="924" w:name="_Toc373478379"/>
      <w:bookmarkStart w:id="925" w:name="_Toc373227732"/>
      <w:bookmarkStart w:id="926" w:name="_Toc389065298"/>
      <w:r>
        <w:rPr>
          <w:rFonts w:hint="eastAsia"/>
          <w:highlight w:val="none"/>
        </w:rPr>
        <w:t xml:space="preserve">8.2 </w:t>
      </w:r>
      <w:bookmarkStart w:id="927" w:name="REVIEW_BM_1675"/>
      <w:r>
        <w:rPr>
          <w:rFonts w:hint="eastAsia"/>
          <w:highlight w:val="none"/>
        </w:rPr>
        <w:t>承包人</w:t>
      </w:r>
      <w:bookmarkEnd w:id="927"/>
      <w:r>
        <w:rPr>
          <w:rFonts w:hint="eastAsia"/>
          <w:highlight w:val="none"/>
        </w:rPr>
        <w:t>采购材料与工程设备</w:t>
      </w:r>
      <w:bookmarkEnd w:id="922"/>
      <w:bookmarkEnd w:id="923"/>
      <w:bookmarkEnd w:id="924"/>
      <w:bookmarkEnd w:id="925"/>
      <w:bookmarkEnd w:id="926"/>
    </w:p>
    <w:p w14:paraId="7BBB3C58">
      <w:pPr>
        <w:bidi w:val="0"/>
        <w:spacing w:line="360" w:lineRule="auto"/>
        <w:ind w:left="0" w:firstLine="420"/>
        <w:rPr>
          <w:rFonts w:hint="eastAsia"/>
          <w:highlight w:val="none"/>
        </w:rPr>
      </w:pPr>
      <w:r>
        <w:rPr>
          <w:rFonts w:hint="eastAsia"/>
          <w:highlight w:val="none"/>
        </w:rPr>
        <w:t>除专用合同条款的附件《</w:t>
      </w:r>
      <w:bookmarkStart w:id="928" w:name="REVIEW_BM_1677"/>
      <w:r>
        <w:rPr>
          <w:rFonts w:hint="eastAsia"/>
          <w:highlight w:val="none"/>
        </w:rPr>
        <w:t>发包人</w:t>
      </w:r>
      <w:bookmarkEnd w:id="928"/>
      <w:r>
        <w:rPr>
          <w:rFonts w:hint="eastAsia"/>
          <w:highlight w:val="none"/>
        </w:rPr>
        <w:t>供应材料设备一览表》中明确的材料、工程设备外，由</w:t>
      </w:r>
      <w:bookmarkStart w:id="929" w:name="REVIEW_BM_1678"/>
      <w:r>
        <w:rPr>
          <w:rFonts w:hint="eastAsia"/>
          <w:highlight w:val="none"/>
        </w:rPr>
        <w:t>承包人</w:t>
      </w:r>
      <w:bookmarkEnd w:id="929"/>
      <w:r>
        <w:rPr>
          <w:rFonts w:hint="eastAsia"/>
          <w:highlight w:val="none"/>
        </w:rPr>
        <w:t>负责材料和工程设备的采购、运输和保管。对工程使用的</w:t>
      </w:r>
      <w:bookmarkStart w:id="930" w:name="REVIEW_BM_1680"/>
      <w:r>
        <w:rPr>
          <w:rFonts w:hint="eastAsia"/>
          <w:highlight w:val="none"/>
        </w:rPr>
        <w:t>重要</w:t>
      </w:r>
      <w:bookmarkEnd w:id="930"/>
      <w:r>
        <w:rPr>
          <w:rFonts w:hint="eastAsia"/>
          <w:highlight w:val="none"/>
        </w:rPr>
        <w:t>建设工程材料，</w:t>
      </w:r>
      <w:bookmarkStart w:id="931" w:name="REVIEW_BM_1679"/>
      <w:r>
        <w:rPr>
          <w:rFonts w:hint="eastAsia"/>
          <w:highlight w:val="none"/>
        </w:rPr>
        <w:t>承包人</w:t>
      </w:r>
      <w:bookmarkEnd w:id="931"/>
      <w:r>
        <w:rPr>
          <w:rFonts w:hint="eastAsia"/>
          <w:highlight w:val="none"/>
        </w:rPr>
        <w:t>应按《</w:t>
      </w:r>
      <w:bookmarkStart w:id="932" w:name="REVIEW_BM_1676"/>
      <w:r>
        <w:rPr>
          <w:rFonts w:hint="eastAsia"/>
          <w:highlight w:val="none"/>
        </w:rPr>
        <w:t>南宁市建设工程材料使用管理办法</w:t>
      </w:r>
      <w:bookmarkEnd w:id="932"/>
      <w:r>
        <w:rPr>
          <w:rFonts w:hint="eastAsia"/>
          <w:highlight w:val="none"/>
        </w:rPr>
        <w:t>》相关规定，从南宁市建设行政主管部门公布的建设工程材料目录中选用</w:t>
      </w:r>
      <w:bookmarkStart w:id="933" w:name="REVIEW_BM_1681"/>
      <w:r>
        <w:rPr>
          <w:rFonts w:hint="eastAsia"/>
          <w:highlight w:val="none"/>
        </w:rPr>
        <w:t>重要</w:t>
      </w:r>
      <w:bookmarkEnd w:id="933"/>
      <w:r>
        <w:rPr>
          <w:rFonts w:hint="eastAsia"/>
          <w:highlight w:val="none"/>
        </w:rPr>
        <w:t>建设工程材料，所选用的材料且不低于行业中使用的中档品牌产品。</w:t>
      </w:r>
    </w:p>
    <w:p w14:paraId="70569482">
      <w:pPr>
        <w:bidi w:val="0"/>
        <w:spacing w:line="360" w:lineRule="auto"/>
        <w:ind w:left="0" w:firstLine="420"/>
        <w:rPr>
          <w:rFonts w:hint="eastAsia"/>
          <w:highlight w:val="none"/>
        </w:rPr>
      </w:pPr>
      <w:r>
        <w:rPr>
          <w:rFonts w:hint="eastAsia"/>
          <w:highlight w:val="none"/>
        </w:rPr>
        <w:t>对</w:t>
      </w:r>
      <w:bookmarkStart w:id="934" w:name="REVIEW_BM_1682"/>
      <w:r>
        <w:rPr>
          <w:rFonts w:hint="eastAsia"/>
          <w:highlight w:val="none"/>
        </w:rPr>
        <w:t>发包人</w:t>
      </w:r>
      <w:bookmarkEnd w:id="934"/>
      <w:r>
        <w:rPr>
          <w:rFonts w:hint="eastAsia"/>
          <w:highlight w:val="none"/>
        </w:rPr>
        <w:t>在招标时有“参照或相当于的品牌、级别”约定的材料或设备，</w:t>
      </w:r>
      <w:bookmarkStart w:id="935" w:name="REVIEW_BM_1685"/>
      <w:r>
        <w:rPr>
          <w:rFonts w:hint="eastAsia"/>
          <w:highlight w:val="none"/>
        </w:rPr>
        <w:t>承包人</w:t>
      </w:r>
      <w:bookmarkEnd w:id="935"/>
      <w:r>
        <w:rPr>
          <w:rFonts w:hint="eastAsia"/>
          <w:highlight w:val="none"/>
        </w:rPr>
        <w:t>采购时必须按招标清单内的参考品牌或优于所约定品牌、等级进行采购，提供</w:t>
      </w:r>
      <w:bookmarkStart w:id="936" w:name="REVIEW_BM_1683"/>
      <w:r>
        <w:rPr>
          <w:rFonts w:hint="eastAsia"/>
          <w:highlight w:val="none"/>
        </w:rPr>
        <w:t>发包人</w:t>
      </w:r>
      <w:bookmarkEnd w:id="936"/>
      <w:r>
        <w:rPr>
          <w:rFonts w:hint="eastAsia"/>
          <w:highlight w:val="none"/>
        </w:rPr>
        <w:t>要求的产品档次，按中标品牌、级别供应产品，报发包人选定。如中标文件未明确中标品牌的，应提供不少于3家厂家或供应商的材料或设备，报</w:t>
      </w:r>
      <w:bookmarkStart w:id="937" w:name="REVIEW_BM_1684"/>
      <w:r>
        <w:rPr>
          <w:rFonts w:hint="eastAsia"/>
          <w:highlight w:val="none"/>
        </w:rPr>
        <w:t>发包人</w:t>
      </w:r>
      <w:bookmarkEnd w:id="937"/>
      <w:r>
        <w:rPr>
          <w:rFonts w:hint="eastAsia"/>
          <w:highlight w:val="none"/>
        </w:rPr>
        <w:t>审定选中其中1个品牌。</w:t>
      </w:r>
    </w:p>
    <w:p w14:paraId="3D20AA26">
      <w:pPr>
        <w:bidi w:val="0"/>
        <w:spacing w:line="360" w:lineRule="auto"/>
        <w:ind w:left="0" w:firstLine="420"/>
        <w:rPr>
          <w:rFonts w:hint="eastAsia"/>
          <w:highlight w:val="none"/>
        </w:rPr>
      </w:pPr>
      <w:r>
        <w:rPr>
          <w:rFonts w:hint="eastAsia"/>
          <w:highlight w:val="none"/>
        </w:rPr>
        <w:t>满足南宁市城乡建设委员会、南宁市工业和信息化委员会关于重新印发《南宁市城乡建设委员会和南宁市工业和信息化委员会关于推广应用高性能混凝土的通知》（南建规【2016】1号）要求的 工程或部位 必须按 设计要求 使用高性能混凝土。</w:t>
      </w:r>
    </w:p>
    <w:p w14:paraId="25408736">
      <w:pPr>
        <w:bidi w:val="0"/>
        <w:spacing w:line="360" w:lineRule="auto"/>
        <w:ind w:left="0" w:firstLine="420"/>
        <w:rPr>
          <w:rFonts w:hint="eastAsia"/>
          <w:highlight w:val="none"/>
        </w:rPr>
      </w:pPr>
      <w:r>
        <w:rPr>
          <w:rFonts w:hint="eastAsia"/>
          <w:highlight w:val="none"/>
        </w:rPr>
        <w:t>满足《南宁市人民政府关于推广使用预拌砂浆的实施意见》（南府规【2016】12号）要求的，使用预拌砂浆。</w:t>
      </w:r>
    </w:p>
    <w:p w14:paraId="32BDE372">
      <w:pPr>
        <w:bidi w:val="0"/>
        <w:rPr>
          <w:rFonts w:hint="eastAsia"/>
          <w:highlight w:val="none"/>
        </w:rPr>
      </w:pPr>
      <w:bookmarkStart w:id="938" w:name="_Toc389065299"/>
      <w:bookmarkStart w:id="939" w:name="_Toc487632732"/>
      <w:bookmarkStart w:id="940" w:name="_Toc373227733"/>
      <w:bookmarkStart w:id="941" w:name="_Toc373478380"/>
      <w:bookmarkStart w:id="942" w:name="_Toc407135235"/>
      <w:r>
        <w:rPr>
          <w:rFonts w:hint="eastAsia"/>
          <w:highlight w:val="none"/>
        </w:rPr>
        <w:t>8</w:t>
      </w:r>
      <w:bookmarkStart w:id="943" w:name="_Toc297123527"/>
      <w:bookmarkStart w:id="944" w:name="_Toc296891207"/>
      <w:bookmarkStart w:id="945" w:name="_Toc312678019"/>
      <w:bookmarkStart w:id="946" w:name="_Toc303539136"/>
      <w:bookmarkStart w:id="947" w:name="_Toc296347166"/>
      <w:bookmarkStart w:id="948" w:name="_Toc300934979"/>
      <w:bookmarkStart w:id="949" w:name="_Toc304295556"/>
      <w:bookmarkStart w:id="950" w:name="_Toc296503167"/>
      <w:bookmarkStart w:id="951" w:name="_Toc297048353"/>
      <w:bookmarkStart w:id="952" w:name="_Toc297120467"/>
      <w:bookmarkStart w:id="953" w:name="_Toc296346668"/>
      <w:bookmarkStart w:id="954" w:name="_Toc296890995"/>
      <w:bookmarkStart w:id="955" w:name="_Toc312677493"/>
      <w:bookmarkStart w:id="956" w:name="_Toc292559877"/>
      <w:bookmarkStart w:id="957" w:name="_Toc292559372"/>
      <w:bookmarkStart w:id="958" w:name="_Toc296944506"/>
      <w:bookmarkStart w:id="959" w:name="_Toc297216186"/>
      <w:bookmarkStart w:id="960" w:name="_Toc280868654"/>
      <w:bookmarkStart w:id="961" w:name="_Toc280868656"/>
      <w:bookmarkStart w:id="962" w:name="_Toc267251424"/>
      <w:bookmarkStart w:id="963" w:name="_Toc280868655"/>
      <w:r>
        <w:rPr>
          <w:rFonts w:hint="eastAsia"/>
          <w:highlight w:val="none"/>
        </w:rPr>
        <w:t>.4 材料与工程设备的保管与使用</w:t>
      </w:r>
      <w:bookmarkEnd w:id="938"/>
      <w:bookmarkEnd w:id="939"/>
      <w:bookmarkEnd w:id="940"/>
      <w:bookmarkEnd w:id="941"/>
      <w:bookmarkEnd w:id="942"/>
      <w:bookmarkEnd w:id="943"/>
      <w:bookmarkEnd w:id="944"/>
      <w:bookmarkEnd w:id="945"/>
      <w:bookmarkEnd w:id="946"/>
      <w:bookmarkEnd w:id="947"/>
      <w:bookmarkEnd w:id="948"/>
      <w:bookmarkEnd w:id="949"/>
      <w:bookmarkEnd w:id="950"/>
      <w:bookmarkEnd w:id="951"/>
      <w:bookmarkEnd w:id="952"/>
      <w:bookmarkEnd w:id="953"/>
      <w:bookmarkEnd w:id="954"/>
      <w:bookmarkEnd w:id="955"/>
      <w:bookmarkEnd w:id="956"/>
      <w:bookmarkEnd w:id="957"/>
      <w:bookmarkEnd w:id="958"/>
      <w:bookmarkEnd w:id="959"/>
      <w:bookmarkEnd w:id="960"/>
    </w:p>
    <w:p w14:paraId="5515C3E0">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8</w:t>
      </w:r>
      <w:bookmarkStart w:id="964" w:name="_Toc292559373"/>
      <w:bookmarkStart w:id="965" w:name="_Toc292559878"/>
      <w:bookmarkStart w:id="966" w:name="_Toc297123528"/>
      <w:bookmarkStart w:id="967" w:name="_Toc296944507"/>
      <w:bookmarkStart w:id="968" w:name="_Toc297048354"/>
      <w:bookmarkStart w:id="969" w:name="_Toc296891208"/>
      <w:bookmarkStart w:id="970" w:name="_Toc318581173"/>
      <w:bookmarkStart w:id="971" w:name="_Toc312677494"/>
      <w:bookmarkStart w:id="972" w:name="_Toc296890996"/>
      <w:bookmarkStart w:id="973" w:name="_Toc312678020"/>
      <w:bookmarkStart w:id="974" w:name="_Toc300934980"/>
      <w:bookmarkStart w:id="975" w:name="_Toc297216187"/>
      <w:bookmarkStart w:id="976" w:name="_Toc296347167"/>
      <w:bookmarkStart w:id="977" w:name="_Toc304295557"/>
      <w:bookmarkStart w:id="978" w:name="_Toc296346669"/>
      <w:bookmarkStart w:id="979" w:name="_Toc303539137"/>
      <w:bookmarkStart w:id="980" w:name="_Toc296503168"/>
      <w:bookmarkStart w:id="981" w:name="_Toc297120468"/>
      <w:r>
        <w:rPr>
          <w:rFonts w:hint="eastAsia" w:ascii="宋体" w:hAnsi="宋体" w:cs="宋体"/>
          <w:szCs w:val="21"/>
          <w:highlight w:val="none"/>
        </w:rPr>
        <w:t>.4.1</w:t>
      </w:r>
      <w:bookmarkStart w:id="982" w:name="REVIEW_BM_1686"/>
      <w:r>
        <w:rPr>
          <w:rFonts w:hint="eastAsia" w:ascii="宋体" w:hAnsi="宋体" w:cs="宋体"/>
          <w:szCs w:val="21"/>
          <w:highlight w:val="none"/>
        </w:rPr>
        <w:t>发包人</w:t>
      </w:r>
      <w:bookmarkEnd w:id="982"/>
      <w:r>
        <w:rPr>
          <w:rFonts w:hint="eastAsia" w:ascii="宋体" w:hAnsi="宋体" w:cs="宋体"/>
          <w:szCs w:val="21"/>
          <w:highlight w:val="none"/>
        </w:rPr>
        <w:t>供应的材料设备的保管费用的承担：</w:t>
      </w:r>
      <w:r>
        <w:rPr>
          <w:rFonts w:hint="eastAsia" w:ascii="宋体" w:hAnsi="宋体" w:cs="宋体"/>
          <w:szCs w:val="21"/>
          <w:highlight w:val="none"/>
          <w:u w:val="single"/>
        </w:rPr>
        <w:t xml:space="preserve">   由</w:t>
      </w:r>
      <w:bookmarkStart w:id="983" w:name="REVIEW_BM_1687"/>
      <w:r>
        <w:rPr>
          <w:rFonts w:hint="eastAsia" w:ascii="宋体" w:hAnsi="宋体" w:cs="宋体"/>
          <w:szCs w:val="21"/>
          <w:highlight w:val="none"/>
          <w:u w:val="single"/>
        </w:rPr>
        <w:t>承包人</w:t>
      </w:r>
      <w:bookmarkEnd w:id="983"/>
      <w:r>
        <w:rPr>
          <w:rFonts w:hint="eastAsia" w:ascii="宋体" w:hAnsi="宋体" w:cs="宋体"/>
          <w:szCs w:val="21"/>
          <w:highlight w:val="none"/>
          <w:u w:val="single"/>
        </w:rPr>
        <w:t xml:space="preserve">承担    </w:t>
      </w:r>
      <w:r>
        <w:rPr>
          <w:rFonts w:hint="eastAsia" w:ascii="宋体" w:hAnsi="宋体" w:cs="宋体"/>
          <w:szCs w:val="21"/>
          <w:highlight w:val="none"/>
        </w:rPr>
        <w:t>。</w:t>
      </w:r>
      <w:bookmarkEnd w:id="964"/>
      <w:bookmarkEnd w:id="965"/>
    </w:p>
    <w:p w14:paraId="097DCD1B">
      <w:pPr>
        <w:bidi w:val="0"/>
        <w:rPr>
          <w:rFonts w:hint="eastAsia"/>
          <w:highlight w:val="none"/>
        </w:rPr>
      </w:pPr>
      <w:bookmarkStart w:id="984" w:name="_Toc407135236"/>
      <w:bookmarkStart w:id="985" w:name="_Toc373227734"/>
      <w:bookmarkStart w:id="986" w:name="_Toc373478381"/>
      <w:bookmarkStart w:id="987" w:name="_Toc487632733"/>
      <w:bookmarkStart w:id="988" w:name="_Toc389065300"/>
      <w:r>
        <w:rPr>
          <w:rFonts w:hint="eastAsia"/>
          <w:highlight w:val="none"/>
        </w:rPr>
        <w:t>8.6 样品</w:t>
      </w:r>
      <w:bookmarkEnd w:id="984"/>
      <w:bookmarkEnd w:id="985"/>
      <w:bookmarkEnd w:id="986"/>
      <w:bookmarkEnd w:id="987"/>
      <w:bookmarkEnd w:id="988"/>
    </w:p>
    <w:p w14:paraId="7008CFD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8.6.1 样品的报送与封存</w:t>
      </w:r>
    </w:p>
    <w:p w14:paraId="7AAB7B67">
      <w:pPr>
        <w:spacing w:line="360" w:lineRule="auto"/>
        <w:ind w:firstLine="420"/>
        <w:jc w:val="left"/>
        <w:rPr>
          <w:rFonts w:hint="eastAsia" w:ascii="宋体" w:hAnsi="宋体" w:eastAsia="宋体" w:cs="宋体"/>
          <w:szCs w:val="21"/>
          <w:highlight w:val="none"/>
          <w:u w:val="single"/>
          <w:lang w:eastAsia="zh-CN"/>
        </w:rPr>
      </w:pPr>
      <w:r>
        <w:rPr>
          <w:rFonts w:hint="eastAsia" w:ascii="宋体" w:hAnsi="宋体" w:cs="宋体"/>
          <w:szCs w:val="21"/>
          <w:highlight w:val="none"/>
        </w:rPr>
        <w:t>需要</w:t>
      </w:r>
      <w:bookmarkStart w:id="989" w:name="REVIEW_BM_1689"/>
      <w:r>
        <w:rPr>
          <w:rFonts w:hint="eastAsia" w:ascii="宋体" w:hAnsi="宋体" w:cs="宋体"/>
          <w:szCs w:val="21"/>
          <w:highlight w:val="none"/>
        </w:rPr>
        <w:t>承包人</w:t>
      </w:r>
      <w:bookmarkEnd w:id="989"/>
      <w:r>
        <w:rPr>
          <w:rFonts w:hint="eastAsia" w:ascii="宋体" w:hAnsi="宋体" w:cs="宋体"/>
          <w:szCs w:val="21"/>
          <w:highlight w:val="none"/>
        </w:rPr>
        <w:t>报送样品的材料或工程设备，样品的种类、名称、规格、数量要求：</w:t>
      </w:r>
      <w:r>
        <w:rPr>
          <w:rFonts w:hint="eastAsia" w:ascii="宋体" w:hAnsi="宋体" w:cs="宋体"/>
          <w:szCs w:val="21"/>
          <w:highlight w:val="none"/>
          <w:u w:val="single"/>
        </w:rPr>
        <w:t>主要材料涉及品种、款式、颜色等方面内容的，</w:t>
      </w:r>
      <w:bookmarkStart w:id="990" w:name="REVIEW_BM_1690"/>
      <w:r>
        <w:rPr>
          <w:rFonts w:hint="eastAsia" w:ascii="宋体" w:hAnsi="宋体" w:cs="宋体"/>
          <w:szCs w:val="21"/>
          <w:highlight w:val="none"/>
          <w:u w:val="single"/>
        </w:rPr>
        <w:t>承包人</w:t>
      </w:r>
      <w:bookmarkEnd w:id="990"/>
      <w:r>
        <w:rPr>
          <w:rFonts w:hint="eastAsia" w:ascii="宋体" w:hAnsi="宋体" w:cs="宋体"/>
          <w:szCs w:val="21"/>
          <w:highlight w:val="none"/>
          <w:u w:val="single"/>
        </w:rPr>
        <w:t>应提交准备合格的材料样品送发包人选定。未经</w:t>
      </w:r>
      <w:bookmarkStart w:id="991" w:name="REVIEW_BM_1688"/>
      <w:r>
        <w:rPr>
          <w:rFonts w:hint="eastAsia" w:ascii="宋体" w:hAnsi="宋体" w:cs="宋体"/>
          <w:szCs w:val="21"/>
          <w:highlight w:val="none"/>
          <w:u w:val="single"/>
        </w:rPr>
        <w:t>发包人</w:t>
      </w:r>
      <w:bookmarkEnd w:id="991"/>
      <w:r>
        <w:rPr>
          <w:rFonts w:hint="eastAsia" w:ascii="宋体" w:hAnsi="宋体" w:cs="宋体"/>
          <w:szCs w:val="21"/>
          <w:highlight w:val="none"/>
          <w:u w:val="single"/>
        </w:rPr>
        <w:t>书面同意的材料、设备等均不能用于工程上</w:t>
      </w:r>
      <w:r>
        <w:rPr>
          <w:rFonts w:hint="eastAsia" w:ascii="宋体" w:hAnsi="宋体" w:cs="宋体"/>
          <w:szCs w:val="21"/>
          <w:highlight w:val="none"/>
          <w:u w:val="single"/>
          <w:lang w:eastAsia="zh-CN"/>
        </w:rPr>
        <w:t>。</w:t>
      </w:r>
    </w:p>
    <w:p w14:paraId="3A2C90DE">
      <w:pPr>
        <w:bidi w:val="0"/>
        <w:rPr>
          <w:rFonts w:hint="eastAsia"/>
          <w:highlight w:val="none"/>
        </w:rPr>
      </w:pPr>
      <w:bookmarkStart w:id="992" w:name="_Toc389065301"/>
      <w:bookmarkStart w:id="993" w:name="_Toc407135237"/>
      <w:bookmarkStart w:id="994" w:name="_Toc373478382"/>
      <w:bookmarkStart w:id="995" w:name="_Toc487632734"/>
      <w:bookmarkStart w:id="996" w:name="_Toc373227735"/>
      <w:r>
        <w:rPr>
          <w:rFonts w:hint="eastAsia"/>
          <w:highlight w:val="none"/>
        </w:rPr>
        <w:t>8.8 施工设备和临时设施</w:t>
      </w:r>
      <w:bookmarkEnd w:id="992"/>
      <w:bookmarkEnd w:id="993"/>
      <w:bookmarkEnd w:id="994"/>
      <w:bookmarkEnd w:id="995"/>
      <w:bookmarkEnd w:id="996"/>
    </w:p>
    <w:p w14:paraId="2281EA9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8.8.1 </w:t>
      </w:r>
      <w:bookmarkStart w:id="997" w:name="REVIEW_BM_1691"/>
      <w:r>
        <w:rPr>
          <w:rFonts w:hint="eastAsia" w:ascii="宋体" w:hAnsi="宋体" w:cs="宋体"/>
          <w:szCs w:val="21"/>
          <w:highlight w:val="none"/>
        </w:rPr>
        <w:t>承包人</w:t>
      </w:r>
      <w:bookmarkEnd w:id="997"/>
      <w:r>
        <w:rPr>
          <w:rFonts w:hint="eastAsia" w:ascii="宋体" w:hAnsi="宋体" w:cs="宋体"/>
          <w:szCs w:val="21"/>
          <w:highlight w:val="none"/>
        </w:rPr>
        <w:t>提供的施工设备和临时设施</w:t>
      </w:r>
    </w:p>
    <w:p w14:paraId="3E1555C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除专用合同条款另有约定的其他独立</w:t>
      </w:r>
      <w:bookmarkStart w:id="998" w:name="REVIEW_BM_1692"/>
      <w:r>
        <w:rPr>
          <w:rFonts w:hint="eastAsia" w:ascii="宋体" w:hAnsi="宋体" w:cs="宋体"/>
          <w:szCs w:val="21"/>
          <w:highlight w:val="none"/>
        </w:rPr>
        <w:t>承包人</w:t>
      </w:r>
      <w:bookmarkEnd w:id="998"/>
      <w:r>
        <w:rPr>
          <w:rFonts w:hint="eastAsia" w:ascii="宋体" w:hAnsi="宋体" w:cs="宋体"/>
          <w:szCs w:val="21"/>
          <w:highlight w:val="none"/>
        </w:rPr>
        <w:t>和监理人指示的他人提供条件外，</w:t>
      </w:r>
      <w:bookmarkStart w:id="999" w:name="REVIEW_BM_1693"/>
      <w:r>
        <w:rPr>
          <w:rFonts w:hint="eastAsia" w:ascii="宋体" w:hAnsi="宋体" w:cs="宋体"/>
          <w:szCs w:val="21"/>
          <w:highlight w:val="none"/>
        </w:rPr>
        <w:t>承包人</w:t>
      </w:r>
      <w:bookmarkEnd w:id="999"/>
      <w:r>
        <w:rPr>
          <w:rFonts w:hint="eastAsia" w:ascii="宋体" w:hAnsi="宋体" w:cs="宋体"/>
          <w:szCs w:val="21"/>
          <w:highlight w:val="none"/>
        </w:rPr>
        <w:t>运入施工场地的所有施工设备以及在施工场地建设的临时设施仅限于用于合同工程。</w:t>
      </w:r>
      <w:bookmarkStart w:id="1000" w:name="REVIEW_BM_1694"/>
      <w:r>
        <w:rPr>
          <w:rFonts w:hint="eastAsia" w:ascii="宋体" w:hAnsi="宋体" w:cs="宋体"/>
          <w:szCs w:val="21"/>
          <w:highlight w:val="none"/>
        </w:rPr>
        <w:t>承包人</w:t>
      </w:r>
      <w:bookmarkEnd w:id="1000"/>
      <w:r>
        <w:rPr>
          <w:rFonts w:hint="eastAsia" w:ascii="宋体" w:hAnsi="宋体" w:cs="宋体"/>
          <w:szCs w:val="21"/>
          <w:highlight w:val="none"/>
        </w:rPr>
        <w:t>用于本工程的主要机械设备清单见合同附件6。</w:t>
      </w:r>
    </w:p>
    <w:p w14:paraId="1E9BAF1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关于修建临时设施费用承担的约定：</w:t>
      </w:r>
      <w:r>
        <w:rPr>
          <w:rFonts w:hint="eastAsia" w:ascii="宋体" w:hAnsi="宋体" w:cs="宋体"/>
          <w:szCs w:val="21"/>
          <w:highlight w:val="none"/>
          <w:u w:val="single"/>
        </w:rPr>
        <w:t xml:space="preserve">  由</w:t>
      </w:r>
      <w:bookmarkStart w:id="1001" w:name="REVIEW_BM_1695"/>
      <w:r>
        <w:rPr>
          <w:rFonts w:hint="eastAsia" w:ascii="宋体" w:hAnsi="宋体" w:cs="宋体"/>
          <w:szCs w:val="21"/>
          <w:highlight w:val="none"/>
          <w:u w:val="single"/>
        </w:rPr>
        <w:t>承包人</w:t>
      </w:r>
      <w:bookmarkEnd w:id="1001"/>
      <w:r>
        <w:rPr>
          <w:rFonts w:hint="eastAsia" w:ascii="宋体" w:hAnsi="宋体" w:cs="宋体"/>
          <w:szCs w:val="21"/>
          <w:highlight w:val="none"/>
          <w:u w:val="single"/>
        </w:rPr>
        <w:t xml:space="preserve">承担  </w:t>
      </w:r>
      <w:r>
        <w:rPr>
          <w:rFonts w:hint="eastAsia" w:ascii="宋体" w:hAnsi="宋体" w:cs="宋体"/>
          <w:szCs w:val="21"/>
          <w:highlight w:val="none"/>
        </w:rPr>
        <w:t>。</w:t>
      </w:r>
    </w:p>
    <w:p w14:paraId="7697631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8.8.2 </w:t>
      </w:r>
      <w:bookmarkStart w:id="1002" w:name="REVIEW_BM_1696"/>
      <w:r>
        <w:rPr>
          <w:rFonts w:hint="eastAsia" w:ascii="宋体" w:hAnsi="宋体" w:cs="宋体"/>
          <w:szCs w:val="21"/>
          <w:highlight w:val="none"/>
        </w:rPr>
        <w:t>发包人</w:t>
      </w:r>
      <w:bookmarkEnd w:id="1002"/>
      <w:r>
        <w:rPr>
          <w:rFonts w:hint="eastAsia" w:ascii="宋体" w:hAnsi="宋体" w:cs="宋体"/>
          <w:szCs w:val="21"/>
          <w:highlight w:val="none"/>
        </w:rPr>
        <w:t>提供的施工设备和临时设施</w:t>
      </w:r>
    </w:p>
    <w:p w14:paraId="4447DDDD">
      <w:pPr>
        <w:spacing w:line="360" w:lineRule="auto"/>
        <w:ind w:firstLine="420"/>
        <w:jc w:val="left"/>
        <w:rPr>
          <w:rFonts w:hint="eastAsia" w:ascii="宋体" w:hAnsi="宋体" w:cs="宋体"/>
          <w:szCs w:val="21"/>
          <w:highlight w:val="none"/>
        </w:rPr>
      </w:pPr>
      <w:bookmarkStart w:id="1003" w:name="REVIEW_BM_1697"/>
      <w:r>
        <w:rPr>
          <w:rFonts w:hint="eastAsia" w:ascii="宋体" w:hAnsi="宋体" w:cs="宋体"/>
          <w:szCs w:val="21"/>
          <w:highlight w:val="none"/>
        </w:rPr>
        <w:t>发包人</w:t>
      </w:r>
      <w:bookmarkEnd w:id="1003"/>
      <w:r>
        <w:rPr>
          <w:rFonts w:hint="eastAsia" w:ascii="宋体" w:hAnsi="宋体" w:cs="宋体"/>
          <w:szCs w:val="21"/>
          <w:highlight w:val="none"/>
        </w:rPr>
        <w:t>提供的施工设备和临时设施：</w:t>
      </w:r>
      <w:r>
        <w:rPr>
          <w:rFonts w:hint="eastAsia" w:ascii="宋体" w:hAnsi="宋体" w:cs="宋体"/>
          <w:szCs w:val="21"/>
          <w:highlight w:val="none"/>
          <w:u w:val="single"/>
        </w:rPr>
        <w:t xml:space="preserve">     双方另行约定    </w:t>
      </w:r>
      <w:r>
        <w:rPr>
          <w:rFonts w:hint="eastAsia" w:ascii="宋体" w:hAnsi="宋体" w:cs="宋体"/>
          <w:szCs w:val="21"/>
          <w:highlight w:val="none"/>
        </w:rPr>
        <w:t>。</w:t>
      </w:r>
    </w:p>
    <w:p w14:paraId="3B3B62E2">
      <w:pPr>
        <w:spacing w:line="360" w:lineRule="auto"/>
        <w:ind w:firstLine="420"/>
        <w:jc w:val="left"/>
        <w:rPr>
          <w:rFonts w:hint="eastAsia" w:ascii="宋体" w:hAnsi="宋体" w:cs="宋体"/>
          <w:szCs w:val="21"/>
          <w:highlight w:val="none"/>
        </w:rPr>
      </w:pPr>
      <w:bookmarkStart w:id="1004" w:name="REVIEW_BM_1698"/>
      <w:r>
        <w:rPr>
          <w:rFonts w:hint="eastAsia" w:ascii="宋体" w:hAnsi="宋体" w:cs="宋体"/>
          <w:szCs w:val="21"/>
          <w:highlight w:val="none"/>
        </w:rPr>
        <w:t>发包人</w:t>
      </w:r>
      <w:bookmarkEnd w:id="1004"/>
      <w:r>
        <w:rPr>
          <w:rFonts w:hint="eastAsia" w:ascii="宋体" w:hAnsi="宋体" w:cs="宋体"/>
          <w:szCs w:val="21"/>
          <w:highlight w:val="none"/>
        </w:rPr>
        <w:t>提供的施工设备和临时设施的运行、维护、拆除、清运费用的承担人：</w:t>
      </w:r>
      <w:r>
        <w:rPr>
          <w:rFonts w:hint="eastAsia" w:ascii="宋体" w:hAnsi="宋体" w:cs="宋体"/>
          <w:szCs w:val="21"/>
          <w:highlight w:val="none"/>
          <w:u w:val="single"/>
        </w:rPr>
        <w:t xml:space="preserve">  由</w:t>
      </w:r>
      <w:bookmarkStart w:id="1005" w:name="REVIEW_BM_1699"/>
      <w:r>
        <w:rPr>
          <w:rFonts w:hint="eastAsia" w:ascii="宋体" w:hAnsi="宋体" w:cs="宋体"/>
          <w:szCs w:val="21"/>
          <w:highlight w:val="none"/>
          <w:u w:val="single"/>
        </w:rPr>
        <w:t>承包人</w:t>
      </w:r>
      <w:bookmarkEnd w:id="1005"/>
      <w:r>
        <w:rPr>
          <w:rFonts w:hint="eastAsia" w:ascii="宋体" w:hAnsi="宋体" w:cs="宋体"/>
          <w:szCs w:val="21"/>
          <w:highlight w:val="none"/>
          <w:u w:val="single"/>
        </w:rPr>
        <w:t xml:space="preserve">承担  </w:t>
      </w:r>
      <w:r>
        <w:rPr>
          <w:rFonts w:hint="eastAsia" w:ascii="宋体" w:hAnsi="宋体" w:cs="宋体"/>
          <w:szCs w:val="21"/>
          <w:highlight w:val="none"/>
        </w:rPr>
        <w:t>。</w:t>
      </w:r>
      <w:bookmarkEnd w:id="966"/>
      <w:bookmarkEnd w:id="967"/>
      <w:bookmarkEnd w:id="968"/>
      <w:bookmarkEnd w:id="969"/>
      <w:bookmarkEnd w:id="970"/>
      <w:bookmarkEnd w:id="971"/>
      <w:bookmarkEnd w:id="972"/>
      <w:bookmarkEnd w:id="973"/>
      <w:bookmarkEnd w:id="974"/>
      <w:bookmarkEnd w:id="975"/>
      <w:bookmarkEnd w:id="976"/>
      <w:bookmarkEnd w:id="977"/>
      <w:bookmarkEnd w:id="978"/>
      <w:bookmarkEnd w:id="979"/>
      <w:bookmarkEnd w:id="980"/>
      <w:bookmarkEnd w:id="981"/>
    </w:p>
    <w:p w14:paraId="06953DC1">
      <w:pPr>
        <w:pStyle w:val="6"/>
        <w:bidi w:val="0"/>
        <w:rPr>
          <w:rFonts w:hint="eastAsia"/>
          <w:highlight w:val="none"/>
        </w:rPr>
      </w:pPr>
      <w:bookmarkStart w:id="1006" w:name="_Toc373478383"/>
      <w:bookmarkStart w:id="1007" w:name="_Toc487632735"/>
      <w:bookmarkStart w:id="1008" w:name="_Toc389065302"/>
      <w:bookmarkStart w:id="1009" w:name="_Toc351203641"/>
      <w:bookmarkStart w:id="1010" w:name="_Toc407135238"/>
      <w:bookmarkStart w:id="1011" w:name="_Toc373227736"/>
      <w:r>
        <w:rPr>
          <w:rFonts w:hint="eastAsia"/>
          <w:highlight w:val="none"/>
        </w:rPr>
        <w:t>9</w:t>
      </w:r>
      <w:bookmarkEnd w:id="961"/>
      <w:bookmarkEnd w:id="962"/>
      <w:bookmarkEnd w:id="963"/>
      <w:bookmarkStart w:id="1012" w:name="_Toc304295559"/>
      <w:bookmarkStart w:id="1013" w:name="_Toc303539139"/>
      <w:bookmarkStart w:id="1014" w:name="_Toc312677495"/>
      <w:bookmarkStart w:id="1015" w:name="_Toc300934982"/>
      <w:bookmarkStart w:id="1016" w:name="_Toc297123533"/>
      <w:bookmarkStart w:id="1017" w:name="_Toc297216192"/>
      <w:bookmarkStart w:id="1018" w:name="_Toc312678021"/>
      <w:bookmarkStart w:id="1019" w:name="_Toc296346674"/>
      <w:bookmarkStart w:id="1020" w:name="_Toc292559883"/>
      <w:bookmarkStart w:id="1021" w:name="_Toc267251428"/>
      <w:bookmarkStart w:id="1022" w:name="_Toc296503173"/>
      <w:bookmarkStart w:id="1023" w:name="_Toc292559378"/>
      <w:bookmarkStart w:id="1024" w:name="_Toc297120473"/>
      <w:bookmarkStart w:id="1025" w:name="_Toc296347172"/>
      <w:bookmarkStart w:id="1026" w:name="_Toc296891213"/>
      <w:bookmarkStart w:id="1027" w:name="_Toc267251427"/>
      <w:bookmarkStart w:id="1028" w:name="_Toc297048359"/>
      <w:bookmarkStart w:id="1029" w:name="_Toc296944512"/>
      <w:bookmarkStart w:id="1030" w:name="_Toc296891001"/>
      <w:r>
        <w:rPr>
          <w:rFonts w:hint="eastAsia"/>
          <w:highlight w:val="none"/>
        </w:rPr>
        <w:t>. 试验与检验</w:t>
      </w:r>
      <w:bookmarkEnd w:id="1006"/>
      <w:bookmarkEnd w:id="1007"/>
      <w:bookmarkEnd w:id="1008"/>
      <w:bookmarkEnd w:id="1009"/>
      <w:bookmarkEnd w:id="1010"/>
      <w:bookmarkEnd w:id="1011"/>
      <w:bookmarkEnd w:id="1012"/>
      <w:bookmarkEnd w:id="1013"/>
      <w:bookmarkEnd w:id="1014"/>
      <w:bookmarkEnd w:id="1015"/>
      <w:bookmarkEnd w:id="1016"/>
      <w:bookmarkEnd w:id="1017"/>
      <w:bookmarkEnd w:id="1018"/>
    </w:p>
    <w:p w14:paraId="23BC9EAE">
      <w:pPr>
        <w:bidi w:val="0"/>
        <w:rPr>
          <w:rFonts w:hint="eastAsia"/>
          <w:highlight w:val="none"/>
        </w:rPr>
      </w:pPr>
      <w:bookmarkStart w:id="1031" w:name="_Toc487632736"/>
      <w:bookmarkStart w:id="1032" w:name="_Toc407135239"/>
      <w:bookmarkStart w:id="1033" w:name="_Toc389065303"/>
      <w:bookmarkStart w:id="1034" w:name="_Toc373478384"/>
      <w:bookmarkStart w:id="1035" w:name="_Toc373227737"/>
      <w:r>
        <w:rPr>
          <w:rFonts w:hint="eastAsia"/>
          <w:highlight w:val="none"/>
        </w:rPr>
        <w:t>9</w:t>
      </w:r>
      <w:bookmarkStart w:id="1036" w:name="_Toc297123534"/>
      <w:bookmarkStart w:id="1037" w:name="_Toc312678022"/>
      <w:bookmarkStart w:id="1038" w:name="_Toc304295560"/>
      <w:bookmarkStart w:id="1039" w:name="_Toc303539140"/>
      <w:bookmarkStart w:id="1040" w:name="_Toc312677496"/>
      <w:bookmarkStart w:id="1041" w:name="_Toc300934983"/>
      <w:bookmarkStart w:id="1042" w:name="_Toc297216193"/>
      <w:r>
        <w:rPr>
          <w:rFonts w:hint="eastAsia"/>
          <w:highlight w:val="none"/>
        </w:rPr>
        <w:t>.1 试验设备与试验人员</w:t>
      </w:r>
      <w:bookmarkEnd w:id="1031"/>
      <w:bookmarkEnd w:id="1032"/>
      <w:bookmarkEnd w:id="1033"/>
      <w:bookmarkEnd w:id="1034"/>
      <w:bookmarkEnd w:id="1035"/>
      <w:bookmarkEnd w:id="1036"/>
      <w:bookmarkEnd w:id="1037"/>
      <w:bookmarkEnd w:id="1038"/>
      <w:bookmarkEnd w:id="1039"/>
      <w:bookmarkEnd w:id="1040"/>
      <w:bookmarkEnd w:id="1041"/>
      <w:bookmarkEnd w:id="1042"/>
    </w:p>
    <w:p w14:paraId="0C87673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9</w:t>
      </w:r>
      <w:bookmarkStart w:id="1043" w:name="_Toc300934984"/>
      <w:bookmarkStart w:id="1044" w:name="_Toc297123535"/>
      <w:bookmarkStart w:id="1045" w:name="_Toc312678023"/>
      <w:bookmarkStart w:id="1046" w:name="_Toc303539141"/>
      <w:bookmarkStart w:id="1047" w:name="_Toc297216194"/>
      <w:bookmarkStart w:id="1048" w:name="_Toc312677497"/>
      <w:bookmarkStart w:id="1049" w:name="_Toc304295561"/>
      <w:bookmarkStart w:id="1050" w:name="_Toc318581174"/>
      <w:r>
        <w:rPr>
          <w:rFonts w:hint="eastAsia" w:ascii="宋体" w:hAnsi="宋体" w:cs="宋体"/>
          <w:szCs w:val="21"/>
          <w:highlight w:val="none"/>
        </w:rPr>
        <w:t>.1.2 试验设备</w:t>
      </w:r>
    </w:p>
    <w:p w14:paraId="2812E130">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施工现场需要配置的试验场所：</w:t>
      </w:r>
      <w:bookmarkEnd w:id="1043"/>
      <w:bookmarkEnd w:id="1044"/>
      <w:bookmarkEnd w:id="1045"/>
      <w:bookmarkEnd w:id="1046"/>
      <w:bookmarkEnd w:id="1047"/>
      <w:bookmarkEnd w:id="1048"/>
      <w:bookmarkEnd w:id="1049"/>
      <w:bookmarkStart w:id="1051" w:name="_Toc303539142"/>
      <w:bookmarkStart w:id="1052" w:name="_Toc304295562"/>
      <w:bookmarkStart w:id="1053" w:name="_Toc312677498"/>
      <w:bookmarkStart w:id="1054" w:name="_Toc300934985"/>
      <w:bookmarkStart w:id="1055" w:name="_Toc312678024"/>
      <w:bookmarkStart w:id="1056" w:name="_Toc297216195"/>
      <w:bookmarkStart w:id="1057" w:name="_Toc297123536"/>
      <w:r>
        <w:rPr>
          <w:rFonts w:hint="eastAsia" w:ascii="宋体" w:hAnsi="宋体" w:cs="宋体"/>
          <w:szCs w:val="21"/>
          <w:highlight w:val="none"/>
          <w:u w:val="single"/>
        </w:rPr>
        <w:t xml:space="preserve">  按有关规定执行，其余均按本合同《通用条款》第9.1.2款规定执行  </w:t>
      </w:r>
      <w:r>
        <w:rPr>
          <w:rFonts w:hint="eastAsia" w:ascii="宋体" w:hAnsi="宋体" w:cs="宋体"/>
          <w:szCs w:val="21"/>
          <w:highlight w:val="none"/>
        </w:rPr>
        <w:t>。</w:t>
      </w:r>
    </w:p>
    <w:p w14:paraId="6AA6A24B">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施工现场需要配备的试验设备：</w:t>
      </w:r>
      <w:r>
        <w:rPr>
          <w:rFonts w:hint="eastAsia" w:ascii="宋体" w:hAnsi="宋体" w:cs="宋体"/>
          <w:szCs w:val="21"/>
          <w:highlight w:val="none"/>
          <w:u w:val="single"/>
        </w:rPr>
        <w:t xml:space="preserve">  按有关规定执行，其余均按本合同《通用条款》第9.1.2款规定执行  </w:t>
      </w:r>
      <w:r>
        <w:rPr>
          <w:rFonts w:hint="eastAsia" w:ascii="宋体" w:hAnsi="宋体" w:cs="宋体"/>
          <w:szCs w:val="21"/>
          <w:highlight w:val="none"/>
        </w:rPr>
        <w:t>。</w:t>
      </w:r>
    </w:p>
    <w:p w14:paraId="4806E278">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施工现场需要具备的其他试验条件：</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6E677F51">
      <w:pPr>
        <w:bidi w:val="0"/>
        <w:rPr>
          <w:rFonts w:hint="eastAsia"/>
          <w:highlight w:val="none"/>
        </w:rPr>
      </w:pPr>
      <w:bookmarkStart w:id="1058" w:name="_Toc373478385"/>
      <w:bookmarkStart w:id="1059" w:name="_Toc373227738"/>
      <w:bookmarkStart w:id="1060" w:name="_Toc389065304"/>
      <w:bookmarkStart w:id="1061" w:name="_Toc487632737"/>
      <w:bookmarkStart w:id="1062" w:name="_Toc407135240"/>
      <w:r>
        <w:rPr>
          <w:rFonts w:hint="eastAsia"/>
          <w:highlight w:val="none"/>
        </w:rPr>
        <w:t>9.4 现场工艺试验</w:t>
      </w:r>
      <w:bookmarkEnd w:id="1058"/>
      <w:bookmarkEnd w:id="1059"/>
      <w:bookmarkEnd w:id="1060"/>
      <w:bookmarkEnd w:id="1061"/>
      <w:bookmarkEnd w:id="1062"/>
      <w:r>
        <w:rPr>
          <w:rFonts w:hint="eastAsia"/>
          <w:highlight w:val="none"/>
        </w:rPr>
        <w:t xml:space="preserve"> </w:t>
      </w:r>
    </w:p>
    <w:p w14:paraId="6FF09422">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现场工艺试验的有关约定：</w:t>
      </w:r>
      <w:r>
        <w:rPr>
          <w:rFonts w:hint="eastAsia" w:ascii="宋体" w:hAnsi="宋体" w:cs="宋体"/>
          <w:szCs w:val="21"/>
          <w:highlight w:val="none"/>
          <w:u w:val="single"/>
        </w:rPr>
        <w:t xml:space="preserve">  需要时双方协商   </w:t>
      </w:r>
      <w:r>
        <w:rPr>
          <w:rFonts w:hint="eastAsia" w:ascii="宋体" w:hAnsi="宋体" w:cs="宋体"/>
          <w:szCs w:val="21"/>
          <w:highlight w:val="none"/>
        </w:rPr>
        <w:t>。</w:t>
      </w:r>
    </w:p>
    <w:p w14:paraId="63D01D11">
      <w:pPr>
        <w:bidi w:val="0"/>
        <w:rPr>
          <w:rFonts w:hint="eastAsia"/>
          <w:highlight w:val="none"/>
        </w:rPr>
      </w:pPr>
      <w:bookmarkStart w:id="1063" w:name="_Toc407135241"/>
      <w:bookmarkStart w:id="1064" w:name="_Toc487632738"/>
      <w:r>
        <w:rPr>
          <w:rFonts w:hint="eastAsia"/>
          <w:highlight w:val="none"/>
        </w:rPr>
        <w:t>9.5 检验费用</w:t>
      </w:r>
      <w:bookmarkEnd w:id="1063"/>
      <w:bookmarkEnd w:id="1064"/>
    </w:p>
    <w:p w14:paraId="7BC310B7">
      <w:pPr>
        <w:spacing w:line="360" w:lineRule="auto"/>
        <w:ind w:firstLine="411"/>
        <w:rPr>
          <w:rFonts w:hint="eastAsia" w:ascii="宋体" w:hAnsi="宋体" w:cs="宋体"/>
          <w:szCs w:val="21"/>
          <w:highlight w:val="none"/>
        </w:rPr>
      </w:pPr>
      <w:r>
        <w:rPr>
          <w:rFonts w:hint="eastAsia" w:ascii="宋体" w:hAnsi="宋体" w:cs="宋体"/>
          <w:szCs w:val="21"/>
          <w:highlight w:val="none"/>
        </w:rPr>
        <w:t>根据《建设工程质量检测管理办法》（住房和城乡建设部令第 57 号）以及《广西壮族自治区建设工程质量检测管理实施细则》（桂建发〔2025〕5 号）规定</w:t>
      </w:r>
      <w:r>
        <w:rPr>
          <w:highlight w:val="none"/>
        </w:rPr>
        <w:t>﻿</w:t>
      </w:r>
      <w:r>
        <w:rPr>
          <w:rFonts w:hint="eastAsia" w:ascii="宋体" w:hAnsi="宋体" w:cs="宋体"/>
          <w:szCs w:val="21"/>
          <w:highlight w:val="none"/>
        </w:rPr>
        <w:t>，工程质量检测业务由</w:t>
      </w:r>
      <w:bookmarkStart w:id="1065" w:name="REVIEW_BM_1700"/>
      <w:r>
        <w:rPr>
          <w:rFonts w:hint="eastAsia" w:ascii="宋体" w:hAnsi="宋体" w:cs="宋体"/>
          <w:szCs w:val="21"/>
          <w:highlight w:val="none"/>
        </w:rPr>
        <w:t>发包人</w:t>
      </w:r>
      <w:bookmarkEnd w:id="1065"/>
      <w:r>
        <w:rPr>
          <w:rFonts w:hint="eastAsia" w:ascii="宋体" w:hAnsi="宋体" w:cs="宋体"/>
          <w:szCs w:val="21"/>
          <w:highlight w:val="none"/>
        </w:rPr>
        <w:t>委托有相应资质的检测机构检测。费用从</w:t>
      </w:r>
      <w:bookmarkStart w:id="1066" w:name="REVIEW_BM_1701"/>
      <w:r>
        <w:rPr>
          <w:rFonts w:hint="eastAsia" w:ascii="宋体" w:hAnsi="宋体" w:cs="宋体"/>
          <w:szCs w:val="21"/>
          <w:highlight w:val="none"/>
        </w:rPr>
        <w:t>发包人</w:t>
      </w:r>
      <w:bookmarkEnd w:id="1066"/>
      <w:r>
        <w:rPr>
          <w:rFonts w:hint="eastAsia" w:ascii="宋体" w:hAnsi="宋体" w:cs="宋体"/>
          <w:szCs w:val="21"/>
          <w:highlight w:val="none"/>
        </w:rPr>
        <w:t>的项目建设经费中支出并直接支付给检测机构，不计入合同价款内。</w:t>
      </w:r>
      <w:bookmarkEnd w:id="1050"/>
      <w:bookmarkEnd w:id="1051"/>
      <w:bookmarkEnd w:id="1052"/>
      <w:bookmarkEnd w:id="1053"/>
      <w:bookmarkEnd w:id="1054"/>
      <w:bookmarkEnd w:id="1055"/>
      <w:bookmarkEnd w:id="1056"/>
      <w:bookmarkEnd w:id="1057"/>
    </w:p>
    <w:p w14:paraId="515C5387">
      <w:pPr>
        <w:pStyle w:val="6"/>
        <w:bidi w:val="0"/>
        <w:rPr>
          <w:rFonts w:hint="eastAsia"/>
          <w:highlight w:val="none"/>
        </w:rPr>
      </w:pPr>
      <w:bookmarkStart w:id="1067" w:name="_Toc487632739"/>
      <w:bookmarkStart w:id="1068" w:name="_Toc351203642"/>
      <w:bookmarkStart w:id="1069" w:name="_Toc407135242"/>
      <w:bookmarkStart w:id="1070" w:name="_Toc373478386"/>
      <w:bookmarkStart w:id="1071" w:name="_Toc373227739"/>
      <w:bookmarkStart w:id="1072" w:name="_Toc389065305"/>
      <w:r>
        <w:rPr>
          <w:rFonts w:hint="eastAsia"/>
          <w:highlight w:val="none"/>
        </w:rPr>
        <w:t>1</w:t>
      </w:r>
      <w:bookmarkEnd w:id="1019"/>
      <w:bookmarkEnd w:id="1020"/>
      <w:bookmarkEnd w:id="1021"/>
      <w:bookmarkEnd w:id="1022"/>
      <w:bookmarkEnd w:id="1023"/>
      <w:bookmarkEnd w:id="1024"/>
      <w:bookmarkEnd w:id="1025"/>
      <w:bookmarkEnd w:id="1026"/>
      <w:bookmarkEnd w:id="1027"/>
      <w:bookmarkEnd w:id="1028"/>
      <w:bookmarkEnd w:id="1029"/>
      <w:bookmarkEnd w:id="1030"/>
      <w:bookmarkStart w:id="1073" w:name="_Toc296944532"/>
      <w:bookmarkStart w:id="1074" w:name="_Toc296891233"/>
      <w:bookmarkStart w:id="1075" w:name="_Toc297120493"/>
      <w:bookmarkStart w:id="1076" w:name="_Toc303539146"/>
      <w:bookmarkStart w:id="1077" w:name="_Toc297048379"/>
      <w:bookmarkStart w:id="1078" w:name="_Toc292559398"/>
      <w:bookmarkStart w:id="1079" w:name="_Toc296503193"/>
      <w:bookmarkStart w:id="1080" w:name="_Toc297123540"/>
      <w:bookmarkStart w:id="1081" w:name="_Toc296891021"/>
      <w:bookmarkStart w:id="1082" w:name="_Toc312677499"/>
      <w:bookmarkStart w:id="1083" w:name="_Toc296346694"/>
      <w:bookmarkStart w:id="1084" w:name="_Toc296347192"/>
      <w:bookmarkStart w:id="1085" w:name="_Toc312678025"/>
      <w:bookmarkStart w:id="1086" w:name="_Toc304295566"/>
      <w:bookmarkStart w:id="1087" w:name="_Toc297216199"/>
      <w:bookmarkStart w:id="1088" w:name="_Toc300934989"/>
      <w:bookmarkStart w:id="1089" w:name="_Toc292559903"/>
      <w:bookmarkStart w:id="1090" w:name="_Toc267251439"/>
      <w:bookmarkStart w:id="1091" w:name="_Toc267251433"/>
      <w:bookmarkStart w:id="1092" w:name="_Toc267251437"/>
      <w:bookmarkStart w:id="1093" w:name="_Toc267251440"/>
      <w:bookmarkStart w:id="1094" w:name="_Toc267251435"/>
      <w:bookmarkStart w:id="1095" w:name="_Toc267251441"/>
      <w:bookmarkStart w:id="1096" w:name="_Toc267251442"/>
      <w:r>
        <w:rPr>
          <w:rFonts w:hint="eastAsia"/>
          <w:highlight w:val="none"/>
        </w:rPr>
        <w:t>0. 变更</w:t>
      </w:r>
      <w:bookmarkEnd w:id="1067"/>
      <w:bookmarkEnd w:id="1068"/>
      <w:bookmarkEnd w:id="1069"/>
      <w:bookmarkEnd w:id="1070"/>
      <w:bookmarkEnd w:id="1071"/>
      <w:bookmarkEnd w:id="1072"/>
      <w:bookmarkEnd w:id="1073"/>
      <w:bookmarkEnd w:id="1074"/>
      <w:bookmarkEnd w:id="1075"/>
      <w:bookmarkEnd w:id="1076"/>
      <w:bookmarkEnd w:id="1077"/>
      <w:bookmarkEnd w:id="1078"/>
      <w:bookmarkEnd w:id="1079"/>
      <w:bookmarkEnd w:id="1080"/>
      <w:bookmarkEnd w:id="1081"/>
      <w:bookmarkEnd w:id="1082"/>
      <w:bookmarkEnd w:id="1083"/>
      <w:bookmarkEnd w:id="1084"/>
      <w:bookmarkEnd w:id="1085"/>
      <w:bookmarkEnd w:id="1086"/>
      <w:bookmarkEnd w:id="1087"/>
      <w:bookmarkEnd w:id="1088"/>
      <w:bookmarkEnd w:id="1089"/>
    </w:p>
    <w:p w14:paraId="44F8BF6D">
      <w:pPr>
        <w:bidi w:val="0"/>
        <w:rPr>
          <w:rFonts w:hint="eastAsia"/>
          <w:highlight w:val="none"/>
        </w:rPr>
      </w:pPr>
      <w:bookmarkStart w:id="1097" w:name="_Toc487632740"/>
      <w:bookmarkStart w:id="1098" w:name="_Toc373227740"/>
      <w:bookmarkStart w:id="1099" w:name="_Toc373478387"/>
      <w:bookmarkStart w:id="1100" w:name="_Toc389065306"/>
      <w:bookmarkStart w:id="1101" w:name="_Toc407135243"/>
      <w:r>
        <w:rPr>
          <w:rFonts w:hint="eastAsia"/>
          <w:highlight w:val="none"/>
        </w:rPr>
        <w:t>1</w:t>
      </w:r>
      <w:bookmarkStart w:id="1102" w:name="_Toc296347193"/>
      <w:bookmarkStart w:id="1103" w:name="_Toc292559904"/>
      <w:bookmarkStart w:id="1104" w:name="_Toc296944533"/>
      <w:bookmarkStart w:id="1105" w:name="_Toc303539147"/>
      <w:bookmarkStart w:id="1106" w:name="_Toc304295567"/>
      <w:bookmarkStart w:id="1107" w:name="_Toc292559399"/>
      <w:bookmarkStart w:id="1108" w:name="_Toc312678026"/>
      <w:bookmarkStart w:id="1109" w:name="_Toc297216200"/>
      <w:bookmarkStart w:id="1110" w:name="_Toc312677500"/>
      <w:bookmarkStart w:id="1111" w:name="_Toc297048380"/>
      <w:bookmarkStart w:id="1112" w:name="_Toc296346695"/>
      <w:bookmarkStart w:id="1113" w:name="_Toc296891022"/>
      <w:bookmarkStart w:id="1114" w:name="_Toc297123541"/>
      <w:bookmarkStart w:id="1115" w:name="_Toc296891234"/>
      <w:bookmarkStart w:id="1116" w:name="_Toc300934990"/>
      <w:bookmarkStart w:id="1117" w:name="_Toc297120494"/>
      <w:bookmarkStart w:id="1118" w:name="_Toc296503194"/>
      <w:r>
        <w:rPr>
          <w:rFonts w:hint="eastAsia"/>
          <w:highlight w:val="none"/>
        </w:rPr>
        <w:t>0.1 变更的范围</w:t>
      </w:r>
      <w:bookmarkEnd w:id="1097"/>
      <w:bookmarkEnd w:id="1098"/>
      <w:bookmarkEnd w:id="1099"/>
      <w:bookmarkEnd w:id="1100"/>
      <w:bookmarkEnd w:id="1101"/>
    </w:p>
    <w:p w14:paraId="467FC647">
      <w:pPr>
        <w:spacing w:line="360" w:lineRule="auto"/>
        <w:ind w:firstLine="426"/>
        <w:jc w:val="left"/>
        <w:rPr>
          <w:rFonts w:hint="eastAsia" w:ascii="宋体" w:hAnsi="宋体" w:cs="宋体"/>
          <w:szCs w:val="21"/>
          <w:highlight w:val="none"/>
          <w:u w:val="single"/>
        </w:rPr>
      </w:pPr>
      <w:r>
        <w:rPr>
          <w:rFonts w:hint="eastAsia" w:ascii="宋体" w:hAnsi="宋体" w:cs="宋体"/>
          <w:szCs w:val="21"/>
          <w:highlight w:val="none"/>
        </w:rPr>
        <w:t>关于变更的范围的约定：</w:t>
      </w:r>
      <w:r>
        <w:rPr>
          <w:rFonts w:hint="eastAsia" w:ascii="宋体" w:hAnsi="宋体" w:cs="宋体"/>
          <w:szCs w:val="21"/>
          <w:highlight w:val="none"/>
          <w:u w:val="single"/>
        </w:rPr>
        <w:t>变更范围除通用条款约定外，本工程变更为图纸未包含或</w:t>
      </w:r>
      <w:bookmarkStart w:id="1119" w:name="REVIEW_BM_1702"/>
      <w:r>
        <w:rPr>
          <w:rFonts w:hint="eastAsia" w:ascii="宋体" w:hAnsi="宋体" w:cs="宋体"/>
          <w:szCs w:val="21"/>
          <w:highlight w:val="none"/>
          <w:u w:val="single"/>
        </w:rPr>
        <w:t>发包人</w:t>
      </w:r>
      <w:bookmarkEnd w:id="1119"/>
      <w:r>
        <w:rPr>
          <w:rFonts w:hint="eastAsia" w:ascii="宋体" w:hAnsi="宋体" w:cs="宋体"/>
          <w:szCs w:val="21"/>
          <w:highlight w:val="none"/>
          <w:u w:val="single"/>
        </w:rPr>
        <w:t>要求增加或减少的工程内容，不含</w:t>
      </w:r>
      <w:bookmarkStart w:id="1120" w:name="REVIEW_BM_1703"/>
      <w:r>
        <w:rPr>
          <w:rFonts w:hint="eastAsia" w:ascii="宋体" w:hAnsi="宋体" w:cs="宋体"/>
          <w:szCs w:val="21"/>
          <w:highlight w:val="none"/>
          <w:u w:val="single"/>
        </w:rPr>
        <w:t>承包人</w:t>
      </w:r>
      <w:bookmarkEnd w:id="1120"/>
      <w:r>
        <w:rPr>
          <w:rFonts w:hint="eastAsia" w:ascii="宋体" w:hAnsi="宋体" w:cs="宋体"/>
          <w:szCs w:val="21"/>
          <w:highlight w:val="none"/>
          <w:u w:val="single"/>
        </w:rPr>
        <w:t>在投标时因自身原因而漏报、少报、错报部分的工程内容。</w:t>
      </w:r>
    </w:p>
    <w:p w14:paraId="166F18C3">
      <w:pPr>
        <w:spacing w:line="360" w:lineRule="auto"/>
        <w:ind w:firstLine="426"/>
        <w:jc w:val="left"/>
        <w:rPr>
          <w:rFonts w:hint="eastAsia" w:ascii="宋体" w:hAnsi="宋体" w:cs="宋体"/>
          <w:szCs w:val="21"/>
          <w:highlight w:val="none"/>
          <w:u w:val="single"/>
        </w:rPr>
      </w:pPr>
      <w:r>
        <w:rPr>
          <w:rFonts w:hint="eastAsia" w:ascii="宋体" w:hAnsi="宋体" w:cs="宋体"/>
          <w:szCs w:val="21"/>
          <w:highlight w:val="none"/>
          <w:u w:val="single"/>
        </w:rPr>
        <w:t>变更不应以任何方式使合同作废或无效，但所有变更对扣除价值的影响（如有）应按本合同进行变更计价。如果</w:t>
      </w:r>
      <w:bookmarkStart w:id="1121" w:name="REVIEW_BM_1704"/>
      <w:r>
        <w:rPr>
          <w:rFonts w:hint="eastAsia" w:ascii="宋体" w:hAnsi="宋体" w:cs="宋体"/>
          <w:szCs w:val="21"/>
          <w:highlight w:val="none"/>
          <w:u w:val="single"/>
        </w:rPr>
        <w:t>发包人</w:t>
      </w:r>
      <w:bookmarkEnd w:id="1121"/>
      <w:r>
        <w:rPr>
          <w:rFonts w:hint="eastAsia" w:ascii="宋体" w:hAnsi="宋体" w:cs="宋体"/>
          <w:szCs w:val="21"/>
          <w:highlight w:val="none"/>
          <w:u w:val="single"/>
        </w:rPr>
        <w:t>或</w:t>
      </w:r>
      <w:bookmarkStart w:id="1122" w:name="REVIEW_BM_1705"/>
      <w:r>
        <w:rPr>
          <w:rFonts w:hint="eastAsia" w:ascii="宋体" w:hAnsi="宋体" w:cs="宋体"/>
          <w:szCs w:val="21"/>
          <w:highlight w:val="none"/>
          <w:u w:val="single"/>
        </w:rPr>
        <w:t>发包人</w:t>
      </w:r>
      <w:bookmarkEnd w:id="1122"/>
      <w:r>
        <w:rPr>
          <w:rFonts w:hint="eastAsia" w:ascii="宋体" w:hAnsi="宋体" w:cs="宋体"/>
          <w:szCs w:val="21"/>
          <w:highlight w:val="none"/>
          <w:u w:val="single"/>
        </w:rPr>
        <w:t>通过监理人发出指令进行工程变更完全是因为：（1）</w:t>
      </w:r>
      <w:bookmarkStart w:id="1123" w:name="REVIEW_BM_1707"/>
      <w:r>
        <w:rPr>
          <w:rFonts w:hint="eastAsia" w:ascii="宋体" w:hAnsi="宋体" w:cs="宋体"/>
          <w:szCs w:val="21"/>
          <w:highlight w:val="none"/>
          <w:u w:val="single"/>
        </w:rPr>
        <w:t>承包人</w:t>
      </w:r>
      <w:bookmarkEnd w:id="1123"/>
      <w:r>
        <w:rPr>
          <w:rFonts w:hint="eastAsia" w:ascii="宋体" w:hAnsi="宋体" w:cs="宋体"/>
          <w:szCs w:val="21"/>
          <w:highlight w:val="none"/>
          <w:u w:val="single"/>
        </w:rPr>
        <w:t>违约或毁约；（2）</w:t>
      </w:r>
      <w:bookmarkStart w:id="1124" w:name="REVIEW_BM_1708"/>
      <w:r>
        <w:rPr>
          <w:rFonts w:hint="eastAsia" w:ascii="宋体" w:hAnsi="宋体" w:cs="宋体"/>
          <w:szCs w:val="21"/>
          <w:highlight w:val="none"/>
          <w:u w:val="single"/>
        </w:rPr>
        <w:t>承包人</w:t>
      </w:r>
      <w:bookmarkEnd w:id="1124"/>
      <w:r>
        <w:rPr>
          <w:rFonts w:hint="eastAsia" w:ascii="宋体" w:hAnsi="宋体" w:cs="宋体"/>
          <w:szCs w:val="21"/>
          <w:highlight w:val="none"/>
          <w:u w:val="single"/>
        </w:rPr>
        <w:t>自身的施工</w:t>
      </w:r>
      <w:bookmarkStart w:id="1125" w:name="REVIEW_BM_1713"/>
      <w:r>
        <w:rPr>
          <w:rFonts w:hint="eastAsia" w:ascii="宋体" w:hAnsi="宋体" w:cs="宋体"/>
          <w:szCs w:val="21"/>
          <w:highlight w:val="none"/>
          <w:u w:val="single"/>
        </w:rPr>
        <w:t>方便</w:t>
      </w:r>
      <w:bookmarkEnd w:id="1125"/>
      <w:r>
        <w:rPr>
          <w:rFonts w:hint="eastAsia" w:ascii="宋体" w:hAnsi="宋体" w:cs="宋体"/>
          <w:szCs w:val="21"/>
          <w:highlight w:val="none"/>
          <w:u w:val="single"/>
        </w:rPr>
        <w:t>；（3）</w:t>
      </w:r>
      <w:bookmarkStart w:id="1126" w:name="REVIEW_BM_1709"/>
      <w:r>
        <w:rPr>
          <w:rFonts w:hint="eastAsia" w:ascii="宋体" w:hAnsi="宋体" w:cs="宋体"/>
          <w:szCs w:val="21"/>
          <w:highlight w:val="none"/>
          <w:u w:val="single"/>
        </w:rPr>
        <w:t>承包人</w:t>
      </w:r>
      <w:bookmarkEnd w:id="1126"/>
      <w:r>
        <w:rPr>
          <w:rFonts w:hint="eastAsia" w:ascii="宋体" w:hAnsi="宋体" w:cs="宋体"/>
          <w:szCs w:val="21"/>
          <w:highlight w:val="none"/>
          <w:u w:val="single"/>
        </w:rPr>
        <w:t>施工措施的需要；（4）</w:t>
      </w:r>
      <w:bookmarkStart w:id="1127" w:name="REVIEW_BM_1710"/>
      <w:r>
        <w:rPr>
          <w:rFonts w:hint="eastAsia" w:ascii="宋体" w:hAnsi="宋体" w:cs="宋体"/>
          <w:szCs w:val="21"/>
          <w:highlight w:val="none"/>
          <w:u w:val="single"/>
        </w:rPr>
        <w:t>承包人</w:t>
      </w:r>
      <w:bookmarkEnd w:id="1127"/>
      <w:r>
        <w:rPr>
          <w:rFonts w:hint="eastAsia" w:ascii="宋体" w:hAnsi="宋体" w:cs="宋体"/>
          <w:szCs w:val="21"/>
          <w:highlight w:val="none"/>
          <w:u w:val="single"/>
        </w:rPr>
        <w:t>的其他原因。则由于本款（1）～（4）原因引起变更的费用由</w:t>
      </w:r>
      <w:bookmarkStart w:id="1128" w:name="REVIEW_BM_1711"/>
      <w:r>
        <w:rPr>
          <w:rFonts w:hint="eastAsia" w:ascii="宋体" w:hAnsi="宋体" w:cs="宋体"/>
          <w:szCs w:val="21"/>
          <w:highlight w:val="none"/>
          <w:u w:val="single"/>
        </w:rPr>
        <w:t>承包人</w:t>
      </w:r>
      <w:bookmarkEnd w:id="1128"/>
      <w:r>
        <w:rPr>
          <w:rFonts w:hint="eastAsia" w:ascii="宋体" w:hAnsi="宋体" w:cs="宋体"/>
          <w:szCs w:val="21"/>
          <w:highlight w:val="none"/>
          <w:u w:val="single"/>
        </w:rPr>
        <w:t>承担，</w:t>
      </w:r>
      <w:bookmarkStart w:id="1129" w:name="REVIEW_BM_1712"/>
      <w:r>
        <w:rPr>
          <w:rFonts w:hint="eastAsia" w:ascii="宋体" w:hAnsi="宋体" w:cs="宋体"/>
          <w:szCs w:val="21"/>
          <w:highlight w:val="none"/>
          <w:u w:val="single"/>
        </w:rPr>
        <w:t>承包人</w:t>
      </w:r>
      <w:bookmarkEnd w:id="1129"/>
      <w:r>
        <w:rPr>
          <w:rFonts w:hint="eastAsia" w:ascii="宋体" w:hAnsi="宋体" w:cs="宋体"/>
          <w:szCs w:val="21"/>
          <w:highlight w:val="none"/>
          <w:u w:val="single"/>
        </w:rPr>
        <w:t>不得要求</w:t>
      </w:r>
      <w:bookmarkStart w:id="1130" w:name="REVIEW_BM_1706"/>
      <w:r>
        <w:rPr>
          <w:rFonts w:hint="eastAsia" w:ascii="宋体" w:hAnsi="宋体" w:cs="宋体"/>
          <w:szCs w:val="21"/>
          <w:highlight w:val="none"/>
          <w:u w:val="single"/>
        </w:rPr>
        <w:t>发包人</w:t>
      </w:r>
      <w:bookmarkEnd w:id="1130"/>
      <w:r>
        <w:rPr>
          <w:rFonts w:hint="eastAsia" w:ascii="宋体" w:hAnsi="宋体" w:cs="宋体"/>
          <w:szCs w:val="21"/>
          <w:highlight w:val="none"/>
          <w:u w:val="single"/>
        </w:rPr>
        <w:t>签署费用变更单。</w:t>
      </w:r>
    </w:p>
    <w:p w14:paraId="1D756654">
      <w:pPr>
        <w:spacing w:line="360" w:lineRule="auto"/>
        <w:ind w:firstLine="426"/>
        <w:jc w:val="left"/>
        <w:rPr>
          <w:rFonts w:hint="eastAsia" w:ascii="宋体" w:hAnsi="宋体" w:cs="宋体"/>
          <w:szCs w:val="21"/>
          <w:highlight w:val="none"/>
        </w:rPr>
      </w:pPr>
      <w:r>
        <w:rPr>
          <w:rFonts w:hint="eastAsia" w:ascii="宋体" w:hAnsi="宋体" w:cs="宋体"/>
          <w:szCs w:val="21"/>
          <w:highlight w:val="none"/>
          <w:u w:val="single"/>
        </w:rPr>
        <w:t>包含在总包合同范围内的暂估价材料、设备和专业分包工程认价过程中考察市场价格、编制招标文件及控制价、组织开评标等发生的相关费用，均由</w:t>
      </w:r>
      <w:bookmarkStart w:id="1131" w:name="REVIEW_BM_1714"/>
      <w:r>
        <w:rPr>
          <w:rFonts w:hint="eastAsia" w:ascii="宋体" w:hAnsi="宋体" w:cs="宋体"/>
          <w:szCs w:val="21"/>
          <w:highlight w:val="none"/>
          <w:u w:val="single"/>
        </w:rPr>
        <w:t>承包人</w:t>
      </w:r>
      <w:bookmarkEnd w:id="1131"/>
      <w:r>
        <w:rPr>
          <w:rFonts w:hint="eastAsia" w:ascii="宋体" w:hAnsi="宋体" w:cs="宋体"/>
          <w:szCs w:val="21"/>
          <w:highlight w:val="none"/>
          <w:u w:val="single"/>
        </w:rPr>
        <w:t>负担，结算时不再调整。</w:t>
      </w:r>
    </w:p>
    <w:p w14:paraId="54B9451F">
      <w:pPr>
        <w:bidi w:val="0"/>
        <w:rPr>
          <w:rFonts w:hint="eastAsia"/>
          <w:highlight w:val="none"/>
        </w:rPr>
      </w:pPr>
      <w:bookmarkStart w:id="1132" w:name="_Toc407135245"/>
      <w:bookmarkStart w:id="1133" w:name="_Toc373227742"/>
      <w:bookmarkStart w:id="1134" w:name="_Toc487632742"/>
      <w:bookmarkStart w:id="1135" w:name="_Toc373478389"/>
      <w:bookmarkStart w:id="1136" w:name="_Toc389065308"/>
      <w:r>
        <w:rPr>
          <w:rFonts w:hint="eastAsia"/>
          <w:highlight w:val="none"/>
        </w:rPr>
        <w:t>10.4 变更估价</w:t>
      </w:r>
      <w:bookmarkEnd w:id="1132"/>
      <w:bookmarkEnd w:id="1133"/>
      <w:bookmarkEnd w:id="1134"/>
      <w:bookmarkEnd w:id="1135"/>
      <w:bookmarkEnd w:id="1136"/>
    </w:p>
    <w:p w14:paraId="4DA4A28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10.4.1 变更估价原则</w:t>
      </w:r>
    </w:p>
    <w:p w14:paraId="49820191">
      <w:pPr>
        <w:spacing w:line="360" w:lineRule="auto"/>
        <w:ind w:firstLine="420"/>
        <w:jc w:val="left"/>
        <w:rPr>
          <w:rFonts w:hAnsi="宋体"/>
          <w:color w:val="auto"/>
          <w:highlight w:val="none"/>
        </w:rPr>
      </w:pPr>
      <w:r>
        <w:rPr>
          <w:rFonts w:hint="eastAsia" w:ascii="宋体" w:hAnsi="宋体" w:cs="宋体"/>
          <w:szCs w:val="21"/>
          <w:highlight w:val="none"/>
        </w:rPr>
        <w:t xml:space="preserve">关于变更估价的约定: </w:t>
      </w:r>
      <w:r>
        <w:rPr>
          <w:rFonts w:hint="eastAsia" w:ascii="宋体" w:hAnsi="宋体" w:cs="宋体"/>
          <w:szCs w:val="21"/>
          <w:highlight w:val="none"/>
          <w:u w:val="single"/>
        </w:rPr>
        <w:t xml:space="preserve"> </w:t>
      </w:r>
      <w:r>
        <w:rPr>
          <w:color w:val="auto"/>
          <w:highlight w:val="none"/>
          <w:u w:val="single"/>
        </w:rPr>
        <w:t xml:space="preserve"> </w:t>
      </w:r>
      <w:bookmarkStart w:id="1137" w:name="_Toc251051742"/>
      <w:r>
        <w:rPr>
          <w:rFonts w:hint="eastAsia" w:hAnsi="宋体" w:cs="宋体"/>
          <w:color w:val="auto"/>
          <w:highlight w:val="none"/>
          <w:u w:val="single"/>
        </w:rPr>
        <w:t>工程变更合同价款按下列方法进行：（</w:t>
      </w:r>
      <w:r>
        <w:rPr>
          <w:color w:val="auto"/>
          <w:highlight w:val="none"/>
          <w:u w:val="single"/>
        </w:rPr>
        <w:t>1</w:t>
      </w:r>
      <w:r>
        <w:rPr>
          <w:rFonts w:hint="eastAsia" w:hAnsi="宋体" w:cs="宋体"/>
          <w:color w:val="auto"/>
          <w:highlight w:val="none"/>
          <w:u w:val="single"/>
        </w:rPr>
        <w:t>）合同中已有相同清单项目的，按合同该清单项目价格进行计算；（</w:t>
      </w:r>
      <w:r>
        <w:rPr>
          <w:color w:val="auto"/>
          <w:highlight w:val="none"/>
          <w:u w:val="single"/>
        </w:rPr>
        <w:t>2</w:t>
      </w:r>
      <w:r>
        <w:rPr>
          <w:rFonts w:hint="eastAsia" w:hAnsi="宋体" w:cs="宋体"/>
          <w:color w:val="auto"/>
          <w:highlight w:val="none"/>
          <w:u w:val="single"/>
        </w:rPr>
        <w:t>）合同中只有类似清单项目的，参照该类似清单项目价格进行计算；（</w:t>
      </w:r>
      <w:r>
        <w:rPr>
          <w:color w:val="auto"/>
          <w:highlight w:val="none"/>
          <w:u w:val="single"/>
        </w:rPr>
        <w:t>3</w:t>
      </w:r>
      <w:r>
        <w:rPr>
          <w:rFonts w:hint="eastAsia" w:hAnsi="宋体" w:cs="宋体"/>
          <w:color w:val="auto"/>
          <w:highlight w:val="none"/>
          <w:u w:val="single"/>
        </w:rPr>
        <w:t>）合同中没有适用或类似清单项目的价格计算方法：有定额的套定额，并（</w:t>
      </w:r>
      <w:r>
        <w:rPr>
          <w:rFonts w:hint="eastAsia" w:cs="宋体"/>
          <w:b/>
          <w:bCs/>
          <w:color w:val="auto"/>
          <w:highlight w:val="none"/>
          <w:lang w:eastAsia="zh-CN"/>
        </w:rPr>
        <w:t>☑</w:t>
      </w:r>
      <w:r>
        <w:rPr>
          <w:rFonts w:hint="eastAsia" w:hAnsi="宋体" w:cs="宋体"/>
          <w:color w:val="auto"/>
          <w:highlight w:val="none"/>
          <w:u w:val="single"/>
        </w:rPr>
        <w:t>乘以下浮系数</w:t>
      </w:r>
      <w:r>
        <w:rPr>
          <w:color w:val="auto"/>
          <w:highlight w:val="none"/>
          <w:u w:val="single"/>
        </w:rPr>
        <w:t xml:space="preserve"> </w:t>
      </w:r>
      <w:r>
        <w:rPr>
          <w:rFonts w:hint="eastAsia"/>
          <w:color w:val="auto"/>
          <w:highlight w:val="none"/>
          <w:u w:val="single"/>
          <w:lang w:val="en-US" w:eastAsia="zh-CN"/>
        </w:rPr>
        <w:t xml:space="preserve"> </w:t>
      </w:r>
      <w:r>
        <w:rPr>
          <w:color w:val="auto"/>
          <w:highlight w:val="none"/>
          <w:u w:val="single"/>
        </w:rPr>
        <w:t xml:space="preserve"> %</w:t>
      </w:r>
      <w:r>
        <w:rPr>
          <w:rFonts w:hint="eastAsia"/>
          <w:color w:val="auto"/>
          <w:highlight w:val="none"/>
          <w:u w:val="single"/>
        </w:rPr>
        <w:t>（中标价/经业主审定的工程招标控制价）</w:t>
      </w:r>
      <w:r>
        <w:rPr>
          <w:rFonts w:hint="eastAsia" w:cs="宋体"/>
          <w:color w:val="auto"/>
          <w:highlight w:val="none"/>
          <w:u w:val="single"/>
        </w:rPr>
        <w:t>，</w:t>
      </w:r>
      <w:r>
        <w:rPr>
          <w:rFonts w:hint="eastAsia" w:cs="宋体"/>
          <w:b/>
          <w:bCs/>
          <w:color w:val="auto"/>
          <w:highlight w:val="none"/>
          <w:lang w:eastAsia="zh-CN"/>
        </w:rPr>
        <w:t>□</w:t>
      </w:r>
      <w:r>
        <w:rPr>
          <w:rFonts w:hint="eastAsia" w:hAnsi="宋体" w:cs="宋体"/>
          <w:color w:val="auto"/>
          <w:highlight w:val="none"/>
          <w:u w:val="single"/>
        </w:rPr>
        <w:t>不乘下浮系数）计算，其中：材料设备价格按</w:t>
      </w:r>
      <w:bookmarkStart w:id="1138" w:name="REVIEW_BM_1715"/>
      <w:r>
        <w:rPr>
          <w:rFonts w:hint="eastAsia" w:hAnsi="宋体" w:cs="宋体"/>
          <w:color w:val="auto"/>
          <w:highlight w:val="none"/>
          <w:u w:val="single"/>
        </w:rPr>
        <w:t>施工期间</w:t>
      </w:r>
      <w:bookmarkEnd w:id="1138"/>
      <w:r>
        <w:rPr>
          <w:rFonts w:hint="eastAsia" w:hAnsi="宋体" w:cs="宋体"/>
          <w:color w:val="auto"/>
          <w:highlight w:val="none"/>
          <w:u w:val="single"/>
        </w:rPr>
        <w:t>的《</w:t>
      </w:r>
      <w:r>
        <w:rPr>
          <w:rFonts w:hint="eastAsia"/>
          <w:color w:val="auto"/>
          <w:highlight w:val="none"/>
          <w:u w:val="single"/>
          <w:lang w:val="en-US" w:eastAsia="zh-CN"/>
        </w:rPr>
        <w:t>南宁</w:t>
      </w:r>
      <w:r>
        <w:rPr>
          <w:rFonts w:hint="eastAsia" w:hAnsi="宋体" w:cs="宋体"/>
          <w:color w:val="auto"/>
          <w:highlight w:val="none"/>
          <w:u w:val="single"/>
        </w:rPr>
        <w:t>市建设工程造价信息》相应信息价的加权平均值计算，《</w:t>
      </w:r>
      <w:r>
        <w:rPr>
          <w:rFonts w:hint="eastAsia"/>
          <w:color w:val="auto"/>
          <w:highlight w:val="none"/>
          <w:u w:val="single"/>
          <w:lang w:val="en-US" w:eastAsia="zh-CN"/>
        </w:rPr>
        <w:t>南宁</w:t>
      </w:r>
      <w:r>
        <w:rPr>
          <w:rFonts w:hint="eastAsia" w:hAnsi="宋体" w:cs="宋体"/>
          <w:color w:val="auto"/>
          <w:highlight w:val="none"/>
          <w:u w:val="single"/>
        </w:rPr>
        <w:t>市建设工程造价信息》没有相应信息价的，由建设单位、施工单位、监理单位或造价咨询单位根据市场行情协商确定；无定额可套的，由建设单位、施工单位、监理单位或造价咨询单位根据市场行情协商确定包含除税金以外所有费用的税前综合价格</w:t>
      </w:r>
      <w:bookmarkEnd w:id="1137"/>
      <w:r>
        <w:rPr>
          <w:rFonts w:hint="eastAsia" w:hAnsi="宋体" w:cs="宋体"/>
          <w:color w:val="auto"/>
          <w:highlight w:val="none"/>
        </w:rPr>
        <w:t>。以上约定同时适用于招标工程量清单缺项以及工程量清单项目特征与图纸不符时的价款确定。</w:t>
      </w:r>
    </w:p>
    <w:p w14:paraId="43EAFB25">
      <w:pPr>
        <w:spacing w:line="360" w:lineRule="auto"/>
        <w:ind w:firstLine="420"/>
        <w:jc w:val="left"/>
        <w:rPr>
          <w:rFonts w:hint="eastAsia" w:cs="宋体"/>
          <w:color w:val="auto"/>
          <w:highlight w:val="none"/>
          <w:u w:val="single"/>
        </w:rPr>
      </w:pPr>
      <w:r>
        <w:rPr>
          <w:rFonts w:hint="eastAsia" w:cs="宋体"/>
          <w:color w:val="auto"/>
          <w:highlight w:val="none"/>
          <w:u w:val="single"/>
        </w:rPr>
        <w:t>工程变更导致实际完成的变更工程量与已标价清单或预算书中列明的该项目工程量有偏差时，其综合单价的确定按专用条款“</w:t>
      </w:r>
      <w:r>
        <w:rPr>
          <w:color w:val="auto"/>
          <w:highlight w:val="none"/>
          <w:u w:val="single"/>
        </w:rPr>
        <w:t>1.13</w:t>
      </w:r>
      <w:r>
        <w:rPr>
          <w:rFonts w:hint="eastAsia" w:cs="宋体"/>
          <w:color w:val="auto"/>
          <w:highlight w:val="none"/>
          <w:u w:val="single"/>
        </w:rPr>
        <w:t>工程量清单错误的修正”执行。</w:t>
      </w:r>
    </w:p>
    <w:p w14:paraId="111247A1">
      <w:pPr>
        <w:spacing w:line="360" w:lineRule="auto"/>
        <w:ind w:firstLine="420"/>
        <w:jc w:val="left"/>
        <w:rPr>
          <w:rFonts w:hint="eastAsia" w:ascii="宋体" w:hAnsi="宋体" w:cs="宋体"/>
          <w:szCs w:val="21"/>
          <w:highlight w:val="none"/>
          <w:u w:val="single"/>
        </w:rPr>
      </w:pPr>
    </w:p>
    <w:p w14:paraId="1DA53385">
      <w:pPr>
        <w:bidi w:val="0"/>
        <w:rPr>
          <w:rFonts w:hint="eastAsia"/>
          <w:highlight w:val="none"/>
        </w:rPr>
      </w:pPr>
      <w:bookmarkStart w:id="1139" w:name="_Toc487632743"/>
      <w:bookmarkStart w:id="1140" w:name="_Toc407135246"/>
      <w:bookmarkStart w:id="1141" w:name="_Toc373478390"/>
      <w:bookmarkStart w:id="1142" w:name="_Toc373227743"/>
      <w:bookmarkStart w:id="1143" w:name="_Toc389065309"/>
      <w:r>
        <w:rPr>
          <w:rFonts w:hint="eastAsia"/>
          <w:highlight w:val="none"/>
        </w:rPr>
        <w:t>1</w:t>
      </w:r>
      <w:bookmarkEnd w:id="1102"/>
      <w:bookmarkEnd w:id="1103"/>
      <w:bookmarkEnd w:id="1104"/>
      <w:bookmarkEnd w:id="1105"/>
      <w:bookmarkEnd w:id="1106"/>
      <w:bookmarkEnd w:id="1107"/>
      <w:bookmarkEnd w:id="1108"/>
      <w:bookmarkEnd w:id="1109"/>
      <w:bookmarkEnd w:id="1110"/>
      <w:bookmarkEnd w:id="1111"/>
      <w:bookmarkEnd w:id="1112"/>
      <w:bookmarkEnd w:id="1113"/>
      <w:bookmarkEnd w:id="1114"/>
      <w:bookmarkEnd w:id="1115"/>
      <w:bookmarkEnd w:id="1116"/>
      <w:bookmarkEnd w:id="1117"/>
      <w:bookmarkEnd w:id="1118"/>
      <w:bookmarkStart w:id="1144" w:name="_Toc292559402"/>
      <w:bookmarkStart w:id="1145" w:name="_Toc296346698"/>
      <w:bookmarkStart w:id="1146" w:name="_Toc297048383"/>
      <w:bookmarkStart w:id="1147" w:name="_Toc296944536"/>
      <w:bookmarkStart w:id="1148" w:name="_Toc300934993"/>
      <w:bookmarkStart w:id="1149" w:name="_Toc296503197"/>
      <w:bookmarkStart w:id="1150" w:name="_Toc303539150"/>
      <w:bookmarkStart w:id="1151" w:name="_Toc296347196"/>
      <w:bookmarkStart w:id="1152" w:name="_Toc292559907"/>
      <w:bookmarkStart w:id="1153" w:name="_Toc297216203"/>
      <w:bookmarkStart w:id="1154" w:name="_Toc296891025"/>
      <w:bookmarkStart w:id="1155" w:name="_Toc297120497"/>
      <w:bookmarkStart w:id="1156" w:name="_Toc296891237"/>
      <w:bookmarkStart w:id="1157" w:name="_Toc297123544"/>
      <w:bookmarkStart w:id="1158" w:name="_Toc312678029"/>
      <w:bookmarkStart w:id="1159" w:name="_Toc304295570"/>
      <w:bookmarkStart w:id="1160" w:name="_Toc312677503"/>
      <w:r>
        <w:rPr>
          <w:rFonts w:hint="eastAsia"/>
          <w:highlight w:val="none"/>
        </w:rPr>
        <w:t xml:space="preserve">0.5 </w:t>
      </w:r>
      <w:bookmarkStart w:id="1161" w:name="REVIEW_BM_1717"/>
      <w:r>
        <w:rPr>
          <w:rFonts w:hint="eastAsia"/>
          <w:highlight w:val="none"/>
        </w:rPr>
        <w:t>承</w:t>
      </w:r>
      <w:bookmarkEnd w:id="1144"/>
      <w:bookmarkEnd w:id="1145"/>
      <w:bookmarkEnd w:id="1146"/>
      <w:bookmarkEnd w:id="1147"/>
      <w:bookmarkEnd w:id="1148"/>
      <w:bookmarkEnd w:id="1149"/>
      <w:bookmarkEnd w:id="1150"/>
      <w:bookmarkEnd w:id="1151"/>
      <w:bookmarkEnd w:id="1152"/>
      <w:bookmarkEnd w:id="1153"/>
      <w:bookmarkEnd w:id="1154"/>
      <w:bookmarkEnd w:id="1155"/>
      <w:bookmarkEnd w:id="1156"/>
      <w:bookmarkEnd w:id="1157"/>
      <w:bookmarkStart w:id="1162" w:name="_Toc296891243"/>
      <w:bookmarkStart w:id="1163" w:name="_Toc297123545"/>
      <w:bookmarkStart w:id="1164" w:name="_Toc292559408"/>
      <w:bookmarkStart w:id="1165" w:name="_Toc292559913"/>
      <w:bookmarkStart w:id="1166" w:name="_Toc297120503"/>
      <w:bookmarkStart w:id="1167" w:name="_Toc300934994"/>
      <w:bookmarkStart w:id="1168" w:name="_Toc297216204"/>
      <w:bookmarkStart w:id="1169" w:name="_Toc296346704"/>
      <w:bookmarkStart w:id="1170" w:name="_Toc296503203"/>
      <w:bookmarkStart w:id="1171" w:name="_Toc296347202"/>
      <w:bookmarkStart w:id="1172" w:name="_Toc296891031"/>
      <w:bookmarkStart w:id="1173" w:name="_Toc303539151"/>
      <w:bookmarkStart w:id="1174" w:name="_Toc296944542"/>
      <w:bookmarkStart w:id="1175" w:name="_Toc297048389"/>
      <w:r>
        <w:rPr>
          <w:rFonts w:hint="eastAsia"/>
          <w:highlight w:val="none"/>
        </w:rPr>
        <w:t>包人</w:t>
      </w:r>
      <w:bookmarkEnd w:id="1161"/>
      <w:r>
        <w:rPr>
          <w:rFonts w:hint="eastAsia"/>
          <w:highlight w:val="none"/>
        </w:rPr>
        <w:t>的</w:t>
      </w:r>
      <w:bookmarkStart w:id="1176" w:name="REVIEW_BM_1716"/>
      <w:r>
        <w:rPr>
          <w:rFonts w:hint="eastAsia"/>
          <w:highlight w:val="none"/>
        </w:rPr>
        <w:t>合理化</w:t>
      </w:r>
      <w:bookmarkEnd w:id="1176"/>
      <w:r>
        <w:rPr>
          <w:rFonts w:hint="eastAsia"/>
          <w:highlight w:val="none"/>
        </w:rPr>
        <w:t>建议</w:t>
      </w:r>
      <w:bookmarkEnd w:id="1139"/>
      <w:bookmarkEnd w:id="1140"/>
      <w:bookmarkEnd w:id="1141"/>
      <w:bookmarkEnd w:id="1142"/>
      <w:bookmarkEnd w:id="1143"/>
      <w:bookmarkEnd w:id="1158"/>
      <w:bookmarkEnd w:id="1159"/>
      <w:bookmarkEnd w:id="1160"/>
      <w:bookmarkEnd w:id="1162"/>
      <w:bookmarkEnd w:id="1163"/>
      <w:bookmarkEnd w:id="1164"/>
      <w:bookmarkEnd w:id="1165"/>
      <w:bookmarkEnd w:id="1166"/>
      <w:bookmarkEnd w:id="1167"/>
      <w:bookmarkEnd w:id="1168"/>
      <w:bookmarkEnd w:id="1169"/>
      <w:bookmarkEnd w:id="1170"/>
      <w:bookmarkEnd w:id="1171"/>
      <w:bookmarkEnd w:id="1172"/>
      <w:bookmarkEnd w:id="1173"/>
      <w:bookmarkEnd w:id="1174"/>
      <w:bookmarkEnd w:id="1175"/>
    </w:p>
    <w:p w14:paraId="41CB39B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监理人审查</w:t>
      </w:r>
      <w:bookmarkStart w:id="1177" w:name="REVIEW_BM_1719"/>
      <w:r>
        <w:rPr>
          <w:rFonts w:hint="eastAsia" w:ascii="宋体" w:hAnsi="宋体" w:cs="宋体"/>
          <w:szCs w:val="21"/>
          <w:highlight w:val="none"/>
        </w:rPr>
        <w:t>承包人</w:t>
      </w:r>
      <w:bookmarkEnd w:id="1177"/>
      <w:bookmarkStart w:id="1178" w:name="REVIEW_BM_1718"/>
      <w:r>
        <w:rPr>
          <w:rFonts w:hint="eastAsia" w:ascii="宋体" w:hAnsi="宋体" w:cs="宋体"/>
          <w:szCs w:val="21"/>
          <w:highlight w:val="none"/>
        </w:rPr>
        <w:t>合理化</w:t>
      </w:r>
      <w:bookmarkEnd w:id="1178"/>
      <w:r>
        <w:rPr>
          <w:rFonts w:hint="eastAsia" w:ascii="宋体" w:hAnsi="宋体" w:cs="宋体"/>
          <w:szCs w:val="21"/>
          <w:highlight w:val="none"/>
        </w:rPr>
        <w:t>建议的期限：</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1FA447DF">
      <w:pPr>
        <w:spacing w:line="360" w:lineRule="auto"/>
        <w:ind w:firstLine="420"/>
        <w:jc w:val="left"/>
        <w:rPr>
          <w:rFonts w:hint="eastAsia" w:ascii="宋体" w:hAnsi="宋体" w:cs="宋体"/>
          <w:szCs w:val="21"/>
          <w:highlight w:val="none"/>
        </w:rPr>
      </w:pPr>
      <w:bookmarkStart w:id="1179" w:name="REVIEW_BM_1721"/>
      <w:r>
        <w:rPr>
          <w:rFonts w:hint="eastAsia" w:ascii="宋体" w:hAnsi="宋体" w:cs="宋体"/>
          <w:szCs w:val="21"/>
          <w:highlight w:val="none"/>
        </w:rPr>
        <w:t>发包人</w:t>
      </w:r>
      <w:bookmarkEnd w:id="1179"/>
      <w:r>
        <w:rPr>
          <w:rFonts w:hint="eastAsia" w:ascii="宋体" w:hAnsi="宋体" w:cs="宋体"/>
          <w:szCs w:val="21"/>
          <w:highlight w:val="none"/>
        </w:rPr>
        <w:t>审批</w:t>
      </w:r>
      <w:bookmarkStart w:id="1180" w:name="REVIEW_BM_1722"/>
      <w:r>
        <w:rPr>
          <w:rFonts w:hint="eastAsia" w:ascii="宋体" w:hAnsi="宋体" w:cs="宋体"/>
          <w:szCs w:val="21"/>
          <w:highlight w:val="none"/>
        </w:rPr>
        <w:t>承包人</w:t>
      </w:r>
      <w:bookmarkEnd w:id="1180"/>
      <w:bookmarkStart w:id="1181" w:name="REVIEW_BM_1720"/>
      <w:r>
        <w:rPr>
          <w:rFonts w:hint="eastAsia" w:ascii="宋体" w:hAnsi="宋体" w:cs="宋体"/>
          <w:szCs w:val="21"/>
          <w:highlight w:val="none"/>
        </w:rPr>
        <w:t>合理化</w:t>
      </w:r>
      <w:bookmarkEnd w:id="1181"/>
      <w:r>
        <w:rPr>
          <w:rFonts w:hint="eastAsia" w:ascii="宋体" w:hAnsi="宋体" w:cs="宋体"/>
          <w:szCs w:val="21"/>
          <w:highlight w:val="none"/>
        </w:rPr>
        <w:t>建议的期限：</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5CBD6417">
      <w:pPr>
        <w:spacing w:line="360" w:lineRule="auto"/>
        <w:ind w:firstLine="420"/>
        <w:jc w:val="left"/>
        <w:rPr>
          <w:rFonts w:hint="eastAsia" w:ascii="宋体" w:hAnsi="宋体" w:cs="宋体"/>
          <w:szCs w:val="21"/>
          <w:highlight w:val="none"/>
          <w:u w:val="single"/>
        </w:rPr>
      </w:pPr>
      <w:bookmarkStart w:id="1182" w:name="REVIEW_BM_1724"/>
      <w:r>
        <w:rPr>
          <w:rFonts w:hint="eastAsia" w:ascii="宋体" w:hAnsi="宋体" w:cs="宋体"/>
          <w:szCs w:val="21"/>
          <w:highlight w:val="none"/>
        </w:rPr>
        <w:t>承</w:t>
      </w:r>
      <w:bookmarkStart w:id="1183" w:name="_Toc292559914"/>
      <w:bookmarkStart w:id="1184" w:name="_Toc296347203"/>
      <w:bookmarkStart w:id="1185" w:name="_Toc292559409"/>
      <w:bookmarkStart w:id="1186" w:name="_Toc304295571"/>
      <w:bookmarkStart w:id="1187" w:name="_Toc297048390"/>
      <w:bookmarkStart w:id="1188" w:name="_Toc318581175"/>
      <w:bookmarkStart w:id="1189" w:name="_Toc296503204"/>
      <w:bookmarkStart w:id="1190" w:name="_Toc312678030"/>
      <w:bookmarkStart w:id="1191" w:name="_Toc296891032"/>
      <w:bookmarkStart w:id="1192" w:name="_Toc297123546"/>
      <w:bookmarkStart w:id="1193" w:name="_Toc297216205"/>
      <w:bookmarkStart w:id="1194" w:name="_Toc296346705"/>
      <w:bookmarkStart w:id="1195" w:name="_Toc303539152"/>
      <w:bookmarkStart w:id="1196" w:name="_Toc296891244"/>
      <w:bookmarkStart w:id="1197" w:name="_Toc297120504"/>
      <w:bookmarkStart w:id="1198" w:name="_Toc312677504"/>
      <w:bookmarkStart w:id="1199" w:name="_Toc296944543"/>
      <w:bookmarkStart w:id="1200" w:name="_Toc300934995"/>
      <w:r>
        <w:rPr>
          <w:rFonts w:hint="eastAsia" w:ascii="宋体" w:hAnsi="宋体" w:cs="宋体"/>
          <w:szCs w:val="21"/>
          <w:highlight w:val="none"/>
        </w:rPr>
        <w:t>包人</w:t>
      </w:r>
      <w:bookmarkEnd w:id="1182"/>
      <w:r>
        <w:rPr>
          <w:rFonts w:hint="eastAsia" w:ascii="宋体" w:hAnsi="宋体" w:cs="宋体"/>
          <w:szCs w:val="21"/>
          <w:highlight w:val="none"/>
        </w:rPr>
        <w:t>提出的</w:t>
      </w:r>
      <w:bookmarkStart w:id="1201" w:name="REVIEW_BM_1723"/>
      <w:r>
        <w:rPr>
          <w:rFonts w:hint="eastAsia" w:ascii="宋体" w:hAnsi="宋体" w:cs="宋体"/>
          <w:szCs w:val="21"/>
          <w:highlight w:val="none"/>
        </w:rPr>
        <w:t>合理化</w:t>
      </w:r>
      <w:bookmarkEnd w:id="1201"/>
      <w:r>
        <w:rPr>
          <w:rFonts w:hint="eastAsia" w:ascii="宋体" w:hAnsi="宋体" w:cs="宋体"/>
          <w:szCs w:val="21"/>
          <w:highlight w:val="none"/>
        </w:rPr>
        <w:t>建议降低了合同价格或者</w:t>
      </w:r>
      <w:bookmarkStart w:id="1202" w:name="REVIEW_BM_1725"/>
      <w:r>
        <w:rPr>
          <w:rFonts w:hint="eastAsia" w:ascii="宋体" w:hAnsi="宋体" w:cs="宋体"/>
          <w:szCs w:val="21"/>
          <w:highlight w:val="none"/>
        </w:rPr>
        <w:t>提高了</w:t>
      </w:r>
      <w:bookmarkEnd w:id="1202"/>
      <w:r>
        <w:rPr>
          <w:rFonts w:hint="eastAsia" w:ascii="宋体" w:hAnsi="宋体" w:cs="宋体"/>
          <w:szCs w:val="21"/>
          <w:highlight w:val="none"/>
        </w:rPr>
        <w:t>工程经济效益的奖励的方法和金额为：</w:t>
      </w:r>
      <w:r>
        <w:rPr>
          <w:rFonts w:hint="eastAsia" w:ascii="宋体" w:hAnsi="宋体" w:cs="宋体"/>
          <w:szCs w:val="21"/>
          <w:highlight w:val="none"/>
          <w:u w:val="single"/>
        </w:rPr>
        <w:t xml:space="preserve">    /   </w:t>
      </w:r>
      <w:r>
        <w:rPr>
          <w:rFonts w:hint="eastAsia" w:ascii="宋体" w:hAnsi="宋体" w:cs="宋体"/>
          <w:szCs w:val="21"/>
          <w:highlight w:val="none"/>
        </w:rPr>
        <w:t>。</w:t>
      </w:r>
      <w:bookmarkEnd w:id="1183"/>
      <w:bookmarkEnd w:id="1184"/>
      <w:bookmarkEnd w:id="1185"/>
      <w:bookmarkEnd w:id="1186"/>
      <w:bookmarkEnd w:id="1187"/>
      <w:bookmarkEnd w:id="1188"/>
      <w:bookmarkEnd w:id="1189"/>
      <w:bookmarkEnd w:id="1190"/>
      <w:bookmarkEnd w:id="1191"/>
      <w:bookmarkEnd w:id="1192"/>
      <w:bookmarkEnd w:id="1193"/>
      <w:bookmarkEnd w:id="1194"/>
      <w:bookmarkEnd w:id="1195"/>
      <w:bookmarkEnd w:id="1196"/>
      <w:bookmarkEnd w:id="1197"/>
      <w:bookmarkEnd w:id="1198"/>
      <w:bookmarkEnd w:id="1199"/>
      <w:bookmarkEnd w:id="1200"/>
    </w:p>
    <w:p w14:paraId="0DE6E431">
      <w:pPr>
        <w:bidi w:val="0"/>
        <w:rPr>
          <w:rFonts w:hint="eastAsia"/>
          <w:highlight w:val="none"/>
        </w:rPr>
      </w:pPr>
      <w:bookmarkStart w:id="1203" w:name="_Toc487632744"/>
      <w:bookmarkStart w:id="1204" w:name="_Toc407135247"/>
      <w:bookmarkStart w:id="1205" w:name="_Toc373227744"/>
      <w:bookmarkStart w:id="1206" w:name="_Toc373478391"/>
      <w:bookmarkStart w:id="1207" w:name="_Toc389065310"/>
      <w:r>
        <w:rPr>
          <w:rFonts w:hint="eastAsia"/>
          <w:highlight w:val="none"/>
        </w:rPr>
        <w:t>1</w:t>
      </w:r>
      <w:bookmarkStart w:id="1208" w:name="_Toc303539154"/>
      <w:bookmarkStart w:id="1209" w:name="_Toc300934997"/>
      <w:bookmarkStart w:id="1210" w:name="_Toc304295574"/>
      <w:bookmarkStart w:id="1211" w:name="_Toc296503199"/>
      <w:bookmarkStart w:id="1212" w:name="_Toc296891027"/>
      <w:bookmarkStart w:id="1213" w:name="_Toc297120499"/>
      <w:bookmarkStart w:id="1214" w:name="_Toc297048385"/>
      <w:bookmarkStart w:id="1215" w:name="_Toc297123548"/>
      <w:bookmarkStart w:id="1216" w:name="_Toc312677507"/>
      <w:bookmarkStart w:id="1217" w:name="_Toc292559909"/>
      <w:bookmarkStart w:id="1218" w:name="_Toc296346700"/>
      <w:bookmarkStart w:id="1219" w:name="_Toc292559404"/>
      <w:bookmarkStart w:id="1220" w:name="_Toc296944538"/>
      <w:bookmarkStart w:id="1221" w:name="_Toc312678033"/>
      <w:bookmarkStart w:id="1222" w:name="_Toc296891239"/>
      <w:bookmarkStart w:id="1223" w:name="_Toc297216207"/>
      <w:bookmarkStart w:id="1224" w:name="_Toc296347198"/>
      <w:r>
        <w:rPr>
          <w:rFonts w:hint="eastAsia"/>
          <w:highlight w:val="none"/>
        </w:rPr>
        <w:t>0.7 暂估价</w:t>
      </w:r>
      <w:bookmarkEnd w:id="1203"/>
      <w:bookmarkEnd w:id="1204"/>
      <w:bookmarkEnd w:id="1205"/>
      <w:bookmarkEnd w:id="1206"/>
      <w:bookmarkEnd w:id="1207"/>
      <w:bookmarkEnd w:id="1208"/>
      <w:bookmarkEnd w:id="1209"/>
      <w:bookmarkEnd w:id="1210"/>
      <w:bookmarkEnd w:id="1211"/>
      <w:bookmarkEnd w:id="1212"/>
      <w:bookmarkEnd w:id="1213"/>
      <w:bookmarkEnd w:id="1214"/>
      <w:bookmarkEnd w:id="1215"/>
      <w:bookmarkEnd w:id="1216"/>
      <w:bookmarkEnd w:id="1217"/>
      <w:bookmarkEnd w:id="1218"/>
      <w:bookmarkEnd w:id="1219"/>
      <w:bookmarkEnd w:id="1220"/>
      <w:bookmarkEnd w:id="1221"/>
      <w:bookmarkEnd w:id="1222"/>
      <w:bookmarkEnd w:id="1223"/>
      <w:bookmarkEnd w:id="1224"/>
    </w:p>
    <w:p w14:paraId="34DCBD0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暂</w:t>
      </w:r>
      <w:bookmarkStart w:id="1225" w:name="_Toc312678034"/>
      <w:bookmarkStart w:id="1226" w:name="_Toc312677508"/>
      <w:bookmarkStart w:id="1227" w:name="_Toc318581176"/>
      <w:r>
        <w:rPr>
          <w:rFonts w:hint="eastAsia" w:ascii="宋体" w:hAnsi="宋体" w:cs="宋体"/>
          <w:szCs w:val="21"/>
          <w:highlight w:val="none"/>
        </w:rPr>
        <w:t>估价材料和工程设备的明细详见已标价工程量清单《材料（工程设备）暂估价格及调整表》（表12-2）和《专业工程暂估价表》（表12-3）。</w:t>
      </w:r>
      <w:bookmarkEnd w:id="1225"/>
      <w:bookmarkEnd w:id="1226"/>
      <w:bookmarkEnd w:id="1227"/>
    </w:p>
    <w:p w14:paraId="59B1DCA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228" w:name="_Toc312678035"/>
      <w:bookmarkStart w:id="1229" w:name="_Toc312677509"/>
      <w:bookmarkStart w:id="1230" w:name="_Toc318581177"/>
      <w:r>
        <w:rPr>
          <w:rFonts w:hint="eastAsia" w:ascii="宋体" w:hAnsi="宋体" w:cs="宋体"/>
          <w:szCs w:val="21"/>
          <w:highlight w:val="none"/>
        </w:rPr>
        <w:t>0.7.1 依法必须招标的暂估价项目</w:t>
      </w:r>
      <w:bookmarkEnd w:id="1228"/>
      <w:bookmarkEnd w:id="1229"/>
      <w:bookmarkEnd w:id="1230"/>
    </w:p>
    <w:p w14:paraId="256D220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对于依法必须招标的暂估价项目的确认和批准采取第</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种方式确定。</w:t>
      </w:r>
    </w:p>
    <w:p w14:paraId="2F6A3F64">
      <w:pPr>
        <w:pStyle w:val="462"/>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第1种方式：对于依法必须招标的暂估价项目，由</w:t>
      </w:r>
      <w:bookmarkStart w:id="1231" w:name="REVIEW_BM_1726"/>
      <w:r>
        <w:rPr>
          <w:rFonts w:hint="eastAsia" w:ascii="宋体" w:hAnsi="宋体" w:cs="宋体"/>
          <w:szCs w:val="21"/>
          <w:highlight w:val="none"/>
        </w:rPr>
        <w:t>承包人</w:t>
      </w:r>
      <w:bookmarkEnd w:id="1231"/>
      <w:r>
        <w:rPr>
          <w:rFonts w:hint="eastAsia" w:ascii="宋体" w:hAnsi="宋体" w:cs="宋体"/>
          <w:szCs w:val="21"/>
          <w:highlight w:val="none"/>
        </w:rPr>
        <w:t>招标，对该暂估价项目的确认和批准按照以下约定执行：</w:t>
      </w:r>
    </w:p>
    <w:p w14:paraId="27A1B95A">
      <w:pPr>
        <w:pStyle w:val="462"/>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232" w:name="REVIEW_BM_1730"/>
      <w:r>
        <w:rPr>
          <w:rFonts w:hint="eastAsia" w:ascii="宋体" w:hAnsi="宋体" w:cs="宋体"/>
          <w:szCs w:val="21"/>
          <w:highlight w:val="none"/>
        </w:rPr>
        <w:t>承包人</w:t>
      </w:r>
      <w:bookmarkEnd w:id="1232"/>
      <w:r>
        <w:rPr>
          <w:rFonts w:hint="eastAsia" w:ascii="宋体" w:hAnsi="宋体" w:cs="宋体"/>
          <w:szCs w:val="21"/>
          <w:highlight w:val="none"/>
        </w:rPr>
        <w:t>应当根据施工进度计划，在招标工作启动前14天将招标方案通过监理人报送</w:t>
      </w:r>
      <w:bookmarkStart w:id="1233" w:name="REVIEW_BM_1727"/>
      <w:r>
        <w:rPr>
          <w:rFonts w:hint="eastAsia" w:ascii="宋体" w:hAnsi="宋体" w:cs="宋体"/>
          <w:szCs w:val="21"/>
          <w:highlight w:val="none"/>
        </w:rPr>
        <w:t>发包人</w:t>
      </w:r>
      <w:bookmarkEnd w:id="1233"/>
      <w:r>
        <w:rPr>
          <w:rFonts w:hint="eastAsia" w:ascii="宋体" w:hAnsi="宋体" w:cs="宋体"/>
          <w:szCs w:val="21"/>
          <w:highlight w:val="none"/>
        </w:rPr>
        <w:t>审查，</w:t>
      </w:r>
      <w:bookmarkStart w:id="1234" w:name="REVIEW_BM_1728"/>
      <w:r>
        <w:rPr>
          <w:rFonts w:hint="eastAsia" w:ascii="宋体" w:hAnsi="宋体" w:cs="宋体"/>
          <w:szCs w:val="21"/>
          <w:highlight w:val="none"/>
        </w:rPr>
        <w:t>发包人</w:t>
      </w:r>
      <w:bookmarkEnd w:id="1234"/>
      <w:r>
        <w:rPr>
          <w:rFonts w:hint="eastAsia" w:ascii="宋体" w:hAnsi="宋体" w:cs="宋体"/>
          <w:szCs w:val="21"/>
          <w:highlight w:val="none"/>
        </w:rPr>
        <w:t>应当在收到</w:t>
      </w:r>
      <w:bookmarkStart w:id="1235" w:name="REVIEW_BM_1731"/>
      <w:r>
        <w:rPr>
          <w:rFonts w:hint="eastAsia" w:ascii="宋体" w:hAnsi="宋体" w:cs="宋体"/>
          <w:szCs w:val="21"/>
          <w:highlight w:val="none"/>
        </w:rPr>
        <w:t>承包人</w:t>
      </w:r>
      <w:bookmarkEnd w:id="1235"/>
      <w:r>
        <w:rPr>
          <w:rFonts w:hint="eastAsia" w:ascii="宋体" w:hAnsi="宋体" w:cs="宋体"/>
          <w:szCs w:val="21"/>
          <w:highlight w:val="none"/>
        </w:rPr>
        <w:t>报送的招标方案后7天内批准或提出修改意见。</w:t>
      </w:r>
      <w:bookmarkStart w:id="1236" w:name="REVIEW_BM_1732"/>
      <w:r>
        <w:rPr>
          <w:rFonts w:hint="eastAsia" w:ascii="宋体" w:hAnsi="宋体" w:cs="宋体"/>
          <w:szCs w:val="21"/>
          <w:highlight w:val="none"/>
        </w:rPr>
        <w:t>承包人</w:t>
      </w:r>
      <w:bookmarkEnd w:id="1236"/>
      <w:r>
        <w:rPr>
          <w:rFonts w:hint="eastAsia" w:ascii="宋体" w:hAnsi="宋体" w:cs="宋体"/>
          <w:szCs w:val="21"/>
          <w:highlight w:val="none"/>
        </w:rPr>
        <w:t>应当按照经过</w:t>
      </w:r>
      <w:bookmarkStart w:id="1237" w:name="REVIEW_BM_1729"/>
      <w:r>
        <w:rPr>
          <w:rFonts w:hint="eastAsia" w:ascii="宋体" w:hAnsi="宋体" w:cs="宋体"/>
          <w:szCs w:val="21"/>
          <w:highlight w:val="none"/>
        </w:rPr>
        <w:t>发包人</w:t>
      </w:r>
      <w:bookmarkEnd w:id="1237"/>
      <w:r>
        <w:rPr>
          <w:rFonts w:hint="eastAsia" w:ascii="宋体" w:hAnsi="宋体" w:cs="宋体"/>
          <w:szCs w:val="21"/>
          <w:highlight w:val="none"/>
        </w:rPr>
        <w:t>批准的招标方案开展招标工作；</w:t>
      </w:r>
    </w:p>
    <w:p w14:paraId="7753BB91">
      <w:pPr>
        <w:pStyle w:val="462"/>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bookmarkStart w:id="1238" w:name="REVIEW_BM_1737"/>
      <w:r>
        <w:rPr>
          <w:rFonts w:hint="eastAsia" w:ascii="宋体" w:hAnsi="宋体" w:cs="宋体"/>
          <w:szCs w:val="21"/>
          <w:highlight w:val="none"/>
        </w:rPr>
        <w:t>承包人</w:t>
      </w:r>
      <w:bookmarkEnd w:id="1238"/>
      <w:r>
        <w:rPr>
          <w:rFonts w:hint="eastAsia" w:ascii="宋体" w:hAnsi="宋体" w:cs="宋体"/>
          <w:szCs w:val="21"/>
          <w:highlight w:val="none"/>
        </w:rPr>
        <w:t>应当根据施工进度计划，提前14天将招标文件通过监理人报送</w:t>
      </w:r>
      <w:bookmarkStart w:id="1239" w:name="REVIEW_BM_1734"/>
      <w:r>
        <w:rPr>
          <w:rFonts w:hint="eastAsia" w:ascii="宋体" w:hAnsi="宋体" w:cs="宋体"/>
          <w:szCs w:val="21"/>
          <w:highlight w:val="none"/>
        </w:rPr>
        <w:t>发包人</w:t>
      </w:r>
      <w:bookmarkEnd w:id="1239"/>
      <w:r>
        <w:rPr>
          <w:rFonts w:hint="eastAsia" w:ascii="宋体" w:hAnsi="宋体" w:cs="宋体"/>
          <w:szCs w:val="21"/>
          <w:highlight w:val="none"/>
        </w:rPr>
        <w:t>审批，</w:t>
      </w:r>
      <w:bookmarkStart w:id="1240" w:name="REVIEW_BM_1735"/>
      <w:r>
        <w:rPr>
          <w:rFonts w:hint="eastAsia" w:ascii="宋体" w:hAnsi="宋体" w:cs="宋体"/>
          <w:szCs w:val="21"/>
          <w:highlight w:val="none"/>
        </w:rPr>
        <w:t>发包人</w:t>
      </w:r>
      <w:bookmarkEnd w:id="1240"/>
      <w:r>
        <w:rPr>
          <w:rFonts w:hint="eastAsia" w:ascii="宋体" w:hAnsi="宋体" w:cs="宋体"/>
          <w:szCs w:val="21"/>
          <w:highlight w:val="none"/>
        </w:rPr>
        <w:t>应当在收到</w:t>
      </w:r>
      <w:bookmarkStart w:id="1241" w:name="REVIEW_BM_1738"/>
      <w:r>
        <w:rPr>
          <w:rFonts w:hint="eastAsia" w:ascii="宋体" w:hAnsi="宋体" w:cs="宋体"/>
          <w:szCs w:val="21"/>
          <w:highlight w:val="none"/>
        </w:rPr>
        <w:t>承包人</w:t>
      </w:r>
      <w:bookmarkEnd w:id="1241"/>
      <w:r>
        <w:rPr>
          <w:rFonts w:hint="eastAsia" w:ascii="宋体" w:hAnsi="宋体" w:cs="宋体"/>
          <w:szCs w:val="21"/>
          <w:highlight w:val="none"/>
        </w:rPr>
        <w:t>报送的相关文件后7天内完成审批或提出修改意见；</w:t>
      </w:r>
      <w:bookmarkStart w:id="1242" w:name="REVIEW_BM_1736"/>
      <w:r>
        <w:rPr>
          <w:rFonts w:hint="eastAsia" w:ascii="宋体" w:hAnsi="宋体" w:cs="宋体"/>
          <w:szCs w:val="21"/>
          <w:highlight w:val="none"/>
        </w:rPr>
        <w:t>发包人</w:t>
      </w:r>
      <w:bookmarkEnd w:id="1242"/>
      <w:r>
        <w:rPr>
          <w:rFonts w:hint="eastAsia" w:ascii="宋体" w:hAnsi="宋体" w:cs="宋体"/>
          <w:szCs w:val="21"/>
          <w:highlight w:val="none"/>
        </w:rPr>
        <w:t>有权确定招标控制价并委派</w:t>
      </w:r>
      <w:bookmarkStart w:id="1243" w:name="REVIEW_BM_1733"/>
      <w:r>
        <w:rPr>
          <w:rFonts w:hint="eastAsia" w:ascii="宋体" w:hAnsi="宋体" w:cs="宋体"/>
          <w:szCs w:val="21"/>
          <w:highlight w:val="none"/>
        </w:rPr>
        <w:t>评标委员会</w:t>
      </w:r>
      <w:bookmarkEnd w:id="1243"/>
      <w:r>
        <w:rPr>
          <w:rFonts w:hint="eastAsia" w:ascii="宋体" w:hAnsi="宋体" w:cs="宋体"/>
          <w:szCs w:val="21"/>
          <w:highlight w:val="none"/>
        </w:rPr>
        <w:t>成员；</w:t>
      </w:r>
    </w:p>
    <w:p w14:paraId="388695CF">
      <w:pPr>
        <w:pStyle w:val="462"/>
        <w:spacing w:line="360" w:lineRule="auto"/>
        <w:ind w:firstLine="420"/>
        <w:jc w:val="left"/>
        <w:rPr>
          <w:rFonts w:hint="eastAsia" w:ascii="宋体" w:hAnsi="宋体" w:cs="宋体"/>
          <w:szCs w:val="21"/>
          <w:highlight w:val="none"/>
        </w:rPr>
      </w:pPr>
      <w:r>
        <w:rPr>
          <w:rFonts w:hint="eastAsia" w:ascii="宋体" w:hAnsi="宋体" w:cs="宋体"/>
          <w:szCs w:val="21"/>
          <w:highlight w:val="none"/>
        </w:rPr>
        <w:t>（3）</w:t>
      </w:r>
      <w:bookmarkStart w:id="1244" w:name="REVIEW_BM_1743"/>
      <w:r>
        <w:rPr>
          <w:rFonts w:hint="eastAsia" w:ascii="宋体" w:hAnsi="宋体" w:cs="宋体"/>
          <w:szCs w:val="21"/>
          <w:highlight w:val="none"/>
        </w:rPr>
        <w:t>承包人</w:t>
      </w:r>
      <w:bookmarkEnd w:id="1244"/>
      <w:r>
        <w:rPr>
          <w:rFonts w:hint="eastAsia" w:ascii="宋体" w:hAnsi="宋体" w:cs="宋体"/>
          <w:szCs w:val="21"/>
          <w:highlight w:val="none"/>
        </w:rPr>
        <w:t>与供应商、分包人在签订暂估价合同前，应当提前7天将确定的</w:t>
      </w:r>
      <w:bookmarkStart w:id="1245" w:name="REVIEW_BM_1739"/>
      <w:r>
        <w:rPr>
          <w:rFonts w:hint="eastAsia" w:ascii="宋体" w:hAnsi="宋体" w:cs="宋体"/>
          <w:szCs w:val="21"/>
          <w:highlight w:val="none"/>
        </w:rPr>
        <w:t>中标候选供应商</w:t>
      </w:r>
      <w:bookmarkEnd w:id="1245"/>
      <w:r>
        <w:rPr>
          <w:rFonts w:hint="eastAsia" w:ascii="宋体" w:hAnsi="宋体" w:cs="宋体"/>
          <w:szCs w:val="21"/>
          <w:highlight w:val="none"/>
        </w:rPr>
        <w:t>或中标候选分包人的资料报送</w:t>
      </w:r>
      <w:bookmarkStart w:id="1246" w:name="REVIEW_BM_1740"/>
      <w:r>
        <w:rPr>
          <w:rFonts w:hint="eastAsia" w:ascii="宋体" w:hAnsi="宋体" w:cs="宋体"/>
          <w:szCs w:val="21"/>
          <w:highlight w:val="none"/>
        </w:rPr>
        <w:t>发包人</w:t>
      </w:r>
      <w:bookmarkEnd w:id="1246"/>
      <w:r>
        <w:rPr>
          <w:rFonts w:hint="eastAsia" w:ascii="宋体" w:hAnsi="宋体" w:cs="宋体"/>
          <w:szCs w:val="21"/>
          <w:highlight w:val="none"/>
        </w:rPr>
        <w:t>，</w:t>
      </w:r>
      <w:bookmarkStart w:id="1247" w:name="REVIEW_BM_1741"/>
      <w:r>
        <w:rPr>
          <w:rFonts w:hint="eastAsia" w:ascii="宋体" w:hAnsi="宋体" w:cs="宋体"/>
          <w:szCs w:val="21"/>
          <w:highlight w:val="none"/>
        </w:rPr>
        <w:t>发包人</w:t>
      </w:r>
      <w:bookmarkEnd w:id="1247"/>
      <w:r>
        <w:rPr>
          <w:rFonts w:hint="eastAsia" w:ascii="宋体" w:hAnsi="宋体" w:cs="宋体"/>
          <w:szCs w:val="21"/>
          <w:highlight w:val="none"/>
        </w:rPr>
        <w:t>应在收到资料后3天内与</w:t>
      </w:r>
      <w:bookmarkStart w:id="1248" w:name="REVIEW_BM_1744"/>
      <w:r>
        <w:rPr>
          <w:rFonts w:hint="eastAsia" w:ascii="宋体" w:hAnsi="宋体" w:cs="宋体"/>
          <w:szCs w:val="21"/>
          <w:highlight w:val="none"/>
        </w:rPr>
        <w:t>承包人</w:t>
      </w:r>
      <w:bookmarkEnd w:id="1248"/>
      <w:r>
        <w:rPr>
          <w:rFonts w:hint="eastAsia" w:ascii="宋体" w:hAnsi="宋体" w:cs="宋体"/>
          <w:szCs w:val="21"/>
          <w:highlight w:val="none"/>
        </w:rPr>
        <w:t>共同确定</w:t>
      </w:r>
      <w:r>
        <w:rPr>
          <w:rFonts w:hint="eastAsia" w:ascii="宋体" w:hAnsi="宋体" w:cs="宋体"/>
          <w:szCs w:val="21"/>
          <w:highlight w:val="none"/>
          <w:lang w:eastAsia="zh-CN"/>
        </w:rPr>
        <w:t>成交供应商</w:t>
      </w:r>
      <w:r>
        <w:rPr>
          <w:rFonts w:hint="eastAsia" w:ascii="宋体" w:hAnsi="宋体" w:cs="宋体"/>
          <w:szCs w:val="21"/>
          <w:highlight w:val="none"/>
        </w:rPr>
        <w:t>；</w:t>
      </w:r>
      <w:bookmarkStart w:id="1249" w:name="REVIEW_BM_1745"/>
      <w:r>
        <w:rPr>
          <w:rFonts w:hint="eastAsia" w:ascii="宋体" w:hAnsi="宋体" w:cs="宋体"/>
          <w:szCs w:val="21"/>
          <w:highlight w:val="none"/>
        </w:rPr>
        <w:t>承包人</w:t>
      </w:r>
      <w:bookmarkEnd w:id="1249"/>
      <w:r>
        <w:rPr>
          <w:rFonts w:hint="eastAsia" w:ascii="宋体" w:hAnsi="宋体" w:cs="宋体"/>
          <w:szCs w:val="21"/>
          <w:highlight w:val="none"/>
        </w:rPr>
        <w:t>应当在签订合同后7天内，将暂估价合同副本报送</w:t>
      </w:r>
      <w:bookmarkStart w:id="1250" w:name="REVIEW_BM_1742"/>
      <w:r>
        <w:rPr>
          <w:rFonts w:hint="eastAsia" w:ascii="宋体" w:hAnsi="宋体" w:cs="宋体"/>
          <w:szCs w:val="21"/>
          <w:highlight w:val="none"/>
        </w:rPr>
        <w:t>发包人</w:t>
      </w:r>
      <w:bookmarkEnd w:id="1250"/>
      <w:r>
        <w:rPr>
          <w:rFonts w:hint="eastAsia" w:ascii="宋体" w:hAnsi="宋体" w:cs="宋体"/>
          <w:szCs w:val="21"/>
          <w:highlight w:val="none"/>
        </w:rPr>
        <w:t>留存。</w:t>
      </w:r>
    </w:p>
    <w:p w14:paraId="4A6CACA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10.7.2 不属于依法必须招标的暂估价项目</w:t>
      </w:r>
    </w:p>
    <w:p w14:paraId="6512B11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对于不属于依法必须招标的暂估价项目的确认和批准采取第</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种方式确定。</w:t>
      </w:r>
    </w:p>
    <w:p w14:paraId="47285D7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第1种方式:对于不属于依法必须招标的暂估价项目，按本项约定确认和批准：</w:t>
      </w:r>
    </w:p>
    <w:p w14:paraId="61B6B0E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251" w:name="REVIEW_BM_1749"/>
      <w:r>
        <w:rPr>
          <w:rFonts w:hint="eastAsia" w:ascii="宋体" w:hAnsi="宋体" w:cs="宋体"/>
          <w:szCs w:val="21"/>
          <w:highlight w:val="none"/>
        </w:rPr>
        <w:t>承包人</w:t>
      </w:r>
      <w:bookmarkEnd w:id="1251"/>
      <w:r>
        <w:rPr>
          <w:rFonts w:hint="eastAsia" w:ascii="宋体" w:hAnsi="宋体" w:cs="宋体"/>
          <w:szCs w:val="21"/>
          <w:highlight w:val="none"/>
        </w:rPr>
        <w:t>应根据施工进度计划，在签订暂估价项目的采购合同、分包合同前28天向监理人提出书面申请。监理人应当在收到申请后3天内报送</w:t>
      </w:r>
      <w:bookmarkStart w:id="1252" w:name="REVIEW_BM_1746"/>
      <w:r>
        <w:rPr>
          <w:rFonts w:hint="eastAsia" w:ascii="宋体" w:hAnsi="宋体" w:cs="宋体"/>
          <w:szCs w:val="21"/>
          <w:highlight w:val="none"/>
        </w:rPr>
        <w:t>发包人</w:t>
      </w:r>
      <w:bookmarkEnd w:id="1252"/>
      <w:r>
        <w:rPr>
          <w:rFonts w:hint="eastAsia" w:ascii="宋体" w:hAnsi="宋体" w:cs="宋体"/>
          <w:szCs w:val="21"/>
          <w:highlight w:val="none"/>
        </w:rPr>
        <w:t>，</w:t>
      </w:r>
      <w:bookmarkStart w:id="1253" w:name="REVIEW_BM_1747"/>
      <w:r>
        <w:rPr>
          <w:rFonts w:hint="eastAsia" w:ascii="宋体" w:hAnsi="宋体" w:cs="宋体"/>
          <w:szCs w:val="21"/>
          <w:highlight w:val="none"/>
        </w:rPr>
        <w:t>发包人</w:t>
      </w:r>
      <w:bookmarkEnd w:id="1253"/>
      <w:r>
        <w:rPr>
          <w:rFonts w:hint="eastAsia" w:ascii="宋体" w:hAnsi="宋体" w:cs="宋体"/>
          <w:szCs w:val="21"/>
          <w:highlight w:val="none"/>
        </w:rPr>
        <w:t>应当在收到申请后14天内给予批准或提出修改意见，</w:t>
      </w:r>
      <w:bookmarkStart w:id="1254" w:name="REVIEW_BM_1748"/>
      <w:r>
        <w:rPr>
          <w:rFonts w:hint="eastAsia" w:ascii="宋体" w:hAnsi="宋体" w:cs="宋体"/>
          <w:szCs w:val="21"/>
          <w:highlight w:val="none"/>
        </w:rPr>
        <w:t>发包人</w:t>
      </w:r>
      <w:bookmarkEnd w:id="1254"/>
      <w:r>
        <w:rPr>
          <w:rFonts w:hint="eastAsia" w:ascii="宋体" w:hAnsi="宋体" w:cs="宋体"/>
          <w:szCs w:val="21"/>
          <w:highlight w:val="none"/>
        </w:rPr>
        <w:t>逾期未予批准或提出修改意见的</w:t>
      </w:r>
      <w:bookmarkStart w:id="1255" w:name="REVIEW_BM_1750"/>
      <w:r>
        <w:rPr>
          <w:rFonts w:hint="eastAsia" w:ascii="宋体" w:hAnsi="宋体" w:cs="宋体"/>
          <w:szCs w:val="21"/>
          <w:highlight w:val="none"/>
        </w:rPr>
        <w:t>,</w:t>
      </w:r>
      <w:bookmarkEnd w:id="1255"/>
      <w:r>
        <w:rPr>
          <w:rFonts w:hint="eastAsia" w:ascii="宋体" w:hAnsi="宋体" w:cs="宋体"/>
          <w:szCs w:val="21"/>
          <w:highlight w:val="none"/>
        </w:rPr>
        <w:t>视为该书面申请已获得同意；</w:t>
      </w:r>
    </w:p>
    <w:p w14:paraId="189896E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bookmarkStart w:id="1256" w:name="REVIEW_BM_1751"/>
      <w:r>
        <w:rPr>
          <w:rFonts w:hint="eastAsia" w:ascii="宋体" w:hAnsi="宋体" w:cs="宋体"/>
          <w:szCs w:val="21"/>
          <w:highlight w:val="none"/>
        </w:rPr>
        <w:t>发包人</w:t>
      </w:r>
      <w:bookmarkEnd w:id="1256"/>
      <w:r>
        <w:rPr>
          <w:rFonts w:hint="eastAsia" w:ascii="宋体" w:hAnsi="宋体" w:cs="宋体"/>
          <w:szCs w:val="21"/>
          <w:highlight w:val="none"/>
        </w:rPr>
        <w:t>认为</w:t>
      </w:r>
      <w:bookmarkStart w:id="1257" w:name="REVIEW_BM_1753"/>
      <w:r>
        <w:rPr>
          <w:rFonts w:hint="eastAsia" w:ascii="宋体" w:hAnsi="宋体" w:cs="宋体"/>
          <w:szCs w:val="21"/>
          <w:highlight w:val="none"/>
        </w:rPr>
        <w:t>承包人</w:t>
      </w:r>
      <w:bookmarkEnd w:id="1257"/>
      <w:r>
        <w:rPr>
          <w:rFonts w:hint="eastAsia" w:ascii="宋体" w:hAnsi="宋体" w:cs="宋体"/>
          <w:szCs w:val="21"/>
          <w:highlight w:val="none"/>
        </w:rPr>
        <w:t>确定的供应商、分包人无法满足工程质量或合同要求的，</w:t>
      </w:r>
      <w:bookmarkStart w:id="1258" w:name="REVIEW_BM_1752"/>
      <w:r>
        <w:rPr>
          <w:rFonts w:hint="eastAsia" w:ascii="宋体" w:hAnsi="宋体" w:cs="宋体"/>
          <w:szCs w:val="21"/>
          <w:highlight w:val="none"/>
        </w:rPr>
        <w:t>发包人</w:t>
      </w:r>
      <w:bookmarkEnd w:id="1258"/>
      <w:r>
        <w:rPr>
          <w:rFonts w:hint="eastAsia" w:ascii="宋体" w:hAnsi="宋体" w:cs="宋体"/>
          <w:szCs w:val="21"/>
          <w:highlight w:val="none"/>
        </w:rPr>
        <w:t>可以要求</w:t>
      </w:r>
      <w:bookmarkStart w:id="1259" w:name="REVIEW_BM_1754"/>
      <w:r>
        <w:rPr>
          <w:rFonts w:hint="eastAsia" w:ascii="宋体" w:hAnsi="宋体" w:cs="宋体"/>
          <w:szCs w:val="21"/>
          <w:highlight w:val="none"/>
        </w:rPr>
        <w:t>承包人</w:t>
      </w:r>
      <w:bookmarkEnd w:id="1259"/>
      <w:r>
        <w:rPr>
          <w:rFonts w:hint="eastAsia" w:ascii="宋体" w:hAnsi="宋体" w:cs="宋体"/>
          <w:szCs w:val="21"/>
          <w:highlight w:val="none"/>
        </w:rPr>
        <w:t>重新确定暂估价项目的供应商、分包人；</w:t>
      </w:r>
    </w:p>
    <w:p w14:paraId="6F9A37B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w:t>
      </w:r>
      <w:bookmarkStart w:id="1260" w:name="REVIEW_BM_1756"/>
      <w:r>
        <w:rPr>
          <w:rFonts w:hint="eastAsia" w:ascii="宋体" w:hAnsi="宋体" w:cs="宋体"/>
          <w:szCs w:val="21"/>
          <w:highlight w:val="none"/>
        </w:rPr>
        <w:t>承包人</w:t>
      </w:r>
      <w:bookmarkEnd w:id="1260"/>
      <w:r>
        <w:rPr>
          <w:rFonts w:hint="eastAsia" w:ascii="宋体" w:hAnsi="宋体" w:cs="宋体"/>
          <w:szCs w:val="21"/>
          <w:highlight w:val="none"/>
        </w:rPr>
        <w:t>应当在签订暂估价合同后7天内，将暂估价合同副本报送</w:t>
      </w:r>
      <w:bookmarkStart w:id="1261" w:name="REVIEW_BM_1755"/>
      <w:r>
        <w:rPr>
          <w:rFonts w:hint="eastAsia" w:ascii="宋体" w:hAnsi="宋体" w:cs="宋体"/>
          <w:szCs w:val="21"/>
          <w:highlight w:val="none"/>
        </w:rPr>
        <w:t>发包人</w:t>
      </w:r>
      <w:bookmarkEnd w:id="1261"/>
      <w:r>
        <w:rPr>
          <w:rFonts w:hint="eastAsia" w:ascii="宋体" w:hAnsi="宋体" w:cs="宋体"/>
          <w:szCs w:val="21"/>
          <w:highlight w:val="none"/>
        </w:rPr>
        <w:t>留存。</w:t>
      </w:r>
    </w:p>
    <w:p w14:paraId="2E18D79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第3种方式：</w:t>
      </w:r>
      <w:bookmarkStart w:id="1262" w:name="REVIEW_BM_1757"/>
      <w:r>
        <w:rPr>
          <w:rFonts w:hint="eastAsia" w:ascii="宋体" w:hAnsi="宋体" w:cs="宋体"/>
          <w:szCs w:val="21"/>
          <w:highlight w:val="none"/>
        </w:rPr>
        <w:t>承包人</w:t>
      </w:r>
      <w:bookmarkEnd w:id="1262"/>
      <w:r>
        <w:rPr>
          <w:rFonts w:hint="eastAsia" w:ascii="宋体" w:hAnsi="宋体" w:cs="宋体"/>
          <w:szCs w:val="21"/>
          <w:highlight w:val="none"/>
        </w:rPr>
        <w:t>直接实施的暂估价项目</w:t>
      </w:r>
    </w:p>
    <w:p w14:paraId="062E876B">
      <w:pPr>
        <w:spacing w:line="360" w:lineRule="auto"/>
        <w:ind w:firstLine="420"/>
        <w:jc w:val="left"/>
        <w:rPr>
          <w:rFonts w:hint="eastAsia" w:ascii="宋体" w:hAnsi="宋体" w:cs="宋体"/>
          <w:szCs w:val="21"/>
          <w:highlight w:val="none"/>
        </w:rPr>
      </w:pPr>
      <w:bookmarkStart w:id="1263" w:name="REVIEW_BM_1758"/>
      <w:r>
        <w:rPr>
          <w:rFonts w:hint="eastAsia" w:ascii="宋体" w:hAnsi="宋体" w:cs="宋体"/>
          <w:szCs w:val="21"/>
          <w:highlight w:val="none"/>
        </w:rPr>
        <w:t>承包人</w:t>
      </w:r>
      <w:bookmarkEnd w:id="1263"/>
      <w:r>
        <w:rPr>
          <w:rFonts w:hint="eastAsia" w:ascii="宋体" w:hAnsi="宋体" w:cs="宋体"/>
          <w:szCs w:val="21"/>
          <w:highlight w:val="none"/>
        </w:rPr>
        <w:t>直接实施的暂估价项目的约定：</w:t>
      </w:r>
      <w:r>
        <w:rPr>
          <w:rFonts w:hint="eastAsia" w:ascii="宋体" w:hAnsi="宋体" w:cs="宋体"/>
          <w:szCs w:val="21"/>
          <w:highlight w:val="none"/>
          <w:u w:val="single"/>
          <w:lang w:val="en-US" w:eastAsia="zh-CN"/>
        </w:rPr>
        <w:t>/</w:t>
      </w:r>
      <w:r>
        <w:rPr>
          <w:rFonts w:hint="eastAsia" w:ascii="宋体" w:hAnsi="宋体" w:cs="宋体"/>
          <w:szCs w:val="21"/>
          <w:highlight w:val="none"/>
        </w:rPr>
        <w:t>。</w:t>
      </w:r>
    </w:p>
    <w:p w14:paraId="79198DAF">
      <w:pPr>
        <w:bidi w:val="0"/>
        <w:rPr>
          <w:rFonts w:hint="eastAsia"/>
          <w:highlight w:val="none"/>
        </w:rPr>
      </w:pPr>
      <w:bookmarkStart w:id="1264" w:name="_Toc373227745"/>
      <w:bookmarkStart w:id="1265" w:name="_Toc487632745"/>
      <w:bookmarkStart w:id="1266" w:name="_Toc407135248"/>
      <w:bookmarkStart w:id="1267" w:name="_Toc389065311"/>
      <w:bookmarkStart w:id="1268" w:name="_Toc373478392"/>
      <w:r>
        <w:rPr>
          <w:rFonts w:hint="eastAsia"/>
          <w:highlight w:val="none"/>
        </w:rPr>
        <w:t>10.8 暂列金额</w:t>
      </w:r>
      <w:bookmarkEnd w:id="1264"/>
      <w:bookmarkEnd w:id="1265"/>
      <w:bookmarkEnd w:id="1266"/>
      <w:bookmarkEnd w:id="1267"/>
      <w:bookmarkEnd w:id="1268"/>
    </w:p>
    <w:p w14:paraId="02B3A70B">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合同当事人关于暂列金额使用的约定：</w:t>
      </w:r>
      <w:r>
        <w:rPr>
          <w:rFonts w:hint="eastAsia" w:ascii="宋体" w:hAnsi="宋体" w:cs="宋体"/>
          <w:szCs w:val="21"/>
          <w:highlight w:val="none"/>
          <w:u w:val="single"/>
        </w:rPr>
        <w:t xml:space="preserve">  暂列金额是指发包人为可能发生工程变更而暂列的金额，包括因</w:t>
      </w:r>
      <w:bookmarkStart w:id="1269" w:name="REVIEW_BM_1759"/>
      <w:r>
        <w:rPr>
          <w:rFonts w:hint="eastAsia" w:ascii="宋体" w:hAnsi="宋体" w:cs="宋体"/>
          <w:szCs w:val="21"/>
          <w:highlight w:val="none"/>
          <w:u w:val="single"/>
        </w:rPr>
        <w:t>发包人</w:t>
      </w:r>
      <w:bookmarkEnd w:id="1269"/>
      <w:r>
        <w:rPr>
          <w:rFonts w:hint="eastAsia" w:ascii="宋体" w:hAnsi="宋体" w:cs="宋体"/>
          <w:szCs w:val="21"/>
          <w:highlight w:val="none"/>
          <w:u w:val="single"/>
        </w:rPr>
        <w:t>提供的工程量清单漏项、清单有误引起的工程数量增加和施工过程中设计变更引起新的清单项目或工程数量增加等需要增加的金额，</w:t>
      </w:r>
      <w:bookmarkStart w:id="1270" w:name="REVIEW_BM_1760"/>
      <w:r>
        <w:rPr>
          <w:rFonts w:hint="eastAsia" w:ascii="宋体" w:hAnsi="宋体" w:cs="宋体"/>
          <w:szCs w:val="21"/>
          <w:highlight w:val="none"/>
          <w:u w:val="single"/>
        </w:rPr>
        <w:t>发包人</w:t>
      </w:r>
      <w:bookmarkEnd w:id="1270"/>
      <w:r>
        <w:rPr>
          <w:rFonts w:hint="eastAsia" w:ascii="宋体" w:hAnsi="宋体" w:cs="宋体"/>
          <w:szCs w:val="21"/>
          <w:highlight w:val="none"/>
          <w:u w:val="single"/>
        </w:rPr>
        <w:t>委托过程审计单位审定后，按照审定造价支付部分暂列金。暂列金额是</w:t>
      </w:r>
      <w:bookmarkStart w:id="1271" w:name="REVIEW_BM_1761"/>
      <w:r>
        <w:rPr>
          <w:rFonts w:hint="eastAsia" w:ascii="宋体" w:hAnsi="宋体" w:cs="宋体"/>
          <w:szCs w:val="21"/>
          <w:highlight w:val="none"/>
          <w:u w:val="single"/>
        </w:rPr>
        <w:t>发包人</w:t>
      </w:r>
      <w:bookmarkEnd w:id="1271"/>
      <w:r>
        <w:rPr>
          <w:rFonts w:hint="eastAsia" w:ascii="宋体" w:hAnsi="宋体" w:cs="宋体"/>
          <w:szCs w:val="21"/>
          <w:highlight w:val="none"/>
          <w:u w:val="single"/>
        </w:rPr>
        <w:t>自行确定设立的，</w:t>
      </w:r>
      <w:bookmarkStart w:id="1272" w:name="REVIEW_BM_1765"/>
      <w:r>
        <w:rPr>
          <w:rFonts w:hint="eastAsia" w:ascii="宋体" w:hAnsi="宋体" w:cs="宋体"/>
          <w:szCs w:val="21"/>
          <w:highlight w:val="none"/>
          <w:u w:val="single"/>
        </w:rPr>
        <w:t>承包人</w:t>
      </w:r>
      <w:bookmarkEnd w:id="1272"/>
      <w:r>
        <w:rPr>
          <w:rFonts w:hint="eastAsia" w:ascii="宋体" w:hAnsi="宋体" w:cs="宋体"/>
          <w:szCs w:val="21"/>
          <w:highlight w:val="none"/>
          <w:u w:val="single"/>
        </w:rPr>
        <w:t>无权使用此笔费用。此费用按实际发生经</w:t>
      </w:r>
      <w:bookmarkStart w:id="1273" w:name="REVIEW_BM_1762"/>
      <w:r>
        <w:rPr>
          <w:rFonts w:hint="eastAsia" w:ascii="宋体" w:hAnsi="宋体" w:cs="宋体"/>
          <w:szCs w:val="21"/>
          <w:highlight w:val="none"/>
          <w:u w:val="single"/>
        </w:rPr>
        <w:t>发包人</w:t>
      </w:r>
      <w:bookmarkEnd w:id="1273"/>
      <w:r>
        <w:rPr>
          <w:rFonts w:hint="eastAsia" w:ascii="宋体" w:hAnsi="宋体" w:cs="宋体"/>
          <w:szCs w:val="21"/>
          <w:highlight w:val="none"/>
          <w:u w:val="single"/>
        </w:rPr>
        <w:t>签证后确定全部使用、部分使用或不使用。暂列金额不计入工程款付款的基数。</w:t>
      </w:r>
      <w:bookmarkStart w:id="1274" w:name="REVIEW_BM_1763"/>
      <w:r>
        <w:rPr>
          <w:rFonts w:hint="eastAsia" w:ascii="宋体" w:hAnsi="宋体" w:cs="宋体"/>
          <w:szCs w:val="21"/>
          <w:highlight w:val="none"/>
          <w:u w:val="single"/>
        </w:rPr>
        <w:t>发包人</w:t>
      </w:r>
      <w:bookmarkEnd w:id="1274"/>
      <w:r>
        <w:rPr>
          <w:rFonts w:hint="eastAsia" w:ascii="宋体" w:hAnsi="宋体" w:cs="宋体"/>
          <w:szCs w:val="21"/>
          <w:highlight w:val="none"/>
          <w:u w:val="single"/>
        </w:rPr>
        <w:t>按照规定所作支付后，暂列金额如有余额归</w:t>
      </w:r>
      <w:bookmarkStart w:id="1275" w:name="REVIEW_BM_1764"/>
      <w:r>
        <w:rPr>
          <w:rFonts w:hint="eastAsia" w:ascii="宋体" w:hAnsi="宋体" w:cs="宋体"/>
          <w:szCs w:val="21"/>
          <w:highlight w:val="none"/>
          <w:u w:val="single"/>
        </w:rPr>
        <w:t>发包人</w:t>
      </w:r>
      <w:bookmarkEnd w:id="1275"/>
      <w:r>
        <w:rPr>
          <w:rFonts w:hint="eastAsia" w:ascii="宋体" w:hAnsi="宋体" w:cs="宋体"/>
          <w:szCs w:val="21"/>
          <w:highlight w:val="none"/>
        </w:rPr>
        <w:t>。</w:t>
      </w:r>
    </w:p>
    <w:p w14:paraId="128BBB0D">
      <w:pPr>
        <w:pStyle w:val="6"/>
        <w:numPr>
          <w:ilvl w:val="0"/>
          <w:numId w:val="14"/>
        </w:numPr>
        <w:bidi w:val="0"/>
        <w:rPr>
          <w:rFonts w:hint="eastAsia"/>
          <w:highlight w:val="none"/>
        </w:rPr>
      </w:pPr>
      <w:bookmarkStart w:id="1276" w:name="_Toc373227746"/>
      <w:bookmarkStart w:id="1277" w:name="_Toc373478393"/>
      <w:bookmarkStart w:id="1278" w:name="_Toc407135249"/>
      <w:bookmarkStart w:id="1279" w:name="_Toc351203643"/>
      <w:bookmarkStart w:id="1280" w:name="_Toc487632746"/>
      <w:bookmarkStart w:id="1281" w:name="_Toc389065312"/>
      <w:r>
        <w:rPr>
          <w:rFonts w:hint="eastAsia"/>
          <w:highlight w:val="none"/>
        </w:rPr>
        <w:t>价格调整</w:t>
      </w:r>
      <w:bookmarkEnd w:id="1276"/>
      <w:bookmarkEnd w:id="1277"/>
      <w:bookmarkEnd w:id="1278"/>
      <w:bookmarkEnd w:id="1279"/>
      <w:bookmarkEnd w:id="1280"/>
      <w:bookmarkEnd w:id="1281"/>
    </w:p>
    <w:p w14:paraId="5A8EDA7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①法律变化引起的调整；</w:t>
      </w:r>
    </w:p>
    <w:p w14:paraId="32A2065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②工程变更、项目特征不符、工程量清单缺项引起的调整；</w:t>
      </w:r>
    </w:p>
    <w:p w14:paraId="5FE41BA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③计日工引起的调整。</w:t>
      </w:r>
    </w:p>
    <w:p w14:paraId="7E84FCC9">
      <w:pPr>
        <w:bidi w:val="0"/>
        <w:rPr>
          <w:rFonts w:hint="eastAsia"/>
          <w:highlight w:val="none"/>
        </w:rPr>
      </w:pPr>
      <w:bookmarkStart w:id="1282" w:name="_Toc297216209"/>
      <w:bookmarkStart w:id="1283" w:name="_Toc304295577"/>
      <w:bookmarkStart w:id="1284" w:name="_Toc300935000"/>
      <w:bookmarkStart w:id="1285" w:name="_Toc312678039"/>
      <w:bookmarkStart w:id="1286" w:name="_Toc296347200"/>
      <w:bookmarkStart w:id="1287" w:name="_Toc389065313"/>
      <w:bookmarkStart w:id="1288" w:name="_Toc407135250"/>
      <w:bookmarkStart w:id="1289" w:name="_Toc296503201"/>
      <w:bookmarkStart w:id="1290" w:name="_Toc296944540"/>
      <w:bookmarkStart w:id="1291" w:name="_Toc296891241"/>
      <w:bookmarkStart w:id="1292" w:name="_Toc292559406"/>
      <w:bookmarkStart w:id="1293" w:name="_Toc297048387"/>
      <w:bookmarkStart w:id="1294" w:name="_Toc373478394"/>
      <w:bookmarkStart w:id="1295" w:name="_Toc487632747"/>
      <w:bookmarkStart w:id="1296" w:name="_Toc296346702"/>
      <w:bookmarkStart w:id="1297" w:name="_Toc292559911"/>
      <w:bookmarkStart w:id="1298" w:name="_Toc297123550"/>
      <w:bookmarkStart w:id="1299" w:name="_Toc303539157"/>
      <w:bookmarkStart w:id="1300" w:name="_Toc373227747"/>
      <w:bookmarkStart w:id="1301" w:name="_Toc296891029"/>
      <w:bookmarkStart w:id="1302" w:name="_Toc297120501"/>
      <w:r>
        <w:rPr>
          <w:rFonts w:hint="eastAsia"/>
          <w:highlight w:val="none"/>
        </w:rPr>
        <w:t>11.1 市场价格波动引起的调整</w:t>
      </w:r>
      <w:bookmarkEnd w:id="1090"/>
      <w:bookmarkEnd w:id="1091"/>
      <w:bookmarkEnd w:id="1092"/>
      <w:bookmarkEnd w:id="1093"/>
      <w:bookmarkEnd w:id="1094"/>
      <w:bookmarkEnd w:id="1095"/>
      <w:bookmarkEnd w:id="1282"/>
      <w:bookmarkEnd w:id="1283"/>
      <w:bookmarkEnd w:id="1284"/>
      <w:bookmarkEnd w:id="1285"/>
      <w:bookmarkEnd w:id="1286"/>
      <w:bookmarkEnd w:id="1287"/>
      <w:bookmarkEnd w:id="1288"/>
      <w:bookmarkEnd w:id="1289"/>
      <w:bookmarkEnd w:id="1290"/>
      <w:bookmarkEnd w:id="1291"/>
      <w:bookmarkEnd w:id="1292"/>
      <w:bookmarkEnd w:id="1293"/>
      <w:bookmarkEnd w:id="1294"/>
      <w:bookmarkEnd w:id="1295"/>
      <w:bookmarkEnd w:id="1296"/>
      <w:bookmarkEnd w:id="1297"/>
      <w:bookmarkEnd w:id="1298"/>
      <w:bookmarkEnd w:id="1299"/>
      <w:bookmarkEnd w:id="1300"/>
      <w:bookmarkEnd w:id="1301"/>
      <w:bookmarkEnd w:id="1302"/>
    </w:p>
    <w:p w14:paraId="761552D8">
      <w:pPr>
        <w:spacing w:line="360" w:lineRule="auto"/>
        <w:ind w:firstLine="420"/>
        <w:jc w:val="left"/>
        <w:rPr>
          <w:rFonts w:hint="eastAsia" w:ascii="宋体" w:hAnsi="宋体" w:cs="宋体"/>
          <w:szCs w:val="21"/>
          <w:highlight w:val="none"/>
        </w:rPr>
      </w:pPr>
      <w:bookmarkStart w:id="1303" w:name="_Toc296891245"/>
      <w:bookmarkStart w:id="1304" w:name="_Toc296503205"/>
      <w:bookmarkStart w:id="1305" w:name="_Toc296347204"/>
      <w:bookmarkStart w:id="1306" w:name="_Toc297048391"/>
      <w:bookmarkStart w:id="1307" w:name="_Toc296346706"/>
      <w:bookmarkStart w:id="1308" w:name="_Toc292559915"/>
      <w:bookmarkStart w:id="1309" w:name="_Toc296891033"/>
      <w:bookmarkStart w:id="1310" w:name="_Toc292559410"/>
      <w:bookmarkStart w:id="1311" w:name="_Toc297120505"/>
      <w:bookmarkStart w:id="1312" w:name="_Toc296944544"/>
      <w:bookmarkStart w:id="1313" w:name="_Toc304295579"/>
      <w:bookmarkStart w:id="1314" w:name="_Toc297216211"/>
      <w:bookmarkStart w:id="1315" w:name="_Toc407135251"/>
      <w:bookmarkStart w:id="1316" w:name="_Toc312678040"/>
      <w:bookmarkStart w:id="1317" w:name="_Toc487632748"/>
      <w:bookmarkStart w:id="1318" w:name="_Toc373478395"/>
      <w:bookmarkStart w:id="1319" w:name="_Toc303539159"/>
      <w:bookmarkStart w:id="1320" w:name="_Toc300935002"/>
      <w:bookmarkStart w:id="1321" w:name="_Toc351203644"/>
      <w:bookmarkStart w:id="1322" w:name="_Toc297123552"/>
      <w:bookmarkStart w:id="1323" w:name="_Toc373227748"/>
      <w:r>
        <w:rPr>
          <w:rFonts w:hint="eastAsia" w:ascii="宋体" w:hAnsi="宋体" w:cs="宋体"/>
          <w:szCs w:val="21"/>
          <w:highlight w:val="none"/>
        </w:rPr>
        <w:t>市场价格波动是否调整合同价格的约定：</w:t>
      </w:r>
      <w:r>
        <w:rPr>
          <w:rFonts w:hint="eastAsia" w:ascii="宋体" w:hAnsi="宋体" w:cs="宋体"/>
          <w:szCs w:val="21"/>
          <w:highlight w:val="none"/>
          <w:u w:val="single"/>
        </w:rPr>
        <w:t xml:space="preserve">   不作调整    </w:t>
      </w:r>
      <w:r>
        <w:rPr>
          <w:rFonts w:hint="eastAsia" w:ascii="宋体" w:hAnsi="宋体" w:cs="宋体"/>
          <w:szCs w:val="21"/>
          <w:highlight w:val="none"/>
        </w:rPr>
        <w:t>。</w:t>
      </w:r>
    </w:p>
    <w:p w14:paraId="464F6DC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因市场价格波动调整合同价格，采用以下第</w:t>
      </w:r>
      <w:r>
        <w:rPr>
          <w:rFonts w:hint="eastAsia" w:ascii="宋体" w:hAnsi="宋体" w:cs="宋体"/>
          <w:szCs w:val="21"/>
          <w:highlight w:val="none"/>
          <w:u w:val="single"/>
        </w:rPr>
        <w:t xml:space="preserve">  /  </w:t>
      </w:r>
      <w:r>
        <w:rPr>
          <w:rFonts w:hint="eastAsia" w:ascii="宋体" w:hAnsi="宋体" w:cs="宋体"/>
          <w:szCs w:val="21"/>
          <w:highlight w:val="none"/>
        </w:rPr>
        <w:t>种方式对合同价格进行调整：</w:t>
      </w:r>
    </w:p>
    <w:p w14:paraId="20A19FE1">
      <w:pPr>
        <w:keepNext w:val="0"/>
        <w:keepLines w:val="0"/>
        <w:pageBreakBefore w:val="0"/>
        <w:widowControl w:val="0"/>
        <w:bidi w:val="0"/>
        <w:spacing w:line="360" w:lineRule="auto"/>
        <w:ind w:firstLine="420"/>
        <w:jc w:val="left"/>
        <w:rPr>
          <w:rFonts w:hint="eastAsia" w:ascii="宋体" w:hAnsi="宋体" w:cs="宋体"/>
          <w:szCs w:val="21"/>
          <w:highlight w:val="none"/>
        </w:rPr>
      </w:pPr>
      <w:r>
        <w:rPr>
          <w:rFonts w:hint="eastAsia" w:ascii="宋体" w:hAnsi="宋体" w:cs="宋体"/>
          <w:szCs w:val="21"/>
          <w:highlight w:val="none"/>
        </w:rPr>
        <w:t>第1种方式：采用价格指数进行价格调整。</w:t>
      </w:r>
    </w:p>
    <w:p w14:paraId="6CF1547E">
      <w:pPr>
        <w:keepNext w:val="0"/>
        <w:keepLines w:val="0"/>
        <w:pageBreakBefore w:val="0"/>
        <w:widowControl w:val="0"/>
        <w:bidi w:val="0"/>
        <w:spacing w:line="360" w:lineRule="auto"/>
        <w:ind w:firstLine="420"/>
        <w:jc w:val="left"/>
        <w:rPr>
          <w:rFonts w:hint="eastAsia" w:ascii="宋体" w:hAnsi="宋体" w:cs="宋体"/>
          <w:sz w:val="21"/>
          <w:szCs w:val="21"/>
          <w:highlight w:val="none"/>
          <w:u w:val="single"/>
        </w:rPr>
      </w:pPr>
      <w:r>
        <w:rPr>
          <w:rFonts w:hint="eastAsia" w:ascii="宋体" w:hAnsi="宋体" w:cs="宋体"/>
          <w:szCs w:val="21"/>
          <w:highlight w:val="none"/>
        </w:rPr>
        <w:t>关于各可调因子、定</w:t>
      </w:r>
      <w:r>
        <w:rPr>
          <w:rFonts w:hint="eastAsia" w:ascii="宋体" w:hAnsi="宋体" w:cs="宋体"/>
          <w:sz w:val="21"/>
          <w:szCs w:val="21"/>
          <w:highlight w:val="none"/>
        </w:rPr>
        <w:t>值和变值权重，以及基本价格指数及其来源的约定：</w:t>
      </w:r>
      <w:r>
        <w:rPr>
          <w:rFonts w:hint="eastAsia" w:ascii="宋体" w:hAnsi="宋体" w:cs="宋体"/>
          <w:sz w:val="21"/>
          <w:szCs w:val="21"/>
          <w:highlight w:val="none"/>
          <w:u w:val="single"/>
        </w:rPr>
        <w:t xml:space="preserve">     /      </w:t>
      </w:r>
      <w:r>
        <w:rPr>
          <w:rFonts w:hint="eastAsia" w:ascii="宋体" w:hAnsi="宋体" w:cs="宋体"/>
          <w:sz w:val="21"/>
          <w:szCs w:val="21"/>
          <w:highlight w:val="none"/>
        </w:rPr>
        <w:t xml:space="preserve">；  </w:t>
      </w:r>
    </w:p>
    <w:p w14:paraId="500C6CE9">
      <w:pPr>
        <w:keepNext w:val="0"/>
        <w:keepLines w:val="0"/>
        <w:pageBreakBefore w:val="0"/>
        <w:widowControl w:val="0"/>
        <w:bidi w:val="0"/>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第2种方式：采用造价信息进行价格调整。</w:t>
      </w:r>
    </w:p>
    <w:p w14:paraId="71F60518">
      <w:pPr>
        <w:pStyle w:val="22"/>
        <w:keepNext w:val="0"/>
        <w:keepLines w:val="0"/>
        <w:pageBreakBefore w:val="0"/>
        <w:widowControl w:val="0"/>
        <w:bidi w:val="0"/>
        <w:spacing w:after="0" w:line="360" w:lineRule="auto"/>
        <w:ind w:left="0" w:firstLine="420"/>
        <w:rPr>
          <w:rFonts w:hint="eastAsia" w:ascii="宋体" w:hAnsi="宋体" w:cs="宋体"/>
          <w:sz w:val="21"/>
          <w:szCs w:val="21"/>
          <w:highlight w:val="none"/>
        </w:rPr>
      </w:pPr>
      <w:r>
        <w:rPr>
          <w:rFonts w:hint="eastAsia" w:ascii="宋体" w:hAnsi="宋体" w:cs="宋体"/>
          <w:sz w:val="21"/>
          <w:szCs w:val="21"/>
          <w:highlight w:val="none"/>
        </w:rPr>
        <w:t>（1）关于基准价格的约定：编制招标控制价时采用的《南宁市建设工程造价信息》公布价的信息价。</w:t>
      </w:r>
    </w:p>
    <w:p w14:paraId="264ADF58">
      <w:pPr>
        <w:keepNext w:val="0"/>
        <w:keepLines w:val="0"/>
        <w:pageBreakBefore w:val="0"/>
        <w:widowControl w:val="0"/>
        <w:bidi w:val="0"/>
        <w:spacing w:line="360" w:lineRule="auto"/>
        <w:ind w:firstLine="420"/>
        <w:jc w:val="left"/>
        <w:rPr>
          <w:rFonts w:hint="eastAsia" w:ascii="宋体" w:hAnsi="宋体" w:cs="宋体"/>
          <w:sz w:val="21"/>
          <w:szCs w:val="21"/>
          <w:highlight w:val="none"/>
        </w:rPr>
      </w:pPr>
      <w:r>
        <w:rPr>
          <w:rFonts w:hint="eastAsia" w:ascii="宋体" w:hAnsi="宋体" w:cs="宋体"/>
          <w:sz w:val="21"/>
          <w:szCs w:val="21"/>
          <w:highlight w:val="none"/>
        </w:rPr>
        <w:t>第3种方式：</w:t>
      </w:r>
      <w:r>
        <w:rPr>
          <w:rFonts w:hint="eastAsia" w:ascii="宋体" w:hAnsi="宋体" w:cs="宋体"/>
          <w:sz w:val="21"/>
          <w:szCs w:val="21"/>
          <w:highlight w:val="none"/>
          <w:u w:val="single"/>
        </w:rPr>
        <w:t xml:space="preserve">        /      </w:t>
      </w:r>
      <w:r>
        <w:rPr>
          <w:rFonts w:hint="eastAsia" w:ascii="宋体" w:hAnsi="宋体" w:cs="宋体"/>
          <w:sz w:val="21"/>
          <w:szCs w:val="21"/>
          <w:highlight w:val="none"/>
        </w:rPr>
        <w:t xml:space="preserve"> 。</w:t>
      </w:r>
    </w:p>
    <w:p w14:paraId="2331B20D">
      <w:pPr>
        <w:pStyle w:val="6"/>
        <w:bidi w:val="0"/>
        <w:rPr>
          <w:rFonts w:hint="eastAsia"/>
          <w:highlight w:val="none"/>
        </w:rPr>
      </w:pPr>
      <w:r>
        <w:rPr>
          <w:rFonts w:hint="eastAsia"/>
          <w:highlight w:val="none"/>
        </w:rPr>
        <w:t xml:space="preserve">12. </w:t>
      </w:r>
      <w:bookmarkEnd w:id="1303"/>
      <w:bookmarkEnd w:id="1304"/>
      <w:bookmarkEnd w:id="1305"/>
      <w:bookmarkEnd w:id="1306"/>
      <w:bookmarkEnd w:id="1307"/>
      <w:bookmarkEnd w:id="1308"/>
      <w:bookmarkEnd w:id="1309"/>
      <w:bookmarkEnd w:id="1310"/>
      <w:bookmarkEnd w:id="1311"/>
      <w:bookmarkEnd w:id="1312"/>
      <w:r>
        <w:rPr>
          <w:rFonts w:hint="eastAsia"/>
          <w:highlight w:val="none"/>
        </w:rPr>
        <w:t>合同价格、计量与支付</w:t>
      </w:r>
      <w:bookmarkEnd w:id="1313"/>
      <w:bookmarkEnd w:id="1314"/>
      <w:bookmarkEnd w:id="1315"/>
      <w:bookmarkEnd w:id="1316"/>
      <w:bookmarkEnd w:id="1317"/>
      <w:bookmarkEnd w:id="1318"/>
      <w:bookmarkEnd w:id="1319"/>
      <w:bookmarkEnd w:id="1320"/>
      <w:bookmarkEnd w:id="1321"/>
      <w:bookmarkEnd w:id="1322"/>
      <w:bookmarkEnd w:id="1323"/>
    </w:p>
    <w:p w14:paraId="097205B9">
      <w:pPr>
        <w:bidi w:val="0"/>
        <w:rPr>
          <w:rFonts w:hint="eastAsia"/>
          <w:highlight w:val="none"/>
        </w:rPr>
      </w:pPr>
      <w:bookmarkStart w:id="1324" w:name="_Toc267251461"/>
      <w:bookmarkStart w:id="1325" w:name="_Toc292559916"/>
      <w:bookmarkStart w:id="1326" w:name="_Toc292559411"/>
      <w:bookmarkStart w:id="1327" w:name="_Toc297048392"/>
      <w:bookmarkStart w:id="1328" w:name="_Toc297120506"/>
      <w:bookmarkStart w:id="1329" w:name="_Toc296944545"/>
      <w:bookmarkStart w:id="1330" w:name="_Toc296347205"/>
      <w:bookmarkStart w:id="1331" w:name="_Toc296346707"/>
      <w:bookmarkStart w:id="1332" w:name="_Toc296891246"/>
      <w:bookmarkStart w:id="1333" w:name="_Toc296503206"/>
      <w:bookmarkStart w:id="1334" w:name="_Toc296891034"/>
      <w:bookmarkStart w:id="1335" w:name="_Toc407135252"/>
      <w:bookmarkStart w:id="1336" w:name="_Toc312678041"/>
      <w:bookmarkStart w:id="1337" w:name="_Toc373478396"/>
      <w:bookmarkStart w:id="1338" w:name="_Toc297216212"/>
      <w:bookmarkStart w:id="1339" w:name="_Toc487632749"/>
      <w:bookmarkStart w:id="1340" w:name="_Toc304295580"/>
      <w:bookmarkStart w:id="1341" w:name="_Toc300935003"/>
      <w:bookmarkStart w:id="1342" w:name="_Toc373227749"/>
      <w:bookmarkStart w:id="1343" w:name="_Toc297123553"/>
      <w:bookmarkStart w:id="1344" w:name="_Toc303539160"/>
      <w:bookmarkStart w:id="1345" w:name="_Toc389065314"/>
      <w:r>
        <w:rPr>
          <w:rFonts w:hint="eastAsia"/>
          <w:highlight w:val="none"/>
        </w:rPr>
        <w:t>12.1 合</w:t>
      </w:r>
      <w:bookmarkEnd w:id="1324"/>
      <w:bookmarkEnd w:id="1325"/>
      <w:bookmarkEnd w:id="1326"/>
      <w:r>
        <w:rPr>
          <w:rFonts w:hint="eastAsia"/>
          <w:highlight w:val="none"/>
        </w:rPr>
        <w:t>同价</w:t>
      </w:r>
      <w:bookmarkEnd w:id="1327"/>
      <w:bookmarkEnd w:id="1328"/>
      <w:bookmarkEnd w:id="1329"/>
      <w:bookmarkEnd w:id="1330"/>
      <w:bookmarkEnd w:id="1331"/>
      <w:bookmarkEnd w:id="1332"/>
      <w:bookmarkEnd w:id="1333"/>
      <w:bookmarkEnd w:id="1334"/>
      <w:r>
        <w:rPr>
          <w:rFonts w:hint="eastAsia"/>
          <w:highlight w:val="none"/>
        </w:rPr>
        <w:t>格形式</w:t>
      </w:r>
      <w:bookmarkEnd w:id="1335"/>
      <w:bookmarkEnd w:id="1336"/>
      <w:bookmarkEnd w:id="1337"/>
      <w:bookmarkEnd w:id="1338"/>
      <w:bookmarkEnd w:id="1339"/>
      <w:bookmarkEnd w:id="1340"/>
      <w:bookmarkEnd w:id="1341"/>
      <w:bookmarkEnd w:id="1342"/>
      <w:bookmarkEnd w:id="1343"/>
      <w:bookmarkEnd w:id="1344"/>
      <w:bookmarkEnd w:id="1345"/>
    </w:p>
    <w:p w14:paraId="36ECD1F9">
      <w:pPr>
        <w:spacing w:line="360" w:lineRule="auto"/>
        <w:ind w:firstLine="420"/>
        <w:jc w:val="left"/>
        <w:rPr>
          <w:rFonts w:hint="eastAsia" w:ascii="宋体" w:hAnsi="宋体" w:cs="宋体"/>
          <w:szCs w:val="21"/>
          <w:highlight w:val="none"/>
        </w:rPr>
      </w:pPr>
      <w:bookmarkStart w:id="1346" w:name="_Toc300935004"/>
      <w:bookmarkStart w:id="1347" w:name="_Toc373478397"/>
      <w:bookmarkStart w:id="1348" w:name="_Toc297216213"/>
      <w:bookmarkStart w:id="1349" w:name="_Toc373227750"/>
      <w:bookmarkStart w:id="1350" w:name="_Toc297123554"/>
      <w:bookmarkStart w:id="1351" w:name="_Toc304295581"/>
      <w:bookmarkStart w:id="1352" w:name="_Toc303539161"/>
      <w:bookmarkStart w:id="1353" w:name="_Toc312678042"/>
      <w:bookmarkStart w:id="1354" w:name="_Toc389065315"/>
      <w:bookmarkStart w:id="1355" w:name="_Toc296891247"/>
      <w:bookmarkStart w:id="1356" w:name="_Toc292559917"/>
      <w:bookmarkStart w:id="1357" w:name="_Toc292559412"/>
      <w:bookmarkStart w:id="1358" w:name="_Toc296891035"/>
      <w:bookmarkStart w:id="1359" w:name="_Toc297120507"/>
      <w:bookmarkStart w:id="1360" w:name="_Toc296346708"/>
      <w:bookmarkStart w:id="1361" w:name="_Toc296503207"/>
      <w:bookmarkStart w:id="1362" w:name="_Toc297048393"/>
      <w:bookmarkStart w:id="1363" w:name="_Toc296347206"/>
      <w:bookmarkStart w:id="1364" w:name="_Toc296944546"/>
      <w:r>
        <w:rPr>
          <w:rFonts w:hint="eastAsia" w:ascii="宋体" w:hAnsi="宋体" w:cs="宋体"/>
          <w:szCs w:val="21"/>
          <w:highlight w:val="none"/>
        </w:rPr>
        <w:t>本工程采用</w:t>
      </w:r>
      <w:r>
        <w:rPr>
          <w:rFonts w:hint="eastAsia" w:ascii="宋体" w:hAnsi="宋体" w:cs="宋体"/>
          <w:szCs w:val="21"/>
          <w:highlight w:val="none"/>
          <w:u w:val="single"/>
        </w:rPr>
        <w:t xml:space="preserve">  固定综合单价  </w:t>
      </w:r>
      <w:r>
        <w:rPr>
          <w:rFonts w:hint="eastAsia" w:ascii="宋体" w:hAnsi="宋体" w:cs="宋体"/>
          <w:szCs w:val="21"/>
          <w:highlight w:val="none"/>
        </w:rPr>
        <w:t>合同价格形式。</w:t>
      </w:r>
    </w:p>
    <w:p w14:paraId="200AC74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（1）单价合同。</w:t>
      </w:r>
    </w:p>
    <w:p w14:paraId="47454B68">
      <w:pPr>
        <w:spacing w:line="360" w:lineRule="auto"/>
        <w:ind w:firstLine="420"/>
        <w:jc w:val="left"/>
        <w:rPr>
          <w:rFonts w:hint="eastAsia" w:ascii="宋体" w:hAnsi="宋体" w:eastAsia="宋体" w:cs="宋体"/>
          <w:szCs w:val="21"/>
          <w:highlight w:val="none"/>
          <w:lang w:eastAsia="zh-CN"/>
        </w:rPr>
      </w:pPr>
      <w:r>
        <w:rPr>
          <w:rFonts w:hint="eastAsia" w:ascii="宋体" w:hAnsi="宋体" w:cs="宋体"/>
          <w:szCs w:val="21"/>
          <w:highlight w:val="none"/>
        </w:rPr>
        <w:t>本合同价款采用固定综合单价方式确定，工程量按实际结算。工程量按建设单位、监理单位、施工单位三方确认的竣工图结算</w:t>
      </w:r>
      <w:r>
        <w:rPr>
          <w:rFonts w:hint="eastAsia" w:ascii="宋体" w:hAnsi="宋体" w:cs="宋体"/>
          <w:szCs w:val="21"/>
          <w:highlight w:val="none"/>
          <w:lang w:eastAsia="zh-CN"/>
        </w:rPr>
        <w:t>。</w:t>
      </w:r>
    </w:p>
    <w:p w14:paraId="657808C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综合单价包含的风险范围：</w:t>
      </w:r>
      <w:r>
        <w:rPr>
          <w:rFonts w:hint="eastAsia" w:ascii="宋体" w:hAnsi="宋体" w:cs="宋体"/>
          <w:szCs w:val="21"/>
          <w:highlight w:val="none"/>
          <w:u w:val="single"/>
        </w:rPr>
        <w:t>除工程变更、项目特征不符、工程量清单缺项、政策性调整以外的其他风险因素。</w:t>
      </w:r>
    </w:p>
    <w:p w14:paraId="4DA911E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风险范围以外合同价格的调整方法：①工程变更、工程量清单缺项：按10.4.1变更估价原则的约定调整。②工程量偏差：按1.13工程量清单错误修正的约定调整。③政策性调整：按国家、自治区</w:t>
      </w:r>
      <w:bookmarkStart w:id="1365" w:name="REVIEW_BM_1766"/>
      <w:r>
        <w:rPr>
          <w:rFonts w:hint="eastAsia" w:ascii="宋体" w:hAnsi="宋体" w:cs="宋体"/>
          <w:szCs w:val="21"/>
          <w:highlight w:val="none"/>
        </w:rPr>
        <w:t>住房城乡建设厅</w:t>
      </w:r>
      <w:bookmarkEnd w:id="1365"/>
      <w:r>
        <w:rPr>
          <w:rFonts w:hint="eastAsia" w:ascii="宋体" w:hAnsi="宋体" w:cs="宋体"/>
          <w:szCs w:val="21"/>
          <w:highlight w:val="none"/>
        </w:rPr>
        <w:t>或工程所在地市级住房城乡建设主管部门颁布的文件执行。④市场波动引起的调整：按11.1的约定调整。</w:t>
      </w:r>
    </w:p>
    <w:p w14:paraId="7F1C38B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（2）总价合同。</w:t>
      </w:r>
    </w:p>
    <w:p w14:paraId="3554106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总价包含的风险范围：</w:t>
      </w:r>
      <w:r>
        <w:rPr>
          <w:rFonts w:hint="eastAsia" w:ascii="宋体" w:hAnsi="宋体" w:cs="宋体"/>
          <w:szCs w:val="21"/>
          <w:highlight w:val="none"/>
          <w:u w:val="single"/>
        </w:rPr>
        <w:t xml:space="preserve">       /       </w:t>
      </w:r>
      <w:r>
        <w:rPr>
          <w:rFonts w:hint="eastAsia" w:ascii="宋体" w:hAnsi="宋体" w:cs="宋体"/>
          <w:szCs w:val="21"/>
          <w:highlight w:val="none"/>
        </w:rPr>
        <w:t>。</w:t>
      </w:r>
    </w:p>
    <w:p w14:paraId="62B7BD8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风险范围以外合同价格的调整方法：①工程变更、工程量清单缺项：按10.4.1变更估价原则的约定调整。②工程量偏差：按1.13工程量清单错误修正的约定调整。③政策性调整：按国家、自治区</w:t>
      </w:r>
      <w:bookmarkStart w:id="1366" w:name="REVIEW_BM_1767"/>
      <w:r>
        <w:rPr>
          <w:rFonts w:hint="eastAsia" w:ascii="宋体" w:hAnsi="宋体" w:cs="宋体"/>
          <w:szCs w:val="21"/>
          <w:highlight w:val="none"/>
        </w:rPr>
        <w:t>住房城乡建设厅</w:t>
      </w:r>
      <w:bookmarkEnd w:id="1366"/>
      <w:r>
        <w:rPr>
          <w:rFonts w:hint="eastAsia" w:ascii="宋体" w:hAnsi="宋体" w:cs="宋体"/>
          <w:szCs w:val="21"/>
          <w:highlight w:val="none"/>
        </w:rPr>
        <w:t>或工程所在地市级住房城乡建设主管部门颁布的文件执行。④市场波动引起的调整：按11.1的约定调整。</w:t>
      </w:r>
    </w:p>
    <w:p w14:paraId="665DEB8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（3）其他价格方式：</w:t>
      </w:r>
      <w:r>
        <w:rPr>
          <w:rFonts w:hint="eastAsia" w:ascii="宋体" w:hAnsi="宋体" w:cs="宋体"/>
          <w:szCs w:val="21"/>
          <w:highlight w:val="none"/>
          <w:u w:val="single"/>
        </w:rPr>
        <w:t xml:space="preserve">      /      </w:t>
      </w:r>
      <w:r>
        <w:rPr>
          <w:rFonts w:hint="eastAsia" w:ascii="宋体" w:hAnsi="宋体" w:cs="宋体"/>
          <w:szCs w:val="21"/>
          <w:highlight w:val="none"/>
        </w:rPr>
        <w:t>。</w:t>
      </w:r>
    </w:p>
    <w:p w14:paraId="41B9E101">
      <w:pPr>
        <w:bidi w:val="0"/>
        <w:rPr>
          <w:rFonts w:hint="eastAsia"/>
          <w:highlight w:val="none"/>
        </w:rPr>
      </w:pPr>
      <w:bookmarkStart w:id="1367" w:name="_Toc487632750"/>
      <w:bookmarkStart w:id="1368" w:name="_Toc407135253"/>
      <w:r>
        <w:rPr>
          <w:rFonts w:hint="eastAsia"/>
          <w:highlight w:val="none"/>
        </w:rPr>
        <w:t>12.2 预付款</w:t>
      </w:r>
      <w:bookmarkEnd w:id="1346"/>
      <w:bookmarkEnd w:id="1347"/>
      <w:bookmarkEnd w:id="1348"/>
      <w:bookmarkEnd w:id="1349"/>
      <w:bookmarkEnd w:id="1350"/>
      <w:bookmarkEnd w:id="1351"/>
      <w:bookmarkEnd w:id="1352"/>
      <w:bookmarkEnd w:id="1353"/>
      <w:bookmarkEnd w:id="1354"/>
      <w:bookmarkEnd w:id="1367"/>
      <w:bookmarkEnd w:id="1368"/>
    </w:p>
    <w:p w14:paraId="45C60A4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12.2.1 预付款的支付</w:t>
      </w:r>
    </w:p>
    <w:p w14:paraId="00C7F0D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预付款支付比例或金额：</w:t>
      </w:r>
      <w:r>
        <w:rPr>
          <w:rFonts w:hint="eastAsia" w:ascii="宋体" w:hAnsi="宋体" w:cs="宋体"/>
          <w:szCs w:val="21"/>
          <w:highlight w:val="none"/>
          <w:u w:val="single"/>
        </w:rPr>
        <w:t xml:space="preserve">  按签约合同价格（扣安全文明施工费、暂列金、暂估价</w:t>
      </w:r>
      <w:r>
        <w:rPr>
          <w:rFonts w:hint="eastAsia" w:ascii="宋体" w:hAnsi="宋体" w:cs="宋体"/>
          <w:szCs w:val="21"/>
          <w:highlight w:val="none"/>
          <w:u w:val="none"/>
          <w:lang w:eastAsia="zh-CN"/>
        </w:rPr>
        <w:t>（</w:t>
      </w:r>
      <w:r>
        <w:rPr>
          <w:rFonts w:hint="eastAsia" w:ascii="宋体" w:hAnsi="宋体" w:cs="宋体"/>
          <w:szCs w:val="21"/>
          <w:highlight w:val="none"/>
          <w:u w:val="none"/>
          <w:lang w:val="en-US" w:eastAsia="zh-CN"/>
        </w:rPr>
        <w:t>专业工程暂估价、</w:t>
      </w:r>
      <w:r>
        <w:rPr>
          <w:rFonts w:hint="eastAsia" w:ascii="宋体" w:hAnsi="宋体" w:cs="宋体"/>
          <w:szCs w:val="21"/>
          <w:highlight w:val="none"/>
          <w:u w:val="none"/>
        </w:rPr>
        <w:t>材料和工程设备暂估价</w:t>
      </w:r>
      <w:r>
        <w:rPr>
          <w:rFonts w:hint="eastAsia" w:ascii="宋体" w:hAnsi="宋体" w:cs="宋体"/>
          <w:szCs w:val="21"/>
          <w:highlight w:val="none"/>
          <w:u w:val="none"/>
          <w:lang w:eastAsia="zh-CN"/>
        </w:rPr>
        <w:t>）</w:t>
      </w:r>
      <w:r>
        <w:rPr>
          <w:rFonts w:hint="eastAsia" w:ascii="宋体" w:hAnsi="宋体" w:cs="宋体"/>
          <w:szCs w:val="21"/>
          <w:highlight w:val="none"/>
          <w:u w:val="single"/>
        </w:rPr>
        <w:t xml:space="preserve">及甲供材） 的 30 %支付工程预付款 </w:t>
      </w:r>
      <w:r>
        <w:rPr>
          <w:rFonts w:hint="eastAsia" w:ascii="宋体" w:hAnsi="宋体" w:cs="宋体"/>
          <w:szCs w:val="21"/>
          <w:highlight w:val="none"/>
        </w:rPr>
        <w:t>。</w:t>
      </w:r>
    </w:p>
    <w:p w14:paraId="0D97793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预付款支付期限：</w:t>
      </w:r>
      <w:r>
        <w:rPr>
          <w:rFonts w:hint="eastAsia" w:ascii="宋体" w:hAnsi="宋体" w:cs="宋体"/>
          <w:szCs w:val="21"/>
          <w:highlight w:val="none"/>
          <w:u w:val="single"/>
        </w:rPr>
        <w:t xml:space="preserve">  合同签订后 10 个工作日内支付  </w:t>
      </w:r>
      <w:r>
        <w:rPr>
          <w:rFonts w:hint="eastAsia" w:ascii="宋体" w:hAnsi="宋体" w:cs="宋体"/>
          <w:szCs w:val="21"/>
          <w:highlight w:val="none"/>
        </w:rPr>
        <w:t>。</w:t>
      </w:r>
    </w:p>
    <w:p w14:paraId="32D10A8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预付款扣回的方式：</w:t>
      </w:r>
      <w:r>
        <w:rPr>
          <w:rFonts w:hint="eastAsia" w:ascii="宋体" w:hAnsi="宋体" w:cs="宋体"/>
          <w:szCs w:val="21"/>
          <w:highlight w:val="none"/>
          <w:u w:val="single"/>
        </w:rPr>
        <w:t xml:space="preserve">  在项目工程进度款中一次性扣回 </w:t>
      </w:r>
      <w:r>
        <w:rPr>
          <w:rFonts w:hint="eastAsia" w:ascii="宋体" w:hAnsi="宋体" w:cs="宋体"/>
          <w:szCs w:val="21"/>
          <w:highlight w:val="none"/>
        </w:rPr>
        <w:t>。</w:t>
      </w:r>
    </w:p>
    <w:p w14:paraId="18B1BF1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12.2.2 预付款担保</w:t>
      </w:r>
    </w:p>
    <w:p w14:paraId="0B4FFB60">
      <w:pPr>
        <w:spacing w:line="360" w:lineRule="auto"/>
        <w:ind w:firstLine="420"/>
        <w:jc w:val="left"/>
        <w:rPr>
          <w:rFonts w:hint="eastAsia" w:ascii="宋体" w:hAnsi="宋体" w:cs="宋体"/>
          <w:szCs w:val="21"/>
          <w:highlight w:val="none"/>
        </w:rPr>
      </w:pPr>
      <w:bookmarkStart w:id="1369" w:name="REVIEW_BM_1768"/>
      <w:r>
        <w:rPr>
          <w:rFonts w:hint="eastAsia" w:ascii="宋体" w:hAnsi="宋体" w:cs="宋体"/>
          <w:szCs w:val="21"/>
          <w:highlight w:val="none"/>
        </w:rPr>
        <w:t>承包人</w:t>
      </w:r>
      <w:bookmarkEnd w:id="1369"/>
      <w:r>
        <w:rPr>
          <w:rFonts w:hint="eastAsia" w:ascii="宋体" w:hAnsi="宋体" w:cs="宋体"/>
          <w:szCs w:val="21"/>
          <w:highlight w:val="none"/>
        </w:rPr>
        <w:t>提交预付款担保的期限：</w:t>
      </w:r>
      <w:r>
        <w:rPr>
          <w:rFonts w:hint="eastAsia" w:ascii="宋体" w:hAnsi="宋体" w:cs="宋体"/>
          <w:szCs w:val="21"/>
          <w:highlight w:val="none"/>
          <w:u w:val="single"/>
        </w:rPr>
        <w:t xml:space="preserve">   /  </w:t>
      </w:r>
      <w:r>
        <w:rPr>
          <w:rFonts w:hint="eastAsia" w:ascii="宋体" w:hAnsi="宋体" w:cs="宋体"/>
          <w:szCs w:val="21"/>
          <w:highlight w:val="none"/>
        </w:rPr>
        <w:t>。</w:t>
      </w:r>
    </w:p>
    <w:p w14:paraId="6DBDDB1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预付款担保的形式为：</w:t>
      </w:r>
      <w:r>
        <w:rPr>
          <w:rFonts w:hint="eastAsia" w:ascii="宋体" w:hAnsi="宋体" w:cs="宋体"/>
          <w:szCs w:val="21"/>
          <w:highlight w:val="none"/>
          <w:u w:val="single"/>
        </w:rPr>
        <w:t xml:space="preserve">    /   </w:t>
      </w:r>
      <w:r>
        <w:rPr>
          <w:rFonts w:hint="eastAsia" w:ascii="宋体" w:hAnsi="宋体" w:cs="宋体"/>
          <w:szCs w:val="21"/>
          <w:highlight w:val="none"/>
        </w:rPr>
        <w:t>。</w:t>
      </w:r>
    </w:p>
    <w:p w14:paraId="0E58452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预付款担保格式见合同附件7。</w:t>
      </w:r>
      <w:bookmarkEnd w:id="1355"/>
      <w:bookmarkEnd w:id="1356"/>
      <w:bookmarkEnd w:id="1357"/>
      <w:bookmarkEnd w:id="1358"/>
      <w:bookmarkEnd w:id="1359"/>
      <w:bookmarkEnd w:id="1360"/>
      <w:bookmarkEnd w:id="1361"/>
      <w:bookmarkEnd w:id="1362"/>
      <w:bookmarkEnd w:id="1363"/>
      <w:bookmarkEnd w:id="1364"/>
    </w:p>
    <w:p w14:paraId="372A8F27">
      <w:pPr>
        <w:bidi w:val="0"/>
        <w:rPr>
          <w:rFonts w:hint="eastAsia"/>
          <w:highlight w:val="none"/>
        </w:rPr>
      </w:pPr>
      <w:bookmarkStart w:id="1370" w:name="_Toc373227751"/>
      <w:bookmarkStart w:id="1371" w:name="_Toc373478398"/>
      <w:bookmarkStart w:id="1372" w:name="_Toc407135254"/>
      <w:bookmarkStart w:id="1373" w:name="_Toc487632751"/>
      <w:bookmarkStart w:id="1374" w:name="_Toc389065316"/>
      <w:r>
        <w:rPr>
          <w:rFonts w:hint="eastAsia"/>
          <w:highlight w:val="none"/>
        </w:rPr>
        <w:t>12.3 计量</w:t>
      </w:r>
      <w:bookmarkEnd w:id="1370"/>
      <w:bookmarkEnd w:id="1371"/>
      <w:bookmarkEnd w:id="1372"/>
      <w:bookmarkEnd w:id="1373"/>
      <w:bookmarkEnd w:id="1374"/>
    </w:p>
    <w:p w14:paraId="2B03312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12.3.1 计量原则</w:t>
      </w:r>
    </w:p>
    <w:p w14:paraId="3414422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工程量计算规则：</w:t>
      </w:r>
      <w:r>
        <w:rPr>
          <w:rFonts w:hint="eastAsia" w:ascii="宋体" w:hAnsi="宋体" w:cs="宋体"/>
          <w:szCs w:val="21"/>
          <w:highlight w:val="none"/>
          <w:u w:val="single"/>
        </w:rPr>
        <w:t>执行国家、行业及地方现行工程量清单计价规范。</w:t>
      </w:r>
    </w:p>
    <w:p w14:paraId="22A3DF6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12.3.2 计量周期</w:t>
      </w:r>
    </w:p>
    <w:p w14:paraId="4E9423D8">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关于计量周期的约定：</w:t>
      </w:r>
      <w:r>
        <w:rPr>
          <w:rFonts w:hint="eastAsia" w:ascii="宋体" w:hAnsi="宋体" w:cs="宋体"/>
          <w:szCs w:val="21"/>
          <w:highlight w:val="none"/>
          <w:u w:val="single"/>
        </w:rPr>
        <w:t>参照本合同通用条款执行。</w:t>
      </w:r>
    </w:p>
    <w:p w14:paraId="744E720B">
      <w:pPr>
        <w:bidi w:val="0"/>
        <w:rPr>
          <w:rFonts w:hint="eastAsia"/>
          <w:highlight w:val="none"/>
        </w:rPr>
      </w:pPr>
      <w:r>
        <w:rPr>
          <w:rFonts w:hint="eastAsia"/>
          <w:highlight w:val="none"/>
        </w:rPr>
        <w:t>12.3.3 单价合同的计量</w:t>
      </w:r>
    </w:p>
    <w:p w14:paraId="4825DF4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关于单价合同计量的约定：</w:t>
      </w:r>
    </w:p>
    <w:p w14:paraId="77E6BF6A">
      <w:pPr>
        <w:spacing w:line="360" w:lineRule="auto"/>
        <w:ind w:firstLine="441"/>
        <w:rPr>
          <w:rFonts w:hint="eastAsia" w:ascii="宋体" w:hAnsi="宋体" w:cs="宋体"/>
          <w:szCs w:val="21"/>
          <w:highlight w:val="none"/>
        </w:rPr>
      </w:pPr>
      <w:r>
        <w:rPr>
          <w:rFonts w:hint="eastAsia" w:ascii="宋体" w:hAnsi="宋体" w:cs="宋体"/>
          <w:szCs w:val="21"/>
          <w:highlight w:val="none"/>
        </w:rPr>
        <w:t>(1) 工程量清单所列的工程量，不能作为</w:t>
      </w:r>
      <w:bookmarkStart w:id="1375" w:name="REVIEW_BM_1769"/>
      <w:r>
        <w:rPr>
          <w:rFonts w:hint="eastAsia" w:ascii="宋体" w:hAnsi="宋体" w:cs="宋体"/>
          <w:szCs w:val="21"/>
          <w:highlight w:val="none"/>
        </w:rPr>
        <w:t>承包人</w:t>
      </w:r>
      <w:bookmarkEnd w:id="1375"/>
      <w:r>
        <w:rPr>
          <w:rFonts w:hint="eastAsia" w:ascii="宋体" w:hAnsi="宋体" w:cs="宋体"/>
          <w:szCs w:val="21"/>
          <w:highlight w:val="none"/>
        </w:rPr>
        <w:t>按合同履行其责任依据，实际施工中发生的工程量增加或减少并不影响</w:t>
      </w:r>
      <w:bookmarkStart w:id="1376" w:name="REVIEW_BM_1770"/>
      <w:r>
        <w:rPr>
          <w:rFonts w:hint="eastAsia" w:ascii="宋体" w:hAnsi="宋体" w:cs="宋体"/>
          <w:szCs w:val="21"/>
          <w:highlight w:val="none"/>
        </w:rPr>
        <w:t>承包人</w:t>
      </w:r>
      <w:bookmarkEnd w:id="1376"/>
      <w:r>
        <w:rPr>
          <w:rFonts w:hint="eastAsia" w:ascii="宋体" w:hAnsi="宋体" w:cs="宋体"/>
          <w:szCs w:val="21"/>
          <w:highlight w:val="none"/>
        </w:rPr>
        <w:t>履行合同的责任，工程结算以完成的实际工程量为准(工程量有偏差时，按专用条款“1.13工程量清单错误的修正”执行)。</w:t>
      </w:r>
    </w:p>
    <w:p w14:paraId="0BB11553">
      <w:pPr>
        <w:spacing w:line="360" w:lineRule="auto"/>
        <w:ind w:firstLine="441"/>
        <w:rPr>
          <w:rFonts w:hint="eastAsia" w:ascii="宋体" w:hAnsi="宋体" w:cs="宋体"/>
          <w:szCs w:val="21"/>
          <w:highlight w:val="none"/>
        </w:rPr>
      </w:pPr>
      <w:r>
        <w:rPr>
          <w:rFonts w:hint="eastAsia" w:ascii="宋体" w:hAnsi="宋体" w:cs="宋体"/>
          <w:szCs w:val="21"/>
          <w:highlight w:val="none"/>
        </w:rPr>
        <w:t>(2) 除另有规定外，工程师应按照合同通过计量来核实确定已完成的工程量和价款，</w:t>
      </w:r>
      <w:bookmarkStart w:id="1377" w:name="REVIEW_BM_1771"/>
      <w:r>
        <w:rPr>
          <w:rFonts w:hint="eastAsia" w:ascii="宋体" w:hAnsi="宋体" w:cs="宋体"/>
          <w:szCs w:val="21"/>
          <w:highlight w:val="none"/>
        </w:rPr>
        <w:t>承包人</w:t>
      </w:r>
      <w:bookmarkEnd w:id="1377"/>
      <w:r>
        <w:rPr>
          <w:rFonts w:hint="eastAsia" w:ascii="宋体" w:hAnsi="宋体" w:cs="宋体"/>
          <w:szCs w:val="21"/>
          <w:highlight w:val="none"/>
        </w:rPr>
        <w:t>应得到该价款扣除保留金后的金额。当工程师要对已完工的工程量进行计量时，应适时地通知</w:t>
      </w:r>
      <w:bookmarkStart w:id="1378" w:name="REVIEW_BM_1772"/>
      <w:r>
        <w:rPr>
          <w:rFonts w:hint="eastAsia" w:ascii="宋体" w:hAnsi="宋体" w:cs="宋体"/>
          <w:szCs w:val="21"/>
          <w:highlight w:val="none"/>
        </w:rPr>
        <w:t>承包人</w:t>
      </w:r>
      <w:bookmarkEnd w:id="1378"/>
      <w:r>
        <w:rPr>
          <w:rFonts w:hint="eastAsia" w:ascii="宋体" w:hAnsi="宋体" w:cs="宋体"/>
          <w:szCs w:val="21"/>
          <w:highlight w:val="none"/>
        </w:rPr>
        <w:t>参加。</w:t>
      </w:r>
    </w:p>
    <w:p w14:paraId="4DEDA72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12.3.4 总价合同的计量</w:t>
      </w:r>
    </w:p>
    <w:p w14:paraId="41341754">
      <w:pPr>
        <w:spacing w:line="360" w:lineRule="auto"/>
        <w:ind w:firstLine="420"/>
        <w:jc w:val="left"/>
        <w:rPr>
          <w:rFonts w:hint="eastAsia" w:ascii="宋体" w:hAnsi="宋体" w:eastAsia="宋体" w:cs="宋体"/>
          <w:szCs w:val="21"/>
          <w:highlight w:val="none"/>
          <w:lang w:eastAsia="zh-CN"/>
        </w:rPr>
      </w:pPr>
      <w:r>
        <w:rPr>
          <w:rFonts w:hint="eastAsia" w:ascii="宋体" w:hAnsi="宋体" w:cs="宋体"/>
          <w:szCs w:val="21"/>
          <w:highlight w:val="none"/>
        </w:rPr>
        <w:t>关于总价合同计量的约定：</w:t>
      </w:r>
      <w:r>
        <w:rPr>
          <w:rFonts w:hint="eastAsia" w:ascii="宋体" w:hAnsi="宋体" w:cs="宋体"/>
          <w:szCs w:val="21"/>
          <w:highlight w:val="none"/>
          <w:lang w:val="en-US" w:eastAsia="zh-CN"/>
        </w:rPr>
        <w:t>/</w:t>
      </w:r>
    </w:p>
    <w:p w14:paraId="6680BE1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12.3.6 其他价格形式合同的计量</w:t>
      </w:r>
    </w:p>
    <w:p w14:paraId="10771D37">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其他价格形式的计量方式和程序：</w:t>
      </w:r>
      <w:r>
        <w:rPr>
          <w:rFonts w:hint="eastAsia" w:ascii="宋体" w:hAnsi="宋体" w:cs="宋体"/>
          <w:szCs w:val="21"/>
          <w:highlight w:val="none"/>
          <w:u w:val="single"/>
        </w:rPr>
        <w:t xml:space="preserve">      /       </w:t>
      </w:r>
      <w:r>
        <w:rPr>
          <w:rFonts w:hint="eastAsia" w:ascii="宋体" w:hAnsi="宋体" w:cs="宋体"/>
          <w:szCs w:val="21"/>
          <w:highlight w:val="none"/>
        </w:rPr>
        <w:t>。</w:t>
      </w:r>
    </w:p>
    <w:p w14:paraId="72C028A4">
      <w:pPr>
        <w:bidi w:val="0"/>
        <w:rPr>
          <w:rFonts w:hint="eastAsia"/>
          <w:highlight w:val="none"/>
        </w:rPr>
      </w:pPr>
      <w:bookmarkStart w:id="1379" w:name="_Toc487632752"/>
      <w:bookmarkStart w:id="1380" w:name="_Toc373227752"/>
      <w:bookmarkStart w:id="1381" w:name="_Toc407135255"/>
      <w:bookmarkStart w:id="1382" w:name="_Toc373478399"/>
      <w:bookmarkStart w:id="1383" w:name="_Toc389065317"/>
      <w:r>
        <w:rPr>
          <w:rFonts w:hint="eastAsia"/>
          <w:highlight w:val="none"/>
        </w:rPr>
        <w:t>12.4 工程进度款支付</w:t>
      </w:r>
      <w:bookmarkEnd w:id="1379"/>
      <w:bookmarkEnd w:id="1380"/>
      <w:bookmarkEnd w:id="1381"/>
      <w:bookmarkEnd w:id="1382"/>
      <w:bookmarkEnd w:id="1383"/>
    </w:p>
    <w:p w14:paraId="08A24DA5">
      <w:pPr>
        <w:spacing w:line="360" w:lineRule="auto"/>
        <w:ind w:firstLine="420"/>
        <w:jc w:val="left"/>
        <w:rPr>
          <w:rFonts w:hint="eastAsia" w:ascii="宋体" w:hAnsi="宋体" w:cs="宋体"/>
          <w:szCs w:val="21"/>
          <w:highlight w:val="none"/>
        </w:rPr>
      </w:pPr>
      <w:bookmarkStart w:id="1384" w:name="_Toc296891251"/>
      <w:bookmarkStart w:id="1385" w:name="_Toc296891039"/>
      <w:bookmarkStart w:id="1386" w:name="_Toc296347210"/>
      <w:bookmarkStart w:id="1387" w:name="_Toc296944550"/>
      <w:bookmarkStart w:id="1388" w:name="_Toc292559921"/>
      <w:bookmarkStart w:id="1389" w:name="_Toc303539163"/>
      <w:bookmarkStart w:id="1390" w:name="_Toc297120511"/>
      <w:bookmarkStart w:id="1391" w:name="_Toc297216215"/>
      <w:bookmarkStart w:id="1392" w:name="_Toc296346712"/>
      <w:bookmarkStart w:id="1393" w:name="_Toc296503211"/>
      <w:bookmarkStart w:id="1394" w:name="_Toc300935006"/>
      <w:bookmarkStart w:id="1395" w:name="_Toc292559416"/>
      <w:bookmarkStart w:id="1396" w:name="_Toc297123556"/>
      <w:bookmarkStart w:id="1397" w:name="_Toc297048397"/>
      <w:r>
        <w:rPr>
          <w:rFonts w:hint="eastAsia" w:ascii="宋体" w:hAnsi="宋体" w:cs="宋体"/>
          <w:szCs w:val="21"/>
          <w:highlight w:val="none"/>
        </w:rPr>
        <w:t>12.4.1 付款周期</w:t>
      </w:r>
    </w:p>
    <w:p w14:paraId="0D20482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关于付款周期的约定：</w:t>
      </w:r>
      <w:r>
        <w:rPr>
          <w:rFonts w:hint="eastAsia" w:ascii="宋体" w:hAnsi="宋体" w:cs="宋体"/>
          <w:szCs w:val="21"/>
          <w:highlight w:val="none"/>
          <w:u w:val="single"/>
        </w:rPr>
        <w:t xml:space="preserve"> 工程进度款按月支付，合同内工程进度款支付额为当月实际已完成工程量价款的 80%； 合同外新增工程量按实际完成工程量价款的 60%支付进度款。工程竣工验收合格，工程结算经</w:t>
      </w:r>
      <w:bookmarkStart w:id="1398" w:name="REVIEW_BM_1774"/>
      <w:r>
        <w:rPr>
          <w:rFonts w:hint="eastAsia" w:ascii="宋体" w:hAnsi="宋体" w:cs="宋体"/>
          <w:szCs w:val="21"/>
          <w:highlight w:val="none"/>
          <w:u w:val="single"/>
        </w:rPr>
        <w:t>发包人</w:t>
      </w:r>
      <w:bookmarkEnd w:id="1398"/>
      <w:r>
        <w:rPr>
          <w:rFonts w:hint="eastAsia" w:ascii="宋体" w:hAnsi="宋体" w:cs="宋体"/>
          <w:szCs w:val="21"/>
          <w:highlight w:val="none"/>
          <w:u w:val="single"/>
        </w:rPr>
        <w:t>聘任的社会中介机构</w:t>
      </w:r>
      <w:r>
        <w:rPr>
          <w:rFonts w:hint="eastAsia" w:ascii="宋体" w:hAnsi="宋体" w:cs="宋体"/>
          <w:color w:val="auto"/>
          <w:szCs w:val="21"/>
          <w:highlight w:val="none"/>
          <w:u w:val="single"/>
          <w:lang w:eastAsia="zh-CN"/>
        </w:rPr>
        <w:t>或</w:t>
      </w:r>
      <w:r>
        <w:rPr>
          <w:rFonts w:hint="eastAsia" w:ascii="宋体" w:hAnsi="宋体" w:cs="宋体"/>
          <w:color w:val="auto"/>
          <w:szCs w:val="21"/>
          <w:highlight w:val="none"/>
          <w:u w:val="single"/>
        </w:rPr>
        <w:t>自治区财政厅财政投资评审中心</w:t>
      </w:r>
      <w:r>
        <w:rPr>
          <w:rFonts w:hint="eastAsia" w:ascii="宋体" w:hAnsi="宋体" w:cs="宋体"/>
          <w:szCs w:val="21"/>
          <w:highlight w:val="none"/>
          <w:u w:val="single"/>
        </w:rPr>
        <w:t>审定后，</w:t>
      </w:r>
      <w:bookmarkStart w:id="1399" w:name="REVIEW_BM_1775"/>
      <w:r>
        <w:rPr>
          <w:rFonts w:hint="eastAsia" w:ascii="宋体" w:hAnsi="宋体" w:cs="宋体"/>
          <w:szCs w:val="21"/>
          <w:highlight w:val="none"/>
          <w:u w:val="single"/>
        </w:rPr>
        <w:t>发包人</w:t>
      </w:r>
      <w:bookmarkEnd w:id="1399"/>
      <w:r>
        <w:rPr>
          <w:rFonts w:hint="eastAsia" w:ascii="宋体" w:hAnsi="宋体" w:cs="宋体"/>
          <w:szCs w:val="21"/>
          <w:highlight w:val="none"/>
          <w:u w:val="single"/>
        </w:rPr>
        <w:t>应在收到</w:t>
      </w:r>
      <w:bookmarkStart w:id="1400" w:name="REVIEW_BM_1777"/>
      <w:r>
        <w:rPr>
          <w:rFonts w:hint="eastAsia" w:ascii="宋体" w:hAnsi="宋体" w:cs="宋体"/>
          <w:szCs w:val="21"/>
          <w:highlight w:val="none"/>
          <w:u w:val="single"/>
        </w:rPr>
        <w:t>承包人</w:t>
      </w:r>
      <w:bookmarkEnd w:id="1400"/>
      <w:r>
        <w:rPr>
          <w:rFonts w:hint="eastAsia" w:ascii="宋体" w:hAnsi="宋体" w:cs="宋体"/>
          <w:szCs w:val="21"/>
          <w:highlight w:val="none"/>
          <w:u w:val="single"/>
        </w:rPr>
        <w:t>全额有效发票 7 个工作日内支付至结算总价的9</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 扣除审定结算总价的</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%作为工程</w:t>
      </w:r>
      <w:bookmarkStart w:id="1401" w:name="REVIEW_BM_1773"/>
      <w:r>
        <w:rPr>
          <w:rFonts w:hint="eastAsia" w:ascii="宋体" w:hAnsi="宋体" w:cs="宋体"/>
          <w:szCs w:val="21"/>
          <w:highlight w:val="none"/>
          <w:u w:val="single"/>
        </w:rPr>
        <w:t>质量保证金</w:t>
      </w:r>
      <w:bookmarkEnd w:id="1401"/>
      <w:r>
        <w:rPr>
          <w:rFonts w:hint="eastAsia" w:ascii="宋体" w:hAnsi="宋体" w:cs="宋体"/>
          <w:szCs w:val="21"/>
          <w:highlight w:val="none"/>
          <w:u w:val="single"/>
        </w:rPr>
        <w:t>， 待缺陷责任期满后 7 个工作日内一次性无息退还保证金给</w:t>
      </w:r>
      <w:bookmarkStart w:id="1402" w:name="REVIEW_BM_1778"/>
      <w:r>
        <w:rPr>
          <w:rFonts w:hint="eastAsia" w:ascii="宋体" w:hAnsi="宋体" w:cs="宋体"/>
          <w:szCs w:val="21"/>
          <w:highlight w:val="none"/>
          <w:u w:val="single"/>
        </w:rPr>
        <w:t>承包人</w:t>
      </w:r>
      <w:bookmarkEnd w:id="1402"/>
      <w:r>
        <w:rPr>
          <w:rFonts w:hint="eastAsia" w:ascii="宋体" w:hAnsi="宋体" w:cs="宋体"/>
          <w:szCs w:val="21"/>
          <w:highlight w:val="none"/>
          <w:u w:val="single"/>
        </w:rPr>
        <w:t>。 最后结算金额以</w:t>
      </w:r>
      <w:bookmarkStart w:id="1403" w:name="REVIEW_BM_1776"/>
      <w:r>
        <w:rPr>
          <w:rFonts w:hint="eastAsia" w:ascii="宋体" w:hAnsi="宋体" w:cs="宋体"/>
          <w:szCs w:val="21"/>
          <w:highlight w:val="none"/>
          <w:u w:val="single"/>
        </w:rPr>
        <w:t>发包人</w:t>
      </w:r>
      <w:bookmarkEnd w:id="1403"/>
      <w:r>
        <w:rPr>
          <w:rFonts w:hint="eastAsia" w:ascii="宋体" w:hAnsi="宋体" w:cs="宋体"/>
          <w:szCs w:val="21"/>
          <w:highlight w:val="none"/>
          <w:u w:val="single"/>
        </w:rPr>
        <w:t>聘任的社会中介机构或自治区财政厅财政投资评审中心审核为准。</w:t>
      </w:r>
    </w:p>
    <w:p w14:paraId="173450A2">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12.4.2 进度付款申请单的编制</w:t>
      </w:r>
    </w:p>
    <w:p w14:paraId="15FE3829">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关于进度付款申请单编制的约定：</w:t>
      </w:r>
      <w:r>
        <w:rPr>
          <w:rFonts w:hint="eastAsia" w:ascii="宋体" w:hAnsi="宋体" w:cs="宋体"/>
          <w:szCs w:val="21"/>
          <w:highlight w:val="none"/>
          <w:u w:val="single"/>
        </w:rPr>
        <w:t>按月编制并参照本合同通用条款执行</w:t>
      </w:r>
      <w:r>
        <w:rPr>
          <w:rFonts w:hint="eastAsia" w:ascii="宋体" w:hAnsi="宋体" w:cs="宋体"/>
          <w:szCs w:val="21"/>
          <w:highlight w:val="none"/>
        </w:rPr>
        <w:t>。</w:t>
      </w:r>
    </w:p>
    <w:p w14:paraId="20842F0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End w:id="1384"/>
      <w:bookmarkEnd w:id="1385"/>
      <w:bookmarkEnd w:id="1386"/>
      <w:bookmarkEnd w:id="1387"/>
      <w:bookmarkEnd w:id="1388"/>
      <w:bookmarkEnd w:id="1389"/>
      <w:bookmarkEnd w:id="1390"/>
      <w:bookmarkEnd w:id="1391"/>
      <w:bookmarkEnd w:id="1392"/>
      <w:bookmarkEnd w:id="1393"/>
      <w:bookmarkEnd w:id="1394"/>
      <w:bookmarkEnd w:id="1395"/>
      <w:bookmarkEnd w:id="1396"/>
      <w:bookmarkEnd w:id="1397"/>
      <w:r>
        <w:rPr>
          <w:rFonts w:hint="eastAsia" w:ascii="宋体" w:hAnsi="宋体" w:cs="宋体"/>
          <w:szCs w:val="21"/>
          <w:highlight w:val="none"/>
        </w:rPr>
        <w:t>2.4.3 进度付款申请单的提交</w:t>
      </w:r>
    </w:p>
    <w:p w14:paraId="6753624A">
      <w:pPr>
        <w:spacing w:line="360" w:lineRule="auto"/>
        <w:ind w:firstLine="420"/>
        <w:jc w:val="left"/>
        <w:rPr>
          <w:rFonts w:hint="eastAsia" w:ascii="宋体" w:hAnsi="宋体" w:cs="宋体"/>
          <w:b/>
          <w:bCs/>
          <w:szCs w:val="21"/>
          <w:highlight w:val="none"/>
          <w:u w:val="single"/>
        </w:rPr>
      </w:pPr>
      <w:r>
        <w:rPr>
          <w:rFonts w:hint="eastAsia" w:ascii="宋体" w:hAnsi="宋体" w:cs="宋体"/>
          <w:szCs w:val="21"/>
          <w:highlight w:val="none"/>
        </w:rPr>
        <w:t>（1）单价合同进度付款申请单提交的约定：</w:t>
      </w:r>
    </w:p>
    <w:p w14:paraId="675CD9AB">
      <w:pPr>
        <w:spacing w:line="360" w:lineRule="auto"/>
        <w:ind w:firstLine="420"/>
        <w:jc w:val="left"/>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bCs/>
          <w:szCs w:val="21"/>
          <w:highlight w:val="none"/>
          <w:u w:val="single"/>
        </w:rPr>
        <w:t>申请工程进度款时，</w:t>
      </w:r>
      <w:bookmarkStart w:id="1404" w:name="REVIEW_BM_1779"/>
      <w:r>
        <w:rPr>
          <w:rFonts w:hint="eastAsia" w:ascii="宋体" w:hAnsi="宋体" w:cs="宋体"/>
          <w:bCs/>
          <w:szCs w:val="21"/>
          <w:highlight w:val="none"/>
          <w:u w:val="single"/>
        </w:rPr>
        <w:t>承包人</w:t>
      </w:r>
      <w:bookmarkEnd w:id="1404"/>
      <w:r>
        <w:rPr>
          <w:rFonts w:hint="eastAsia" w:ascii="宋体" w:hAnsi="宋体" w:cs="宋体"/>
          <w:bCs/>
          <w:szCs w:val="21"/>
          <w:highlight w:val="none"/>
          <w:u w:val="single"/>
        </w:rPr>
        <w:t>应提供以下资料：①《工程款申请书》； ②工程量计量报表； ③其他需要补充说明的材料</w:t>
      </w:r>
      <w:r>
        <w:rPr>
          <w:rFonts w:hint="eastAsia" w:ascii="宋体" w:hAnsi="宋体" w:cs="宋体"/>
          <w:szCs w:val="21"/>
          <w:highlight w:val="none"/>
          <w:u w:val="single"/>
        </w:rPr>
        <w:t xml:space="preserve">  </w:t>
      </w:r>
      <w:r>
        <w:rPr>
          <w:rFonts w:hint="eastAsia" w:ascii="宋体" w:hAnsi="宋体" w:cs="宋体"/>
          <w:szCs w:val="21"/>
          <w:highlight w:val="none"/>
        </w:rPr>
        <w:t>。</w:t>
      </w:r>
    </w:p>
    <w:p w14:paraId="2AEC80A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（2）总价合同进度付款申请单提交的约定：</w:t>
      </w:r>
      <w:r>
        <w:rPr>
          <w:rFonts w:hint="eastAsia" w:ascii="宋体" w:hAnsi="宋体" w:cs="宋体"/>
          <w:szCs w:val="21"/>
          <w:highlight w:val="none"/>
          <w:u w:val="single"/>
        </w:rPr>
        <w:t xml:space="preserve">    /      </w:t>
      </w:r>
      <w:r>
        <w:rPr>
          <w:rFonts w:hint="eastAsia" w:ascii="宋体" w:hAnsi="宋体" w:cs="宋体"/>
          <w:szCs w:val="21"/>
          <w:highlight w:val="none"/>
        </w:rPr>
        <w:t>。</w:t>
      </w:r>
    </w:p>
    <w:p w14:paraId="79B6160E">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（3）其他价格形式合同进度付款申请单提交的约定：</w:t>
      </w:r>
      <w:r>
        <w:rPr>
          <w:rFonts w:hint="eastAsia" w:ascii="宋体" w:hAnsi="宋体" w:cs="宋体"/>
          <w:szCs w:val="21"/>
          <w:highlight w:val="none"/>
          <w:u w:val="single"/>
        </w:rPr>
        <w:t xml:space="preserve">      /     </w:t>
      </w:r>
      <w:r>
        <w:rPr>
          <w:rFonts w:hint="eastAsia" w:ascii="宋体" w:hAnsi="宋体" w:cs="宋体"/>
          <w:szCs w:val="21"/>
          <w:highlight w:val="none"/>
        </w:rPr>
        <w:t>。</w:t>
      </w:r>
    </w:p>
    <w:p w14:paraId="282F105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12.4.4 进度款审核和支付</w:t>
      </w:r>
    </w:p>
    <w:p w14:paraId="460F2411">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（1）监理人审查并报送</w:t>
      </w:r>
      <w:bookmarkStart w:id="1405" w:name="REVIEW_BM_1780"/>
      <w:r>
        <w:rPr>
          <w:rFonts w:hint="eastAsia" w:ascii="宋体" w:hAnsi="宋体" w:cs="宋体"/>
          <w:szCs w:val="21"/>
          <w:highlight w:val="none"/>
        </w:rPr>
        <w:t>发包人</w:t>
      </w:r>
      <w:bookmarkEnd w:id="1405"/>
      <w:r>
        <w:rPr>
          <w:rFonts w:hint="eastAsia" w:ascii="宋体" w:hAnsi="宋体" w:cs="宋体"/>
          <w:szCs w:val="21"/>
          <w:highlight w:val="none"/>
        </w:rPr>
        <w:t>的期限：</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36A79032">
      <w:pPr>
        <w:spacing w:line="360" w:lineRule="auto"/>
        <w:ind w:firstLine="420"/>
        <w:jc w:val="left"/>
        <w:rPr>
          <w:rFonts w:hint="eastAsia" w:ascii="宋体" w:hAnsi="宋体" w:cs="宋体"/>
          <w:szCs w:val="21"/>
          <w:highlight w:val="none"/>
          <w:u w:val="single"/>
        </w:rPr>
      </w:pPr>
      <w:bookmarkStart w:id="1406" w:name="REVIEW_BM_1781"/>
      <w:r>
        <w:rPr>
          <w:rFonts w:hint="eastAsia" w:ascii="宋体" w:hAnsi="宋体" w:cs="宋体"/>
          <w:szCs w:val="21"/>
          <w:highlight w:val="none"/>
        </w:rPr>
        <w:t>发包人</w:t>
      </w:r>
      <w:bookmarkEnd w:id="1406"/>
      <w:r>
        <w:rPr>
          <w:rFonts w:hint="eastAsia" w:ascii="宋体" w:hAnsi="宋体" w:cs="宋体"/>
          <w:szCs w:val="21"/>
          <w:highlight w:val="none"/>
        </w:rPr>
        <w:t>完成审批并签发进度款支付证书的期限：</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432A6CC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bookmarkStart w:id="1407" w:name="REVIEW_BM_1782"/>
      <w:r>
        <w:rPr>
          <w:rFonts w:hint="eastAsia" w:ascii="宋体" w:hAnsi="宋体" w:cs="宋体"/>
          <w:szCs w:val="21"/>
          <w:highlight w:val="none"/>
        </w:rPr>
        <w:t>发包人</w:t>
      </w:r>
      <w:bookmarkEnd w:id="1407"/>
      <w:r>
        <w:rPr>
          <w:rFonts w:hint="eastAsia" w:ascii="宋体" w:hAnsi="宋体" w:cs="宋体"/>
          <w:szCs w:val="21"/>
          <w:highlight w:val="none"/>
        </w:rPr>
        <w:t>支付进度款的期限：</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27CF8A1E">
      <w:pPr>
        <w:spacing w:line="240" w:lineRule="auto"/>
        <w:ind w:firstLine="525"/>
        <w:jc w:val="left"/>
        <w:rPr>
          <w:rFonts w:hint="eastAsia" w:ascii="宋体" w:hAnsi="宋体" w:cs="宋体"/>
          <w:szCs w:val="21"/>
          <w:highlight w:val="none"/>
        </w:rPr>
      </w:pPr>
      <w:bookmarkStart w:id="1408" w:name="REVIEW_BM_1783"/>
      <w:r>
        <w:rPr>
          <w:rFonts w:hint="eastAsia" w:ascii="宋体" w:hAnsi="宋体" w:cs="宋体"/>
          <w:szCs w:val="21"/>
          <w:highlight w:val="none"/>
        </w:rPr>
        <w:t>发包人</w:t>
      </w:r>
      <w:bookmarkEnd w:id="1408"/>
      <w:r>
        <w:rPr>
          <w:rFonts w:hint="eastAsia" w:ascii="宋体" w:hAnsi="宋体" w:cs="宋体"/>
          <w:szCs w:val="21"/>
          <w:highlight w:val="none"/>
        </w:rPr>
        <w:t>逾期支付进度款的违约金的计算方式：</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p>
    <w:p w14:paraId="13062AAC">
      <w:pPr>
        <w:spacing w:line="360" w:lineRule="auto"/>
        <w:ind w:firstLine="525"/>
        <w:jc w:val="left"/>
        <w:rPr>
          <w:rFonts w:hint="eastAsia" w:ascii="宋体" w:hAnsi="宋体" w:cs="宋体"/>
          <w:szCs w:val="21"/>
          <w:highlight w:val="none"/>
        </w:rPr>
      </w:pPr>
      <w:r>
        <w:rPr>
          <w:rFonts w:hint="eastAsia" w:ascii="宋体" w:hAnsi="宋体" w:cs="宋体"/>
          <w:szCs w:val="21"/>
          <w:highlight w:val="none"/>
        </w:rPr>
        <w:t>进度款支付方式：</w:t>
      </w:r>
      <w:r>
        <w:rPr>
          <w:rFonts w:hint="eastAsia" w:ascii="宋体" w:hAnsi="宋体" w:cs="宋体"/>
          <w:szCs w:val="21"/>
          <w:highlight w:val="none"/>
          <w:u w:val="single"/>
        </w:rPr>
        <w:t>银行转账</w:t>
      </w:r>
      <w:r>
        <w:rPr>
          <w:rFonts w:hint="eastAsia" w:ascii="宋体" w:hAnsi="宋体" w:cs="宋体"/>
          <w:szCs w:val="21"/>
          <w:highlight w:val="none"/>
        </w:rPr>
        <w:t>。</w:t>
      </w:r>
    </w:p>
    <w:p w14:paraId="2B980066">
      <w:pPr>
        <w:spacing w:line="360" w:lineRule="auto"/>
        <w:ind w:firstLine="525"/>
        <w:jc w:val="left"/>
        <w:rPr>
          <w:rFonts w:hint="eastAsia" w:ascii="宋体" w:hAnsi="宋体" w:cs="宋体"/>
          <w:szCs w:val="21"/>
          <w:highlight w:val="none"/>
        </w:rPr>
      </w:pPr>
      <w:r>
        <w:rPr>
          <w:rFonts w:hint="eastAsia" w:ascii="宋体" w:hAnsi="宋体" w:cs="宋体"/>
          <w:szCs w:val="21"/>
          <w:highlight w:val="none"/>
        </w:rPr>
        <w:t>12.4.6 支付分解表的编制</w:t>
      </w:r>
    </w:p>
    <w:p w14:paraId="059789AB">
      <w:pPr>
        <w:spacing w:line="360" w:lineRule="auto"/>
        <w:ind w:firstLine="525"/>
        <w:jc w:val="left"/>
        <w:rPr>
          <w:rFonts w:hint="eastAsia" w:ascii="宋体" w:hAnsi="宋体" w:cs="宋体"/>
          <w:szCs w:val="21"/>
          <w:highlight w:val="none"/>
          <w:u w:val="single"/>
        </w:rPr>
      </w:pPr>
      <w:r>
        <w:rPr>
          <w:rFonts w:hint="eastAsia" w:ascii="宋体" w:hAnsi="宋体" w:cs="宋体"/>
          <w:szCs w:val="21"/>
          <w:highlight w:val="none"/>
        </w:rPr>
        <w:t>2. 总价合同支付分解表的编制与审批：</w:t>
      </w:r>
      <w:r>
        <w:rPr>
          <w:rFonts w:hint="eastAsia" w:ascii="宋体" w:hAnsi="宋体" w:cs="宋体"/>
          <w:szCs w:val="21"/>
          <w:highlight w:val="none"/>
          <w:u w:val="single"/>
        </w:rPr>
        <w:t xml:space="preserve">      /        </w:t>
      </w:r>
      <w:r>
        <w:rPr>
          <w:rFonts w:hint="eastAsia" w:ascii="宋体" w:hAnsi="宋体" w:cs="宋体"/>
          <w:szCs w:val="21"/>
          <w:highlight w:val="none"/>
        </w:rPr>
        <w:t>。</w:t>
      </w:r>
    </w:p>
    <w:p w14:paraId="7EE40D12">
      <w:pPr>
        <w:spacing w:line="360" w:lineRule="auto"/>
        <w:ind w:firstLine="525"/>
        <w:jc w:val="left"/>
        <w:rPr>
          <w:rFonts w:hint="eastAsia" w:ascii="宋体" w:hAnsi="宋体" w:cs="宋体"/>
          <w:szCs w:val="21"/>
          <w:highlight w:val="none"/>
          <w:u w:val="single"/>
        </w:rPr>
      </w:pPr>
      <w:r>
        <w:rPr>
          <w:rFonts w:hint="eastAsia" w:ascii="宋体" w:hAnsi="宋体" w:cs="宋体"/>
          <w:szCs w:val="21"/>
          <w:highlight w:val="none"/>
        </w:rPr>
        <w:t>3. 单价合同的总价项目支付分解表的编制与审批：总价项目不采用支付分解表的方式计算，而按《建设工程工程量清单计价规范（GB50500-2013）广西壮族自治区实施细则》的规定执行。</w:t>
      </w:r>
      <w:bookmarkEnd w:id="1096"/>
    </w:p>
    <w:p w14:paraId="396DE7E0">
      <w:pPr>
        <w:pStyle w:val="6"/>
        <w:bidi w:val="0"/>
        <w:rPr>
          <w:rFonts w:hint="eastAsia"/>
          <w:highlight w:val="none"/>
        </w:rPr>
      </w:pPr>
      <w:bookmarkStart w:id="1409" w:name="_Toc373478400"/>
      <w:bookmarkStart w:id="1410" w:name="_Toc303539172"/>
      <w:bookmarkStart w:id="1411" w:name="_Toc296347218"/>
      <w:bookmarkStart w:id="1412" w:name="_Toc351203645"/>
      <w:bookmarkStart w:id="1413" w:name="_Toc407135256"/>
      <w:bookmarkStart w:id="1414" w:name="_Toc373227753"/>
      <w:bookmarkStart w:id="1415" w:name="_Toc296346720"/>
      <w:bookmarkStart w:id="1416" w:name="_Toc297123564"/>
      <w:bookmarkStart w:id="1417" w:name="_Toc296891259"/>
      <w:bookmarkStart w:id="1418" w:name="_Toc389065318"/>
      <w:bookmarkStart w:id="1419" w:name="_Toc296944558"/>
      <w:bookmarkStart w:id="1420" w:name="_Toc296891047"/>
      <w:bookmarkStart w:id="1421" w:name="_Toc297120519"/>
      <w:bookmarkStart w:id="1422" w:name="_Toc487632753"/>
      <w:bookmarkStart w:id="1423" w:name="_Toc304295593"/>
      <w:bookmarkStart w:id="1424" w:name="_Toc296503219"/>
      <w:bookmarkStart w:id="1425" w:name="_Toc312678053"/>
      <w:bookmarkStart w:id="1426" w:name="_Toc292559424"/>
      <w:bookmarkStart w:id="1427" w:name="_Toc292559929"/>
      <w:bookmarkStart w:id="1428" w:name="_Toc297048405"/>
      <w:bookmarkStart w:id="1429" w:name="_Toc297216223"/>
      <w:bookmarkStart w:id="1430" w:name="_Toc300935015"/>
      <w:r>
        <w:rPr>
          <w:rFonts w:hint="eastAsia"/>
          <w:highlight w:val="none"/>
        </w:rPr>
        <w:t>13. 验收和工程试车</w:t>
      </w:r>
      <w:bookmarkEnd w:id="1409"/>
      <w:bookmarkEnd w:id="1410"/>
      <w:bookmarkEnd w:id="1411"/>
      <w:bookmarkEnd w:id="1412"/>
      <w:bookmarkEnd w:id="1413"/>
      <w:bookmarkEnd w:id="1414"/>
      <w:bookmarkEnd w:id="1415"/>
      <w:bookmarkEnd w:id="1416"/>
      <w:bookmarkEnd w:id="1417"/>
      <w:bookmarkEnd w:id="1418"/>
      <w:bookmarkEnd w:id="1419"/>
      <w:bookmarkEnd w:id="1420"/>
      <w:bookmarkEnd w:id="1421"/>
      <w:bookmarkEnd w:id="1422"/>
      <w:bookmarkEnd w:id="1423"/>
      <w:bookmarkEnd w:id="1424"/>
      <w:bookmarkEnd w:id="1425"/>
      <w:bookmarkEnd w:id="1426"/>
      <w:bookmarkEnd w:id="1427"/>
      <w:bookmarkEnd w:id="1428"/>
      <w:bookmarkEnd w:id="1429"/>
      <w:bookmarkEnd w:id="1430"/>
    </w:p>
    <w:p w14:paraId="051391F1">
      <w:pPr>
        <w:bidi w:val="0"/>
        <w:rPr>
          <w:rFonts w:hint="eastAsia"/>
          <w:highlight w:val="none"/>
        </w:rPr>
      </w:pPr>
      <w:bookmarkStart w:id="1431" w:name="_Toc407135257"/>
      <w:bookmarkStart w:id="1432" w:name="_Toc389065319"/>
      <w:bookmarkStart w:id="1433" w:name="_Toc373227754"/>
      <w:bookmarkStart w:id="1434" w:name="_Toc373478401"/>
      <w:bookmarkStart w:id="1435" w:name="_Toc487632754"/>
      <w:r>
        <w:rPr>
          <w:rFonts w:hint="eastAsia"/>
          <w:highlight w:val="none"/>
        </w:rPr>
        <w:t>13.1 分部分项工程验收</w:t>
      </w:r>
      <w:bookmarkEnd w:id="1431"/>
      <w:bookmarkEnd w:id="1432"/>
      <w:bookmarkEnd w:id="1433"/>
      <w:bookmarkEnd w:id="1434"/>
      <w:bookmarkEnd w:id="1435"/>
    </w:p>
    <w:p w14:paraId="5485EA2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13.1.2监理人不能按时进行验收时，应提前</w:t>
      </w:r>
      <w:r>
        <w:rPr>
          <w:rFonts w:hint="eastAsia" w:ascii="宋体" w:hAnsi="宋体" w:cs="宋体"/>
          <w:szCs w:val="21"/>
          <w:highlight w:val="none"/>
          <w:u w:val="single"/>
        </w:rPr>
        <w:t xml:space="preserve">   24    </w:t>
      </w:r>
      <w:r>
        <w:rPr>
          <w:rFonts w:hint="eastAsia" w:ascii="宋体" w:hAnsi="宋体" w:cs="宋体"/>
          <w:szCs w:val="21"/>
          <w:highlight w:val="none"/>
        </w:rPr>
        <w:t>小时提交书面延期要求。</w:t>
      </w:r>
    </w:p>
    <w:p w14:paraId="0D4CB386">
      <w:pPr>
        <w:spacing w:line="360" w:lineRule="auto"/>
        <w:ind w:firstLine="420"/>
        <w:jc w:val="left"/>
        <w:rPr>
          <w:rFonts w:hint="eastAsia" w:ascii="宋体" w:hAnsi="宋体" w:cs="宋体"/>
          <w:b/>
          <w:bCs/>
          <w:szCs w:val="21"/>
          <w:highlight w:val="none"/>
        </w:rPr>
      </w:pPr>
      <w:r>
        <w:rPr>
          <w:rFonts w:hint="eastAsia" w:ascii="宋体" w:hAnsi="宋体" w:cs="宋体"/>
          <w:szCs w:val="21"/>
          <w:highlight w:val="none"/>
        </w:rPr>
        <w:t>关于延期最长不得超过：</w:t>
      </w:r>
      <w:r>
        <w:rPr>
          <w:rFonts w:hint="eastAsia" w:ascii="宋体" w:hAnsi="宋体" w:cs="宋体"/>
          <w:szCs w:val="21"/>
          <w:highlight w:val="none"/>
          <w:u w:val="single"/>
        </w:rPr>
        <w:t xml:space="preserve">   48    </w:t>
      </w:r>
      <w:r>
        <w:rPr>
          <w:rFonts w:hint="eastAsia" w:ascii="宋体" w:hAnsi="宋体" w:cs="宋体"/>
          <w:szCs w:val="21"/>
          <w:highlight w:val="none"/>
        </w:rPr>
        <w:t>小时。</w:t>
      </w:r>
    </w:p>
    <w:p w14:paraId="7A69231A">
      <w:pPr>
        <w:bidi w:val="0"/>
        <w:rPr>
          <w:rFonts w:hint="eastAsia"/>
          <w:highlight w:val="none"/>
        </w:rPr>
      </w:pPr>
      <w:bookmarkStart w:id="1436" w:name="_Toc407135258"/>
      <w:bookmarkStart w:id="1437" w:name="_Toc296944562"/>
      <w:bookmarkStart w:id="1438" w:name="_Toc292559933"/>
      <w:bookmarkStart w:id="1439" w:name="_Toc296891263"/>
      <w:bookmarkStart w:id="1440" w:name="_Toc373227755"/>
      <w:bookmarkStart w:id="1441" w:name="_Toc297123565"/>
      <w:bookmarkStart w:id="1442" w:name="_Toc304295596"/>
      <w:bookmarkStart w:id="1443" w:name="_Toc296503223"/>
      <w:bookmarkStart w:id="1444" w:name="_Toc303539173"/>
      <w:bookmarkStart w:id="1445" w:name="_Toc487632755"/>
      <w:bookmarkStart w:id="1446" w:name="_Toc292559428"/>
      <w:bookmarkStart w:id="1447" w:name="_Toc297216224"/>
      <w:bookmarkStart w:id="1448" w:name="_Toc296346724"/>
      <w:bookmarkStart w:id="1449" w:name="_Toc373478402"/>
      <w:bookmarkStart w:id="1450" w:name="_Toc389065320"/>
      <w:bookmarkStart w:id="1451" w:name="_Toc300935016"/>
      <w:bookmarkStart w:id="1452" w:name="_Toc296347222"/>
      <w:bookmarkStart w:id="1453" w:name="_Toc297120523"/>
      <w:bookmarkStart w:id="1454" w:name="_Toc312678056"/>
      <w:bookmarkStart w:id="1455" w:name="_Toc296891051"/>
      <w:bookmarkStart w:id="1456" w:name="_Toc297048409"/>
      <w:bookmarkStart w:id="1457" w:name="_Toc267251470"/>
      <w:bookmarkStart w:id="1458" w:name="_Toc267251473"/>
      <w:bookmarkStart w:id="1459" w:name="_Toc267251471"/>
      <w:bookmarkStart w:id="1460" w:name="_Toc267251476"/>
      <w:bookmarkStart w:id="1461" w:name="_Toc267251475"/>
      <w:bookmarkStart w:id="1462" w:name="_Toc267251474"/>
      <w:bookmarkStart w:id="1463" w:name="_Toc267251472"/>
      <w:r>
        <w:rPr>
          <w:rFonts w:hint="eastAsia"/>
          <w:highlight w:val="none"/>
        </w:rPr>
        <w:t>13.2 竣工验收</w:t>
      </w:r>
      <w:bookmarkEnd w:id="1436"/>
      <w:bookmarkEnd w:id="1437"/>
      <w:bookmarkEnd w:id="1438"/>
      <w:bookmarkEnd w:id="1439"/>
      <w:bookmarkEnd w:id="1440"/>
      <w:bookmarkEnd w:id="1441"/>
      <w:bookmarkEnd w:id="1442"/>
      <w:bookmarkEnd w:id="1443"/>
      <w:bookmarkEnd w:id="1444"/>
      <w:bookmarkEnd w:id="1445"/>
      <w:bookmarkEnd w:id="1446"/>
      <w:bookmarkEnd w:id="1447"/>
      <w:bookmarkEnd w:id="1448"/>
      <w:bookmarkEnd w:id="1449"/>
      <w:bookmarkEnd w:id="1450"/>
      <w:bookmarkEnd w:id="1451"/>
      <w:bookmarkEnd w:id="1452"/>
      <w:bookmarkEnd w:id="1453"/>
      <w:bookmarkEnd w:id="1454"/>
      <w:bookmarkEnd w:id="1455"/>
      <w:bookmarkEnd w:id="1456"/>
    </w:p>
    <w:p w14:paraId="2B77BB9E">
      <w:pPr>
        <w:spacing w:line="360" w:lineRule="auto"/>
        <w:ind w:firstLine="420"/>
        <w:jc w:val="left"/>
        <w:rPr>
          <w:rFonts w:hint="eastAsia" w:ascii="宋体" w:hAnsi="宋体" w:cs="宋体"/>
          <w:szCs w:val="21"/>
          <w:highlight w:val="none"/>
        </w:rPr>
      </w:pPr>
      <w:bookmarkStart w:id="1464" w:name="_Toc280868704"/>
      <w:bookmarkStart w:id="1465" w:name="_Toc280868705"/>
      <w:bookmarkStart w:id="1466" w:name="_Toc280868706"/>
      <w:bookmarkStart w:id="1467" w:name="_Toc280868707"/>
      <w:bookmarkStart w:id="1468" w:name="_Toc280868708"/>
      <w:bookmarkStart w:id="1469" w:name="_Toc280868709"/>
      <w:r>
        <w:rPr>
          <w:rFonts w:hint="eastAsia" w:ascii="宋体" w:hAnsi="宋体" w:cs="宋体"/>
          <w:szCs w:val="21"/>
          <w:highlight w:val="none"/>
        </w:rPr>
        <w:t>13.2.1竣工验收条件</w:t>
      </w:r>
    </w:p>
    <w:p w14:paraId="7016F21C">
      <w:pPr>
        <w:spacing w:line="360" w:lineRule="auto"/>
        <w:ind w:firstLine="420"/>
        <w:rPr>
          <w:rFonts w:hint="eastAsia" w:ascii="宋体" w:hAnsi="宋体" w:cs="宋体"/>
          <w:szCs w:val="21"/>
          <w:highlight w:val="none"/>
        </w:rPr>
      </w:pPr>
      <w:r>
        <w:rPr>
          <w:rFonts w:hint="eastAsia" w:ascii="宋体" w:hAnsi="宋体" w:cs="宋体"/>
          <w:szCs w:val="21"/>
          <w:highlight w:val="none"/>
        </w:rPr>
        <w:t>（3）</w:t>
      </w:r>
      <w:bookmarkStart w:id="1470" w:name="REVIEW_BM_1784"/>
      <w:r>
        <w:rPr>
          <w:rFonts w:hint="eastAsia" w:ascii="宋体" w:hAnsi="宋体" w:cs="宋体"/>
          <w:szCs w:val="21"/>
          <w:highlight w:val="none"/>
        </w:rPr>
        <w:t>承包人</w:t>
      </w:r>
      <w:bookmarkEnd w:id="1470"/>
      <w:r>
        <w:rPr>
          <w:rFonts w:hint="eastAsia" w:ascii="宋体" w:hAnsi="宋体" w:cs="宋体"/>
          <w:szCs w:val="21"/>
          <w:highlight w:val="none"/>
        </w:rPr>
        <w:t>负责整理和提交的竣工验收资料应当符合工程所在地建设行政主管部门和(或)城市建设档案管理机构有关施工资料的要求，具体内容包括：</w:t>
      </w:r>
      <w:r>
        <w:rPr>
          <w:rFonts w:hint="eastAsia" w:ascii="宋体" w:hAnsi="宋体" w:cs="宋体"/>
          <w:szCs w:val="21"/>
          <w:highlight w:val="none"/>
          <w:u w:val="single"/>
        </w:rPr>
        <w:t xml:space="preserve">  完整的竣工图和技术资料、备案资料  </w:t>
      </w:r>
      <w:r>
        <w:rPr>
          <w:rFonts w:hint="eastAsia" w:ascii="宋体" w:hAnsi="宋体" w:cs="宋体"/>
          <w:szCs w:val="21"/>
          <w:highlight w:val="none"/>
        </w:rPr>
        <w:t>。</w:t>
      </w:r>
    </w:p>
    <w:p w14:paraId="320F5629">
      <w:pPr>
        <w:spacing w:line="360" w:lineRule="auto"/>
        <w:ind w:firstLine="420"/>
        <w:rPr>
          <w:rFonts w:hint="eastAsia" w:ascii="宋体" w:hAnsi="宋体" w:cs="宋体"/>
          <w:szCs w:val="21"/>
          <w:highlight w:val="none"/>
        </w:rPr>
      </w:pPr>
      <w:r>
        <w:rPr>
          <w:rFonts w:hint="eastAsia" w:ascii="宋体" w:hAnsi="宋体" w:cs="宋体"/>
          <w:szCs w:val="21"/>
          <w:highlight w:val="none"/>
        </w:rPr>
        <w:t>竣工验收资料的份数：</w:t>
      </w:r>
      <w:r>
        <w:rPr>
          <w:rFonts w:hint="eastAsia" w:ascii="宋体" w:hAnsi="宋体" w:cs="宋体"/>
          <w:szCs w:val="21"/>
          <w:highlight w:val="none"/>
          <w:u w:val="single"/>
        </w:rPr>
        <w:t>一式二份（含电子版），如</w:t>
      </w:r>
      <w:bookmarkStart w:id="1471" w:name="REVIEW_BM_1785"/>
      <w:r>
        <w:rPr>
          <w:rFonts w:hint="eastAsia" w:ascii="宋体" w:hAnsi="宋体" w:cs="宋体"/>
          <w:szCs w:val="21"/>
          <w:highlight w:val="none"/>
          <w:u w:val="single"/>
        </w:rPr>
        <w:t>发包人</w:t>
      </w:r>
      <w:bookmarkEnd w:id="1471"/>
      <w:r>
        <w:rPr>
          <w:rFonts w:hint="eastAsia" w:ascii="宋体" w:hAnsi="宋体" w:cs="宋体"/>
          <w:szCs w:val="21"/>
          <w:highlight w:val="none"/>
          <w:u w:val="single"/>
        </w:rPr>
        <w:t>有需求，按</w:t>
      </w:r>
      <w:bookmarkStart w:id="1472" w:name="REVIEW_BM_1786"/>
      <w:r>
        <w:rPr>
          <w:rFonts w:hint="eastAsia" w:ascii="宋体" w:hAnsi="宋体" w:cs="宋体"/>
          <w:szCs w:val="21"/>
          <w:highlight w:val="none"/>
          <w:u w:val="single"/>
        </w:rPr>
        <w:t>发包人</w:t>
      </w:r>
      <w:bookmarkEnd w:id="1472"/>
      <w:r>
        <w:rPr>
          <w:rFonts w:hint="eastAsia" w:ascii="宋体" w:hAnsi="宋体" w:cs="宋体"/>
          <w:szCs w:val="21"/>
          <w:highlight w:val="none"/>
          <w:u w:val="single"/>
        </w:rPr>
        <w:t xml:space="preserve">要求提供   </w:t>
      </w:r>
      <w:r>
        <w:rPr>
          <w:rFonts w:hint="eastAsia" w:ascii="宋体" w:hAnsi="宋体" w:cs="宋体"/>
          <w:szCs w:val="21"/>
          <w:highlight w:val="none"/>
        </w:rPr>
        <w:t>。</w:t>
      </w:r>
    </w:p>
    <w:p w14:paraId="2EEBA0CE">
      <w:pPr>
        <w:spacing w:line="360" w:lineRule="auto"/>
        <w:ind w:firstLine="420"/>
        <w:jc w:val="left"/>
        <w:rPr>
          <w:rFonts w:hint="eastAsia" w:ascii="宋体" w:hAnsi="宋体" w:cs="宋体"/>
          <w:szCs w:val="21"/>
          <w:highlight w:val="none"/>
        </w:rPr>
      </w:pPr>
      <w:bookmarkStart w:id="1473" w:name="REVIEW_BM_1787"/>
      <w:r>
        <w:rPr>
          <w:rFonts w:hint="eastAsia" w:ascii="宋体" w:hAnsi="宋体" w:cs="宋体"/>
          <w:szCs w:val="21"/>
          <w:highlight w:val="none"/>
        </w:rPr>
        <w:t>承包人</w:t>
      </w:r>
      <w:bookmarkEnd w:id="1473"/>
      <w:r>
        <w:rPr>
          <w:rFonts w:hint="eastAsia" w:ascii="宋体" w:hAnsi="宋体" w:cs="宋体"/>
          <w:szCs w:val="21"/>
          <w:highlight w:val="none"/>
        </w:rPr>
        <w:t>提供竣工图的约定：</w:t>
      </w:r>
      <w:r>
        <w:rPr>
          <w:rFonts w:hint="eastAsia" w:ascii="宋体" w:hAnsi="宋体" w:cs="宋体"/>
          <w:szCs w:val="21"/>
          <w:highlight w:val="none"/>
          <w:u w:val="single"/>
        </w:rPr>
        <w:t>竣工验收正式通过后15天内，提供竣工图的数量分别为2套。</w:t>
      </w:r>
    </w:p>
    <w:p w14:paraId="2BEE859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13.2.2竣工验收程序</w:t>
      </w:r>
      <w:bookmarkEnd w:id="1464"/>
    </w:p>
    <w:p w14:paraId="3B46425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关于竣工验收程序的约定：</w:t>
      </w:r>
      <w:bookmarkStart w:id="1474" w:name="REVIEW_BM_1789"/>
      <w:r>
        <w:rPr>
          <w:rFonts w:hint="eastAsia" w:ascii="宋体" w:hAnsi="宋体" w:cs="宋体"/>
          <w:szCs w:val="21"/>
          <w:highlight w:val="none"/>
          <w:u w:val="single"/>
        </w:rPr>
        <w:t>承包人</w:t>
      </w:r>
      <w:bookmarkEnd w:id="1474"/>
      <w:r>
        <w:rPr>
          <w:rFonts w:hint="eastAsia" w:ascii="宋体" w:hAnsi="宋体" w:cs="宋体"/>
          <w:szCs w:val="21"/>
          <w:highlight w:val="none"/>
          <w:u w:val="single"/>
        </w:rPr>
        <w:t>负责整理和提交的竣工验收资料应当符合工程所在单位和(或)城市建设档案管理机构有关施工资料的要求，具体内容包括： ①工程具备竣工验收条件，</w:t>
      </w:r>
      <w:bookmarkStart w:id="1475" w:name="REVIEW_BM_1790"/>
      <w:r>
        <w:rPr>
          <w:rFonts w:hint="eastAsia" w:ascii="宋体" w:hAnsi="宋体" w:cs="宋体"/>
          <w:szCs w:val="21"/>
          <w:highlight w:val="none"/>
          <w:u w:val="single"/>
        </w:rPr>
        <w:t>承包人</w:t>
      </w:r>
      <w:bookmarkEnd w:id="1475"/>
      <w:r>
        <w:rPr>
          <w:rFonts w:hint="eastAsia" w:ascii="宋体" w:hAnsi="宋体" w:cs="宋体"/>
          <w:szCs w:val="21"/>
          <w:highlight w:val="none"/>
          <w:u w:val="single"/>
        </w:rPr>
        <w:t>按工程竣工验收有关规定， 15 天内向</w:t>
      </w:r>
      <w:bookmarkStart w:id="1476" w:name="REVIEW_BM_1788"/>
      <w:r>
        <w:rPr>
          <w:rFonts w:hint="eastAsia" w:ascii="宋体" w:hAnsi="宋体" w:cs="宋体"/>
          <w:szCs w:val="21"/>
          <w:highlight w:val="none"/>
          <w:u w:val="single"/>
        </w:rPr>
        <w:t>发包人</w:t>
      </w:r>
      <w:bookmarkEnd w:id="1476"/>
      <w:r>
        <w:rPr>
          <w:rFonts w:hint="eastAsia" w:ascii="宋体" w:hAnsi="宋体" w:cs="宋体"/>
          <w:szCs w:val="21"/>
          <w:highlight w:val="none"/>
          <w:u w:val="single"/>
        </w:rPr>
        <w:t>提交符合要求内容装订成册的完整竣工资料及竣工验收报告、工程竣工图； ②</w:t>
      </w:r>
      <w:bookmarkStart w:id="1477" w:name="REVIEW_BM_1791"/>
      <w:r>
        <w:rPr>
          <w:rFonts w:hint="eastAsia" w:ascii="宋体" w:hAnsi="宋体" w:cs="宋体"/>
          <w:szCs w:val="21"/>
          <w:highlight w:val="none"/>
          <w:u w:val="single"/>
        </w:rPr>
        <w:t>承包人</w:t>
      </w:r>
      <w:bookmarkEnd w:id="1477"/>
      <w:r>
        <w:rPr>
          <w:rFonts w:hint="eastAsia" w:ascii="宋体" w:hAnsi="宋体" w:cs="宋体"/>
          <w:szCs w:val="21"/>
          <w:highlight w:val="none"/>
          <w:u w:val="single"/>
        </w:rPr>
        <w:t>所提交的竣工资料必须符合《建设工程文件归档整理规范》要求</w:t>
      </w:r>
      <w:r>
        <w:rPr>
          <w:rFonts w:hint="eastAsia" w:ascii="宋体" w:hAnsi="宋体" w:cs="宋体"/>
          <w:szCs w:val="21"/>
          <w:highlight w:val="none"/>
        </w:rPr>
        <w:t>。</w:t>
      </w:r>
    </w:p>
    <w:p w14:paraId="7B9BBEA1">
      <w:pPr>
        <w:spacing w:line="360" w:lineRule="auto"/>
        <w:ind w:firstLine="420"/>
        <w:jc w:val="left"/>
        <w:rPr>
          <w:rFonts w:hint="eastAsia" w:ascii="宋体" w:hAnsi="宋体" w:cs="宋体"/>
          <w:szCs w:val="21"/>
          <w:highlight w:val="none"/>
        </w:rPr>
      </w:pPr>
      <w:bookmarkStart w:id="1478" w:name="REVIEW_BM_1792"/>
      <w:r>
        <w:rPr>
          <w:rFonts w:hint="eastAsia" w:ascii="宋体" w:hAnsi="宋体" w:cs="宋体"/>
          <w:szCs w:val="21"/>
          <w:highlight w:val="none"/>
        </w:rPr>
        <w:t>发包人</w:t>
      </w:r>
      <w:bookmarkEnd w:id="1478"/>
      <w:r>
        <w:rPr>
          <w:rFonts w:hint="eastAsia" w:ascii="宋体" w:hAnsi="宋体" w:cs="宋体"/>
          <w:szCs w:val="21"/>
          <w:highlight w:val="none"/>
        </w:rPr>
        <w:t>不按照本项约定组织竣工验收、颁发工程接收证书的违约金的计算方法：</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无</w:t>
      </w:r>
      <w:r>
        <w:rPr>
          <w:rFonts w:hint="eastAsia" w:ascii="宋体" w:hAnsi="宋体" w:cs="宋体"/>
          <w:szCs w:val="21"/>
          <w:highlight w:val="none"/>
          <w:u w:val="single"/>
        </w:rPr>
        <w:t xml:space="preserve">  </w:t>
      </w:r>
      <w:r>
        <w:rPr>
          <w:rFonts w:hint="eastAsia" w:ascii="宋体" w:hAnsi="宋体" w:cs="宋体"/>
          <w:szCs w:val="21"/>
          <w:highlight w:val="none"/>
        </w:rPr>
        <w:t>。</w:t>
      </w:r>
      <w:bookmarkEnd w:id="1465"/>
    </w:p>
    <w:p w14:paraId="1DA2C848">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13.2.5移交、接收全部与部分工程</w:t>
      </w:r>
      <w:bookmarkEnd w:id="1466"/>
    </w:p>
    <w:p w14:paraId="655382B7">
      <w:pPr>
        <w:spacing w:line="360" w:lineRule="auto"/>
        <w:ind w:firstLine="420"/>
        <w:jc w:val="left"/>
        <w:rPr>
          <w:rFonts w:hint="eastAsia" w:ascii="宋体" w:hAnsi="宋体" w:cs="宋体"/>
          <w:szCs w:val="21"/>
          <w:highlight w:val="none"/>
        </w:rPr>
      </w:pPr>
      <w:bookmarkStart w:id="1479" w:name="REVIEW_BM_1794"/>
      <w:r>
        <w:rPr>
          <w:rFonts w:hint="eastAsia" w:ascii="宋体" w:hAnsi="宋体" w:cs="宋体"/>
          <w:szCs w:val="21"/>
          <w:highlight w:val="none"/>
        </w:rPr>
        <w:t>承包人</w:t>
      </w:r>
      <w:bookmarkEnd w:id="1479"/>
      <w:r>
        <w:rPr>
          <w:rFonts w:hint="eastAsia" w:ascii="宋体" w:hAnsi="宋体" w:cs="宋体"/>
          <w:szCs w:val="21"/>
          <w:highlight w:val="none"/>
        </w:rPr>
        <w:t>向</w:t>
      </w:r>
      <w:bookmarkStart w:id="1480" w:name="REVIEW_BM_1793"/>
      <w:r>
        <w:rPr>
          <w:rFonts w:hint="eastAsia" w:ascii="宋体" w:hAnsi="宋体" w:cs="宋体"/>
          <w:szCs w:val="21"/>
          <w:highlight w:val="none"/>
        </w:rPr>
        <w:t>发包人</w:t>
      </w:r>
      <w:bookmarkEnd w:id="1480"/>
      <w:r>
        <w:rPr>
          <w:rFonts w:hint="eastAsia" w:ascii="宋体" w:hAnsi="宋体" w:cs="宋体"/>
          <w:szCs w:val="21"/>
          <w:highlight w:val="none"/>
        </w:rPr>
        <w:t>移交工程的期限：</w:t>
      </w:r>
      <w:r>
        <w:rPr>
          <w:rFonts w:hint="eastAsia" w:ascii="宋体" w:hAnsi="宋体" w:cs="宋体"/>
          <w:szCs w:val="21"/>
          <w:highlight w:val="none"/>
          <w:u w:val="single"/>
        </w:rPr>
        <w:t xml:space="preserve">   颁发工程接收证书后7天内   </w:t>
      </w:r>
      <w:r>
        <w:rPr>
          <w:rFonts w:hint="eastAsia" w:ascii="宋体" w:hAnsi="宋体" w:cs="宋体"/>
          <w:szCs w:val="21"/>
          <w:highlight w:val="none"/>
        </w:rPr>
        <w:t>。</w:t>
      </w:r>
    </w:p>
    <w:p w14:paraId="01E42D49">
      <w:pPr>
        <w:spacing w:line="360" w:lineRule="auto"/>
        <w:ind w:firstLine="420"/>
        <w:jc w:val="left"/>
        <w:rPr>
          <w:rFonts w:hint="eastAsia" w:ascii="宋体" w:hAnsi="宋体" w:cs="宋体"/>
          <w:szCs w:val="21"/>
          <w:highlight w:val="none"/>
          <w:u w:val="single"/>
        </w:rPr>
      </w:pPr>
      <w:bookmarkStart w:id="1481" w:name="REVIEW_BM_1795"/>
      <w:r>
        <w:rPr>
          <w:rFonts w:hint="eastAsia" w:ascii="宋体" w:hAnsi="宋体" w:cs="宋体"/>
          <w:szCs w:val="21"/>
          <w:highlight w:val="none"/>
        </w:rPr>
        <w:t>发包人</w:t>
      </w:r>
      <w:bookmarkEnd w:id="1481"/>
      <w:r>
        <w:rPr>
          <w:rFonts w:hint="eastAsia" w:ascii="宋体" w:hAnsi="宋体" w:cs="宋体"/>
          <w:szCs w:val="21"/>
          <w:highlight w:val="none"/>
        </w:rPr>
        <w:t>未按本合同约定接收全部或部分工程的，违约金的计算方法为：</w:t>
      </w:r>
      <w:r>
        <w:rPr>
          <w:rFonts w:hint="eastAsia" w:ascii="宋体" w:hAnsi="宋体" w:cs="宋体"/>
          <w:szCs w:val="21"/>
          <w:highlight w:val="none"/>
          <w:u w:val="single"/>
        </w:rPr>
        <w:t xml:space="preserve">无 </w:t>
      </w:r>
      <w:r>
        <w:rPr>
          <w:rFonts w:hint="eastAsia" w:ascii="宋体" w:hAnsi="宋体" w:cs="宋体"/>
          <w:szCs w:val="21"/>
          <w:highlight w:val="none"/>
        </w:rPr>
        <w:t>。</w:t>
      </w:r>
      <w:bookmarkEnd w:id="1467"/>
    </w:p>
    <w:p w14:paraId="17A950C1">
      <w:pPr>
        <w:spacing w:line="360" w:lineRule="auto"/>
        <w:ind w:firstLine="420"/>
        <w:jc w:val="left"/>
        <w:rPr>
          <w:rFonts w:hint="eastAsia" w:ascii="宋体" w:hAnsi="宋体" w:cs="宋体"/>
          <w:szCs w:val="21"/>
          <w:highlight w:val="none"/>
          <w:u w:val="single"/>
        </w:rPr>
      </w:pPr>
      <w:bookmarkStart w:id="1482" w:name="REVIEW_BM_1798"/>
      <w:r>
        <w:rPr>
          <w:rFonts w:hint="eastAsia" w:ascii="宋体" w:hAnsi="宋体" w:cs="宋体"/>
          <w:szCs w:val="21"/>
          <w:highlight w:val="none"/>
        </w:rPr>
        <w:t>承包人</w:t>
      </w:r>
      <w:bookmarkEnd w:id="1482"/>
      <w:r>
        <w:rPr>
          <w:rFonts w:hint="eastAsia" w:ascii="宋体" w:hAnsi="宋体" w:cs="宋体"/>
          <w:szCs w:val="21"/>
          <w:highlight w:val="none"/>
        </w:rPr>
        <w:t>未按时移交工程的，违约金的计算方法为：</w:t>
      </w:r>
      <w:r>
        <w:rPr>
          <w:rFonts w:hint="eastAsia" w:ascii="宋体" w:hAnsi="宋体" w:cs="宋体"/>
          <w:szCs w:val="21"/>
          <w:highlight w:val="none"/>
          <w:u w:val="single"/>
        </w:rPr>
        <w:t>每延误一天</w:t>
      </w:r>
      <w:bookmarkStart w:id="1483" w:name="REVIEW_BM_1802"/>
      <w:r>
        <w:rPr>
          <w:rFonts w:hint="eastAsia" w:ascii="宋体" w:hAnsi="宋体" w:cs="宋体"/>
          <w:szCs w:val="21"/>
          <w:highlight w:val="none"/>
          <w:u w:val="single"/>
        </w:rPr>
        <w:t>,</w:t>
      </w:r>
      <w:bookmarkEnd w:id="1483"/>
      <w:r>
        <w:rPr>
          <w:rFonts w:hint="eastAsia" w:ascii="宋体" w:hAnsi="宋体" w:cs="宋体"/>
          <w:szCs w:val="21"/>
          <w:highlight w:val="none"/>
          <w:u w:val="single"/>
        </w:rPr>
        <w:t xml:space="preserve"> 应支付合同协议书中约定的签约合同价（扣除暂列金、暂估价）的千分之一（1‰）的违约金，违约金最高限额为签约合同价格（扣暂列金、暂估价及甲供材）的5%。逾期时间自规定竣工日期起计至实际竣工日期（扣除</w:t>
      </w:r>
      <w:bookmarkStart w:id="1484" w:name="REVIEW_BM_1796"/>
      <w:r>
        <w:rPr>
          <w:rFonts w:hint="eastAsia" w:ascii="宋体" w:hAnsi="宋体" w:cs="宋体"/>
          <w:szCs w:val="21"/>
          <w:highlight w:val="none"/>
          <w:u w:val="single"/>
        </w:rPr>
        <w:t>发包人</w:t>
      </w:r>
      <w:bookmarkEnd w:id="1484"/>
      <w:r>
        <w:rPr>
          <w:rFonts w:hint="eastAsia" w:ascii="宋体" w:hAnsi="宋体" w:cs="宋体"/>
          <w:szCs w:val="21"/>
          <w:highlight w:val="none"/>
          <w:u w:val="single"/>
        </w:rPr>
        <w:t>批准顺延的工期），</w:t>
      </w:r>
      <w:bookmarkStart w:id="1485" w:name="REVIEW_BM_1797"/>
      <w:r>
        <w:rPr>
          <w:rFonts w:hint="eastAsia" w:ascii="宋体" w:hAnsi="宋体" w:cs="宋体"/>
          <w:szCs w:val="21"/>
          <w:highlight w:val="none"/>
          <w:u w:val="single"/>
        </w:rPr>
        <w:t>发包人</w:t>
      </w:r>
      <w:bookmarkEnd w:id="1485"/>
      <w:r>
        <w:rPr>
          <w:rFonts w:hint="eastAsia" w:ascii="宋体" w:hAnsi="宋体" w:cs="宋体"/>
          <w:szCs w:val="21"/>
          <w:highlight w:val="none"/>
          <w:u w:val="single"/>
        </w:rPr>
        <w:t>可从应向</w:t>
      </w:r>
      <w:bookmarkStart w:id="1486" w:name="REVIEW_BM_1799"/>
      <w:r>
        <w:rPr>
          <w:rFonts w:hint="eastAsia" w:ascii="宋体" w:hAnsi="宋体" w:cs="宋体"/>
          <w:szCs w:val="21"/>
          <w:highlight w:val="none"/>
          <w:u w:val="single"/>
        </w:rPr>
        <w:t>承包人</w:t>
      </w:r>
      <w:bookmarkEnd w:id="1486"/>
      <w:r>
        <w:rPr>
          <w:rFonts w:hint="eastAsia" w:ascii="宋体" w:hAnsi="宋体" w:cs="宋体"/>
          <w:szCs w:val="21"/>
          <w:highlight w:val="none"/>
          <w:u w:val="single"/>
        </w:rPr>
        <w:t>支付的任何款项中扣除或其他方式收回该项违约金，</w:t>
      </w:r>
      <w:bookmarkStart w:id="1487" w:name="REVIEW_BM_1800"/>
      <w:r>
        <w:rPr>
          <w:rFonts w:hint="eastAsia" w:ascii="宋体" w:hAnsi="宋体" w:cs="宋体"/>
          <w:szCs w:val="21"/>
          <w:highlight w:val="none"/>
          <w:u w:val="single"/>
        </w:rPr>
        <w:t>承包人</w:t>
      </w:r>
      <w:bookmarkEnd w:id="1487"/>
      <w:r>
        <w:rPr>
          <w:rFonts w:hint="eastAsia" w:ascii="宋体" w:hAnsi="宋体" w:cs="宋体"/>
          <w:szCs w:val="21"/>
          <w:highlight w:val="none"/>
          <w:u w:val="single"/>
        </w:rPr>
        <w:t>支付该项违约金不免除</w:t>
      </w:r>
      <w:bookmarkStart w:id="1488" w:name="REVIEW_BM_1801"/>
      <w:r>
        <w:rPr>
          <w:rFonts w:hint="eastAsia" w:ascii="宋体" w:hAnsi="宋体" w:cs="宋体"/>
          <w:szCs w:val="21"/>
          <w:highlight w:val="none"/>
          <w:u w:val="single"/>
        </w:rPr>
        <w:t>承包人</w:t>
      </w:r>
      <w:bookmarkEnd w:id="1488"/>
      <w:r>
        <w:rPr>
          <w:rFonts w:hint="eastAsia" w:ascii="宋体" w:hAnsi="宋体" w:cs="宋体"/>
          <w:szCs w:val="21"/>
          <w:highlight w:val="none"/>
          <w:u w:val="single"/>
        </w:rPr>
        <w:t>应完成工程的责任或合同约定的其他义务、责任。</w:t>
      </w:r>
    </w:p>
    <w:p w14:paraId="7B85EC71">
      <w:pPr>
        <w:bidi w:val="0"/>
        <w:rPr>
          <w:rFonts w:hint="eastAsia"/>
          <w:highlight w:val="none"/>
        </w:rPr>
      </w:pPr>
      <w:bookmarkStart w:id="1489" w:name="_Toc407135259"/>
      <w:bookmarkStart w:id="1490" w:name="_Toc373227756"/>
      <w:bookmarkStart w:id="1491" w:name="_Toc389065321"/>
      <w:bookmarkStart w:id="1492" w:name="_Toc373478403"/>
      <w:bookmarkStart w:id="1493" w:name="_Toc487632756"/>
      <w:r>
        <w:rPr>
          <w:rFonts w:hint="eastAsia"/>
          <w:highlight w:val="none"/>
        </w:rPr>
        <w:t>13.3 工程试车</w:t>
      </w:r>
      <w:bookmarkEnd w:id="1468"/>
      <w:bookmarkEnd w:id="1489"/>
      <w:bookmarkEnd w:id="1490"/>
      <w:bookmarkEnd w:id="1491"/>
      <w:bookmarkEnd w:id="1492"/>
      <w:bookmarkEnd w:id="1493"/>
    </w:p>
    <w:p w14:paraId="78EA3DB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13.3.1 试车程序</w:t>
      </w:r>
    </w:p>
    <w:p w14:paraId="388BD2ED">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工程试车内容：</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5E624FA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（1）单机无负荷试车费用由</w:t>
      </w:r>
      <w:r>
        <w:rPr>
          <w:rFonts w:hint="eastAsia" w:ascii="宋体" w:hAnsi="宋体" w:cs="宋体"/>
          <w:szCs w:val="21"/>
          <w:highlight w:val="none"/>
          <w:u w:val="single"/>
        </w:rPr>
        <w:t xml:space="preserve">       /    </w:t>
      </w:r>
      <w:r>
        <w:rPr>
          <w:rFonts w:hint="eastAsia" w:ascii="宋体" w:hAnsi="宋体" w:cs="宋体"/>
          <w:szCs w:val="21"/>
          <w:highlight w:val="none"/>
        </w:rPr>
        <w:t>承担；</w:t>
      </w:r>
    </w:p>
    <w:p w14:paraId="0D64413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（2）无负荷联动试车费用由</w:t>
      </w:r>
      <w:r>
        <w:rPr>
          <w:rFonts w:hint="eastAsia" w:ascii="宋体" w:hAnsi="宋体" w:cs="宋体"/>
          <w:szCs w:val="21"/>
          <w:highlight w:val="none"/>
          <w:u w:val="single"/>
        </w:rPr>
        <w:t xml:space="preserve">      /      </w:t>
      </w:r>
      <w:r>
        <w:rPr>
          <w:rFonts w:hint="eastAsia" w:ascii="宋体" w:hAnsi="宋体" w:cs="宋体"/>
          <w:szCs w:val="21"/>
          <w:highlight w:val="none"/>
        </w:rPr>
        <w:t>承担。</w:t>
      </w:r>
    </w:p>
    <w:p w14:paraId="1706280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13.3.3 投料试车</w:t>
      </w:r>
    </w:p>
    <w:p w14:paraId="3E69E2E9">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关于投料试车相关事项的约定：</w:t>
      </w:r>
      <w:r>
        <w:rPr>
          <w:rFonts w:hint="eastAsia" w:ascii="宋体" w:hAnsi="宋体" w:cs="宋体"/>
          <w:szCs w:val="21"/>
          <w:highlight w:val="none"/>
          <w:u w:val="single"/>
        </w:rPr>
        <w:t xml:space="preserve">     无     </w:t>
      </w:r>
      <w:r>
        <w:rPr>
          <w:rFonts w:hint="eastAsia" w:ascii="宋体" w:hAnsi="宋体" w:cs="宋体"/>
          <w:szCs w:val="21"/>
          <w:highlight w:val="none"/>
        </w:rPr>
        <w:t>。</w:t>
      </w:r>
    </w:p>
    <w:p w14:paraId="56B9C52C">
      <w:pPr>
        <w:bidi w:val="0"/>
        <w:rPr>
          <w:rFonts w:hint="eastAsia"/>
          <w:highlight w:val="none"/>
        </w:rPr>
      </w:pPr>
      <w:bookmarkStart w:id="1494" w:name="_Toc373478404"/>
      <w:bookmarkStart w:id="1495" w:name="_Toc487632757"/>
      <w:bookmarkStart w:id="1496" w:name="_Toc373227757"/>
      <w:bookmarkStart w:id="1497" w:name="_Toc389065322"/>
      <w:bookmarkStart w:id="1498" w:name="_Toc407135260"/>
      <w:r>
        <w:rPr>
          <w:rFonts w:hint="eastAsia"/>
          <w:highlight w:val="none"/>
        </w:rPr>
        <w:t>13.6 竣工退场</w:t>
      </w:r>
      <w:bookmarkEnd w:id="1494"/>
      <w:bookmarkEnd w:id="1495"/>
      <w:bookmarkEnd w:id="1496"/>
      <w:bookmarkEnd w:id="1497"/>
      <w:bookmarkEnd w:id="1498"/>
    </w:p>
    <w:p w14:paraId="5BF55DBE">
      <w:pPr>
        <w:bidi w:val="0"/>
        <w:rPr>
          <w:rFonts w:hint="eastAsia"/>
          <w:highlight w:val="none"/>
        </w:rPr>
      </w:pPr>
      <w:r>
        <w:rPr>
          <w:rFonts w:hint="eastAsia"/>
          <w:highlight w:val="none"/>
        </w:rPr>
        <w:t>13.6.1 竣工退场</w:t>
      </w:r>
    </w:p>
    <w:p w14:paraId="5C913E6D">
      <w:pPr>
        <w:spacing w:line="360" w:lineRule="auto"/>
        <w:ind w:firstLine="420"/>
        <w:jc w:val="left"/>
        <w:rPr>
          <w:rFonts w:hint="eastAsia" w:ascii="宋体" w:hAnsi="宋体" w:cs="宋体"/>
          <w:szCs w:val="21"/>
          <w:highlight w:val="none"/>
        </w:rPr>
      </w:pPr>
      <w:bookmarkStart w:id="1499" w:name="REVIEW_BM_1807"/>
      <w:r>
        <w:rPr>
          <w:rFonts w:hint="eastAsia" w:ascii="宋体" w:hAnsi="宋体" w:cs="宋体"/>
          <w:szCs w:val="21"/>
          <w:highlight w:val="none"/>
        </w:rPr>
        <w:t>承包人</w:t>
      </w:r>
      <w:bookmarkEnd w:id="1499"/>
      <w:r>
        <w:rPr>
          <w:rFonts w:hint="eastAsia" w:ascii="宋体" w:hAnsi="宋体" w:cs="宋体"/>
          <w:szCs w:val="21"/>
          <w:highlight w:val="none"/>
        </w:rPr>
        <w:t>完成竣工退场的期限：</w:t>
      </w:r>
      <w:r>
        <w:rPr>
          <w:rFonts w:hint="eastAsia" w:ascii="宋体" w:hAnsi="宋体" w:cs="宋体"/>
          <w:szCs w:val="21"/>
          <w:highlight w:val="none"/>
          <w:u w:val="single"/>
        </w:rPr>
        <w:t xml:space="preserve">   颁发工程接收证书后</w:t>
      </w:r>
      <w:r>
        <w:rPr>
          <w:rFonts w:hint="eastAsia" w:ascii="宋体" w:hAnsi="宋体" w:cs="宋体"/>
          <w:szCs w:val="21"/>
          <w:highlight w:val="none"/>
          <w:u w:val="single"/>
          <w:lang w:val="en-US" w:eastAsia="zh-CN"/>
        </w:rPr>
        <w:t>7</w:t>
      </w:r>
      <w:r>
        <w:rPr>
          <w:rFonts w:hint="eastAsia" w:ascii="宋体" w:hAnsi="宋体" w:cs="宋体"/>
          <w:szCs w:val="21"/>
          <w:highlight w:val="none"/>
          <w:u w:val="single"/>
        </w:rPr>
        <w:t xml:space="preserve">天内   </w:t>
      </w:r>
      <w:r>
        <w:rPr>
          <w:rFonts w:hint="eastAsia" w:ascii="宋体" w:hAnsi="宋体" w:cs="宋体"/>
          <w:szCs w:val="21"/>
          <w:highlight w:val="none"/>
        </w:rPr>
        <w:t>。</w:t>
      </w:r>
      <w:bookmarkStart w:id="1500" w:name="REVIEW_BM_1808"/>
      <w:r>
        <w:rPr>
          <w:rFonts w:hint="eastAsia" w:ascii="宋体" w:hAnsi="宋体" w:cs="宋体"/>
          <w:szCs w:val="21"/>
          <w:highlight w:val="none"/>
        </w:rPr>
        <w:t>承包人</w:t>
      </w:r>
      <w:bookmarkEnd w:id="1500"/>
      <w:r>
        <w:rPr>
          <w:rFonts w:hint="eastAsia" w:ascii="宋体" w:hAnsi="宋体" w:cs="宋体"/>
          <w:szCs w:val="21"/>
          <w:highlight w:val="none"/>
        </w:rPr>
        <w:t>负责按照通用条款本项约定的要求对施工场地进行清理并承担相关费用，直至</w:t>
      </w:r>
      <w:bookmarkStart w:id="1501" w:name="REVIEW_BM_1803"/>
      <w:r>
        <w:rPr>
          <w:rFonts w:hint="eastAsia" w:ascii="宋体" w:hAnsi="宋体" w:cs="宋体"/>
          <w:szCs w:val="21"/>
          <w:highlight w:val="none"/>
        </w:rPr>
        <w:t>发包人</w:t>
      </w:r>
      <w:bookmarkEnd w:id="1501"/>
      <w:r>
        <w:rPr>
          <w:rFonts w:hint="eastAsia" w:ascii="宋体" w:hAnsi="宋体" w:cs="宋体"/>
          <w:szCs w:val="21"/>
          <w:highlight w:val="none"/>
        </w:rPr>
        <w:t>检验合格为止。</w:t>
      </w:r>
      <w:bookmarkStart w:id="1502" w:name="REVIEW_BM_1809"/>
      <w:r>
        <w:rPr>
          <w:rFonts w:hint="eastAsia" w:ascii="宋体" w:hAnsi="宋体" w:cs="宋体"/>
          <w:szCs w:val="21"/>
          <w:highlight w:val="none"/>
        </w:rPr>
        <w:t>承包人</w:t>
      </w:r>
      <w:bookmarkEnd w:id="1502"/>
      <w:r>
        <w:rPr>
          <w:rFonts w:hint="eastAsia" w:ascii="宋体" w:hAnsi="宋体" w:cs="宋体"/>
          <w:szCs w:val="21"/>
          <w:highlight w:val="none"/>
        </w:rPr>
        <w:t>的人员逾期撤出施工场地的，按每人每天500元支付违约金给</w:t>
      </w:r>
      <w:bookmarkStart w:id="1503" w:name="REVIEW_BM_1804"/>
      <w:r>
        <w:rPr>
          <w:rFonts w:hint="eastAsia" w:ascii="宋体" w:hAnsi="宋体" w:cs="宋体"/>
          <w:szCs w:val="21"/>
          <w:highlight w:val="none"/>
        </w:rPr>
        <w:t>发包人</w:t>
      </w:r>
      <w:bookmarkEnd w:id="1503"/>
      <w:r>
        <w:rPr>
          <w:rFonts w:hint="eastAsia" w:ascii="宋体" w:hAnsi="宋体" w:cs="宋体"/>
          <w:szCs w:val="21"/>
          <w:highlight w:val="none"/>
        </w:rPr>
        <w:t>。机械设备和其他财产逾期撤离施工现场的，视为</w:t>
      </w:r>
      <w:bookmarkStart w:id="1504" w:name="REVIEW_BM_1810"/>
      <w:r>
        <w:rPr>
          <w:rFonts w:hint="eastAsia" w:ascii="宋体" w:hAnsi="宋体" w:cs="宋体"/>
          <w:szCs w:val="21"/>
          <w:highlight w:val="none"/>
        </w:rPr>
        <w:t>承包人</w:t>
      </w:r>
      <w:bookmarkEnd w:id="1504"/>
      <w:r>
        <w:rPr>
          <w:rFonts w:hint="eastAsia" w:ascii="宋体" w:hAnsi="宋体" w:cs="宋体"/>
          <w:szCs w:val="21"/>
          <w:highlight w:val="none"/>
        </w:rPr>
        <w:t>放弃所有权，任由</w:t>
      </w:r>
      <w:bookmarkStart w:id="1505" w:name="REVIEW_BM_1805"/>
      <w:r>
        <w:rPr>
          <w:rFonts w:hint="eastAsia" w:ascii="宋体" w:hAnsi="宋体" w:cs="宋体"/>
          <w:szCs w:val="21"/>
          <w:highlight w:val="none"/>
        </w:rPr>
        <w:t>发包人</w:t>
      </w:r>
      <w:bookmarkEnd w:id="1505"/>
      <w:r>
        <w:rPr>
          <w:rFonts w:hint="eastAsia" w:ascii="宋体" w:hAnsi="宋体" w:cs="宋体"/>
          <w:szCs w:val="21"/>
          <w:highlight w:val="none"/>
        </w:rPr>
        <w:t>处置，处置所得收益归</w:t>
      </w:r>
      <w:bookmarkStart w:id="1506" w:name="REVIEW_BM_1806"/>
      <w:r>
        <w:rPr>
          <w:rFonts w:hint="eastAsia" w:ascii="宋体" w:hAnsi="宋体" w:cs="宋体"/>
          <w:szCs w:val="21"/>
          <w:highlight w:val="none"/>
        </w:rPr>
        <w:t>发包人</w:t>
      </w:r>
      <w:bookmarkEnd w:id="1506"/>
      <w:r>
        <w:rPr>
          <w:rFonts w:hint="eastAsia" w:ascii="宋体" w:hAnsi="宋体" w:cs="宋体"/>
          <w:szCs w:val="21"/>
          <w:highlight w:val="none"/>
        </w:rPr>
        <w:t>所有。</w:t>
      </w:r>
    </w:p>
    <w:p w14:paraId="400EAF0A">
      <w:pPr>
        <w:pStyle w:val="6"/>
        <w:bidi w:val="0"/>
        <w:rPr>
          <w:rFonts w:hint="eastAsia"/>
          <w:highlight w:val="none"/>
        </w:rPr>
      </w:pPr>
      <w:bookmarkStart w:id="1507" w:name="_Toc389065323"/>
      <w:bookmarkStart w:id="1508" w:name="_Toc373227758"/>
      <w:bookmarkStart w:id="1509" w:name="_Toc351203646"/>
      <w:bookmarkStart w:id="1510" w:name="_Toc373478405"/>
      <w:bookmarkStart w:id="1511" w:name="_Toc407135261"/>
      <w:bookmarkStart w:id="1512" w:name="_Toc487632758"/>
      <w:r>
        <w:rPr>
          <w:rFonts w:hint="eastAsia"/>
          <w:highlight w:val="none"/>
        </w:rPr>
        <w:t>14. 竣工结算</w:t>
      </w:r>
      <w:bookmarkEnd w:id="1507"/>
      <w:bookmarkEnd w:id="1508"/>
      <w:bookmarkEnd w:id="1509"/>
      <w:bookmarkEnd w:id="1510"/>
      <w:bookmarkEnd w:id="1511"/>
      <w:bookmarkEnd w:id="1512"/>
    </w:p>
    <w:p w14:paraId="0FC1416C">
      <w:pPr>
        <w:bidi w:val="0"/>
        <w:spacing w:line="360" w:lineRule="auto"/>
        <w:ind w:left="0" w:firstLine="420"/>
        <w:rPr>
          <w:rFonts w:hint="eastAsia" w:asciiTheme="minorEastAsia" w:hAnsiTheme="minorEastAsia" w:eastAsiaTheme="minorEastAsia" w:cstheme="minorEastAsia"/>
          <w:highlight w:val="none"/>
        </w:rPr>
      </w:pPr>
      <w:bookmarkStart w:id="1513" w:name="_Toc448911939"/>
      <w:bookmarkStart w:id="1514" w:name="_Toc8236"/>
      <w:bookmarkStart w:id="1515" w:name="_Toc7556"/>
      <w:bookmarkStart w:id="1516" w:name="_Toc389065324"/>
      <w:bookmarkStart w:id="1517" w:name="_Toc373478406"/>
      <w:bookmarkStart w:id="1518" w:name="_Toc407135262"/>
      <w:bookmarkStart w:id="1519" w:name="_Toc487632759"/>
      <w:bookmarkStart w:id="1520" w:name="_Toc373227759"/>
      <w:r>
        <w:rPr>
          <w:rFonts w:hint="eastAsia" w:asciiTheme="minorEastAsia" w:hAnsiTheme="minorEastAsia" w:eastAsiaTheme="minorEastAsia" w:cstheme="minorEastAsia"/>
          <w:highlight w:val="none"/>
        </w:rPr>
        <w:t xml:space="preserve">14.1.1 </w:t>
      </w:r>
      <w:bookmarkStart w:id="1521" w:name="REVIEW_BM_1811"/>
      <w:r>
        <w:rPr>
          <w:rFonts w:hint="eastAsia" w:asciiTheme="minorEastAsia" w:hAnsiTheme="minorEastAsia" w:eastAsiaTheme="minorEastAsia" w:cstheme="minorEastAsia"/>
          <w:highlight w:val="none"/>
        </w:rPr>
        <w:t>承包人</w:t>
      </w:r>
      <w:bookmarkEnd w:id="1521"/>
      <w:r>
        <w:rPr>
          <w:rFonts w:hint="eastAsia" w:asciiTheme="minorEastAsia" w:hAnsiTheme="minorEastAsia" w:eastAsiaTheme="minorEastAsia" w:cstheme="minorEastAsia"/>
          <w:highlight w:val="none"/>
        </w:rPr>
        <w:t>提供竣工图的约定：</w:t>
      </w:r>
      <w:bookmarkStart w:id="1522" w:name="REVIEW_BM_1812"/>
      <w:r>
        <w:rPr>
          <w:rFonts w:hint="eastAsia" w:asciiTheme="minorEastAsia" w:hAnsiTheme="minorEastAsia" w:eastAsiaTheme="minorEastAsia" w:cstheme="minorEastAsia"/>
          <w:highlight w:val="none"/>
        </w:rPr>
        <w:t>承包人</w:t>
      </w:r>
      <w:bookmarkEnd w:id="1522"/>
      <w:r>
        <w:rPr>
          <w:rFonts w:hint="eastAsia" w:asciiTheme="minorEastAsia" w:hAnsiTheme="minorEastAsia" w:eastAsiaTheme="minorEastAsia" w:cstheme="minorEastAsia"/>
          <w:highlight w:val="none"/>
        </w:rPr>
        <w:t>按实际工程施工提供竣工图 。</w:t>
      </w:r>
    </w:p>
    <w:p w14:paraId="787BE4DB">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14.1.2 中间交工工程的范围和竣工时间：   /   </w:t>
      </w:r>
    </w:p>
    <w:p w14:paraId="13A588AB">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 xml:space="preserve">14.1.3 </w:t>
      </w:r>
      <w:bookmarkStart w:id="1523" w:name="REVIEW_BM_1814"/>
      <w:r>
        <w:rPr>
          <w:rFonts w:hint="eastAsia" w:asciiTheme="minorEastAsia" w:hAnsiTheme="minorEastAsia" w:eastAsiaTheme="minorEastAsia" w:cstheme="minorEastAsia"/>
          <w:highlight w:val="none"/>
        </w:rPr>
        <w:t>承包人</w:t>
      </w:r>
      <w:bookmarkEnd w:id="1523"/>
      <w:r>
        <w:rPr>
          <w:rFonts w:hint="eastAsia" w:asciiTheme="minorEastAsia" w:hAnsiTheme="minorEastAsia" w:eastAsiaTheme="minorEastAsia" w:cstheme="minorEastAsia"/>
          <w:highlight w:val="none"/>
        </w:rPr>
        <w:t>应在工程竣工验收合格后</w:t>
      </w:r>
      <w:r>
        <w:rPr>
          <w:rFonts w:hint="eastAsia" w:asciiTheme="minorEastAsia" w:hAnsiTheme="minorEastAsia" w:eastAsiaTheme="minorEastAsia" w:cstheme="minorEastAsia"/>
          <w:highlight w:val="none"/>
          <w:lang w:val="en-US" w:eastAsia="zh-CN"/>
        </w:rPr>
        <w:t>90</w:t>
      </w:r>
      <w:r>
        <w:rPr>
          <w:rFonts w:hint="eastAsia" w:asciiTheme="minorEastAsia" w:hAnsiTheme="minorEastAsia" w:eastAsiaTheme="minorEastAsia" w:cstheme="minorEastAsia"/>
          <w:highlight w:val="none"/>
        </w:rPr>
        <w:t>天内向</w:t>
      </w:r>
      <w:bookmarkStart w:id="1524" w:name="REVIEW_BM_1813"/>
      <w:r>
        <w:rPr>
          <w:rFonts w:hint="eastAsia" w:asciiTheme="minorEastAsia" w:hAnsiTheme="minorEastAsia" w:eastAsiaTheme="minorEastAsia" w:cstheme="minorEastAsia"/>
          <w:highlight w:val="none"/>
        </w:rPr>
        <w:t>发包人</w:t>
      </w:r>
      <w:bookmarkEnd w:id="1524"/>
      <w:r>
        <w:rPr>
          <w:rFonts w:hint="eastAsia" w:asciiTheme="minorEastAsia" w:hAnsiTheme="minorEastAsia" w:eastAsiaTheme="minorEastAsia" w:cstheme="minorEastAsia"/>
          <w:highlight w:val="none"/>
        </w:rPr>
        <w:t>提交完整的竣工结算资料，承包方对资料的完整性、真实性和有效性负责。</w:t>
      </w:r>
    </w:p>
    <w:p w14:paraId="1D362FBD">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w:t>
      </w:r>
      <w:bookmarkStart w:id="1525" w:name="REVIEW_BM_1816"/>
      <w:r>
        <w:rPr>
          <w:rFonts w:hint="eastAsia" w:asciiTheme="minorEastAsia" w:hAnsiTheme="minorEastAsia" w:eastAsiaTheme="minorEastAsia" w:cstheme="minorEastAsia"/>
          <w:highlight w:val="none"/>
        </w:rPr>
        <w:t>承包人</w:t>
      </w:r>
      <w:bookmarkEnd w:id="1525"/>
      <w:r>
        <w:rPr>
          <w:rFonts w:hint="eastAsia" w:asciiTheme="minorEastAsia" w:hAnsiTheme="minorEastAsia" w:eastAsiaTheme="minorEastAsia" w:cstheme="minorEastAsia"/>
          <w:highlight w:val="none"/>
        </w:rPr>
        <w:t>未在规定期限内提交竣工结算资料的，责任由</w:t>
      </w:r>
      <w:bookmarkStart w:id="1526" w:name="REVIEW_BM_1817"/>
      <w:r>
        <w:rPr>
          <w:rFonts w:hint="eastAsia" w:asciiTheme="minorEastAsia" w:hAnsiTheme="minorEastAsia" w:eastAsiaTheme="minorEastAsia" w:cstheme="minorEastAsia"/>
          <w:highlight w:val="none"/>
        </w:rPr>
        <w:t>承包人</w:t>
      </w:r>
      <w:bookmarkEnd w:id="1526"/>
      <w:r>
        <w:rPr>
          <w:rFonts w:hint="eastAsia" w:asciiTheme="minorEastAsia" w:hAnsiTheme="minorEastAsia" w:eastAsiaTheme="minorEastAsia" w:cstheme="minorEastAsia"/>
          <w:highlight w:val="none"/>
        </w:rPr>
        <w:t>自负。逾期提交竣工结算资料的，</w:t>
      </w:r>
      <w:bookmarkStart w:id="1527" w:name="REVIEW_BM_1818"/>
      <w:r>
        <w:rPr>
          <w:rFonts w:hint="eastAsia" w:asciiTheme="minorEastAsia" w:hAnsiTheme="minorEastAsia" w:eastAsiaTheme="minorEastAsia" w:cstheme="minorEastAsia"/>
          <w:highlight w:val="none"/>
        </w:rPr>
        <w:t>承包人</w:t>
      </w:r>
      <w:bookmarkEnd w:id="1527"/>
      <w:r>
        <w:rPr>
          <w:rFonts w:hint="eastAsia" w:asciiTheme="minorEastAsia" w:hAnsiTheme="minorEastAsia" w:eastAsiaTheme="minorEastAsia" w:cstheme="minorEastAsia"/>
          <w:highlight w:val="none"/>
        </w:rPr>
        <w:t>每天向</w:t>
      </w:r>
      <w:bookmarkStart w:id="1528" w:name="REVIEW_BM_1815"/>
      <w:r>
        <w:rPr>
          <w:rFonts w:hint="eastAsia" w:asciiTheme="minorEastAsia" w:hAnsiTheme="minorEastAsia" w:eastAsiaTheme="minorEastAsia" w:cstheme="minorEastAsia"/>
          <w:highlight w:val="none"/>
        </w:rPr>
        <w:t>发包人</w:t>
      </w:r>
      <w:bookmarkEnd w:id="1528"/>
      <w:r>
        <w:rPr>
          <w:rFonts w:hint="eastAsia" w:asciiTheme="minorEastAsia" w:hAnsiTheme="minorEastAsia" w:eastAsiaTheme="minorEastAsia" w:cstheme="minorEastAsia"/>
          <w:highlight w:val="none"/>
        </w:rPr>
        <w:t>偿付签约合同价格（扣暂列金、暂估价及甲供材）的3‰违约金，但违约金累计不得超过签约合同价格（扣暂列金、暂估价及甲供材）的5%。</w:t>
      </w:r>
    </w:p>
    <w:p w14:paraId="643BBEF2">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（2）</w:t>
      </w:r>
      <w:bookmarkStart w:id="1529" w:name="REVIEW_BM_1821"/>
      <w:r>
        <w:rPr>
          <w:rFonts w:hint="eastAsia" w:asciiTheme="minorEastAsia" w:hAnsiTheme="minorEastAsia" w:eastAsiaTheme="minorEastAsia" w:cstheme="minorEastAsia"/>
          <w:highlight w:val="none"/>
          <w:lang w:val="en-US" w:eastAsia="zh-CN"/>
        </w:rPr>
        <w:t>承</w:t>
      </w:r>
      <w:r>
        <w:rPr>
          <w:rFonts w:hint="eastAsia" w:asciiTheme="minorEastAsia" w:hAnsiTheme="minorEastAsia" w:eastAsiaTheme="minorEastAsia" w:cstheme="minorEastAsia"/>
          <w:highlight w:val="none"/>
        </w:rPr>
        <w:t>包人</w:t>
      </w:r>
      <w:bookmarkEnd w:id="1529"/>
      <w:r>
        <w:rPr>
          <w:rFonts w:hint="eastAsia" w:asciiTheme="minorEastAsia" w:hAnsiTheme="minorEastAsia" w:eastAsiaTheme="minorEastAsia" w:cstheme="minorEastAsia"/>
          <w:highlight w:val="none"/>
        </w:rPr>
        <w:t>提交竣工结算资料不完整的，</w:t>
      </w:r>
      <w:bookmarkStart w:id="1530" w:name="REVIEW_BM_1819"/>
      <w:r>
        <w:rPr>
          <w:rFonts w:hint="eastAsia" w:asciiTheme="minorEastAsia" w:hAnsiTheme="minorEastAsia" w:eastAsiaTheme="minorEastAsia" w:cstheme="minorEastAsia"/>
          <w:highlight w:val="none"/>
        </w:rPr>
        <w:t>发包人</w:t>
      </w:r>
      <w:bookmarkEnd w:id="1530"/>
      <w:r>
        <w:rPr>
          <w:rFonts w:hint="eastAsia" w:asciiTheme="minorEastAsia" w:hAnsiTheme="minorEastAsia" w:eastAsiaTheme="minorEastAsia" w:cstheme="minorEastAsia"/>
          <w:highlight w:val="none"/>
        </w:rPr>
        <w:t>催告函发出后14天内仍未提供完善资料或没有明确答复，</w:t>
      </w:r>
      <w:bookmarkStart w:id="1531" w:name="REVIEW_BM_1820"/>
      <w:r>
        <w:rPr>
          <w:rFonts w:hint="eastAsia" w:asciiTheme="minorEastAsia" w:hAnsiTheme="minorEastAsia" w:eastAsiaTheme="minorEastAsia" w:cstheme="minorEastAsia"/>
          <w:highlight w:val="none"/>
        </w:rPr>
        <w:t>发包人</w:t>
      </w:r>
      <w:bookmarkEnd w:id="1531"/>
      <w:r>
        <w:rPr>
          <w:rFonts w:hint="eastAsia" w:asciiTheme="minorEastAsia" w:hAnsiTheme="minorEastAsia" w:eastAsiaTheme="minorEastAsia" w:cstheme="minorEastAsia"/>
          <w:highlight w:val="none"/>
        </w:rPr>
        <w:t>有权根据已有资料进行审查，责任由</w:t>
      </w:r>
      <w:bookmarkStart w:id="1532" w:name="REVIEW_BM_1822"/>
      <w:r>
        <w:rPr>
          <w:rFonts w:hint="eastAsia" w:asciiTheme="minorEastAsia" w:hAnsiTheme="minorEastAsia" w:eastAsiaTheme="minorEastAsia" w:cstheme="minorEastAsia"/>
          <w:highlight w:val="none"/>
        </w:rPr>
        <w:t>承包人</w:t>
      </w:r>
      <w:bookmarkEnd w:id="1532"/>
      <w:r>
        <w:rPr>
          <w:rFonts w:hint="eastAsia" w:asciiTheme="minorEastAsia" w:hAnsiTheme="minorEastAsia" w:eastAsiaTheme="minorEastAsia" w:cstheme="minorEastAsia"/>
          <w:highlight w:val="none"/>
        </w:rPr>
        <w:t>自负。</w:t>
      </w:r>
    </w:p>
    <w:p w14:paraId="30061540">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14.4 本工程最终结算价以审计部门按管理规定审定为准，并经双方签字认可后</w:t>
      </w:r>
      <w:r>
        <w:rPr>
          <w:rFonts w:hint="eastAsia" w:asciiTheme="minorEastAsia" w:hAnsiTheme="minorEastAsia" w:eastAsiaTheme="minorEastAsia" w:cstheme="minorEastAsia"/>
          <w:highlight w:val="none"/>
          <w:lang w:eastAsia="zh-CN"/>
        </w:rPr>
        <w:t>3</w:t>
      </w:r>
      <w:r>
        <w:rPr>
          <w:rFonts w:hint="eastAsia" w:asciiTheme="minorEastAsia" w:hAnsiTheme="minorEastAsia" w:eastAsiaTheme="minorEastAsia" w:cstheme="minorEastAsia"/>
          <w:highlight w:val="none"/>
          <w:lang w:val="en-US" w:eastAsia="zh-CN"/>
        </w:rPr>
        <w:t>0</w:t>
      </w:r>
      <w:r>
        <w:rPr>
          <w:rFonts w:hint="eastAsia" w:asciiTheme="minorEastAsia" w:hAnsiTheme="minorEastAsia" w:eastAsiaTheme="minorEastAsia" w:cstheme="minorEastAsia"/>
          <w:highlight w:val="none"/>
        </w:rPr>
        <w:t>天内扣除</w:t>
      </w:r>
      <w:bookmarkStart w:id="1533" w:name="REVIEW_BM_1824"/>
      <w:r>
        <w:rPr>
          <w:rFonts w:hint="eastAsia" w:asciiTheme="minorEastAsia" w:hAnsiTheme="minorEastAsia" w:eastAsiaTheme="minorEastAsia" w:cstheme="minorEastAsia"/>
          <w:highlight w:val="none"/>
        </w:rPr>
        <w:t>质保金</w:t>
      </w:r>
      <w:bookmarkEnd w:id="1533"/>
      <w:r>
        <w:rPr>
          <w:rFonts w:hint="eastAsia" w:asciiTheme="minorEastAsia" w:hAnsiTheme="minorEastAsia" w:eastAsiaTheme="minorEastAsia" w:cstheme="minorEastAsia"/>
          <w:highlight w:val="none"/>
        </w:rPr>
        <w:t>后付清。</w:t>
      </w:r>
      <w:bookmarkStart w:id="1534" w:name="REVIEW_BM_1823"/>
      <w:r>
        <w:rPr>
          <w:rFonts w:hint="eastAsia" w:asciiTheme="minorEastAsia" w:hAnsiTheme="minorEastAsia" w:eastAsiaTheme="minorEastAsia" w:cstheme="minorEastAsia"/>
          <w:highlight w:val="none"/>
        </w:rPr>
        <w:t>承包人</w:t>
      </w:r>
      <w:bookmarkEnd w:id="1534"/>
      <w:r>
        <w:rPr>
          <w:rFonts w:hint="eastAsia" w:asciiTheme="minorEastAsia" w:hAnsiTheme="minorEastAsia" w:eastAsiaTheme="minorEastAsia" w:cstheme="minorEastAsia"/>
          <w:highlight w:val="none"/>
        </w:rPr>
        <w:t>应按本合同约定和国家有关规定如实编制结算文件，不得高估冒算。</w:t>
      </w:r>
    </w:p>
    <w:p w14:paraId="0A5D77B0">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 xml:space="preserve">14.5 </w:t>
      </w:r>
      <w:r>
        <w:rPr>
          <w:rFonts w:hint="eastAsia" w:asciiTheme="minorEastAsia" w:hAnsiTheme="minorEastAsia" w:eastAsiaTheme="minorEastAsia" w:cstheme="minorEastAsia"/>
          <w:highlight w:val="none"/>
        </w:rPr>
        <w:t>本工程最终竣工结算达到《自治区本级财政投资评审实施办法》（桂财办〔2015〕70号）规定评审范围的，需报自治区财政厅财政投资评审中心审定，本工程竣工结算金额以自治区财政厅财政投资评审中心审定为准。</w:t>
      </w:r>
    </w:p>
    <w:p w14:paraId="1891C60A">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lang w:val="en-US" w:eastAsia="zh-CN"/>
        </w:rPr>
        <w:t>14.6</w:t>
      </w:r>
      <w:bookmarkStart w:id="1535" w:name="REVIEW_BM_1827"/>
      <w:r>
        <w:rPr>
          <w:rFonts w:hint="eastAsia" w:asciiTheme="minorEastAsia" w:hAnsiTheme="minorEastAsia" w:eastAsiaTheme="minorEastAsia" w:cstheme="minorEastAsia"/>
          <w:highlight w:val="none"/>
        </w:rPr>
        <w:t>承包人</w:t>
      </w:r>
      <w:bookmarkEnd w:id="1535"/>
      <w:r>
        <w:rPr>
          <w:rFonts w:hint="eastAsia" w:asciiTheme="minorEastAsia" w:hAnsiTheme="minorEastAsia" w:eastAsiaTheme="minorEastAsia" w:cstheme="minorEastAsia"/>
          <w:highlight w:val="none"/>
        </w:rPr>
        <w:t>所编制的工程竣工资料经</w:t>
      </w:r>
      <w:bookmarkStart w:id="1536" w:name="REVIEW_BM_1825"/>
      <w:r>
        <w:rPr>
          <w:rFonts w:hint="eastAsia" w:asciiTheme="minorEastAsia" w:hAnsiTheme="minorEastAsia" w:eastAsiaTheme="minorEastAsia" w:cstheme="minorEastAsia"/>
          <w:highlight w:val="none"/>
        </w:rPr>
        <w:t>发包人</w:t>
      </w:r>
      <w:bookmarkEnd w:id="1536"/>
      <w:r>
        <w:rPr>
          <w:rFonts w:hint="eastAsia" w:asciiTheme="minorEastAsia" w:hAnsiTheme="minorEastAsia" w:eastAsiaTheme="minorEastAsia" w:cstheme="minorEastAsia"/>
          <w:highlight w:val="none"/>
        </w:rPr>
        <w:t>审核后，送到财政部门或</w:t>
      </w:r>
      <w:bookmarkStart w:id="1537" w:name="REVIEW_BM_1826"/>
      <w:r>
        <w:rPr>
          <w:rFonts w:hint="eastAsia" w:asciiTheme="minorEastAsia" w:hAnsiTheme="minorEastAsia" w:eastAsiaTheme="minorEastAsia" w:cstheme="minorEastAsia"/>
          <w:highlight w:val="none"/>
        </w:rPr>
        <w:t>发包人</w:t>
      </w:r>
      <w:bookmarkEnd w:id="1537"/>
      <w:r>
        <w:rPr>
          <w:rFonts w:hint="eastAsia" w:asciiTheme="minorEastAsia" w:hAnsiTheme="minorEastAsia" w:eastAsiaTheme="minorEastAsia" w:cstheme="minorEastAsia"/>
          <w:highlight w:val="none"/>
        </w:rPr>
        <w:t>之日起，</w:t>
      </w:r>
      <w:bookmarkStart w:id="1538" w:name="REVIEW_BM_1828"/>
      <w:r>
        <w:rPr>
          <w:rFonts w:hint="eastAsia" w:asciiTheme="minorEastAsia" w:hAnsiTheme="minorEastAsia" w:eastAsiaTheme="minorEastAsia" w:cstheme="minorEastAsia"/>
          <w:highlight w:val="none"/>
        </w:rPr>
        <w:t>承包人</w:t>
      </w:r>
      <w:bookmarkEnd w:id="1538"/>
      <w:r>
        <w:rPr>
          <w:rFonts w:hint="eastAsia" w:asciiTheme="minorEastAsia" w:hAnsiTheme="minorEastAsia" w:eastAsiaTheme="minorEastAsia" w:cstheme="minorEastAsia"/>
          <w:highlight w:val="none"/>
        </w:rPr>
        <w:t xml:space="preserve">所遗漏的与工程造价有关的签证不再作为结算审核依据，按自动放弃处理。 </w:t>
      </w:r>
    </w:p>
    <w:p w14:paraId="39187EDC">
      <w:pPr>
        <w:bidi w:val="0"/>
        <w:spacing w:line="360" w:lineRule="auto"/>
        <w:ind w:left="0" w:firstLine="420"/>
        <w:rPr>
          <w:rFonts w:hint="eastAsia" w:asciiTheme="minorEastAsia" w:hAnsiTheme="minorEastAsia" w:eastAsiaTheme="minorEastAsia" w:cstheme="minorEastAsia"/>
          <w:highlight w:val="none"/>
          <w:lang w:eastAsia="zh-CN"/>
        </w:rPr>
      </w:pPr>
      <w:r>
        <w:rPr>
          <w:rFonts w:hint="eastAsia" w:asciiTheme="minorEastAsia" w:hAnsiTheme="minorEastAsia" w:eastAsiaTheme="minorEastAsia" w:cstheme="minorEastAsia"/>
          <w:highlight w:val="none"/>
        </w:rPr>
        <w:t>14.</w:t>
      </w:r>
      <w:r>
        <w:rPr>
          <w:rFonts w:hint="eastAsia" w:asciiTheme="minorEastAsia" w:hAnsiTheme="minorEastAsia" w:eastAsiaTheme="minorEastAsia" w:cstheme="minorEastAsia"/>
          <w:highlight w:val="none"/>
          <w:lang w:val="en-US" w:eastAsia="zh-CN"/>
        </w:rPr>
        <w:t>7</w:t>
      </w:r>
      <w:r>
        <w:rPr>
          <w:rFonts w:hint="eastAsia" w:asciiTheme="minorEastAsia" w:hAnsiTheme="minorEastAsia" w:eastAsiaTheme="minorEastAsia" w:cstheme="minorEastAsia"/>
          <w:highlight w:val="none"/>
        </w:rPr>
        <w:t xml:space="preserve"> </w:t>
      </w:r>
      <w:bookmarkStart w:id="1539" w:name="REVIEW_BM_1829"/>
      <w:r>
        <w:rPr>
          <w:rFonts w:hint="eastAsia" w:asciiTheme="minorEastAsia" w:hAnsiTheme="minorEastAsia" w:eastAsiaTheme="minorEastAsia" w:cstheme="minorEastAsia"/>
          <w:highlight w:val="none"/>
        </w:rPr>
        <w:t>承包人</w:t>
      </w:r>
      <w:bookmarkEnd w:id="1539"/>
      <w:r>
        <w:rPr>
          <w:rFonts w:hint="eastAsia" w:asciiTheme="minorEastAsia" w:hAnsiTheme="minorEastAsia" w:eastAsiaTheme="minorEastAsia" w:cstheme="minorEastAsia"/>
          <w:highlight w:val="none"/>
        </w:rPr>
        <w:t>提交的竣工结算书与核对后双方确认的竣工结算书金额相差不得超过6%。如果超过6%，则</w:t>
      </w:r>
      <w:bookmarkStart w:id="1540" w:name="REVIEW_BM_1830"/>
      <w:r>
        <w:rPr>
          <w:rFonts w:hint="eastAsia" w:asciiTheme="minorEastAsia" w:hAnsiTheme="minorEastAsia" w:eastAsiaTheme="minorEastAsia" w:cstheme="minorEastAsia"/>
          <w:highlight w:val="none"/>
        </w:rPr>
        <w:t>承包人</w:t>
      </w:r>
      <w:bookmarkEnd w:id="1540"/>
      <w:r>
        <w:rPr>
          <w:rFonts w:hint="eastAsia" w:asciiTheme="minorEastAsia" w:hAnsiTheme="minorEastAsia" w:eastAsiaTheme="minorEastAsia" w:cstheme="minorEastAsia"/>
          <w:highlight w:val="none"/>
        </w:rPr>
        <w:t>按超出部分（超出结算审定价的6%）的金额的10%直接抵扣工程款</w:t>
      </w:r>
      <w:bookmarkStart w:id="1541" w:name="REVIEW_BM_1831"/>
      <w:r>
        <w:rPr>
          <w:rFonts w:hint="eastAsia" w:asciiTheme="minorEastAsia" w:hAnsiTheme="minorEastAsia" w:eastAsiaTheme="minorEastAsia" w:cstheme="minorEastAsia"/>
          <w:highlight w:val="none"/>
        </w:rPr>
        <w:t>。，</w:t>
      </w:r>
      <w:bookmarkEnd w:id="1541"/>
      <w:r>
        <w:rPr>
          <w:rFonts w:hint="eastAsia" w:asciiTheme="minorEastAsia" w:hAnsiTheme="minorEastAsia" w:eastAsiaTheme="minorEastAsia" w:cstheme="minorEastAsia"/>
          <w:highlight w:val="none"/>
        </w:rPr>
        <w:t>计算公式：扣款金额=送审额×（净核减额/送审额-6%）×10%，净核减额=送审额-审定额。工程结算送审承诺书见合同附件</w:t>
      </w:r>
      <w:r>
        <w:rPr>
          <w:rFonts w:hint="eastAsia" w:asciiTheme="minorEastAsia" w:hAnsiTheme="minorEastAsia" w:eastAsiaTheme="minorEastAsia" w:cstheme="minorEastAsia"/>
          <w:highlight w:val="none"/>
          <w:lang w:val="en-US" w:eastAsia="zh-CN"/>
        </w:rPr>
        <w:t>4</w:t>
      </w:r>
      <w:r>
        <w:rPr>
          <w:rFonts w:hint="eastAsia" w:asciiTheme="minorEastAsia" w:hAnsiTheme="minorEastAsia" w:eastAsiaTheme="minorEastAsia" w:cstheme="minorEastAsia"/>
          <w:highlight w:val="none"/>
          <w:lang w:eastAsia="zh-CN"/>
        </w:rPr>
        <w:t>。</w:t>
      </w:r>
    </w:p>
    <w:p w14:paraId="0980659B">
      <w:pPr>
        <w:bidi w:val="0"/>
        <w:spacing w:line="360" w:lineRule="auto"/>
        <w:ind w:left="0" w:firstLine="420"/>
        <w:rPr>
          <w:rFonts w:hint="eastAsia" w:asciiTheme="minorEastAsia" w:hAnsiTheme="minorEastAsia" w:eastAsiaTheme="minorEastAsia" w:cstheme="minorEastAsia"/>
          <w:highlight w:val="none"/>
        </w:rPr>
      </w:pPr>
      <w:r>
        <w:rPr>
          <w:rFonts w:hint="eastAsia" w:asciiTheme="minorEastAsia" w:hAnsiTheme="minorEastAsia" w:eastAsiaTheme="minorEastAsia" w:cstheme="minorEastAsia"/>
          <w:highlight w:val="none"/>
        </w:rPr>
        <w:t>14.</w:t>
      </w:r>
      <w:r>
        <w:rPr>
          <w:rFonts w:hint="eastAsia" w:asciiTheme="minorEastAsia" w:hAnsiTheme="minorEastAsia" w:eastAsiaTheme="minorEastAsia" w:cstheme="minorEastAsia"/>
          <w:highlight w:val="none"/>
          <w:lang w:val="en-US" w:eastAsia="zh-CN"/>
        </w:rPr>
        <w:t>8</w:t>
      </w:r>
      <w:r>
        <w:rPr>
          <w:rFonts w:hint="eastAsia" w:asciiTheme="minorEastAsia" w:hAnsiTheme="minorEastAsia" w:eastAsiaTheme="minorEastAsia" w:cstheme="minorEastAsia"/>
          <w:highlight w:val="none"/>
        </w:rPr>
        <w:t xml:space="preserve"> </w:t>
      </w:r>
      <w:bookmarkStart w:id="1542" w:name="REVIEW_BM_1832"/>
      <w:r>
        <w:rPr>
          <w:rFonts w:hint="eastAsia" w:asciiTheme="minorEastAsia" w:hAnsiTheme="minorEastAsia" w:eastAsiaTheme="minorEastAsia" w:cstheme="minorEastAsia"/>
          <w:highlight w:val="none"/>
        </w:rPr>
        <w:t>发包人</w:t>
      </w:r>
      <w:bookmarkEnd w:id="1542"/>
      <w:r>
        <w:rPr>
          <w:rFonts w:hint="eastAsia" w:asciiTheme="minorEastAsia" w:hAnsiTheme="minorEastAsia" w:eastAsiaTheme="minorEastAsia" w:cstheme="minorEastAsia"/>
          <w:highlight w:val="none"/>
        </w:rPr>
        <w:t>、承包人均有责任加强对造价的控制，不得随意变更、签证。由变更引起费用的增加超出项目合同金额的10%的，超出部分</w:t>
      </w:r>
      <w:bookmarkStart w:id="1543" w:name="REVIEW_BM_1834"/>
      <w:r>
        <w:rPr>
          <w:rFonts w:hint="eastAsia" w:asciiTheme="minorEastAsia" w:hAnsiTheme="minorEastAsia" w:eastAsiaTheme="minorEastAsia" w:cstheme="minorEastAsia"/>
          <w:highlight w:val="none"/>
        </w:rPr>
        <w:t>承包人</w:t>
      </w:r>
      <w:bookmarkEnd w:id="1543"/>
      <w:r>
        <w:rPr>
          <w:rFonts w:hint="eastAsia" w:asciiTheme="minorEastAsia" w:hAnsiTheme="minorEastAsia" w:eastAsiaTheme="minorEastAsia" w:cstheme="minorEastAsia"/>
          <w:highlight w:val="none"/>
        </w:rPr>
        <w:t>自愿放弃向</w:t>
      </w:r>
      <w:bookmarkStart w:id="1544" w:name="REVIEW_BM_1833"/>
      <w:r>
        <w:rPr>
          <w:rFonts w:hint="eastAsia" w:asciiTheme="minorEastAsia" w:hAnsiTheme="minorEastAsia" w:eastAsiaTheme="minorEastAsia" w:cstheme="minorEastAsia"/>
          <w:highlight w:val="none"/>
        </w:rPr>
        <w:t>发包人</w:t>
      </w:r>
      <w:bookmarkEnd w:id="1544"/>
      <w:r>
        <w:rPr>
          <w:rFonts w:hint="eastAsia" w:asciiTheme="minorEastAsia" w:hAnsiTheme="minorEastAsia" w:eastAsiaTheme="minorEastAsia" w:cstheme="minorEastAsia"/>
          <w:highlight w:val="none"/>
        </w:rPr>
        <w:t>主张结算。</w:t>
      </w:r>
      <w:bookmarkEnd w:id="1513"/>
      <w:bookmarkEnd w:id="1514"/>
      <w:bookmarkEnd w:id="1515"/>
    </w:p>
    <w:p w14:paraId="139016D6">
      <w:pPr>
        <w:bidi w:val="0"/>
        <w:rPr>
          <w:rFonts w:hint="eastAsia"/>
          <w:highlight w:val="none"/>
        </w:rPr>
      </w:pPr>
      <w:r>
        <w:rPr>
          <w:rFonts w:hint="eastAsia"/>
          <w:highlight w:val="none"/>
        </w:rPr>
        <w:t>14.</w:t>
      </w:r>
      <w:r>
        <w:rPr>
          <w:rFonts w:hint="eastAsia"/>
          <w:highlight w:val="none"/>
          <w:lang w:val="en-US" w:eastAsia="zh-CN"/>
        </w:rPr>
        <w:t>9</w:t>
      </w:r>
      <w:r>
        <w:rPr>
          <w:rFonts w:hint="eastAsia"/>
          <w:highlight w:val="none"/>
        </w:rPr>
        <w:t xml:space="preserve"> 竣工付款申请</w:t>
      </w:r>
      <w:bookmarkEnd w:id="1516"/>
      <w:bookmarkEnd w:id="1517"/>
      <w:bookmarkEnd w:id="1518"/>
      <w:bookmarkEnd w:id="1519"/>
      <w:bookmarkEnd w:id="1520"/>
    </w:p>
    <w:p w14:paraId="42CDE300">
      <w:pPr>
        <w:spacing w:line="360" w:lineRule="auto"/>
        <w:ind w:firstLine="420"/>
        <w:jc w:val="left"/>
        <w:rPr>
          <w:rFonts w:hint="eastAsia" w:ascii="宋体" w:hAnsi="宋体" w:cs="宋体"/>
          <w:szCs w:val="21"/>
          <w:highlight w:val="none"/>
        </w:rPr>
      </w:pPr>
      <w:bookmarkStart w:id="1545" w:name="REVIEW_BM_1835"/>
      <w:r>
        <w:rPr>
          <w:rFonts w:hint="eastAsia" w:ascii="宋体" w:hAnsi="宋体" w:cs="宋体"/>
          <w:szCs w:val="21"/>
          <w:highlight w:val="none"/>
        </w:rPr>
        <w:t>承包人</w:t>
      </w:r>
      <w:bookmarkEnd w:id="1545"/>
      <w:r>
        <w:rPr>
          <w:rFonts w:hint="eastAsia" w:ascii="宋体" w:hAnsi="宋体" w:cs="宋体"/>
          <w:szCs w:val="21"/>
          <w:highlight w:val="none"/>
        </w:rPr>
        <w:t>提交竣工付款申请单的期限：</w:t>
      </w:r>
      <w:r>
        <w:rPr>
          <w:rFonts w:hint="eastAsia" w:ascii="宋体" w:hAnsi="宋体" w:cs="宋体"/>
          <w:szCs w:val="21"/>
          <w:highlight w:val="none"/>
          <w:u w:val="single"/>
        </w:rPr>
        <w:t xml:space="preserve">   按通用条款执行   </w:t>
      </w:r>
      <w:r>
        <w:rPr>
          <w:rFonts w:hint="eastAsia" w:ascii="宋体" w:hAnsi="宋体" w:cs="宋体"/>
          <w:szCs w:val="21"/>
          <w:highlight w:val="none"/>
        </w:rPr>
        <w:t>。</w:t>
      </w:r>
    </w:p>
    <w:p w14:paraId="404DDD78">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竣工付款申请单应包括的内容：</w:t>
      </w:r>
      <w:r>
        <w:rPr>
          <w:rFonts w:hint="eastAsia" w:ascii="宋体" w:hAnsi="宋体" w:cs="宋体"/>
          <w:szCs w:val="21"/>
          <w:highlight w:val="none"/>
          <w:u w:val="single"/>
        </w:rPr>
        <w:t xml:space="preserve">   按通用条款执行    </w:t>
      </w:r>
      <w:r>
        <w:rPr>
          <w:rFonts w:hint="eastAsia" w:ascii="宋体" w:hAnsi="宋体" w:cs="宋体"/>
          <w:szCs w:val="21"/>
          <w:highlight w:val="none"/>
        </w:rPr>
        <w:t>。</w:t>
      </w:r>
    </w:p>
    <w:p w14:paraId="67D9761D">
      <w:pPr>
        <w:bidi w:val="0"/>
        <w:rPr>
          <w:rFonts w:hint="eastAsia"/>
          <w:highlight w:val="none"/>
        </w:rPr>
      </w:pPr>
      <w:bookmarkStart w:id="1546" w:name="_Toc373227760"/>
      <w:bookmarkStart w:id="1547" w:name="_Toc407135263"/>
      <w:bookmarkStart w:id="1548" w:name="_Toc487632760"/>
      <w:bookmarkStart w:id="1549" w:name="_Toc389065325"/>
      <w:bookmarkStart w:id="1550" w:name="_Toc373478407"/>
      <w:r>
        <w:rPr>
          <w:rFonts w:hint="eastAsia"/>
          <w:highlight w:val="none"/>
        </w:rPr>
        <w:t>14.</w:t>
      </w:r>
      <w:r>
        <w:rPr>
          <w:rFonts w:hint="eastAsia"/>
          <w:highlight w:val="none"/>
          <w:lang w:val="en-US" w:eastAsia="zh-CN"/>
        </w:rPr>
        <w:t>10</w:t>
      </w:r>
      <w:r>
        <w:rPr>
          <w:rFonts w:hint="eastAsia"/>
          <w:highlight w:val="none"/>
        </w:rPr>
        <w:t xml:space="preserve"> 竣工结算审核</w:t>
      </w:r>
      <w:bookmarkEnd w:id="1546"/>
      <w:bookmarkEnd w:id="1547"/>
      <w:bookmarkEnd w:id="1548"/>
      <w:bookmarkEnd w:id="1549"/>
      <w:bookmarkEnd w:id="1550"/>
    </w:p>
    <w:p w14:paraId="281E19C3">
      <w:pPr>
        <w:spacing w:line="360" w:lineRule="auto"/>
        <w:ind w:firstLine="420"/>
        <w:jc w:val="left"/>
        <w:rPr>
          <w:rFonts w:hint="eastAsia" w:ascii="宋体" w:hAnsi="宋体" w:cs="宋体"/>
          <w:szCs w:val="21"/>
          <w:highlight w:val="none"/>
        </w:rPr>
      </w:pPr>
      <w:bookmarkStart w:id="1551" w:name="REVIEW_BM_1836"/>
      <w:r>
        <w:rPr>
          <w:rFonts w:hint="eastAsia" w:ascii="宋体" w:hAnsi="宋体" w:cs="宋体"/>
          <w:szCs w:val="21"/>
          <w:highlight w:val="none"/>
        </w:rPr>
        <w:t>发包人</w:t>
      </w:r>
      <w:bookmarkEnd w:id="1551"/>
      <w:r>
        <w:rPr>
          <w:rFonts w:hint="eastAsia" w:ascii="宋体" w:hAnsi="宋体" w:cs="宋体"/>
          <w:szCs w:val="21"/>
          <w:highlight w:val="none"/>
        </w:rPr>
        <w:t>审批竣工付款申请单的期限：</w:t>
      </w:r>
      <w:r>
        <w:rPr>
          <w:rFonts w:hint="eastAsia" w:ascii="宋体" w:hAnsi="宋体" w:cs="宋体"/>
          <w:szCs w:val="21"/>
          <w:highlight w:val="none"/>
          <w:u w:val="single"/>
        </w:rPr>
        <w:t xml:space="preserve">  </w:t>
      </w:r>
      <w:bookmarkStart w:id="1552" w:name="REVIEW_BM_1837"/>
      <w:r>
        <w:rPr>
          <w:rFonts w:hint="eastAsia" w:ascii="宋体" w:hAnsi="宋体" w:cs="宋体"/>
          <w:szCs w:val="21"/>
          <w:highlight w:val="none"/>
          <w:u w:val="single"/>
        </w:rPr>
        <w:t>发包人</w:t>
      </w:r>
      <w:bookmarkEnd w:id="1552"/>
      <w:r>
        <w:rPr>
          <w:rFonts w:hint="eastAsia" w:ascii="宋体" w:hAnsi="宋体" w:cs="宋体"/>
          <w:szCs w:val="21"/>
          <w:highlight w:val="none"/>
          <w:u w:val="single"/>
        </w:rPr>
        <w:t>收到</w:t>
      </w:r>
      <w:bookmarkStart w:id="1553" w:name="REVIEW_BM_1839"/>
      <w:r>
        <w:rPr>
          <w:rFonts w:hint="eastAsia" w:ascii="宋体" w:hAnsi="宋体" w:cs="宋体"/>
          <w:szCs w:val="21"/>
          <w:highlight w:val="none"/>
          <w:u w:val="single"/>
        </w:rPr>
        <w:t>承包人</w:t>
      </w:r>
      <w:bookmarkEnd w:id="1553"/>
      <w:r>
        <w:rPr>
          <w:rFonts w:hint="eastAsia" w:ascii="宋体" w:hAnsi="宋体" w:cs="宋体"/>
          <w:szCs w:val="21"/>
          <w:highlight w:val="none"/>
          <w:u w:val="single"/>
        </w:rPr>
        <w:t>交来的竣工结算报告及完整的结算资料30天内</w:t>
      </w:r>
      <w:bookmarkStart w:id="1554" w:name="REVIEW_BM_1841"/>
      <w:r>
        <w:rPr>
          <w:rFonts w:hint="eastAsia" w:ascii="宋体" w:hAnsi="宋体" w:cs="宋体"/>
          <w:szCs w:val="21"/>
          <w:highlight w:val="none"/>
          <w:u w:val="single"/>
        </w:rPr>
        <w:t>,</w:t>
      </w:r>
      <w:bookmarkEnd w:id="1554"/>
      <w:r>
        <w:rPr>
          <w:rFonts w:hint="eastAsia" w:ascii="宋体" w:hAnsi="宋体" w:cs="宋体"/>
          <w:szCs w:val="21"/>
          <w:highlight w:val="none"/>
          <w:u w:val="single"/>
        </w:rPr>
        <w:t>进行核实和送交审计部门进行工程结算审计，工程竣工结算经有关审计部门审定合格后30天内，</w:t>
      </w:r>
      <w:bookmarkStart w:id="1555" w:name="REVIEW_BM_1838"/>
      <w:r>
        <w:rPr>
          <w:rFonts w:hint="eastAsia" w:ascii="宋体" w:hAnsi="宋体" w:cs="宋体"/>
          <w:szCs w:val="21"/>
          <w:highlight w:val="none"/>
          <w:u w:val="single"/>
        </w:rPr>
        <w:t>发包人</w:t>
      </w:r>
      <w:bookmarkEnd w:id="1555"/>
      <w:r>
        <w:rPr>
          <w:rFonts w:hint="eastAsia" w:ascii="宋体" w:hAnsi="宋体" w:cs="宋体"/>
          <w:szCs w:val="21"/>
          <w:highlight w:val="none"/>
          <w:u w:val="single"/>
        </w:rPr>
        <w:t>办理竣工结算付款手续，支付</w:t>
      </w:r>
      <w:bookmarkStart w:id="1556" w:name="REVIEW_BM_1840"/>
      <w:r>
        <w:rPr>
          <w:rFonts w:hint="eastAsia" w:ascii="宋体" w:hAnsi="宋体" w:cs="宋体"/>
          <w:szCs w:val="21"/>
          <w:highlight w:val="none"/>
          <w:u w:val="single"/>
        </w:rPr>
        <w:t>承包人</w:t>
      </w:r>
      <w:bookmarkEnd w:id="1556"/>
      <w:r>
        <w:rPr>
          <w:rFonts w:hint="eastAsia" w:ascii="宋体" w:hAnsi="宋体" w:cs="宋体"/>
          <w:szCs w:val="21"/>
          <w:highlight w:val="none"/>
          <w:u w:val="single"/>
        </w:rPr>
        <w:t xml:space="preserve">工程结算款  </w:t>
      </w:r>
      <w:r>
        <w:rPr>
          <w:rFonts w:hint="eastAsia" w:ascii="宋体" w:hAnsi="宋体" w:cs="宋体"/>
          <w:szCs w:val="21"/>
          <w:highlight w:val="none"/>
        </w:rPr>
        <w:t>。</w:t>
      </w:r>
    </w:p>
    <w:p w14:paraId="33A9961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因</w:t>
      </w:r>
      <w:bookmarkStart w:id="1557" w:name="REVIEW_BM_1842"/>
      <w:r>
        <w:rPr>
          <w:rFonts w:hint="eastAsia" w:ascii="宋体" w:hAnsi="宋体" w:cs="宋体"/>
          <w:szCs w:val="21"/>
          <w:highlight w:val="none"/>
        </w:rPr>
        <w:t>承包人</w:t>
      </w:r>
      <w:bookmarkEnd w:id="1557"/>
      <w:r>
        <w:rPr>
          <w:rFonts w:hint="eastAsia" w:ascii="宋体" w:hAnsi="宋体" w:cs="宋体"/>
          <w:szCs w:val="21"/>
          <w:highlight w:val="none"/>
        </w:rPr>
        <w:t>提供的结算资料不完整而需要补充或</w:t>
      </w:r>
      <w:bookmarkStart w:id="1558" w:name="REVIEW_BM_1843"/>
      <w:r>
        <w:rPr>
          <w:rFonts w:hint="eastAsia" w:ascii="宋体" w:hAnsi="宋体" w:cs="宋体"/>
          <w:szCs w:val="21"/>
          <w:highlight w:val="none"/>
        </w:rPr>
        <w:t>承包人</w:t>
      </w:r>
      <w:bookmarkEnd w:id="1558"/>
      <w:r>
        <w:rPr>
          <w:rFonts w:hint="eastAsia" w:ascii="宋体" w:hAnsi="宋体" w:cs="宋体"/>
          <w:szCs w:val="21"/>
          <w:highlight w:val="none"/>
        </w:rPr>
        <w:t>不按时对账耽误时间时，审查时间应相应顺延。</w:t>
      </w:r>
    </w:p>
    <w:p w14:paraId="6E809A16">
      <w:pPr>
        <w:spacing w:line="360" w:lineRule="auto"/>
        <w:ind w:firstLine="411"/>
        <w:rPr>
          <w:rFonts w:hint="eastAsia" w:ascii="宋体" w:hAnsi="宋体" w:cs="宋体"/>
          <w:szCs w:val="21"/>
          <w:highlight w:val="none"/>
        </w:rPr>
      </w:pPr>
      <w:r>
        <w:rPr>
          <w:rFonts w:hint="eastAsia" w:ascii="宋体" w:hAnsi="宋体" w:cs="宋体"/>
          <w:szCs w:val="21"/>
          <w:highlight w:val="none"/>
        </w:rPr>
        <w:t>结算审核约定：</w:t>
      </w:r>
    </w:p>
    <w:p w14:paraId="0C641443">
      <w:pPr>
        <w:spacing w:line="360" w:lineRule="auto"/>
        <w:ind w:firstLine="420"/>
        <w:jc w:val="left"/>
        <w:rPr>
          <w:rFonts w:hint="eastAsia" w:ascii="宋体" w:hAnsi="宋体" w:cs="宋体"/>
          <w:szCs w:val="21"/>
          <w:highlight w:val="none"/>
        </w:rPr>
      </w:pPr>
      <w:bookmarkStart w:id="1559" w:name="REVIEW_BM_1844"/>
      <w:r>
        <w:rPr>
          <w:rFonts w:hint="eastAsia" w:ascii="宋体" w:hAnsi="宋体" w:cs="宋体"/>
          <w:szCs w:val="21"/>
          <w:highlight w:val="none"/>
        </w:rPr>
        <w:t>发包人</w:t>
      </w:r>
      <w:bookmarkEnd w:id="1559"/>
      <w:r>
        <w:rPr>
          <w:rFonts w:hint="eastAsia" w:ascii="宋体" w:hAnsi="宋体" w:cs="宋体"/>
          <w:szCs w:val="21"/>
          <w:highlight w:val="none"/>
        </w:rPr>
        <w:t>完成竣工付款的期限：</w:t>
      </w:r>
      <w:r>
        <w:rPr>
          <w:rFonts w:hint="eastAsia" w:ascii="宋体" w:hAnsi="宋体" w:cs="宋体"/>
          <w:szCs w:val="21"/>
          <w:highlight w:val="none"/>
          <w:u w:val="single"/>
        </w:rPr>
        <w:t>按通用条款执行</w:t>
      </w:r>
      <w:r>
        <w:rPr>
          <w:rFonts w:hint="eastAsia" w:ascii="宋体" w:hAnsi="宋体" w:cs="宋体"/>
          <w:szCs w:val="21"/>
          <w:highlight w:val="none"/>
        </w:rPr>
        <w:t>。</w:t>
      </w:r>
    </w:p>
    <w:p w14:paraId="3102A27C">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关于竣工付款证书异议部分复核的方式和程序：</w:t>
      </w:r>
      <w:r>
        <w:rPr>
          <w:rFonts w:hint="eastAsia" w:ascii="宋体" w:hAnsi="宋体" w:cs="宋体"/>
          <w:szCs w:val="21"/>
          <w:highlight w:val="none"/>
          <w:u w:val="single"/>
        </w:rPr>
        <w:t>按通用条款执行</w:t>
      </w:r>
      <w:r>
        <w:rPr>
          <w:rFonts w:hint="eastAsia" w:ascii="宋体" w:hAnsi="宋体" w:cs="宋体"/>
          <w:szCs w:val="21"/>
          <w:highlight w:val="none"/>
        </w:rPr>
        <w:t>。</w:t>
      </w:r>
    </w:p>
    <w:p w14:paraId="5DAB5048">
      <w:pPr>
        <w:bidi w:val="0"/>
        <w:rPr>
          <w:rFonts w:hint="eastAsia"/>
          <w:highlight w:val="none"/>
        </w:rPr>
      </w:pPr>
      <w:bookmarkStart w:id="1560" w:name="_Toc487632761"/>
      <w:bookmarkStart w:id="1561" w:name="_Toc389065326"/>
      <w:bookmarkStart w:id="1562" w:name="_Toc373478408"/>
      <w:bookmarkStart w:id="1563" w:name="_Toc373227761"/>
      <w:bookmarkStart w:id="1564" w:name="_Toc407135264"/>
      <w:r>
        <w:rPr>
          <w:rFonts w:hint="eastAsia"/>
          <w:highlight w:val="none"/>
        </w:rPr>
        <w:t>14.</w:t>
      </w:r>
      <w:r>
        <w:rPr>
          <w:rFonts w:hint="eastAsia"/>
          <w:highlight w:val="none"/>
          <w:lang w:val="en-US" w:eastAsia="zh-CN"/>
        </w:rPr>
        <w:t>11</w:t>
      </w:r>
      <w:r>
        <w:rPr>
          <w:rFonts w:hint="eastAsia"/>
          <w:highlight w:val="none"/>
        </w:rPr>
        <w:t xml:space="preserve"> 最终结清</w:t>
      </w:r>
      <w:bookmarkEnd w:id="1560"/>
      <w:bookmarkEnd w:id="1561"/>
      <w:bookmarkEnd w:id="1562"/>
      <w:bookmarkEnd w:id="1563"/>
      <w:bookmarkEnd w:id="1564"/>
    </w:p>
    <w:p w14:paraId="3C856C9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14.11.1 最终结清申请单</w:t>
      </w:r>
    </w:p>
    <w:p w14:paraId="2F988C51">
      <w:pPr>
        <w:spacing w:line="360" w:lineRule="auto"/>
        <w:ind w:firstLine="420"/>
        <w:jc w:val="left"/>
        <w:rPr>
          <w:rFonts w:hint="eastAsia" w:ascii="宋体" w:hAnsi="宋体" w:cs="宋体"/>
          <w:szCs w:val="21"/>
          <w:highlight w:val="none"/>
        </w:rPr>
      </w:pPr>
      <w:bookmarkStart w:id="1565" w:name="REVIEW_BM_1845"/>
      <w:r>
        <w:rPr>
          <w:rFonts w:hint="eastAsia" w:ascii="宋体" w:hAnsi="宋体" w:cs="宋体"/>
          <w:szCs w:val="21"/>
          <w:highlight w:val="none"/>
        </w:rPr>
        <w:t>承包人</w:t>
      </w:r>
      <w:bookmarkEnd w:id="1565"/>
      <w:r>
        <w:rPr>
          <w:rFonts w:hint="eastAsia" w:ascii="宋体" w:hAnsi="宋体" w:cs="宋体"/>
          <w:szCs w:val="21"/>
          <w:highlight w:val="none"/>
        </w:rPr>
        <w:t>提交最终结清申请单的份数：一式五份。</w:t>
      </w:r>
    </w:p>
    <w:p w14:paraId="382BB1A1">
      <w:pPr>
        <w:spacing w:line="360" w:lineRule="auto"/>
        <w:ind w:firstLine="420"/>
        <w:jc w:val="left"/>
        <w:rPr>
          <w:rFonts w:hint="eastAsia" w:ascii="宋体" w:hAnsi="宋体" w:cs="宋体"/>
          <w:szCs w:val="21"/>
          <w:highlight w:val="none"/>
        </w:rPr>
      </w:pPr>
      <w:bookmarkStart w:id="1566" w:name="REVIEW_BM_1846"/>
      <w:r>
        <w:rPr>
          <w:rFonts w:hint="eastAsia" w:ascii="宋体" w:hAnsi="宋体" w:cs="宋体"/>
          <w:szCs w:val="21"/>
          <w:highlight w:val="none"/>
        </w:rPr>
        <w:t>承包人</w:t>
      </w:r>
      <w:bookmarkEnd w:id="1566"/>
      <w:r>
        <w:rPr>
          <w:rFonts w:hint="eastAsia" w:ascii="宋体" w:hAnsi="宋体" w:cs="宋体"/>
          <w:szCs w:val="21"/>
          <w:highlight w:val="none"/>
        </w:rPr>
        <w:t xml:space="preserve">提交最终结算申请单的期限：按通用合同条款14.4.2执行。 </w:t>
      </w:r>
    </w:p>
    <w:p w14:paraId="2B9A18A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14.11.2 最终结清证书和支付</w:t>
      </w:r>
    </w:p>
    <w:p w14:paraId="3EA3EE1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567" w:name="REVIEW_BM_1847"/>
      <w:r>
        <w:rPr>
          <w:rFonts w:hint="eastAsia" w:ascii="宋体" w:hAnsi="宋体" w:cs="宋体"/>
          <w:szCs w:val="21"/>
          <w:highlight w:val="none"/>
        </w:rPr>
        <w:t>发包人</w:t>
      </w:r>
      <w:bookmarkEnd w:id="1567"/>
      <w:r>
        <w:rPr>
          <w:rFonts w:hint="eastAsia" w:ascii="宋体" w:hAnsi="宋体" w:cs="宋体"/>
          <w:szCs w:val="21"/>
          <w:highlight w:val="none"/>
        </w:rPr>
        <w:t>完成最终结清申请单的审批并颁发最终结清证书的期限：按通用合同条款14.4.2执行。</w:t>
      </w:r>
    </w:p>
    <w:p w14:paraId="1B6968A8">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bookmarkStart w:id="1568" w:name="REVIEW_BM_1848"/>
      <w:r>
        <w:rPr>
          <w:rFonts w:hint="eastAsia" w:ascii="宋体" w:hAnsi="宋体" w:cs="宋体"/>
          <w:szCs w:val="21"/>
          <w:highlight w:val="none"/>
        </w:rPr>
        <w:t>发包人</w:t>
      </w:r>
      <w:bookmarkEnd w:id="1568"/>
      <w:r>
        <w:rPr>
          <w:rFonts w:hint="eastAsia" w:ascii="宋体" w:hAnsi="宋体" w:cs="宋体"/>
          <w:szCs w:val="21"/>
          <w:highlight w:val="none"/>
        </w:rPr>
        <w:t>完成支付的期限：按通用合同条款14.4.2执行</w:t>
      </w:r>
      <w:bookmarkStart w:id="1569" w:name="REVIEW_BM_1849"/>
      <w:r>
        <w:rPr>
          <w:rFonts w:hint="eastAsia" w:ascii="宋体" w:hAnsi="宋体" w:cs="宋体"/>
          <w:szCs w:val="21"/>
          <w:highlight w:val="none"/>
        </w:rPr>
        <w:t>。。</w:t>
      </w:r>
      <w:bookmarkEnd w:id="1457"/>
      <w:bookmarkEnd w:id="1458"/>
      <w:bookmarkEnd w:id="1459"/>
      <w:bookmarkEnd w:id="1460"/>
      <w:bookmarkEnd w:id="1461"/>
      <w:bookmarkEnd w:id="1462"/>
      <w:bookmarkEnd w:id="1463"/>
      <w:bookmarkEnd w:id="1469"/>
      <w:bookmarkEnd w:id="1569"/>
    </w:p>
    <w:p w14:paraId="611C25F6">
      <w:pPr>
        <w:pStyle w:val="6"/>
        <w:bidi w:val="0"/>
        <w:rPr>
          <w:rFonts w:hint="eastAsia"/>
          <w:highlight w:val="none"/>
        </w:rPr>
      </w:pPr>
      <w:bookmarkStart w:id="1570" w:name="_Toc373478409"/>
      <w:bookmarkStart w:id="1571" w:name="_Toc351203647"/>
      <w:bookmarkStart w:id="1572" w:name="_Toc389065327"/>
      <w:bookmarkStart w:id="1573" w:name="_Toc487632762"/>
      <w:bookmarkStart w:id="1574" w:name="_Toc407135265"/>
      <w:bookmarkStart w:id="1575" w:name="_Toc373227762"/>
      <w:bookmarkStart w:id="1576" w:name="_Toc267251483"/>
      <w:bookmarkStart w:id="1577" w:name="_Toc267251482"/>
      <w:bookmarkStart w:id="1578" w:name="_Toc267251484"/>
      <w:bookmarkStart w:id="1579" w:name="_Toc267251485"/>
      <w:bookmarkStart w:id="1580" w:name="_Toc267251488"/>
      <w:bookmarkStart w:id="1581" w:name="_Toc267251486"/>
      <w:bookmarkStart w:id="1582" w:name="_Toc267251489"/>
      <w:bookmarkStart w:id="1583" w:name="_Toc267251490"/>
      <w:bookmarkStart w:id="1584" w:name="_Toc267251495"/>
      <w:bookmarkStart w:id="1585" w:name="_Toc267251491"/>
      <w:bookmarkStart w:id="1586" w:name="_Toc267251501"/>
      <w:bookmarkStart w:id="1587" w:name="_Toc267251492"/>
      <w:bookmarkStart w:id="1588" w:name="_Toc267251493"/>
      <w:bookmarkStart w:id="1589" w:name="_Toc267251499"/>
      <w:bookmarkStart w:id="1590" w:name="_Toc267251496"/>
      <w:bookmarkStart w:id="1591" w:name="_Toc267251497"/>
      <w:bookmarkStart w:id="1592" w:name="_Toc267251498"/>
      <w:bookmarkStart w:id="1593" w:name="_Toc267251502"/>
      <w:bookmarkStart w:id="1594" w:name="_Toc267251503"/>
      <w:bookmarkStart w:id="1595" w:name="_Toc267251494"/>
      <w:bookmarkStart w:id="1596" w:name="_Toc267251504"/>
      <w:bookmarkStart w:id="1597" w:name="_Toc267251506"/>
      <w:bookmarkStart w:id="1598" w:name="_Toc267251507"/>
      <w:bookmarkStart w:id="1599" w:name="_Toc267251508"/>
      <w:bookmarkStart w:id="1600" w:name="_Toc267251511"/>
      <w:bookmarkStart w:id="1601" w:name="_Toc267251513"/>
      <w:bookmarkStart w:id="1602" w:name="_Toc267251515"/>
      <w:bookmarkStart w:id="1603" w:name="_Toc267251514"/>
      <w:bookmarkStart w:id="1604" w:name="_Toc267251509"/>
      <w:bookmarkStart w:id="1605" w:name="_Toc267251510"/>
      <w:r>
        <w:rPr>
          <w:rFonts w:hint="eastAsia"/>
          <w:highlight w:val="none"/>
        </w:rPr>
        <w:t>15. 缺陷责任期与保修</w:t>
      </w:r>
      <w:bookmarkEnd w:id="1570"/>
      <w:bookmarkEnd w:id="1571"/>
      <w:bookmarkEnd w:id="1572"/>
      <w:bookmarkEnd w:id="1573"/>
      <w:bookmarkEnd w:id="1574"/>
      <w:bookmarkEnd w:id="1575"/>
    </w:p>
    <w:p w14:paraId="3B7A9CDF">
      <w:pPr>
        <w:bidi w:val="0"/>
        <w:rPr>
          <w:rFonts w:hint="eastAsia"/>
          <w:highlight w:val="none"/>
        </w:rPr>
      </w:pPr>
      <w:bookmarkStart w:id="1606" w:name="_Toc487632763"/>
      <w:bookmarkStart w:id="1607" w:name="_Toc373227763"/>
      <w:bookmarkStart w:id="1608" w:name="_Toc407135266"/>
      <w:bookmarkStart w:id="1609" w:name="_Toc389065328"/>
      <w:bookmarkStart w:id="1610" w:name="_Toc373478410"/>
      <w:r>
        <w:rPr>
          <w:rFonts w:hint="eastAsia"/>
          <w:highlight w:val="none"/>
        </w:rPr>
        <w:t>15.2 缺陷责任期</w:t>
      </w:r>
      <w:bookmarkEnd w:id="1576"/>
      <w:bookmarkEnd w:id="1606"/>
      <w:bookmarkEnd w:id="1607"/>
      <w:bookmarkEnd w:id="1608"/>
      <w:bookmarkEnd w:id="1609"/>
      <w:bookmarkEnd w:id="1610"/>
    </w:p>
    <w:p w14:paraId="0D7655BD">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缺陷责任期的具体期限：</w:t>
      </w:r>
      <w:r>
        <w:rPr>
          <w:rFonts w:hint="eastAsia" w:ascii="宋体" w:hAnsi="宋体" w:cs="宋体"/>
          <w:szCs w:val="21"/>
          <w:highlight w:val="none"/>
          <w:u w:val="single"/>
        </w:rPr>
        <w:t xml:space="preserve">    自实际竣工日期起 24 月   </w:t>
      </w:r>
      <w:r>
        <w:rPr>
          <w:rFonts w:hint="eastAsia" w:ascii="宋体" w:hAnsi="宋体" w:cs="宋体"/>
          <w:szCs w:val="21"/>
          <w:highlight w:val="none"/>
        </w:rPr>
        <w:t>。</w:t>
      </w:r>
    </w:p>
    <w:p w14:paraId="48D3E146">
      <w:pPr>
        <w:bidi w:val="0"/>
        <w:rPr>
          <w:rFonts w:hint="eastAsia"/>
          <w:highlight w:val="none"/>
        </w:rPr>
      </w:pPr>
      <w:bookmarkStart w:id="1611" w:name="_Toc373478411"/>
      <w:bookmarkStart w:id="1612" w:name="_Toc487632764"/>
      <w:bookmarkStart w:id="1613" w:name="_Toc407135267"/>
      <w:bookmarkStart w:id="1614" w:name="_Toc373227764"/>
      <w:bookmarkStart w:id="1615" w:name="_Toc389065329"/>
      <w:r>
        <w:rPr>
          <w:rFonts w:hint="eastAsia"/>
          <w:highlight w:val="none"/>
        </w:rPr>
        <w:t xml:space="preserve">15.3 </w:t>
      </w:r>
      <w:bookmarkStart w:id="1616" w:name="REVIEW_BM_1850"/>
      <w:r>
        <w:rPr>
          <w:rFonts w:hint="eastAsia"/>
          <w:highlight w:val="none"/>
        </w:rPr>
        <w:t>质量保证金</w:t>
      </w:r>
      <w:bookmarkEnd w:id="1611"/>
      <w:bookmarkEnd w:id="1612"/>
      <w:bookmarkEnd w:id="1613"/>
      <w:bookmarkEnd w:id="1614"/>
      <w:bookmarkEnd w:id="1615"/>
      <w:bookmarkEnd w:id="1616"/>
    </w:p>
    <w:p w14:paraId="3163F95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关于是否扣留质量保证金的约定：</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 xml:space="preserve">是  </w:t>
      </w:r>
      <w:r>
        <w:rPr>
          <w:rFonts w:hint="eastAsia" w:ascii="宋体" w:hAnsi="宋体" w:cs="宋体"/>
          <w:szCs w:val="21"/>
          <w:highlight w:val="none"/>
          <w:u w:val="single"/>
        </w:rPr>
        <w:t xml:space="preserve">  </w:t>
      </w:r>
      <w:r>
        <w:rPr>
          <w:rFonts w:hint="eastAsia" w:ascii="宋体" w:hAnsi="宋体" w:cs="宋体"/>
          <w:szCs w:val="21"/>
          <w:highlight w:val="none"/>
        </w:rPr>
        <w:t>。</w:t>
      </w:r>
    </w:p>
    <w:p w14:paraId="580042D9">
      <w:pPr>
        <w:bidi w:val="0"/>
        <w:rPr>
          <w:rFonts w:hint="eastAsia"/>
          <w:highlight w:val="none"/>
        </w:rPr>
      </w:pPr>
      <w:r>
        <w:rPr>
          <w:rFonts w:hint="eastAsia"/>
          <w:highlight w:val="none"/>
        </w:rPr>
        <w:t xml:space="preserve">15.3.1 </w:t>
      </w:r>
      <w:bookmarkStart w:id="1617" w:name="REVIEW_BM_1851"/>
      <w:r>
        <w:rPr>
          <w:rFonts w:hint="eastAsia"/>
          <w:highlight w:val="none"/>
        </w:rPr>
        <w:t>承包人</w:t>
      </w:r>
      <w:bookmarkEnd w:id="1617"/>
      <w:r>
        <w:rPr>
          <w:rFonts w:hint="eastAsia"/>
          <w:highlight w:val="none"/>
        </w:rPr>
        <w:t>提供质量保证金的方式</w:t>
      </w:r>
    </w:p>
    <w:p w14:paraId="01509D1E">
      <w:pPr>
        <w:spacing w:line="360" w:lineRule="auto"/>
        <w:ind w:firstLine="420"/>
        <w:jc w:val="left"/>
        <w:rPr>
          <w:rFonts w:hint="eastAsia" w:ascii="宋体" w:hAnsi="宋体" w:cs="宋体"/>
          <w:szCs w:val="21"/>
          <w:highlight w:val="none"/>
        </w:rPr>
      </w:pPr>
      <w:bookmarkStart w:id="1618" w:name="REVIEW_BM_1852"/>
      <w:r>
        <w:rPr>
          <w:rFonts w:hint="eastAsia" w:ascii="宋体" w:hAnsi="宋体" w:cs="宋体"/>
          <w:szCs w:val="21"/>
          <w:highlight w:val="none"/>
        </w:rPr>
        <w:t>质量保证金</w:t>
      </w:r>
      <w:bookmarkEnd w:id="1618"/>
      <w:r>
        <w:rPr>
          <w:rFonts w:hint="eastAsia" w:ascii="宋体" w:hAnsi="宋体" w:cs="宋体"/>
          <w:szCs w:val="21"/>
          <w:highlight w:val="none"/>
        </w:rPr>
        <w:t>采用以下第</w:t>
      </w:r>
      <w:r>
        <w:rPr>
          <w:rFonts w:hint="eastAsia" w:ascii="宋体" w:hAnsi="宋体" w:cs="宋体"/>
          <w:szCs w:val="21"/>
          <w:highlight w:val="none"/>
          <w:u w:val="single"/>
        </w:rPr>
        <w:t xml:space="preserve">  2   </w:t>
      </w:r>
      <w:r>
        <w:rPr>
          <w:rFonts w:hint="eastAsia" w:ascii="宋体" w:hAnsi="宋体" w:cs="宋体"/>
          <w:szCs w:val="21"/>
          <w:highlight w:val="none"/>
        </w:rPr>
        <w:t>种方式：</w:t>
      </w:r>
    </w:p>
    <w:p w14:paraId="2339A5B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619" w:name="REVIEW_BM_1853"/>
      <w:r>
        <w:rPr>
          <w:rFonts w:hint="eastAsia" w:ascii="宋体" w:hAnsi="宋体" w:cs="宋体"/>
          <w:szCs w:val="21"/>
          <w:highlight w:val="none"/>
        </w:rPr>
        <w:t>质量保证金</w:t>
      </w:r>
      <w:bookmarkEnd w:id="1619"/>
      <w:r>
        <w:rPr>
          <w:rFonts w:hint="eastAsia" w:ascii="宋体" w:hAnsi="宋体" w:cs="宋体"/>
          <w:szCs w:val="21"/>
          <w:highlight w:val="none"/>
        </w:rPr>
        <w:t>保函，保证金额为：</w:t>
      </w:r>
      <w:r>
        <w:rPr>
          <w:rFonts w:hint="eastAsia" w:ascii="宋体" w:hAnsi="宋体" w:cs="宋体"/>
          <w:szCs w:val="21"/>
          <w:highlight w:val="none"/>
          <w:u w:val="single"/>
        </w:rPr>
        <w:t xml:space="preserve">     /    </w:t>
      </w:r>
      <w:r>
        <w:rPr>
          <w:rFonts w:hint="eastAsia" w:ascii="宋体" w:hAnsi="宋体" w:cs="宋体"/>
          <w:szCs w:val="21"/>
          <w:highlight w:val="none"/>
        </w:rPr>
        <w:t>；</w:t>
      </w:r>
    </w:p>
    <w:p w14:paraId="4ABAF1F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bookmarkStart w:id="1620" w:name="REVIEW_BM_1855"/>
      <w:r>
        <w:rPr>
          <w:rFonts w:hint="eastAsia" w:ascii="宋体" w:hAnsi="宋体" w:cs="宋体"/>
          <w:szCs w:val="21"/>
          <w:highlight w:val="none"/>
        </w:rPr>
        <w:t>发包人</w:t>
      </w:r>
      <w:bookmarkEnd w:id="1620"/>
      <w:r>
        <w:rPr>
          <w:rFonts w:hint="eastAsia" w:ascii="宋体" w:hAnsi="宋体" w:cs="宋体"/>
          <w:szCs w:val="21"/>
          <w:highlight w:val="none"/>
        </w:rPr>
        <w:t>按工程价款结算总额的</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3</w:t>
      </w:r>
      <w:r>
        <w:rPr>
          <w:rFonts w:hint="eastAsia" w:ascii="宋体" w:hAnsi="宋体" w:cs="宋体"/>
          <w:szCs w:val="21"/>
          <w:highlight w:val="none"/>
          <w:u w:val="single"/>
        </w:rPr>
        <w:t xml:space="preserve">  </w:t>
      </w:r>
      <w:r>
        <w:rPr>
          <w:rFonts w:hint="eastAsia" w:ascii="宋体" w:hAnsi="宋体" w:cs="宋体"/>
          <w:szCs w:val="21"/>
          <w:highlight w:val="none"/>
        </w:rPr>
        <w:t>%（不得超过3%）预留</w:t>
      </w:r>
      <w:bookmarkStart w:id="1621" w:name="REVIEW_BM_1854"/>
      <w:r>
        <w:rPr>
          <w:rFonts w:hint="eastAsia" w:ascii="宋体" w:hAnsi="宋体" w:cs="宋体"/>
          <w:szCs w:val="21"/>
          <w:highlight w:val="none"/>
        </w:rPr>
        <w:t>工程质量保修金</w:t>
      </w:r>
      <w:bookmarkEnd w:id="1621"/>
      <w:r>
        <w:rPr>
          <w:rFonts w:hint="eastAsia" w:ascii="宋体" w:hAnsi="宋体" w:cs="宋体"/>
          <w:szCs w:val="21"/>
          <w:highlight w:val="none"/>
        </w:rPr>
        <w:t>，待缺陷责任期满后7个工作日内一次性无息退还保证金给成交供应商。</w:t>
      </w:r>
      <w:r>
        <w:rPr>
          <w:rFonts w:hint="eastAsia" w:ascii="宋体" w:hAnsi="宋体" w:cs="宋体"/>
          <w:szCs w:val="21"/>
          <w:highlight w:val="none"/>
          <w:u w:val="single"/>
        </w:rPr>
        <w:t>最后结算金额以采购人聘任的社会中介机构或自治区财政厅财政投资评审中心审核为准</w:t>
      </w:r>
      <w:r>
        <w:rPr>
          <w:rFonts w:hint="eastAsia" w:ascii="宋体" w:hAnsi="宋体" w:cs="宋体"/>
          <w:szCs w:val="21"/>
          <w:highlight w:val="none"/>
        </w:rPr>
        <w:t>。是否付息及利息计算方式为：</w:t>
      </w:r>
      <w:r>
        <w:rPr>
          <w:rFonts w:hint="eastAsia" w:ascii="宋体" w:hAnsi="宋体" w:cs="宋体"/>
          <w:szCs w:val="21"/>
          <w:highlight w:val="none"/>
          <w:u w:val="single"/>
        </w:rPr>
        <w:t xml:space="preserve">      无息      </w:t>
      </w:r>
      <w:r>
        <w:rPr>
          <w:rFonts w:hint="eastAsia" w:ascii="宋体" w:hAnsi="宋体" w:cs="宋体"/>
          <w:szCs w:val="21"/>
          <w:highlight w:val="none"/>
        </w:rPr>
        <w:t>；</w:t>
      </w:r>
    </w:p>
    <w:p w14:paraId="2CC0FF5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（3）其他方式：</w:t>
      </w:r>
      <w:r>
        <w:rPr>
          <w:rFonts w:hint="eastAsia" w:ascii="宋体" w:hAnsi="宋体" w:cs="宋体"/>
          <w:szCs w:val="21"/>
          <w:highlight w:val="none"/>
          <w:u w:val="single"/>
        </w:rPr>
        <w:t xml:space="preserve">      /       </w:t>
      </w:r>
      <w:r>
        <w:rPr>
          <w:rFonts w:hint="eastAsia" w:ascii="宋体" w:hAnsi="宋体" w:cs="宋体"/>
          <w:szCs w:val="21"/>
          <w:highlight w:val="none"/>
        </w:rPr>
        <w:t>。</w:t>
      </w:r>
    </w:p>
    <w:p w14:paraId="16E7B7F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15.3.2 质量保证金的扣留</w:t>
      </w:r>
    </w:p>
    <w:p w14:paraId="77559B6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质量保证金的扣留采取以下第</w:t>
      </w:r>
      <w:r>
        <w:rPr>
          <w:rFonts w:hint="eastAsia" w:ascii="宋体" w:hAnsi="宋体" w:cs="宋体"/>
          <w:szCs w:val="21"/>
          <w:highlight w:val="none"/>
          <w:u w:val="single"/>
        </w:rPr>
        <w:t xml:space="preserve">  （2）   </w:t>
      </w:r>
      <w:r>
        <w:rPr>
          <w:rFonts w:hint="eastAsia" w:ascii="宋体" w:hAnsi="宋体" w:cs="宋体"/>
          <w:szCs w:val="21"/>
          <w:highlight w:val="none"/>
        </w:rPr>
        <w:t>种方式：</w:t>
      </w:r>
    </w:p>
    <w:p w14:paraId="341CD5A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（1）在支付工程进度款时逐次扣留，在此情形下，</w:t>
      </w:r>
      <w:bookmarkStart w:id="1622" w:name="REVIEW_BM_1856"/>
      <w:r>
        <w:rPr>
          <w:rFonts w:hint="eastAsia" w:ascii="宋体" w:hAnsi="宋体" w:cs="宋体"/>
          <w:szCs w:val="21"/>
          <w:highlight w:val="none"/>
        </w:rPr>
        <w:t>质量保证金</w:t>
      </w:r>
      <w:bookmarkEnd w:id="1622"/>
      <w:r>
        <w:rPr>
          <w:rFonts w:hint="eastAsia" w:ascii="宋体" w:hAnsi="宋体" w:cs="宋体"/>
          <w:szCs w:val="21"/>
          <w:highlight w:val="none"/>
        </w:rPr>
        <w:t>的计算基数不包括预付款的支付、扣回以及价格调整的金额；</w:t>
      </w:r>
    </w:p>
    <w:p w14:paraId="40C73DC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（2）工程竣工结算时一次性扣留</w:t>
      </w:r>
      <w:bookmarkStart w:id="1623" w:name="REVIEW_BM_1857"/>
      <w:r>
        <w:rPr>
          <w:rFonts w:hint="eastAsia" w:ascii="宋体" w:hAnsi="宋体" w:cs="宋体"/>
          <w:szCs w:val="21"/>
          <w:highlight w:val="none"/>
        </w:rPr>
        <w:t>质量保证金</w:t>
      </w:r>
      <w:bookmarkEnd w:id="1623"/>
      <w:r>
        <w:rPr>
          <w:rFonts w:hint="eastAsia" w:ascii="宋体" w:hAnsi="宋体" w:cs="宋体"/>
          <w:szCs w:val="21"/>
          <w:highlight w:val="none"/>
        </w:rPr>
        <w:t>；</w:t>
      </w:r>
    </w:p>
    <w:p w14:paraId="48E4A5F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（3）其他扣留方式：</w:t>
      </w:r>
      <w:r>
        <w:rPr>
          <w:rFonts w:hint="eastAsia" w:ascii="宋体" w:hAnsi="宋体" w:cs="宋体"/>
          <w:szCs w:val="21"/>
          <w:highlight w:val="none"/>
          <w:u w:val="single"/>
        </w:rPr>
        <w:t xml:space="preserve">     /     </w:t>
      </w:r>
      <w:r>
        <w:rPr>
          <w:rFonts w:hint="eastAsia" w:ascii="宋体" w:hAnsi="宋体" w:cs="宋体"/>
          <w:szCs w:val="21"/>
          <w:highlight w:val="none"/>
        </w:rPr>
        <w:t>。</w:t>
      </w:r>
    </w:p>
    <w:p w14:paraId="3DEE244D">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关于质量保证金的补充约定：</w:t>
      </w:r>
      <w:r>
        <w:rPr>
          <w:rFonts w:hint="eastAsia" w:ascii="宋体" w:hAnsi="宋体" w:cs="宋体"/>
          <w:szCs w:val="21"/>
          <w:highlight w:val="none"/>
          <w:u w:val="single"/>
        </w:rPr>
        <w:t xml:space="preserve">     /     </w:t>
      </w:r>
      <w:r>
        <w:rPr>
          <w:rFonts w:hint="eastAsia" w:ascii="宋体" w:hAnsi="宋体" w:cs="宋体"/>
          <w:szCs w:val="21"/>
          <w:highlight w:val="none"/>
        </w:rPr>
        <w:t>。</w:t>
      </w:r>
      <w:bookmarkEnd w:id="1577"/>
      <w:bookmarkEnd w:id="1578"/>
    </w:p>
    <w:p w14:paraId="7DBFA0BD">
      <w:pPr>
        <w:bidi w:val="0"/>
        <w:rPr>
          <w:rFonts w:hint="eastAsia"/>
          <w:highlight w:val="none"/>
        </w:rPr>
      </w:pPr>
      <w:bookmarkStart w:id="1624" w:name="_Toc389065330"/>
      <w:bookmarkStart w:id="1625" w:name="_Toc487632765"/>
      <w:bookmarkStart w:id="1626" w:name="_Toc373227765"/>
      <w:bookmarkStart w:id="1627" w:name="_Toc407135268"/>
      <w:bookmarkStart w:id="1628" w:name="_Toc373478412"/>
      <w:r>
        <w:rPr>
          <w:rFonts w:hint="eastAsia"/>
          <w:highlight w:val="none"/>
        </w:rPr>
        <w:t>15.4 保修</w:t>
      </w:r>
      <w:bookmarkEnd w:id="1579"/>
      <w:bookmarkEnd w:id="1624"/>
      <w:bookmarkEnd w:id="1625"/>
      <w:bookmarkEnd w:id="1626"/>
      <w:bookmarkEnd w:id="1627"/>
      <w:bookmarkEnd w:id="1628"/>
    </w:p>
    <w:p w14:paraId="4C0EFF4F">
      <w:pPr>
        <w:bidi w:val="0"/>
        <w:rPr>
          <w:rFonts w:hint="eastAsia"/>
          <w:highlight w:val="none"/>
        </w:rPr>
      </w:pPr>
      <w:r>
        <w:rPr>
          <w:rFonts w:hint="eastAsia"/>
          <w:highlight w:val="none"/>
        </w:rPr>
        <w:t>15.4.1 保修责任</w:t>
      </w:r>
    </w:p>
    <w:p w14:paraId="29A9E89E">
      <w:pPr>
        <w:spacing w:line="360" w:lineRule="auto"/>
        <w:ind w:firstLine="409"/>
        <w:jc w:val="left"/>
        <w:rPr>
          <w:rFonts w:hint="eastAsia" w:ascii="宋体" w:hAnsi="宋体" w:cs="宋体"/>
          <w:szCs w:val="21"/>
          <w:highlight w:val="none"/>
        </w:rPr>
      </w:pPr>
      <w:r>
        <w:rPr>
          <w:rFonts w:hint="eastAsia" w:ascii="宋体" w:hAnsi="宋体" w:cs="宋体"/>
          <w:szCs w:val="21"/>
          <w:highlight w:val="none"/>
        </w:rPr>
        <w:t>工程保修期为：</w:t>
      </w:r>
      <w:r>
        <w:rPr>
          <w:rFonts w:hint="eastAsia" w:ascii="宋体" w:hAnsi="宋体" w:cs="宋体"/>
          <w:szCs w:val="21"/>
          <w:highlight w:val="none"/>
          <w:u w:val="single"/>
        </w:rPr>
        <w:t xml:space="preserve">    按《工程质量保修书》执行        </w:t>
      </w:r>
      <w:r>
        <w:rPr>
          <w:rFonts w:hint="eastAsia" w:ascii="宋体" w:hAnsi="宋体" w:cs="宋体"/>
          <w:szCs w:val="21"/>
          <w:highlight w:val="none"/>
        </w:rPr>
        <w:t>。</w:t>
      </w:r>
    </w:p>
    <w:p w14:paraId="0E0B6131">
      <w:pPr>
        <w:spacing w:line="360" w:lineRule="auto"/>
        <w:ind w:firstLine="409"/>
        <w:jc w:val="left"/>
        <w:rPr>
          <w:rFonts w:hint="eastAsia" w:ascii="宋体" w:hAnsi="宋体" w:cs="宋体"/>
          <w:szCs w:val="21"/>
          <w:highlight w:val="none"/>
          <w:u w:val="single"/>
        </w:rPr>
      </w:pPr>
      <w:r>
        <w:rPr>
          <w:rFonts w:hint="eastAsia" w:ascii="宋体" w:hAnsi="宋体" w:cs="宋体"/>
          <w:szCs w:val="21"/>
          <w:highlight w:val="none"/>
        </w:rPr>
        <w:t>工程保修书具体内容见合同附件8。</w:t>
      </w:r>
    </w:p>
    <w:p w14:paraId="23CAB7CD">
      <w:pPr>
        <w:spacing w:line="360" w:lineRule="auto"/>
        <w:ind w:firstLine="409"/>
        <w:jc w:val="left"/>
        <w:rPr>
          <w:rFonts w:hint="eastAsia" w:ascii="宋体" w:hAnsi="宋体" w:cs="宋体"/>
          <w:szCs w:val="21"/>
          <w:highlight w:val="none"/>
        </w:rPr>
      </w:pPr>
      <w:r>
        <w:rPr>
          <w:rFonts w:hint="eastAsia" w:ascii="宋体" w:hAnsi="宋体" w:cs="宋体"/>
          <w:szCs w:val="21"/>
          <w:highlight w:val="none"/>
        </w:rPr>
        <w:t>15.4.3 修复通知</w:t>
      </w:r>
    </w:p>
    <w:p w14:paraId="2267E757">
      <w:pPr>
        <w:spacing w:line="360" w:lineRule="auto"/>
        <w:ind w:firstLine="409"/>
        <w:jc w:val="left"/>
        <w:rPr>
          <w:rFonts w:hint="eastAsia" w:ascii="宋体" w:hAnsi="宋体" w:cs="宋体"/>
          <w:szCs w:val="21"/>
          <w:highlight w:val="none"/>
          <w:u w:val="single"/>
        </w:rPr>
      </w:pPr>
      <w:bookmarkStart w:id="1629" w:name="REVIEW_BM_1858"/>
      <w:r>
        <w:rPr>
          <w:rFonts w:hint="eastAsia" w:ascii="宋体" w:hAnsi="宋体" w:cs="宋体"/>
          <w:szCs w:val="21"/>
          <w:highlight w:val="none"/>
        </w:rPr>
        <w:t>承包人</w:t>
      </w:r>
      <w:bookmarkEnd w:id="1629"/>
      <w:r>
        <w:rPr>
          <w:rFonts w:hint="eastAsia" w:ascii="宋体" w:hAnsi="宋体" w:cs="宋体"/>
          <w:szCs w:val="21"/>
          <w:highlight w:val="none"/>
        </w:rPr>
        <w:t>收到保修通知并到达工程现场的合理时间：</w:t>
      </w:r>
      <w:r>
        <w:rPr>
          <w:rFonts w:hint="eastAsia" w:ascii="宋体" w:hAnsi="宋体" w:cs="宋体"/>
          <w:szCs w:val="21"/>
          <w:highlight w:val="none"/>
          <w:u w:val="single"/>
        </w:rPr>
        <w:t xml:space="preserve">    24小时内   </w:t>
      </w:r>
      <w:r>
        <w:rPr>
          <w:rFonts w:hint="eastAsia" w:ascii="宋体" w:hAnsi="宋体" w:cs="宋体"/>
          <w:szCs w:val="21"/>
          <w:highlight w:val="none"/>
        </w:rPr>
        <w:t>。</w:t>
      </w:r>
      <w:bookmarkEnd w:id="1580"/>
      <w:bookmarkEnd w:id="1581"/>
      <w:bookmarkEnd w:id="1582"/>
      <w:bookmarkEnd w:id="1583"/>
    </w:p>
    <w:p w14:paraId="7D4889B8">
      <w:pPr>
        <w:pStyle w:val="6"/>
        <w:bidi w:val="0"/>
        <w:rPr>
          <w:rFonts w:hint="eastAsia"/>
          <w:highlight w:val="none"/>
        </w:rPr>
      </w:pPr>
      <w:bookmarkStart w:id="1630" w:name="_Toc389065331"/>
      <w:bookmarkStart w:id="1631" w:name="_Toc487632766"/>
      <w:bookmarkStart w:id="1632" w:name="_Toc351203648"/>
      <w:bookmarkStart w:id="1633" w:name="_Toc373478413"/>
      <w:bookmarkStart w:id="1634" w:name="_Toc373227766"/>
      <w:bookmarkStart w:id="1635" w:name="_Toc407135269"/>
      <w:bookmarkStart w:id="1636" w:name="_Toc280868717"/>
      <w:bookmarkStart w:id="1637" w:name="_Toc280868718"/>
      <w:r>
        <w:rPr>
          <w:rFonts w:hint="eastAsia"/>
          <w:highlight w:val="none"/>
        </w:rPr>
        <w:t>16. 违约</w:t>
      </w:r>
      <w:bookmarkEnd w:id="1630"/>
      <w:bookmarkEnd w:id="1631"/>
      <w:bookmarkEnd w:id="1632"/>
      <w:bookmarkEnd w:id="1633"/>
      <w:bookmarkEnd w:id="1634"/>
      <w:bookmarkEnd w:id="1635"/>
    </w:p>
    <w:p w14:paraId="4F2DBEA8">
      <w:pPr>
        <w:bidi w:val="0"/>
        <w:rPr>
          <w:rFonts w:hint="eastAsia"/>
          <w:highlight w:val="none"/>
        </w:rPr>
      </w:pPr>
      <w:bookmarkStart w:id="1638" w:name="_Toc487632767"/>
      <w:bookmarkStart w:id="1639" w:name="_Toc373478414"/>
      <w:bookmarkStart w:id="1640" w:name="_Toc389065332"/>
      <w:bookmarkStart w:id="1641" w:name="_Toc373227767"/>
      <w:bookmarkStart w:id="1642" w:name="_Toc407135270"/>
      <w:r>
        <w:rPr>
          <w:rFonts w:hint="eastAsia"/>
          <w:highlight w:val="none"/>
        </w:rPr>
        <w:t xml:space="preserve">16.1 </w:t>
      </w:r>
      <w:bookmarkStart w:id="1643" w:name="REVIEW_BM_1859"/>
      <w:r>
        <w:rPr>
          <w:rFonts w:hint="eastAsia"/>
          <w:highlight w:val="none"/>
        </w:rPr>
        <w:t>发包人</w:t>
      </w:r>
      <w:bookmarkEnd w:id="1643"/>
      <w:r>
        <w:rPr>
          <w:rFonts w:hint="eastAsia"/>
          <w:highlight w:val="none"/>
        </w:rPr>
        <w:t>违约</w:t>
      </w:r>
      <w:bookmarkEnd w:id="1638"/>
      <w:bookmarkEnd w:id="1639"/>
      <w:bookmarkEnd w:id="1640"/>
      <w:bookmarkEnd w:id="1641"/>
      <w:bookmarkEnd w:id="1642"/>
    </w:p>
    <w:p w14:paraId="3376CEF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16.1.1</w:t>
      </w:r>
      <w:bookmarkStart w:id="1644" w:name="REVIEW_BM_1860"/>
      <w:r>
        <w:rPr>
          <w:rFonts w:hint="eastAsia" w:ascii="宋体" w:hAnsi="宋体" w:cs="宋体"/>
          <w:szCs w:val="21"/>
          <w:highlight w:val="none"/>
        </w:rPr>
        <w:t>发包人</w:t>
      </w:r>
      <w:bookmarkEnd w:id="1644"/>
      <w:r>
        <w:rPr>
          <w:rFonts w:hint="eastAsia" w:ascii="宋体" w:hAnsi="宋体" w:cs="宋体"/>
          <w:szCs w:val="21"/>
          <w:highlight w:val="none"/>
        </w:rPr>
        <w:t>违约的情形</w:t>
      </w:r>
    </w:p>
    <w:p w14:paraId="4FAE8BFF">
      <w:pPr>
        <w:spacing w:line="360" w:lineRule="auto"/>
        <w:ind w:firstLine="420"/>
        <w:jc w:val="left"/>
        <w:rPr>
          <w:rFonts w:hint="eastAsia" w:ascii="宋体" w:hAnsi="宋体" w:cs="宋体"/>
          <w:szCs w:val="21"/>
          <w:highlight w:val="none"/>
        </w:rPr>
      </w:pPr>
      <w:bookmarkStart w:id="1645" w:name="REVIEW_BM_1861"/>
      <w:r>
        <w:rPr>
          <w:rFonts w:hint="eastAsia" w:ascii="宋体" w:hAnsi="宋体" w:cs="宋体"/>
          <w:szCs w:val="21"/>
          <w:highlight w:val="none"/>
        </w:rPr>
        <w:t>发包人</w:t>
      </w:r>
      <w:bookmarkEnd w:id="1645"/>
      <w:r>
        <w:rPr>
          <w:rFonts w:hint="eastAsia" w:ascii="宋体" w:hAnsi="宋体" w:cs="宋体"/>
          <w:szCs w:val="21"/>
          <w:highlight w:val="none"/>
        </w:rPr>
        <w:t>违约的其他情形：</w:t>
      </w:r>
      <w:r>
        <w:rPr>
          <w:rFonts w:hint="eastAsia" w:ascii="宋体" w:hAnsi="宋体" w:cs="宋体"/>
          <w:szCs w:val="21"/>
          <w:highlight w:val="none"/>
          <w:u w:val="single"/>
        </w:rPr>
        <w:t>按通用条款执行</w:t>
      </w:r>
      <w:r>
        <w:rPr>
          <w:rFonts w:hint="eastAsia" w:ascii="宋体" w:hAnsi="宋体" w:cs="宋体"/>
          <w:szCs w:val="21"/>
          <w:highlight w:val="none"/>
        </w:rPr>
        <w:t>。</w:t>
      </w:r>
    </w:p>
    <w:p w14:paraId="763A8E6C">
      <w:pPr>
        <w:bidi w:val="0"/>
        <w:rPr>
          <w:rFonts w:hint="eastAsia"/>
          <w:highlight w:val="none"/>
        </w:rPr>
      </w:pPr>
      <w:r>
        <w:rPr>
          <w:rFonts w:hint="eastAsia"/>
          <w:highlight w:val="none"/>
        </w:rPr>
        <w:t xml:space="preserve">16.1.2 </w:t>
      </w:r>
      <w:bookmarkStart w:id="1646" w:name="REVIEW_BM_1862"/>
      <w:r>
        <w:rPr>
          <w:rFonts w:hint="eastAsia"/>
          <w:highlight w:val="none"/>
        </w:rPr>
        <w:t>发包人</w:t>
      </w:r>
      <w:bookmarkEnd w:id="1646"/>
      <w:r>
        <w:rPr>
          <w:rFonts w:hint="eastAsia"/>
          <w:highlight w:val="none"/>
        </w:rPr>
        <w:t>违约的责任</w:t>
      </w:r>
    </w:p>
    <w:p w14:paraId="799E45C6">
      <w:pPr>
        <w:spacing w:line="360" w:lineRule="auto"/>
        <w:ind w:firstLine="420"/>
        <w:jc w:val="left"/>
        <w:rPr>
          <w:rFonts w:hint="eastAsia" w:ascii="宋体" w:hAnsi="宋体" w:cs="宋体"/>
          <w:szCs w:val="21"/>
          <w:highlight w:val="none"/>
        </w:rPr>
      </w:pPr>
      <w:bookmarkStart w:id="1647" w:name="REVIEW_BM_1863"/>
      <w:r>
        <w:rPr>
          <w:rFonts w:hint="eastAsia" w:ascii="宋体" w:hAnsi="宋体" w:cs="宋体"/>
          <w:szCs w:val="21"/>
          <w:highlight w:val="none"/>
        </w:rPr>
        <w:t>发包人</w:t>
      </w:r>
      <w:bookmarkEnd w:id="1647"/>
      <w:r>
        <w:rPr>
          <w:rFonts w:hint="eastAsia" w:ascii="宋体" w:hAnsi="宋体" w:cs="宋体"/>
          <w:szCs w:val="21"/>
          <w:highlight w:val="none"/>
        </w:rPr>
        <w:t>违约责任的承担方式和计算方法：</w:t>
      </w:r>
    </w:p>
    <w:p w14:paraId="665485D8">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（1）因</w:t>
      </w:r>
      <w:bookmarkStart w:id="1648" w:name="REVIEW_BM_1864"/>
      <w:r>
        <w:rPr>
          <w:rFonts w:hint="eastAsia" w:ascii="宋体" w:hAnsi="宋体" w:cs="宋体"/>
          <w:szCs w:val="21"/>
          <w:highlight w:val="none"/>
        </w:rPr>
        <w:t>发包人</w:t>
      </w:r>
      <w:bookmarkEnd w:id="1648"/>
      <w:r>
        <w:rPr>
          <w:rFonts w:hint="eastAsia" w:ascii="宋体" w:hAnsi="宋体" w:cs="宋体"/>
          <w:szCs w:val="21"/>
          <w:highlight w:val="none"/>
        </w:rPr>
        <w:t>原因未能在计划开工日期前7天内下达开工通知的违约责任：</w:t>
      </w:r>
      <w:r>
        <w:rPr>
          <w:rFonts w:hint="eastAsia" w:ascii="宋体" w:hAnsi="宋体" w:cs="宋体"/>
          <w:szCs w:val="21"/>
          <w:highlight w:val="none"/>
          <w:u w:val="single"/>
        </w:rPr>
        <w:t xml:space="preserve">  工期顺延  </w:t>
      </w:r>
      <w:r>
        <w:rPr>
          <w:rFonts w:hint="eastAsia" w:ascii="宋体" w:hAnsi="宋体" w:cs="宋体"/>
          <w:szCs w:val="21"/>
          <w:highlight w:val="none"/>
        </w:rPr>
        <w:t>。</w:t>
      </w:r>
    </w:p>
    <w:p w14:paraId="1E8D56B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（2）因</w:t>
      </w:r>
      <w:bookmarkStart w:id="1649" w:name="REVIEW_BM_1865"/>
      <w:r>
        <w:rPr>
          <w:rFonts w:hint="eastAsia" w:ascii="宋体" w:hAnsi="宋体" w:cs="宋体"/>
          <w:szCs w:val="21"/>
          <w:highlight w:val="none"/>
        </w:rPr>
        <w:t>发包人</w:t>
      </w:r>
      <w:bookmarkEnd w:id="1649"/>
      <w:r>
        <w:rPr>
          <w:rFonts w:hint="eastAsia" w:ascii="宋体" w:hAnsi="宋体" w:cs="宋体"/>
          <w:szCs w:val="21"/>
          <w:highlight w:val="none"/>
        </w:rPr>
        <w:t>原因未能按合同约定支付合同价款的违约责任：</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w:t>
      </w:r>
      <w:r>
        <w:rPr>
          <w:rFonts w:hint="eastAsia" w:ascii="宋体" w:hAnsi="宋体" w:cs="宋体"/>
          <w:szCs w:val="21"/>
          <w:highlight w:val="none"/>
          <w:u w:val="single"/>
        </w:rPr>
        <w:t xml:space="preserve">   </w:t>
      </w:r>
      <w:r>
        <w:rPr>
          <w:rFonts w:hint="eastAsia" w:ascii="宋体" w:hAnsi="宋体" w:cs="宋体"/>
          <w:szCs w:val="21"/>
          <w:highlight w:val="none"/>
        </w:rPr>
        <w:t>。</w:t>
      </w:r>
    </w:p>
    <w:p w14:paraId="4B01DD1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w:t>
      </w:r>
      <w:bookmarkStart w:id="1650" w:name="REVIEW_BM_1866"/>
      <w:r>
        <w:rPr>
          <w:rFonts w:hint="eastAsia" w:ascii="宋体" w:hAnsi="宋体" w:cs="宋体"/>
          <w:szCs w:val="21"/>
          <w:highlight w:val="none"/>
        </w:rPr>
        <w:t>发包人</w:t>
      </w:r>
      <w:bookmarkEnd w:id="1650"/>
      <w:r>
        <w:rPr>
          <w:rFonts w:hint="eastAsia" w:ascii="宋体" w:hAnsi="宋体" w:cs="宋体"/>
          <w:szCs w:val="21"/>
          <w:highlight w:val="none"/>
        </w:rPr>
        <w:t>违反第10.1款〔变更的范围〕第（2）项约定，自行实施被取消的工作或转由他人实施的违约责任：</w:t>
      </w:r>
      <w:r>
        <w:rPr>
          <w:rFonts w:hint="eastAsia" w:ascii="宋体" w:hAnsi="宋体" w:cs="宋体"/>
          <w:szCs w:val="21"/>
          <w:highlight w:val="none"/>
          <w:u w:val="single"/>
        </w:rPr>
        <w:t xml:space="preserve">    按通用条款执行 </w:t>
      </w:r>
      <w:r>
        <w:rPr>
          <w:rFonts w:hint="eastAsia" w:ascii="宋体" w:hAnsi="宋体" w:cs="宋体"/>
          <w:szCs w:val="21"/>
          <w:highlight w:val="none"/>
        </w:rPr>
        <w:t>。</w:t>
      </w:r>
    </w:p>
    <w:p w14:paraId="1478110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（4）</w:t>
      </w:r>
      <w:bookmarkStart w:id="1651" w:name="REVIEW_BM_1867"/>
      <w:r>
        <w:rPr>
          <w:rFonts w:hint="eastAsia" w:ascii="宋体" w:hAnsi="宋体" w:cs="宋体"/>
          <w:szCs w:val="21"/>
          <w:highlight w:val="none"/>
        </w:rPr>
        <w:t>发包人</w:t>
      </w:r>
      <w:bookmarkEnd w:id="1651"/>
      <w:r>
        <w:rPr>
          <w:rFonts w:hint="eastAsia" w:ascii="宋体" w:hAnsi="宋体" w:cs="宋体"/>
          <w:szCs w:val="21"/>
          <w:highlight w:val="none"/>
        </w:rPr>
        <w:t>提供的材料、工程设备的规格、数量或质量不符合合同约定，或因</w:t>
      </w:r>
      <w:bookmarkStart w:id="1652" w:name="REVIEW_BM_1868"/>
      <w:r>
        <w:rPr>
          <w:rFonts w:hint="eastAsia" w:ascii="宋体" w:hAnsi="宋体" w:cs="宋体"/>
          <w:szCs w:val="21"/>
          <w:highlight w:val="none"/>
        </w:rPr>
        <w:t>发包人</w:t>
      </w:r>
      <w:bookmarkEnd w:id="1652"/>
      <w:r>
        <w:rPr>
          <w:rFonts w:hint="eastAsia" w:ascii="宋体" w:hAnsi="宋体" w:cs="宋体"/>
          <w:szCs w:val="21"/>
          <w:highlight w:val="none"/>
        </w:rPr>
        <w:t>原因导致交货日期延误或交货地点变更等情况的违约责任：</w:t>
      </w:r>
      <w:r>
        <w:rPr>
          <w:rFonts w:hint="eastAsia" w:ascii="宋体" w:hAnsi="宋体" w:cs="宋体"/>
          <w:szCs w:val="21"/>
          <w:highlight w:val="none"/>
          <w:u w:val="single"/>
        </w:rPr>
        <w:t xml:space="preserve">    工期顺延    </w:t>
      </w:r>
      <w:r>
        <w:rPr>
          <w:rFonts w:hint="eastAsia" w:ascii="宋体" w:hAnsi="宋体" w:cs="宋体"/>
          <w:szCs w:val="21"/>
          <w:highlight w:val="none"/>
        </w:rPr>
        <w:t>。</w:t>
      </w:r>
    </w:p>
    <w:p w14:paraId="04A25BAA">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（5）因</w:t>
      </w:r>
      <w:bookmarkStart w:id="1653" w:name="REVIEW_BM_1869"/>
      <w:r>
        <w:rPr>
          <w:rFonts w:hint="eastAsia" w:ascii="宋体" w:hAnsi="宋体" w:cs="宋体"/>
          <w:szCs w:val="21"/>
          <w:highlight w:val="none"/>
        </w:rPr>
        <w:t>发包人</w:t>
      </w:r>
      <w:bookmarkEnd w:id="1653"/>
      <w:r>
        <w:rPr>
          <w:rFonts w:hint="eastAsia" w:ascii="宋体" w:hAnsi="宋体" w:cs="宋体"/>
          <w:szCs w:val="21"/>
          <w:highlight w:val="none"/>
        </w:rPr>
        <w:t>违反合同约定造成暂停施工的违约责任：</w:t>
      </w:r>
      <w:r>
        <w:rPr>
          <w:rFonts w:hint="eastAsia" w:ascii="宋体" w:hAnsi="宋体" w:cs="宋体"/>
          <w:szCs w:val="21"/>
          <w:highlight w:val="none"/>
          <w:u w:val="single"/>
        </w:rPr>
        <w:t xml:space="preserve">    按通用条款执行    </w:t>
      </w:r>
      <w:r>
        <w:rPr>
          <w:rFonts w:hint="eastAsia" w:ascii="宋体" w:hAnsi="宋体" w:cs="宋体"/>
          <w:szCs w:val="21"/>
          <w:highlight w:val="none"/>
        </w:rPr>
        <w:t>。</w:t>
      </w:r>
    </w:p>
    <w:p w14:paraId="468AE69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（6）</w:t>
      </w:r>
      <w:bookmarkStart w:id="1654" w:name="REVIEW_BM_1870"/>
      <w:r>
        <w:rPr>
          <w:rFonts w:hint="eastAsia" w:ascii="宋体" w:hAnsi="宋体" w:cs="宋体"/>
          <w:szCs w:val="21"/>
          <w:highlight w:val="none"/>
        </w:rPr>
        <w:t>发包人</w:t>
      </w:r>
      <w:bookmarkEnd w:id="1654"/>
      <w:r>
        <w:rPr>
          <w:rFonts w:hint="eastAsia" w:ascii="宋体" w:hAnsi="宋体" w:cs="宋体"/>
          <w:szCs w:val="21"/>
          <w:highlight w:val="none"/>
        </w:rPr>
        <w:t>无正当理由没有在约定期限内发出复工指示，导致</w:t>
      </w:r>
      <w:bookmarkStart w:id="1655" w:name="REVIEW_BM_1871"/>
      <w:r>
        <w:rPr>
          <w:rFonts w:hint="eastAsia" w:ascii="宋体" w:hAnsi="宋体" w:cs="宋体"/>
          <w:szCs w:val="21"/>
          <w:highlight w:val="none"/>
        </w:rPr>
        <w:t>承包人</w:t>
      </w:r>
      <w:bookmarkEnd w:id="1655"/>
      <w:r>
        <w:rPr>
          <w:rFonts w:hint="eastAsia" w:ascii="宋体" w:hAnsi="宋体" w:cs="宋体"/>
          <w:szCs w:val="21"/>
          <w:highlight w:val="none"/>
        </w:rPr>
        <w:t>无法复工的违约责任：</w:t>
      </w:r>
      <w:r>
        <w:rPr>
          <w:rFonts w:hint="eastAsia" w:ascii="宋体" w:hAnsi="宋体" w:cs="宋体"/>
          <w:szCs w:val="21"/>
          <w:highlight w:val="none"/>
          <w:u w:val="single"/>
        </w:rPr>
        <w:t>按通用条款执行</w:t>
      </w:r>
      <w:r>
        <w:rPr>
          <w:rFonts w:hint="eastAsia" w:ascii="宋体" w:hAnsi="宋体" w:cs="宋体"/>
          <w:szCs w:val="21"/>
          <w:highlight w:val="none"/>
        </w:rPr>
        <w:t>。</w:t>
      </w:r>
    </w:p>
    <w:p w14:paraId="39C1EBB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（7）其他：</w:t>
      </w:r>
      <w:r>
        <w:rPr>
          <w:rFonts w:hint="eastAsia" w:ascii="宋体" w:hAnsi="宋体" w:cs="宋体"/>
          <w:szCs w:val="21"/>
          <w:highlight w:val="none"/>
          <w:u w:val="single"/>
        </w:rPr>
        <w:t>/</w:t>
      </w:r>
      <w:r>
        <w:rPr>
          <w:rFonts w:hint="eastAsia" w:ascii="宋体" w:hAnsi="宋体" w:cs="宋体"/>
          <w:szCs w:val="21"/>
          <w:highlight w:val="none"/>
        </w:rPr>
        <w:t>。</w:t>
      </w:r>
    </w:p>
    <w:p w14:paraId="0517284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16.1.3 因</w:t>
      </w:r>
      <w:bookmarkStart w:id="1656" w:name="REVIEW_BM_1872"/>
      <w:r>
        <w:rPr>
          <w:rFonts w:hint="eastAsia" w:ascii="宋体" w:hAnsi="宋体" w:cs="宋体"/>
          <w:szCs w:val="21"/>
          <w:highlight w:val="none"/>
        </w:rPr>
        <w:t>发包人</w:t>
      </w:r>
      <w:bookmarkEnd w:id="1656"/>
      <w:r>
        <w:rPr>
          <w:rFonts w:hint="eastAsia" w:ascii="宋体" w:hAnsi="宋体" w:cs="宋体"/>
          <w:szCs w:val="21"/>
          <w:highlight w:val="none"/>
        </w:rPr>
        <w:t>违约解除合同</w:t>
      </w:r>
    </w:p>
    <w:p w14:paraId="5CE8FEB5">
      <w:pPr>
        <w:spacing w:line="360" w:lineRule="auto"/>
        <w:ind w:firstLine="420"/>
        <w:jc w:val="left"/>
        <w:rPr>
          <w:rFonts w:hint="eastAsia" w:ascii="宋体" w:hAnsi="宋体" w:cs="宋体"/>
          <w:szCs w:val="21"/>
          <w:highlight w:val="none"/>
        </w:rPr>
      </w:pPr>
      <w:bookmarkStart w:id="1657" w:name="REVIEW_BM_1876"/>
      <w:r>
        <w:rPr>
          <w:rFonts w:hint="eastAsia" w:ascii="宋体" w:hAnsi="宋体" w:cs="宋体"/>
          <w:szCs w:val="21"/>
          <w:highlight w:val="none"/>
        </w:rPr>
        <w:t>承包人</w:t>
      </w:r>
      <w:bookmarkEnd w:id="1657"/>
      <w:r>
        <w:rPr>
          <w:rFonts w:hint="eastAsia" w:ascii="宋体" w:hAnsi="宋体" w:cs="宋体"/>
          <w:szCs w:val="21"/>
          <w:highlight w:val="none"/>
        </w:rPr>
        <w:t>按16.1.1项〔</w:t>
      </w:r>
      <w:bookmarkStart w:id="1658" w:name="REVIEW_BM_1874"/>
      <w:r>
        <w:rPr>
          <w:rFonts w:hint="eastAsia" w:ascii="宋体" w:hAnsi="宋体" w:cs="宋体"/>
          <w:szCs w:val="21"/>
          <w:highlight w:val="none"/>
        </w:rPr>
        <w:t>发包人</w:t>
      </w:r>
      <w:bookmarkEnd w:id="1658"/>
      <w:r>
        <w:rPr>
          <w:rFonts w:hint="eastAsia" w:ascii="宋体" w:hAnsi="宋体" w:cs="宋体"/>
          <w:szCs w:val="21"/>
          <w:highlight w:val="none"/>
        </w:rPr>
        <w:t>违约的情形〕约定暂停施工满</w:t>
      </w:r>
      <w:r>
        <w:rPr>
          <w:rFonts w:hint="eastAsia" w:ascii="宋体" w:hAnsi="宋体" w:cs="宋体"/>
          <w:szCs w:val="21"/>
          <w:highlight w:val="none"/>
          <w:u w:val="single"/>
        </w:rPr>
        <w:t xml:space="preserve"> / </w:t>
      </w:r>
      <w:r>
        <w:rPr>
          <w:rFonts w:hint="eastAsia" w:ascii="宋体" w:hAnsi="宋体" w:cs="宋体"/>
          <w:szCs w:val="21"/>
          <w:highlight w:val="none"/>
        </w:rPr>
        <w:t>天后</w:t>
      </w:r>
      <w:bookmarkStart w:id="1659" w:name="REVIEW_BM_1875"/>
      <w:r>
        <w:rPr>
          <w:rFonts w:hint="eastAsia" w:ascii="宋体" w:hAnsi="宋体" w:cs="宋体"/>
          <w:szCs w:val="21"/>
          <w:highlight w:val="none"/>
        </w:rPr>
        <w:t>发包人</w:t>
      </w:r>
      <w:bookmarkEnd w:id="1659"/>
      <w:r>
        <w:rPr>
          <w:rFonts w:hint="eastAsia" w:ascii="宋体" w:hAnsi="宋体" w:cs="宋体"/>
          <w:szCs w:val="21"/>
          <w:highlight w:val="none"/>
        </w:rPr>
        <w:t>仍不纠正其违约行为并致使合同目的不能实现的，</w:t>
      </w:r>
      <w:bookmarkStart w:id="1660" w:name="REVIEW_BM_1877"/>
      <w:r>
        <w:rPr>
          <w:rFonts w:hint="eastAsia" w:ascii="宋体" w:hAnsi="宋体" w:cs="宋体"/>
          <w:szCs w:val="21"/>
          <w:highlight w:val="none"/>
        </w:rPr>
        <w:t>承包人</w:t>
      </w:r>
      <w:bookmarkEnd w:id="1660"/>
      <w:bookmarkStart w:id="1661" w:name="REVIEW_BM_1873"/>
      <w:r>
        <w:rPr>
          <w:rFonts w:hint="eastAsia" w:ascii="宋体" w:hAnsi="宋体" w:cs="宋体"/>
          <w:szCs w:val="21"/>
          <w:highlight w:val="none"/>
        </w:rPr>
        <w:t>有权解除合同</w:t>
      </w:r>
      <w:bookmarkEnd w:id="1661"/>
      <w:r>
        <w:rPr>
          <w:rFonts w:hint="eastAsia" w:ascii="宋体" w:hAnsi="宋体" w:cs="宋体"/>
          <w:szCs w:val="21"/>
          <w:highlight w:val="none"/>
        </w:rPr>
        <w:t>。</w:t>
      </w:r>
    </w:p>
    <w:p w14:paraId="509EE783">
      <w:pPr>
        <w:bidi w:val="0"/>
        <w:rPr>
          <w:rFonts w:hint="eastAsia"/>
          <w:highlight w:val="none"/>
        </w:rPr>
      </w:pPr>
      <w:bookmarkStart w:id="1662" w:name="_Toc487632768"/>
      <w:bookmarkStart w:id="1663" w:name="_Toc389065333"/>
      <w:bookmarkStart w:id="1664" w:name="_Toc373478415"/>
      <w:bookmarkStart w:id="1665" w:name="_Toc373227768"/>
      <w:bookmarkStart w:id="1666" w:name="_Toc407135271"/>
      <w:r>
        <w:rPr>
          <w:rFonts w:hint="eastAsia"/>
          <w:highlight w:val="none"/>
        </w:rPr>
        <w:t xml:space="preserve">16.2 </w:t>
      </w:r>
      <w:bookmarkStart w:id="1667" w:name="REVIEW_BM_1878"/>
      <w:r>
        <w:rPr>
          <w:rFonts w:hint="eastAsia"/>
          <w:highlight w:val="none"/>
        </w:rPr>
        <w:t>承包人</w:t>
      </w:r>
      <w:bookmarkEnd w:id="1667"/>
      <w:r>
        <w:rPr>
          <w:rFonts w:hint="eastAsia"/>
          <w:highlight w:val="none"/>
        </w:rPr>
        <w:t>违约</w:t>
      </w:r>
      <w:bookmarkEnd w:id="1662"/>
      <w:bookmarkEnd w:id="1663"/>
      <w:bookmarkEnd w:id="1664"/>
      <w:bookmarkEnd w:id="1665"/>
      <w:bookmarkEnd w:id="1666"/>
    </w:p>
    <w:p w14:paraId="52BF868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16.2.1 </w:t>
      </w:r>
      <w:bookmarkStart w:id="1668" w:name="REVIEW_BM_1879"/>
      <w:r>
        <w:rPr>
          <w:rFonts w:hint="eastAsia" w:ascii="宋体" w:hAnsi="宋体" w:cs="宋体"/>
          <w:szCs w:val="21"/>
          <w:highlight w:val="none"/>
        </w:rPr>
        <w:t>承包人</w:t>
      </w:r>
      <w:bookmarkEnd w:id="1668"/>
      <w:r>
        <w:rPr>
          <w:rFonts w:hint="eastAsia" w:ascii="宋体" w:hAnsi="宋体" w:cs="宋体"/>
          <w:szCs w:val="21"/>
          <w:highlight w:val="none"/>
        </w:rPr>
        <w:t>违约的情形</w:t>
      </w:r>
    </w:p>
    <w:p w14:paraId="7871DA9E">
      <w:pPr>
        <w:spacing w:line="360" w:lineRule="auto"/>
        <w:ind w:firstLine="420"/>
        <w:jc w:val="left"/>
        <w:rPr>
          <w:rFonts w:hint="eastAsia" w:ascii="宋体" w:hAnsi="宋体" w:cs="宋体"/>
          <w:szCs w:val="21"/>
          <w:highlight w:val="none"/>
          <w:u w:val="single"/>
        </w:rPr>
      </w:pPr>
      <w:bookmarkStart w:id="1669" w:name="REVIEW_BM_1880"/>
      <w:r>
        <w:rPr>
          <w:rFonts w:hint="eastAsia" w:ascii="宋体" w:hAnsi="宋体" w:cs="宋体"/>
          <w:szCs w:val="21"/>
          <w:highlight w:val="none"/>
        </w:rPr>
        <w:t>承包人</w:t>
      </w:r>
      <w:bookmarkEnd w:id="1669"/>
      <w:r>
        <w:rPr>
          <w:rFonts w:hint="eastAsia" w:ascii="宋体" w:hAnsi="宋体" w:cs="宋体"/>
          <w:szCs w:val="21"/>
          <w:highlight w:val="none"/>
        </w:rPr>
        <w:t>违约的其他情形：</w:t>
      </w:r>
      <w:r>
        <w:rPr>
          <w:rFonts w:hint="eastAsia" w:ascii="宋体" w:hAnsi="宋体" w:cs="宋体"/>
          <w:szCs w:val="21"/>
          <w:highlight w:val="none"/>
          <w:u w:val="single"/>
        </w:rPr>
        <w:t xml:space="preserve">   按通用条款执行 </w:t>
      </w:r>
      <w:r>
        <w:rPr>
          <w:rFonts w:hint="eastAsia" w:ascii="宋体" w:hAnsi="宋体" w:cs="宋体"/>
          <w:szCs w:val="21"/>
          <w:highlight w:val="none"/>
        </w:rPr>
        <w:t>。</w:t>
      </w:r>
    </w:p>
    <w:p w14:paraId="49E8FEEA">
      <w:pPr>
        <w:bidi w:val="0"/>
        <w:rPr>
          <w:rFonts w:hint="eastAsia"/>
          <w:highlight w:val="none"/>
        </w:rPr>
      </w:pPr>
      <w:r>
        <w:rPr>
          <w:rFonts w:hint="eastAsia"/>
          <w:highlight w:val="none"/>
        </w:rPr>
        <w:t>16.2.2</w:t>
      </w:r>
      <w:bookmarkStart w:id="1670" w:name="REVIEW_BM_1881"/>
      <w:r>
        <w:rPr>
          <w:rFonts w:hint="eastAsia"/>
          <w:highlight w:val="none"/>
        </w:rPr>
        <w:t>承包人</w:t>
      </w:r>
      <w:bookmarkEnd w:id="1670"/>
      <w:r>
        <w:rPr>
          <w:rFonts w:hint="eastAsia"/>
          <w:highlight w:val="none"/>
        </w:rPr>
        <w:t>违约的责任</w:t>
      </w:r>
    </w:p>
    <w:p w14:paraId="0A345D5D">
      <w:pPr>
        <w:spacing w:line="360" w:lineRule="auto"/>
        <w:ind w:firstLine="420"/>
        <w:jc w:val="left"/>
        <w:rPr>
          <w:rFonts w:hint="eastAsia" w:ascii="宋体" w:hAnsi="宋体" w:cs="宋体"/>
          <w:szCs w:val="21"/>
          <w:highlight w:val="none"/>
        </w:rPr>
      </w:pPr>
      <w:bookmarkStart w:id="1671" w:name="REVIEW_BM_1882"/>
      <w:r>
        <w:rPr>
          <w:rFonts w:hint="eastAsia" w:ascii="宋体" w:hAnsi="宋体" w:cs="宋体"/>
          <w:szCs w:val="21"/>
          <w:highlight w:val="none"/>
        </w:rPr>
        <w:t>承包人</w:t>
      </w:r>
      <w:bookmarkEnd w:id="1671"/>
      <w:r>
        <w:rPr>
          <w:rFonts w:hint="eastAsia" w:ascii="宋体" w:hAnsi="宋体" w:cs="宋体"/>
          <w:szCs w:val="21"/>
          <w:highlight w:val="none"/>
        </w:rPr>
        <w:t>违约责任的承担方式和计算方法：</w:t>
      </w:r>
    </w:p>
    <w:p w14:paraId="52CFA3CC">
      <w:pPr>
        <w:widowControl/>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672" w:name="REVIEW_BM_1885"/>
      <w:r>
        <w:rPr>
          <w:rFonts w:hint="eastAsia" w:ascii="宋体" w:hAnsi="宋体" w:cs="宋体"/>
          <w:szCs w:val="21"/>
          <w:highlight w:val="none"/>
        </w:rPr>
        <w:t>承包人</w:t>
      </w:r>
      <w:bookmarkEnd w:id="1672"/>
      <w:r>
        <w:rPr>
          <w:rFonts w:hint="eastAsia" w:ascii="宋体" w:hAnsi="宋体" w:cs="宋体"/>
          <w:szCs w:val="21"/>
          <w:highlight w:val="none"/>
        </w:rPr>
        <w:t>有本合同通用条款第 16.2.1（2</w:t>
      </w:r>
      <w:bookmarkStart w:id="1673" w:name="REVIEW_BM_1888"/>
      <w:r>
        <w:rPr>
          <w:rFonts w:hint="eastAsia" w:ascii="宋体" w:hAnsi="宋体" w:cs="宋体"/>
          <w:szCs w:val="21"/>
          <w:highlight w:val="none"/>
        </w:rPr>
        <w:t>）、（</w:t>
      </w:r>
      <w:bookmarkEnd w:id="1673"/>
      <w:r>
        <w:rPr>
          <w:rFonts w:hint="eastAsia" w:ascii="宋体" w:hAnsi="宋体" w:cs="宋体"/>
          <w:szCs w:val="21"/>
          <w:highlight w:val="none"/>
        </w:rPr>
        <w:t>3）条内容情形的，</w:t>
      </w:r>
      <w:bookmarkStart w:id="1674" w:name="REVIEW_BM_1886"/>
      <w:r>
        <w:rPr>
          <w:rFonts w:hint="eastAsia" w:ascii="宋体" w:hAnsi="宋体" w:cs="宋体"/>
          <w:szCs w:val="21"/>
          <w:highlight w:val="none"/>
        </w:rPr>
        <w:t>承包人</w:t>
      </w:r>
      <w:bookmarkEnd w:id="1674"/>
      <w:r>
        <w:rPr>
          <w:rFonts w:hint="eastAsia" w:ascii="宋体" w:hAnsi="宋体" w:cs="宋体"/>
          <w:szCs w:val="21"/>
          <w:highlight w:val="none"/>
        </w:rPr>
        <w:t>无条件返工处理，修复至工程质量要求并承担相关费用，并在</w:t>
      </w:r>
      <w:bookmarkStart w:id="1675" w:name="REVIEW_BM_1883"/>
      <w:r>
        <w:rPr>
          <w:rFonts w:hint="eastAsia" w:ascii="宋体" w:hAnsi="宋体" w:cs="宋体"/>
          <w:szCs w:val="21"/>
          <w:highlight w:val="none"/>
        </w:rPr>
        <w:t>发包人</w:t>
      </w:r>
      <w:bookmarkEnd w:id="1675"/>
      <w:r>
        <w:rPr>
          <w:rFonts w:hint="eastAsia" w:ascii="宋体" w:hAnsi="宋体" w:cs="宋体"/>
          <w:szCs w:val="21"/>
          <w:highlight w:val="none"/>
        </w:rPr>
        <w:t>规定的时间内完成返工，否则</w:t>
      </w:r>
      <w:bookmarkStart w:id="1676" w:name="REVIEW_BM_1884"/>
      <w:r>
        <w:rPr>
          <w:rFonts w:hint="eastAsia" w:ascii="宋体" w:hAnsi="宋体" w:cs="宋体"/>
          <w:szCs w:val="21"/>
          <w:highlight w:val="none"/>
        </w:rPr>
        <w:t>发包人</w:t>
      </w:r>
      <w:bookmarkEnd w:id="1676"/>
      <w:r>
        <w:rPr>
          <w:rFonts w:hint="eastAsia" w:ascii="宋体" w:hAnsi="宋体" w:cs="宋体"/>
          <w:szCs w:val="21"/>
          <w:highlight w:val="none"/>
        </w:rPr>
        <w:t>有权扣罚该分项工程 10%的工程款作为处罚。处罚不足以支付修复或返工费用的，责任仍由</w:t>
      </w:r>
      <w:bookmarkStart w:id="1677" w:name="REVIEW_BM_1887"/>
      <w:r>
        <w:rPr>
          <w:rFonts w:hint="eastAsia" w:ascii="宋体" w:hAnsi="宋体" w:cs="宋体"/>
          <w:szCs w:val="21"/>
          <w:highlight w:val="none"/>
        </w:rPr>
        <w:t>承包人</w:t>
      </w:r>
      <w:bookmarkEnd w:id="1677"/>
      <w:r>
        <w:rPr>
          <w:rFonts w:hint="eastAsia" w:ascii="宋体" w:hAnsi="宋体" w:cs="宋体"/>
          <w:szCs w:val="21"/>
          <w:highlight w:val="none"/>
        </w:rPr>
        <w:t>承担。</w:t>
      </w:r>
    </w:p>
    <w:p w14:paraId="07D4B41C">
      <w:pPr>
        <w:widowControl/>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（2） </w:t>
      </w:r>
      <w:bookmarkStart w:id="1678" w:name="REVIEW_BM_1891"/>
      <w:r>
        <w:rPr>
          <w:rFonts w:hint="eastAsia" w:ascii="宋体" w:hAnsi="宋体" w:cs="宋体"/>
          <w:szCs w:val="21"/>
          <w:highlight w:val="none"/>
        </w:rPr>
        <w:t>承包人</w:t>
      </w:r>
      <w:bookmarkEnd w:id="1678"/>
      <w:r>
        <w:rPr>
          <w:rFonts w:hint="eastAsia" w:ascii="宋体" w:hAnsi="宋体" w:cs="宋体"/>
          <w:szCs w:val="21"/>
          <w:highlight w:val="none"/>
        </w:rPr>
        <w:t>有本合同通用条款第 16.2.1（6）条情形的， 或经监理人检验认为修复质量不合格而</w:t>
      </w:r>
      <w:bookmarkStart w:id="1679" w:name="REVIEW_BM_1892"/>
      <w:r>
        <w:rPr>
          <w:rFonts w:hint="eastAsia" w:ascii="宋体" w:hAnsi="宋体" w:cs="宋体"/>
          <w:szCs w:val="21"/>
          <w:highlight w:val="none"/>
        </w:rPr>
        <w:t>承包人</w:t>
      </w:r>
      <w:bookmarkEnd w:id="1679"/>
      <w:r>
        <w:rPr>
          <w:rFonts w:hint="eastAsia" w:ascii="宋体" w:hAnsi="宋体" w:cs="宋体"/>
          <w:szCs w:val="21"/>
          <w:highlight w:val="none"/>
        </w:rPr>
        <w:t>拒绝再进行修补的，</w:t>
      </w:r>
      <w:bookmarkStart w:id="1680" w:name="REVIEW_BM_1890"/>
      <w:r>
        <w:rPr>
          <w:rFonts w:hint="eastAsia" w:ascii="宋体" w:hAnsi="宋体" w:cs="宋体"/>
          <w:szCs w:val="21"/>
          <w:highlight w:val="none"/>
        </w:rPr>
        <w:t>发包人</w:t>
      </w:r>
      <w:bookmarkEnd w:id="1680"/>
      <w:r>
        <w:rPr>
          <w:rFonts w:hint="eastAsia" w:ascii="宋体" w:hAnsi="宋体" w:cs="宋体"/>
          <w:szCs w:val="21"/>
          <w:highlight w:val="none"/>
        </w:rPr>
        <w:t>将扣除</w:t>
      </w:r>
      <w:bookmarkStart w:id="1681" w:name="REVIEW_BM_1893"/>
      <w:r>
        <w:rPr>
          <w:rFonts w:hint="eastAsia" w:ascii="宋体" w:hAnsi="宋体" w:cs="宋体"/>
          <w:szCs w:val="21"/>
          <w:highlight w:val="none"/>
        </w:rPr>
        <w:t>承包人</w:t>
      </w:r>
      <w:bookmarkEnd w:id="1681"/>
      <w:r>
        <w:rPr>
          <w:rFonts w:hint="eastAsia" w:ascii="宋体" w:hAnsi="宋体" w:cs="宋体"/>
          <w:szCs w:val="21"/>
          <w:highlight w:val="none"/>
        </w:rPr>
        <w:t>全部</w:t>
      </w:r>
      <w:bookmarkStart w:id="1682" w:name="REVIEW_BM_1889"/>
      <w:r>
        <w:rPr>
          <w:rFonts w:hint="eastAsia" w:ascii="宋体" w:hAnsi="宋体" w:cs="宋体"/>
          <w:szCs w:val="21"/>
          <w:highlight w:val="none"/>
        </w:rPr>
        <w:t>质量保证金</w:t>
      </w:r>
      <w:bookmarkEnd w:id="1682"/>
      <w:r>
        <w:rPr>
          <w:rFonts w:hint="eastAsia" w:ascii="宋体" w:hAnsi="宋体" w:cs="宋体"/>
          <w:szCs w:val="21"/>
          <w:highlight w:val="none"/>
        </w:rPr>
        <w:t>。</w:t>
      </w:r>
    </w:p>
    <w:p w14:paraId="431E0167">
      <w:pPr>
        <w:widowControl/>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（3） </w:t>
      </w:r>
      <w:bookmarkStart w:id="1683" w:name="REVIEW_BM_1896"/>
      <w:r>
        <w:rPr>
          <w:rFonts w:hint="eastAsia" w:ascii="宋体" w:hAnsi="宋体" w:cs="宋体"/>
          <w:szCs w:val="21"/>
          <w:highlight w:val="none"/>
        </w:rPr>
        <w:t>承包人</w:t>
      </w:r>
      <w:bookmarkEnd w:id="1683"/>
      <w:r>
        <w:rPr>
          <w:rFonts w:hint="eastAsia" w:ascii="宋体" w:hAnsi="宋体" w:cs="宋体"/>
          <w:szCs w:val="21"/>
          <w:highlight w:val="none"/>
        </w:rPr>
        <w:t>有本专用合同条款 3.2、 3.3 条违约责任的，</w:t>
      </w:r>
      <w:bookmarkStart w:id="1684" w:name="REVIEW_BM_1894"/>
      <w:r>
        <w:rPr>
          <w:rFonts w:hint="eastAsia" w:ascii="宋体" w:hAnsi="宋体" w:cs="宋体"/>
          <w:szCs w:val="21"/>
          <w:highlight w:val="none"/>
        </w:rPr>
        <w:t>发包人</w:t>
      </w:r>
      <w:bookmarkEnd w:id="1684"/>
      <w:r>
        <w:rPr>
          <w:rFonts w:hint="eastAsia" w:ascii="宋体" w:hAnsi="宋体" w:cs="宋体"/>
          <w:szCs w:val="21"/>
          <w:highlight w:val="none"/>
        </w:rPr>
        <w:t>有权扣除</w:t>
      </w:r>
      <w:bookmarkStart w:id="1685" w:name="REVIEW_BM_1897"/>
      <w:r>
        <w:rPr>
          <w:rFonts w:hint="eastAsia" w:ascii="宋体" w:hAnsi="宋体" w:cs="宋体"/>
          <w:szCs w:val="21"/>
          <w:highlight w:val="none"/>
        </w:rPr>
        <w:t>承包人</w:t>
      </w:r>
      <w:bookmarkEnd w:id="1685"/>
      <w:r>
        <w:rPr>
          <w:rFonts w:hint="eastAsia" w:ascii="宋体" w:hAnsi="宋体" w:cs="宋体"/>
          <w:szCs w:val="21"/>
          <w:highlight w:val="none"/>
        </w:rPr>
        <w:t>的违约金。违约金金额均在</w:t>
      </w:r>
      <w:bookmarkStart w:id="1686" w:name="REVIEW_BM_1898"/>
      <w:r>
        <w:rPr>
          <w:rFonts w:hint="eastAsia" w:ascii="宋体" w:hAnsi="宋体" w:cs="宋体"/>
          <w:szCs w:val="21"/>
          <w:highlight w:val="none"/>
        </w:rPr>
        <w:t>承包人</w:t>
      </w:r>
      <w:bookmarkEnd w:id="1686"/>
      <w:r>
        <w:rPr>
          <w:rFonts w:hint="eastAsia" w:ascii="宋体" w:hAnsi="宋体" w:cs="宋体"/>
          <w:szCs w:val="21"/>
          <w:highlight w:val="none"/>
        </w:rPr>
        <w:t>的计量支付款内扣除。监理人预先下发含有罚款意向的指令，如</w:t>
      </w:r>
      <w:bookmarkStart w:id="1687" w:name="REVIEW_BM_1899"/>
      <w:r>
        <w:rPr>
          <w:rFonts w:hint="eastAsia" w:ascii="宋体" w:hAnsi="宋体" w:cs="宋体"/>
          <w:szCs w:val="21"/>
          <w:highlight w:val="none"/>
        </w:rPr>
        <w:t>承包人</w:t>
      </w:r>
      <w:bookmarkEnd w:id="1687"/>
      <w:r>
        <w:rPr>
          <w:rFonts w:hint="eastAsia" w:ascii="宋体" w:hAnsi="宋体" w:cs="宋体"/>
          <w:szCs w:val="21"/>
          <w:highlight w:val="none"/>
        </w:rPr>
        <w:t>不及时采取措施纠正，则在指令下达后十五天下发罚款通知书（不再陈述罚款理由）。</w:t>
      </w:r>
      <w:bookmarkStart w:id="1688" w:name="REVIEW_BM_1900"/>
      <w:r>
        <w:rPr>
          <w:rFonts w:hint="eastAsia" w:ascii="宋体" w:hAnsi="宋体" w:cs="宋体"/>
          <w:szCs w:val="21"/>
          <w:highlight w:val="none"/>
        </w:rPr>
        <w:t>承包人</w:t>
      </w:r>
      <w:bookmarkEnd w:id="1688"/>
      <w:r>
        <w:rPr>
          <w:rFonts w:hint="eastAsia" w:ascii="宋体" w:hAnsi="宋体" w:cs="宋体"/>
          <w:szCs w:val="21"/>
          <w:highlight w:val="none"/>
        </w:rPr>
        <w:t>在合同期内，完成合同规定的全部工程，且质量合格，在本工程施工竣工</w:t>
      </w:r>
      <w:bookmarkStart w:id="1689" w:name="REVIEW_BM_1901"/>
      <w:r>
        <w:rPr>
          <w:rFonts w:hint="eastAsia" w:ascii="宋体" w:hAnsi="宋体" w:cs="宋体"/>
          <w:szCs w:val="21"/>
          <w:highlight w:val="none"/>
        </w:rPr>
        <w:t>验收后</w:t>
      </w:r>
      <w:bookmarkEnd w:id="1689"/>
      <w:r>
        <w:rPr>
          <w:rFonts w:hint="eastAsia" w:ascii="宋体" w:hAnsi="宋体" w:cs="宋体"/>
          <w:szCs w:val="21"/>
          <w:highlight w:val="none"/>
        </w:rPr>
        <w:t>十五天内可申请返还全部或部分罚款，返还金额由监理人审核，</w:t>
      </w:r>
      <w:bookmarkStart w:id="1690" w:name="REVIEW_BM_1895"/>
      <w:r>
        <w:rPr>
          <w:rFonts w:hint="eastAsia" w:ascii="宋体" w:hAnsi="宋体" w:cs="宋体"/>
          <w:szCs w:val="21"/>
          <w:highlight w:val="none"/>
        </w:rPr>
        <w:t>发包人</w:t>
      </w:r>
      <w:bookmarkEnd w:id="1690"/>
      <w:r>
        <w:rPr>
          <w:rFonts w:hint="eastAsia" w:ascii="宋体" w:hAnsi="宋体" w:cs="宋体"/>
          <w:szCs w:val="21"/>
          <w:highlight w:val="none"/>
        </w:rPr>
        <w:t>批准。罚款金额返还时不包括银行利息。</w:t>
      </w:r>
    </w:p>
    <w:p w14:paraId="0009768E">
      <w:pPr>
        <w:widowControl/>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（4） </w:t>
      </w:r>
      <w:bookmarkStart w:id="1691" w:name="REVIEW_BM_1906"/>
      <w:r>
        <w:rPr>
          <w:rFonts w:hint="eastAsia" w:ascii="宋体" w:hAnsi="宋体" w:cs="宋体"/>
          <w:szCs w:val="21"/>
          <w:highlight w:val="none"/>
        </w:rPr>
        <w:t>承包人</w:t>
      </w:r>
      <w:bookmarkEnd w:id="1691"/>
      <w:r>
        <w:rPr>
          <w:rFonts w:hint="eastAsia" w:ascii="宋体" w:hAnsi="宋体" w:cs="宋体"/>
          <w:szCs w:val="21"/>
          <w:highlight w:val="none"/>
        </w:rPr>
        <w:t>未按监理单位和</w:t>
      </w:r>
      <w:bookmarkStart w:id="1692" w:name="REVIEW_BM_1902"/>
      <w:r>
        <w:rPr>
          <w:rFonts w:hint="eastAsia" w:ascii="宋体" w:hAnsi="宋体" w:cs="宋体"/>
          <w:szCs w:val="21"/>
          <w:highlight w:val="none"/>
        </w:rPr>
        <w:t>发包人</w:t>
      </w:r>
      <w:bookmarkEnd w:id="1692"/>
      <w:r>
        <w:rPr>
          <w:rFonts w:hint="eastAsia" w:ascii="宋体" w:hAnsi="宋体" w:cs="宋体"/>
          <w:szCs w:val="21"/>
          <w:highlight w:val="none"/>
        </w:rPr>
        <w:t>审定的施工组织方案中明确的项目初验收、项目竣工验收、项目移交（含资料）等时间节点完成相应工作， 且在</w:t>
      </w:r>
      <w:bookmarkStart w:id="1693" w:name="REVIEW_BM_1903"/>
      <w:r>
        <w:rPr>
          <w:rFonts w:hint="eastAsia" w:ascii="宋体" w:hAnsi="宋体" w:cs="宋体"/>
          <w:szCs w:val="21"/>
          <w:highlight w:val="none"/>
        </w:rPr>
        <w:t>发包人</w:t>
      </w:r>
      <w:bookmarkEnd w:id="1693"/>
      <w:r>
        <w:rPr>
          <w:rFonts w:hint="eastAsia" w:ascii="宋体" w:hAnsi="宋体" w:cs="宋体"/>
          <w:szCs w:val="21"/>
          <w:highlight w:val="none"/>
        </w:rPr>
        <w:t>发出通知后仍未在</w:t>
      </w:r>
      <w:bookmarkStart w:id="1694" w:name="REVIEW_BM_1904"/>
      <w:r>
        <w:rPr>
          <w:rFonts w:hint="eastAsia" w:ascii="宋体" w:hAnsi="宋体" w:cs="宋体"/>
          <w:szCs w:val="21"/>
          <w:highlight w:val="none"/>
        </w:rPr>
        <w:t>发包人</w:t>
      </w:r>
      <w:bookmarkEnd w:id="1694"/>
      <w:r>
        <w:rPr>
          <w:rFonts w:hint="eastAsia" w:ascii="宋体" w:hAnsi="宋体" w:cs="宋体"/>
          <w:szCs w:val="21"/>
          <w:highlight w:val="none"/>
        </w:rPr>
        <w:t>要求的期限内完成工作的， 每次处以人民币 5万元至20万元罚款，</w:t>
      </w:r>
      <w:bookmarkStart w:id="1695" w:name="REVIEW_BM_1905"/>
      <w:r>
        <w:rPr>
          <w:rFonts w:hint="eastAsia" w:ascii="宋体" w:hAnsi="宋体" w:cs="宋体"/>
          <w:szCs w:val="21"/>
          <w:highlight w:val="none"/>
        </w:rPr>
        <w:t>发包人</w:t>
      </w:r>
      <w:bookmarkEnd w:id="1695"/>
      <w:r>
        <w:rPr>
          <w:rFonts w:hint="eastAsia" w:ascii="宋体" w:hAnsi="宋体" w:cs="宋体"/>
          <w:szCs w:val="21"/>
          <w:highlight w:val="none"/>
        </w:rPr>
        <w:t>有权从工程进度款或工程结算款中扣除。</w:t>
      </w:r>
    </w:p>
    <w:p w14:paraId="4BA9A5A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16.2.3 因</w:t>
      </w:r>
      <w:bookmarkStart w:id="1696" w:name="REVIEW_BM_1907"/>
      <w:r>
        <w:rPr>
          <w:rFonts w:hint="eastAsia" w:ascii="宋体" w:hAnsi="宋体" w:cs="宋体"/>
          <w:szCs w:val="21"/>
          <w:highlight w:val="none"/>
        </w:rPr>
        <w:t>承包人</w:t>
      </w:r>
      <w:bookmarkEnd w:id="1696"/>
      <w:r>
        <w:rPr>
          <w:rFonts w:hint="eastAsia" w:ascii="宋体" w:hAnsi="宋体" w:cs="宋体"/>
          <w:szCs w:val="21"/>
          <w:highlight w:val="none"/>
        </w:rPr>
        <w:t>违约解除合同</w:t>
      </w:r>
    </w:p>
    <w:p w14:paraId="5E225C7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w:t>
      </w:r>
      <w:bookmarkStart w:id="1697" w:name="REVIEW_BM_1910"/>
      <w:r>
        <w:rPr>
          <w:rFonts w:hint="eastAsia" w:ascii="宋体" w:hAnsi="宋体" w:cs="宋体"/>
          <w:szCs w:val="21"/>
          <w:highlight w:val="none"/>
        </w:rPr>
        <w:t>承包人</w:t>
      </w:r>
      <w:bookmarkEnd w:id="1697"/>
      <w:r>
        <w:rPr>
          <w:rFonts w:hint="eastAsia" w:ascii="宋体" w:hAnsi="宋体" w:cs="宋体"/>
          <w:szCs w:val="21"/>
          <w:highlight w:val="none"/>
        </w:rPr>
        <w:t>违约解除合同的特别约定：</w:t>
      </w:r>
      <w:bookmarkStart w:id="1698" w:name="REVIEW_BM_1911"/>
      <w:r>
        <w:rPr>
          <w:rFonts w:hint="eastAsia" w:ascii="宋体" w:hAnsi="宋体" w:cs="宋体"/>
          <w:szCs w:val="21"/>
          <w:highlight w:val="none"/>
          <w:u w:val="single"/>
        </w:rPr>
        <w:t>承包人</w:t>
      </w:r>
      <w:bookmarkEnd w:id="1698"/>
      <w:r>
        <w:rPr>
          <w:rFonts w:hint="eastAsia" w:ascii="宋体" w:hAnsi="宋体" w:cs="宋体"/>
          <w:szCs w:val="21"/>
          <w:highlight w:val="none"/>
          <w:u w:val="single"/>
        </w:rPr>
        <w:t>有违反以下情况之一的，</w:t>
      </w:r>
      <w:bookmarkStart w:id="1699" w:name="REVIEW_BM_1909"/>
      <w:r>
        <w:rPr>
          <w:rFonts w:hint="eastAsia" w:ascii="宋体" w:hAnsi="宋体" w:cs="宋体"/>
          <w:szCs w:val="21"/>
          <w:highlight w:val="none"/>
          <w:u w:val="single"/>
        </w:rPr>
        <w:t>发包人</w:t>
      </w:r>
      <w:bookmarkEnd w:id="1699"/>
      <w:bookmarkStart w:id="1700" w:name="REVIEW_BM_1908"/>
      <w:r>
        <w:rPr>
          <w:rFonts w:hint="eastAsia" w:ascii="宋体" w:hAnsi="宋体" w:cs="宋体"/>
          <w:szCs w:val="21"/>
          <w:highlight w:val="none"/>
          <w:u w:val="single"/>
        </w:rPr>
        <w:t>有权解除合同</w:t>
      </w:r>
      <w:bookmarkEnd w:id="1700"/>
      <w:r>
        <w:rPr>
          <w:rFonts w:hint="eastAsia" w:ascii="宋体" w:hAnsi="宋体" w:cs="宋体"/>
          <w:szCs w:val="21"/>
          <w:highlight w:val="none"/>
        </w:rPr>
        <w:t>。</w:t>
      </w:r>
    </w:p>
    <w:p w14:paraId="7852B8DD">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w:t>
      </w:r>
      <w:bookmarkStart w:id="1701" w:name="REVIEW_BM_1912"/>
      <w:r>
        <w:rPr>
          <w:rFonts w:hint="eastAsia" w:ascii="宋体" w:hAnsi="宋体" w:cs="宋体"/>
          <w:szCs w:val="21"/>
          <w:highlight w:val="none"/>
        </w:rPr>
        <w:t>承包人</w:t>
      </w:r>
      <w:bookmarkEnd w:id="1701"/>
      <w:r>
        <w:rPr>
          <w:rFonts w:hint="eastAsia" w:ascii="宋体" w:hAnsi="宋体" w:cs="宋体"/>
          <w:szCs w:val="21"/>
          <w:highlight w:val="none"/>
        </w:rPr>
        <w:t>无正当理由不按开工通知的要求及时进场组织施工和不按签订协议书时商定的进度计划有效地开展施工准备，造成工期延误的；</w:t>
      </w:r>
    </w:p>
    <w:p w14:paraId="20805B0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w:t>
      </w:r>
      <w:bookmarkStart w:id="1702" w:name="REVIEW_BM_1913"/>
      <w:r>
        <w:rPr>
          <w:rFonts w:hint="eastAsia" w:ascii="宋体" w:hAnsi="宋体" w:cs="宋体"/>
          <w:szCs w:val="21"/>
          <w:highlight w:val="none"/>
        </w:rPr>
        <w:t>承包人</w:t>
      </w:r>
      <w:bookmarkEnd w:id="1702"/>
      <w:r>
        <w:rPr>
          <w:rFonts w:hint="eastAsia" w:ascii="宋体" w:hAnsi="宋体" w:cs="宋体"/>
          <w:szCs w:val="21"/>
          <w:highlight w:val="none"/>
        </w:rPr>
        <w:t>违反本合同通用条款第3.5条规定私自将合同或合同的任何部分或任何权利转让给其他人，或私自将工程或工程的一部分分包出去的；</w:t>
      </w:r>
    </w:p>
    <w:p w14:paraId="168F088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(3)未经监理人批准，</w:t>
      </w:r>
      <w:bookmarkStart w:id="1703" w:name="REVIEW_BM_1915"/>
      <w:r>
        <w:rPr>
          <w:rFonts w:hint="eastAsia" w:ascii="宋体" w:hAnsi="宋体" w:cs="宋体"/>
          <w:szCs w:val="21"/>
          <w:highlight w:val="none"/>
        </w:rPr>
        <w:t>承包人</w:t>
      </w:r>
      <w:bookmarkEnd w:id="1703"/>
      <w:r>
        <w:rPr>
          <w:rFonts w:hint="eastAsia" w:ascii="宋体" w:hAnsi="宋体" w:cs="宋体"/>
          <w:szCs w:val="21"/>
          <w:highlight w:val="none"/>
        </w:rPr>
        <w:t>私自将已按</w:t>
      </w:r>
      <w:bookmarkStart w:id="1704" w:name="REVIEW_BM_1914"/>
      <w:r>
        <w:rPr>
          <w:rFonts w:hint="eastAsia" w:ascii="宋体" w:hAnsi="宋体" w:cs="宋体"/>
          <w:szCs w:val="21"/>
          <w:highlight w:val="none"/>
        </w:rPr>
        <w:t>投标文件</w:t>
      </w:r>
      <w:bookmarkEnd w:id="1704"/>
      <w:r>
        <w:rPr>
          <w:rFonts w:hint="eastAsia" w:ascii="宋体" w:hAnsi="宋体" w:cs="宋体"/>
          <w:szCs w:val="21"/>
          <w:highlight w:val="none"/>
        </w:rPr>
        <w:t>承诺进入工地的工程设备、施工设备、临时工程或材料撤离工地的；</w:t>
      </w:r>
    </w:p>
    <w:p w14:paraId="139563E2">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(4)由于</w:t>
      </w:r>
      <w:bookmarkStart w:id="1705" w:name="REVIEW_BM_1916"/>
      <w:r>
        <w:rPr>
          <w:rFonts w:hint="eastAsia" w:ascii="宋体" w:hAnsi="宋体" w:cs="宋体"/>
          <w:szCs w:val="21"/>
          <w:highlight w:val="none"/>
        </w:rPr>
        <w:t>承包人</w:t>
      </w:r>
      <w:bookmarkEnd w:id="1705"/>
      <w:r>
        <w:rPr>
          <w:rFonts w:hint="eastAsia" w:ascii="宋体" w:hAnsi="宋体" w:cs="宋体"/>
          <w:szCs w:val="21"/>
          <w:highlight w:val="none"/>
        </w:rPr>
        <w:t>原因拒绝按合同进度计划及时完成合同规定的工程，而又未采取有效措施赶上进度，造成工期严重延误的；</w:t>
      </w:r>
    </w:p>
    <w:p w14:paraId="06424621">
      <w:pPr>
        <w:spacing w:line="360" w:lineRule="auto"/>
        <w:ind w:firstLine="420"/>
        <w:rPr>
          <w:rFonts w:hint="eastAsia" w:ascii="宋体" w:hAnsi="宋体" w:cs="宋体"/>
          <w:szCs w:val="21"/>
          <w:highlight w:val="none"/>
        </w:rPr>
      </w:pPr>
      <w:r>
        <w:rPr>
          <w:rFonts w:hint="eastAsia" w:ascii="宋体" w:hAnsi="宋体" w:cs="宋体"/>
          <w:szCs w:val="21"/>
          <w:highlight w:val="none"/>
        </w:rPr>
        <w:t>(5)</w:t>
      </w:r>
      <w:bookmarkStart w:id="1706" w:name="REVIEW_BM_1917"/>
      <w:r>
        <w:rPr>
          <w:rFonts w:hint="eastAsia" w:ascii="宋体" w:hAnsi="宋体" w:cs="宋体"/>
          <w:szCs w:val="21"/>
          <w:highlight w:val="none"/>
        </w:rPr>
        <w:t>承包人</w:t>
      </w:r>
      <w:bookmarkEnd w:id="1706"/>
      <w:r>
        <w:rPr>
          <w:rFonts w:hint="eastAsia" w:ascii="宋体" w:hAnsi="宋体" w:cs="宋体"/>
          <w:szCs w:val="21"/>
          <w:highlight w:val="none"/>
        </w:rPr>
        <w:t>否认合同有效或拒绝履行合同规定的</w:t>
      </w:r>
      <w:bookmarkStart w:id="1707" w:name="REVIEW_BM_1918"/>
      <w:r>
        <w:rPr>
          <w:rFonts w:hint="eastAsia" w:ascii="宋体" w:hAnsi="宋体" w:cs="宋体"/>
          <w:szCs w:val="21"/>
          <w:highlight w:val="none"/>
        </w:rPr>
        <w:t>承包人</w:t>
      </w:r>
      <w:bookmarkEnd w:id="1707"/>
      <w:r>
        <w:rPr>
          <w:rFonts w:hint="eastAsia" w:ascii="宋体" w:hAnsi="宋体" w:cs="宋体"/>
          <w:szCs w:val="21"/>
          <w:highlight w:val="none"/>
        </w:rPr>
        <w:t>义务，或由于法律、财务等原因导致</w:t>
      </w:r>
      <w:bookmarkStart w:id="1708" w:name="REVIEW_BM_1919"/>
      <w:r>
        <w:rPr>
          <w:rFonts w:hint="eastAsia" w:ascii="宋体" w:hAnsi="宋体" w:cs="宋体"/>
          <w:szCs w:val="21"/>
          <w:highlight w:val="none"/>
        </w:rPr>
        <w:t>承包人</w:t>
      </w:r>
      <w:bookmarkEnd w:id="1708"/>
      <w:r>
        <w:rPr>
          <w:rFonts w:hint="eastAsia" w:ascii="宋体" w:hAnsi="宋体" w:cs="宋体"/>
          <w:szCs w:val="21"/>
          <w:highlight w:val="none"/>
        </w:rPr>
        <w:t>无法继续履行或实质上已停止履行合同的义务的；</w:t>
      </w:r>
    </w:p>
    <w:p w14:paraId="7901F240">
      <w:pPr>
        <w:spacing w:line="360" w:lineRule="auto"/>
        <w:ind w:firstLine="420"/>
        <w:rPr>
          <w:rFonts w:hint="eastAsia" w:ascii="宋体" w:hAnsi="宋体" w:cs="宋体"/>
          <w:szCs w:val="21"/>
          <w:highlight w:val="none"/>
        </w:rPr>
      </w:pPr>
      <w:r>
        <w:rPr>
          <w:rFonts w:hint="eastAsia" w:ascii="宋体" w:hAnsi="宋体" w:cs="宋体"/>
          <w:szCs w:val="21"/>
          <w:highlight w:val="none"/>
        </w:rPr>
        <w:t>(6)合同签订且具备法定开工条件后之日起十五日内，</w:t>
      </w:r>
      <w:bookmarkStart w:id="1709" w:name="REVIEW_BM_1920"/>
      <w:r>
        <w:rPr>
          <w:rFonts w:hint="eastAsia" w:ascii="宋体" w:hAnsi="宋体" w:cs="宋体"/>
          <w:szCs w:val="21"/>
          <w:highlight w:val="none"/>
        </w:rPr>
        <w:t>承包人</w:t>
      </w:r>
      <w:bookmarkEnd w:id="1709"/>
      <w:r>
        <w:rPr>
          <w:rFonts w:hint="eastAsia" w:ascii="宋体" w:hAnsi="宋体" w:cs="宋体"/>
          <w:szCs w:val="21"/>
          <w:highlight w:val="none"/>
        </w:rPr>
        <w:t>无法按合同规定及响应文件的承诺进场经监理工程师认可的该施工阶段应有的全部人员和机械的。</w:t>
      </w:r>
    </w:p>
    <w:p w14:paraId="54825D65">
      <w:pPr>
        <w:spacing w:line="360" w:lineRule="auto"/>
        <w:ind w:firstLine="420"/>
        <w:rPr>
          <w:rFonts w:hint="eastAsia" w:ascii="宋体" w:hAnsi="宋体" w:cs="宋体"/>
          <w:szCs w:val="21"/>
          <w:highlight w:val="none"/>
        </w:rPr>
      </w:pPr>
      <w:bookmarkStart w:id="1710" w:name="REVIEW_BM_1921"/>
      <w:r>
        <w:rPr>
          <w:rFonts w:hint="eastAsia" w:ascii="宋体" w:hAnsi="宋体" w:cs="宋体"/>
          <w:szCs w:val="21"/>
          <w:highlight w:val="none"/>
        </w:rPr>
        <w:t>发包人</w:t>
      </w:r>
      <w:bookmarkEnd w:id="1710"/>
      <w:r>
        <w:rPr>
          <w:rFonts w:hint="eastAsia" w:ascii="宋体" w:hAnsi="宋体" w:cs="宋体"/>
          <w:szCs w:val="21"/>
          <w:highlight w:val="none"/>
        </w:rPr>
        <w:t>继续使用</w:t>
      </w:r>
      <w:bookmarkStart w:id="1711" w:name="REVIEW_BM_1922"/>
      <w:r>
        <w:rPr>
          <w:rFonts w:hint="eastAsia" w:ascii="宋体" w:hAnsi="宋体" w:cs="宋体"/>
          <w:szCs w:val="21"/>
          <w:highlight w:val="none"/>
        </w:rPr>
        <w:t>承包人</w:t>
      </w:r>
      <w:bookmarkEnd w:id="1711"/>
      <w:r>
        <w:rPr>
          <w:rFonts w:hint="eastAsia" w:ascii="宋体" w:hAnsi="宋体" w:cs="宋体"/>
          <w:szCs w:val="21"/>
          <w:highlight w:val="none"/>
        </w:rPr>
        <w:t>在施工现场的材料、设备、临时工程、</w:t>
      </w:r>
      <w:bookmarkStart w:id="1712" w:name="REVIEW_BM_1923"/>
      <w:r>
        <w:rPr>
          <w:rFonts w:hint="eastAsia" w:ascii="宋体" w:hAnsi="宋体" w:cs="宋体"/>
          <w:szCs w:val="21"/>
          <w:highlight w:val="none"/>
        </w:rPr>
        <w:t>承包人</w:t>
      </w:r>
      <w:bookmarkEnd w:id="1712"/>
      <w:r>
        <w:rPr>
          <w:rFonts w:hint="eastAsia" w:ascii="宋体" w:hAnsi="宋体" w:cs="宋体"/>
          <w:szCs w:val="21"/>
          <w:highlight w:val="none"/>
        </w:rPr>
        <w:t>文件和由</w:t>
      </w:r>
      <w:bookmarkStart w:id="1713" w:name="REVIEW_BM_1924"/>
      <w:r>
        <w:rPr>
          <w:rFonts w:hint="eastAsia" w:ascii="宋体" w:hAnsi="宋体" w:cs="宋体"/>
          <w:szCs w:val="21"/>
          <w:highlight w:val="none"/>
        </w:rPr>
        <w:t>承包人</w:t>
      </w:r>
      <w:bookmarkEnd w:id="1713"/>
      <w:r>
        <w:rPr>
          <w:rFonts w:hint="eastAsia" w:ascii="宋体" w:hAnsi="宋体" w:cs="宋体"/>
          <w:szCs w:val="21"/>
          <w:highlight w:val="none"/>
        </w:rPr>
        <w:t>或以其名义编制的其他文件的费用承担方式：</w:t>
      </w:r>
      <w:r>
        <w:rPr>
          <w:rFonts w:hint="eastAsia" w:ascii="宋体" w:hAnsi="宋体" w:cs="宋体"/>
          <w:szCs w:val="21"/>
          <w:highlight w:val="none"/>
          <w:u w:val="single"/>
        </w:rPr>
        <w:t>由</w:t>
      </w:r>
      <w:bookmarkStart w:id="1714" w:name="REVIEW_BM_1925"/>
      <w:r>
        <w:rPr>
          <w:rFonts w:hint="eastAsia" w:ascii="宋体" w:hAnsi="宋体" w:cs="宋体"/>
          <w:szCs w:val="21"/>
          <w:highlight w:val="none"/>
          <w:u w:val="single"/>
        </w:rPr>
        <w:t>承包人</w:t>
      </w:r>
      <w:bookmarkEnd w:id="1714"/>
      <w:r>
        <w:rPr>
          <w:rFonts w:hint="eastAsia" w:ascii="宋体" w:hAnsi="宋体" w:cs="宋体"/>
          <w:szCs w:val="21"/>
          <w:highlight w:val="none"/>
          <w:u w:val="single"/>
        </w:rPr>
        <w:t>承担相应费用</w:t>
      </w:r>
      <w:r>
        <w:rPr>
          <w:rFonts w:hint="eastAsia" w:ascii="宋体" w:hAnsi="宋体" w:cs="宋体"/>
          <w:szCs w:val="21"/>
          <w:highlight w:val="none"/>
        </w:rPr>
        <w:t>。</w:t>
      </w:r>
    </w:p>
    <w:p w14:paraId="0295CD8E">
      <w:pPr>
        <w:pStyle w:val="6"/>
        <w:bidi w:val="0"/>
        <w:rPr>
          <w:rFonts w:hint="eastAsia"/>
          <w:highlight w:val="none"/>
        </w:rPr>
      </w:pPr>
      <w:bookmarkStart w:id="1715" w:name="_Toc373478416"/>
      <w:bookmarkStart w:id="1716" w:name="_Toc407135272"/>
      <w:bookmarkStart w:id="1717" w:name="_Toc487632769"/>
      <w:bookmarkStart w:id="1718" w:name="_Toc351203649"/>
      <w:bookmarkStart w:id="1719" w:name="_Toc373227769"/>
      <w:bookmarkStart w:id="1720" w:name="_Toc389065334"/>
      <w:r>
        <w:rPr>
          <w:rFonts w:hint="eastAsia"/>
          <w:highlight w:val="none"/>
        </w:rPr>
        <w:t>17. 不可抗力</w:t>
      </w:r>
      <w:bookmarkEnd w:id="1715"/>
      <w:bookmarkEnd w:id="1716"/>
      <w:bookmarkEnd w:id="1717"/>
      <w:bookmarkEnd w:id="1718"/>
      <w:bookmarkEnd w:id="1719"/>
      <w:bookmarkEnd w:id="1720"/>
      <w:r>
        <w:rPr>
          <w:rFonts w:hint="eastAsia"/>
          <w:highlight w:val="none"/>
        </w:rPr>
        <w:t xml:space="preserve"> </w:t>
      </w:r>
      <w:bookmarkEnd w:id="1636"/>
    </w:p>
    <w:p w14:paraId="2EC8B24C">
      <w:pPr>
        <w:bidi w:val="0"/>
        <w:rPr>
          <w:rFonts w:hint="eastAsia"/>
          <w:highlight w:val="none"/>
        </w:rPr>
      </w:pPr>
      <w:bookmarkStart w:id="1721" w:name="_Toc407135273"/>
      <w:bookmarkStart w:id="1722" w:name="_Toc487632770"/>
      <w:bookmarkStart w:id="1723" w:name="_Toc373227770"/>
      <w:bookmarkStart w:id="1724" w:name="_Toc389065335"/>
      <w:bookmarkStart w:id="1725" w:name="_Toc373478417"/>
      <w:r>
        <w:rPr>
          <w:rFonts w:hint="eastAsia"/>
          <w:highlight w:val="none"/>
        </w:rPr>
        <w:t>17.1 不可抗力的确认</w:t>
      </w:r>
      <w:bookmarkEnd w:id="1721"/>
      <w:bookmarkEnd w:id="1722"/>
      <w:bookmarkEnd w:id="1723"/>
      <w:bookmarkEnd w:id="1724"/>
      <w:bookmarkEnd w:id="1725"/>
    </w:p>
    <w:p w14:paraId="3787C69A">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除通用合同条款约定的不可抗力事件之外，视为不可抗力的其他情形：</w:t>
      </w:r>
      <w:r>
        <w:rPr>
          <w:rFonts w:hint="eastAsia" w:ascii="宋体" w:hAnsi="宋体" w:cs="宋体"/>
          <w:szCs w:val="21"/>
          <w:highlight w:val="none"/>
          <w:u w:val="single"/>
        </w:rPr>
        <w:t xml:space="preserve">  ① 6级以上的地震；②10级以上的持续3天的大风；③暴雨级以上的持续3天的大雨；④50年以上未发生过，持续3天的高温天气⑤50年以上未发生过，持续3天的严寒天气；⑥50年以上未发生过的洪水；⑦战争、战乱、空中巨型物坠落；⑧其他不可预见的不可抗力；⑨由于任何爆炸性核装置或其看不见的任何核燃料或核燃料燃烧后的核废物、放射性有毒炸药，或其它有害物质所引起的放射性污染</w:t>
      </w:r>
      <w:r>
        <w:rPr>
          <w:rFonts w:hint="eastAsia" w:ascii="宋体" w:hAnsi="宋体" w:cs="宋体"/>
          <w:szCs w:val="21"/>
          <w:highlight w:val="none"/>
        </w:rPr>
        <w:t>。</w:t>
      </w:r>
    </w:p>
    <w:p w14:paraId="35B3C84E">
      <w:pPr>
        <w:bidi w:val="0"/>
        <w:rPr>
          <w:rFonts w:hint="eastAsia"/>
          <w:highlight w:val="none"/>
        </w:rPr>
      </w:pPr>
      <w:bookmarkStart w:id="1726" w:name="_Toc373227771"/>
      <w:bookmarkStart w:id="1727" w:name="_Toc373478418"/>
      <w:bookmarkStart w:id="1728" w:name="_Toc407135274"/>
      <w:bookmarkStart w:id="1729" w:name="_Toc487632771"/>
      <w:bookmarkStart w:id="1730" w:name="_Toc389065336"/>
      <w:r>
        <w:rPr>
          <w:rFonts w:hint="eastAsia"/>
          <w:highlight w:val="none"/>
        </w:rPr>
        <w:t>17.4 因不可抗力解除合同</w:t>
      </w:r>
      <w:bookmarkEnd w:id="1726"/>
      <w:bookmarkEnd w:id="1727"/>
      <w:bookmarkEnd w:id="1728"/>
      <w:bookmarkEnd w:id="1729"/>
      <w:bookmarkEnd w:id="1730"/>
    </w:p>
    <w:p w14:paraId="540C5FF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合同解除后，</w:t>
      </w:r>
      <w:bookmarkStart w:id="1731" w:name="REVIEW_BM_1926"/>
      <w:r>
        <w:rPr>
          <w:rFonts w:hint="eastAsia" w:ascii="宋体" w:hAnsi="宋体" w:cs="宋体"/>
          <w:szCs w:val="21"/>
          <w:highlight w:val="none"/>
        </w:rPr>
        <w:t>发包人</w:t>
      </w:r>
      <w:bookmarkEnd w:id="1731"/>
      <w:r>
        <w:rPr>
          <w:rFonts w:hint="eastAsia" w:ascii="宋体" w:hAnsi="宋体" w:cs="宋体"/>
          <w:szCs w:val="21"/>
          <w:highlight w:val="none"/>
        </w:rPr>
        <w:t>应在商定或确定</w:t>
      </w:r>
      <w:bookmarkStart w:id="1732" w:name="REVIEW_BM_1927"/>
      <w:r>
        <w:rPr>
          <w:rFonts w:hint="eastAsia" w:ascii="宋体" w:hAnsi="宋体" w:cs="宋体"/>
          <w:szCs w:val="21"/>
          <w:highlight w:val="none"/>
        </w:rPr>
        <w:t>发包人</w:t>
      </w:r>
      <w:bookmarkEnd w:id="1732"/>
      <w:r>
        <w:rPr>
          <w:rFonts w:hint="eastAsia" w:ascii="宋体" w:hAnsi="宋体" w:cs="宋体"/>
          <w:szCs w:val="21"/>
          <w:highlight w:val="none"/>
        </w:rPr>
        <w:t>应支付款项后</w:t>
      </w:r>
      <w:r>
        <w:rPr>
          <w:rFonts w:hint="eastAsia" w:ascii="宋体" w:hAnsi="宋体" w:cs="宋体"/>
          <w:szCs w:val="21"/>
          <w:highlight w:val="none"/>
          <w:u w:val="single"/>
        </w:rPr>
        <w:t xml:space="preserve">  30  </w:t>
      </w:r>
      <w:r>
        <w:rPr>
          <w:rFonts w:hint="eastAsia" w:ascii="宋体" w:hAnsi="宋体" w:cs="宋体"/>
          <w:szCs w:val="21"/>
          <w:highlight w:val="none"/>
        </w:rPr>
        <w:t>天内完成款项的支付。</w:t>
      </w:r>
    </w:p>
    <w:p w14:paraId="600B8C7E">
      <w:pPr>
        <w:pStyle w:val="6"/>
        <w:bidi w:val="0"/>
        <w:rPr>
          <w:rFonts w:hint="eastAsia"/>
          <w:highlight w:val="none"/>
        </w:rPr>
      </w:pPr>
      <w:bookmarkStart w:id="1733" w:name="_Toc407135275"/>
      <w:bookmarkStart w:id="1734" w:name="_Toc373227772"/>
      <w:bookmarkStart w:id="1735" w:name="_Toc487632772"/>
      <w:bookmarkStart w:id="1736" w:name="_Toc351203650"/>
      <w:bookmarkStart w:id="1737" w:name="_Toc389065337"/>
      <w:bookmarkStart w:id="1738" w:name="_Toc373478419"/>
      <w:r>
        <w:rPr>
          <w:rFonts w:hint="eastAsia"/>
          <w:highlight w:val="none"/>
        </w:rPr>
        <w:t>18. 保险</w:t>
      </w:r>
      <w:bookmarkEnd w:id="1637"/>
      <w:bookmarkEnd w:id="1733"/>
      <w:bookmarkEnd w:id="1734"/>
      <w:bookmarkEnd w:id="1735"/>
      <w:bookmarkEnd w:id="1736"/>
      <w:bookmarkEnd w:id="1737"/>
      <w:bookmarkEnd w:id="1738"/>
    </w:p>
    <w:p w14:paraId="0167A0F9">
      <w:pPr>
        <w:bidi w:val="0"/>
        <w:rPr>
          <w:rFonts w:hint="eastAsia"/>
          <w:highlight w:val="none"/>
        </w:rPr>
      </w:pPr>
      <w:bookmarkStart w:id="1739" w:name="_Toc407135276"/>
      <w:bookmarkStart w:id="1740" w:name="_Toc487632773"/>
      <w:bookmarkStart w:id="1741" w:name="_Toc389065338"/>
      <w:bookmarkStart w:id="1742" w:name="_Toc373478420"/>
      <w:bookmarkStart w:id="1743" w:name="_Toc373227773"/>
      <w:r>
        <w:rPr>
          <w:rFonts w:hint="eastAsia"/>
          <w:highlight w:val="none"/>
        </w:rPr>
        <w:t>18.1 工程保险</w:t>
      </w:r>
      <w:bookmarkEnd w:id="1739"/>
      <w:bookmarkEnd w:id="1740"/>
      <w:bookmarkEnd w:id="1741"/>
      <w:bookmarkEnd w:id="1742"/>
      <w:bookmarkEnd w:id="1743"/>
    </w:p>
    <w:p w14:paraId="5DF698D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关于工程保险的特别约定：</w:t>
      </w:r>
      <w:r>
        <w:rPr>
          <w:rFonts w:hint="eastAsia" w:ascii="宋体" w:hAnsi="宋体" w:cs="宋体"/>
          <w:szCs w:val="21"/>
          <w:highlight w:val="none"/>
          <w:u w:val="single"/>
        </w:rPr>
        <w:t xml:space="preserve">    </w:t>
      </w:r>
      <w:bookmarkStart w:id="1744" w:name="REVIEW_BM_1928"/>
      <w:r>
        <w:rPr>
          <w:rFonts w:hint="eastAsia" w:ascii="宋体" w:hAnsi="宋体" w:cs="宋体"/>
          <w:szCs w:val="21"/>
          <w:highlight w:val="none"/>
          <w:u w:val="single"/>
        </w:rPr>
        <w:t>承包人</w:t>
      </w:r>
      <w:bookmarkEnd w:id="1744"/>
      <w:r>
        <w:rPr>
          <w:rFonts w:hint="eastAsia" w:ascii="宋体" w:hAnsi="宋体" w:cs="宋体"/>
          <w:szCs w:val="21"/>
          <w:highlight w:val="none"/>
          <w:u w:val="single"/>
        </w:rPr>
        <w:t xml:space="preserve">应按相关规定执行，费用自行承担      </w:t>
      </w:r>
      <w:r>
        <w:rPr>
          <w:rFonts w:hint="eastAsia" w:ascii="宋体" w:hAnsi="宋体" w:cs="宋体"/>
          <w:szCs w:val="21"/>
          <w:highlight w:val="none"/>
        </w:rPr>
        <w:t>。</w:t>
      </w:r>
    </w:p>
    <w:p w14:paraId="04DC32B4">
      <w:pPr>
        <w:bidi w:val="0"/>
        <w:rPr>
          <w:rFonts w:hint="eastAsia"/>
          <w:highlight w:val="none"/>
        </w:rPr>
      </w:pPr>
      <w:bookmarkStart w:id="1745" w:name="_Toc389065339"/>
      <w:bookmarkStart w:id="1746" w:name="_Toc373478421"/>
      <w:bookmarkStart w:id="1747" w:name="_Toc407135277"/>
      <w:bookmarkStart w:id="1748" w:name="_Toc373227774"/>
      <w:bookmarkStart w:id="1749" w:name="_Toc487632774"/>
      <w:r>
        <w:rPr>
          <w:rFonts w:hint="eastAsia"/>
          <w:highlight w:val="none"/>
        </w:rPr>
        <w:t>18.3 其他保险</w:t>
      </w:r>
      <w:bookmarkEnd w:id="1745"/>
      <w:bookmarkEnd w:id="1746"/>
      <w:bookmarkEnd w:id="1747"/>
      <w:bookmarkEnd w:id="1748"/>
      <w:bookmarkEnd w:id="1749"/>
    </w:p>
    <w:p w14:paraId="0579941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关于其他保险的约定：</w:t>
      </w:r>
      <w:r>
        <w:rPr>
          <w:rFonts w:hint="eastAsia" w:ascii="宋体" w:hAnsi="宋体" w:cs="宋体"/>
          <w:szCs w:val="21"/>
          <w:highlight w:val="none"/>
          <w:u w:val="single"/>
        </w:rPr>
        <w:t xml:space="preserve">  </w:t>
      </w:r>
      <w:bookmarkStart w:id="1750" w:name="REVIEW_BM_1929"/>
      <w:r>
        <w:rPr>
          <w:rFonts w:hint="eastAsia" w:ascii="宋体" w:hAnsi="宋体" w:cs="宋体"/>
          <w:szCs w:val="21"/>
          <w:highlight w:val="none"/>
          <w:u w:val="single"/>
        </w:rPr>
        <w:t>承包人</w:t>
      </w:r>
      <w:bookmarkEnd w:id="1750"/>
      <w:r>
        <w:rPr>
          <w:rFonts w:hint="eastAsia" w:ascii="宋体" w:hAnsi="宋体" w:cs="宋体"/>
          <w:szCs w:val="21"/>
          <w:highlight w:val="none"/>
          <w:u w:val="single"/>
        </w:rPr>
        <w:t xml:space="preserve">须根据相关规定办理意外伤害保险费，费用自行承担  </w:t>
      </w:r>
      <w:r>
        <w:rPr>
          <w:rFonts w:hint="eastAsia" w:ascii="宋体" w:hAnsi="宋体" w:cs="宋体"/>
          <w:szCs w:val="21"/>
          <w:highlight w:val="none"/>
        </w:rPr>
        <w:t>。</w:t>
      </w:r>
    </w:p>
    <w:p w14:paraId="19135437">
      <w:pPr>
        <w:spacing w:line="360" w:lineRule="auto"/>
        <w:ind w:firstLine="420"/>
        <w:jc w:val="left"/>
        <w:rPr>
          <w:rFonts w:hint="eastAsia" w:ascii="宋体" w:hAnsi="宋体" w:cs="宋体"/>
          <w:szCs w:val="21"/>
          <w:highlight w:val="none"/>
          <w:u w:val="single"/>
        </w:rPr>
      </w:pPr>
      <w:bookmarkStart w:id="1751" w:name="REVIEW_BM_1930"/>
      <w:r>
        <w:rPr>
          <w:rFonts w:hint="eastAsia" w:ascii="宋体" w:hAnsi="宋体" w:cs="宋体"/>
          <w:szCs w:val="21"/>
          <w:highlight w:val="none"/>
        </w:rPr>
        <w:t>承包人</w:t>
      </w:r>
      <w:bookmarkEnd w:id="1751"/>
      <w:r>
        <w:rPr>
          <w:rFonts w:hint="eastAsia" w:ascii="宋体" w:hAnsi="宋体" w:cs="宋体"/>
          <w:szCs w:val="21"/>
          <w:highlight w:val="none"/>
        </w:rPr>
        <w:t>是否应为其施工设备等办理财产保险：</w:t>
      </w:r>
      <w:r>
        <w:rPr>
          <w:rFonts w:hint="eastAsia" w:ascii="宋体" w:hAnsi="宋体" w:cs="宋体"/>
          <w:szCs w:val="21"/>
          <w:highlight w:val="none"/>
          <w:u w:val="single"/>
        </w:rPr>
        <w:t xml:space="preserve">   由</w:t>
      </w:r>
      <w:bookmarkStart w:id="1752" w:name="REVIEW_BM_1931"/>
      <w:r>
        <w:rPr>
          <w:rFonts w:hint="eastAsia" w:ascii="宋体" w:hAnsi="宋体" w:cs="宋体"/>
          <w:szCs w:val="21"/>
          <w:highlight w:val="none"/>
          <w:u w:val="single"/>
        </w:rPr>
        <w:t>承包人</w:t>
      </w:r>
      <w:bookmarkEnd w:id="1752"/>
      <w:r>
        <w:rPr>
          <w:rFonts w:hint="eastAsia" w:ascii="宋体" w:hAnsi="宋体" w:cs="宋体"/>
          <w:szCs w:val="21"/>
          <w:highlight w:val="none"/>
          <w:u w:val="single"/>
        </w:rPr>
        <w:t xml:space="preserve">自行办理并承担相关费用  </w:t>
      </w:r>
      <w:r>
        <w:rPr>
          <w:rFonts w:hint="eastAsia" w:ascii="宋体" w:hAnsi="宋体" w:cs="宋体"/>
          <w:szCs w:val="21"/>
          <w:highlight w:val="none"/>
        </w:rPr>
        <w:t>。</w:t>
      </w:r>
    </w:p>
    <w:p w14:paraId="0824A8DE">
      <w:pPr>
        <w:bidi w:val="0"/>
        <w:rPr>
          <w:rFonts w:hint="eastAsia"/>
          <w:highlight w:val="none"/>
        </w:rPr>
      </w:pPr>
      <w:bookmarkStart w:id="1753" w:name="_Toc407135278"/>
      <w:bookmarkStart w:id="1754" w:name="_Toc487632775"/>
      <w:bookmarkStart w:id="1755" w:name="_Toc373227775"/>
      <w:bookmarkStart w:id="1756" w:name="_Toc389065340"/>
      <w:bookmarkStart w:id="1757" w:name="_Toc373478422"/>
      <w:r>
        <w:rPr>
          <w:rFonts w:hint="eastAsia"/>
          <w:highlight w:val="none"/>
        </w:rPr>
        <w:t>18.7 通知义务</w:t>
      </w:r>
      <w:bookmarkEnd w:id="1753"/>
      <w:bookmarkEnd w:id="1754"/>
      <w:bookmarkEnd w:id="1755"/>
      <w:bookmarkEnd w:id="1756"/>
      <w:bookmarkEnd w:id="1757"/>
    </w:p>
    <w:p w14:paraId="04DC8991">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关于变更保险合同时的通知义务的约定：</w:t>
      </w:r>
      <w:r>
        <w:rPr>
          <w:rFonts w:hint="eastAsia" w:ascii="宋体" w:hAnsi="宋体" w:cs="宋体"/>
          <w:szCs w:val="21"/>
          <w:highlight w:val="none"/>
          <w:u w:val="single"/>
        </w:rPr>
        <w:t xml:space="preserve">    执行通用条款    </w:t>
      </w:r>
      <w:r>
        <w:rPr>
          <w:rFonts w:hint="eastAsia" w:ascii="宋体" w:hAnsi="宋体" w:cs="宋体"/>
          <w:szCs w:val="21"/>
          <w:highlight w:val="none"/>
        </w:rPr>
        <w:t>。</w:t>
      </w:r>
      <w:bookmarkEnd w:id="1584"/>
      <w:bookmarkEnd w:id="1585"/>
      <w:bookmarkEnd w:id="1586"/>
      <w:bookmarkEnd w:id="1587"/>
      <w:bookmarkEnd w:id="1588"/>
      <w:bookmarkEnd w:id="1589"/>
      <w:bookmarkEnd w:id="1590"/>
      <w:bookmarkEnd w:id="1591"/>
      <w:bookmarkEnd w:id="1592"/>
      <w:bookmarkEnd w:id="1593"/>
      <w:bookmarkEnd w:id="1594"/>
      <w:bookmarkEnd w:id="1595"/>
    </w:p>
    <w:p w14:paraId="63CCDDE2">
      <w:pPr>
        <w:pStyle w:val="6"/>
        <w:bidi w:val="0"/>
        <w:rPr>
          <w:rFonts w:hint="eastAsia"/>
          <w:highlight w:val="none"/>
        </w:rPr>
      </w:pPr>
      <w:bookmarkStart w:id="1758" w:name="_Toc407135279"/>
      <w:bookmarkStart w:id="1759" w:name="_Toc373478423"/>
      <w:bookmarkStart w:id="1760" w:name="_Toc487632776"/>
      <w:bookmarkStart w:id="1761" w:name="_Toc389065341"/>
      <w:bookmarkStart w:id="1762" w:name="_Toc373227776"/>
      <w:bookmarkStart w:id="1763" w:name="_Toc351203651"/>
      <w:r>
        <w:rPr>
          <w:rFonts w:hint="eastAsia"/>
          <w:highlight w:val="none"/>
        </w:rPr>
        <w:t>20. 争议解决</w:t>
      </w:r>
      <w:bookmarkEnd w:id="1596"/>
      <w:bookmarkEnd w:id="1597"/>
      <w:bookmarkEnd w:id="1758"/>
      <w:bookmarkEnd w:id="1759"/>
      <w:bookmarkEnd w:id="1760"/>
      <w:bookmarkEnd w:id="1761"/>
      <w:bookmarkEnd w:id="1762"/>
      <w:bookmarkEnd w:id="1763"/>
    </w:p>
    <w:p w14:paraId="03200167">
      <w:pPr>
        <w:bidi w:val="0"/>
        <w:rPr>
          <w:rFonts w:hint="eastAsia"/>
          <w:highlight w:val="none"/>
        </w:rPr>
      </w:pPr>
      <w:bookmarkStart w:id="1764" w:name="_Toc389065342"/>
      <w:bookmarkStart w:id="1765" w:name="_Toc407135280"/>
      <w:bookmarkStart w:id="1766" w:name="_Toc373478424"/>
      <w:bookmarkStart w:id="1767" w:name="_Toc487632777"/>
      <w:bookmarkStart w:id="1768" w:name="_Toc373227777"/>
      <w:r>
        <w:rPr>
          <w:rFonts w:hint="eastAsia"/>
          <w:highlight w:val="none"/>
        </w:rPr>
        <w:t>20.3 争</w:t>
      </w:r>
      <w:bookmarkEnd w:id="1598"/>
      <w:r>
        <w:rPr>
          <w:rFonts w:hint="eastAsia"/>
          <w:highlight w:val="none"/>
        </w:rPr>
        <w:t>议评审</w:t>
      </w:r>
      <w:bookmarkEnd w:id="1764"/>
      <w:bookmarkEnd w:id="1765"/>
      <w:bookmarkEnd w:id="1766"/>
      <w:bookmarkEnd w:id="1767"/>
      <w:bookmarkEnd w:id="1768"/>
    </w:p>
    <w:p w14:paraId="73A678A7">
      <w:pPr>
        <w:spacing w:line="360" w:lineRule="auto"/>
        <w:ind w:left="149" w:firstLine="315"/>
        <w:jc w:val="left"/>
        <w:rPr>
          <w:rFonts w:hint="eastAsia" w:ascii="宋体" w:hAnsi="宋体" w:cs="宋体"/>
          <w:szCs w:val="21"/>
          <w:highlight w:val="none"/>
          <w:u w:val="single"/>
        </w:rPr>
      </w:pPr>
      <w:r>
        <w:rPr>
          <w:rFonts w:hint="eastAsia" w:ascii="宋体" w:hAnsi="宋体" w:cs="宋体"/>
          <w:szCs w:val="21"/>
          <w:highlight w:val="none"/>
        </w:rPr>
        <w:t>合同当事人是否同意将工程争议提交争议评审小组决定：</w:t>
      </w:r>
      <w:r>
        <w:rPr>
          <w:rFonts w:hint="eastAsia" w:ascii="宋体" w:hAnsi="宋体" w:cs="宋体"/>
          <w:szCs w:val="21"/>
          <w:highlight w:val="none"/>
          <w:u w:val="single"/>
        </w:rPr>
        <w:t xml:space="preserve">不同意       </w:t>
      </w:r>
      <w:r>
        <w:rPr>
          <w:rFonts w:hint="eastAsia" w:ascii="宋体" w:hAnsi="宋体" w:cs="宋体"/>
          <w:szCs w:val="21"/>
          <w:highlight w:val="none"/>
        </w:rPr>
        <w:t>。</w:t>
      </w:r>
    </w:p>
    <w:p w14:paraId="5342BD03">
      <w:pPr>
        <w:bidi w:val="0"/>
        <w:rPr>
          <w:rFonts w:hint="eastAsia"/>
          <w:highlight w:val="none"/>
        </w:rPr>
      </w:pPr>
      <w:r>
        <w:rPr>
          <w:rFonts w:hint="eastAsia"/>
          <w:highlight w:val="none"/>
        </w:rPr>
        <w:t>20.3.1 争议评审小组的确定</w:t>
      </w:r>
    </w:p>
    <w:p w14:paraId="1DF20F5A">
      <w:pPr>
        <w:spacing w:line="360" w:lineRule="auto"/>
        <w:ind w:firstLine="420"/>
        <w:jc w:val="left"/>
        <w:rPr>
          <w:rFonts w:hint="eastAsia" w:ascii="宋体" w:hAnsi="宋体" w:cs="宋体"/>
          <w:szCs w:val="21"/>
          <w:highlight w:val="none"/>
          <w:u w:val="single"/>
        </w:rPr>
      </w:pPr>
      <w:r>
        <w:rPr>
          <w:rFonts w:hint="eastAsia" w:ascii="宋体" w:hAnsi="宋体" w:cs="宋体"/>
          <w:szCs w:val="21"/>
          <w:highlight w:val="none"/>
        </w:rPr>
        <w:t>争议评审小组成员的确定：</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无</w:t>
      </w:r>
      <w:r>
        <w:rPr>
          <w:rFonts w:hint="eastAsia" w:ascii="宋体" w:hAnsi="宋体" w:cs="宋体"/>
          <w:szCs w:val="21"/>
          <w:highlight w:val="none"/>
          <w:u w:val="single"/>
        </w:rPr>
        <w:t xml:space="preserve">                  </w:t>
      </w:r>
      <w:r>
        <w:rPr>
          <w:rFonts w:hint="eastAsia" w:ascii="宋体" w:hAnsi="宋体" w:cs="宋体"/>
          <w:szCs w:val="21"/>
          <w:highlight w:val="none"/>
        </w:rPr>
        <w:t>。</w:t>
      </w:r>
    </w:p>
    <w:p w14:paraId="383EEDE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选定争议评审员的期限：</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无</w:t>
      </w:r>
      <w:r>
        <w:rPr>
          <w:rFonts w:hint="eastAsia" w:ascii="宋体" w:hAnsi="宋体" w:cs="宋体"/>
          <w:szCs w:val="21"/>
          <w:highlight w:val="none"/>
          <w:u w:val="single"/>
        </w:rPr>
        <w:t xml:space="preserve">                 </w:t>
      </w:r>
      <w:r>
        <w:rPr>
          <w:rFonts w:hint="eastAsia" w:ascii="宋体" w:hAnsi="宋体" w:cs="宋体"/>
          <w:szCs w:val="21"/>
          <w:highlight w:val="none"/>
        </w:rPr>
        <w:t>。</w:t>
      </w:r>
    </w:p>
    <w:p w14:paraId="60BFE7F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争议评审小组成员的报酬承担方式：</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无</w:t>
      </w:r>
      <w:r>
        <w:rPr>
          <w:rFonts w:hint="eastAsia" w:ascii="宋体" w:hAnsi="宋体" w:cs="宋体"/>
          <w:szCs w:val="21"/>
          <w:highlight w:val="none"/>
          <w:u w:val="single"/>
        </w:rPr>
        <w:t xml:space="preserve">            </w:t>
      </w:r>
      <w:r>
        <w:rPr>
          <w:rFonts w:hint="eastAsia" w:ascii="宋体" w:hAnsi="宋体" w:cs="宋体"/>
          <w:szCs w:val="21"/>
          <w:highlight w:val="none"/>
        </w:rPr>
        <w:t>。</w:t>
      </w:r>
    </w:p>
    <w:p w14:paraId="26BD18D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其他事项的约定：</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无</w:t>
      </w:r>
      <w:r>
        <w:rPr>
          <w:rFonts w:hint="eastAsia" w:ascii="宋体" w:hAnsi="宋体" w:cs="宋体"/>
          <w:szCs w:val="21"/>
          <w:highlight w:val="none"/>
          <w:u w:val="single"/>
        </w:rPr>
        <w:t xml:space="preserve">                  </w:t>
      </w:r>
      <w:r>
        <w:rPr>
          <w:rFonts w:hint="eastAsia" w:ascii="宋体" w:hAnsi="宋体" w:cs="宋体"/>
          <w:szCs w:val="21"/>
          <w:highlight w:val="none"/>
        </w:rPr>
        <w:t>。</w:t>
      </w:r>
    </w:p>
    <w:p w14:paraId="455A22B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20.3.2 争议评审小组的决定</w:t>
      </w:r>
    </w:p>
    <w:p w14:paraId="69D31EE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合同当事人关于本项的约定：</w:t>
      </w:r>
      <w:r>
        <w:rPr>
          <w:rFonts w:hint="eastAsia" w:ascii="宋体" w:hAnsi="宋体" w:cs="宋体"/>
          <w:szCs w:val="21"/>
          <w:highlight w:val="none"/>
          <w:u w:val="single"/>
        </w:rPr>
        <w:t xml:space="preserve">             </w:t>
      </w:r>
      <w:r>
        <w:rPr>
          <w:rFonts w:hint="eastAsia" w:ascii="宋体" w:hAnsi="宋体" w:cs="宋体"/>
          <w:szCs w:val="21"/>
          <w:highlight w:val="none"/>
          <w:u w:val="single"/>
          <w:lang w:val="en-US" w:eastAsia="zh-CN"/>
        </w:rPr>
        <w:t>无</w:t>
      </w:r>
      <w:r>
        <w:rPr>
          <w:rFonts w:hint="eastAsia" w:ascii="宋体" w:hAnsi="宋体" w:cs="宋体"/>
          <w:szCs w:val="21"/>
          <w:highlight w:val="none"/>
          <w:u w:val="single"/>
        </w:rPr>
        <w:t xml:space="preserve">              </w:t>
      </w:r>
      <w:r>
        <w:rPr>
          <w:rFonts w:hint="eastAsia" w:ascii="宋体" w:hAnsi="宋体" w:cs="宋体"/>
          <w:szCs w:val="21"/>
          <w:highlight w:val="none"/>
        </w:rPr>
        <w:t>。</w:t>
      </w:r>
    </w:p>
    <w:p w14:paraId="593DF1C4">
      <w:pPr>
        <w:bidi w:val="0"/>
        <w:rPr>
          <w:rFonts w:hint="eastAsia"/>
          <w:highlight w:val="none"/>
        </w:rPr>
      </w:pPr>
      <w:bookmarkStart w:id="1769" w:name="_Toc407135281"/>
      <w:bookmarkStart w:id="1770" w:name="_Toc373478425"/>
      <w:bookmarkStart w:id="1771" w:name="_Toc389065343"/>
      <w:bookmarkStart w:id="1772" w:name="_Toc373227778"/>
      <w:bookmarkStart w:id="1773" w:name="_Toc487632778"/>
      <w:r>
        <w:rPr>
          <w:rFonts w:hint="eastAsia"/>
          <w:highlight w:val="none"/>
        </w:rPr>
        <w:t>20.4 仲裁或诉讼</w:t>
      </w:r>
      <w:bookmarkEnd w:id="1599"/>
      <w:bookmarkEnd w:id="1769"/>
      <w:bookmarkEnd w:id="1770"/>
      <w:bookmarkEnd w:id="1771"/>
      <w:bookmarkEnd w:id="1772"/>
      <w:bookmarkEnd w:id="1773"/>
    </w:p>
    <w:p w14:paraId="009AD471">
      <w:pPr>
        <w:spacing w:line="360" w:lineRule="auto"/>
        <w:ind w:firstLine="420"/>
        <w:rPr>
          <w:rFonts w:hint="eastAsia" w:ascii="宋体" w:hAnsi="宋体" w:cs="宋体"/>
          <w:szCs w:val="21"/>
          <w:highlight w:val="none"/>
        </w:rPr>
      </w:pPr>
      <w:r>
        <w:rPr>
          <w:rFonts w:hint="eastAsia" w:ascii="宋体" w:hAnsi="宋体" w:cs="宋体"/>
          <w:szCs w:val="21"/>
          <w:highlight w:val="none"/>
        </w:rPr>
        <w:t>因合同及合同有关事项发生的争议，按下列第</w:t>
      </w:r>
      <w:r>
        <w:rPr>
          <w:rFonts w:hint="eastAsia" w:ascii="宋体" w:hAnsi="宋体" w:cs="宋体"/>
          <w:szCs w:val="21"/>
          <w:highlight w:val="none"/>
          <w:u w:val="single"/>
        </w:rPr>
        <w:t xml:space="preserve">  （2）   </w:t>
      </w:r>
      <w:r>
        <w:rPr>
          <w:rFonts w:hint="eastAsia" w:ascii="宋体" w:hAnsi="宋体" w:cs="宋体"/>
          <w:szCs w:val="21"/>
          <w:highlight w:val="none"/>
        </w:rPr>
        <w:t>种方式解决：</w:t>
      </w:r>
    </w:p>
    <w:p w14:paraId="3A80D9F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（1）提请</w:t>
      </w:r>
      <w:r>
        <w:rPr>
          <w:rFonts w:hint="eastAsia" w:ascii="宋体" w:hAnsi="宋体" w:cs="宋体"/>
          <w:szCs w:val="21"/>
          <w:highlight w:val="none"/>
          <w:u w:val="single"/>
        </w:rPr>
        <w:t xml:space="preserve">   /  </w:t>
      </w:r>
      <w:r>
        <w:rPr>
          <w:rFonts w:hint="eastAsia" w:ascii="宋体" w:hAnsi="宋体" w:cs="宋体"/>
          <w:szCs w:val="21"/>
          <w:highlight w:val="none"/>
        </w:rPr>
        <w:t>仲裁委员会按照该会仲裁规则进行仲裁，仲裁裁决是终局的，对合同双方均有约束力。</w:t>
      </w:r>
    </w:p>
    <w:p w14:paraId="66A9037E">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（2）向</w:t>
      </w:r>
      <w:r>
        <w:rPr>
          <w:rFonts w:hint="eastAsia" w:ascii="宋体" w:hAnsi="宋体" w:cs="宋体"/>
          <w:szCs w:val="21"/>
          <w:highlight w:val="none"/>
          <w:u w:val="single"/>
        </w:rPr>
        <w:t xml:space="preserve">   工程项目所在地的   </w:t>
      </w:r>
      <w:r>
        <w:rPr>
          <w:rFonts w:hint="eastAsia" w:ascii="宋体" w:hAnsi="宋体" w:cs="宋体"/>
          <w:szCs w:val="21"/>
          <w:highlight w:val="none"/>
        </w:rPr>
        <w:t>人民法院起诉。</w:t>
      </w:r>
      <w:bookmarkEnd w:id="1600"/>
      <w:bookmarkEnd w:id="1601"/>
      <w:bookmarkEnd w:id="1602"/>
      <w:bookmarkEnd w:id="1603"/>
      <w:bookmarkEnd w:id="1604"/>
      <w:bookmarkEnd w:id="1605"/>
    </w:p>
    <w:p w14:paraId="16B98B03">
      <w:pPr>
        <w:pStyle w:val="6"/>
        <w:bidi w:val="0"/>
        <w:rPr>
          <w:rFonts w:hint="eastAsia"/>
          <w:highlight w:val="none"/>
        </w:rPr>
      </w:pPr>
      <w:bookmarkStart w:id="1774" w:name="_Toc373478426"/>
      <w:bookmarkStart w:id="1775" w:name="_Toc487632779"/>
      <w:bookmarkStart w:id="1776" w:name="_Toc373227779"/>
      <w:bookmarkStart w:id="1777" w:name="_Toc389065344"/>
      <w:bookmarkStart w:id="1778" w:name="_Toc407135282"/>
      <w:r>
        <w:rPr>
          <w:rFonts w:hint="eastAsia"/>
          <w:highlight w:val="none"/>
        </w:rPr>
        <w:t>21. 补充条款</w:t>
      </w:r>
      <w:bookmarkEnd w:id="1774"/>
      <w:bookmarkEnd w:id="1775"/>
      <w:bookmarkEnd w:id="1776"/>
      <w:bookmarkEnd w:id="1777"/>
      <w:bookmarkEnd w:id="1778"/>
    </w:p>
    <w:p w14:paraId="3F080A8C">
      <w:pPr>
        <w:spacing w:line="360" w:lineRule="auto"/>
        <w:ind w:firstLine="420"/>
        <w:rPr>
          <w:rFonts w:hint="eastAsia" w:ascii="宋体" w:hAnsi="宋体" w:cs="宋体"/>
          <w:szCs w:val="21"/>
          <w:highlight w:val="none"/>
        </w:rPr>
      </w:pPr>
      <w:r>
        <w:rPr>
          <w:rFonts w:hint="eastAsia" w:ascii="宋体" w:hAnsi="宋体" w:cs="宋体"/>
          <w:szCs w:val="21"/>
          <w:highlight w:val="none"/>
        </w:rPr>
        <w:t>21.1工程质量</w:t>
      </w:r>
    </w:p>
    <w:p w14:paraId="6E8E138C">
      <w:pPr>
        <w:spacing w:line="360" w:lineRule="auto"/>
        <w:ind w:firstLine="420"/>
        <w:rPr>
          <w:rFonts w:hint="eastAsia" w:ascii="宋体" w:hAnsi="宋体" w:cs="宋体"/>
          <w:szCs w:val="21"/>
          <w:highlight w:val="none"/>
        </w:rPr>
      </w:pPr>
      <w:r>
        <w:rPr>
          <w:rFonts w:hint="eastAsia" w:ascii="宋体" w:hAnsi="宋体" w:cs="宋体"/>
          <w:szCs w:val="21"/>
          <w:highlight w:val="none"/>
        </w:rPr>
        <w:t>21.1.1分部工程质量验收时</w:t>
      </w:r>
      <w:bookmarkStart w:id="1779" w:name="REVIEW_BM_1936"/>
      <w:r>
        <w:rPr>
          <w:rFonts w:hint="eastAsia" w:ascii="宋体" w:hAnsi="宋体" w:cs="宋体"/>
          <w:szCs w:val="21"/>
          <w:highlight w:val="none"/>
        </w:rPr>
        <w:t>,</w:t>
      </w:r>
      <w:bookmarkEnd w:id="1779"/>
      <w:r>
        <w:rPr>
          <w:rFonts w:hint="eastAsia" w:ascii="宋体" w:hAnsi="宋体" w:cs="宋体"/>
          <w:szCs w:val="21"/>
          <w:highlight w:val="none"/>
        </w:rPr>
        <w:t>若工程质量不合格，</w:t>
      </w:r>
      <w:bookmarkStart w:id="1780" w:name="REVIEW_BM_1932"/>
      <w:r>
        <w:rPr>
          <w:rFonts w:hint="eastAsia" w:ascii="宋体" w:hAnsi="宋体" w:cs="宋体"/>
          <w:szCs w:val="21"/>
          <w:highlight w:val="none"/>
        </w:rPr>
        <w:t>发包人</w:t>
      </w:r>
      <w:bookmarkEnd w:id="1780"/>
      <w:r>
        <w:rPr>
          <w:rFonts w:hint="eastAsia" w:ascii="宋体" w:hAnsi="宋体" w:cs="宋体"/>
          <w:szCs w:val="21"/>
          <w:highlight w:val="none"/>
        </w:rPr>
        <w:t>可视其情节轻重，每处每次处以</w:t>
      </w:r>
      <w:bookmarkStart w:id="1781" w:name="REVIEW_BM_1934"/>
      <w:r>
        <w:rPr>
          <w:rFonts w:hint="eastAsia" w:ascii="宋体" w:hAnsi="宋体" w:cs="宋体"/>
          <w:szCs w:val="21"/>
          <w:highlight w:val="none"/>
        </w:rPr>
        <w:t>承包人</w:t>
      </w:r>
      <w:bookmarkEnd w:id="1781"/>
      <w:r>
        <w:rPr>
          <w:rFonts w:hint="eastAsia" w:ascii="宋体" w:hAnsi="宋体" w:cs="宋体"/>
          <w:szCs w:val="21"/>
          <w:highlight w:val="none"/>
        </w:rPr>
        <w:t>不少于100000 元的违约处理金，且工程质量必须无条件返工达到合格要求。对违反相关安全生产规范要求、相关建筑质量规范要求的情况，</w:t>
      </w:r>
      <w:bookmarkStart w:id="1782" w:name="REVIEW_BM_1933"/>
      <w:r>
        <w:rPr>
          <w:rFonts w:hint="eastAsia" w:ascii="宋体" w:hAnsi="宋体" w:cs="宋体"/>
          <w:szCs w:val="21"/>
          <w:highlight w:val="none"/>
        </w:rPr>
        <w:t>发包人</w:t>
      </w:r>
      <w:bookmarkEnd w:id="1782"/>
      <w:r>
        <w:rPr>
          <w:rFonts w:hint="eastAsia" w:ascii="宋体" w:hAnsi="宋体" w:cs="宋体"/>
          <w:szCs w:val="21"/>
          <w:highlight w:val="none"/>
        </w:rPr>
        <w:t>及监理单位除有权要求</w:t>
      </w:r>
      <w:bookmarkStart w:id="1783" w:name="REVIEW_BM_1935"/>
      <w:r>
        <w:rPr>
          <w:rFonts w:hint="eastAsia" w:ascii="宋体" w:hAnsi="宋体" w:cs="宋体"/>
          <w:szCs w:val="21"/>
          <w:highlight w:val="none"/>
        </w:rPr>
        <w:t>承包人</w:t>
      </w:r>
      <w:bookmarkEnd w:id="1783"/>
      <w:r>
        <w:rPr>
          <w:rFonts w:hint="eastAsia" w:ascii="宋体" w:hAnsi="宋体" w:cs="宋体"/>
          <w:szCs w:val="21"/>
          <w:highlight w:val="none"/>
        </w:rPr>
        <w:t>整改返工外还可以视情节严重程度，每次处50~1000元的经济处罚。</w:t>
      </w:r>
    </w:p>
    <w:p w14:paraId="0ED1F4DC">
      <w:pPr>
        <w:spacing w:line="360" w:lineRule="auto"/>
        <w:ind w:firstLine="420"/>
        <w:rPr>
          <w:rFonts w:hint="eastAsia" w:ascii="宋体" w:hAnsi="宋体" w:cs="宋体"/>
          <w:szCs w:val="21"/>
          <w:highlight w:val="none"/>
        </w:rPr>
      </w:pPr>
      <w:r>
        <w:rPr>
          <w:rFonts w:hint="eastAsia" w:ascii="宋体" w:hAnsi="宋体" w:cs="宋体"/>
          <w:szCs w:val="21"/>
          <w:highlight w:val="none"/>
        </w:rPr>
        <w:t xml:space="preserve">21.1.2 </w:t>
      </w:r>
      <w:bookmarkStart w:id="1784" w:name="REVIEW_BM_1938"/>
      <w:r>
        <w:rPr>
          <w:rFonts w:hint="eastAsia" w:ascii="宋体" w:hAnsi="宋体" w:cs="宋体"/>
          <w:szCs w:val="21"/>
          <w:highlight w:val="none"/>
        </w:rPr>
        <w:t>承包人</w:t>
      </w:r>
      <w:bookmarkEnd w:id="1784"/>
      <w:r>
        <w:rPr>
          <w:rFonts w:hint="eastAsia" w:ascii="宋体" w:hAnsi="宋体" w:cs="宋体"/>
          <w:szCs w:val="21"/>
          <w:highlight w:val="none"/>
        </w:rPr>
        <w:t>施工的工程内容全部竣工后，工程质量正式验收时</w:t>
      </w:r>
      <w:bookmarkStart w:id="1785" w:name="REVIEW_BM_1941"/>
      <w:r>
        <w:rPr>
          <w:rFonts w:hint="eastAsia" w:ascii="宋体" w:hAnsi="宋体" w:cs="宋体"/>
          <w:szCs w:val="21"/>
          <w:highlight w:val="none"/>
        </w:rPr>
        <w:t>,</w:t>
      </w:r>
      <w:bookmarkEnd w:id="1785"/>
      <w:r>
        <w:rPr>
          <w:rFonts w:hint="eastAsia" w:ascii="宋体" w:hAnsi="宋体" w:cs="宋体"/>
          <w:szCs w:val="21"/>
          <w:highlight w:val="none"/>
        </w:rPr>
        <w:t>工程整体质量若达不到合格标准，</w:t>
      </w:r>
      <w:bookmarkStart w:id="1786" w:name="REVIEW_BM_1937"/>
      <w:r>
        <w:rPr>
          <w:rFonts w:hint="eastAsia" w:ascii="宋体" w:hAnsi="宋体" w:cs="宋体"/>
          <w:szCs w:val="21"/>
          <w:highlight w:val="none"/>
        </w:rPr>
        <w:t>发包人</w:t>
      </w:r>
      <w:bookmarkEnd w:id="1786"/>
      <w:r>
        <w:rPr>
          <w:rFonts w:hint="eastAsia" w:ascii="宋体" w:hAnsi="宋体" w:cs="宋体"/>
          <w:szCs w:val="21"/>
          <w:highlight w:val="none"/>
        </w:rPr>
        <w:t>视其情节轻重处以</w:t>
      </w:r>
      <w:bookmarkStart w:id="1787" w:name="REVIEW_BM_1939"/>
      <w:r>
        <w:rPr>
          <w:rFonts w:hint="eastAsia" w:ascii="宋体" w:hAnsi="宋体" w:cs="宋体"/>
          <w:szCs w:val="21"/>
          <w:highlight w:val="none"/>
        </w:rPr>
        <w:t>承包人</w:t>
      </w:r>
      <w:bookmarkEnd w:id="1787"/>
      <w:r>
        <w:rPr>
          <w:rFonts w:hint="eastAsia" w:ascii="宋体" w:hAnsi="宋体" w:cs="宋体"/>
          <w:szCs w:val="21"/>
          <w:highlight w:val="none"/>
        </w:rPr>
        <w:t>不低于 200000元的工程质量违约处理金，同时</w:t>
      </w:r>
      <w:bookmarkStart w:id="1788" w:name="REVIEW_BM_1940"/>
      <w:r>
        <w:rPr>
          <w:rFonts w:hint="eastAsia" w:ascii="宋体" w:hAnsi="宋体" w:cs="宋体"/>
          <w:szCs w:val="21"/>
          <w:highlight w:val="none"/>
        </w:rPr>
        <w:t>承包人</w:t>
      </w:r>
      <w:bookmarkEnd w:id="1788"/>
      <w:r>
        <w:rPr>
          <w:rFonts w:hint="eastAsia" w:ascii="宋体" w:hAnsi="宋体" w:cs="宋体"/>
          <w:szCs w:val="21"/>
          <w:highlight w:val="none"/>
        </w:rPr>
        <w:t>必须无条件全部返工达到合格要求。</w:t>
      </w:r>
    </w:p>
    <w:p w14:paraId="19846BBC">
      <w:pPr>
        <w:spacing w:line="360" w:lineRule="auto"/>
        <w:ind w:firstLine="420"/>
        <w:rPr>
          <w:rFonts w:hint="eastAsia" w:ascii="宋体" w:hAnsi="宋体" w:cs="宋体"/>
          <w:szCs w:val="21"/>
          <w:highlight w:val="none"/>
        </w:rPr>
      </w:pPr>
      <w:r>
        <w:rPr>
          <w:rFonts w:hint="eastAsia" w:ascii="宋体" w:hAnsi="宋体" w:cs="宋体"/>
          <w:szCs w:val="21"/>
          <w:highlight w:val="none"/>
        </w:rPr>
        <w:t>21.1.3发包人和监理单位在工程实施过程中，可以随时对</w:t>
      </w:r>
      <w:bookmarkStart w:id="1789" w:name="REVIEW_BM_1943"/>
      <w:r>
        <w:rPr>
          <w:rFonts w:hint="eastAsia" w:ascii="宋体" w:hAnsi="宋体" w:cs="宋体"/>
          <w:szCs w:val="21"/>
          <w:highlight w:val="none"/>
        </w:rPr>
        <w:t>承包人</w:t>
      </w:r>
      <w:bookmarkEnd w:id="1789"/>
      <w:r>
        <w:rPr>
          <w:rFonts w:hint="eastAsia" w:ascii="宋体" w:hAnsi="宋体" w:cs="宋体"/>
          <w:szCs w:val="21"/>
          <w:highlight w:val="none"/>
        </w:rPr>
        <w:t>已使用和未使用的工程材料进行抽检，若发现有不合符设计和规范及合同要求的不合格产品，</w:t>
      </w:r>
      <w:bookmarkStart w:id="1790" w:name="REVIEW_BM_1944"/>
      <w:r>
        <w:rPr>
          <w:rFonts w:hint="eastAsia" w:ascii="宋体" w:hAnsi="宋体" w:cs="宋体"/>
          <w:szCs w:val="21"/>
          <w:highlight w:val="none"/>
        </w:rPr>
        <w:t>承包人</w:t>
      </w:r>
      <w:bookmarkEnd w:id="1790"/>
      <w:r>
        <w:rPr>
          <w:rFonts w:hint="eastAsia" w:ascii="宋体" w:hAnsi="宋体" w:cs="宋体"/>
          <w:szCs w:val="21"/>
          <w:highlight w:val="none"/>
        </w:rPr>
        <w:t>必须对不合格部分工程进行返工至合格为止，并将不合格的材料清出施工现场，否则，</w:t>
      </w:r>
      <w:bookmarkStart w:id="1791" w:name="REVIEW_BM_1942"/>
      <w:r>
        <w:rPr>
          <w:rFonts w:hint="eastAsia" w:ascii="宋体" w:hAnsi="宋体" w:cs="宋体"/>
          <w:szCs w:val="21"/>
          <w:highlight w:val="none"/>
        </w:rPr>
        <w:t>发包人</w:t>
      </w:r>
      <w:bookmarkEnd w:id="1791"/>
      <w:r>
        <w:rPr>
          <w:rFonts w:hint="eastAsia" w:ascii="宋体" w:hAnsi="宋体" w:cs="宋体"/>
          <w:szCs w:val="21"/>
          <w:highlight w:val="none"/>
        </w:rPr>
        <w:t>按已使用的不合格材料价值的  5%  处以</w:t>
      </w:r>
      <w:bookmarkStart w:id="1792" w:name="REVIEW_BM_1945"/>
      <w:r>
        <w:rPr>
          <w:rFonts w:hint="eastAsia" w:ascii="宋体" w:hAnsi="宋体" w:cs="宋体"/>
          <w:szCs w:val="21"/>
          <w:highlight w:val="none"/>
        </w:rPr>
        <w:t>承包人</w:t>
      </w:r>
      <w:bookmarkEnd w:id="1792"/>
      <w:r>
        <w:rPr>
          <w:rFonts w:hint="eastAsia" w:ascii="宋体" w:hAnsi="宋体" w:cs="宋体"/>
          <w:szCs w:val="21"/>
          <w:highlight w:val="none"/>
        </w:rPr>
        <w:t>违约处理金，</w:t>
      </w:r>
      <w:bookmarkStart w:id="1793" w:name="REVIEW_BM_1946"/>
      <w:r>
        <w:rPr>
          <w:rFonts w:hint="eastAsia" w:ascii="宋体" w:hAnsi="宋体" w:cs="宋体"/>
          <w:szCs w:val="21"/>
          <w:highlight w:val="none"/>
        </w:rPr>
        <w:t>承包人</w:t>
      </w:r>
      <w:bookmarkEnd w:id="1793"/>
      <w:r>
        <w:rPr>
          <w:rFonts w:hint="eastAsia" w:ascii="宋体" w:hAnsi="宋体" w:cs="宋体"/>
          <w:szCs w:val="21"/>
          <w:highlight w:val="none"/>
        </w:rPr>
        <w:t>承担由此引起的一切经济损失（包括全部返工在内）。</w:t>
      </w:r>
    </w:p>
    <w:p w14:paraId="19E6A40C">
      <w:pPr>
        <w:spacing w:line="360" w:lineRule="auto"/>
        <w:ind w:firstLine="420"/>
        <w:rPr>
          <w:rFonts w:hint="eastAsia" w:ascii="宋体" w:hAnsi="宋体" w:cs="宋体"/>
          <w:szCs w:val="21"/>
          <w:highlight w:val="none"/>
        </w:rPr>
      </w:pPr>
      <w:r>
        <w:rPr>
          <w:rFonts w:hint="eastAsia" w:ascii="宋体" w:hAnsi="宋体" w:cs="宋体"/>
          <w:szCs w:val="21"/>
          <w:highlight w:val="none"/>
        </w:rPr>
        <w:t>21.1.4</w:t>
      </w:r>
      <w:bookmarkStart w:id="1794" w:name="REVIEW_BM_1947"/>
      <w:r>
        <w:rPr>
          <w:rFonts w:hint="eastAsia" w:ascii="宋体" w:hAnsi="宋体" w:cs="宋体"/>
          <w:szCs w:val="21"/>
          <w:highlight w:val="none"/>
        </w:rPr>
        <w:t>发包人</w:t>
      </w:r>
      <w:bookmarkEnd w:id="1794"/>
      <w:r>
        <w:rPr>
          <w:rFonts w:hint="eastAsia" w:ascii="宋体" w:hAnsi="宋体" w:cs="宋体"/>
          <w:szCs w:val="21"/>
          <w:highlight w:val="none"/>
        </w:rPr>
        <w:t>在施工过程中的日常工程质量检查，检查发现的工程质量存在不合格时，在</w:t>
      </w:r>
      <w:bookmarkStart w:id="1795" w:name="REVIEW_BM_1948"/>
      <w:r>
        <w:rPr>
          <w:rFonts w:hint="eastAsia" w:ascii="宋体" w:hAnsi="宋体" w:cs="宋体"/>
          <w:szCs w:val="21"/>
          <w:highlight w:val="none"/>
        </w:rPr>
        <w:t>发包人</w:t>
      </w:r>
      <w:bookmarkEnd w:id="1795"/>
      <w:r>
        <w:rPr>
          <w:rFonts w:hint="eastAsia" w:ascii="宋体" w:hAnsi="宋体" w:cs="宋体"/>
          <w:szCs w:val="21"/>
          <w:highlight w:val="none"/>
        </w:rPr>
        <w:t>或监理发出2次整改通知书后，</w:t>
      </w:r>
      <w:bookmarkStart w:id="1796" w:name="REVIEW_BM_1950"/>
      <w:r>
        <w:rPr>
          <w:rFonts w:hint="eastAsia" w:ascii="宋体" w:hAnsi="宋体" w:cs="宋体"/>
          <w:szCs w:val="21"/>
          <w:highlight w:val="none"/>
        </w:rPr>
        <w:t>承包人</w:t>
      </w:r>
      <w:bookmarkEnd w:id="1796"/>
      <w:r>
        <w:rPr>
          <w:rFonts w:hint="eastAsia" w:ascii="宋体" w:hAnsi="宋体" w:cs="宋体"/>
          <w:szCs w:val="21"/>
          <w:highlight w:val="none"/>
        </w:rPr>
        <w:t>仍未在规定的时间内整改达到合格要求，则</w:t>
      </w:r>
      <w:bookmarkStart w:id="1797" w:name="REVIEW_BM_1949"/>
      <w:r>
        <w:rPr>
          <w:rFonts w:hint="eastAsia" w:ascii="宋体" w:hAnsi="宋体" w:cs="宋体"/>
          <w:szCs w:val="21"/>
          <w:highlight w:val="none"/>
        </w:rPr>
        <w:t>发包人</w:t>
      </w:r>
      <w:bookmarkEnd w:id="1797"/>
      <w:r>
        <w:rPr>
          <w:rFonts w:hint="eastAsia" w:ascii="宋体" w:hAnsi="宋体" w:cs="宋体"/>
          <w:szCs w:val="21"/>
          <w:highlight w:val="none"/>
        </w:rPr>
        <w:t>可视其情节轻重，每次处以</w:t>
      </w:r>
      <w:bookmarkStart w:id="1798" w:name="REVIEW_BM_1951"/>
      <w:r>
        <w:rPr>
          <w:rFonts w:hint="eastAsia" w:ascii="宋体" w:hAnsi="宋体" w:cs="宋体"/>
          <w:szCs w:val="21"/>
          <w:highlight w:val="none"/>
        </w:rPr>
        <w:t>承包人</w:t>
      </w:r>
      <w:bookmarkEnd w:id="1798"/>
      <w:r>
        <w:rPr>
          <w:rFonts w:hint="eastAsia" w:ascii="宋体" w:hAnsi="宋体" w:cs="宋体"/>
          <w:szCs w:val="21"/>
          <w:highlight w:val="none"/>
        </w:rPr>
        <w:t>不少于 50000元的违约处理金，且工程质量必须无条件返工达到合格要求。</w:t>
      </w:r>
    </w:p>
    <w:p w14:paraId="10733D6A">
      <w:pPr>
        <w:spacing w:line="360" w:lineRule="auto"/>
        <w:ind w:firstLine="420"/>
        <w:rPr>
          <w:rFonts w:hint="eastAsia" w:ascii="宋体" w:hAnsi="宋体" w:cs="宋体"/>
          <w:szCs w:val="21"/>
          <w:highlight w:val="none"/>
        </w:rPr>
      </w:pPr>
      <w:r>
        <w:rPr>
          <w:rFonts w:hint="eastAsia" w:ascii="宋体" w:hAnsi="宋体" w:cs="宋体"/>
          <w:szCs w:val="21"/>
          <w:highlight w:val="none"/>
        </w:rPr>
        <w:t>21.1.5</w:t>
      </w:r>
      <w:bookmarkStart w:id="1799" w:name="REVIEW_BM_1955"/>
      <w:r>
        <w:rPr>
          <w:rFonts w:hint="eastAsia" w:ascii="宋体" w:hAnsi="宋体" w:cs="宋体"/>
          <w:szCs w:val="21"/>
          <w:highlight w:val="none"/>
        </w:rPr>
        <w:t>承包人</w:t>
      </w:r>
      <w:bookmarkEnd w:id="1799"/>
      <w:r>
        <w:rPr>
          <w:rFonts w:hint="eastAsia" w:ascii="宋体" w:hAnsi="宋体" w:cs="宋体"/>
          <w:szCs w:val="21"/>
          <w:highlight w:val="none"/>
        </w:rPr>
        <w:t>若在施工过程中未严格按国家施工规范和操作规程要求进行施工，或者</w:t>
      </w:r>
      <w:bookmarkStart w:id="1800" w:name="REVIEW_BM_1956"/>
      <w:r>
        <w:rPr>
          <w:rFonts w:hint="eastAsia" w:ascii="宋体" w:hAnsi="宋体" w:cs="宋体"/>
          <w:szCs w:val="21"/>
          <w:highlight w:val="none"/>
        </w:rPr>
        <w:t>承包人</w:t>
      </w:r>
      <w:bookmarkEnd w:id="1800"/>
      <w:r>
        <w:rPr>
          <w:rFonts w:hint="eastAsia" w:ascii="宋体" w:hAnsi="宋体" w:cs="宋体"/>
          <w:szCs w:val="21"/>
          <w:highlight w:val="none"/>
        </w:rPr>
        <w:t>擅自实施未经监理单位及</w:t>
      </w:r>
      <w:bookmarkStart w:id="1801" w:name="REVIEW_BM_1952"/>
      <w:r>
        <w:rPr>
          <w:rFonts w:hint="eastAsia" w:ascii="宋体" w:hAnsi="宋体" w:cs="宋体"/>
          <w:szCs w:val="21"/>
          <w:highlight w:val="none"/>
        </w:rPr>
        <w:t>发包人</w:t>
      </w:r>
      <w:bookmarkEnd w:id="1801"/>
      <w:r>
        <w:rPr>
          <w:rFonts w:hint="eastAsia" w:ascii="宋体" w:hAnsi="宋体" w:cs="宋体"/>
          <w:szCs w:val="21"/>
          <w:highlight w:val="none"/>
        </w:rPr>
        <w:t>同意的施工方案</w:t>
      </w:r>
      <w:bookmarkStart w:id="1802" w:name="REVIEW_BM_1959"/>
      <w:r>
        <w:rPr>
          <w:rFonts w:hint="eastAsia" w:ascii="宋体" w:hAnsi="宋体" w:cs="宋体"/>
          <w:szCs w:val="21"/>
          <w:highlight w:val="none"/>
        </w:rPr>
        <w:t>,</w:t>
      </w:r>
      <w:bookmarkEnd w:id="1802"/>
      <w:r>
        <w:rPr>
          <w:rFonts w:hint="eastAsia" w:ascii="宋体" w:hAnsi="宋体" w:cs="宋体"/>
          <w:szCs w:val="21"/>
          <w:highlight w:val="none"/>
        </w:rPr>
        <w:t xml:space="preserve"> </w:t>
      </w:r>
      <w:bookmarkStart w:id="1803" w:name="REVIEW_BM_1953"/>
      <w:r>
        <w:rPr>
          <w:rFonts w:hint="eastAsia" w:ascii="宋体" w:hAnsi="宋体" w:cs="宋体"/>
          <w:szCs w:val="21"/>
          <w:highlight w:val="none"/>
        </w:rPr>
        <w:t>发包人</w:t>
      </w:r>
      <w:bookmarkEnd w:id="1803"/>
      <w:r>
        <w:rPr>
          <w:rFonts w:hint="eastAsia" w:ascii="宋体" w:hAnsi="宋体" w:cs="宋体"/>
          <w:szCs w:val="21"/>
          <w:highlight w:val="none"/>
        </w:rPr>
        <w:t>或监理单位在发出2次整改通知书后，</w:t>
      </w:r>
      <w:bookmarkStart w:id="1804" w:name="REVIEW_BM_1957"/>
      <w:r>
        <w:rPr>
          <w:rFonts w:hint="eastAsia" w:ascii="宋体" w:hAnsi="宋体" w:cs="宋体"/>
          <w:szCs w:val="21"/>
          <w:highlight w:val="none"/>
        </w:rPr>
        <w:t>承包人</w:t>
      </w:r>
      <w:bookmarkEnd w:id="1804"/>
      <w:r>
        <w:rPr>
          <w:rFonts w:hint="eastAsia" w:ascii="宋体" w:hAnsi="宋体" w:cs="宋体"/>
          <w:szCs w:val="21"/>
          <w:highlight w:val="none"/>
        </w:rPr>
        <w:t>仍未整改，</w:t>
      </w:r>
      <w:bookmarkStart w:id="1805" w:name="REVIEW_BM_1954"/>
      <w:r>
        <w:rPr>
          <w:rFonts w:hint="eastAsia" w:ascii="宋体" w:hAnsi="宋体" w:cs="宋体"/>
          <w:szCs w:val="21"/>
          <w:highlight w:val="none"/>
        </w:rPr>
        <w:t>发包人</w:t>
      </w:r>
      <w:bookmarkEnd w:id="1805"/>
      <w:r>
        <w:rPr>
          <w:rFonts w:hint="eastAsia" w:ascii="宋体" w:hAnsi="宋体" w:cs="宋体"/>
          <w:szCs w:val="21"/>
          <w:highlight w:val="none"/>
        </w:rPr>
        <w:t>将视其情节轻重，处以</w:t>
      </w:r>
      <w:bookmarkStart w:id="1806" w:name="REVIEW_BM_1958"/>
      <w:r>
        <w:rPr>
          <w:rFonts w:hint="eastAsia" w:ascii="宋体" w:hAnsi="宋体" w:cs="宋体"/>
          <w:szCs w:val="21"/>
          <w:highlight w:val="none"/>
        </w:rPr>
        <w:t>承包人</w:t>
      </w:r>
      <w:bookmarkEnd w:id="1806"/>
      <w:r>
        <w:rPr>
          <w:rFonts w:hint="eastAsia" w:ascii="宋体" w:hAnsi="宋体" w:cs="宋体"/>
          <w:szCs w:val="21"/>
          <w:highlight w:val="none"/>
        </w:rPr>
        <w:t>每次或每处不少于 50000元的违约处理金。</w:t>
      </w:r>
    </w:p>
    <w:p w14:paraId="5C9323C1">
      <w:pPr>
        <w:spacing w:line="360" w:lineRule="auto"/>
        <w:ind w:firstLine="420"/>
        <w:rPr>
          <w:rFonts w:hint="eastAsia" w:ascii="宋体" w:hAnsi="宋体" w:cs="宋体"/>
          <w:szCs w:val="21"/>
          <w:highlight w:val="none"/>
        </w:rPr>
      </w:pPr>
      <w:r>
        <w:rPr>
          <w:rFonts w:hint="eastAsia" w:ascii="宋体" w:hAnsi="宋体" w:cs="宋体"/>
          <w:szCs w:val="21"/>
          <w:highlight w:val="none"/>
        </w:rPr>
        <w:t>21.1.6经行业主管部门及项目业主予以通报或处罚的，处以 10000 元/次罚款。</w:t>
      </w:r>
      <w:bookmarkStart w:id="1807" w:name="REVIEW_BM_1961"/>
      <w:r>
        <w:rPr>
          <w:rFonts w:hint="eastAsia" w:ascii="宋体" w:hAnsi="宋体" w:cs="宋体"/>
          <w:szCs w:val="21"/>
          <w:highlight w:val="none"/>
        </w:rPr>
        <w:t>承包人</w:t>
      </w:r>
      <w:bookmarkEnd w:id="1807"/>
      <w:r>
        <w:rPr>
          <w:rFonts w:hint="eastAsia" w:ascii="宋体" w:hAnsi="宋体" w:cs="宋体"/>
          <w:szCs w:val="21"/>
          <w:highlight w:val="none"/>
        </w:rPr>
        <w:t>因施工</w:t>
      </w:r>
      <w:bookmarkStart w:id="1808" w:name="REVIEW_BM_1962"/>
      <w:r>
        <w:rPr>
          <w:rFonts w:hint="eastAsia" w:ascii="宋体" w:hAnsi="宋体" w:cs="宋体"/>
          <w:szCs w:val="21"/>
          <w:highlight w:val="none"/>
        </w:rPr>
        <w:t>进度慢</w:t>
      </w:r>
      <w:bookmarkEnd w:id="1808"/>
      <w:r>
        <w:rPr>
          <w:rFonts w:hint="eastAsia" w:ascii="宋体" w:hAnsi="宋体" w:cs="宋体"/>
          <w:szCs w:val="21"/>
          <w:highlight w:val="none"/>
        </w:rPr>
        <w:t>、质量管理差受到行政监管部门约谈的，</w:t>
      </w:r>
      <w:bookmarkStart w:id="1809" w:name="REVIEW_BM_1960"/>
      <w:r>
        <w:rPr>
          <w:rFonts w:hint="eastAsia" w:ascii="宋体" w:hAnsi="宋体" w:cs="宋体"/>
          <w:szCs w:val="21"/>
          <w:highlight w:val="none"/>
        </w:rPr>
        <w:t>发包人</w:t>
      </w:r>
      <w:bookmarkEnd w:id="1809"/>
      <w:r>
        <w:rPr>
          <w:rFonts w:hint="eastAsia" w:ascii="宋体" w:hAnsi="宋体" w:cs="宋体"/>
          <w:szCs w:val="21"/>
          <w:highlight w:val="none"/>
        </w:rPr>
        <w:t>可处 10000元/次经济处罚。</w:t>
      </w:r>
    </w:p>
    <w:p w14:paraId="527D6D41">
      <w:pPr>
        <w:spacing w:line="360" w:lineRule="auto"/>
        <w:ind w:firstLine="420"/>
        <w:rPr>
          <w:rFonts w:hint="eastAsia" w:ascii="宋体" w:hAnsi="宋体" w:cs="宋体"/>
          <w:szCs w:val="21"/>
          <w:highlight w:val="none"/>
        </w:rPr>
      </w:pPr>
      <w:r>
        <w:rPr>
          <w:rFonts w:hint="eastAsia" w:ascii="宋体" w:hAnsi="宋体" w:cs="宋体"/>
          <w:szCs w:val="21"/>
          <w:highlight w:val="none"/>
        </w:rPr>
        <w:t>21.1.7经社会媒体曝光及市民投诉的予以证实后处以 30000 元/次罚款。</w:t>
      </w:r>
    </w:p>
    <w:p w14:paraId="26BD6F25">
      <w:pPr>
        <w:ind w:firstLine="420"/>
        <w:rPr>
          <w:rFonts w:hint="eastAsia" w:ascii="宋体" w:hAnsi="宋体" w:cs="宋体"/>
          <w:szCs w:val="21"/>
          <w:highlight w:val="none"/>
        </w:rPr>
      </w:pPr>
      <w:r>
        <w:rPr>
          <w:rFonts w:hint="eastAsia" w:ascii="宋体" w:hAnsi="宋体" w:cs="宋体"/>
          <w:szCs w:val="21"/>
          <w:highlight w:val="none"/>
        </w:rPr>
        <w:t>21.1.8相应罚款在当期进度款中予以扣除。</w:t>
      </w:r>
    </w:p>
    <w:p w14:paraId="42FA6F72">
      <w:pPr>
        <w:spacing w:line="360" w:lineRule="auto"/>
        <w:ind w:firstLine="420"/>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2</w:t>
      </w:r>
      <w:r>
        <w:rPr>
          <w:rFonts w:hint="eastAsia" w:ascii="宋体" w:hAnsi="宋体" w:cs="宋体"/>
          <w:szCs w:val="21"/>
          <w:highlight w:val="none"/>
        </w:rPr>
        <w:t xml:space="preserve"> </w:t>
      </w:r>
      <w:bookmarkStart w:id="1810" w:name="REVIEW_BM_1963"/>
      <w:r>
        <w:rPr>
          <w:rFonts w:hint="eastAsia" w:ascii="宋体" w:hAnsi="宋体" w:cs="宋体"/>
          <w:szCs w:val="21"/>
          <w:highlight w:val="none"/>
        </w:rPr>
        <w:t>承包人</w:t>
      </w:r>
      <w:bookmarkEnd w:id="1810"/>
      <w:r>
        <w:rPr>
          <w:rFonts w:hint="eastAsia" w:ascii="宋体" w:hAnsi="宋体" w:cs="宋体"/>
          <w:szCs w:val="21"/>
          <w:highlight w:val="none"/>
        </w:rPr>
        <w:t>必须加强安全教育和检查工作，积极预防安全事故的发生，采取配备符合安全规范要求的设施、工具、警示标志及防护用品等各种安全生产措施，确保安全施工，由于</w:t>
      </w:r>
      <w:bookmarkStart w:id="1811" w:name="REVIEW_BM_1964"/>
      <w:r>
        <w:rPr>
          <w:rFonts w:hint="eastAsia" w:ascii="宋体" w:hAnsi="宋体" w:cs="宋体"/>
          <w:szCs w:val="21"/>
          <w:highlight w:val="none"/>
        </w:rPr>
        <w:t>承包人</w:t>
      </w:r>
      <w:bookmarkEnd w:id="1811"/>
      <w:r>
        <w:rPr>
          <w:rFonts w:hint="eastAsia" w:ascii="宋体" w:hAnsi="宋体" w:cs="宋体"/>
          <w:szCs w:val="21"/>
          <w:highlight w:val="none"/>
        </w:rPr>
        <w:t>安全文明施工措施不力造成事故的责任和因此发生的费用，由</w:t>
      </w:r>
      <w:bookmarkStart w:id="1812" w:name="REVIEW_BM_1965"/>
      <w:r>
        <w:rPr>
          <w:rFonts w:hint="eastAsia" w:ascii="宋体" w:hAnsi="宋体" w:cs="宋体"/>
          <w:szCs w:val="21"/>
          <w:highlight w:val="none"/>
        </w:rPr>
        <w:t>承包人</w:t>
      </w:r>
      <w:bookmarkEnd w:id="1812"/>
      <w:r>
        <w:rPr>
          <w:rFonts w:hint="eastAsia" w:ascii="宋体" w:hAnsi="宋体" w:cs="宋体"/>
          <w:szCs w:val="21"/>
          <w:highlight w:val="none"/>
        </w:rPr>
        <w:t>承担。</w:t>
      </w:r>
    </w:p>
    <w:p w14:paraId="48F89DAF">
      <w:pPr>
        <w:spacing w:line="360" w:lineRule="auto"/>
        <w:ind w:firstLine="420"/>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3</w:t>
      </w:r>
      <w:r>
        <w:rPr>
          <w:rFonts w:hint="eastAsia" w:ascii="宋体" w:hAnsi="宋体" w:cs="宋体"/>
          <w:szCs w:val="21"/>
          <w:highlight w:val="none"/>
        </w:rPr>
        <w:t xml:space="preserve"> </w:t>
      </w:r>
      <w:bookmarkStart w:id="1813" w:name="REVIEW_BM_1967"/>
      <w:r>
        <w:rPr>
          <w:rFonts w:hint="eastAsia" w:ascii="宋体" w:hAnsi="宋体" w:cs="宋体"/>
          <w:szCs w:val="21"/>
          <w:highlight w:val="none"/>
        </w:rPr>
        <w:t>承包人</w:t>
      </w:r>
      <w:bookmarkEnd w:id="1813"/>
      <w:r>
        <w:rPr>
          <w:rFonts w:hint="eastAsia" w:ascii="宋体" w:hAnsi="宋体" w:cs="宋体"/>
          <w:szCs w:val="21"/>
          <w:highlight w:val="none"/>
        </w:rPr>
        <w:t>必须文明施工，保持施工现场环境清洁卫生，建筑材料摆放整齐，建筑垃圾只能堆放在</w:t>
      </w:r>
      <w:bookmarkStart w:id="1814" w:name="REVIEW_BM_1966"/>
      <w:r>
        <w:rPr>
          <w:rFonts w:hint="eastAsia" w:ascii="宋体" w:hAnsi="宋体" w:cs="宋体"/>
          <w:szCs w:val="21"/>
          <w:highlight w:val="none"/>
        </w:rPr>
        <w:t>发包人</w:t>
      </w:r>
      <w:bookmarkEnd w:id="1814"/>
      <w:r>
        <w:rPr>
          <w:rFonts w:hint="eastAsia" w:ascii="宋体" w:hAnsi="宋体" w:cs="宋体"/>
          <w:szCs w:val="21"/>
          <w:highlight w:val="none"/>
        </w:rPr>
        <w:t>指定位置，并做好相应围栏，每日一清，如不按规定堆放，每次处罚 500 元，并且保证在施工过程中不得影响学校的正常生产经营秩序，也不得影响教职工及学生的正常生活作息。</w:t>
      </w:r>
    </w:p>
    <w:p w14:paraId="77290DC1">
      <w:pPr>
        <w:spacing w:line="360" w:lineRule="auto"/>
        <w:ind w:firstLine="420"/>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4</w:t>
      </w:r>
      <w:r>
        <w:rPr>
          <w:rFonts w:hint="eastAsia" w:ascii="宋体" w:hAnsi="宋体" w:cs="宋体"/>
          <w:szCs w:val="21"/>
          <w:highlight w:val="none"/>
        </w:rPr>
        <w:t xml:space="preserve"> </w:t>
      </w:r>
      <w:bookmarkStart w:id="1815" w:name="REVIEW_BM_1969"/>
      <w:r>
        <w:rPr>
          <w:rFonts w:hint="eastAsia" w:ascii="宋体" w:hAnsi="宋体" w:cs="宋体"/>
          <w:szCs w:val="21"/>
          <w:highlight w:val="none"/>
        </w:rPr>
        <w:t>承包人</w:t>
      </w:r>
      <w:bookmarkEnd w:id="1815"/>
      <w:r>
        <w:rPr>
          <w:rFonts w:hint="eastAsia" w:ascii="宋体" w:hAnsi="宋体" w:cs="宋体"/>
          <w:szCs w:val="21"/>
          <w:highlight w:val="none"/>
        </w:rPr>
        <w:t>自行安装水电表，工程竣工后</w:t>
      </w:r>
      <w:bookmarkStart w:id="1816" w:name="REVIEW_BM_1970"/>
      <w:r>
        <w:rPr>
          <w:rFonts w:hint="eastAsia" w:ascii="宋体" w:hAnsi="宋体" w:cs="宋体"/>
          <w:szCs w:val="21"/>
          <w:highlight w:val="none"/>
        </w:rPr>
        <w:t>承包人</w:t>
      </w:r>
      <w:bookmarkEnd w:id="1816"/>
      <w:r>
        <w:rPr>
          <w:rFonts w:hint="eastAsia" w:ascii="宋体" w:hAnsi="宋体" w:cs="宋体"/>
          <w:szCs w:val="21"/>
          <w:highlight w:val="none"/>
        </w:rPr>
        <w:t>按水电表记录及市价结算水电费，若</w:t>
      </w:r>
      <w:bookmarkStart w:id="1817" w:name="REVIEW_BM_1971"/>
      <w:r>
        <w:rPr>
          <w:rFonts w:hint="eastAsia" w:ascii="宋体" w:hAnsi="宋体" w:cs="宋体"/>
          <w:szCs w:val="21"/>
          <w:highlight w:val="none"/>
        </w:rPr>
        <w:t>承包人</w:t>
      </w:r>
      <w:bookmarkEnd w:id="1817"/>
      <w:r>
        <w:rPr>
          <w:rFonts w:hint="eastAsia" w:ascii="宋体" w:hAnsi="宋体" w:cs="宋体"/>
          <w:szCs w:val="21"/>
          <w:highlight w:val="none"/>
        </w:rPr>
        <w:t>未安装水电表，</w:t>
      </w:r>
      <w:bookmarkStart w:id="1818" w:name="REVIEW_BM_1968"/>
      <w:r>
        <w:rPr>
          <w:rFonts w:hint="eastAsia" w:ascii="宋体" w:hAnsi="宋体" w:cs="宋体"/>
          <w:szCs w:val="21"/>
          <w:highlight w:val="none"/>
        </w:rPr>
        <w:t>发包人</w:t>
      </w:r>
      <w:bookmarkEnd w:id="1818"/>
      <w:r>
        <w:rPr>
          <w:rFonts w:hint="eastAsia" w:ascii="宋体" w:hAnsi="宋体" w:cs="宋体"/>
          <w:szCs w:val="21"/>
          <w:highlight w:val="none"/>
        </w:rPr>
        <w:t>将按工程结算审核报告的主要材料价格表中的水电费总和收取</w:t>
      </w:r>
      <w:bookmarkStart w:id="1819" w:name="REVIEW_BM_1972"/>
      <w:r>
        <w:rPr>
          <w:rFonts w:hint="eastAsia" w:ascii="宋体" w:hAnsi="宋体" w:cs="宋体"/>
          <w:szCs w:val="21"/>
          <w:highlight w:val="none"/>
        </w:rPr>
        <w:t>承包人</w:t>
      </w:r>
      <w:bookmarkEnd w:id="1819"/>
      <w:r>
        <w:rPr>
          <w:rFonts w:hint="eastAsia" w:ascii="宋体" w:hAnsi="宋体" w:cs="宋体"/>
          <w:szCs w:val="21"/>
          <w:highlight w:val="none"/>
        </w:rPr>
        <w:t>水电费。</w:t>
      </w:r>
    </w:p>
    <w:p w14:paraId="35E2DA13">
      <w:pPr>
        <w:spacing w:line="360" w:lineRule="auto"/>
        <w:ind w:firstLine="420"/>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5</w:t>
      </w:r>
      <w:r>
        <w:rPr>
          <w:rFonts w:hint="eastAsia" w:ascii="宋体" w:hAnsi="宋体" w:cs="宋体"/>
          <w:szCs w:val="21"/>
          <w:highlight w:val="none"/>
        </w:rPr>
        <w:t xml:space="preserve"> 材料选样需报送两份样品，其中一份样品由业主留存，正式开工后15天内提供项目全部材料样品。</w:t>
      </w:r>
    </w:p>
    <w:p w14:paraId="62A46168">
      <w:pPr>
        <w:spacing w:line="360" w:lineRule="auto"/>
        <w:ind w:firstLine="420"/>
        <w:rPr>
          <w:rFonts w:hint="eastAsia" w:ascii="宋体" w:hAnsi="宋体" w:cs="宋体"/>
          <w:szCs w:val="21"/>
          <w:highlight w:val="none"/>
        </w:rPr>
      </w:pPr>
      <w:r>
        <w:rPr>
          <w:rFonts w:hint="eastAsia" w:ascii="宋体" w:hAnsi="宋体" w:cs="宋体"/>
          <w:szCs w:val="21"/>
          <w:highlight w:val="none"/>
        </w:rPr>
        <w:t>21.</w:t>
      </w:r>
      <w:r>
        <w:rPr>
          <w:rFonts w:hint="eastAsia" w:ascii="宋体" w:hAnsi="宋体" w:cs="宋体"/>
          <w:szCs w:val="21"/>
          <w:highlight w:val="none"/>
          <w:lang w:val="en-US" w:eastAsia="zh-CN"/>
        </w:rPr>
        <w:t>6</w:t>
      </w:r>
      <w:r>
        <w:rPr>
          <w:rFonts w:hint="eastAsia" w:ascii="宋体" w:hAnsi="宋体" w:cs="宋体"/>
          <w:szCs w:val="21"/>
          <w:highlight w:val="none"/>
        </w:rPr>
        <w:t xml:space="preserve"> 专用条款未约定的条款均按本合同通用条款执行。</w:t>
      </w:r>
    </w:p>
    <w:p w14:paraId="2B0431B7">
      <w:pPr>
        <w:pStyle w:val="6"/>
        <w:bidi w:val="0"/>
        <w:rPr>
          <w:rFonts w:hint="eastAsia" w:ascii="宋体" w:hAnsi="宋体" w:cs="宋体"/>
          <w:b/>
          <w:szCs w:val="21"/>
          <w:highlight w:val="none"/>
        </w:rPr>
      </w:pPr>
      <w:r>
        <w:rPr>
          <w:rFonts w:hint="eastAsia" w:ascii="宋体" w:hAnsi="宋体" w:cs="宋体"/>
          <w:b/>
          <w:szCs w:val="21"/>
          <w:highlight w:val="none"/>
        </w:rPr>
        <w:br w:type="page" w:clear="all"/>
      </w:r>
      <w:r>
        <w:rPr>
          <w:rFonts w:hint="eastAsia" w:ascii="宋体" w:hAnsi="宋体" w:cs="宋体"/>
          <w:b/>
          <w:szCs w:val="21"/>
          <w:highlight w:val="none"/>
        </w:rPr>
        <w:t>附件</w:t>
      </w:r>
    </w:p>
    <w:p w14:paraId="1E726637">
      <w:pPr>
        <w:spacing w:line="360" w:lineRule="exact"/>
        <w:jc w:val="left"/>
        <w:rPr>
          <w:rFonts w:hint="eastAsia" w:ascii="宋体" w:hAnsi="宋体" w:cs="宋体"/>
          <w:szCs w:val="21"/>
          <w:highlight w:val="none"/>
        </w:rPr>
      </w:pPr>
    </w:p>
    <w:p w14:paraId="23F3B6EA">
      <w:pPr>
        <w:spacing w:line="360" w:lineRule="exact"/>
        <w:jc w:val="left"/>
        <w:rPr>
          <w:rFonts w:hint="eastAsia" w:ascii="宋体" w:hAnsi="宋体" w:cs="宋体"/>
          <w:szCs w:val="21"/>
          <w:highlight w:val="none"/>
        </w:rPr>
      </w:pPr>
      <w:r>
        <w:rPr>
          <w:rFonts w:hint="eastAsia" w:ascii="宋体" w:hAnsi="宋体" w:cs="宋体"/>
          <w:szCs w:val="21"/>
          <w:highlight w:val="none"/>
        </w:rPr>
        <w:t>附件1：</w:t>
      </w:r>
      <w:bookmarkStart w:id="1820" w:name="REVIEW_BM_1973"/>
      <w:r>
        <w:rPr>
          <w:rFonts w:hint="eastAsia" w:ascii="宋体" w:hAnsi="宋体" w:cs="宋体"/>
          <w:szCs w:val="21"/>
          <w:highlight w:val="none"/>
        </w:rPr>
        <w:t>承包人</w:t>
      </w:r>
      <w:bookmarkEnd w:id="1820"/>
      <w:r>
        <w:rPr>
          <w:rFonts w:hint="eastAsia" w:ascii="宋体" w:hAnsi="宋体" w:cs="宋体"/>
          <w:szCs w:val="21"/>
          <w:highlight w:val="none"/>
        </w:rPr>
        <w:t>承揽工程项目一览表</w:t>
      </w:r>
    </w:p>
    <w:p w14:paraId="25DAB30F">
      <w:pPr>
        <w:spacing w:line="360" w:lineRule="exact"/>
        <w:jc w:val="left"/>
        <w:rPr>
          <w:rFonts w:hint="eastAsia" w:ascii="宋体" w:hAnsi="宋体" w:cs="宋体"/>
          <w:szCs w:val="21"/>
          <w:highlight w:val="none"/>
        </w:rPr>
      </w:pPr>
      <w:r>
        <w:rPr>
          <w:rFonts w:hint="eastAsia" w:ascii="宋体" w:hAnsi="宋体" w:cs="宋体"/>
          <w:szCs w:val="21"/>
          <w:highlight w:val="none"/>
        </w:rPr>
        <w:t>附件2：</w:t>
      </w:r>
      <w:bookmarkStart w:id="1821" w:name="REVIEW_BM_1974"/>
      <w:r>
        <w:rPr>
          <w:rFonts w:hint="eastAsia" w:ascii="宋体" w:hAnsi="宋体" w:cs="宋体"/>
          <w:szCs w:val="21"/>
          <w:highlight w:val="none"/>
        </w:rPr>
        <w:t>发包人</w:t>
      </w:r>
      <w:bookmarkEnd w:id="1821"/>
      <w:r>
        <w:rPr>
          <w:rFonts w:hint="eastAsia" w:ascii="宋体" w:hAnsi="宋体" w:cs="宋体"/>
          <w:szCs w:val="21"/>
          <w:highlight w:val="none"/>
        </w:rPr>
        <w:t>供应材料设备一览表</w:t>
      </w:r>
    </w:p>
    <w:p w14:paraId="6C954D44">
      <w:pPr>
        <w:spacing w:line="360" w:lineRule="exact"/>
        <w:jc w:val="left"/>
        <w:rPr>
          <w:rFonts w:hint="eastAsia" w:ascii="宋体" w:hAnsi="宋体" w:cs="宋体"/>
          <w:szCs w:val="21"/>
          <w:highlight w:val="none"/>
        </w:rPr>
      </w:pPr>
      <w:r>
        <w:rPr>
          <w:rFonts w:hint="eastAsia" w:ascii="宋体" w:hAnsi="宋体" w:cs="宋体"/>
          <w:szCs w:val="21"/>
          <w:highlight w:val="none"/>
        </w:rPr>
        <w:t>附件3：工程质量保修书</w:t>
      </w:r>
    </w:p>
    <w:p w14:paraId="50632F15">
      <w:pPr>
        <w:spacing w:line="360" w:lineRule="exact"/>
        <w:jc w:val="left"/>
        <w:rPr>
          <w:rFonts w:hint="eastAsia" w:ascii="宋体" w:hAnsi="宋体" w:cs="宋体"/>
          <w:szCs w:val="21"/>
          <w:highlight w:val="none"/>
        </w:rPr>
      </w:pPr>
      <w:r>
        <w:rPr>
          <w:rFonts w:hint="eastAsia" w:ascii="宋体" w:hAnsi="宋体" w:cs="宋体"/>
          <w:szCs w:val="21"/>
          <w:highlight w:val="none"/>
        </w:rPr>
        <w:t>附件4：工程结算送审承诺书</w:t>
      </w:r>
    </w:p>
    <w:p w14:paraId="4DFD0D71">
      <w:pPr>
        <w:spacing w:line="360" w:lineRule="exact"/>
        <w:jc w:val="left"/>
        <w:rPr>
          <w:rFonts w:hint="eastAsia" w:ascii="宋体" w:hAnsi="宋体" w:cs="宋体"/>
          <w:szCs w:val="21"/>
          <w:highlight w:val="none"/>
        </w:rPr>
      </w:pPr>
      <w:r>
        <w:rPr>
          <w:rFonts w:hint="eastAsia" w:ascii="宋体" w:hAnsi="宋体" w:cs="宋体"/>
          <w:szCs w:val="21"/>
          <w:highlight w:val="none"/>
          <w:lang w:eastAsia="zh-CN"/>
        </w:rPr>
        <w:t>附件</w:t>
      </w:r>
      <w:r>
        <w:rPr>
          <w:rFonts w:hint="eastAsia" w:ascii="宋体" w:hAnsi="宋体" w:cs="宋体"/>
          <w:szCs w:val="21"/>
          <w:highlight w:val="none"/>
          <w:lang w:val="en-US" w:eastAsia="zh-CN"/>
        </w:rPr>
        <w:t>5：</w:t>
      </w:r>
      <w:r>
        <w:rPr>
          <w:rFonts w:hint="eastAsia" w:ascii="宋体" w:hAnsi="宋体" w:cs="宋体"/>
          <w:szCs w:val="21"/>
          <w:highlight w:val="none"/>
        </w:rPr>
        <w:t>主要建设工程文件目录</w:t>
      </w:r>
    </w:p>
    <w:p w14:paraId="6EDE6C3B">
      <w:pPr>
        <w:spacing w:line="360" w:lineRule="exact"/>
        <w:jc w:val="left"/>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6</w:t>
      </w:r>
      <w:r>
        <w:rPr>
          <w:rFonts w:hint="eastAsia" w:ascii="宋体" w:hAnsi="宋体" w:cs="宋体"/>
          <w:szCs w:val="21"/>
          <w:highlight w:val="none"/>
        </w:rPr>
        <w:t>：</w:t>
      </w:r>
      <w:bookmarkStart w:id="1822" w:name="REVIEW_BM_1975"/>
      <w:r>
        <w:rPr>
          <w:rFonts w:hint="eastAsia" w:ascii="宋体" w:hAnsi="宋体" w:cs="宋体"/>
          <w:szCs w:val="21"/>
          <w:highlight w:val="none"/>
        </w:rPr>
        <w:t>承包人</w:t>
      </w:r>
      <w:bookmarkEnd w:id="1822"/>
      <w:r>
        <w:rPr>
          <w:rFonts w:hint="eastAsia" w:ascii="宋体" w:hAnsi="宋体" w:cs="宋体"/>
          <w:szCs w:val="21"/>
          <w:highlight w:val="none"/>
        </w:rPr>
        <w:t>用于本工程施工的机械设备表</w:t>
      </w:r>
    </w:p>
    <w:p w14:paraId="5A0B793A">
      <w:pPr>
        <w:spacing w:line="360" w:lineRule="exact"/>
        <w:jc w:val="left"/>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7</w:t>
      </w:r>
      <w:r>
        <w:rPr>
          <w:rFonts w:hint="eastAsia" w:ascii="宋体" w:hAnsi="宋体" w:cs="宋体"/>
          <w:szCs w:val="21"/>
          <w:highlight w:val="none"/>
        </w:rPr>
        <w:t>：</w:t>
      </w:r>
      <w:bookmarkStart w:id="1823" w:name="REVIEW_BM_1976"/>
      <w:r>
        <w:rPr>
          <w:rFonts w:hint="eastAsia" w:ascii="宋体" w:hAnsi="宋体" w:cs="宋体"/>
          <w:szCs w:val="21"/>
          <w:highlight w:val="none"/>
        </w:rPr>
        <w:t>承包人</w:t>
      </w:r>
      <w:bookmarkEnd w:id="1823"/>
      <w:r>
        <w:rPr>
          <w:rFonts w:hint="eastAsia" w:ascii="宋体" w:hAnsi="宋体" w:cs="宋体"/>
          <w:szCs w:val="21"/>
          <w:highlight w:val="none"/>
        </w:rPr>
        <w:t>主要施工管理人员表</w:t>
      </w:r>
    </w:p>
    <w:p w14:paraId="6A2315CC">
      <w:pPr>
        <w:spacing w:line="360" w:lineRule="exact"/>
        <w:jc w:val="left"/>
        <w:rPr>
          <w:rFonts w:hint="eastAsia" w:ascii="宋体" w:hAnsi="宋体" w:eastAsia="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8</w:t>
      </w:r>
      <w:r>
        <w:rPr>
          <w:rFonts w:hint="eastAsia" w:ascii="宋体" w:hAnsi="宋体" w:cs="宋体"/>
          <w:szCs w:val="21"/>
          <w:highlight w:val="none"/>
        </w:rPr>
        <w:t>：分包人</w:t>
      </w:r>
      <w:r>
        <w:rPr>
          <w:rFonts w:hint="eastAsia" w:ascii="宋体" w:hAnsi="宋体" w:eastAsia="宋体" w:cs="宋体"/>
          <w:szCs w:val="21"/>
          <w:highlight w:val="none"/>
        </w:rPr>
        <w:t>主要施工管理人员表</w:t>
      </w:r>
    </w:p>
    <w:p w14:paraId="69A61EF5">
      <w:pPr>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附件</w:t>
      </w:r>
      <w:r>
        <w:rPr>
          <w:rFonts w:hint="eastAsia" w:ascii="宋体" w:hAnsi="宋体" w:eastAsia="宋体" w:cs="宋体"/>
          <w:szCs w:val="21"/>
          <w:highlight w:val="none"/>
          <w:lang w:val="en-US" w:eastAsia="zh-CN"/>
        </w:rPr>
        <w:t>9</w:t>
      </w:r>
      <w:r>
        <w:rPr>
          <w:rFonts w:hint="eastAsia" w:ascii="宋体" w:hAnsi="宋体" w:eastAsia="宋体" w:cs="宋体"/>
          <w:szCs w:val="21"/>
          <w:highlight w:val="none"/>
        </w:rPr>
        <w:t>：履约担保格式</w:t>
      </w:r>
    </w:p>
    <w:p w14:paraId="37F3F9A6">
      <w:pPr>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附件</w:t>
      </w:r>
      <w:r>
        <w:rPr>
          <w:rFonts w:hint="eastAsia" w:ascii="宋体" w:hAnsi="宋体" w:eastAsia="宋体" w:cs="宋体"/>
          <w:szCs w:val="21"/>
          <w:highlight w:val="none"/>
          <w:lang w:val="en-US" w:eastAsia="zh-CN"/>
        </w:rPr>
        <w:t>10</w:t>
      </w:r>
      <w:r>
        <w:rPr>
          <w:rFonts w:hint="eastAsia" w:ascii="宋体" w:hAnsi="宋体" w:eastAsia="宋体" w:cs="宋体"/>
          <w:szCs w:val="21"/>
          <w:highlight w:val="none"/>
        </w:rPr>
        <w:t>：预付款担保格式</w:t>
      </w:r>
    </w:p>
    <w:p w14:paraId="0F6F75F7">
      <w:pPr>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附件1</w:t>
      </w:r>
      <w:r>
        <w:rPr>
          <w:rFonts w:hint="eastAsia" w:ascii="宋体" w:hAnsi="宋体" w:eastAsia="宋体" w:cs="宋体"/>
          <w:szCs w:val="21"/>
          <w:highlight w:val="none"/>
          <w:lang w:val="en-US" w:eastAsia="zh-CN"/>
        </w:rPr>
        <w:t>1</w:t>
      </w:r>
      <w:r>
        <w:rPr>
          <w:rFonts w:hint="eastAsia" w:ascii="宋体" w:hAnsi="宋体" w:eastAsia="宋体" w:cs="宋体"/>
          <w:szCs w:val="21"/>
          <w:highlight w:val="none"/>
        </w:rPr>
        <w:t>：支付担保格式</w:t>
      </w:r>
    </w:p>
    <w:p w14:paraId="557DF6D4">
      <w:pPr>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附件1</w:t>
      </w:r>
      <w:r>
        <w:rPr>
          <w:rFonts w:hint="eastAsia" w:ascii="宋体" w:hAnsi="宋体" w:eastAsia="宋体" w:cs="宋体"/>
          <w:szCs w:val="21"/>
          <w:highlight w:val="none"/>
          <w:lang w:val="en-US" w:eastAsia="zh-CN"/>
        </w:rPr>
        <w:t>2</w:t>
      </w:r>
      <w:r>
        <w:rPr>
          <w:rFonts w:hint="eastAsia" w:ascii="宋体" w:hAnsi="宋体" w:eastAsia="宋体" w:cs="宋体"/>
          <w:szCs w:val="21"/>
          <w:highlight w:val="none"/>
        </w:rPr>
        <w:t>：暂估价一览表</w:t>
      </w:r>
    </w:p>
    <w:p w14:paraId="67E67C6D">
      <w:pPr>
        <w:spacing w:line="360" w:lineRule="exact"/>
        <w:jc w:val="left"/>
        <w:rPr>
          <w:rFonts w:hint="eastAsia" w:ascii="宋体" w:hAnsi="宋体" w:eastAsia="宋体" w:cs="宋体"/>
          <w:szCs w:val="21"/>
          <w:highlight w:val="none"/>
        </w:rPr>
      </w:pPr>
      <w:r>
        <w:rPr>
          <w:rFonts w:hint="eastAsia" w:ascii="宋体" w:hAnsi="宋体" w:eastAsia="宋体" w:cs="宋体"/>
          <w:szCs w:val="21"/>
          <w:highlight w:val="none"/>
        </w:rPr>
        <w:t>附件1</w:t>
      </w:r>
      <w:r>
        <w:rPr>
          <w:rFonts w:hint="eastAsia" w:ascii="宋体" w:hAnsi="宋体" w:eastAsia="宋体" w:cs="宋体"/>
          <w:szCs w:val="21"/>
          <w:highlight w:val="none"/>
          <w:lang w:val="en-US" w:eastAsia="zh-CN"/>
        </w:rPr>
        <w:t>3</w:t>
      </w:r>
      <w:r>
        <w:rPr>
          <w:rFonts w:hint="eastAsia" w:ascii="宋体" w:hAnsi="宋体" w:eastAsia="宋体" w:cs="宋体"/>
          <w:szCs w:val="21"/>
          <w:highlight w:val="none"/>
        </w:rPr>
        <w:t>：质量保修保函</w:t>
      </w:r>
    </w:p>
    <w:p w14:paraId="6BA4E623">
      <w:pPr>
        <w:spacing w:line="360" w:lineRule="exact"/>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eastAsia="zh-CN"/>
        </w:rPr>
        <w:t>附件</w:t>
      </w:r>
      <w:r>
        <w:rPr>
          <w:rFonts w:hint="eastAsia" w:ascii="宋体" w:hAnsi="宋体" w:eastAsia="宋体" w:cs="宋体"/>
          <w:szCs w:val="21"/>
          <w:highlight w:val="none"/>
          <w:lang w:val="en-US" w:eastAsia="zh-CN"/>
        </w:rPr>
        <w:t>14：预付款支付申请（核准）表</w:t>
      </w:r>
    </w:p>
    <w:p w14:paraId="71EF4A9C">
      <w:pPr>
        <w:spacing w:line="360" w:lineRule="exact"/>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附件15：进度款支付申请（核准）表</w:t>
      </w:r>
    </w:p>
    <w:p w14:paraId="0CC3BA33">
      <w:pPr>
        <w:spacing w:line="360" w:lineRule="exact"/>
        <w:jc w:val="left"/>
        <w:rPr>
          <w:rFonts w:hint="eastAsia" w:ascii="宋体" w:hAnsi="宋体" w:eastAsia="宋体" w:cs="宋体"/>
          <w:szCs w:val="21"/>
          <w:highlight w:val="none"/>
          <w:lang w:val="en-US" w:eastAsia="zh-CN"/>
        </w:rPr>
      </w:pPr>
      <w:r>
        <w:rPr>
          <w:rFonts w:hint="eastAsia" w:ascii="宋体" w:hAnsi="宋体" w:eastAsia="宋体" w:cs="宋体"/>
          <w:szCs w:val="21"/>
          <w:highlight w:val="none"/>
          <w:lang w:val="en-US" w:eastAsia="zh-CN"/>
        </w:rPr>
        <w:t>附件16：竣工结算款支付申请（核准）表</w:t>
      </w:r>
    </w:p>
    <w:p w14:paraId="7CB3C2B6">
      <w:pPr>
        <w:pStyle w:val="2"/>
        <w:ind w:firstLine="0"/>
        <w:rPr>
          <w:rFonts w:hint="default" w:eastAsia="宋体"/>
          <w:highlight w:val="none"/>
          <w:lang w:val="en-US" w:eastAsia="zh-CN"/>
        </w:rPr>
      </w:pPr>
      <w:r>
        <w:rPr>
          <w:rFonts w:hint="eastAsia" w:ascii="宋体" w:hAnsi="宋体" w:eastAsia="宋体" w:cs="宋体"/>
          <w:szCs w:val="21"/>
          <w:highlight w:val="none"/>
          <w:lang w:val="en-US" w:eastAsia="zh-CN"/>
        </w:rPr>
        <w:t>附件17：最终结算款支付申请（核准）表</w:t>
      </w:r>
    </w:p>
    <w:p w14:paraId="77E1FED8">
      <w:pPr>
        <w:pStyle w:val="20"/>
        <w:rPr>
          <w:rFonts w:ascii="宋体" w:hAnsi="宋体" w:cs="宋体"/>
          <w:sz w:val="21"/>
          <w:szCs w:val="21"/>
          <w:highlight w:val="none"/>
        </w:rPr>
        <w:sectPr>
          <w:footerReference r:id="rId14" w:type="first"/>
          <w:headerReference r:id="rId12" w:type="default"/>
          <w:footerReference r:id="rId13" w:type="default"/>
          <w:pgSz w:w="11906" w:h="16838"/>
          <w:pgMar w:top="1418" w:right="1315" w:bottom="1418" w:left="1351" w:header="851" w:footer="992" w:gutter="0"/>
          <w:cols w:space="720" w:num="1"/>
          <w:titlePg/>
        </w:sectPr>
      </w:pPr>
    </w:p>
    <w:p w14:paraId="46DA00F2">
      <w:pPr>
        <w:spacing w:line="360" w:lineRule="exact"/>
        <w:jc w:val="left"/>
        <w:rPr>
          <w:rFonts w:hint="eastAsia" w:ascii="宋体" w:hAnsi="宋体" w:cs="宋体"/>
          <w:szCs w:val="21"/>
          <w:highlight w:val="none"/>
        </w:rPr>
      </w:pPr>
      <w:r>
        <w:rPr>
          <w:rFonts w:hint="eastAsia" w:ascii="宋体" w:hAnsi="宋体" w:cs="宋体"/>
          <w:szCs w:val="21"/>
          <w:highlight w:val="none"/>
        </w:rPr>
        <w:t>附件1：</w:t>
      </w:r>
    </w:p>
    <w:p w14:paraId="4145808D">
      <w:pPr>
        <w:spacing w:line="360" w:lineRule="exact"/>
        <w:jc w:val="center"/>
        <w:rPr>
          <w:rFonts w:hint="eastAsia" w:ascii="宋体" w:hAnsi="宋体" w:cs="宋体"/>
          <w:szCs w:val="21"/>
          <w:highlight w:val="none"/>
        </w:rPr>
      </w:pPr>
      <w:bookmarkStart w:id="1824" w:name="REVIEW_BM_1977"/>
      <w:r>
        <w:rPr>
          <w:rFonts w:hint="eastAsia" w:ascii="宋体" w:hAnsi="宋体" w:cs="宋体"/>
          <w:szCs w:val="21"/>
          <w:highlight w:val="none"/>
        </w:rPr>
        <w:t>承包人</w:t>
      </w:r>
      <w:bookmarkEnd w:id="1824"/>
      <w:r>
        <w:rPr>
          <w:rFonts w:hint="eastAsia" w:ascii="宋体" w:hAnsi="宋体" w:cs="宋体"/>
          <w:szCs w:val="21"/>
          <w:highlight w:val="none"/>
        </w:rPr>
        <w:t>承揽工程项目一览表</w:t>
      </w:r>
    </w:p>
    <w:tbl>
      <w:tblPr>
        <w:tblStyle w:val="56"/>
        <w:tblW w:w="0" w:type="auto"/>
        <w:tblInd w:w="-398"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277"/>
        <w:gridCol w:w="1843"/>
        <w:gridCol w:w="1417"/>
        <w:gridCol w:w="2126"/>
        <w:gridCol w:w="850"/>
        <w:gridCol w:w="1560"/>
        <w:gridCol w:w="2126"/>
        <w:gridCol w:w="1417"/>
        <w:gridCol w:w="851"/>
        <w:gridCol w:w="850"/>
      </w:tblGrid>
      <w:tr w14:paraId="7770B3A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1277" w:type="dxa"/>
            <w:tcBorders>
              <w:top w:val="single" w:color="auto" w:sz="12" w:space="0"/>
              <w:bottom w:val="single" w:color="auto" w:sz="6" w:space="0"/>
            </w:tcBorders>
            <w:noWrap w:val="0"/>
            <w:vAlign w:val="center"/>
          </w:tcPr>
          <w:p w14:paraId="28EC6E7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单位工程名称</w:t>
            </w:r>
          </w:p>
        </w:tc>
        <w:tc>
          <w:tcPr>
            <w:tcW w:w="1843" w:type="dxa"/>
            <w:tcBorders>
              <w:top w:val="single" w:color="auto" w:sz="12" w:space="0"/>
              <w:bottom w:val="single" w:color="auto" w:sz="6" w:space="0"/>
            </w:tcBorders>
            <w:noWrap w:val="0"/>
            <w:vAlign w:val="center"/>
          </w:tcPr>
          <w:p w14:paraId="07956ED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建设规模</w:t>
            </w:r>
          </w:p>
        </w:tc>
        <w:tc>
          <w:tcPr>
            <w:tcW w:w="1417" w:type="dxa"/>
            <w:tcBorders>
              <w:top w:val="single" w:color="auto" w:sz="12" w:space="0"/>
              <w:bottom w:val="single" w:color="auto" w:sz="6" w:space="0"/>
            </w:tcBorders>
            <w:noWrap w:val="0"/>
            <w:vAlign w:val="center"/>
          </w:tcPr>
          <w:p w14:paraId="0BC6DD6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建筑面积(平方米)</w:t>
            </w:r>
          </w:p>
        </w:tc>
        <w:tc>
          <w:tcPr>
            <w:tcW w:w="2126" w:type="dxa"/>
            <w:tcBorders>
              <w:top w:val="single" w:color="auto" w:sz="12" w:space="0"/>
              <w:bottom w:val="single" w:color="auto" w:sz="6" w:space="0"/>
            </w:tcBorders>
            <w:noWrap w:val="0"/>
            <w:vAlign w:val="center"/>
          </w:tcPr>
          <w:p w14:paraId="799F4D1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结构形式</w:t>
            </w:r>
          </w:p>
        </w:tc>
        <w:tc>
          <w:tcPr>
            <w:tcW w:w="850" w:type="dxa"/>
            <w:tcBorders>
              <w:top w:val="single" w:color="auto" w:sz="12" w:space="0"/>
              <w:bottom w:val="single" w:color="auto" w:sz="6" w:space="0"/>
            </w:tcBorders>
            <w:noWrap w:val="0"/>
            <w:vAlign w:val="center"/>
          </w:tcPr>
          <w:p w14:paraId="7EA922B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层数</w:t>
            </w:r>
          </w:p>
        </w:tc>
        <w:tc>
          <w:tcPr>
            <w:tcW w:w="1560" w:type="dxa"/>
            <w:tcBorders>
              <w:top w:val="single" w:color="auto" w:sz="12" w:space="0"/>
              <w:bottom w:val="single" w:color="auto" w:sz="6" w:space="0"/>
            </w:tcBorders>
            <w:noWrap w:val="0"/>
            <w:vAlign w:val="center"/>
          </w:tcPr>
          <w:p w14:paraId="5B70A0F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生产能力</w:t>
            </w:r>
          </w:p>
        </w:tc>
        <w:tc>
          <w:tcPr>
            <w:tcW w:w="2126" w:type="dxa"/>
            <w:tcBorders>
              <w:top w:val="single" w:color="auto" w:sz="12" w:space="0"/>
              <w:bottom w:val="single" w:color="auto" w:sz="6" w:space="0"/>
            </w:tcBorders>
            <w:noWrap w:val="0"/>
            <w:vAlign w:val="center"/>
          </w:tcPr>
          <w:p w14:paraId="6D59882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设备安装内容</w:t>
            </w:r>
          </w:p>
        </w:tc>
        <w:tc>
          <w:tcPr>
            <w:tcW w:w="1417" w:type="dxa"/>
            <w:tcBorders>
              <w:top w:val="single" w:color="auto" w:sz="12" w:space="0"/>
              <w:bottom w:val="single" w:color="auto" w:sz="6" w:space="0"/>
            </w:tcBorders>
            <w:noWrap w:val="0"/>
            <w:vAlign w:val="center"/>
          </w:tcPr>
          <w:p w14:paraId="292B860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合同价格（元）</w:t>
            </w:r>
          </w:p>
        </w:tc>
        <w:tc>
          <w:tcPr>
            <w:tcW w:w="851" w:type="dxa"/>
            <w:tcBorders>
              <w:top w:val="single" w:color="auto" w:sz="12" w:space="0"/>
              <w:bottom w:val="single" w:color="auto" w:sz="6" w:space="0"/>
            </w:tcBorders>
            <w:noWrap w:val="0"/>
            <w:vAlign w:val="center"/>
          </w:tcPr>
          <w:p w14:paraId="0E250F1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开工日期</w:t>
            </w:r>
          </w:p>
        </w:tc>
        <w:tc>
          <w:tcPr>
            <w:tcW w:w="850" w:type="dxa"/>
            <w:tcBorders>
              <w:top w:val="single" w:color="auto" w:sz="12" w:space="0"/>
              <w:bottom w:val="single" w:color="auto" w:sz="6" w:space="0"/>
            </w:tcBorders>
            <w:noWrap w:val="0"/>
            <w:vAlign w:val="center"/>
          </w:tcPr>
          <w:p w14:paraId="06D9F2F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竣工日期</w:t>
            </w:r>
          </w:p>
        </w:tc>
      </w:tr>
      <w:tr w14:paraId="543FEB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single" w:color="auto" w:sz="6" w:space="0"/>
              <w:bottom w:val="single" w:color="auto" w:sz="6" w:space="0"/>
            </w:tcBorders>
            <w:noWrap w:val="0"/>
            <w:vAlign w:val="center"/>
          </w:tcPr>
          <w:p w14:paraId="7B4DDE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single" w:color="auto" w:sz="6" w:space="0"/>
              <w:bottom w:val="single" w:color="auto" w:sz="6" w:space="0"/>
            </w:tcBorders>
            <w:noWrap w:val="0"/>
            <w:vAlign w:val="center"/>
          </w:tcPr>
          <w:p w14:paraId="4CF182D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single" w:color="auto" w:sz="6" w:space="0"/>
              <w:bottom w:val="single" w:color="auto" w:sz="6" w:space="0"/>
            </w:tcBorders>
            <w:noWrap w:val="0"/>
            <w:vAlign w:val="center"/>
          </w:tcPr>
          <w:p w14:paraId="4995B72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single" w:color="auto" w:sz="6" w:space="0"/>
              <w:bottom w:val="single" w:color="auto" w:sz="6" w:space="0"/>
            </w:tcBorders>
            <w:noWrap w:val="0"/>
            <w:vAlign w:val="center"/>
          </w:tcPr>
          <w:p w14:paraId="657304F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single" w:color="auto" w:sz="6" w:space="0"/>
              <w:bottom w:val="single" w:color="auto" w:sz="6" w:space="0"/>
            </w:tcBorders>
            <w:noWrap w:val="0"/>
            <w:vAlign w:val="center"/>
          </w:tcPr>
          <w:p w14:paraId="51BA25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single" w:color="auto" w:sz="6" w:space="0"/>
              <w:bottom w:val="single" w:color="auto" w:sz="6" w:space="0"/>
            </w:tcBorders>
            <w:noWrap w:val="0"/>
            <w:vAlign w:val="center"/>
          </w:tcPr>
          <w:p w14:paraId="269978C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single" w:color="auto" w:sz="6" w:space="0"/>
              <w:bottom w:val="single" w:color="auto" w:sz="6" w:space="0"/>
            </w:tcBorders>
            <w:noWrap w:val="0"/>
            <w:vAlign w:val="center"/>
          </w:tcPr>
          <w:p w14:paraId="0431158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single" w:color="auto" w:sz="6" w:space="0"/>
              <w:bottom w:val="single" w:color="auto" w:sz="6" w:space="0"/>
            </w:tcBorders>
            <w:noWrap w:val="0"/>
            <w:vAlign w:val="center"/>
          </w:tcPr>
          <w:p w14:paraId="6E2FD3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single" w:color="auto" w:sz="6" w:space="0"/>
              <w:bottom w:val="single" w:color="auto" w:sz="6" w:space="0"/>
            </w:tcBorders>
            <w:noWrap w:val="0"/>
            <w:vAlign w:val="center"/>
          </w:tcPr>
          <w:p w14:paraId="038C2E6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single" w:color="auto" w:sz="6" w:space="0"/>
              <w:bottom w:val="single" w:color="auto" w:sz="6" w:space="0"/>
            </w:tcBorders>
            <w:noWrap w:val="0"/>
            <w:vAlign w:val="center"/>
          </w:tcPr>
          <w:p w14:paraId="75692B3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69351B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12F177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nil"/>
            </w:tcBorders>
            <w:noWrap w:val="0"/>
            <w:vAlign w:val="center"/>
          </w:tcPr>
          <w:p w14:paraId="1E05D54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19C3BC5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3964470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0F2C712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nil"/>
            </w:tcBorders>
            <w:noWrap w:val="0"/>
            <w:vAlign w:val="center"/>
          </w:tcPr>
          <w:p w14:paraId="66516F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3C593E4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1655006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nil"/>
            </w:tcBorders>
            <w:noWrap w:val="0"/>
            <w:vAlign w:val="center"/>
          </w:tcPr>
          <w:p w14:paraId="4401EB2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0068ED0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3FE6A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775D357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nil"/>
            </w:tcBorders>
            <w:noWrap w:val="0"/>
            <w:vAlign w:val="center"/>
          </w:tcPr>
          <w:p w14:paraId="6234248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6CA2CA6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36AF4B2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1464A4B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nil"/>
            </w:tcBorders>
            <w:noWrap w:val="0"/>
            <w:vAlign w:val="center"/>
          </w:tcPr>
          <w:p w14:paraId="435108C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348BF94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7B30342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nil"/>
            </w:tcBorders>
            <w:noWrap w:val="0"/>
            <w:vAlign w:val="center"/>
          </w:tcPr>
          <w:p w14:paraId="08C10B3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509C34B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6BE721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5D0C050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noWrap w:val="0"/>
            <w:vAlign w:val="center"/>
          </w:tcPr>
          <w:p w14:paraId="60903AF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41B1D66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13A5FED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56E7134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noWrap w:val="0"/>
            <w:vAlign w:val="center"/>
          </w:tcPr>
          <w:p w14:paraId="3F78F09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4B23B32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0ECEF6F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noWrap w:val="0"/>
            <w:vAlign w:val="center"/>
          </w:tcPr>
          <w:p w14:paraId="0F27501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7B1B09D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4EFB2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9EF302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nil"/>
            </w:tcBorders>
            <w:noWrap w:val="0"/>
            <w:vAlign w:val="center"/>
          </w:tcPr>
          <w:p w14:paraId="3860EF5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3AF5DEB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32F66A9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24573D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nil"/>
            </w:tcBorders>
            <w:noWrap w:val="0"/>
            <w:vAlign w:val="center"/>
          </w:tcPr>
          <w:p w14:paraId="1A5116E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67BFB4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22DAC58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nil"/>
            </w:tcBorders>
            <w:noWrap w:val="0"/>
            <w:vAlign w:val="center"/>
          </w:tcPr>
          <w:p w14:paraId="707A91C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345C1E6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8F3B6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65D4AC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noWrap w:val="0"/>
            <w:vAlign w:val="center"/>
          </w:tcPr>
          <w:p w14:paraId="3141212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70658D4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401C200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29AC3C9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noWrap w:val="0"/>
            <w:vAlign w:val="center"/>
          </w:tcPr>
          <w:p w14:paraId="6200C41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15E203A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30089A6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noWrap w:val="0"/>
            <w:vAlign w:val="center"/>
          </w:tcPr>
          <w:p w14:paraId="297D61E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4BE4D51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6E4A72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37B751D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nil"/>
            </w:tcBorders>
            <w:noWrap w:val="0"/>
            <w:vAlign w:val="center"/>
          </w:tcPr>
          <w:p w14:paraId="66475BA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038D49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563A193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3576091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nil"/>
            </w:tcBorders>
            <w:noWrap w:val="0"/>
            <w:vAlign w:val="center"/>
          </w:tcPr>
          <w:p w14:paraId="1BCA702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0DB9041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0CB6F08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nil"/>
            </w:tcBorders>
            <w:noWrap w:val="0"/>
            <w:vAlign w:val="center"/>
          </w:tcPr>
          <w:p w14:paraId="64B172D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1D87DF5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48C1D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28AD9B8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nil"/>
            </w:tcBorders>
            <w:noWrap w:val="0"/>
            <w:vAlign w:val="center"/>
          </w:tcPr>
          <w:p w14:paraId="7DB169B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4B72FC6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62824BF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5B5F922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nil"/>
            </w:tcBorders>
            <w:noWrap w:val="0"/>
            <w:vAlign w:val="center"/>
          </w:tcPr>
          <w:p w14:paraId="70D710C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3DB72E9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3FC15B5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nil"/>
            </w:tcBorders>
            <w:noWrap w:val="0"/>
            <w:vAlign w:val="center"/>
          </w:tcPr>
          <w:p w14:paraId="186A9B8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24094BD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610885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3DC7FF3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noWrap w:val="0"/>
            <w:vAlign w:val="center"/>
          </w:tcPr>
          <w:p w14:paraId="1329306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3D013BC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6692A0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269038A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noWrap w:val="0"/>
            <w:vAlign w:val="center"/>
          </w:tcPr>
          <w:p w14:paraId="446E0E9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3001BA0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5FEEB7E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noWrap w:val="0"/>
            <w:vAlign w:val="center"/>
          </w:tcPr>
          <w:p w14:paraId="134786E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25F1C5C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A6A05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tcBorders>
              <w:top w:val="nil"/>
            </w:tcBorders>
            <w:noWrap w:val="0"/>
            <w:vAlign w:val="center"/>
          </w:tcPr>
          <w:p w14:paraId="67F1C0B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tcBorders>
              <w:top w:val="nil"/>
            </w:tcBorders>
            <w:noWrap w:val="0"/>
            <w:vAlign w:val="center"/>
          </w:tcPr>
          <w:p w14:paraId="0B3B8AC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0D7D3BE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420F1F0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3747ED0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tcBorders>
              <w:top w:val="nil"/>
            </w:tcBorders>
            <w:noWrap w:val="0"/>
            <w:vAlign w:val="center"/>
          </w:tcPr>
          <w:p w14:paraId="5FAD679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tcBorders>
              <w:top w:val="nil"/>
            </w:tcBorders>
            <w:noWrap w:val="0"/>
            <w:vAlign w:val="center"/>
          </w:tcPr>
          <w:p w14:paraId="256F7E3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tcBorders>
              <w:top w:val="nil"/>
            </w:tcBorders>
            <w:noWrap w:val="0"/>
            <w:vAlign w:val="center"/>
          </w:tcPr>
          <w:p w14:paraId="7332574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tcBorders>
              <w:top w:val="nil"/>
            </w:tcBorders>
            <w:noWrap w:val="0"/>
            <w:vAlign w:val="center"/>
          </w:tcPr>
          <w:p w14:paraId="5E9017A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049A7DD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271C6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trPr>
        <w:tc>
          <w:tcPr>
            <w:tcW w:w="1277" w:type="dxa"/>
            <w:noWrap w:val="0"/>
            <w:vAlign w:val="center"/>
          </w:tcPr>
          <w:p w14:paraId="0228C2D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843" w:type="dxa"/>
            <w:noWrap w:val="0"/>
            <w:vAlign w:val="center"/>
          </w:tcPr>
          <w:p w14:paraId="00EDF94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4B7E7C7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1DA5654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0348012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0" w:type="dxa"/>
            <w:noWrap w:val="0"/>
            <w:vAlign w:val="center"/>
          </w:tcPr>
          <w:p w14:paraId="4B74D0C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2126" w:type="dxa"/>
            <w:noWrap w:val="0"/>
            <w:vAlign w:val="center"/>
          </w:tcPr>
          <w:p w14:paraId="49C59D7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7" w:type="dxa"/>
            <w:noWrap w:val="0"/>
            <w:vAlign w:val="center"/>
          </w:tcPr>
          <w:p w14:paraId="2D48EAC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1" w:type="dxa"/>
            <w:noWrap w:val="0"/>
            <w:vAlign w:val="center"/>
          </w:tcPr>
          <w:p w14:paraId="64E7EFC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7D03B9D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bl>
    <w:p w14:paraId="460C5611">
      <w:pPr>
        <w:spacing w:line="360" w:lineRule="exact"/>
        <w:rPr>
          <w:rFonts w:hint="eastAsia" w:ascii="宋体" w:hAnsi="宋体" w:cs="宋体"/>
          <w:b/>
          <w:szCs w:val="21"/>
          <w:highlight w:val="none"/>
        </w:rPr>
        <w:sectPr>
          <w:pgSz w:w="16838" w:h="11906" w:orient="landscape"/>
          <w:pgMar w:top="1554" w:right="1418" w:bottom="1531" w:left="1418" w:header="851" w:footer="992" w:gutter="0"/>
          <w:cols w:space="720" w:num="1"/>
          <w:titlePg/>
        </w:sectPr>
      </w:pPr>
    </w:p>
    <w:p w14:paraId="1E2C3620">
      <w:pPr>
        <w:spacing w:line="360" w:lineRule="exact"/>
        <w:rPr>
          <w:rFonts w:hint="eastAsia" w:ascii="宋体" w:hAnsi="宋体" w:cs="宋体"/>
          <w:szCs w:val="21"/>
          <w:highlight w:val="none"/>
        </w:rPr>
      </w:pPr>
      <w:r>
        <w:rPr>
          <w:rFonts w:hint="eastAsia" w:ascii="宋体" w:hAnsi="宋体" w:cs="宋体"/>
          <w:szCs w:val="21"/>
          <w:highlight w:val="none"/>
        </w:rPr>
        <w:t>附件2：</w:t>
      </w:r>
    </w:p>
    <w:p w14:paraId="522F6E0A">
      <w:pPr>
        <w:spacing w:line="360" w:lineRule="exact"/>
        <w:jc w:val="center"/>
        <w:rPr>
          <w:rFonts w:hint="eastAsia" w:ascii="宋体" w:hAnsi="宋体" w:cs="宋体"/>
          <w:szCs w:val="21"/>
          <w:highlight w:val="none"/>
        </w:rPr>
      </w:pPr>
      <w:bookmarkStart w:id="1825" w:name="REVIEW_BM_1978"/>
      <w:r>
        <w:rPr>
          <w:rFonts w:hint="eastAsia" w:ascii="宋体" w:hAnsi="宋体" w:cs="宋体"/>
          <w:szCs w:val="21"/>
          <w:highlight w:val="none"/>
        </w:rPr>
        <w:t>发包人</w:t>
      </w:r>
      <w:bookmarkEnd w:id="1825"/>
      <w:r>
        <w:rPr>
          <w:rFonts w:hint="eastAsia" w:ascii="宋体" w:hAnsi="宋体" w:cs="宋体"/>
          <w:szCs w:val="21"/>
          <w:highlight w:val="none"/>
        </w:rPr>
        <w:t>供应材料设备一览表</w:t>
      </w:r>
    </w:p>
    <w:tbl>
      <w:tblPr>
        <w:tblStyle w:val="5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402"/>
        <w:gridCol w:w="1099"/>
        <w:gridCol w:w="1134"/>
        <w:gridCol w:w="620"/>
        <w:gridCol w:w="690"/>
        <w:gridCol w:w="1044"/>
        <w:gridCol w:w="719"/>
        <w:gridCol w:w="716"/>
        <w:gridCol w:w="1487"/>
        <w:gridCol w:w="783"/>
      </w:tblGrid>
      <w:tr w14:paraId="2D14C0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402" w:type="dxa"/>
            <w:tcBorders>
              <w:top w:val="single" w:color="auto" w:sz="12" w:space="0"/>
              <w:bottom w:val="single" w:color="auto" w:sz="6" w:space="0"/>
            </w:tcBorders>
            <w:noWrap w:val="0"/>
            <w:vAlign w:val="center"/>
          </w:tcPr>
          <w:p w14:paraId="5D8BC9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序号</w:t>
            </w:r>
          </w:p>
        </w:tc>
        <w:tc>
          <w:tcPr>
            <w:tcW w:w="1099" w:type="dxa"/>
            <w:tcBorders>
              <w:top w:val="single" w:color="auto" w:sz="12" w:space="0"/>
              <w:bottom w:val="single" w:color="auto" w:sz="6" w:space="0"/>
            </w:tcBorders>
            <w:noWrap w:val="0"/>
            <w:vAlign w:val="center"/>
          </w:tcPr>
          <w:p w14:paraId="2D49E32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 xml:space="preserve">  材料、</w:t>
            </w:r>
          </w:p>
          <w:p w14:paraId="27713A1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设备品种</w:t>
            </w:r>
          </w:p>
        </w:tc>
        <w:tc>
          <w:tcPr>
            <w:tcW w:w="1134" w:type="dxa"/>
            <w:tcBorders>
              <w:top w:val="single" w:color="auto" w:sz="12" w:space="0"/>
              <w:bottom w:val="single" w:color="auto" w:sz="6" w:space="0"/>
            </w:tcBorders>
            <w:noWrap w:val="0"/>
            <w:vAlign w:val="center"/>
          </w:tcPr>
          <w:p w14:paraId="4CF3886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规格型号</w:t>
            </w:r>
          </w:p>
        </w:tc>
        <w:tc>
          <w:tcPr>
            <w:tcW w:w="620" w:type="dxa"/>
            <w:tcBorders>
              <w:top w:val="single" w:color="auto" w:sz="12" w:space="0"/>
              <w:bottom w:val="single" w:color="auto" w:sz="6" w:space="0"/>
            </w:tcBorders>
            <w:noWrap w:val="0"/>
            <w:vAlign w:val="center"/>
          </w:tcPr>
          <w:p w14:paraId="6065426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单位</w:t>
            </w:r>
          </w:p>
        </w:tc>
        <w:tc>
          <w:tcPr>
            <w:tcW w:w="690" w:type="dxa"/>
            <w:tcBorders>
              <w:top w:val="single" w:color="auto" w:sz="12" w:space="0"/>
              <w:bottom w:val="single" w:color="auto" w:sz="6" w:space="0"/>
            </w:tcBorders>
            <w:noWrap w:val="0"/>
            <w:vAlign w:val="center"/>
          </w:tcPr>
          <w:p w14:paraId="34E231F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数量</w:t>
            </w:r>
          </w:p>
        </w:tc>
        <w:tc>
          <w:tcPr>
            <w:tcW w:w="1044" w:type="dxa"/>
            <w:tcBorders>
              <w:top w:val="single" w:color="auto" w:sz="12" w:space="0"/>
              <w:bottom w:val="single" w:color="auto" w:sz="6" w:space="0"/>
            </w:tcBorders>
            <w:noWrap w:val="0"/>
            <w:vAlign w:val="center"/>
          </w:tcPr>
          <w:p w14:paraId="40B09CA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单价（元）</w:t>
            </w:r>
          </w:p>
        </w:tc>
        <w:tc>
          <w:tcPr>
            <w:tcW w:w="719" w:type="dxa"/>
            <w:tcBorders>
              <w:top w:val="single" w:color="auto" w:sz="12" w:space="0"/>
              <w:bottom w:val="single" w:color="auto" w:sz="6" w:space="0"/>
            </w:tcBorders>
            <w:noWrap w:val="0"/>
            <w:vAlign w:val="center"/>
          </w:tcPr>
          <w:p w14:paraId="2D34382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质量等级</w:t>
            </w:r>
          </w:p>
        </w:tc>
        <w:tc>
          <w:tcPr>
            <w:tcW w:w="716" w:type="dxa"/>
            <w:tcBorders>
              <w:top w:val="single" w:color="auto" w:sz="12" w:space="0"/>
              <w:bottom w:val="single" w:color="auto" w:sz="6" w:space="0"/>
            </w:tcBorders>
            <w:noWrap w:val="0"/>
            <w:vAlign w:val="center"/>
          </w:tcPr>
          <w:p w14:paraId="6F5D2E3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供应时间</w:t>
            </w:r>
          </w:p>
        </w:tc>
        <w:tc>
          <w:tcPr>
            <w:tcW w:w="1487" w:type="dxa"/>
            <w:tcBorders>
              <w:top w:val="single" w:color="auto" w:sz="12" w:space="0"/>
              <w:bottom w:val="single" w:color="auto" w:sz="6" w:space="0"/>
            </w:tcBorders>
            <w:noWrap w:val="0"/>
            <w:vAlign w:val="center"/>
          </w:tcPr>
          <w:p w14:paraId="4B3D6E4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送达地点</w:t>
            </w:r>
          </w:p>
        </w:tc>
        <w:tc>
          <w:tcPr>
            <w:tcW w:w="783" w:type="dxa"/>
            <w:tcBorders>
              <w:top w:val="single" w:color="auto" w:sz="12" w:space="0"/>
              <w:bottom w:val="single" w:color="auto" w:sz="6" w:space="0"/>
            </w:tcBorders>
            <w:noWrap w:val="0"/>
            <w:vAlign w:val="center"/>
          </w:tcPr>
          <w:p w14:paraId="3CD430E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备注</w:t>
            </w:r>
          </w:p>
        </w:tc>
      </w:tr>
      <w:tr w14:paraId="73F45D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single" w:color="auto" w:sz="6" w:space="0"/>
              <w:bottom w:val="single" w:color="auto" w:sz="6" w:space="0"/>
            </w:tcBorders>
            <w:noWrap w:val="0"/>
            <w:vAlign w:val="center"/>
          </w:tcPr>
          <w:p w14:paraId="4B78EDB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tcBorders>
              <w:top w:val="single" w:color="auto" w:sz="6" w:space="0"/>
              <w:bottom w:val="single" w:color="auto" w:sz="6" w:space="0"/>
            </w:tcBorders>
            <w:noWrap w:val="0"/>
            <w:vAlign w:val="center"/>
          </w:tcPr>
          <w:p w14:paraId="6A3D411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tcBorders>
              <w:top w:val="single" w:color="auto" w:sz="6" w:space="0"/>
              <w:bottom w:val="single" w:color="auto" w:sz="6" w:space="0"/>
            </w:tcBorders>
            <w:noWrap w:val="0"/>
            <w:vAlign w:val="center"/>
          </w:tcPr>
          <w:p w14:paraId="74CC305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tcBorders>
              <w:top w:val="single" w:color="auto" w:sz="6" w:space="0"/>
              <w:bottom w:val="single" w:color="auto" w:sz="6" w:space="0"/>
            </w:tcBorders>
            <w:noWrap w:val="0"/>
            <w:vAlign w:val="center"/>
          </w:tcPr>
          <w:p w14:paraId="2900AE1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tcBorders>
              <w:top w:val="single" w:color="auto" w:sz="6" w:space="0"/>
              <w:bottom w:val="single" w:color="auto" w:sz="6" w:space="0"/>
            </w:tcBorders>
            <w:noWrap w:val="0"/>
            <w:vAlign w:val="center"/>
          </w:tcPr>
          <w:p w14:paraId="1057B28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tcBorders>
              <w:top w:val="single" w:color="auto" w:sz="6" w:space="0"/>
              <w:bottom w:val="single" w:color="auto" w:sz="6" w:space="0"/>
            </w:tcBorders>
            <w:noWrap w:val="0"/>
            <w:vAlign w:val="center"/>
          </w:tcPr>
          <w:p w14:paraId="5E740D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tcBorders>
              <w:top w:val="single" w:color="auto" w:sz="6" w:space="0"/>
              <w:bottom w:val="single" w:color="auto" w:sz="6" w:space="0"/>
            </w:tcBorders>
            <w:noWrap w:val="0"/>
            <w:vAlign w:val="center"/>
          </w:tcPr>
          <w:p w14:paraId="30B272F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tcBorders>
              <w:top w:val="single" w:color="auto" w:sz="6" w:space="0"/>
              <w:bottom w:val="single" w:color="auto" w:sz="6" w:space="0"/>
            </w:tcBorders>
            <w:noWrap w:val="0"/>
            <w:vAlign w:val="center"/>
          </w:tcPr>
          <w:p w14:paraId="2C421E0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tcBorders>
              <w:top w:val="single" w:color="auto" w:sz="6" w:space="0"/>
              <w:bottom w:val="single" w:color="auto" w:sz="6" w:space="0"/>
            </w:tcBorders>
            <w:noWrap w:val="0"/>
            <w:vAlign w:val="center"/>
          </w:tcPr>
          <w:p w14:paraId="35C34DC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tcBorders>
              <w:top w:val="single" w:color="auto" w:sz="6" w:space="0"/>
              <w:bottom w:val="single" w:color="auto" w:sz="6" w:space="0"/>
            </w:tcBorders>
            <w:noWrap w:val="0"/>
            <w:vAlign w:val="center"/>
          </w:tcPr>
          <w:p w14:paraId="69C5C1D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285A1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tcBorders>
              <w:top w:val="nil"/>
            </w:tcBorders>
            <w:noWrap w:val="0"/>
            <w:vAlign w:val="center"/>
          </w:tcPr>
          <w:p w14:paraId="4258EF4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tcBorders>
              <w:top w:val="nil"/>
            </w:tcBorders>
            <w:noWrap w:val="0"/>
            <w:vAlign w:val="center"/>
          </w:tcPr>
          <w:p w14:paraId="44F5DD5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tcBorders>
              <w:top w:val="nil"/>
            </w:tcBorders>
            <w:noWrap w:val="0"/>
            <w:vAlign w:val="center"/>
          </w:tcPr>
          <w:p w14:paraId="1295591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tcBorders>
              <w:top w:val="nil"/>
            </w:tcBorders>
            <w:noWrap w:val="0"/>
            <w:vAlign w:val="center"/>
          </w:tcPr>
          <w:p w14:paraId="7ECA9D5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tcBorders>
              <w:top w:val="nil"/>
            </w:tcBorders>
            <w:noWrap w:val="0"/>
            <w:vAlign w:val="center"/>
          </w:tcPr>
          <w:p w14:paraId="3F0AD15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tcBorders>
              <w:top w:val="nil"/>
            </w:tcBorders>
            <w:noWrap w:val="0"/>
            <w:vAlign w:val="center"/>
          </w:tcPr>
          <w:p w14:paraId="6BFB403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tcBorders>
              <w:top w:val="nil"/>
            </w:tcBorders>
            <w:noWrap w:val="0"/>
            <w:vAlign w:val="center"/>
          </w:tcPr>
          <w:p w14:paraId="400A891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tcBorders>
              <w:top w:val="nil"/>
            </w:tcBorders>
            <w:noWrap w:val="0"/>
            <w:vAlign w:val="center"/>
          </w:tcPr>
          <w:p w14:paraId="2CE6DCB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tcBorders>
              <w:top w:val="nil"/>
            </w:tcBorders>
            <w:noWrap w:val="0"/>
            <w:vAlign w:val="center"/>
          </w:tcPr>
          <w:p w14:paraId="0938398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tcBorders>
              <w:top w:val="nil"/>
            </w:tcBorders>
            <w:noWrap w:val="0"/>
            <w:vAlign w:val="center"/>
          </w:tcPr>
          <w:p w14:paraId="53AFD81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473471C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310AEE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78D7E2C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3274FE0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5C8D025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4925642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692EE25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3D91672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0A79983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0D7C433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26B96C2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4DCF8E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0C0C0CA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5DA5EA5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11229E9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3E82E9F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7DB26A2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79D2991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7C2109A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567ECB1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1033046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2936A7C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64F04F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251C95E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60D03BD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03F39B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3177551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4A89903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793367C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3671745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79FE88A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405D5B0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12AED6C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57181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25FC16D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430EC5F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4612028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0733F02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524C4B0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051E764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2B1D6E9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73B2AED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5BD20C6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3ABE920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CAB0F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625EB7D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5BDB064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7E1F22C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782BB09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0232219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0E6ACF8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65EFE18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32C754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0140308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4936882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7E52D0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1A7AAF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3880977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1485D84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47E5FA6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5A6DF3E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2A0288F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21B2C1F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6714D97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4F37439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25F3977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186358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651AE8DC">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6B97E97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6ACF84F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090CA58E">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21A6C1B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0EAD8E96">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2A1ECBD5">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121531C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2ACDE87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3E9B0969">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2310272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76BDCEF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99" w:type="dxa"/>
            <w:noWrap w:val="0"/>
            <w:vAlign w:val="center"/>
          </w:tcPr>
          <w:p w14:paraId="0137F92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2C2A039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20" w:type="dxa"/>
            <w:noWrap w:val="0"/>
            <w:vAlign w:val="center"/>
          </w:tcPr>
          <w:p w14:paraId="2A2ACDC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90" w:type="dxa"/>
            <w:noWrap w:val="0"/>
            <w:vAlign w:val="center"/>
          </w:tcPr>
          <w:p w14:paraId="4C62F86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44" w:type="dxa"/>
            <w:noWrap w:val="0"/>
            <w:vAlign w:val="center"/>
          </w:tcPr>
          <w:p w14:paraId="3EBBEEB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9" w:type="dxa"/>
            <w:noWrap w:val="0"/>
            <w:vAlign w:val="center"/>
          </w:tcPr>
          <w:p w14:paraId="6A7CA9C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16" w:type="dxa"/>
            <w:noWrap w:val="0"/>
            <w:vAlign w:val="center"/>
          </w:tcPr>
          <w:p w14:paraId="0743A4A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87" w:type="dxa"/>
            <w:noWrap w:val="0"/>
            <w:vAlign w:val="center"/>
          </w:tcPr>
          <w:p w14:paraId="225AEA5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783" w:type="dxa"/>
            <w:noWrap w:val="0"/>
            <w:vAlign w:val="center"/>
          </w:tcPr>
          <w:p w14:paraId="6334D96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14BAD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0B02ACBE">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1520093E">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7166FAA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254EDFE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4F9E94AE">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67B63E0F">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5276E32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658F190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647F95B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0BCABE1C">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0CE6910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E01AA0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47156013">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3786BFB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52D7CBCF">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5DDC318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61C5F10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0D2E68B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0A36703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36249BE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068DF446">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03A067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3AD9049">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26F4233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422718D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553199C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4F723129">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1734F08A">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31C4B2E8">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0D7644D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14C5C1FF">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55F304C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5A0E46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3EA9402A">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152D3FBC">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7B1D0C9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06E96303">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0289772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4C59DC68">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29BFA24A">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50B68EB3">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6E0905D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220FFE8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0C9F51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67F886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1B39D7E6">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725944F5">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786957C6">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412392E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11C24699">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29286475">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5BD7ACF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5F5A6FA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168DA34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14559D3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70FC95F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664B4174">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671E6E43">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5B36077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6BB8853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5A53CD5F">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51596A9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4766B4F8">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48029B84">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3A36093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437B78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1C28B0B5">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55C26AD2">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5E571CC4">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1189F6A8">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14BD1435">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337D561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3A60828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35CBF86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5B338780">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6C291AE4">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r w14:paraId="0192FC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402" w:type="dxa"/>
            <w:noWrap w:val="0"/>
            <w:vAlign w:val="center"/>
          </w:tcPr>
          <w:p w14:paraId="504B4CDB">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99" w:type="dxa"/>
            <w:noWrap w:val="0"/>
            <w:vAlign w:val="center"/>
          </w:tcPr>
          <w:p w14:paraId="5AA5C327">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134" w:type="dxa"/>
            <w:noWrap w:val="0"/>
            <w:vAlign w:val="center"/>
          </w:tcPr>
          <w:p w14:paraId="349C2043">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20" w:type="dxa"/>
            <w:noWrap w:val="0"/>
            <w:vAlign w:val="center"/>
          </w:tcPr>
          <w:p w14:paraId="23B948FA">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690" w:type="dxa"/>
            <w:noWrap w:val="0"/>
            <w:vAlign w:val="center"/>
          </w:tcPr>
          <w:p w14:paraId="728974A4">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044" w:type="dxa"/>
            <w:noWrap w:val="0"/>
            <w:vAlign w:val="center"/>
          </w:tcPr>
          <w:p w14:paraId="541E97BC">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9" w:type="dxa"/>
            <w:noWrap w:val="0"/>
            <w:vAlign w:val="center"/>
          </w:tcPr>
          <w:p w14:paraId="09887E7C">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16" w:type="dxa"/>
            <w:noWrap w:val="0"/>
            <w:vAlign w:val="center"/>
          </w:tcPr>
          <w:p w14:paraId="29D536AD">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1487" w:type="dxa"/>
            <w:noWrap w:val="0"/>
            <w:vAlign w:val="center"/>
          </w:tcPr>
          <w:p w14:paraId="40157F1E">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c>
          <w:tcPr>
            <w:tcW w:w="783" w:type="dxa"/>
            <w:noWrap w:val="0"/>
            <w:vAlign w:val="center"/>
          </w:tcPr>
          <w:p w14:paraId="75EBDFB8">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p>
        </w:tc>
      </w:tr>
    </w:tbl>
    <w:p w14:paraId="266A10B9">
      <w:pPr>
        <w:spacing w:line="360" w:lineRule="exact"/>
        <w:rPr>
          <w:rFonts w:hint="eastAsia" w:ascii="宋体" w:hAnsi="宋体" w:cs="宋体"/>
          <w:szCs w:val="21"/>
          <w:highlight w:val="none"/>
        </w:rPr>
      </w:pPr>
    </w:p>
    <w:p w14:paraId="7A004AAF">
      <w:pPr>
        <w:spacing w:line="360" w:lineRule="exact"/>
        <w:rPr>
          <w:rFonts w:hint="eastAsia" w:ascii="宋体" w:hAnsi="宋体" w:cs="宋体"/>
          <w:szCs w:val="21"/>
          <w:highlight w:val="none"/>
        </w:rPr>
      </w:pPr>
    </w:p>
    <w:p w14:paraId="3799F578">
      <w:pPr>
        <w:spacing w:line="360" w:lineRule="exact"/>
        <w:rPr>
          <w:rFonts w:hint="eastAsia" w:ascii="宋体" w:hAnsi="宋体" w:cs="宋体"/>
          <w:szCs w:val="21"/>
          <w:highlight w:val="none"/>
        </w:rPr>
      </w:pPr>
    </w:p>
    <w:p w14:paraId="5328EC77">
      <w:pPr>
        <w:spacing w:line="360" w:lineRule="exact"/>
        <w:rPr>
          <w:rFonts w:hint="eastAsia" w:ascii="宋体" w:hAnsi="宋体" w:cs="宋体"/>
          <w:szCs w:val="21"/>
          <w:highlight w:val="none"/>
        </w:rPr>
      </w:pPr>
    </w:p>
    <w:p w14:paraId="31653270">
      <w:pPr>
        <w:spacing w:line="360" w:lineRule="exact"/>
        <w:rPr>
          <w:rFonts w:hint="eastAsia" w:ascii="宋体" w:hAnsi="宋体" w:cs="宋体"/>
          <w:szCs w:val="21"/>
          <w:highlight w:val="none"/>
        </w:rPr>
      </w:pPr>
    </w:p>
    <w:p w14:paraId="7674D797">
      <w:pPr>
        <w:spacing w:line="360" w:lineRule="exact"/>
        <w:rPr>
          <w:rFonts w:hint="eastAsia" w:ascii="宋体" w:hAnsi="宋体" w:cs="宋体"/>
          <w:szCs w:val="21"/>
          <w:highlight w:val="none"/>
        </w:rPr>
      </w:pPr>
    </w:p>
    <w:p w14:paraId="10A25B45">
      <w:pPr>
        <w:spacing w:line="360" w:lineRule="exact"/>
        <w:rPr>
          <w:rFonts w:hint="eastAsia" w:ascii="宋体" w:hAnsi="宋体" w:cs="宋体"/>
          <w:szCs w:val="21"/>
          <w:highlight w:val="none"/>
        </w:rPr>
      </w:pPr>
    </w:p>
    <w:p w14:paraId="2F9C3228">
      <w:pPr>
        <w:spacing w:line="360" w:lineRule="exact"/>
        <w:rPr>
          <w:rFonts w:hint="eastAsia" w:ascii="宋体" w:hAnsi="宋体" w:cs="宋体"/>
          <w:szCs w:val="21"/>
          <w:highlight w:val="none"/>
        </w:rPr>
      </w:pPr>
      <w:r>
        <w:rPr>
          <w:rFonts w:hint="eastAsia" w:ascii="宋体" w:hAnsi="宋体" w:cs="宋体"/>
          <w:szCs w:val="21"/>
          <w:highlight w:val="none"/>
        </w:rPr>
        <w:t xml:space="preserve">附件3：    </w:t>
      </w:r>
    </w:p>
    <w:p w14:paraId="4BE2CE8C">
      <w:pPr>
        <w:pStyle w:val="35"/>
        <w:rPr>
          <w:rFonts w:hint="eastAsia" w:ascii="宋体" w:hAnsi="宋体" w:cs="宋体"/>
          <w:szCs w:val="21"/>
          <w:highlight w:val="none"/>
        </w:rPr>
      </w:pPr>
    </w:p>
    <w:p w14:paraId="06448601">
      <w:pPr>
        <w:spacing w:line="360" w:lineRule="auto"/>
        <w:jc w:val="center"/>
        <w:rPr>
          <w:rFonts w:hint="eastAsia" w:ascii="宋体" w:hAnsi="宋体"/>
          <w:b/>
          <w:bCs/>
          <w:sz w:val="28"/>
          <w:szCs w:val="28"/>
          <w:highlight w:val="none"/>
        </w:rPr>
      </w:pPr>
      <w:r>
        <w:rPr>
          <w:rFonts w:hint="eastAsia" w:ascii="宋体" w:hAnsi="宋体"/>
          <w:b w:val="0"/>
          <w:bCs w:val="0"/>
          <w:sz w:val="21"/>
          <w:szCs w:val="21"/>
          <w:highlight w:val="none"/>
        </w:rPr>
        <w:t>工程质量保修书</w:t>
      </w:r>
    </w:p>
    <w:p w14:paraId="462F6AC2">
      <w:pPr>
        <w:spacing w:line="360" w:lineRule="auto"/>
        <w:ind w:firstLine="0"/>
        <w:rPr>
          <w:rFonts w:hint="default" w:ascii="宋体" w:hAnsi="宋体" w:eastAsia="宋体"/>
          <w:szCs w:val="21"/>
          <w:highlight w:val="none"/>
          <w:lang w:val="en-US" w:eastAsia="zh-CN"/>
        </w:rPr>
      </w:pPr>
      <w:bookmarkStart w:id="1826" w:name="REVIEW_BM_1979"/>
      <w:r>
        <w:rPr>
          <w:rFonts w:hint="eastAsia" w:ascii="宋体" w:hAnsi="宋体"/>
          <w:szCs w:val="21"/>
          <w:highlight w:val="none"/>
        </w:rPr>
        <w:t>发包人</w:t>
      </w:r>
      <w:bookmarkEnd w:id="1826"/>
      <w:r>
        <w:rPr>
          <w:rFonts w:hint="eastAsia" w:ascii="宋体" w:hAnsi="宋体"/>
          <w:szCs w:val="21"/>
          <w:highlight w:val="none"/>
        </w:rPr>
        <w:t>（全称）：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hint="eastAsia" w:ascii="宋体" w:hAnsi="宋体" w:cs="仿宋"/>
          <w:szCs w:val="21"/>
          <w:highlight w:val="none"/>
          <w:u w:val="single"/>
          <w:lang w:eastAsia="zh-CN"/>
        </w:rPr>
        <w:t>广西医科大学</w:t>
      </w:r>
      <w:r>
        <w:rPr>
          <w:rFonts w:hint="eastAsia" w:ascii="宋体" w:hAnsi="宋体" w:cs="仿宋"/>
          <w:szCs w:val="21"/>
          <w:highlight w:val="none"/>
          <w:u w:val="single"/>
          <w:lang w:val="en-US" w:eastAsia="zh-CN"/>
        </w:rPr>
        <w:t xml:space="preserve">       </w:t>
      </w:r>
    </w:p>
    <w:p w14:paraId="214E94D8">
      <w:pPr>
        <w:spacing w:line="360" w:lineRule="auto"/>
        <w:ind w:firstLine="0"/>
        <w:rPr>
          <w:rFonts w:hint="eastAsia" w:ascii="宋体" w:hAnsi="宋体"/>
          <w:bCs/>
          <w:szCs w:val="21"/>
          <w:highlight w:val="none"/>
          <w:u w:val="single"/>
        </w:rPr>
      </w:pPr>
      <w:bookmarkStart w:id="1827" w:name="REVIEW_BM_1980"/>
      <w:r>
        <w:rPr>
          <w:rFonts w:hint="eastAsia" w:ascii="宋体" w:hAnsi="宋体"/>
          <w:szCs w:val="21"/>
          <w:highlight w:val="none"/>
        </w:rPr>
        <w:t>承包人</w:t>
      </w:r>
      <w:bookmarkEnd w:id="1827"/>
      <w:r>
        <w:rPr>
          <w:rFonts w:hint="eastAsia" w:ascii="宋体" w:hAnsi="宋体"/>
          <w:szCs w:val="21"/>
          <w:highlight w:val="none"/>
        </w:rPr>
        <w:t>（全称）：</w:t>
      </w:r>
      <w:r>
        <w:rPr>
          <w:rFonts w:hint="eastAsia" w:ascii="宋体" w:hAnsi="宋体"/>
          <w:szCs w:val="21"/>
          <w:highlight w:val="none"/>
          <w:u w:val="single"/>
        </w:rPr>
        <w:t xml:space="preserve"> </w:t>
      </w:r>
      <w:r>
        <w:rPr>
          <w:rFonts w:hint="eastAsia" w:ascii="宋体" w:hAnsi="宋体"/>
          <w:szCs w:val="21"/>
          <w:highlight w:val="none"/>
          <w:u w:val="single"/>
          <w:lang w:val="en-US" w:eastAsia="zh-CN"/>
        </w:rPr>
        <w:t xml:space="preserve">   </w:t>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ascii="宋体" w:hAnsi="宋体"/>
          <w:szCs w:val="21"/>
          <w:highlight w:val="none"/>
          <w:u w:val="single"/>
        </w:rPr>
        <w:tab/>
      </w:r>
      <w:r>
        <w:rPr>
          <w:rFonts w:hint="eastAsia" w:ascii="宋体" w:hAnsi="宋体"/>
          <w:szCs w:val="21"/>
          <w:highlight w:val="none"/>
          <w:u w:val="single"/>
        </w:rPr>
        <w:t xml:space="preserve">    </w:t>
      </w:r>
    </w:p>
    <w:p w14:paraId="0246AC13">
      <w:pPr>
        <w:spacing w:line="360" w:lineRule="auto"/>
        <w:ind w:firstLine="411"/>
        <w:rPr>
          <w:rFonts w:hint="eastAsia" w:ascii="宋体" w:hAnsi="宋体"/>
          <w:szCs w:val="21"/>
          <w:highlight w:val="none"/>
        </w:rPr>
      </w:pPr>
      <w:r>
        <w:rPr>
          <w:rFonts w:hint="eastAsia" w:ascii="宋体" w:hAnsi="宋体"/>
          <w:szCs w:val="21"/>
          <w:highlight w:val="none"/>
        </w:rPr>
        <w:t>发包人和</w:t>
      </w:r>
      <w:bookmarkStart w:id="1828" w:name="REVIEW_BM_1981"/>
      <w:r>
        <w:rPr>
          <w:rFonts w:hint="eastAsia" w:ascii="宋体" w:hAnsi="宋体"/>
          <w:szCs w:val="21"/>
          <w:highlight w:val="none"/>
        </w:rPr>
        <w:t>承包人</w:t>
      </w:r>
      <w:bookmarkEnd w:id="1828"/>
      <w:r>
        <w:rPr>
          <w:rFonts w:hint="eastAsia" w:ascii="宋体" w:hAnsi="宋体"/>
          <w:szCs w:val="21"/>
          <w:highlight w:val="none"/>
        </w:rPr>
        <w:t>根据《中华人民共和国建筑法》和《建设工程质量管理条例》，经协商一致就</w:t>
      </w:r>
      <w:r>
        <w:rPr>
          <w:rFonts w:hint="eastAsia" w:ascii="宋体" w:hAnsi="宋体"/>
          <w:szCs w:val="21"/>
          <w:highlight w:val="none"/>
          <w:u w:val="single"/>
        </w:rPr>
        <w:t xml:space="preserve"> </w:t>
      </w:r>
      <w:r>
        <w:rPr>
          <w:rFonts w:hint="eastAsia" w:ascii="宋体" w:hAnsi="宋体"/>
          <w:szCs w:val="21"/>
          <w:highlight w:val="none"/>
          <w:u w:val="single"/>
          <w:lang w:eastAsia="zh-CN"/>
        </w:rPr>
        <w:t>2026级本科生新生宿舍修缮项目</w:t>
      </w:r>
      <w:r>
        <w:rPr>
          <w:rFonts w:hint="eastAsia" w:ascii="宋体" w:hAnsi="宋体"/>
          <w:szCs w:val="21"/>
          <w:highlight w:val="none"/>
          <w:u w:val="single"/>
        </w:rPr>
        <w:t xml:space="preserve"> </w:t>
      </w:r>
      <w:r>
        <w:rPr>
          <w:rFonts w:hint="eastAsia" w:ascii="宋体" w:hAnsi="宋体"/>
          <w:szCs w:val="21"/>
          <w:highlight w:val="none"/>
        </w:rPr>
        <w:t>（工程全称）签订工程质量保修书。</w:t>
      </w:r>
    </w:p>
    <w:p w14:paraId="6F876D29">
      <w:pPr>
        <w:spacing w:line="360" w:lineRule="auto"/>
        <w:rPr>
          <w:rFonts w:hint="eastAsia" w:ascii="宋体" w:hAnsi="宋体"/>
          <w:szCs w:val="21"/>
          <w:highlight w:val="none"/>
        </w:rPr>
      </w:pPr>
      <w:r>
        <w:rPr>
          <w:rFonts w:hint="eastAsia" w:ascii="宋体" w:hAnsi="宋体"/>
          <w:szCs w:val="21"/>
          <w:highlight w:val="none"/>
        </w:rPr>
        <w:t>　　一、工程质量保修范围和内容</w:t>
      </w:r>
    </w:p>
    <w:p w14:paraId="27EB1DC5">
      <w:pPr>
        <w:spacing w:line="360" w:lineRule="auto"/>
        <w:rPr>
          <w:rFonts w:hint="eastAsia" w:ascii="宋体" w:hAnsi="宋体"/>
          <w:color w:val="auto"/>
          <w:szCs w:val="21"/>
          <w:highlight w:val="none"/>
        </w:rPr>
      </w:pPr>
      <w:r>
        <w:rPr>
          <w:rFonts w:hint="eastAsia" w:ascii="宋体" w:hAnsi="宋体"/>
          <w:szCs w:val="21"/>
          <w:highlight w:val="none"/>
        </w:rPr>
        <w:t>　　</w:t>
      </w:r>
      <w:bookmarkStart w:id="1829" w:name="REVIEW_BM_1982"/>
      <w:r>
        <w:rPr>
          <w:rFonts w:hint="eastAsia" w:ascii="宋体" w:hAnsi="宋体"/>
          <w:szCs w:val="21"/>
          <w:highlight w:val="none"/>
        </w:rPr>
        <w:t>承包人</w:t>
      </w:r>
      <w:bookmarkEnd w:id="1829"/>
      <w:r>
        <w:rPr>
          <w:rFonts w:hint="eastAsia" w:ascii="宋体" w:hAnsi="宋体"/>
          <w:color w:val="auto"/>
          <w:szCs w:val="21"/>
          <w:highlight w:val="none"/>
        </w:rPr>
        <w:t>在质量保修期内，按照有关法律规定和合同约定，承担工程质量保修责任。</w:t>
      </w:r>
    </w:p>
    <w:p w14:paraId="5D70001A">
      <w:pPr>
        <w:spacing w:line="360" w:lineRule="auto"/>
        <w:rPr>
          <w:rFonts w:hint="eastAsia" w:ascii="宋体" w:hAnsi="宋体"/>
          <w:color w:val="auto"/>
          <w:szCs w:val="21"/>
          <w:highlight w:val="none"/>
        </w:rPr>
      </w:pPr>
      <w:r>
        <w:rPr>
          <w:rFonts w:hint="eastAsia" w:ascii="宋体" w:hAnsi="宋体"/>
          <w:color w:val="auto"/>
          <w:szCs w:val="21"/>
          <w:highlight w:val="none"/>
        </w:rPr>
        <w:t>　　质量保修范围包括</w:t>
      </w:r>
      <w:r>
        <w:rPr>
          <w:rFonts w:hint="eastAsia" w:ascii="宋体" w:hAnsi="宋体"/>
          <w:color w:val="auto"/>
          <w:szCs w:val="21"/>
          <w:highlight w:val="none"/>
          <w:lang w:eastAsia="zh-CN"/>
        </w:rPr>
        <w:t>：</w:t>
      </w:r>
      <w:r>
        <w:rPr>
          <w:rFonts w:hint="eastAsia" w:ascii="宋体" w:hAnsi="宋体"/>
          <w:color w:val="auto"/>
          <w:szCs w:val="21"/>
          <w:highlight w:val="none"/>
        </w:rPr>
        <w:t>装修</w:t>
      </w:r>
      <w:r>
        <w:rPr>
          <w:rFonts w:hint="eastAsia" w:ascii="宋体" w:hAnsi="宋体" w:cs="宋体"/>
          <w:color w:val="auto"/>
          <w:szCs w:val="21"/>
          <w:highlight w:val="none"/>
        </w:rPr>
        <w:t>工程范围内的</w:t>
      </w:r>
      <w:r>
        <w:rPr>
          <w:rFonts w:hint="eastAsia" w:ascii="宋体" w:hAnsi="宋体" w:cs="宋体"/>
          <w:color w:val="auto"/>
          <w:szCs w:val="21"/>
          <w:highlight w:val="none"/>
          <w:lang w:eastAsia="zh-CN"/>
        </w:rPr>
        <w:t>电气照明、智能化控制、金属结构、油漆喷漆、防火涂料等</w:t>
      </w:r>
      <w:r>
        <w:rPr>
          <w:rFonts w:hint="eastAsia" w:ascii="宋体" w:hAnsi="宋体"/>
          <w:color w:val="auto"/>
          <w:szCs w:val="21"/>
          <w:highlight w:val="none"/>
        </w:rPr>
        <w:t>工程，以及双方约定的其他项目。</w:t>
      </w:r>
    </w:p>
    <w:p w14:paraId="4F172409">
      <w:pPr>
        <w:spacing w:line="360" w:lineRule="auto"/>
        <w:rPr>
          <w:rFonts w:hint="eastAsia" w:ascii="宋体" w:hAnsi="宋体"/>
          <w:szCs w:val="21"/>
          <w:highlight w:val="none"/>
        </w:rPr>
      </w:pPr>
      <w:r>
        <w:rPr>
          <w:rFonts w:hint="eastAsia" w:ascii="宋体" w:hAnsi="宋体"/>
          <w:b/>
          <w:szCs w:val="21"/>
          <w:highlight w:val="none"/>
        </w:rPr>
        <w:t>　　</w:t>
      </w:r>
      <w:r>
        <w:rPr>
          <w:rFonts w:hint="eastAsia" w:ascii="宋体" w:hAnsi="宋体"/>
          <w:szCs w:val="21"/>
          <w:highlight w:val="none"/>
        </w:rPr>
        <w:t>二、质量保修期</w:t>
      </w:r>
    </w:p>
    <w:p w14:paraId="42163F9A">
      <w:pPr>
        <w:spacing w:line="360" w:lineRule="auto"/>
        <w:ind w:firstLine="420"/>
        <w:rPr>
          <w:rFonts w:hint="eastAsia" w:ascii="宋体" w:hAnsi="宋体"/>
          <w:szCs w:val="21"/>
          <w:highlight w:val="none"/>
        </w:rPr>
      </w:pPr>
      <w:r>
        <w:rPr>
          <w:rFonts w:hint="eastAsia" w:ascii="宋体" w:hAnsi="宋体"/>
          <w:szCs w:val="21"/>
          <w:highlight w:val="none"/>
        </w:rPr>
        <w:t>根据《建设工程质量管理条例》及有关规定，工程的质量保修期如下：</w:t>
      </w:r>
    </w:p>
    <w:p w14:paraId="25F8CE3E">
      <w:pPr>
        <w:numPr>
          <w:ilvl w:val="0"/>
          <w:numId w:val="15"/>
        </w:numPr>
        <w:spacing w:line="360" w:lineRule="auto"/>
        <w:rPr>
          <w:rFonts w:hint="eastAsia" w:ascii="宋体" w:hAnsi="宋体"/>
          <w:szCs w:val="21"/>
          <w:highlight w:val="none"/>
        </w:rPr>
      </w:pPr>
      <w:r>
        <w:rPr>
          <w:rFonts w:hint="eastAsia" w:ascii="宋体" w:hAnsi="宋体"/>
          <w:szCs w:val="21"/>
          <w:highlight w:val="none"/>
        </w:rPr>
        <w:t>装修工程为</w:t>
      </w:r>
      <w:r>
        <w:rPr>
          <w:rFonts w:hint="eastAsia" w:ascii="宋体" w:hAnsi="宋体"/>
          <w:szCs w:val="21"/>
          <w:highlight w:val="none"/>
          <w:u w:val="single"/>
        </w:rPr>
        <w:t xml:space="preserve"> </w:t>
      </w:r>
      <w:r>
        <w:rPr>
          <w:rFonts w:hint="eastAsia" w:ascii="宋体" w:hAnsi="宋体"/>
          <w:szCs w:val="21"/>
          <w:highlight w:val="none"/>
          <w:u w:val="single"/>
          <w:lang w:val="en-US" w:eastAsia="zh-CN"/>
        </w:rPr>
        <w:t>2</w:t>
      </w:r>
      <w:r>
        <w:rPr>
          <w:rFonts w:hint="eastAsia" w:ascii="宋体" w:hAnsi="宋体"/>
          <w:szCs w:val="21"/>
          <w:highlight w:val="none"/>
          <w:u w:val="single"/>
        </w:rPr>
        <w:t xml:space="preserve"> </w:t>
      </w:r>
      <w:r>
        <w:rPr>
          <w:rFonts w:hint="eastAsia" w:ascii="宋体" w:hAnsi="宋体"/>
          <w:szCs w:val="21"/>
          <w:highlight w:val="none"/>
        </w:rPr>
        <w:t>年；</w:t>
      </w:r>
    </w:p>
    <w:p w14:paraId="5562D987">
      <w:pPr>
        <w:numPr>
          <w:ilvl w:val="0"/>
          <w:numId w:val="15"/>
        </w:numPr>
        <w:spacing w:line="360" w:lineRule="auto"/>
        <w:rPr>
          <w:rFonts w:hint="eastAsia" w:ascii="宋体" w:hAnsi="宋体"/>
          <w:szCs w:val="21"/>
          <w:highlight w:val="none"/>
        </w:rPr>
      </w:pPr>
      <w:r>
        <w:rPr>
          <w:rFonts w:hint="eastAsia" w:ascii="宋体" w:hAnsi="宋体"/>
          <w:szCs w:val="21"/>
          <w:highlight w:val="none"/>
        </w:rPr>
        <w:t>防水工程、有防水要求的卫生间、房间和外墙面的防渗为</w:t>
      </w:r>
      <w:r>
        <w:rPr>
          <w:rFonts w:hint="eastAsia" w:ascii="宋体" w:hAnsi="宋体"/>
          <w:szCs w:val="21"/>
          <w:highlight w:val="none"/>
          <w:u w:val="single"/>
        </w:rPr>
        <w:t xml:space="preserve"> 5 </w:t>
      </w:r>
      <w:r>
        <w:rPr>
          <w:rFonts w:hint="eastAsia" w:ascii="宋体" w:hAnsi="宋体"/>
          <w:szCs w:val="21"/>
          <w:highlight w:val="none"/>
        </w:rPr>
        <w:t>年；</w:t>
      </w:r>
    </w:p>
    <w:p w14:paraId="67E90C7E">
      <w:pPr>
        <w:numPr>
          <w:ilvl w:val="0"/>
          <w:numId w:val="15"/>
        </w:numPr>
        <w:spacing w:line="360" w:lineRule="auto"/>
        <w:rPr>
          <w:rFonts w:hint="eastAsia" w:ascii="宋体" w:hAnsi="宋体"/>
          <w:szCs w:val="21"/>
          <w:highlight w:val="none"/>
        </w:rPr>
      </w:pPr>
      <w:r>
        <w:rPr>
          <w:rFonts w:hint="eastAsia" w:ascii="宋体" w:hAnsi="宋体"/>
          <w:szCs w:val="21"/>
          <w:highlight w:val="none"/>
        </w:rPr>
        <w:t xml:space="preserve">电气管线、给排水管道、设备安装工程为 </w:t>
      </w:r>
      <w:r>
        <w:rPr>
          <w:rFonts w:hint="eastAsia" w:ascii="宋体" w:hAnsi="宋体"/>
          <w:szCs w:val="21"/>
          <w:highlight w:val="none"/>
          <w:u w:val="single"/>
        </w:rPr>
        <w:t xml:space="preserve"> 2 </w:t>
      </w:r>
      <w:r>
        <w:rPr>
          <w:rFonts w:hint="eastAsia" w:ascii="宋体" w:hAnsi="宋体"/>
          <w:szCs w:val="21"/>
          <w:highlight w:val="none"/>
        </w:rPr>
        <w:t>年；</w:t>
      </w:r>
    </w:p>
    <w:p w14:paraId="174A0011">
      <w:pPr>
        <w:spacing w:line="360" w:lineRule="auto"/>
        <w:ind w:firstLine="420"/>
        <w:rPr>
          <w:rFonts w:hint="eastAsia" w:ascii="宋体" w:hAnsi="宋体"/>
          <w:szCs w:val="21"/>
          <w:highlight w:val="none"/>
        </w:rPr>
      </w:pPr>
      <w:r>
        <w:rPr>
          <w:rFonts w:hint="eastAsia" w:ascii="宋体" w:hAnsi="宋体"/>
          <w:szCs w:val="21"/>
          <w:highlight w:val="none"/>
        </w:rPr>
        <w:t>4. 其他项目保修期限约定如下：</w:t>
      </w:r>
      <w:r>
        <w:rPr>
          <w:rFonts w:hint="eastAsia" w:ascii="宋体" w:hAnsi="宋体"/>
          <w:szCs w:val="21"/>
          <w:highlight w:val="none"/>
          <w:u w:val="single"/>
        </w:rPr>
        <w:t xml:space="preserve">  无。</w:t>
      </w:r>
    </w:p>
    <w:p w14:paraId="35BD7A38">
      <w:pPr>
        <w:spacing w:line="360" w:lineRule="auto"/>
        <w:ind w:firstLine="420"/>
        <w:rPr>
          <w:rFonts w:hint="eastAsia" w:ascii="宋体" w:hAnsi="宋体"/>
          <w:szCs w:val="21"/>
          <w:highlight w:val="none"/>
        </w:rPr>
      </w:pPr>
      <w:r>
        <w:rPr>
          <w:rFonts w:hint="eastAsia" w:ascii="宋体" w:hAnsi="宋体"/>
          <w:szCs w:val="21"/>
          <w:highlight w:val="none"/>
        </w:rPr>
        <w:t>　　质量保修期自工程竣工验收合格之日起计算。</w:t>
      </w:r>
    </w:p>
    <w:p w14:paraId="369D2066">
      <w:pPr>
        <w:spacing w:line="360" w:lineRule="auto"/>
        <w:ind w:firstLine="420"/>
        <w:rPr>
          <w:rFonts w:hint="eastAsia" w:ascii="宋体" w:hAnsi="宋体"/>
          <w:szCs w:val="21"/>
          <w:highlight w:val="none"/>
        </w:rPr>
      </w:pPr>
      <w:r>
        <w:rPr>
          <w:rFonts w:hint="eastAsia" w:ascii="宋体" w:hAnsi="宋体"/>
          <w:szCs w:val="21"/>
          <w:highlight w:val="none"/>
        </w:rPr>
        <w:t>三、缺陷责任期</w:t>
      </w:r>
    </w:p>
    <w:p w14:paraId="59D08E29">
      <w:pPr>
        <w:spacing w:line="360" w:lineRule="auto"/>
        <w:ind w:firstLine="420"/>
        <w:rPr>
          <w:rFonts w:hint="eastAsia" w:ascii="宋体" w:hAnsi="宋体"/>
          <w:szCs w:val="21"/>
          <w:highlight w:val="none"/>
        </w:rPr>
      </w:pPr>
      <w:r>
        <w:rPr>
          <w:rFonts w:hint="eastAsia" w:ascii="宋体" w:hAnsi="宋体"/>
          <w:szCs w:val="21"/>
          <w:highlight w:val="none"/>
        </w:rPr>
        <w:t>工程缺陷责任期为</w:t>
      </w:r>
      <w:r>
        <w:rPr>
          <w:rFonts w:hint="eastAsia" w:ascii="宋体" w:hAnsi="宋体"/>
          <w:szCs w:val="21"/>
          <w:highlight w:val="none"/>
          <w:u w:val="single"/>
          <w:lang w:val="en-US" w:eastAsia="zh-CN"/>
        </w:rPr>
        <w:t xml:space="preserve"> 24 </w:t>
      </w:r>
      <w:r>
        <w:rPr>
          <w:rFonts w:hint="eastAsia" w:ascii="宋体" w:hAnsi="宋体"/>
          <w:szCs w:val="21"/>
          <w:highlight w:val="none"/>
        </w:rPr>
        <w:t>个月，缺陷责任期自工程实际竣工之日起计算。单位工程先于全部工程进行验收，单位工程缺陷责任期自单位工程验收合格之日起算。</w:t>
      </w:r>
    </w:p>
    <w:p w14:paraId="2CB52E95">
      <w:pPr>
        <w:spacing w:line="360" w:lineRule="auto"/>
        <w:ind w:firstLine="420"/>
        <w:rPr>
          <w:rFonts w:hint="eastAsia" w:ascii="宋体" w:hAnsi="宋体"/>
          <w:szCs w:val="21"/>
          <w:highlight w:val="none"/>
        </w:rPr>
      </w:pPr>
      <w:r>
        <w:rPr>
          <w:rFonts w:hint="eastAsia" w:ascii="宋体" w:hAnsi="宋体"/>
          <w:szCs w:val="21"/>
          <w:highlight w:val="none"/>
        </w:rPr>
        <w:t>缺陷责任期终止后的30日内，</w:t>
      </w:r>
      <w:bookmarkStart w:id="1830" w:name="REVIEW_BM_1984"/>
      <w:r>
        <w:rPr>
          <w:rFonts w:hint="eastAsia" w:ascii="宋体" w:hAnsi="宋体"/>
          <w:szCs w:val="21"/>
          <w:highlight w:val="none"/>
        </w:rPr>
        <w:t>发包人</w:t>
      </w:r>
      <w:bookmarkEnd w:id="1830"/>
      <w:r>
        <w:rPr>
          <w:rFonts w:hint="eastAsia" w:ascii="宋体" w:hAnsi="宋体"/>
          <w:szCs w:val="21"/>
          <w:highlight w:val="none"/>
        </w:rPr>
        <w:t>应退还剩余的</w:t>
      </w:r>
      <w:bookmarkStart w:id="1831" w:name="REVIEW_BM_1983"/>
      <w:r>
        <w:rPr>
          <w:rFonts w:hint="eastAsia" w:ascii="宋体" w:hAnsi="宋体"/>
          <w:szCs w:val="21"/>
          <w:highlight w:val="none"/>
        </w:rPr>
        <w:t>质量保证金</w:t>
      </w:r>
      <w:bookmarkEnd w:id="1831"/>
      <w:r>
        <w:rPr>
          <w:rFonts w:hint="eastAsia" w:ascii="宋体" w:hAnsi="宋体"/>
          <w:szCs w:val="21"/>
          <w:highlight w:val="none"/>
        </w:rPr>
        <w:t>。</w:t>
      </w:r>
    </w:p>
    <w:p w14:paraId="4D5AA72F">
      <w:pPr>
        <w:spacing w:line="360" w:lineRule="auto"/>
        <w:rPr>
          <w:rFonts w:hint="eastAsia" w:ascii="宋体" w:hAnsi="宋体"/>
          <w:szCs w:val="21"/>
          <w:highlight w:val="none"/>
        </w:rPr>
      </w:pPr>
      <w:r>
        <w:rPr>
          <w:rFonts w:hint="eastAsia" w:ascii="宋体" w:hAnsi="宋体"/>
          <w:szCs w:val="21"/>
          <w:highlight w:val="none"/>
        </w:rPr>
        <w:t xml:space="preserve">    四、质量保修责任</w:t>
      </w:r>
    </w:p>
    <w:p w14:paraId="53F19D03">
      <w:pPr>
        <w:spacing w:line="360" w:lineRule="auto"/>
        <w:ind w:left="105" w:firstLine="430"/>
        <w:rPr>
          <w:rFonts w:hint="eastAsia" w:ascii="宋体" w:hAnsi="宋体"/>
          <w:szCs w:val="21"/>
          <w:highlight w:val="none"/>
        </w:rPr>
      </w:pPr>
      <w:r>
        <w:rPr>
          <w:rFonts w:hint="eastAsia" w:ascii="宋体" w:hAnsi="宋体"/>
          <w:szCs w:val="21"/>
          <w:highlight w:val="none"/>
        </w:rPr>
        <w:t>1．属于保修范围、内容的项目，</w:t>
      </w:r>
      <w:bookmarkStart w:id="1832" w:name="REVIEW_BM_1987"/>
      <w:r>
        <w:rPr>
          <w:rFonts w:hint="eastAsia" w:ascii="宋体" w:hAnsi="宋体"/>
          <w:szCs w:val="21"/>
          <w:highlight w:val="none"/>
        </w:rPr>
        <w:t>承包人</w:t>
      </w:r>
      <w:bookmarkEnd w:id="1832"/>
      <w:r>
        <w:rPr>
          <w:rFonts w:hint="eastAsia" w:ascii="宋体" w:hAnsi="宋体"/>
          <w:szCs w:val="21"/>
          <w:highlight w:val="none"/>
        </w:rPr>
        <w:t>应当在接到保修通知之日起7天内派人保修。</w:t>
      </w:r>
      <w:bookmarkStart w:id="1833" w:name="REVIEW_BM_1988"/>
      <w:r>
        <w:rPr>
          <w:rFonts w:hint="eastAsia" w:ascii="宋体" w:hAnsi="宋体"/>
          <w:szCs w:val="21"/>
          <w:highlight w:val="none"/>
        </w:rPr>
        <w:t>承包人</w:t>
      </w:r>
      <w:bookmarkEnd w:id="1833"/>
      <w:r>
        <w:rPr>
          <w:rFonts w:hint="eastAsia" w:ascii="宋体" w:hAnsi="宋体"/>
          <w:szCs w:val="21"/>
          <w:highlight w:val="none"/>
        </w:rPr>
        <w:t>不在约定期限内派人保修的，</w:t>
      </w:r>
      <w:bookmarkStart w:id="1834" w:name="REVIEW_BM_1985"/>
      <w:r>
        <w:rPr>
          <w:rFonts w:hint="eastAsia" w:ascii="宋体" w:hAnsi="宋体"/>
          <w:szCs w:val="21"/>
          <w:highlight w:val="none"/>
        </w:rPr>
        <w:t>发包人</w:t>
      </w:r>
      <w:bookmarkEnd w:id="1834"/>
      <w:r>
        <w:rPr>
          <w:rFonts w:hint="eastAsia" w:ascii="宋体" w:hAnsi="宋体"/>
          <w:szCs w:val="21"/>
          <w:highlight w:val="none"/>
        </w:rPr>
        <w:t>可以委托他人修理，费用从</w:t>
      </w:r>
      <w:bookmarkStart w:id="1835" w:name="REVIEW_BM_1990"/>
      <w:r>
        <w:rPr>
          <w:rFonts w:hint="eastAsia" w:ascii="宋体" w:hAnsi="宋体"/>
          <w:szCs w:val="21"/>
          <w:highlight w:val="none"/>
        </w:rPr>
        <w:t>质保金</w:t>
      </w:r>
      <w:bookmarkEnd w:id="1835"/>
      <w:r>
        <w:rPr>
          <w:rFonts w:hint="eastAsia" w:ascii="宋体" w:hAnsi="宋体"/>
          <w:szCs w:val="21"/>
          <w:highlight w:val="none"/>
        </w:rPr>
        <w:t>支出，</w:t>
      </w:r>
      <w:bookmarkStart w:id="1836" w:name="REVIEW_BM_1991"/>
      <w:r>
        <w:rPr>
          <w:rFonts w:hint="eastAsia" w:ascii="宋体" w:hAnsi="宋体"/>
          <w:szCs w:val="21"/>
          <w:highlight w:val="none"/>
        </w:rPr>
        <w:t>质保金</w:t>
      </w:r>
      <w:bookmarkEnd w:id="1836"/>
      <w:r>
        <w:rPr>
          <w:rFonts w:hint="eastAsia" w:ascii="宋体" w:hAnsi="宋体"/>
          <w:szCs w:val="21"/>
          <w:highlight w:val="none"/>
        </w:rPr>
        <w:t>不够的，</w:t>
      </w:r>
      <w:bookmarkStart w:id="1837" w:name="REVIEW_BM_1989"/>
      <w:r>
        <w:rPr>
          <w:rFonts w:hint="eastAsia" w:ascii="宋体" w:hAnsi="宋体"/>
          <w:szCs w:val="21"/>
          <w:highlight w:val="none"/>
        </w:rPr>
        <w:t>承包人</w:t>
      </w:r>
      <w:bookmarkEnd w:id="1837"/>
      <w:r>
        <w:rPr>
          <w:rFonts w:hint="eastAsia" w:ascii="宋体" w:hAnsi="宋体"/>
          <w:szCs w:val="21"/>
          <w:highlight w:val="none"/>
        </w:rPr>
        <w:t>应支付给</w:t>
      </w:r>
      <w:bookmarkStart w:id="1838" w:name="REVIEW_BM_1986"/>
      <w:r>
        <w:rPr>
          <w:rFonts w:hint="eastAsia" w:ascii="宋体" w:hAnsi="宋体"/>
          <w:szCs w:val="21"/>
          <w:highlight w:val="none"/>
        </w:rPr>
        <w:t>发包人</w:t>
      </w:r>
      <w:bookmarkEnd w:id="1838"/>
      <w:r>
        <w:rPr>
          <w:rFonts w:hint="eastAsia" w:ascii="宋体" w:hAnsi="宋体"/>
          <w:szCs w:val="21"/>
          <w:highlight w:val="none"/>
        </w:rPr>
        <w:t>。</w:t>
      </w:r>
    </w:p>
    <w:p w14:paraId="6D8A2069">
      <w:pPr>
        <w:spacing w:line="360" w:lineRule="auto"/>
        <w:ind w:left="105" w:firstLine="430"/>
        <w:rPr>
          <w:rFonts w:hint="eastAsia" w:ascii="宋体" w:hAnsi="宋体"/>
          <w:szCs w:val="21"/>
          <w:highlight w:val="none"/>
        </w:rPr>
      </w:pPr>
      <w:r>
        <w:rPr>
          <w:rFonts w:hint="eastAsia" w:ascii="宋体" w:hAnsi="宋体"/>
          <w:szCs w:val="21"/>
          <w:highlight w:val="none"/>
        </w:rPr>
        <w:t>2．发生紧急事故需抢修的，</w:t>
      </w:r>
      <w:bookmarkStart w:id="1839" w:name="REVIEW_BM_1992"/>
      <w:r>
        <w:rPr>
          <w:rFonts w:hint="eastAsia" w:ascii="宋体" w:hAnsi="宋体"/>
          <w:szCs w:val="21"/>
          <w:highlight w:val="none"/>
        </w:rPr>
        <w:t>承包人</w:t>
      </w:r>
      <w:bookmarkEnd w:id="1839"/>
      <w:r>
        <w:rPr>
          <w:rFonts w:hint="eastAsia" w:ascii="宋体" w:hAnsi="宋体"/>
          <w:szCs w:val="21"/>
          <w:highlight w:val="none"/>
        </w:rPr>
        <w:t>在接到事故通知后，应当立即到达事故现场抢修。</w:t>
      </w:r>
    </w:p>
    <w:p w14:paraId="2D6CF94B">
      <w:pPr>
        <w:spacing w:line="360" w:lineRule="auto"/>
        <w:ind w:left="105" w:firstLine="430"/>
        <w:rPr>
          <w:rFonts w:hint="eastAsia" w:ascii="宋体" w:hAnsi="宋体"/>
          <w:szCs w:val="21"/>
          <w:highlight w:val="none"/>
        </w:rPr>
      </w:pPr>
      <w:r>
        <w:rPr>
          <w:rFonts w:hint="eastAsia" w:ascii="宋体" w:hAnsi="宋体"/>
          <w:szCs w:val="21"/>
          <w:highlight w:val="none"/>
        </w:rPr>
        <w:t>3．对于涉及结构安全的质量问题，应当按照《建设工程质量管理条例》的规定，立即向当地建设行政主管部门和有关部门报告，采取安全防范措施，并由原设计人或者具有相应资质等级的设计人提出保修方案，</w:t>
      </w:r>
      <w:bookmarkStart w:id="1840" w:name="REVIEW_BM_1993"/>
      <w:r>
        <w:rPr>
          <w:rFonts w:hint="eastAsia" w:ascii="宋体" w:hAnsi="宋体"/>
          <w:szCs w:val="21"/>
          <w:highlight w:val="none"/>
        </w:rPr>
        <w:t>承包人</w:t>
      </w:r>
      <w:bookmarkEnd w:id="1840"/>
      <w:r>
        <w:rPr>
          <w:rFonts w:hint="eastAsia" w:ascii="宋体" w:hAnsi="宋体"/>
          <w:szCs w:val="21"/>
          <w:highlight w:val="none"/>
        </w:rPr>
        <w:t>实施保修。</w:t>
      </w:r>
    </w:p>
    <w:p w14:paraId="69567894">
      <w:pPr>
        <w:spacing w:line="360" w:lineRule="auto"/>
        <w:ind w:left="420" w:firstLine="105"/>
        <w:rPr>
          <w:rFonts w:hint="eastAsia" w:ascii="宋体" w:hAnsi="宋体"/>
          <w:szCs w:val="21"/>
          <w:highlight w:val="none"/>
        </w:rPr>
      </w:pPr>
      <w:r>
        <w:rPr>
          <w:rFonts w:hint="eastAsia" w:ascii="宋体" w:hAnsi="宋体"/>
          <w:szCs w:val="21"/>
          <w:highlight w:val="none"/>
        </w:rPr>
        <w:t>4．质量保修完成后，由</w:t>
      </w:r>
      <w:bookmarkStart w:id="1841" w:name="REVIEW_BM_1994"/>
      <w:r>
        <w:rPr>
          <w:rFonts w:hint="eastAsia" w:ascii="宋体" w:hAnsi="宋体"/>
          <w:szCs w:val="21"/>
          <w:highlight w:val="none"/>
        </w:rPr>
        <w:t>发包人</w:t>
      </w:r>
      <w:bookmarkEnd w:id="1841"/>
      <w:r>
        <w:rPr>
          <w:rFonts w:hint="eastAsia" w:ascii="宋体" w:hAnsi="宋体"/>
          <w:szCs w:val="21"/>
          <w:highlight w:val="none"/>
        </w:rPr>
        <w:t>组织验收。</w:t>
      </w:r>
    </w:p>
    <w:p w14:paraId="6ABB2798">
      <w:pPr>
        <w:spacing w:line="360" w:lineRule="auto"/>
        <w:rPr>
          <w:rFonts w:hint="eastAsia" w:ascii="宋体" w:hAnsi="宋体"/>
          <w:szCs w:val="21"/>
          <w:highlight w:val="none"/>
        </w:rPr>
      </w:pPr>
      <w:r>
        <w:rPr>
          <w:rFonts w:hint="eastAsia" w:ascii="宋体" w:hAnsi="宋体"/>
          <w:szCs w:val="21"/>
          <w:highlight w:val="none"/>
        </w:rPr>
        <w:t>　　五、保修费用</w:t>
      </w:r>
    </w:p>
    <w:p w14:paraId="1D02A33A">
      <w:pPr>
        <w:spacing w:line="360" w:lineRule="auto"/>
        <w:rPr>
          <w:rFonts w:hint="eastAsia" w:ascii="宋体" w:hAnsi="宋体"/>
          <w:szCs w:val="21"/>
          <w:highlight w:val="none"/>
        </w:rPr>
      </w:pPr>
      <w:r>
        <w:rPr>
          <w:rFonts w:hint="eastAsia" w:ascii="宋体" w:hAnsi="宋体"/>
          <w:szCs w:val="21"/>
          <w:highlight w:val="none"/>
        </w:rPr>
        <w:t>　　保修费用由造成质量缺陷的责任方承担。</w:t>
      </w:r>
    </w:p>
    <w:p w14:paraId="74847EAC">
      <w:pPr>
        <w:spacing w:line="360" w:lineRule="auto"/>
        <w:ind w:firstLine="413"/>
        <w:rPr>
          <w:rFonts w:hint="eastAsia" w:ascii="宋体" w:hAnsi="宋体"/>
          <w:szCs w:val="21"/>
          <w:highlight w:val="none"/>
          <w:u w:val="single"/>
        </w:rPr>
      </w:pPr>
      <w:r>
        <w:rPr>
          <w:rFonts w:hint="eastAsia" w:ascii="宋体" w:hAnsi="宋体"/>
          <w:b/>
          <w:szCs w:val="21"/>
          <w:highlight w:val="none"/>
        </w:rPr>
        <w:t>六</w:t>
      </w:r>
      <w:r>
        <w:rPr>
          <w:rFonts w:hint="eastAsia" w:ascii="宋体" w:hAnsi="宋体"/>
          <w:szCs w:val="21"/>
          <w:highlight w:val="none"/>
        </w:rPr>
        <w:t>、双方约定的其他工程质量保修事项：</w:t>
      </w:r>
      <w:r>
        <w:rPr>
          <w:rFonts w:hint="eastAsia" w:ascii="宋体" w:hAnsi="宋体"/>
          <w:szCs w:val="21"/>
          <w:highlight w:val="none"/>
          <w:u w:val="single"/>
        </w:rPr>
        <w:t>按照国家有关规定执行。</w:t>
      </w:r>
    </w:p>
    <w:p w14:paraId="6140541B">
      <w:pPr>
        <w:spacing w:line="360" w:lineRule="auto"/>
        <w:ind w:firstLine="399"/>
        <w:rPr>
          <w:rFonts w:hint="eastAsia" w:ascii="宋体" w:hAnsi="宋体"/>
          <w:szCs w:val="21"/>
          <w:highlight w:val="none"/>
        </w:rPr>
      </w:pPr>
      <w:r>
        <w:rPr>
          <w:rFonts w:hint="eastAsia" w:ascii="宋体" w:hAnsi="宋体"/>
          <w:szCs w:val="21"/>
          <w:highlight w:val="none"/>
        </w:rPr>
        <w:t>工程质量保修书由</w:t>
      </w:r>
      <w:bookmarkStart w:id="1842" w:name="REVIEW_BM_1995"/>
      <w:r>
        <w:rPr>
          <w:rFonts w:hint="eastAsia" w:ascii="宋体" w:hAnsi="宋体"/>
          <w:szCs w:val="21"/>
          <w:highlight w:val="none"/>
        </w:rPr>
        <w:t>发包人</w:t>
      </w:r>
      <w:bookmarkEnd w:id="1842"/>
      <w:r>
        <w:rPr>
          <w:rFonts w:hint="eastAsia" w:ascii="宋体" w:hAnsi="宋体"/>
          <w:szCs w:val="21"/>
          <w:highlight w:val="none"/>
        </w:rPr>
        <w:t>、</w:t>
      </w:r>
      <w:bookmarkStart w:id="1843" w:name="REVIEW_BM_1996"/>
      <w:r>
        <w:rPr>
          <w:rFonts w:hint="eastAsia" w:ascii="宋体" w:hAnsi="宋体"/>
          <w:szCs w:val="21"/>
          <w:highlight w:val="none"/>
        </w:rPr>
        <w:t>承包人</w:t>
      </w:r>
      <w:bookmarkEnd w:id="1843"/>
      <w:r>
        <w:rPr>
          <w:rFonts w:hint="eastAsia" w:ascii="宋体" w:hAnsi="宋体"/>
          <w:szCs w:val="21"/>
          <w:highlight w:val="none"/>
        </w:rPr>
        <w:t>在工程竣工验收前共同签署，作为施工合同附件，其有效期限至保修期满。</w:t>
      </w:r>
    </w:p>
    <w:p w14:paraId="4865EC9A">
      <w:pPr>
        <w:spacing w:line="360" w:lineRule="exact"/>
        <w:ind w:firstLine="420"/>
        <w:rPr>
          <w:rFonts w:hint="eastAsia" w:ascii="宋体" w:hAnsi="宋体" w:cs="宋体"/>
          <w:szCs w:val="21"/>
          <w:highlight w:val="none"/>
        </w:rPr>
      </w:pPr>
    </w:p>
    <w:p w14:paraId="1A9F6149">
      <w:pPr>
        <w:spacing w:line="360" w:lineRule="exact"/>
        <w:ind w:firstLine="420"/>
        <w:rPr>
          <w:rFonts w:hint="eastAsia" w:ascii="宋体" w:hAnsi="宋体" w:cs="宋体"/>
          <w:szCs w:val="21"/>
          <w:highlight w:val="none"/>
        </w:rPr>
      </w:pPr>
    </w:p>
    <w:p w14:paraId="7C8C939F">
      <w:pPr>
        <w:spacing w:line="360" w:lineRule="exact"/>
        <w:rPr>
          <w:rFonts w:hint="eastAsia" w:ascii="宋体" w:hAnsi="宋体" w:cs="宋体"/>
          <w:szCs w:val="21"/>
          <w:highlight w:val="none"/>
        </w:rPr>
      </w:pPr>
      <w:bookmarkStart w:id="1844" w:name="REVIEW_BM_1997"/>
      <w:r>
        <w:rPr>
          <w:rFonts w:hint="eastAsia" w:ascii="宋体" w:hAnsi="宋体" w:cs="宋体"/>
          <w:szCs w:val="21"/>
          <w:highlight w:val="none"/>
        </w:rPr>
        <w:t>发包人</w:t>
      </w:r>
      <w:bookmarkEnd w:id="1844"/>
      <w:r>
        <w:rPr>
          <w:rFonts w:hint="eastAsia" w:ascii="宋体" w:hAnsi="宋体" w:cs="宋体"/>
          <w:szCs w:val="21"/>
          <w:highlight w:val="none"/>
        </w:rPr>
        <w:t>（公章）：</w:t>
      </w:r>
      <w:r>
        <w:rPr>
          <w:rFonts w:hint="eastAsia" w:ascii="宋体" w:hAnsi="宋体" w:cs="宋体"/>
          <w:szCs w:val="21"/>
          <w:highlight w:val="none"/>
          <w:u w:val="single"/>
        </w:rPr>
        <w:t xml:space="preserve"> </w:t>
      </w:r>
      <w:r>
        <w:rPr>
          <w:rFonts w:hint="eastAsia" w:ascii="宋体" w:hAnsi="宋体" w:cs="宋体"/>
          <w:szCs w:val="21"/>
          <w:highlight w:val="none"/>
          <w:u w:val="single"/>
          <w:lang w:eastAsia="zh-CN"/>
        </w:rPr>
        <w:t>广西医科大学</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bookmarkStart w:id="1845" w:name="REVIEW_BM_1998"/>
      <w:r>
        <w:rPr>
          <w:rFonts w:hint="eastAsia" w:ascii="宋体" w:hAnsi="宋体" w:cs="宋体"/>
          <w:szCs w:val="21"/>
          <w:highlight w:val="none"/>
        </w:rPr>
        <w:t>承包人</w:t>
      </w:r>
      <w:bookmarkEnd w:id="1845"/>
      <w:r>
        <w:rPr>
          <w:rFonts w:hint="eastAsia" w:ascii="宋体" w:hAnsi="宋体" w:cs="宋体"/>
          <w:szCs w:val="21"/>
          <w:highlight w:val="none"/>
        </w:rPr>
        <w:t>（公章）：</w:t>
      </w:r>
      <w:r>
        <w:rPr>
          <w:rFonts w:hint="eastAsia" w:ascii="宋体" w:hAnsi="宋体" w:cs="宋体"/>
          <w:szCs w:val="21"/>
          <w:highlight w:val="none"/>
          <w:u w:val="single"/>
        </w:rPr>
        <w:t>          </w:t>
      </w:r>
    </w:p>
    <w:p w14:paraId="51158F51">
      <w:pPr>
        <w:spacing w:line="360" w:lineRule="exac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南宁市双拥路22号    </w:t>
      </w:r>
      <w:r>
        <w:rPr>
          <w:rFonts w:hint="eastAsia" w:ascii="宋体" w:hAnsi="宋体" w:cs="宋体"/>
          <w:szCs w:val="21"/>
          <w:highlight w:val="none"/>
        </w:rPr>
        <w:t xml:space="preserve">              地  址：</w:t>
      </w:r>
      <w:r>
        <w:rPr>
          <w:rFonts w:hint="eastAsia" w:ascii="宋体" w:hAnsi="宋体" w:cs="宋体"/>
          <w:szCs w:val="21"/>
          <w:highlight w:val="none"/>
          <w:u w:val="single"/>
        </w:rPr>
        <w:t>      </w:t>
      </w:r>
    </w:p>
    <w:p w14:paraId="362D0483">
      <w:pPr>
        <w:spacing w:line="360" w:lineRule="exact"/>
        <w:rPr>
          <w:rFonts w:hint="eastAsia" w:ascii="宋体" w:hAnsi="宋体" w:cs="宋体"/>
          <w:szCs w:val="21"/>
          <w:highlight w:val="none"/>
        </w:rPr>
      </w:pPr>
      <w:r>
        <w:rPr>
          <w:rFonts w:hint="eastAsia" w:ascii="宋体" w:hAnsi="宋体" w:cs="宋体"/>
          <w:szCs w:val="21"/>
          <w:highlight w:val="none"/>
        </w:rPr>
        <w:t>法定代表人（签字）：</w:t>
      </w:r>
      <w:r>
        <w:rPr>
          <w:rFonts w:hint="eastAsia" w:ascii="宋体" w:hAnsi="宋体" w:cs="宋体"/>
          <w:szCs w:val="21"/>
          <w:highlight w:val="none"/>
          <w:u w:val="single"/>
        </w:rPr>
        <w:t xml:space="preserve">      </w:t>
      </w:r>
      <w:r>
        <w:rPr>
          <w:rFonts w:hint="eastAsia" w:ascii="宋体" w:hAnsi="宋体" w:cs="宋体"/>
          <w:szCs w:val="21"/>
          <w:highlight w:val="none"/>
        </w:rPr>
        <w:t xml:space="preserve">              法定代表人（签字）：</w:t>
      </w:r>
      <w:r>
        <w:rPr>
          <w:rFonts w:hint="eastAsia" w:ascii="宋体" w:hAnsi="宋体" w:cs="宋体"/>
          <w:szCs w:val="21"/>
          <w:highlight w:val="none"/>
          <w:u w:val="single"/>
        </w:rPr>
        <w:t>     </w:t>
      </w:r>
    </w:p>
    <w:p w14:paraId="2148A84F">
      <w:pPr>
        <w:spacing w:line="360" w:lineRule="exact"/>
        <w:rPr>
          <w:rFonts w:hint="eastAsia" w:ascii="宋体" w:hAnsi="宋体" w:cs="宋体"/>
          <w:szCs w:val="21"/>
          <w:highlight w:val="none"/>
        </w:rPr>
      </w:pPr>
      <w:r>
        <w:rPr>
          <w:rFonts w:hint="eastAsia" w:ascii="宋体" w:hAnsi="宋体" w:cs="宋体"/>
          <w:szCs w:val="21"/>
          <w:highlight w:val="none"/>
        </w:rPr>
        <w:t>委托代理人（签字）：</w:t>
      </w:r>
      <w:r>
        <w:rPr>
          <w:rFonts w:hint="eastAsia" w:ascii="宋体" w:hAnsi="宋体" w:cs="宋体"/>
          <w:szCs w:val="21"/>
          <w:highlight w:val="none"/>
          <w:u w:val="single"/>
        </w:rPr>
        <w:t xml:space="preserve">      </w:t>
      </w:r>
      <w:r>
        <w:rPr>
          <w:rFonts w:hint="eastAsia" w:ascii="宋体" w:hAnsi="宋体" w:cs="宋体"/>
          <w:szCs w:val="21"/>
          <w:highlight w:val="none"/>
        </w:rPr>
        <w:t xml:space="preserve">              委托代理人（签字）：</w:t>
      </w:r>
      <w:r>
        <w:rPr>
          <w:rFonts w:hint="eastAsia" w:ascii="宋体" w:hAnsi="宋体" w:cs="宋体"/>
          <w:szCs w:val="21"/>
          <w:highlight w:val="none"/>
          <w:u w:val="single"/>
        </w:rPr>
        <w:t>     </w:t>
      </w:r>
    </w:p>
    <w:p w14:paraId="4DD9EE52">
      <w:pPr>
        <w:spacing w:line="360" w:lineRule="exact"/>
        <w:rPr>
          <w:rFonts w:hint="eastAsia" w:ascii="宋体" w:hAnsi="宋体" w:cs="宋体"/>
          <w:szCs w:val="21"/>
          <w:highlight w:val="none"/>
        </w:rPr>
      </w:pPr>
      <w:r>
        <w:rPr>
          <w:rFonts w:hint="eastAsia" w:ascii="宋体" w:hAnsi="宋体" w:cs="宋体"/>
          <w:szCs w:val="21"/>
          <w:highlight w:val="none"/>
        </w:rPr>
        <w:t>电  话：</w:t>
      </w:r>
      <w:r>
        <w:rPr>
          <w:rFonts w:hint="eastAsia" w:ascii="宋体" w:hAnsi="宋体" w:cs="宋体"/>
          <w:szCs w:val="21"/>
          <w:highlight w:val="none"/>
          <w:u w:val="single"/>
        </w:rPr>
        <w:t xml:space="preserve">0771-5330611         </w:t>
      </w:r>
      <w:r>
        <w:rPr>
          <w:rFonts w:hint="eastAsia" w:ascii="宋体" w:hAnsi="宋体" w:cs="宋体"/>
          <w:szCs w:val="21"/>
          <w:highlight w:val="none"/>
        </w:rPr>
        <w:t xml:space="preserve">              电  话：</w:t>
      </w:r>
      <w:r>
        <w:rPr>
          <w:rFonts w:hint="eastAsia" w:ascii="宋体" w:hAnsi="宋体" w:cs="宋体"/>
          <w:szCs w:val="21"/>
          <w:highlight w:val="none"/>
          <w:u w:val="single"/>
        </w:rPr>
        <w:t>      </w:t>
      </w:r>
    </w:p>
    <w:p w14:paraId="5BDDA04C">
      <w:pPr>
        <w:spacing w:line="360" w:lineRule="exact"/>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w:t>
      </w:r>
      <w:r>
        <w:rPr>
          <w:rFonts w:hint="eastAsia" w:ascii="宋体" w:hAnsi="宋体" w:cs="宋体"/>
          <w:szCs w:val="21"/>
          <w:highlight w:val="none"/>
          <w:u w:val="single"/>
          <w:lang w:val="en-US" w:eastAsia="zh-CN"/>
        </w:rPr>
        <w:t xml:space="preserve">       /    </w:t>
      </w:r>
      <w:r>
        <w:rPr>
          <w:rFonts w:hint="eastAsia" w:ascii="宋体" w:hAnsi="宋体" w:cs="宋体"/>
          <w:szCs w:val="21"/>
          <w:highlight w:val="none"/>
          <w:u w:val="single"/>
        </w:rPr>
        <w:t xml:space="preserve">     </w:t>
      </w:r>
      <w:r>
        <w:rPr>
          <w:rFonts w:hint="eastAsia" w:ascii="宋体" w:hAnsi="宋体" w:cs="宋体"/>
          <w:szCs w:val="21"/>
          <w:highlight w:val="none"/>
        </w:rPr>
        <w:t xml:space="preserve">              传  真：</w:t>
      </w:r>
      <w:r>
        <w:rPr>
          <w:rFonts w:hint="eastAsia" w:ascii="宋体" w:hAnsi="宋体" w:cs="宋体"/>
          <w:szCs w:val="21"/>
          <w:highlight w:val="none"/>
          <w:u w:val="single"/>
        </w:rPr>
        <w:t>    </w:t>
      </w:r>
    </w:p>
    <w:p w14:paraId="56944623">
      <w:pPr>
        <w:spacing w:line="360" w:lineRule="exact"/>
        <w:rPr>
          <w:rFonts w:hint="eastAsia" w:ascii="宋体" w:hAnsi="宋体" w:cs="宋体"/>
          <w:szCs w:val="21"/>
          <w:highlight w:val="none"/>
        </w:rPr>
      </w:pPr>
      <w:r>
        <w:rPr>
          <w:rFonts w:hint="eastAsia" w:ascii="宋体" w:hAnsi="宋体" w:cs="宋体"/>
          <w:szCs w:val="21"/>
          <w:highlight w:val="none"/>
        </w:rPr>
        <w:t>开户银行：</w:t>
      </w:r>
      <w:r>
        <w:rPr>
          <w:rFonts w:hint="eastAsia" w:ascii="宋体" w:hAnsi="宋体" w:cs="宋体"/>
          <w:szCs w:val="21"/>
          <w:highlight w:val="none"/>
          <w:u w:val="single"/>
        </w:rPr>
        <w:t xml:space="preserve">中行医科大支行    </w:t>
      </w:r>
      <w:r>
        <w:rPr>
          <w:rFonts w:hint="eastAsia" w:ascii="宋体" w:hAnsi="宋体" w:cs="宋体"/>
          <w:szCs w:val="21"/>
          <w:highlight w:val="none"/>
        </w:rPr>
        <w:t xml:space="preserve">              开户银行：</w:t>
      </w:r>
      <w:r>
        <w:rPr>
          <w:rFonts w:hint="eastAsia" w:ascii="宋体" w:hAnsi="宋体" w:cs="宋体"/>
          <w:szCs w:val="21"/>
          <w:highlight w:val="none"/>
          <w:u w:val="single"/>
        </w:rPr>
        <w:t>  </w:t>
      </w:r>
    </w:p>
    <w:p w14:paraId="46DBAE1D">
      <w:pPr>
        <w:tabs>
          <w:tab w:val="left" w:pos="2880"/>
          <w:tab w:val="left" w:pos="3060"/>
          <w:tab w:val="left" w:pos="4500"/>
        </w:tabs>
        <w:spacing w:line="360" w:lineRule="exact"/>
        <w:rPr>
          <w:rFonts w:hint="eastAsia" w:ascii="宋体" w:hAnsi="宋体" w:cs="宋体"/>
          <w:szCs w:val="21"/>
          <w:highlight w:val="none"/>
        </w:rPr>
      </w:pPr>
      <w:r>
        <w:rPr>
          <w:rFonts w:hint="eastAsia" w:ascii="宋体" w:hAnsi="宋体" w:cs="宋体"/>
          <w:szCs w:val="21"/>
          <w:highlight w:val="none"/>
        </w:rPr>
        <w:t>账  号：</w:t>
      </w:r>
      <w:r>
        <w:rPr>
          <w:rFonts w:hint="eastAsia" w:ascii="宋体" w:hAnsi="宋体" w:cs="宋体"/>
          <w:szCs w:val="21"/>
          <w:highlight w:val="none"/>
          <w:u w:val="single"/>
        </w:rPr>
        <w:t xml:space="preserve">622357485287    </w:t>
      </w:r>
      <w:r>
        <w:rPr>
          <w:rFonts w:hint="eastAsia" w:ascii="宋体" w:hAnsi="宋体" w:cs="宋体"/>
          <w:szCs w:val="21"/>
          <w:highlight w:val="none"/>
        </w:rPr>
        <w:t xml:space="preserve">                 账  号：</w:t>
      </w:r>
      <w:r>
        <w:rPr>
          <w:rFonts w:hint="eastAsia" w:ascii="宋体" w:hAnsi="宋体" w:cs="宋体"/>
          <w:szCs w:val="21"/>
          <w:highlight w:val="none"/>
          <w:u w:val="single"/>
        </w:rPr>
        <w:t>    </w:t>
      </w:r>
    </w:p>
    <w:p w14:paraId="51A4B3D1">
      <w:pPr>
        <w:spacing w:line="360" w:lineRule="exact"/>
        <w:rPr>
          <w:rFonts w:hint="eastAsia" w:ascii="宋体" w:hAnsi="宋体" w:cs="宋体"/>
          <w:szCs w:val="21"/>
          <w:highlight w:val="none"/>
          <w:u w:val="single"/>
        </w:rPr>
      </w:pPr>
      <w:r>
        <w:rPr>
          <w:rFonts w:hint="eastAsia" w:ascii="宋体" w:hAnsi="宋体" w:cs="宋体"/>
          <w:szCs w:val="21"/>
          <w:highlight w:val="none"/>
        </w:rPr>
        <w:t>邮政编码：</w:t>
      </w:r>
      <w:r>
        <w:rPr>
          <w:rFonts w:hint="eastAsia" w:ascii="宋体" w:hAnsi="宋体" w:cs="宋体"/>
          <w:szCs w:val="21"/>
          <w:highlight w:val="none"/>
          <w:u w:val="single"/>
        </w:rPr>
        <w:t xml:space="preserve"> 530021        </w:t>
      </w:r>
      <w:r>
        <w:rPr>
          <w:rFonts w:hint="eastAsia" w:ascii="宋体" w:hAnsi="宋体" w:cs="宋体"/>
          <w:szCs w:val="21"/>
          <w:highlight w:val="none"/>
        </w:rPr>
        <w:t xml:space="preserve">                  邮政编码：</w:t>
      </w:r>
      <w:r>
        <w:rPr>
          <w:rFonts w:hint="eastAsia" w:ascii="宋体" w:hAnsi="宋体" w:cs="宋体"/>
          <w:szCs w:val="21"/>
          <w:highlight w:val="none"/>
          <w:u w:val="single"/>
        </w:rPr>
        <w:t xml:space="preserve">    </w:t>
      </w:r>
    </w:p>
    <w:p w14:paraId="416F1C4A">
      <w:pPr>
        <w:spacing w:line="360" w:lineRule="exact"/>
        <w:rPr>
          <w:rFonts w:hint="eastAsia" w:ascii="宋体" w:hAnsi="宋体" w:cs="宋体"/>
          <w:szCs w:val="21"/>
          <w:highlight w:val="none"/>
        </w:rPr>
      </w:pPr>
    </w:p>
    <w:p w14:paraId="4D706253">
      <w:pPr>
        <w:spacing w:line="360" w:lineRule="exact"/>
        <w:rPr>
          <w:rFonts w:hint="eastAsia" w:ascii="宋体" w:hAnsi="宋体" w:cs="宋体"/>
          <w:szCs w:val="21"/>
          <w:highlight w:val="none"/>
        </w:rPr>
      </w:pPr>
      <w:r>
        <w:rPr>
          <w:rFonts w:hint="eastAsia" w:ascii="宋体" w:hAnsi="宋体" w:cs="宋体"/>
          <w:b/>
          <w:szCs w:val="21"/>
          <w:highlight w:val="none"/>
        </w:rPr>
        <w:br w:type="page" w:clear="all"/>
      </w:r>
      <w:r>
        <w:rPr>
          <w:rFonts w:hint="eastAsia" w:ascii="宋体" w:hAnsi="宋体" w:cs="宋体"/>
          <w:szCs w:val="21"/>
          <w:highlight w:val="none"/>
        </w:rPr>
        <w:t>附件4：</w:t>
      </w:r>
    </w:p>
    <w:p w14:paraId="1FDE66E4">
      <w:pPr>
        <w:widowControl w:val="0"/>
        <w:ind w:firstLine="0"/>
        <w:jc w:val="center"/>
        <w:rPr>
          <w:rFonts w:ascii="Times New Roman" w:hAnsi="Times New Roman" w:eastAsia="宋体" w:cs="Times New Roman"/>
          <w:b/>
          <w:sz w:val="36"/>
          <w:szCs w:val="36"/>
          <w:highlight w:val="none"/>
        </w:rPr>
      </w:pPr>
      <w:r>
        <w:rPr>
          <w:rFonts w:hint="eastAsia" w:ascii="Times New Roman" w:hAnsi="Times New Roman" w:eastAsia="宋体" w:cs="Times New Roman"/>
          <w:b w:val="0"/>
          <w:bCs/>
          <w:sz w:val="21"/>
          <w:szCs w:val="21"/>
          <w:highlight w:val="none"/>
        </w:rPr>
        <w:t>工程结算送审承诺书</w:t>
      </w:r>
    </w:p>
    <w:p w14:paraId="42C1E835">
      <w:pPr>
        <w:widowControl w:val="0"/>
        <w:ind w:firstLine="422"/>
        <w:jc w:val="both"/>
        <w:rPr>
          <w:rFonts w:ascii="宋体" w:hAnsi="Times New Roman" w:eastAsia="宋体" w:cs="Times New Roman"/>
          <w:b/>
          <w:szCs w:val="21"/>
          <w:highlight w:val="none"/>
        </w:rPr>
      </w:pPr>
    </w:p>
    <w:p w14:paraId="41276F0D">
      <w:pPr>
        <w:widowControl w:val="0"/>
        <w:spacing w:line="360" w:lineRule="auto"/>
        <w:jc w:val="both"/>
        <w:rPr>
          <w:rFonts w:ascii="宋体" w:hAnsi="宋体" w:eastAsia="宋体" w:cs="Times New Roman"/>
          <w:szCs w:val="21"/>
          <w:highlight w:val="none"/>
        </w:rPr>
      </w:pPr>
      <w:bookmarkStart w:id="1846" w:name="REVIEW_BM_1999"/>
      <w:r>
        <w:rPr>
          <w:rFonts w:hint="eastAsia" w:ascii="宋体" w:hAnsi="宋体" w:eastAsia="宋体" w:cs="Times New Roman"/>
          <w:szCs w:val="21"/>
          <w:highlight w:val="none"/>
        </w:rPr>
        <w:t>发包人</w:t>
      </w:r>
      <w:bookmarkEnd w:id="1846"/>
      <w:r>
        <w:rPr>
          <w:rFonts w:hint="eastAsia" w:ascii="宋体" w:hAnsi="宋体" w:eastAsia="宋体" w:cs="Times New Roman"/>
          <w:szCs w:val="21"/>
          <w:highlight w:val="none"/>
        </w:rPr>
        <w:t>（广西医科大学）：</w:t>
      </w:r>
    </w:p>
    <w:p w14:paraId="7679004A">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根据贵校与</w:t>
      </w:r>
      <w:bookmarkStart w:id="1847" w:name="REVIEW_BM_2000"/>
      <w:r>
        <w:rPr>
          <w:rFonts w:hint="eastAsia" w:ascii="宋体" w:hAnsi="宋体" w:eastAsia="宋体" w:cs="Times New Roman"/>
          <w:szCs w:val="21"/>
          <w:highlight w:val="none"/>
        </w:rPr>
        <w:t>我公司</w:t>
      </w:r>
      <w:bookmarkEnd w:id="1847"/>
      <w:r>
        <w:rPr>
          <w:rFonts w:hint="eastAsia" w:ascii="宋体" w:hAnsi="宋体" w:eastAsia="宋体" w:cs="Times New Roman"/>
          <w:szCs w:val="21"/>
          <w:highlight w:val="none"/>
        </w:rPr>
        <w:t xml:space="preserve">与    年  月  日签订的《    </w:t>
      </w:r>
      <w:r>
        <w:rPr>
          <w:rFonts w:ascii="宋体" w:hAnsi="宋体" w:eastAsia="宋体" w:cs="Times New Roman"/>
          <w:szCs w:val="21"/>
          <w:highlight w:val="none"/>
        </w:rPr>
        <w:t xml:space="preserve">                        </w:t>
      </w:r>
      <w:r>
        <w:rPr>
          <w:rFonts w:hint="eastAsia" w:ascii="宋体" w:hAnsi="宋体" w:eastAsia="宋体" w:cs="Times New Roman"/>
          <w:szCs w:val="21"/>
          <w:highlight w:val="none"/>
        </w:rPr>
        <w:t xml:space="preserve">    合同》，</w:t>
      </w:r>
      <w:bookmarkStart w:id="1848" w:name="REVIEW_BM_2001"/>
      <w:r>
        <w:rPr>
          <w:rFonts w:hint="eastAsia" w:ascii="宋体" w:hAnsi="宋体" w:eastAsia="宋体" w:cs="Times New Roman"/>
          <w:szCs w:val="21"/>
          <w:highlight w:val="none"/>
        </w:rPr>
        <w:t>我公司</w:t>
      </w:r>
      <w:bookmarkEnd w:id="1848"/>
      <w:r>
        <w:rPr>
          <w:rFonts w:hint="eastAsia" w:ascii="宋体" w:hAnsi="宋体" w:eastAsia="宋体" w:cs="Times New Roman"/>
          <w:szCs w:val="21"/>
          <w:highlight w:val="none"/>
        </w:rPr>
        <w:t>承建贵校的                             项目，该项目已于    年  月  日通过竣工验收，验收结果为合格。</w:t>
      </w:r>
      <w:bookmarkStart w:id="1849" w:name="REVIEW_BM_2002"/>
      <w:r>
        <w:rPr>
          <w:rFonts w:hint="eastAsia" w:ascii="宋体" w:hAnsi="宋体" w:eastAsia="宋体" w:cs="Times New Roman"/>
          <w:szCs w:val="21"/>
          <w:highlight w:val="none"/>
        </w:rPr>
        <w:t>我公司</w:t>
      </w:r>
      <w:bookmarkEnd w:id="1849"/>
      <w:r>
        <w:rPr>
          <w:rFonts w:hint="eastAsia" w:ascii="宋体" w:hAnsi="宋体" w:eastAsia="宋体" w:cs="Times New Roman"/>
          <w:szCs w:val="21"/>
          <w:highlight w:val="none"/>
        </w:rPr>
        <w:t>现将该项目工程结算资料报送贵校审计（材料清单见附件）并就报审相关事宜承诺如下：</w:t>
      </w:r>
    </w:p>
    <w:p w14:paraId="22564C59">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一、</w:t>
      </w:r>
      <w:bookmarkStart w:id="1850" w:name="REVIEW_BM_2003"/>
      <w:r>
        <w:rPr>
          <w:rFonts w:hint="eastAsia" w:ascii="宋体" w:hAnsi="宋体" w:eastAsia="宋体" w:cs="Times New Roman"/>
          <w:szCs w:val="21"/>
          <w:highlight w:val="none"/>
        </w:rPr>
        <w:t>我公司</w:t>
      </w:r>
      <w:bookmarkEnd w:id="1850"/>
      <w:r>
        <w:rPr>
          <w:rFonts w:hint="eastAsia" w:ascii="宋体" w:hAnsi="宋体" w:eastAsia="宋体" w:cs="Times New Roman"/>
          <w:szCs w:val="21"/>
          <w:highlight w:val="none"/>
        </w:rPr>
        <w:t>报送的全部结算资料为真实、有效、准确、完整。</w:t>
      </w:r>
    </w:p>
    <w:p w14:paraId="7F02ED12">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二、对于</w:t>
      </w:r>
      <w:bookmarkStart w:id="1851" w:name="REVIEW_BM_2004"/>
      <w:r>
        <w:rPr>
          <w:rFonts w:hint="eastAsia" w:ascii="宋体" w:hAnsi="宋体" w:eastAsia="宋体" w:cs="Times New Roman"/>
          <w:szCs w:val="21"/>
          <w:highlight w:val="none"/>
        </w:rPr>
        <w:t>我公司</w:t>
      </w:r>
      <w:bookmarkEnd w:id="1851"/>
      <w:r>
        <w:rPr>
          <w:rFonts w:hint="eastAsia" w:ascii="宋体" w:hAnsi="宋体" w:eastAsia="宋体" w:cs="Times New Roman"/>
          <w:szCs w:val="21"/>
          <w:highlight w:val="none"/>
        </w:rPr>
        <w:t>在本次报送中遗漏的结算资料，</w:t>
      </w:r>
      <w:bookmarkStart w:id="1852" w:name="REVIEW_BM_2005"/>
      <w:r>
        <w:rPr>
          <w:rFonts w:hint="eastAsia" w:ascii="宋体" w:hAnsi="宋体" w:eastAsia="宋体" w:cs="Times New Roman"/>
          <w:szCs w:val="21"/>
          <w:highlight w:val="none"/>
        </w:rPr>
        <w:t>我公司</w:t>
      </w:r>
      <w:bookmarkEnd w:id="1852"/>
      <w:r>
        <w:rPr>
          <w:rFonts w:hint="eastAsia" w:ascii="宋体" w:hAnsi="宋体" w:eastAsia="宋体" w:cs="Times New Roman"/>
          <w:szCs w:val="21"/>
          <w:highlight w:val="none"/>
        </w:rPr>
        <w:t>将在收到贵校初步审计报告之日起十个日历日内补齐，该期限之后，除贵校要求</w:t>
      </w:r>
      <w:bookmarkStart w:id="1853" w:name="REVIEW_BM_2006"/>
      <w:r>
        <w:rPr>
          <w:rFonts w:hint="eastAsia" w:ascii="宋体" w:hAnsi="宋体" w:eastAsia="宋体" w:cs="Times New Roman"/>
          <w:szCs w:val="21"/>
          <w:highlight w:val="none"/>
        </w:rPr>
        <w:t>我公司</w:t>
      </w:r>
      <w:bookmarkEnd w:id="1853"/>
      <w:r>
        <w:rPr>
          <w:rFonts w:hint="eastAsia" w:ascii="宋体" w:hAnsi="宋体" w:eastAsia="宋体" w:cs="Times New Roman"/>
          <w:szCs w:val="21"/>
          <w:highlight w:val="none"/>
        </w:rPr>
        <w:t>补充资料之外，</w:t>
      </w:r>
      <w:bookmarkStart w:id="1854" w:name="REVIEW_BM_2007"/>
      <w:r>
        <w:rPr>
          <w:rFonts w:hint="eastAsia" w:ascii="宋体" w:hAnsi="宋体" w:eastAsia="宋体" w:cs="Times New Roman"/>
          <w:szCs w:val="21"/>
          <w:highlight w:val="none"/>
        </w:rPr>
        <w:t>我公司</w:t>
      </w:r>
      <w:bookmarkEnd w:id="1854"/>
      <w:r>
        <w:rPr>
          <w:rFonts w:hint="eastAsia" w:ascii="宋体" w:hAnsi="宋体" w:eastAsia="宋体" w:cs="Times New Roman"/>
          <w:szCs w:val="21"/>
          <w:highlight w:val="none"/>
        </w:rPr>
        <w:t>将不再向贵校补充提出任何有可能导致工程价款增加的调整或补充结算要求；同时，该期限之后，即使</w:t>
      </w:r>
      <w:bookmarkStart w:id="1855" w:name="REVIEW_BM_2008"/>
      <w:r>
        <w:rPr>
          <w:rFonts w:hint="eastAsia" w:ascii="宋体" w:hAnsi="宋体" w:eastAsia="宋体" w:cs="Times New Roman"/>
          <w:szCs w:val="21"/>
          <w:highlight w:val="none"/>
        </w:rPr>
        <w:t>我公司</w:t>
      </w:r>
      <w:bookmarkEnd w:id="1855"/>
      <w:r>
        <w:rPr>
          <w:rFonts w:hint="eastAsia" w:ascii="宋体" w:hAnsi="宋体" w:eastAsia="宋体" w:cs="Times New Roman"/>
          <w:szCs w:val="21"/>
          <w:highlight w:val="none"/>
        </w:rPr>
        <w:t>发现仍有结算资料未报送的，</w:t>
      </w:r>
      <w:bookmarkStart w:id="1856" w:name="REVIEW_BM_2009"/>
      <w:r>
        <w:rPr>
          <w:rFonts w:hint="eastAsia" w:ascii="宋体" w:hAnsi="宋体" w:eastAsia="宋体" w:cs="Times New Roman"/>
          <w:szCs w:val="21"/>
          <w:highlight w:val="none"/>
        </w:rPr>
        <w:t>我公司</w:t>
      </w:r>
      <w:bookmarkEnd w:id="1856"/>
      <w:r>
        <w:rPr>
          <w:rFonts w:hint="eastAsia" w:ascii="宋体" w:hAnsi="宋体" w:eastAsia="宋体" w:cs="Times New Roman"/>
          <w:szCs w:val="21"/>
          <w:highlight w:val="none"/>
        </w:rPr>
        <w:t>也将放弃该部分资料所对应的结算款，不再主张或要求贵校支付该部分结算款。</w:t>
      </w:r>
    </w:p>
    <w:p w14:paraId="1B82A38B">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三、若贵校在审计过程中发现</w:t>
      </w:r>
      <w:bookmarkStart w:id="1857" w:name="REVIEW_BM_2010"/>
      <w:r>
        <w:rPr>
          <w:rFonts w:hint="eastAsia" w:ascii="宋体" w:hAnsi="宋体" w:eastAsia="宋体" w:cs="Times New Roman"/>
          <w:szCs w:val="21"/>
          <w:highlight w:val="none"/>
        </w:rPr>
        <w:t>我公司</w:t>
      </w:r>
      <w:bookmarkEnd w:id="1857"/>
      <w:r>
        <w:rPr>
          <w:rFonts w:hint="eastAsia" w:ascii="宋体" w:hAnsi="宋体" w:eastAsia="宋体" w:cs="Times New Roman"/>
          <w:szCs w:val="21"/>
          <w:highlight w:val="none"/>
        </w:rPr>
        <w:t>报审资料中有瞒报、谎报等虚增工程款的情形的，</w:t>
      </w:r>
      <w:bookmarkStart w:id="1858" w:name="REVIEW_BM_2011"/>
      <w:r>
        <w:rPr>
          <w:rFonts w:hint="eastAsia" w:ascii="宋体" w:hAnsi="宋体" w:eastAsia="宋体" w:cs="Times New Roman"/>
          <w:szCs w:val="21"/>
          <w:highlight w:val="none"/>
        </w:rPr>
        <w:t>我公司</w:t>
      </w:r>
      <w:bookmarkEnd w:id="1858"/>
      <w:r>
        <w:rPr>
          <w:rFonts w:hint="eastAsia" w:ascii="宋体" w:hAnsi="宋体" w:eastAsia="宋体" w:cs="Times New Roman"/>
          <w:szCs w:val="21"/>
          <w:highlight w:val="none"/>
        </w:rPr>
        <w:t>将承担全部责任。</w:t>
      </w:r>
    </w:p>
    <w:p w14:paraId="756F2FBB">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 xml:space="preserve">四、积极配合学校审计工作 </w:t>
      </w:r>
      <w:bookmarkStart w:id="1859" w:name="REVIEW_BM_2012"/>
      <w:r>
        <w:rPr>
          <w:rFonts w:hint="eastAsia" w:ascii="宋体" w:hAnsi="宋体" w:eastAsia="宋体" w:cs="Times New Roman"/>
          <w:szCs w:val="21"/>
          <w:highlight w:val="none"/>
        </w:rPr>
        <w:t>,</w:t>
      </w:r>
      <w:bookmarkEnd w:id="1859"/>
      <w:r>
        <w:rPr>
          <w:rFonts w:hint="eastAsia" w:ascii="宋体" w:hAnsi="宋体" w:eastAsia="宋体" w:cs="Times New Roman"/>
          <w:szCs w:val="21"/>
          <w:highlight w:val="none"/>
        </w:rPr>
        <w:t>在收到审计征询意见稿后（电子或书面）</w:t>
      </w:r>
      <w:bookmarkStart w:id="1860" w:name="REVIEW_BM_2013"/>
      <w:r>
        <w:rPr>
          <w:rFonts w:hint="eastAsia" w:ascii="宋体" w:hAnsi="宋体" w:eastAsia="宋体" w:cs="Times New Roman"/>
          <w:szCs w:val="21"/>
          <w:highlight w:val="none"/>
        </w:rPr>
        <w:t>,</w:t>
      </w:r>
      <w:bookmarkEnd w:id="1860"/>
      <w:r>
        <w:rPr>
          <w:rFonts w:hint="eastAsia" w:ascii="宋体" w:hAnsi="宋体" w:eastAsia="宋体" w:cs="Times New Roman"/>
          <w:szCs w:val="21"/>
          <w:highlight w:val="none"/>
        </w:rPr>
        <w:t>5日内给予书面反馈</w:t>
      </w:r>
      <w:bookmarkStart w:id="1861" w:name="REVIEW_BM_2014"/>
      <w:r>
        <w:rPr>
          <w:rFonts w:hint="eastAsia" w:ascii="宋体" w:hAnsi="宋体" w:eastAsia="宋体" w:cs="Times New Roman"/>
          <w:szCs w:val="21"/>
          <w:highlight w:val="none"/>
        </w:rPr>
        <w:t>,</w:t>
      </w:r>
      <w:bookmarkEnd w:id="1861"/>
      <w:r>
        <w:rPr>
          <w:rFonts w:hint="eastAsia" w:ascii="宋体" w:hAnsi="宋体" w:eastAsia="宋体" w:cs="Times New Roman"/>
          <w:szCs w:val="21"/>
          <w:highlight w:val="none"/>
        </w:rPr>
        <w:t>否则视作无异议处理。</w:t>
      </w:r>
    </w:p>
    <w:p w14:paraId="7DE45682">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五、</w:t>
      </w:r>
      <w:bookmarkStart w:id="1862" w:name="REVIEW_BM_2015"/>
      <w:r>
        <w:rPr>
          <w:rFonts w:hint="eastAsia" w:ascii="宋体" w:hAnsi="宋体" w:eastAsia="宋体" w:cs="Times New Roman"/>
          <w:szCs w:val="21"/>
          <w:highlight w:val="none"/>
        </w:rPr>
        <w:t>我公司</w:t>
      </w:r>
      <w:bookmarkEnd w:id="1862"/>
      <w:r>
        <w:rPr>
          <w:rFonts w:hint="eastAsia" w:ascii="宋体" w:hAnsi="宋体" w:eastAsia="宋体" w:cs="Times New Roman"/>
          <w:szCs w:val="21"/>
          <w:highlight w:val="none"/>
        </w:rPr>
        <w:t>同意贵校对报审资料中所载明的分部（分项）工程进行抽查，若贵校在抽查过程中发现</w:t>
      </w:r>
      <w:bookmarkStart w:id="1863" w:name="REVIEW_BM_2016"/>
      <w:r>
        <w:rPr>
          <w:rFonts w:hint="eastAsia" w:ascii="宋体" w:hAnsi="宋体" w:eastAsia="宋体" w:cs="Times New Roman"/>
          <w:szCs w:val="21"/>
          <w:highlight w:val="none"/>
        </w:rPr>
        <w:t>我公司</w:t>
      </w:r>
      <w:bookmarkEnd w:id="1863"/>
      <w:r>
        <w:rPr>
          <w:rFonts w:hint="eastAsia" w:ascii="宋体" w:hAnsi="宋体" w:eastAsia="宋体" w:cs="Times New Roman"/>
          <w:szCs w:val="21"/>
          <w:highlight w:val="none"/>
        </w:rPr>
        <w:t>报送的工程量与实际情形不符的，贵校有权按抽查平均误差率计扣工程结算款，即：</w:t>
      </w:r>
    </w:p>
    <w:p w14:paraId="3CF396E7">
      <w:pPr>
        <w:widowControl w:val="0"/>
        <w:spacing w:line="400" w:lineRule="exact"/>
        <w:ind w:firstLine="420"/>
        <w:jc w:val="left"/>
        <w:rPr>
          <w:rFonts w:ascii="宋体" w:hAnsi="宋体" w:eastAsia="宋体" w:cs="Times New Roman"/>
          <w:szCs w:val="21"/>
          <w:highlight w:val="none"/>
        </w:rPr>
      </w:pPr>
      <w:r>
        <w:rPr>
          <w:rFonts w:hint="eastAsia" w:ascii="宋体" w:hAnsi="宋体" w:eastAsia="宋体" w:cs="Times New Roman"/>
          <w:szCs w:val="21"/>
          <w:highlight w:val="none"/>
        </w:rPr>
        <w:t>工程结算款＝结算金额×平均误差率</w:t>
      </w:r>
    </w:p>
    <w:p w14:paraId="3D76A8D7">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六、若结算款审减金额（即贵校审定金额少于</w:t>
      </w:r>
      <w:bookmarkStart w:id="1864" w:name="REVIEW_BM_2017"/>
      <w:r>
        <w:rPr>
          <w:rFonts w:hint="eastAsia" w:ascii="宋体" w:hAnsi="宋体" w:eastAsia="宋体" w:cs="Times New Roman"/>
          <w:szCs w:val="21"/>
          <w:highlight w:val="none"/>
        </w:rPr>
        <w:t>我公司</w:t>
      </w:r>
      <w:bookmarkEnd w:id="1864"/>
      <w:r>
        <w:rPr>
          <w:rFonts w:hint="eastAsia" w:ascii="宋体" w:hAnsi="宋体" w:eastAsia="宋体" w:cs="Times New Roman"/>
          <w:szCs w:val="21"/>
          <w:highlight w:val="none"/>
        </w:rPr>
        <w:t>送审金额的部分）超过送审金额的百分之六（含百分之六）的，</w:t>
      </w:r>
      <w:bookmarkStart w:id="1865" w:name="REVIEW_BM_2018"/>
      <w:r>
        <w:rPr>
          <w:rFonts w:hint="eastAsia" w:ascii="宋体" w:hAnsi="宋体" w:eastAsia="宋体" w:cs="Times New Roman"/>
          <w:szCs w:val="21"/>
          <w:highlight w:val="none"/>
        </w:rPr>
        <w:t>我公司</w:t>
      </w:r>
      <w:bookmarkEnd w:id="1865"/>
      <w:r>
        <w:rPr>
          <w:rFonts w:hint="eastAsia" w:ascii="宋体" w:hAnsi="宋体" w:eastAsia="宋体" w:cs="Times New Roman"/>
          <w:szCs w:val="21"/>
          <w:highlight w:val="none"/>
        </w:rPr>
        <w:t>同意按照以下方式向贵校计付违约金：</w:t>
      </w:r>
    </w:p>
    <w:p w14:paraId="6567C987">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（一）违约金＝送审金额×（审减金额÷送审金额－6%）×10%</w:t>
      </w:r>
    </w:p>
    <w:p w14:paraId="4D01773C">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（二）贵校有权在实际应付工程结算款总金额中直接扣除该项违约金，</w:t>
      </w:r>
      <w:bookmarkStart w:id="1866" w:name="REVIEW_BM_2019"/>
      <w:r>
        <w:rPr>
          <w:rFonts w:hint="eastAsia" w:ascii="宋体" w:hAnsi="宋体" w:eastAsia="宋体" w:cs="Times New Roman"/>
          <w:szCs w:val="21"/>
          <w:highlight w:val="none"/>
        </w:rPr>
        <w:t>我公司</w:t>
      </w:r>
      <w:bookmarkEnd w:id="1866"/>
      <w:r>
        <w:rPr>
          <w:rFonts w:hint="eastAsia" w:ascii="宋体" w:hAnsi="宋体" w:eastAsia="宋体" w:cs="Times New Roman"/>
          <w:szCs w:val="21"/>
          <w:highlight w:val="none"/>
        </w:rPr>
        <w:t>不再主张或要求贵校支付该部分款项。</w:t>
      </w:r>
    </w:p>
    <w:p w14:paraId="6BB82FD4">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七、若</w:t>
      </w:r>
      <w:bookmarkStart w:id="1867" w:name="REVIEW_BM_2020"/>
      <w:r>
        <w:rPr>
          <w:rFonts w:hint="eastAsia" w:ascii="宋体" w:hAnsi="宋体" w:eastAsia="宋体" w:cs="Times New Roman"/>
          <w:szCs w:val="21"/>
          <w:highlight w:val="none"/>
        </w:rPr>
        <w:t>我公司</w:t>
      </w:r>
      <w:bookmarkEnd w:id="1867"/>
      <w:r>
        <w:rPr>
          <w:rFonts w:hint="eastAsia" w:ascii="宋体" w:hAnsi="宋体" w:eastAsia="宋体" w:cs="Times New Roman"/>
          <w:szCs w:val="21"/>
          <w:highlight w:val="none"/>
        </w:rPr>
        <w:t>在《        合同》项下所享有的权利因</w:t>
      </w:r>
      <w:bookmarkStart w:id="1868" w:name="REVIEW_BM_2021"/>
      <w:r>
        <w:rPr>
          <w:rFonts w:hint="eastAsia" w:ascii="宋体" w:hAnsi="宋体" w:eastAsia="宋体" w:cs="Times New Roman"/>
          <w:szCs w:val="21"/>
          <w:highlight w:val="none"/>
        </w:rPr>
        <w:t>我公司</w:t>
      </w:r>
      <w:bookmarkEnd w:id="1868"/>
      <w:r>
        <w:rPr>
          <w:rFonts w:hint="eastAsia" w:ascii="宋体" w:hAnsi="宋体" w:eastAsia="宋体" w:cs="Times New Roman"/>
          <w:szCs w:val="21"/>
          <w:highlight w:val="none"/>
        </w:rPr>
        <w:t>做出上述承诺而减损的，</w:t>
      </w:r>
      <w:bookmarkStart w:id="1869" w:name="REVIEW_BM_2022"/>
      <w:r>
        <w:rPr>
          <w:rFonts w:hint="eastAsia" w:ascii="宋体" w:hAnsi="宋体" w:eastAsia="宋体" w:cs="Times New Roman"/>
          <w:szCs w:val="21"/>
          <w:highlight w:val="none"/>
        </w:rPr>
        <w:t>我公司</w:t>
      </w:r>
      <w:bookmarkEnd w:id="1869"/>
      <w:r>
        <w:rPr>
          <w:rFonts w:hint="eastAsia" w:ascii="宋体" w:hAnsi="宋体" w:eastAsia="宋体" w:cs="Times New Roman"/>
          <w:szCs w:val="21"/>
          <w:highlight w:val="none"/>
        </w:rPr>
        <w:t>将不再依照《        合同》的相关约定行使相关权利。</w:t>
      </w:r>
    </w:p>
    <w:p w14:paraId="376C3181">
      <w:pPr>
        <w:widowControl w:val="0"/>
        <w:spacing w:line="400" w:lineRule="exact"/>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八、同意由贵校按规定委托社会中介机构审计的方式进行审计。</w:t>
      </w:r>
    </w:p>
    <w:p w14:paraId="6C50E230">
      <w:pPr>
        <w:widowControl w:val="0"/>
        <w:spacing w:line="360" w:lineRule="auto"/>
        <w:ind w:firstLine="420"/>
        <w:jc w:val="both"/>
        <w:rPr>
          <w:rFonts w:ascii="宋体" w:hAnsi="宋体" w:eastAsia="宋体" w:cs="Times New Roman"/>
          <w:szCs w:val="21"/>
          <w:highlight w:val="none"/>
        </w:rPr>
      </w:pPr>
      <w:r>
        <w:rPr>
          <w:rFonts w:hint="eastAsia" w:ascii="宋体" w:hAnsi="宋体" w:eastAsia="宋体" w:cs="Times New Roman"/>
          <w:szCs w:val="21"/>
          <w:highlight w:val="none"/>
        </w:rPr>
        <w:t>特此承诺。</w:t>
      </w:r>
    </w:p>
    <w:p w14:paraId="6318C76F">
      <w:pPr>
        <w:widowControl w:val="0"/>
        <w:spacing w:line="360" w:lineRule="auto"/>
        <w:ind w:firstLine="420"/>
        <w:jc w:val="center"/>
        <w:rPr>
          <w:rFonts w:ascii="宋体" w:hAnsi="宋体" w:eastAsia="宋体" w:cs="Times New Roman"/>
          <w:szCs w:val="21"/>
          <w:highlight w:val="none"/>
        </w:rPr>
      </w:pPr>
      <w:r>
        <w:rPr>
          <w:rFonts w:hint="eastAsia" w:ascii="宋体" w:hAnsi="宋体" w:eastAsia="宋体" w:cs="Times New Roman"/>
          <w:szCs w:val="21"/>
          <w:highlight w:val="none"/>
        </w:rPr>
        <w:t xml:space="preserve">            </w:t>
      </w:r>
      <w:bookmarkStart w:id="1870" w:name="REVIEW_BM_2023"/>
      <w:r>
        <w:rPr>
          <w:rFonts w:hint="eastAsia" w:ascii="宋体" w:hAnsi="宋体" w:eastAsia="宋体" w:cs="Times New Roman"/>
          <w:szCs w:val="21"/>
          <w:highlight w:val="none"/>
        </w:rPr>
        <w:t>承包人</w:t>
      </w:r>
      <w:bookmarkEnd w:id="1870"/>
      <w:r>
        <w:rPr>
          <w:rFonts w:hint="eastAsia" w:ascii="宋体" w:hAnsi="宋体" w:eastAsia="宋体" w:cs="Times New Roman"/>
          <w:szCs w:val="21"/>
          <w:highlight w:val="none"/>
        </w:rPr>
        <w:t>（盖章）：</w:t>
      </w:r>
    </w:p>
    <w:p w14:paraId="6DAB68EE">
      <w:pPr>
        <w:widowControl w:val="0"/>
        <w:spacing w:line="360" w:lineRule="auto"/>
        <w:ind w:firstLine="420"/>
        <w:jc w:val="center"/>
        <w:rPr>
          <w:rFonts w:ascii="宋体" w:hAnsi="宋体" w:eastAsia="宋体" w:cs="Times New Roman"/>
          <w:szCs w:val="21"/>
          <w:highlight w:val="none"/>
        </w:rPr>
      </w:pPr>
      <w:r>
        <w:rPr>
          <w:rFonts w:hint="eastAsia" w:ascii="宋体" w:hAnsi="宋体" w:eastAsia="宋体" w:cs="Times New Roman"/>
          <w:szCs w:val="21"/>
          <w:highlight w:val="none"/>
        </w:rPr>
        <w:t xml:space="preserve">                法定代表人（签字）：</w:t>
      </w:r>
    </w:p>
    <w:p w14:paraId="7E9AAC52">
      <w:pPr>
        <w:widowControl w:val="0"/>
        <w:tabs>
          <w:tab w:val="left" w:pos="3261"/>
        </w:tabs>
        <w:spacing w:line="360" w:lineRule="auto"/>
        <w:ind w:firstLine="4830"/>
        <w:contextualSpacing/>
        <w:jc w:val="both"/>
        <w:rPr>
          <w:rFonts w:ascii="宋体" w:hAnsi="宋体" w:eastAsia="宋体" w:cs="Times New Roman"/>
          <w:szCs w:val="21"/>
          <w:highlight w:val="none"/>
        </w:rPr>
      </w:pPr>
      <w:r>
        <w:rPr>
          <w:rFonts w:hint="eastAsia" w:ascii="宋体" w:hAnsi="宋体" w:eastAsia="宋体" w:cs="Times New Roman"/>
          <w:szCs w:val="21"/>
          <w:highlight w:val="none"/>
        </w:rPr>
        <w:t>日期：</w:t>
      </w:r>
    </w:p>
    <w:p w14:paraId="31AD79C8">
      <w:pPr>
        <w:spacing w:line="360" w:lineRule="exact"/>
        <w:rPr>
          <w:rFonts w:hint="default" w:ascii="宋体" w:hAnsi="宋体" w:eastAsia="宋体" w:cs="宋体"/>
          <w:szCs w:val="21"/>
          <w:highlight w:val="none"/>
          <w:lang w:val="en-US" w:eastAsia="zh-CN"/>
        </w:rPr>
      </w:pPr>
      <w:r>
        <w:rPr>
          <w:rFonts w:hint="eastAsia" w:ascii="宋体" w:hAnsi="宋体" w:cs="宋体"/>
          <w:szCs w:val="21"/>
          <w:highlight w:val="none"/>
        </w:rPr>
        <w:br w:type="page" w:clear="all"/>
      </w:r>
      <w:r>
        <w:rPr>
          <w:rFonts w:hint="eastAsia" w:ascii="宋体" w:hAnsi="宋体" w:cs="宋体"/>
          <w:szCs w:val="21"/>
          <w:highlight w:val="none"/>
          <w:lang w:eastAsia="zh-CN"/>
        </w:rPr>
        <w:t>附件</w:t>
      </w:r>
      <w:r>
        <w:rPr>
          <w:rFonts w:hint="eastAsia" w:ascii="宋体" w:hAnsi="宋体" w:cs="宋体"/>
          <w:szCs w:val="21"/>
          <w:highlight w:val="none"/>
          <w:lang w:val="en-US" w:eastAsia="zh-CN"/>
        </w:rPr>
        <w:t>5</w:t>
      </w:r>
    </w:p>
    <w:p w14:paraId="6867789F">
      <w:pPr>
        <w:spacing w:line="360" w:lineRule="exact"/>
        <w:jc w:val="center"/>
        <w:rPr>
          <w:rFonts w:hint="eastAsia" w:ascii="宋体" w:hAnsi="宋体" w:cs="宋体"/>
          <w:szCs w:val="21"/>
          <w:highlight w:val="none"/>
        </w:rPr>
      </w:pPr>
      <w:r>
        <w:rPr>
          <w:rFonts w:hint="eastAsia" w:ascii="宋体" w:hAnsi="宋体" w:cs="宋体"/>
          <w:szCs w:val="21"/>
          <w:highlight w:val="none"/>
        </w:rPr>
        <w:t>主要建设工程文件目录</w:t>
      </w:r>
    </w:p>
    <w:tbl>
      <w:tblPr>
        <w:tblStyle w:val="5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953"/>
        <w:gridCol w:w="1067"/>
        <w:gridCol w:w="1450"/>
        <w:gridCol w:w="1243"/>
        <w:gridCol w:w="1450"/>
        <w:gridCol w:w="1564"/>
      </w:tblGrid>
      <w:tr w14:paraId="3E09F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953" w:type="dxa"/>
            <w:tcBorders>
              <w:top w:val="single" w:color="auto" w:sz="12" w:space="0"/>
              <w:bottom w:val="single" w:color="auto" w:sz="6" w:space="0"/>
            </w:tcBorders>
            <w:noWrap w:val="0"/>
            <w:vAlign w:val="center"/>
          </w:tcPr>
          <w:p w14:paraId="78999B4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文件名称</w:t>
            </w:r>
          </w:p>
        </w:tc>
        <w:tc>
          <w:tcPr>
            <w:tcW w:w="1067" w:type="dxa"/>
            <w:tcBorders>
              <w:top w:val="single" w:color="auto" w:sz="12" w:space="0"/>
              <w:bottom w:val="single" w:color="auto" w:sz="6" w:space="0"/>
            </w:tcBorders>
            <w:noWrap w:val="0"/>
            <w:vAlign w:val="center"/>
          </w:tcPr>
          <w:p w14:paraId="1C99C18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套数</w:t>
            </w:r>
          </w:p>
        </w:tc>
        <w:tc>
          <w:tcPr>
            <w:tcW w:w="1450" w:type="dxa"/>
            <w:tcBorders>
              <w:top w:val="single" w:color="auto" w:sz="12" w:space="0"/>
              <w:bottom w:val="single" w:color="auto" w:sz="6" w:space="0"/>
            </w:tcBorders>
            <w:noWrap w:val="0"/>
            <w:vAlign w:val="center"/>
          </w:tcPr>
          <w:p w14:paraId="1BCC273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费用（元）</w:t>
            </w:r>
          </w:p>
        </w:tc>
        <w:tc>
          <w:tcPr>
            <w:tcW w:w="1243" w:type="dxa"/>
            <w:tcBorders>
              <w:top w:val="single" w:color="auto" w:sz="12" w:space="0"/>
              <w:bottom w:val="single" w:color="auto" w:sz="6" w:space="0"/>
            </w:tcBorders>
            <w:noWrap w:val="0"/>
            <w:vAlign w:val="center"/>
          </w:tcPr>
          <w:p w14:paraId="516358D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质量</w:t>
            </w:r>
          </w:p>
        </w:tc>
        <w:tc>
          <w:tcPr>
            <w:tcW w:w="1450" w:type="dxa"/>
            <w:tcBorders>
              <w:top w:val="single" w:color="auto" w:sz="12" w:space="0"/>
              <w:bottom w:val="single" w:color="auto" w:sz="6" w:space="0"/>
            </w:tcBorders>
            <w:noWrap w:val="0"/>
            <w:vAlign w:val="top"/>
          </w:tcPr>
          <w:p w14:paraId="1A5DAF8E">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r>
              <w:rPr>
                <w:rFonts w:hint="eastAsia" w:ascii="宋体" w:hAnsi="宋体" w:cs="宋体"/>
                <w:szCs w:val="21"/>
                <w:highlight w:val="none"/>
              </w:rPr>
              <w:t>移交时间</w:t>
            </w:r>
          </w:p>
        </w:tc>
        <w:tc>
          <w:tcPr>
            <w:tcW w:w="1564" w:type="dxa"/>
            <w:tcBorders>
              <w:top w:val="single" w:color="auto" w:sz="12" w:space="0"/>
              <w:bottom w:val="single" w:color="auto" w:sz="6" w:space="0"/>
            </w:tcBorders>
            <w:noWrap w:val="0"/>
            <w:vAlign w:val="top"/>
          </w:tcPr>
          <w:p w14:paraId="6943A5F1">
            <w:pPr>
              <w:keepNext w:val="0"/>
              <w:keepLines w:val="0"/>
              <w:suppressLineNumbers w:val="0"/>
              <w:spacing w:before="0" w:beforeAutospacing="0" w:after="0" w:afterAutospacing="0" w:line="360" w:lineRule="exact"/>
              <w:ind w:left="0" w:right="0"/>
              <w:jc w:val="center"/>
              <w:rPr>
                <w:rFonts w:hint="eastAsia" w:ascii="宋体" w:hAnsi="宋体" w:cs="宋体"/>
                <w:szCs w:val="21"/>
                <w:highlight w:val="none"/>
              </w:rPr>
            </w:pPr>
            <w:r>
              <w:rPr>
                <w:rFonts w:hint="eastAsia" w:ascii="宋体" w:hAnsi="宋体" w:cs="宋体"/>
                <w:szCs w:val="21"/>
                <w:highlight w:val="none"/>
              </w:rPr>
              <w:t>责任人</w:t>
            </w:r>
          </w:p>
        </w:tc>
      </w:tr>
      <w:tr w14:paraId="75C08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single" w:color="auto" w:sz="6" w:space="0"/>
              <w:bottom w:val="single" w:color="auto" w:sz="6" w:space="0"/>
            </w:tcBorders>
            <w:noWrap w:val="0"/>
            <w:vAlign w:val="center"/>
          </w:tcPr>
          <w:p w14:paraId="1A0A302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tcBorders>
              <w:top w:val="single" w:color="auto" w:sz="6" w:space="0"/>
              <w:bottom w:val="single" w:color="auto" w:sz="6" w:space="0"/>
            </w:tcBorders>
            <w:noWrap w:val="0"/>
            <w:vAlign w:val="center"/>
          </w:tcPr>
          <w:p w14:paraId="07B1876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tcBorders>
              <w:top w:val="single" w:color="auto" w:sz="6" w:space="0"/>
              <w:bottom w:val="single" w:color="auto" w:sz="6" w:space="0"/>
            </w:tcBorders>
            <w:noWrap w:val="0"/>
            <w:vAlign w:val="center"/>
          </w:tcPr>
          <w:p w14:paraId="5B60C38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tcBorders>
              <w:top w:val="single" w:color="auto" w:sz="6" w:space="0"/>
              <w:bottom w:val="single" w:color="auto" w:sz="6" w:space="0"/>
            </w:tcBorders>
            <w:noWrap w:val="0"/>
            <w:vAlign w:val="center"/>
          </w:tcPr>
          <w:p w14:paraId="4D8D621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tcBorders>
              <w:top w:val="single" w:color="auto" w:sz="6" w:space="0"/>
              <w:bottom w:val="single" w:color="auto" w:sz="6" w:space="0"/>
            </w:tcBorders>
            <w:noWrap w:val="0"/>
            <w:vAlign w:val="center"/>
          </w:tcPr>
          <w:p w14:paraId="6FDD217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tcBorders>
              <w:top w:val="single" w:color="auto" w:sz="6" w:space="0"/>
              <w:bottom w:val="single" w:color="auto" w:sz="6" w:space="0"/>
            </w:tcBorders>
            <w:noWrap w:val="0"/>
            <w:vAlign w:val="center"/>
          </w:tcPr>
          <w:p w14:paraId="5BAA99F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E5CD6D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tcBorders>
              <w:top w:val="nil"/>
            </w:tcBorders>
            <w:noWrap w:val="0"/>
            <w:vAlign w:val="center"/>
          </w:tcPr>
          <w:p w14:paraId="6AB0FF6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tcBorders>
              <w:top w:val="nil"/>
            </w:tcBorders>
            <w:noWrap w:val="0"/>
            <w:vAlign w:val="center"/>
          </w:tcPr>
          <w:p w14:paraId="3674119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tcBorders>
              <w:top w:val="nil"/>
            </w:tcBorders>
            <w:noWrap w:val="0"/>
            <w:vAlign w:val="center"/>
          </w:tcPr>
          <w:p w14:paraId="2EB900C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tcBorders>
              <w:top w:val="nil"/>
            </w:tcBorders>
            <w:noWrap w:val="0"/>
            <w:vAlign w:val="center"/>
          </w:tcPr>
          <w:p w14:paraId="7DDC034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tcBorders>
              <w:top w:val="nil"/>
            </w:tcBorders>
            <w:noWrap w:val="0"/>
            <w:vAlign w:val="center"/>
          </w:tcPr>
          <w:p w14:paraId="2DBBDE9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tcBorders>
              <w:top w:val="nil"/>
            </w:tcBorders>
            <w:noWrap w:val="0"/>
            <w:vAlign w:val="center"/>
          </w:tcPr>
          <w:p w14:paraId="093CA7B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BF572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54C06F4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74A8C47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5AE6626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0D644AE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78881CB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122AB7D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04F1A3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8B919E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4696FA9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73581BE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57C6CF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5ABB535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00E85BF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64FD1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7363CA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097D121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763175E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2847C7D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4FC590D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2FA2F22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7EC78E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30409D2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28F5B80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568A8B3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170529A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5C62C13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7A61C7E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2028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41EB95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78C29AC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2CB05C6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0CB10BD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0C653DC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4BB3A46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E374D8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69B8725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52C9594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40844D3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23DCBDE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72D0D60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4BAD0D5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9313A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4FD5FE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221A4AB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30C5944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7BB507A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3AE0012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0F5C7DB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174D71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center"/>
          </w:tcPr>
          <w:p w14:paraId="1730840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67" w:type="dxa"/>
            <w:noWrap w:val="0"/>
            <w:vAlign w:val="center"/>
          </w:tcPr>
          <w:p w14:paraId="4C1DA7C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6F6F171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243" w:type="dxa"/>
            <w:noWrap w:val="0"/>
            <w:vAlign w:val="center"/>
          </w:tcPr>
          <w:p w14:paraId="70A40BF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50" w:type="dxa"/>
            <w:noWrap w:val="0"/>
            <w:vAlign w:val="center"/>
          </w:tcPr>
          <w:p w14:paraId="47A01B4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564" w:type="dxa"/>
            <w:noWrap w:val="0"/>
            <w:vAlign w:val="center"/>
          </w:tcPr>
          <w:p w14:paraId="04E2A6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52C7B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AD8A86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53268D0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10AC962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330B1CD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286FE67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3C7AD67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68A8BD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2F046D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2A20FCA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00DFFDE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2CF1821F">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66F5E24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3C65F1A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21D9CD8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03C7173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696F535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260E30E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2155889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2C8DC3D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01551E5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3BB46FC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62A277D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4B7A991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489F5E2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1C2F3E7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71BA268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190E29A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5DE2134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E69384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03D22F6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5322AE6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0D0D777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1BB7F31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041EDE5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3302CC3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90CDC3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7CA0391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7995DBC9">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71DAF6B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6BBB7519">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75B5308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253DDB0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7DBF2BA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6062CA9F">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3B863EE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60259C7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63C1D2B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3C9C436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2275321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595A9F7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5E9D3F4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5930A6E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50F216D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75F114F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22D072E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6E592C9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1953" w:type="dxa"/>
            <w:noWrap w:val="0"/>
            <w:vAlign w:val="top"/>
          </w:tcPr>
          <w:p w14:paraId="1E7735A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67" w:type="dxa"/>
            <w:noWrap w:val="0"/>
            <w:vAlign w:val="top"/>
          </w:tcPr>
          <w:p w14:paraId="40DA7DF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3EFC37D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243" w:type="dxa"/>
            <w:noWrap w:val="0"/>
            <w:vAlign w:val="top"/>
          </w:tcPr>
          <w:p w14:paraId="3615A51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50" w:type="dxa"/>
            <w:noWrap w:val="0"/>
            <w:vAlign w:val="top"/>
          </w:tcPr>
          <w:p w14:paraId="132E4E4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564" w:type="dxa"/>
            <w:noWrap w:val="0"/>
            <w:vAlign w:val="top"/>
          </w:tcPr>
          <w:p w14:paraId="088DA57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bl>
    <w:p w14:paraId="7E9A75A4">
      <w:pPr>
        <w:spacing w:line="360" w:lineRule="exact"/>
        <w:rPr>
          <w:rFonts w:hint="eastAsia" w:ascii="宋体" w:hAnsi="宋体" w:cs="宋体"/>
          <w:szCs w:val="21"/>
          <w:highlight w:val="none"/>
        </w:rPr>
      </w:pPr>
    </w:p>
    <w:p w14:paraId="181E83B3">
      <w:pPr>
        <w:spacing w:line="360" w:lineRule="exact"/>
        <w:rPr>
          <w:rFonts w:hint="eastAsia" w:ascii="宋体" w:hAnsi="宋体" w:cs="宋体"/>
          <w:szCs w:val="21"/>
          <w:highlight w:val="none"/>
        </w:rPr>
      </w:pPr>
      <w:r>
        <w:rPr>
          <w:rFonts w:hint="eastAsia" w:ascii="宋体" w:hAnsi="宋体" w:cs="宋体"/>
          <w:szCs w:val="21"/>
          <w:highlight w:val="none"/>
        </w:rPr>
        <w:br w:type="page" w:clear="all"/>
      </w:r>
      <w:r>
        <w:rPr>
          <w:rFonts w:hint="eastAsia" w:ascii="宋体" w:hAnsi="宋体" w:cs="宋体"/>
          <w:szCs w:val="21"/>
          <w:highlight w:val="none"/>
        </w:rPr>
        <w:t>附</w:t>
      </w:r>
      <w:bookmarkStart w:id="1871" w:name="_Toc296347226"/>
      <w:bookmarkStart w:id="1872" w:name="_Toc296891267"/>
      <w:bookmarkStart w:id="1873" w:name="_Toc296503227"/>
      <w:bookmarkStart w:id="1874" w:name="_Toc267261698"/>
      <w:bookmarkStart w:id="1875" w:name="_Toc296346728"/>
      <w:bookmarkStart w:id="1876" w:name="_Toc296944566"/>
      <w:bookmarkStart w:id="1877" w:name="_Toc296891055"/>
      <w:r>
        <w:rPr>
          <w:rFonts w:hint="eastAsia" w:ascii="宋体" w:hAnsi="宋体" w:cs="宋体"/>
          <w:szCs w:val="21"/>
          <w:highlight w:val="none"/>
        </w:rPr>
        <w:t>件</w:t>
      </w:r>
      <w:r>
        <w:rPr>
          <w:rFonts w:hint="eastAsia" w:ascii="宋体" w:hAnsi="宋体" w:cs="宋体"/>
          <w:szCs w:val="21"/>
          <w:highlight w:val="none"/>
          <w:lang w:val="en-US" w:eastAsia="zh-CN"/>
        </w:rPr>
        <w:t>6</w:t>
      </w:r>
      <w:r>
        <w:rPr>
          <w:rFonts w:hint="eastAsia" w:ascii="宋体" w:hAnsi="宋体" w:cs="宋体"/>
          <w:szCs w:val="21"/>
          <w:highlight w:val="none"/>
        </w:rPr>
        <w:t>：</w:t>
      </w:r>
      <w:bookmarkEnd w:id="1871"/>
      <w:bookmarkEnd w:id="1872"/>
      <w:bookmarkEnd w:id="1873"/>
      <w:bookmarkEnd w:id="1874"/>
      <w:bookmarkEnd w:id="1875"/>
      <w:bookmarkEnd w:id="1876"/>
      <w:bookmarkEnd w:id="1877"/>
    </w:p>
    <w:p w14:paraId="20AE327C">
      <w:pPr>
        <w:spacing w:line="360" w:lineRule="exact"/>
        <w:jc w:val="center"/>
        <w:rPr>
          <w:rFonts w:hint="eastAsia" w:ascii="宋体" w:hAnsi="宋体" w:cs="宋体"/>
          <w:szCs w:val="21"/>
          <w:highlight w:val="none"/>
        </w:rPr>
      </w:pPr>
      <w:bookmarkStart w:id="1878" w:name="REVIEW_BM_2024"/>
      <w:r>
        <w:rPr>
          <w:rFonts w:hint="eastAsia" w:ascii="宋体" w:hAnsi="宋体" w:cs="宋体"/>
          <w:szCs w:val="21"/>
          <w:highlight w:val="none"/>
        </w:rPr>
        <w:t>承包人</w:t>
      </w:r>
      <w:bookmarkEnd w:id="1878"/>
      <w:r>
        <w:rPr>
          <w:rFonts w:hint="eastAsia" w:ascii="宋体" w:hAnsi="宋体" w:cs="宋体"/>
          <w:szCs w:val="21"/>
          <w:highlight w:val="none"/>
        </w:rPr>
        <w:t>用于本工程施工的机械设备表</w:t>
      </w:r>
    </w:p>
    <w:tbl>
      <w:tblPr>
        <w:tblStyle w:val="5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629"/>
        <w:gridCol w:w="1418"/>
        <w:gridCol w:w="850"/>
        <w:gridCol w:w="1058"/>
        <w:gridCol w:w="880"/>
        <w:gridCol w:w="806"/>
        <w:gridCol w:w="1310"/>
        <w:gridCol w:w="906"/>
        <w:gridCol w:w="652"/>
      </w:tblGrid>
      <w:tr w14:paraId="4873DC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629" w:type="dxa"/>
            <w:tcBorders>
              <w:top w:val="single" w:color="auto" w:sz="12" w:space="0"/>
              <w:bottom w:val="single" w:color="auto" w:sz="6" w:space="0"/>
            </w:tcBorders>
            <w:noWrap w:val="0"/>
            <w:vAlign w:val="center"/>
          </w:tcPr>
          <w:p w14:paraId="19F874E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序号</w:t>
            </w:r>
          </w:p>
        </w:tc>
        <w:tc>
          <w:tcPr>
            <w:tcW w:w="1418" w:type="dxa"/>
            <w:tcBorders>
              <w:top w:val="single" w:color="auto" w:sz="12" w:space="0"/>
              <w:bottom w:val="single" w:color="auto" w:sz="6" w:space="0"/>
            </w:tcBorders>
            <w:noWrap w:val="0"/>
            <w:vAlign w:val="center"/>
          </w:tcPr>
          <w:p w14:paraId="00B9CC4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机械或设备名称</w:t>
            </w:r>
          </w:p>
        </w:tc>
        <w:tc>
          <w:tcPr>
            <w:tcW w:w="850" w:type="dxa"/>
            <w:tcBorders>
              <w:top w:val="single" w:color="auto" w:sz="12" w:space="0"/>
              <w:bottom w:val="single" w:color="auto" w:sz="6" w:space="0"/>
            </w:tcBorders>
            <w:noWrap w:val="0"/>
            <w:vAlign w:val="center"/>
          </w:tcPr>
          <w:p w14:paraId="431F685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规格型号</w:t>
            </w:r>
          </w:p>
        </w:tc>
        <w:tc>
          <w:tcPr>
            <w:tcW w:w="1058" w:type="dxa"/>
            <w:tcBorders>
              <w:top w:val="single" w:color="auto" w:sz="12" w:space="0"/>
              <w:bottom w:val="single" w:color="auto" w:sz="6" w:space="0"/>
            </w:tcBorders>
            <w:noWrap w:val="0"/>
            <w:vAlign w:val="center"/>
          </w:tcPr>
          <w:p w14:paraId="7C47A29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数量</w:t>
            </w:r>
          </w:p>
        </w:tc>
        <w:tc>
          <w:tcPr>
            <w:tcW w:w="880" w:type="dxa"/>
            <w:tcBorders>
              <w:top w:val="single" w:color="auto" w:sz="12" w:space="0"/>
              <w:bottom w:val="single" w:color="auto" w:sz="6" w:space="0"/>
            </w:tcBorders>
            <w:noWrap w:val="0"/>
            <w:vAlign w:val="center"/>
          </w:tcPr>
          <w:p w14:paraId="323C36D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产地</w:t>
            </w:r>
          </w:p>
        </w:tc>
        <w:tc>
          <w:tcPr>
            <w:tcW w:w="806" w:type="dxa"/>
            <w:tcBorders>
              <w:top w:val="single" w:color="auto" w:sz="12" w:space="0"/>
              <w:bottom w:val="single" w:color="auto" w:sz="6" w:space="0"/>
            </w:tcBorders>
            <w:noWrap w:val="0"/>
            <w:vAlign w:val="center"/>
          </w:tcPr>
          <w:p w14:paraId="3834FD6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制造年份</w:t>
            </w:r>
          </w:p>
        </w:tc>
        <w:tc>
          <w:tcPr>
            <w:tcW w:w="1310" w:type="dxa"/>
            <w:tcBorders>
              <w:top w:val="single" w:color="auto" w:sz="12" w:space="0"/>
              <w:bottom w:val="single" w:color="auto" w:sz="6" w:space="0"/>
            </w:tcBorders>
            <w:noWrap w:val="0"/>
            <w:vAlign w:val="center"/>
          </w:tcPr>
          <w:p w14:paraId="546EB86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额定功率(kW)</w:t>
            </w:r>
          </w:p>
        </w:tc>
        <w:tc>
          <w:tcPr>
            <w:tcW w:w="906" w:type="dxa"/>
            <w:tcBorders>
              <w:top w:val="single" w:color="auto" w:sz="12" w:space="0"/>
              <w:bottom w:val="single" w:color="auto" w:sz="6" w:space="0"/>
            </w:tcBorders>
            <w:noWrap w:val="0"/>
            <w:vAlign w:val="center"/>
          </w:tcPr>
          <w:p w14:paraId="5BF1A6A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生产能力</w:t>
            </w:r>
          </w:p>
        </w:tc>
        <w:tc>
          <w:tcPr>
            <w:tcW w:w="652" w:type="dxa"/>
            <w:tcBorders>
              <w:top w:val="single" w:color="auto" w:sz="12" w:space="0"/>
              <w:bottom w:val="single" w:color="auto" w:sz="6" w:space="0"/>
            </w:tcBorders>
            <w:noWrap w:val="0"/>
            <w:vAlign w:val="center"/>
          </w:tcPr>
          <w:p w14:paraId="01A49BC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备注</w:t>
            </w:r>
          </w:p>
        </w:tc>
      </w:tr>
      <w:tr w14:paraId="0965C4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single" w:color="auto" w:sz="6" w:space="0"/>
              <w:bottom w:val="single" w:color="auto" w:sz="6" w:space="0"/>
            </w:tcBorders>
            <w:noWrap w:val="0"/>
            <w:vAlign w:val="center"/>
          </w:tcPr>
          <w:p w14:paraId="3C213E5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tcBorders>
              <w:top w:val="single" w:color="auto" w:sz="6" w:space="0"/>
              <w:bottom w:val="single" w:color="auto" w:sz="6" w:space="0"/>
            </w:tcBorders>
            <w:noWrap w:val="0"/>
            <w:vAlign w:val="center"/>
          </w:tcPr>
          <w:p w14:paraId="6DCC4C9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single" w:color="auto" w:sz="6" w:space="0"/>
              <w:bottom w:val="single" w:color="auto" w:sz="6" w:space="0"/>
            </w:tcBorders>
            <w:noWrap w:val="0"/>
            <w:vAlign w:val="center"/>
          </w:tcPr>
          <w:p w14:paraId="6B51D20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tcBorders>
              <w:top w:val="single" w:color="auto" w:sz="6" w:space="0"/>
              <w:bottom w:val="single" w:color="auto" w:sz="6" w:space="0"/>
            </w:tcBorders>
            <w:noWrap w:val="0"/>
            <w:vAlign w:val="center"/>
          </w:tcPr>
          <w:p w14:paraId="135997F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tcBorders>
              <w:top w:val="single" w:color="auto" w:sz="6" w:space="0"/>
              <w:bottom w:val="single" w:color="auto" w:sz="6" w:space="0"/>
            </w:tcBorders>
            <w:noWrap w:val="0"/>
            <w:vAlign w:val="center"/>
          </w:tcPr>
          <w:p w14:paraId="7B12CE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tcBorders>
              <w:top w:val="single" w:color="auto" w:sz="6" w:space="0"/>
              <w:bottom w:val="single" w:color="auto" w:sz="6" w:space="0"/>
            </w:tcBorders>
            <w:noWrap w:val="0"/>
            <w:vAlign w:val="center"/>
          </w:tcPr>
          <w:p w14:paraId="6BB49E6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tcBorders>
              <w:top w:val="single" w:color="auto" w:sz="6" w:space="0"/>
              <w:bottom w:val="single" w:color="auto" w:sz="6" w:space="0"/>
            </w:tcBorders>
            <w:noWrap w:val="0"/>
            <w:vAlign w:val="center"/>
          </w:tcPr>
          <w:p w14:paraId="530F5E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tcBorders>
              <w:top w:val="single" w:color="auto" w:sz="6" w:space="0"/>
              <w:bottom w:val="single" w:color="auto" w:sz="6" w:space="0"/>
            </w:tcBorders>
            <w:noWrap w:val="0"/>
            <w:vAlign w:val="center"/>
          </w:tcPr>
          <w:p w14:paraId="7528A60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tcBorders>
              <w:top w:val="single" w:color="auto" w:sz="6" w:space="0"/>
              <w:bottom w:val="single" w:color="auto" w:sz="6" w:space="0"/>
            </w:tcBorders>
            <w:noWrap w:val="0"/>
            <w:vAlign w:val="center"/>
          </w:tcPr>
          <w:p w14:paraId="26E75BE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165DD4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tcBorders>
              <w:top w:val="nil"/>
            </w:tcBorders>
            <w:noWrap w:val="0"/>
            <w:vAlign w:val="center"/>
          </w:tcPr>
          <w:p w14:paraId="603750E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tcBorders>
              <w:top w:val="nil"/>
            </w:tcBorders>
            <w:noWrap w:val="0"/>
            <w:vAlign w:val="center"/>
          </w:tcPr>
          <w:p w14:paraId="2173E3E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tcBorders>
              <w:top w:val="nil"/>
            </w:tcBorders>
            <w:noWrap w:val="0"/>
            <w:vAlign w:val="center"/>
          </w:tcPr>
          <w:p w14:paraId="71AC3BB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tcBorders>
              <w:top w:val="nil"/>
            </w:tcBorders>
            <w:noWrap w:val="0"/>
            <w:vAlign w:val="center"/>
          </w:tcPr>
          <w:p w14:paraId="394762A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tcBorders>
              <w:top w:val="nil"/>
            </w:tcBorders>
            <w:noWrap w:val="0"/>
            <w:vAlign w:val="center"/>
          </w:tcPr>
          <w:p w14:paraId="79E934B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tcBorders>
              <w:top w:val="nil"/>
            </w:tcBorders>
            <w:noWrap w:val="0"/>
            <w:vAlign w:val="center"/>
          </w:tcPr>
          <w:p w14:paraId="3428FEA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tcBorders>
              <w:top w:val="nil"/>
            </w:tcBorders>
            <w:noWrap w:val="0"/>
            <w:vAlign w:val="center"/>
          </w:tcPr>
          <w:p w14:paraId="4C9A744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tcBorders>
              <w:top w:val="nil"/>
            </w:tcBorders>
            <w:noWrap w:val="0"/>
            <w:vAlign w:val="center"/>
          </w:tcPr>
          <w:p w14:paraId="1BA2AAF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tcBorders>
              <w:top w:val="nil"/>
            </w:tcBorders>
            <w:noWrap w:val="0"/>
            <w:vAlign w:val="center"/>
          </w:tcPr>
          <w:p w14:paraId="3F7D518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16BB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B25B86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4EC2B7D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10607F8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10875AB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301A9D3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7DD1E48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5DFCCAA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7B2D605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24DCA5A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AC80D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3AFE13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614833C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66C111C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55E481E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2F5A0A9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5670FCC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082B19F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745E911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0F8F068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2F113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348B3CD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1134197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656DDF5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35ADA83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4C6AA0F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5559AF1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674193B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5D05BF9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2D72121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F401FC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11EC905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0740322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589EA0B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361061A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036F815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303C848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441D7D4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4263FB7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3C28316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6BD96B7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562A779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6BE3D77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35AEBBC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36171B2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1F58D6A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4E7F1D9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36CAE1B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5D940C8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68E260D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C8496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4AD652C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5CEC135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0B273CF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7D22184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242B4CB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76FE25E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3C2BEAF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406AE0D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627AEF0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B24EB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5A24BA0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11B9CF8F">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221253F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6255BD5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169670B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7A29D82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4D3FA6B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4559226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6DED988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5EE8604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center"/>
          </w:tcPr>
          <w:p w14:paraId="3122E3D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644E7BF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50" w:type="dxa"/>
            <w:noWrap w:val="0"/>
            <w:vAlign w:val="center"/>
          </w:tcPr>
          <w:p w14:paraId="089DF35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058" w:type="dxa"/>
            <w:noWrap w:val="0"/>
            <w:vAlign w:val="center"/>
          </w:tcPr>
          <w:p w14:paraId="0DFDB85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80" w:type="dxa"/>
            <w:noWrap w:val="0"/>
            <w:vAlign w:val="center"/>
          </w:tcPr>
          <w:p w14:paraId="4E3207D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806" w:type="dxa"/>
            <w:noWrap w:val="0"/>
            <w:vAlign w:val="center"/>
          </w:tcPr>
          <w:p w14:paraId="225A21D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310" w:type="dxa"/>
            <w:noWrap w:val="0"/>
            <w:vAlign w:val="center"/>
          </w:tcPr>
          <w:p w14:paraId="300A86A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6" w:type="dxa"/>
            <w:noWrap w:val="0"/>
            <w:vAlign w:val="center"/>
          </w:tcPr>
          <w:p w14:paraId="3A7389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652" w:type="dxa"/>
            <w:noWrap w:val="0"/>
            <w:vAlign w:val="center"/>
          </w:tcPr>
          <w:p w14:paraId="79DBC74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58DF56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2A657A8F">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3C519F7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76C5CBB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60EBB80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7124049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0040987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4122543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7BCB80C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79B69CA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772A429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1F05E11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09935CE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1944637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5045E6B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0DBC824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15E4B58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7763454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5C87FB9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13641C1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655C6C7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085CBEC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29E26A5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16D0F5C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5C7BC27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171C3F2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6C00881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70A55D4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6AB0D1B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09E3633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135909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7C2A2D9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49BEEE79">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6C0455B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4241E9B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4AC0CE6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51A92B3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589289E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75C74E2F">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7522754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187241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3702699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7163B5E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2887BD4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48388BB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2925C83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53532D4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5C82E4B6">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70B6A03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54E1D04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30D3AD1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7A26C82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0D33CFD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47A7259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0C2AB8A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1FC4086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1338333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4CA6482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5A624139">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5F3F99D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7998CE1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5C48AB2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6494CA0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3C0C8FD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12D8F2C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49A824C1">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556038D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5A727522">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3C5607A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66B24CE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18DFECC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7982B98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1BF9F5D8">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79BB017D">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5E2FEAF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1BB3452A">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32B6812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7ED90FBE">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4D636190">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2CAE28E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r w14:paraId="0D7C121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trHeight w:val="567" w:hRule="atLeast"/>
          <w:jc w:val="center"/>
        </w:trPr>
        <w:tc>
          <w:tcPr>
            <w:tcW w:w="629" w:type="dxa"/>
            <w:noWrap w:val="0"/>
            <w:vAlign w:val="top"/>
          </w:tcPr>
          <w:p w14:paraId="43A00A04">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418" w:type="dxa"/>
            <w:noWrap w:val="0"/>
            <w:vAlign w:val="top"/>
          </w:tcPr>
          <w:p w14:paraId="41EB49B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50" w:type="dxa"/>
            <w:noWrap w:val="0"/>
            <w:vAlign w:val="top"/>
          </w:tcPr>
          <w:p w14:paraId="4E9684FB">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058" w:type="dxa"/>
            <w:noWrap w:val="0"/>
            <w:vAlign w:val="top"/>
          </w:tcPr>
          <w:p w14:paraId="2C4638C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80" w:type="dxa"/>
            <w:noWrap w:val="0"/>
            <w:vAlign w:val="top"/>
          </w:tcPr>
          <w:p w14:paraId="12D64FE5">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806" w:type="dxa"/>
            <w:noWrap w:val="0"/>
            <w:vAlign w:val="top"/>
          </w:tcPr>
          <w:p w14:paraId="1FF64EEC">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1310" w:type="dxa"/>
            <w:noWrap w:val="0"/>
            <w:vAlign w:val="top"/>
          </w:tcPr>
          <w:p w14:paraId="01690EC7">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906" w:type="dxa"/>
            <w:noWrap w:val="0"/>
            <w:vAlign w:val="top"/>
          </w:tcPr>
          <w:p w14:paraId="48B62E29">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c>
          <w:tcPr>
            <w:tcW w:w="652" w:type="dxa"/>
            <w:noWrap w:val="0"/>
            <w:vAlign w:val="top"/>
          </w:tcPr>
          <w:p w14:paraId="3A6EEAE3">
            <w:pPr>
              <w:keepNext w:val="0"/>
              <w:keepLines w:val="0"/>
              <w:suppressLineNumbers w:val="0"/>
              <w:spacing w:before="0" w:beforeAutospacing="0" w:after="0" w:afterAutospacing="0" w:line="360" w:lineRule="exact"/>
              <w:ind w:left="0" w:right="0"/>
              <w:rPr>
                <w:rFonts w:hint="eastAsia" w:ascii="宋体" w:hAnsi="宋体" w:cs="宋体"/>
                <w:szCs w:val="21"/>
                <w:highlight w:val="none"/>
              </w:rPr>
            </w:pPr>
          </w:p>
        </w:tc>
      </w:tr>
    </w:tbl>
    <w:p w14:paraId="5F295F63">
      <w:pPr>
        <w:spacing w:line="360" w:lineRule="exact"/>
        <w:rPr>
          <w:rFonts w:hint="eastAsia" w:ascii="宋体" w:hAnsi="宋体" w:cs="宋体"/>
          <w:szCs w:val="21"/>
          <w:highlight w:val="none"/>
        </w:rPr>
      </w:pPr>
    </w:p>
    <w:p w14:paraId="5A7718BE">
      <w:pPr>
        <w:spacing w:line="360" w:lineRule="exact"/>
        <w:rPr>
          <w:rFonts w:hint="eastAsia" w:ascii="宋体" w:hAnsi="宋体" w:cs="宋体"/>
          <w:szCs w:val="21"/>
          <w:highlight w:val="none"/>
        </w:rPr>
      </w:pPr>
    </w:p>
    <w:p w14:paraId="0F0B289C">
      <w:pPr>
        <w:spacing w:line="360" w:lineRule="exact"/>
        <w:rPr>
          <w:rFonts w:hint="eastAsia" w:ascii="宋体" w:hAnsi="宋体" w:cs="宋体"/>
          <w:szCs w:val="21"/>
          <w:highlight w:val="none"/>
        </w:rPr>
      </w:pPr>
    </w:p>
    <w:p w14:paraId="0769CD21">
      <w:pPr>
        <w:pStyle w:val="20"/>
        <w:rPr>
          <w:rFonts w:hint="eastAsia" w:ascii="宋体" w:hAnsi="宋体" w:cs="宋体"/>
          <w:sz w:val="21"/>
          <w:szCs w:val="21"/>
          <w:highlight w:val="none"/>
        </w:rPr>
      </w:pPr>
    </w:p>
    <w:p w14:paraId="6C2F30F4">
      <w:pPr>
        <w:rPr>
          <w:rFonts w:hint="eastAsia"/>
          <w:highlight w:val="none"/>
        </w:rPr>
      </w:pPr>
    </w:p>
    <w:p w14:paraId="36A4C76C">
      <w:pPr>
        <w:spacing w:line="360" w:lineRule="exact"/>
        <w:rPr>
          <w:rFonts w:hint="eastAsia" w:ascii="宋体" w:hAnsi="宋体" w:cs="宋体"/>
          <w:szCs w:val="21"/>
          <w:highlight w:val="none"/>
        </w:rPr>
      </w:pPr>
      <w:r>
        <w:rPr>
          <w:rFonts w:hint="eastAsia" w:ascii="宋体" w:hAnsi="宋体" w:cs="宋体"/>
          <w:szCs w:val="21"/>
          <w:highlight w:val="none"/>
        </w:rPr>
        <w:t>附件</w:t>
      </w:r>
      <w:r>
        <w:rPr>
          <w:rFonts w:hint="eastAsia" w:ascii="宋体" w:hAnsi="宋体" w:cs="宋体"/>
          <w:szCs w:val="21"/>
          <w:highlight w:val="none"/>
          <w:lang w:val="en-US" w:eastAsia="zh-CN"/>
        </w:rPr>
        <w:t>7</w:t>
      </w:r>
      <w:r>
        <w:rPr>
          <w:rFonts w:hint="eastAsia" w:ascii="宋体" w:hAnsi="宋体" w:cs="宋体"/>
          <w:szCs w:val="21"/>
          <w:highlight w:val="none"/>
        </w:rPr>
        <w:t>：</w:t>
      </w:r>
    </w:p>
    <w:p w14:paraId="13E975E0">
      <w:pPr>
        <w:spacing w:line="360" w:lineRule="exact"/>
        <w:jc w:val="center"/>
        <w:rPr>
          <w:rFonts w:hint="eastAsia" w:ascii="宋体" w:hAnsi="宋体" w:cs="宋体"/>
          <w:szCs w:val="21"/>
          <w:highlight w:val="none"/>
        </w:rPr>
      </w:pPr>
      <w:bookmarkStart w:id="1879" w:name="REVIEW_BM_2025"/>
      <w:r>
        <w:rPr>
          <w:rFonts w:hint="eastAsia" w:ascii="宋体" w:hAnsi="宋体" w:cs="宋体"/>
          <w:szCs w:val="21"/>
          <w:highlight w:val="none"/>
        </w:rPr>
        <w:t>承包人</w:t>
      </w:r>
      <w:bookmarkEnd w:id="1879"/>
      <w:r>
        <w:rPr>
          <w:rFonts w:hint="eastAsia" w:ascii="宋体" w:hAnsi="宋体" w:cs="宋体"/>
          <w:szCs w:val="21"/>
          <w:highlight w:val="none"/>
        </w:rPr>
        <w:t>主要施工管理人员表</w:t>
      </w:r>
    </w:p>
    <w:tbl>
      <w:tblPr>
        <w:tblStyle w:val="5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871"/>
        <w:gridCol w:w="1148"/>
        <w:gridCol w:w="941"/>
        <w:gridCol w:w="1134"/>
        <w:gridCol w:w="3660"/>
      </w:tblGrid>
      <w:tr w14:paraId="7D6ABE3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12" w:space="0"/>
              <w:bottom w:val="single" w:color="auto" w:sz="6" w:space="0"/>
            </w:tcBorders>
            <w:noWrap w:val="0"/>
            <w:vAlign w:val="center"/>
          </w:tcPr>
          <w:p w14:paraId="32EB10E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名    称</w:t>
            </w:r>
          </w:p>
        </w:tc>
        <w:tc>
          <w:tcPr>
            <w:tcW w:w="1148" w:type="dxa"/>
            <w:tcBorders>
              <w:top w:val="single" w:color="auto" w:sz="12" w:space="0"/>
              <w:bottom w:val="single" w:color="auto" w:sz="6" w:space="0"/>
            </w:tcBorders>
            <w:noWrap w:val="0"/>
            <w:vAlign w:val="center"/>
          </w:tcPr>
          <w:p w14:paraId="2C712EF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姓名</w:t>
            </w:r>
          </w:p>
        </w:tc>
        <w:tc>
          <w:tcPr>
            <w:tcW w:w="941" w:type="dxa"/>
            <w:tcBorders>
              <w:top w:val="single" w:color="auto" w:sz="12" w:space="0"/>
              <w:bottom w:val="single" w:color="auto" w:sz="6" w:space="0"/>
            </w:tcBorders>
            <w:noWrap w:val="0"/>
            <w:vAlign w:val="center"/>
          </w:tcPr>
          <w:p w14:paraId="3D7EF49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职务</w:t>
            </w:r>
          </w:p>
        </w:tc>
        <w:tc>
          <w:tcPr>
            <w:tcW w:w="1134" w:type="dxa"/>
            <w:tcBorders>
              <w:top w:val="single" w:color="auto" w:sz="12" w:space="0"/>
              <w:bottom w:val="single" w:color="auto" w:sz="6" w:space="0"/>
            </w:tcBorders>
            <w:noWrap w:val="0"/>
            <w:vAlign w:val="center"/>
          </w:tcPr>
          <w:p w14:paraId="284C8EB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职称</w:t>
            </w:r>
          </w:p>
        </w:tc>
        <w:tc>
          <w:tcPr>
            <w:tcW w:w="3660" w:type="dxa"/>
            <w:tcBorders>
              <w:top w:val="single" w:color="auto" w:sz="12" w:space="0"/>
              <w:bottom w:val="single" w:color="auto" w:sz="6" w:space="0"/>
            </w:tcBorders>
            <w:noWrap w:val="0"/>
            <w:vAlign w:val="center"/>
          </w:tcPr>
          <w:p w14:paraId="3FE8D6C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主要资历、经验及承担过的项目</w:t>
            </w:r>
          </w:p>
        </w:tc>
      </w:tr>
      <w:tr w14:paraId="0380570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8754" w:type="dxa"/>
            <w:gridSpan w:val="5"/>
            <w:tcBorders>
              <w:top w:val="single" w:color="auto" w:sz="6" w:space="0"/>
              <w:bottom w:val="single" w:color="auto" w:sz="6" w:space="0"/>
            </w:tcBorders>
            <w:noWrap w:val="0"/>
            <w:vAlign w:val="center"/>
          </w:tcPr>
          <w:p w14:paraId="7B38CF3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一、总部人员</w:t>
            </w:r>
          </w:p>
        </w:tc>
      </w:tr>
      <w:tr w14:paraId="5BEC6C7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0D0C551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项目主管</w:t>
            </w:r>
          </w:p>
        </w:tc>
        <w:tc>
          <w:tcPr>
            <w:tcW w:w="1148" w:type="dxa"/>
            <w:tcBorders>
              <w:top w:val="nil"/>
            </w:tcBorders>
            <w:noWrap w:val="0"/>
            <w:vAlign w:val="center"/>
          </w:tcPr>
          <w:p w14:paraId="3750D87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tcBorders>
              <w:top w:val="nil"/>
            </w:tcBorders>
            <w:noWrap w:val="0"/>
            <w:vAlign w:val="center"/>
          </w:tcPr>
          <w:p w14:paraId="27948E5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tcBorders>
              <w:top w:val="nil"/>
            </w:tcBorders>
            <w:noWrap w:val="0"/>
            <w:vAlign w:val="center"/>
          </w:tcPr>
          <w:p w14:paraId="7123132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tcBorders>
              <w:top w:val="nil"/>
            </w:tcBorders>
            <w:noWrap w:val="0"/>
            <w:vAlign w:val="center"/>
          </w:tcPr>
          <w:p w14:paraId="69B71FD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38C33B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nil"/>
            </w:tcBorders>
            <w:noWrap w:val="0"/>
            <w:vAlign w:val="center"/>
          </w:tcPr>
          <w:p w14:paraId="0244922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noWrap w:val="0"/>
            <w:vAlign w:val="center"/>
          </w:tcPr>
          <w:p w14:paraId="28EE87A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3142147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565D99D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154A20A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43CF8CB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nil"/>
              <w:bottom w:val="nil"/>
            </w:tcBorders>
            <w:noWrap w:val="0"/>
            <w:vAlign w:val="center"/>
          </w:tcPr>
          <w:p w14:paraId="67470CC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其他人员</w:t>
            </w:r>
          </w:p>
        </w:tc>
        <w:tc>
          <w:tcPr>
            <w:tcW w:w="1148" w:type="dxa"/>
            <w:noWrap w:val="0"/>
            <w:vAlign w:val="center"/>
          </w:tcPr>
          <w:p w14:paraId="3D434F9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7683951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44B7D95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432CABB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AA32A8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nil"/>
              <w:bottom w:val="nil"/>
            </w:tcBorders>
            <w:noWrap w:val="0"/>
            <w:vAlign w:val="center"/>
          </w:tcPr>
          <w:p w14:paraId="406BE64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noWrap w:val="0"/>
            <w:vAlign w:val="center"/>
          </w:tcPr>
          <w:p w14:paraId="526498D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2E898FC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7304D18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1AC435B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5EEE72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754" w:type="dxa"/>
            <w:gridSpan w:val="5"/>
            <w:tcBorders>
              <w:top w:val="single" w:color="auto" w:sz="6" w:space="0"/>
              <w:bottom w:val="single" w:color="auto" w:sz="6" w:space="0"/>
            </w:tcBorders>
            <w:noWrap w:val="0"/>
            <w:vAlign w:val="center"/>
          </w:tcPr>
          <w:p w14:paraId="32A3095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二、现场人员</w:t>
            </w:r>
          </w:p>
        </w:tc>
      </w:tr>
      <w:tr w14:paraId="63A71A5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6" w:space="0"/>
              <w:bottom w:val="single" w:color="auto" w:sz="6" w:space="0"/>
            </w:tcBorders>
            <w:noWrap w:val="0"/>
            <w:vAlign w:val="center"/>
          </w:tcPr>
          <w:p w14:paraId="5EC5622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项目经理</w:t>
            </w:r>
          </w:p>
        </w:tc>
        <w:tc>
          <w:tcPr>
            <w:tcW w:w="1148" w:type="dxa"/>
            <w:noWrap w:val="0"/>
            <w:vAlign w:val="center"/>
          </w:tcPr>
          <w:p w14:paraId="47003AD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4CB4A59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5402371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36D027A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08935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1345332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项目副经理</w:t>
            </w:r>
          </w:p>
        </w:tc>
        <w:tc>
          <w:tcPr>
            <w:tcW w:w="1148" w:type="dxa"/>
            <w:noWrap w:val="0"/>
            <w:vAlign w:val="center"/>
          </w:tcPr>
          <w:p w14:paraId="73D8807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6549475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373A72C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1EE1954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74B1D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0C2D15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技术负责人</w:t>
            </w:r>
          </w:p>
        </w:tc>
        <w:tc>
          <w:tcPr>
            <w:tcW w:w="1148" w:type="dxa"/>
            <w:noWrap w:val="0"/>
            <w:vAlign w:val="center"/>
          </w:tcPr>
          <w:p w14:paraId="72FCDCD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1945F07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5866600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6266C5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EBA54D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6" w:space="0"/>
              <w:bottom w:val="single" w:color="auto" w:sz="6" w:space="0"/>
            </w:tcBorders>
            <w:noWrap w:val="0"/>
            <w:vAlign w:val="center"/>
          </w:tcPr>
          <w:p w14:paraId="571F0C3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造价管理</w:t>
            </w:r>
          </w:p>
        </w:tc>
        <w:tc>
          <w:tcPr>
            <w:tcW w:w="1148" w:type="dxa"/>
            <w:noWrap w:val="0"/>
            <w:vAlign w:val="center"/>
          </w:tcPr>
          <w:p w14:paraId="4CE4CFB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62BA278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7BBC43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776BD6B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DAD09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F7D57D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质量管理</w:t>
            </w:r>
          </w:p>
        </w:tc>
        <w:tc>
          <w:tcPr>
            <w:tcW w:w="1148" w:type="dxa"/>
            <w:noWrap w:val="0"/>
            <w:vAlign w:val="center"/>
          </w:tcPr>
          <w:p w14:paraId="7F01020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7842E1E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4E0E64F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09895A0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7D370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04BD744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材料管理</w:t>
            </w:r>
          </w:p>
        </w:tc>
        <w:tc>
          <w:tcPr>
            <w:tcW w:w="1148" w:type="dxa"/>
            <w:noWrap w:val="0"/>
            <w:vAlign w:val="center"/>
          </w:tcPr>
          <w:p w14:paraId="120F7BC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75BB811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2FE5DA6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5C8A15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6F0FBE8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tcBorders>
              <w:top w:val="single" w:color="auto" w:sz="6" w:space="0"/>
              <w:bottom w:val="single" w:color="auto" w:sz="6" w:space="0"/>
            </w:tcBorders>
            <w:noWrap w:val="0"/>
            <w:vAlign w:val="center"/>
          </w:tcPr>
          <w:p w14:paraId="2B81664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计划管理</w:t>
            </w:r>
          </w:p>
        </w:tc>
        <w:tc>
          <w:tcPr>
            <w:tcW w:w="1148" w:type="dxa"/>
            <w:noWrap w:val="0"/>
            <w:vAlign w:val="center"/>
          </w:tcPr>
          <w:p w14:paraId="067F4C9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44B0C85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5B42057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32C698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4ADF17C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tcBorders>
              <w:top w:val="single" w:color="auto" w:sz="6" w:space="0"/>
              <w:bottom w:val="single" w:color="auto" w:sz="6" w:space="0"/>
            </w:tcBorders>
            <w:noWrap w:val="0"/>
            <w:vAlign w:val="center"/>
          </w:tcPr>
          <w:p w14:paraId="709B9E3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安全管理</w:t>
            </w:r>
          </w:p>
        </w:tc>
        <w:tc>
          <w:tcPr>
            <w:tcW w:w="1148" w:type="dxa"/>
            <w:noWrap w:val="0"/>
            <w:vAlign w:val="center"/>
          </w:tcPr>
          <w:p w14:paraId="1077B5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3AB0405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7220022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21A78ED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07B1F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restart"/>
            <w:tcBorders>
              <w:top w:val="single" w:color="auto" w:sz="6" w:space="0"/>
            </w:tcBorders>
            <w:noWrap w:val="0"/>
            <w:vAlign w:val="center"/>
          </w:tcPr>
          <w:p w14:paraId="74926AC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其他人员</w:t>
            </w:r>
          </w:p>
        </w:tc>
        <w:tc>
          <w:tcPr>
            <w:tcW w:w="1148" w:type="dxa"/>
            <w:noWrap w:val="0"/>
            <w:vAlign w:val="center"/>
          </w:tcPr>
          <w:p w14:paraId="5B1DBAC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1DA21DF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5B5A82E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6C7A173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E6BBA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vMerge w:val="continue"/>
            <w:noWrap w:val="0"/>
            <w:vAlign w:val="center"/>
          </w:tcPr>
          <w:p w14:paraId="5D3C820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tcBorders>
              <w:bottom w:val="nil"/>
            </w:tcBorders>
            <w:noWrap w:val="0"/>
            <w:vAlign w:val="center"/>
          </w:tcPr>
          <w:p w14:paraId="74E35BC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tcBorders>
              <w:bottom w:val="nil"/>
            </w:tcBorders>
            <w:noWrap w:val="0"/>
            <w:vAlign w:val="center"/>
          </w:tcPr>
          <w:p w14:paraId="2E4100D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tcBorders>
              <w:bottom w:val="nil"/>
            </w:tcBorders>
            <w:noWrap w:val="0"/>
            <w:vAlign w:val="center"/>
          </w:tcPr>
          <w:p w14:paraId="56F60A7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tcBorders>
              <w:bottom w:val="nil"/>
            </w:tcBorders>
            <w:noWrap w:val="0"/>
            <w:vAlign w:val="center"/>
          </w:tcPr>
          <w:p w14:paraId="4AECDE6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F06B4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vMerge w:val="continue"/>
            <w:noWrap w:val="0"/>
            <w:vAlign w:val="center"/>
          </w:tcPr>
          <w:p w14:paraId="35BB4FA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noWrap w:val="0"/>
            <w:vAlign w:val="center"/>
          </w:tcPr>
          <w:p w14:paraId="12811B0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167D527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4181572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3EEB2B4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774E5E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871" w:type="dxa"/>
            <w:vMerge w:val="continue"/>
            <w:noWrap w:val="0"/>
            <w:vAlign w:val="center"/>
          </w:tcPr>
          <w:p w14:paraId="1347255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noWrap w:val="0"/>
            <w:vAlign w:val="center"/>
          </w:tcPr>
          <w:p w14:paraId="3E135D6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01EC531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7B04375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70D21D5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40968E5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vMerge w:val="continue"/>
            <w:noWrap w:val="0"/>
            <w:vAlign w:val="center"/>
          </w:tcPr>
          <w:p w14:paraId="13825FC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noWrap w:val="0"/>
            <w:vAlign w:val="center"/>
          </w:tcPr>
          <w:p w14:paraId="4D942B5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noWrap w:val="0"/>
            <w:vAlign w:val="center"/>
          </w:tcPr>
          <w:p w14:paraId="368DFA7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noWrap w:val="0"/>
            <w:vAlign w:val="center"/>
          </w:tcPr>
          <w:p w14:paraId="312F853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noWrap w:val="0"/>
            <w:vAlign w:val="center"/>
          </w:tcPr>
          <w:p w14:paraId="53B5585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832E9F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PrEx>
        <w:trPr>
          <w:jc w:val="center"/>
        </w:trPr>
        <w:tc>
          <w:tcPr>
            <w:tcW w:w="1871" w:type="dxa"/>
            <w:vMerge w:val="continue"/>
            <w:tcBorders>
              <w:bottom w:val="single" w:color="auto" w:sz="12" w:space="0"/>
            </w:tcBorders>
            <w:noWrap w:val="0"/>
            <w:vAlign w:val="center"/>
          </w:tcPr>
          <w:p w14:paraId="0C17AB2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48" w:type="dxa"/>
            <w:tcBorders>
              <w:bottom w:val="single" w:color="auto" w:sz="12" w:space="0"/>
            </w:tcBorders>
            <w:noWrap w:val="0"/>
            <w:vAlign w:val="center"/>
          </w:tcPr>
          <w:p w14:paraId="0280095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41" w:type="dxa"/>
            <w:tcBorders>
              <w:bottom w:val="single" w:color="auto" w:sz="12" w:space="0"/>
            </w:tcBorders>
            <w:noWrap w:val="0"/>
            <w:vAlign w:val="center"/>
          </w:tcPr>
          <w:p w14:paraId="570E6D5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134" w:type="dxa"/>
            <w:tcBorders>
              <w:bottom w:val="single" w:color="auto" w:sz="12" w:space="0"/>
            </w:tcBorders>
            <w:noWrap w:val="0"/>
            <w:vAlign w:val="center"/>
          </w:tcPr>
          <w:p w14:paraId="365F1D4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660" w:type="dxa"/>
            <w:tcBorders>
              <w:bottom w:val="single" w:color="auto" w:sz="12" w:space="0"/>
            </w:tcBorders>
            <w:noWrap w:val="0"/>
            <w:vAlign w:val="center"/>
          </w:tcPr>
          <w:p w14:paraId="004FD61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bl>
    <w:p w14:paraId="55A2BF6E">
      <w:pPr>
        <w:spacing w:line="360" w:lineRule="exact"/>
        <w:rPr>
          <w:rFonts w:hint="eastAsia" w:ascii="宋体" w:hAnsi="宋体" w:cs="宋体"/>
          <w:szCs w:val="21"/>
          <w:highlight w:val="none"/>
        </w:rPr>
      </w:pPr>
      <w:r>
        <w:rPr>
          <w:rFonts w:hint="eastAsia" w:ascii="宋体" w:hAnsi="宋体" w:cs="宋体"/>
          <w:szCs w:val="21"/>
          <w:highlight w:val="none"/>
        </w:rPr>
        <w:br w:type="page" w:clear="all"/>
      </w:r>
      <w:r>
        <w:rPr>
          <w:rFonts w:hint="eastAsia" w:ascii="宋体" w:hAnsi="宋体" w:cs="宋体"/>
          <w:szCs w:val="21"/>
          <w:highlight w:val="none"/>
        </w:rPr>
        <w:t>附件</w:t>
      </w:r>
      <w:r>
        <w:rPr>
          <w:rFonts w:hint="eastAsia" w:ascii="宋体" w:hAnsi="宋体" w:cs="宋体"/>
          <w:szCs w:val="21"/>
          <w:highlight w:val="none"/>
          <w:lang w:val="en-US" w:eastAsia="zh-CN"/>
        </w:rPr>
        <w:t>8</w:t>
      </w:r>
      <w:r>
        <w:rPr>
          <w:rFonts w:hint="eastAsia" w:ascii="宋体" w:hAnsi="宋体" w:cs="宋体"/>
          <w:szCs w:val="21"/>
          <w:highlight w:val="none"/>
        </w:rPr>
        <w:t>：</w:t>
      </w:r>
    </w:p>
    <w:p w14:paraId="59F35E2D">
      <w:pPr>
        <w:spacing w:line="360" w:lineRule="exact"/>
        <w:jc w:val="center"/>
        <w:rPr>
          <w:rFonts w:hint="eastAsia" w:ascii="宋体" w:hAnsi="宋体" w:cs="宋体"/>
          <w:szCs w:val="21"/>
          <w:highlight w:val="none"/>
        </w:rPr>
      </w:pPr>
      <w:r>
        <w:rPr>
          <w:rFonts w:hint="eastAsia" w:ascii="宋体" w:hAnsi="宋体" w:cs="宋体"/>
          <w:szCs w:val="21"/>
          <w:highlight w:val="none"/>
        </w:rPr>
        <w:t>分包人主要施工管理人员表</w:t>
      </w:r>
    </w:p>
    <w:tbl>
      <w:tblPr>
        <w:tblStyle w:val="56"/>
        <w:tblW w:w="0" w:type="auto"/>
        <w:jc w:val="center"/>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1563"/>
        <w:gridCol w:w="1418"/>
        <w:gridCol w:w="928"/>
        <w:gridCol w:w="902"/>
        <w:gridCol w:w="3814"/>
      </w:tblGrid>
      <w:tr w14:paraId="16FAD4E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12" w:space="0"/>
              <w:bottom w:val="single" w:color="auto" w:sz="6" w:space="0"/>
            </w:tcBorders>
            <w:noWrap w:val="0"/>
            <w:vAlign w:val="center"/>
          </w:tcPr>
          <w:p w14:paraId="1513309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名    称</w:t>
            </w:r>
          </w:p>
        </w:tc>
        <w:tc>
          <w:tcPr>
            <w:tcW w:w="1418" w:type="dxa"/>
            <w:tcBorders>
              <w:top w:val="single" w:color="auto" w:sz="12" w:space="0"/>
              <w:bottom w:val="single" w:color="auto" w:sz="6" w:space="0"/>
            </w:tcBorders>
            <w:noWrap w:val="0"/>
            <w:vAlign w:val="center"/>
          </w:tcPr>
          <w:p w14:paraId="6E00A92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姓名</w:t>
            </w:r>
          </w:p>
        </w:tc>
        <w:tc>
          <w:tcPr>
            <w:tcW w:w="928" w:type="dxa"/>
            <w:tcBorders>
              <w:top w:val="single" w:color="auto" w:sz="12" w:space="0"/>
              <w:bottom w:val="single" w:color="auto" w:sz="6" w:space="0"/>
            </w:tcBorders>
            <w:noWrap w:val="0"/>
            <w:vAlign w:val="center"/>
          </w:tcPr>
          <w:p w14:paraId="2CFFB43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职务</w:t>
            </w:r>
          </w:p>
        </w:tc>
        <w:tc>
          <w:tcPr>
            <w:tcW w:w="902" w:type="dxa"/>
            <w:tcBorders>
              <w:top w:val="single" w:color="auto" w:sz="12" w:space="0"/>
              <w:bottom w:val="single" w:color="auto" w:sz="6" w:space="0"/>
            </w:tcBorders>
            <w:noWrap w:val="0"/>
            <w:vAlign w:val="center"/>
          </w:tcPr>
          <w:p w14:paraId="4734C98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职称</w:t>
            </w:r>
          </w:p>
        </w:tc>
        <w:tc>
          <w:tcPr>
            <w:tcW w:w="3814" w:type="dxa"/>
            <w:tcBorders>
              <w:top w:val="single" w:color="auto" w:sz="12" w:space="0"/>
              <w:bottom w:val="single" w:color="auto" w:sz="6" w:space="0"/>
            </w:tcBorders>
            <w:noWrap w:val="0"/>
            <w:vAlign w:val="center"/>
          </w:tcPr>
          <w:p w14:paraId="74304FE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主要资历、经验及承担过的项目</w:t>
            </w:r>
          </w:p>
        </w:tc>
      </w:tr>
      <w:tr w14:paraId="6CD625E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noWrap w:val="0"/>
            <w:vAlign w:val="center"/>
          </w:tcPr>
          <w:p w14:paraId="48D5CFB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一、总部人员</w:t>
            </w:r>
          </w:p>
        </w:tc>
      </w:tr>
      <w:tr w14:paraId="0AF9344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7BD6ACC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项目主管</w:t>
            </w:r>
          </w:p>
        </w:tc>
        <w:tc>
          <w:tcPr>
            <w:tcW w:w="1418" w:type="dxa"/>
            <w:tcBorders>
              <w:top w:val="nil"/>
            </w:tcBorders>
            <w:noWrap w:val="0"/>
            <w:vAlign w:val="center"/>
          </w:tcPr>
          <w:p w14:paraId="10B7A1D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tcBorders>
              <w:top w:val="nil"/>
            </w:tcBorders>
            <w:noWrap w:val="0"/>
            <w:vAlign w:val="center"/>
          </w:tcPr>
          <w:p w14:paraId="5DF4BCD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tcBorders>
              <w:top w:val="nil"/>
            </w:tcBorders>
            <w:noWrap w:val="0"/>
            <w:vAlign w:val="center"/>
          </w:tcPr>
          <w:p w14:paraId="2A2C214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tcBorders>
              <w:top w:val="nil"/>
            </w:tcBorders>
            <w:noWrap w:val="0"/>
            <w:vAlign w:val="center"/>
          </w:tcPr>
          <w:p w14:paraId="057E84E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B160F8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nil"/>
            </w:tcBorders>
            <w:noWrap w:val="0"/>
            <w:vAlign w:val="center"/>
          </w:tcPr>
          <w:p w14:paraId="60B3AB1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3D5ADFC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5B2B23C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295521E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7F23AC2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48163E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3BE93A67">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其他人员</w:t>
            </w:r>
          </w:p>
        </w:tc>
        <w:tc>
          <w:tcPr>
            <w:tcW w:w="1418" w:type="dxa"/>
            <w:noWrap w:val="0"/>
            <w:vAlign w:val="center"/>
          </w:tcPr>
          <w:p w14:paraId="2BA5363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5CC94CF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4DCBECE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6FBA053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21312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nil"/>
              <w:bottom w:val="nil"/>
            </w:tcBorders>
            <w:noWrap w:val="0"/>
            <w:vAlign w:val="center"/>
          </w:tcPr>
          <w:p w14:paraId="0F15733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5CBAE51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2A91557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6B5DE70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0FF48F3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59D1BF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8625" w:type="dxa"/>
            <w:gridSpan w:val="5"/>
            <w:tcBorders>
              <w:top w:val="single" w:color="auto" w:sz="6" w:space="0"/>
              <w:bottom w:val="single" w:color="auto" w:sz="6" w:space="0"/>
            </w:tcBorders>
            <w:noWrap w:val="0"/>
            <w:vAlign w:val="center"/>
          </w:tcPr>
          <w:p w14:paraId="085E489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二、现场人员</w:t>
            </w:r>
          </w:p>
        </w:tc>
      </w:tr>
      <w:tr w14:paraId="5382738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78E46F0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项目经理</w:t>
            </w:r>
          </w:p>
        </w:tc>
        <w:tc>
          <w:tcPr>
            <w:tcW w:w="1418" w:type="dxa"/>
            <w:noWrap w:val="0"/>
            <w:vAlign w:val="center"/>
          </w:tcPr>
          <w:p w14:paraId="37BBF98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11F0838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1D726BD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688FEB6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6788133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7ED58C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项目副经理</w:t>
            </w:r>
          </w:p>
        </w:tc>
        <w:tc>
          <w:tcPr>
            <w:tcW w:w="1418" w:type="dxa"/>
            <w:noWrap w:val="0"/>
            <w:vAlign w:val="center"/>
          </w:tcPr>
          <w:p w14:paraId="740CF24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063B4AF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3877CFB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119A383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603D107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2C8AA4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技术负责人</w:t>
            </w:r>
          </w:p>
        </w:tc>
        <w:tc>
          <w:tcPr>
            <w:tcW w:w="1418" w:type="dxa"/>
            <w:noWrap w:val="0"/>
            <w:vAlign w:val="center"/>
          </w:tcPr>
          <w:p w14:paraId="531E5D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420BE64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3CE4D9F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1167F0F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B3962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6DE7F96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造价管理</w:t>
            </w:r>
          </w:p>
        </w:tc>
        <w:tc>
          <w:tcPr>
            <w:tcW w:w="1418" w:type="dxa"/>
            <w:noWrap w:val="0"/>
            <w:vAlign w:val="center"/>
          </w:tcPr>
          <w:p w14:paraId="6FFA42B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2F9BF0D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716CF8E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0E5005D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DFADCD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3BA5004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质量管理</w:t>
            </w:r>
          </w:p>
        </w:tc>
        <w:tc>
          <w:tcPr>
            <w:tcW w:w="1418" w:type="dxa"/>
            <w:noWrap w:val="0"/>
            <w:vAlign w:val="center"/>
          </w:tcPr>
          <w:p w14:paraId="5C85792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714E675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72F8AF7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75C7FCA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691BC8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086A8AB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材料管理</w:t>
            </w:r>
          </w:p>
        </w:tc>
        <w:tc>
          <w:tcPr>
            <w:tcW w:w="1418" w:type="dxa"/>
            <w:noWrap w:val="0"/>
            <w:vAlign w:val="center"/>
          </w:tcPr>
          <w:p w14:paraId="0C9A30E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1DDB5DA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365254A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57C2732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3572FDF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2B8638E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计划管理</w:t>
            </w:r>
          </w:p>
        </w:tc>
        <w:tc>
          <w:tcPr>
            <w:tcW w:w="1418" w:type="dxa"/>
            <w:noWrap w:val="0"/>
            <w:vAlign w:val="center"/>
          </w:tcPr>
          <w:p w14:paraId="22C1AA3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0BF5139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2FFBAE9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49E4C7D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747F75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tcBorders>
              <w:top w:val="single" w:color="auto" w:sz="6" w:space="0"/>
              <w:bottom w:val="single" w:color="auto" w:sz="6" w:space="0"/>
            </w:tcBorders>
            <w:noWrap w:val="0"/>
            <w:vAlign w:val="center"/>
          </w:tcPr>
          <w:p w14:paraId="76A5CC4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安全管理</w:t>
            </w:r>
          </w:p>
        </w:tc>
        <w:tc>
          <w:tcPr>
            <w:tcW w:w="1418" w:type="dxa"/>
            <w:noWrap w:val="0"/>
            <w:vAlign w:val="center"/>
          </w:tcPr>
          <w:p w14:paraId="35157EF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3E9996F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38A4563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754D60E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1B889E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restart"/>
            <w:tcBorders>
              <w:top w:val="single" w:color="auto" w:sz="6" w:space="0"/>
            </w:tcBorders>
            <w:noWrap w:val="0"/>
            <w:vAlign w:val="center"/>
          </w:tcPr>
          <w:p w14:paraId="776FF18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r>
              <w:rPr>
                <w:rFonts w:hint="eastAsia" w:ascii="宋体" w:hAnsi="宋体" w:cs="宋体"/>
                <w:sz w:val="21"/>
                <w:szCs w:val="21"/>
                <w:highlight w:val="none"/>
              </w:rPr>
              <w:t>其他人员</w:t>
            </w:r>
          </w:p>
        </w:tc>
        <w:tc>
          <w:tcPr>
            <w:tcW w:w="1418" w:type="dxa"/>
            <w:noWrap w:val="0"/>
            <w:vAlign w:val="center"/>
          </w:tcPr>
          <w:p w14:paraId="3B6EEB7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49CD490A">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08F87EBD">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160D9539">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E10A72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132B75B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tcBorders>
              <w:bottom w:val="nil"/>
            </w:tcBorders>
            <w:noWrap w:val="0"/>
            <w:vAlign w:val="center"/>
          </w:tcPr>
          <w:p w14:paraId="77A641B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tcBorders>
              <w:bottom w:val="nil"/>
            </w:tcBorders>
            <w:noWrap w:val="0"/>
            <w:vAlign w:val="center"/>
          </w:tcPr>
          <w:p w14:paraId="00C7DD4E">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tcBorders>
              <w:bottom w:val="nil"/>
            </w:tcBorders>
            <w:noWrap w:val="0"/>
            <w:vAlign w:val="center"/>
          </w:tcPr>
          <w:p w14:paraId="4DBA9E9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tcBorders>
              <w:bottom w:val="nil"/>
            </w:tcBorders>
            <w:noWrap w:val="0"/>
            <w:vAlign w:val="center"/>
          </w:tcPr>
          <w:p w14:paraId="3BB2EC3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50B7990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3F97CCC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4127C48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2E61C4A8">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7743FD4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3F15D15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BFD229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11C7E07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74E4210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197EEB11">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34B66BC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29C9691F">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48E5FEE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noWrap w:val="0"/>
            <w:vAlign w:val="center"/>
          </w:tcPr>
          <w:p w14:paraId="546E405B">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noWrap w:val="0"/>
            <w:vAlign w:val="center"/>
          </w:tcPr>
          <w:p w14:paraId="0DA5F27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noWrap w:val="0"/>
            <w:vAlign w:val="center"/>
          </w:tcPr>
          <w:p w14:paraId="2DD59E7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noWrap w:val="0"/>
            <w:vAlign w:val="center"/>
          </w:tcPr>
          <w:p w14:paraId="1CFA508C">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noWrap w:val="0"/>
            <w:vAlign w:val="center"/>
          </w:tcPr>
          <w:p w14:paraId="72F60D63">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r w14:paraId="017C61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rPr>
          <w:jc w:val="center"/>
        </w:trPr>
        <w:tc>
          <w:tcPr>
            <w:tcW w:w="1563" w:type="dxa"/>
            <w:vMerge w:val="continue"/>
            <w:tcBorders>
              <w:bottom w:val="single" w:color="auto" w:sz="12" w:space="0"/>
            </w:tcBorders>
            <w:noWrap w:val="0"/>
            <w:vAlign w:val="center"/>
          </w:tcPr>
          <w:p w14:paraId="0403BD04">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1418" w:type="dxa"/>
            <w:tcBorders>
              <w:bottom w:val="single" w:color="auto" w:sz="12" w:space="0"/>
            </w:tcBorders>
            <w:noWrap w:val="0"/>
            <w:vAlign w:val="center"/>
          </w:tcPr>
          <w:p w14:paraId="5BBE7476">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28" w:type="dxa"/>
            <w:tcBorders>
              <w:bottom w:val="single" w:color="auto" w:sz="12" w:space="0"/>
            </w:tcBorders>
            <w:noWrap w:val="0"/>
            <w:vAlign w:val="center"/>
          </w:tcPr>
          <w:p w14:paraId="5DA0D6C0">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902" w:type="dxa"/>
            <w:tcBorders>
              <w:bottom w:val="single" w:color="auto" w:sz="12" w:space="0"/>
            </w:tcBorders>
            <w:noWrap w:val="0"/>
            <w:vAlign w:val="center"/>
          </w:tcPr>
          <w:p w14:paraId="54C2BAA5">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c>
          <w:tcPr>
            <w:tcW w:w="3814" w:type="dxa"/>
            <w:tcBorders>
              <w:bottom w:val="single" w:color="auto" w:sz="12" w:space="0"/>
            </w:tcBorders>
            <w:noWrap w:val="0"/>
            <w:vAlign w:val="center"/>
          </w:tcPr>
          <w:p w14:paraId="40D2F972">
            <w:pPr>
              <w:pStyle w:val="20"/>
              <w:keepNext/>
              <w:keepLines w:val="0"/>
              <w:suppressLineNumbers w:val="0"/>
              <w:spacing w:before="0" w:beforeAutospacing="0" w:after="0" w:afterAutospacing="0" w:line="360" w:lineRule="exact"/>
              <w:ind w:left="0" w:right="0"/>
              <w:rPr>
                <w:rFonts w:hint="eastAsia" w:ascii="宋体" w:hAnsi="宋体" w:cs="宋体"/>
                <w:sz w:val="21"/>
                <w:szCs w:val="21"/>
                <w:highlight w:val="none"/>
              </w:rPr>
            </w:pPr>
          </w:p>
        </w:tc>
      </w:tr>
    </w:tbl>
    <w:p w14:paraId="7228E8C8">
      <w:pPr>
        <w:spacing w:line="360" w:lineRule="exact"/>
        <w:rPr>
          <w:rFonts w:hint="eastAsia" w:ascii="宋体" w:hAnsi="宋体" w:cs="宋体"/>
          <w:szCs w:val="21"/>
          <w:highlight w:val="none"/>
        </w:rPr>
      </w:pPr>
      <w:r>
        <w:rPr>
          <w:rFonts w:hint="eastAsia" w:ascii="宋体" w:hAnsi="宋体" w:cs="宋体"/>
          <w:szCs w:val="21"/>
          <w:highlight w:val="none"/>
        </w:rPr>
        <w:br w:type="page" w:clear="all"/>
      </w:r>
      <w:r>
        <w:rPr>
          <w:rFonts w:hint="eastAsia" w:ascii="宋体" w:hAnsi="宋体" w:cs="宋体"/>
          <w:szCs w:val="21"/>
          <w:highlight w:val="none"/>
        </w:rPr>
        <w:t>附件</w:t>
      </w:r>
      <w:r>
        <w:rPr>
          <w:rFonts w:hint="eastAsia" w:ascii="宋体" w:hAnsi="宋体" w:cs="宋体"/>
          <w:szCs w:val="21"/>
          <w:highlight w:val="none"/>
          <w:lang w:val="en-US" w:eastAsia="zh-CN"/>
        </w:rPr>
        <w:t>9</w:t>
      </w:r>
      <w:r>
        <w:rPr>
          <w:rFonts w:hint="eastAsia" w:ascii="宋体" w:hAnsi="宋体" w:cs="宋体"/>
          <w:szCs w:val="21"/>
          <w:highlight w:val="none"/>
        </w:rPr>
        <w:t>：</w:t>
      </w:r>
    </w:p>
    <w:p w14:paraId="033454A3">
      <w:pPr>
        <w:spacing w:line="360" w:lineRule="exact"/>
        <w:jc w:val="center"/>
        <w:rPr>
          <w:rFonts w:hint="eastAsia" w:ascii="宋体" w:hAnsi="宋体" w:cs="宋体"/>
          <w:szCs w:val="21"/>
          <w:highlight w:val="none"/>
        </w:rPr>
      </w:pPr>
      <w:r>
        <w:rPr>
          <w:rFonts w:hint="eastAsia" w:ascii="宋体" w:hAnsi="宋体" w:cs="宋体"/>
          <w:szCs w:val="21"/>
          <w:highlight w:val="none"/>
        </w:rPr>
        <w:t>履约担保</w:t>
      </w:r>
    </w:p>
    <w:p w14:paraId="0D7F4FE1">
      <w:pPr>
        <w:spacing w:line="360" w:lineRule="exact"/>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rPr>
        <w:t>（</w:t>
      </w:r>
      <w:bookmarkStart w:id="1880" w:name="REVIEW_BM_2026"/>
      <w:r>
        <w:rPr>
          <w:rFonts w:hint="eastAsia" w:ascii="宋体" w:hAnsi="宋体" w:cs="宋体"/>
          <w:szCs w:val="21"/>
          <w:highlight w:val="none"/>
        </w:rPr>
        <w:t>发包人</w:t>
      </w:r>
      <w:bookmarkEnd w:id="1880"/>
      <w:r>
        <w:rPr>
          <w:rFonts w:hint="eastAsia" w:ascii="宋体" w:hAnsi="宋体" w:cs="宋体"/>
          <w:szCs w:val="21"/>
          <w:highlight w:val="none"/>
        </w:rPr>
        <w:t>名称）：</w:t>
      </w:r>
    </w:p>
    <w:p w14:paraId="2691C198">
      <w:pPr>
        <w:spacing w:line="360" w:lineRule="exact"/>
        <w:rPr>
          <w:rFonts w:hint="eastAsia" w:ascii="宋体" w:hAnsi="宋体" w:cs="宋体"/>
          <w:szCs w:val="21"/>
          <w:highlight w:val="none"/>
        </w:rPr>
      </w:pPr>
    </w:p>
    <w:p w14:paraId="7B937002">
      <w:pPr>
        <w:spacing w:line="360" w:lineRule="exact"/>
        <w:ind w:firstLine="420"/>
        <w:rPr>
          <w:rFonts w:hint="eastAsia" w:ascii="宋体" w:hAnsi="宋体" w:cs="宋体"/>
          <w:szCs w:val="21"/>
          <w:highlight w:val="none"/>
        </w:rPr>
      </w:pPr>
      <w:r>
        <w:rPr>
          <w:rFonts w:hint="eastAsia" w:ascii="宋体" w:hAnsi="宋体" w:cs="宋体"/>
          <w:szCs w:val="21"/>
          <w:highlight w:val="none"/>
        </w:rPr>
        <w:t>鉴于</w:t>
      </w:r>
      <w:r>
        <w:rPr>
          <w:rFonts w:hint="eastAsia" w:ascii="宋体" w:hAnsi="宋体" w:cs="宋体"/>
          <w:szCs w:val="21"/>
          <w:highlight w:val="none"/>
          <w:u w:val="single"/>
        </w:rPr>
        <w:t xml:space="preserve">                </w:t>
      </w:r>
      <w:r>
        <w:rPr>
          <w:rFonts w:hint="eastAsia" w:ascii="宋体" w:hAnsi="宋体" w:cs="宋体"/>
          <w:szCs w:val="21"/>
          <w:highlight w:val="none"/>
        </w:rPr>
        <w:t>（</w:t>
      </w:r>
      <w:bookmarkStart w:id="1881" w:name="REVIEW_BM_2027"/>
      <w:r>
        <w:rPr>
          <w:rFonts w:hint="eastAsia" w:ascii="宋体" w:hAnsi="宋体" w:cs="宋体"/>
          <w:szCs w:val="21"/>
          <w:highlight w:val="none"/>
        </w:rPr>
        <w:t>发包人</w:t>
      </w:r>
      <w:bookmarkEnd w:id="1881"/>
      <w:r>
        <w:rPr>
          <w:rFonts w:hint="eastAsia" w:ascii="宋体" w:hAnsi="宋体" w:cs="宋体"/>
          <w:szCs w:val="21"/>
          <w:highlight w:val="none"/>
        </w:rPr>
        <w:t>名称，以下简称“</w:t>
      </w:r>
      <w:bookmarkStart w:id="1882" w:name="REVIEW_BM_2028"/>
      <w:r>
        <w:rPr>
          <w:rFonts w:hint="eastAsia" w:ascii="宋体" w:hAnsi="宋体" w:cs="宋体"/>
          <w:szCs w:val="21"/>
          <w:highlight w:val="none"/>
        </w:rPr>
        <w:t>发包人</w:t>
      </w:r>
      <w:bookmarkEnd w:id="1882"/>
      <w:r>
        <w:rPr>
          <w:rFonts w:hint="eastAsia" w:ascii="宋体" w:hAnsi="宋体" w:cs="宋体"/>
          <w:szCs w:val="21"/>
          <w:highlight w:val="none"/>
        </w:rPr>
        <w:t>”）与</w:t>
      </w:r>
    </w:p>
    <w:p w14:paraId="002D1BD0">
      <w:pPr>
        <w:spacing w:line="360" w:lineRule="exact"/>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w:t>
      </w:r>
      <w:bookmarkStart w:id="1883" w:name="REVIEW_BM_2029"/>
      <w:r>
        <w:rPr>
          <w:rFonts w:hint="eastAsia" w:ascii="宋体" w:hAnsi="宋体" w:cs="宋体"/>
          <w:szCs w:val="21"/>
          <w:highlight w:val="none"/>
        </w:rPr>
        <w:t>承包人</w:t>
      </w:r>
      <w:bookmarkEnd w:id="1883"/>
      <w:r>
        <w:rPr>
          <w:rFonts w:hint="eastAsia" w:ascii="宋体" w:hAnsi="宋体" w:cs="宋体"/>
          <w:szCs w:val="21"/>
          <w:highlight w:val="none"/>
        </w:rPr>
        <w:t>名称）（以下称“</w:t>
      </w:r>
      <w:bookmarkStart w:id="1884" w:name="REVIEW_BM_2030"/>
      <w:r>
        <w:rPr>
          <w:rFonts w:hint="eastAsia" w:ascii="宋体" w:hAnsi="宋体" w:cs="宋体"/>
          <w:szCs w:val="21"/>
          <w:highlight w:val="none"/>
        </w:rPr>
        <w:t>承包人</w:t>
      </w:r>
      <w:bookmarkEnd w:id="1884"/>
      <w:r>
        <w:rPr>
          <w:rFonts w:hint="eastAsia" w:ascii="宋体" w:hAnsi="宋体" w:cs="宋体"/>
          <w:szCs w:val="21"/>
          <w:highlight w:val="none"/>
        </w:rPr>
        <w:t>”）于</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日就</w:t>
      </w:r>
      <w:r>
        <w:rPr>
          <w:rFonts w:hint="eastAsia" w:ascii="宋体" w:hAnsi="宋体" w:cs="宋体"/>
          <w:szCs w:val="21"/>
          <w:highlight w:val="none"/>
          <w:u w:val="single"/>
        </w:rPr>
        <w:t xml:space="preserve">                         </w:t>
      </w:r>
      <w:r>
        <w:rPr>
          <w:rFonts w:hint="eastAsia" w:ascii="宋体" w:hAnsi="宋体" w:cs="宋体"/>
          <w:szCs w:val="21"/>
          <w:highlight w:val="none"/>
        </w:rPr>
        <w:t>（工程名称）施工及有关事项协商一致共同签订《建设工程施工合同》。</w:t>
      </w:r>
      <w:bookmarkStart w:id="1885" w:name="REVIEW_BM_2032"/>
      <w:r>
        <w:rPr>
          <w:rFonts w:hint="eastAsia" w:ascii="宋体" w:hAnsi="宋体" w:cs="宋体"/>
          <w:szCs w:val="21"/>
          <w:highlight w:val="none"/>
        </w:rPr>
        <w:t>我方</w:t>
      </w:r>
      <w:bookmarkEnd w:id="1885"/>
      <w:r>
        <w:rPr>
          <w:rFonts w:hint="eastAsia" w:ascii="宋体" w:hAnsi="宋体" w:cs="宋体"/>
          <w:szCs w:val="21"/>
          <w:highlight w:val="none"/>
        </w:rPr>
        <w:t>愿意无条件地、不可撤销地就</w:t>
      </w:r>
      <w:bookmarkStart w:id="1886" w:name="REVIEW_BM_2031"/>
      <w:r>
        <w:rPr>
          <w:rFonts w:hint="eastAsia" w:ascii="宋体" w:hAnsi="宋体" w:cs="宋体"/>
          <w:szCs w:val="21"/>
          <w:highlight w:val="none"/>
        </w:rPr>
        <w:t>承包人</w:t>
      </w:r>
      <w:bookmarkEnd w:id="1886"/>
      <w:r>
        <w:rPr>
          <w:rFonts w:hint="eastAsia" w:ascii="宋体" w:hAnsi="宋体" w:cs="宋体"/>
          <w:szCs w:val="21"/>
          <w:highlight w:val="none"/>
        </w:rPr>
        <w:t xml:space="preserve">履行与你方签订的合同，向你方提供连带责任担保。 </w:t>
      </w:r>
    </w:p>
    <w:p w14:paraId="3EDB2BF0">
      <w:pPr>
        <w:spacing w:line="360" w:lineRule="exact"/>
        <w:ind w:firstLine="420"/>
        <w:rPr>
          <w:rFonts w:hint="eastAsia" w:ascii="宋体" w:hAnsi="宋体" w:cs="宋体"/>
          <w:szCs w:val="21"/>
          <w:highlight w:val="none"/>
        </w:rPr>
      </w:pPr>
      <w:r>
        <w:rPr>
          <w:rFonts w:hint="eastAsia" w:ascii="宋体" w:hAnsi="宋体" w:cs="宋体"/>
          <w:szCs w:val="21"/>
          <w:highlight w:val="none"/>
        </w:rPr>
        <w:t>1. 担保金额人民币（大写）</w:t>
      </w:r>
      <w:r>
        <w:rPr>
          <w:rFonts w:hint="eastAsia" w:ascii="宋体" w:hAnsi="宋体" w:cs="宋体"/>
          <w:szCs w:val="21"/>
          <w:highlight w:val="none"/>
          <w:u w:val="single"/>
        </w:rPr>
        <w:t xml:space="preserve">                 </w:t>
      </w:r>
      <w:r>
        <w:rPr>
          <w:rFonts w:hint="eastAsia" w:ascii="宋体" w:hAnsi="宋体" w:cs="宋体"/>
          <w:szCs w:val="21"/>
          <w:highlight w:val="none"/>
        </w:rPr>
        <w:t>元（¥</w:t>
      </w:r>
      <w:r>
        <w:rPr>
          <w:rFonts w:hint="eastAsia" w:ascii="宋体" w:hAnsi="宋体" w:cs="宋体"/>
          <w:szCs w:val="21"/>
          <w:highlight w:val="none"/>
          <w:u w:val="single"/>
        </w:rPr>
        <w:t xml:space="preserve">             </w:t>
      </w:r>
      <w:r>
        <w:rPr>
          <w:rFonts w:hint="eastAsia" w:ascii="宋体" w:hAnsi="宋体" w:cs="宋体"/>
          <w:szCs w:val="21"/>
          <w:highlight w:val="none"/>
        </w:rPr>
        <w:t>）。</w:t>
      </w:r>
    </w:p>
    <w:p w14:paraId="0F934677">
      <w:pPr>
        <w:spacing w:line="360" w:lineRule="exact"/>
        <w:ind w:firstLine="420"/>
        <w:rPr>
          <w:rFonts w:hint="eastAsia" w:ascii="宋体" w:hAnsi="宋体" w:cs="宋体"/>
          <w:szCs w:val="21"/>
          <w:highlight w:val="none"/>
        </w:rPr>
      </w:pPr>
      <w:r>
        <w:rPr>
          <w:rFonts w:hint="eastAsia" w:ascii="宋体" w:hAnsi="宋体" w:cs="宋体"/>
          <w:szCs w:val="21"/>
          <w:highlight w:val="none"/>
        </w:rPr>
        <w:t>2. 担保有效期自你方与</w:t>
      </w:r>
      <w:bookmarkStart w:id="1887" w:name="REVIEW_BM_2033"/>
      <w:r>
        <w:rPr>
          <w:rFonts w:hint="eastAsia" w:ascii="宋体" w:hAnsi="宋体" w:cs="宋体"/>
          <w:szCs w:val="21"/>
          <w:highlight w:val="none"/>
        </w:rPr>
        <w:t>承包人</w:t>
      </w:r>
      <w:bookmarkEnd w:id="1887"/>
      <w:r>
        <w:rPr>
          <w:rFonts w:hint="eastAsia" w:ascii="宋体" w:hAnsi="宋体" w:cs="宋体"/>
          <w:szCs w:val="21"/>
          <w:highlight w:val="none"/>
        </w:rPr>
        <w:t>签订的合同生效之日起至你方签发或应签发工程接收证书之日止。</w:t>
      </w:r>
    </w:p>
    <w:p w14:paraId="56971B59">
      <w:pPr>
        <w:spacing w:line="360" w:lineRule="exact"/>
        <w:ind w:firstLine="420"/>
        <w:rPr>
          <w:rFonts w:hint="eastAsia" w:ascii="宋体" w:hAnsi="宋体" w:cs="宋体"/>
          <w:szCs w:val="21"/>
          <w:highlight w:val="none"/>
        </w:rPr>
      </w:pPr>
      <w:r>
        <w:rPr>
          <w:rFonts w:hint="eastAsia" w:ascii="宋体" w:hAnsi="宋体" w:cs="宋体"/>
          <w:szCs w:val="21"/>
          <w:highlight w:val="none"/>
        </w:rPr>
        <w:t>3. 在本担保有效期内，因</w:t>
      </w:r>
      <w:bookmarkStart w:id="1888" w:name="REVIEW_BM_2034"/>
      <w:r>
        <w:rPr>
          <w:rFonts w:hint="eastAsia" w:ascii="宋体" w:hAnsi="宋体" w:cs="宋体"/>
          <w:szCs w:val="21"/>
          <w:highlight w:val="none"/>
        </w:rPr>
        <w:t>承包人</w:t>
      </w:r>
      <w:bookmarkEnd w:id="1888"/>
      <w:r>
        <w:rPr>
          <w:rFonts w:hint="eastAsia" w:ascii="宋体" w:hAnsi="宋体" w:cs="宋体"/>
          <w:szCs w:val="21"/>
          <w:highlight w:val="none"/>
        </w:rPr>
        <w:t>违反合同约定的义务给你方造成经济损失时，我方在收到你方以书面形式提出的在担保金额内的赔偿要求后，在7天内无条件支付。</w:t>
      </w:r>
    </w:p>
    <w:p w14:paraId="3EE1FE21">
      <w:pPr>
        <w:spacing w:line="360" w:lineRule="exact"/>
        <w:ind w:firstLine="420"/>
        <w:rPr>
          <w:rFonts w:hint="eastAsia" w:ascii="宋体" w:hAnsi="宋体" w:cs="宋体"/>
          <w:szCs w:val="21"/>
          <w:highlight w:val="none"/>
        </w:rPr>
      </w:pPr>
      <w:r>
        <w:rPr>
          <w:rFonts w:hint="eastAsia" w:ascii="宋体" w:hAnsi="宋体" w:cs="宋体"/>
          <w:szCs w:val="21"/>
          <w:highlight w:val="none"/>
        </w:rPr>
        <w:t>4. 你方和</w:t>
      </w:r>
      <w:bookmarkStart w:id="1889" w:name="REVIEW_BM_2035"/>
      <w:r>
        <w:rPr>
          <w:rFonts w:hint="eastAsia" w:ascii="宋体" w:hAnsi="宋体" w:cs="宋体"/>
          <w:szCs w:val="21"/>
          <w:highlight w:val="none"/>
        </w:rPr>
        <w:t>承包人</w:t>
      </w:r>
      <w:bookmarkEnd w:id="1889"/>
      <w:r>
        <w:rPr>
          <w:rFonts w:hint="eastAsia" w:ascii="宋体" w:hAnsi="宋体" w:cs="宋体"/>
          <w:szCs w:val="21"/>
          <w:highlight w:val="none"/>
        </w:rPr>
        <w:t>按合同约定变更合同时，</w:t>
      </w:r>
      <w:bookmarkStart w:id="1890" w:name="REVIEW_BM_2036"/>
      <w:r>
        <w:rPr>
          <w:rFonts w:hint="eastAsia" w:ascii="宋体" w:hAnsi="宋体" w:cs="宋体"/>
          <w:szCs w:val="21"/>
          <w:highlight w:val="none"/>
        </w:rPr>
        <w:t>我方</w:t>
      </w:r>
      <w:bookmarkEnd w:id="1890"/>
      <w:r>
        <w:rPr>
          <w:rFonts w:hint="eastAsia" w:ascii="宋体" w:hAnsi="宋体" w:cs="宋体"/>
          <w:szCs w:val="21"/>
          <w:highlight w:val="none"/>
        </w:rPr>
        <w:t>承担本担保规定的义务不变。</w:t>
      </w:r>
    </w:p>
    <w:p w14:paraId="21C6BBDA">
      <w:pPr>
        <w:spacing w:line="360" w:lineRule="exact"/>
        <w:ind w:firstLine="420"/>
        <w:rPr>
          <w:rFonts w:hint="eastAsia" w:ascii="宋体" w:hAnsi="宋体" w:cs="宋体"/>
          <w:szCs w:val="21"/>
          <w:highlight w:val="none"/>
        </w:rPr>
      </w:pPr>
      <w:r>
        <w:rPr>
          <w:rFonts w:hint="eastAsia" w:ascii="宋体" w:hAnsi="宋体" w:cs="宋体"/>
          <w:szCs w:val="21"/>
          <w:highlight w:val="none"/>
        </w:rPr>
        <w:t>5. 因本保函发生的纠纷，可由双方协商解决，协商不成的，任何一方均可提请</w:t>
      </w:r>
      <w:r>
        <w:rPr>
          <w:rFonts w:hint="eastAsia" w:ascii="宋体" w:hAnsi="宋体" w:cs="宋体"/>
          <w:szCs w:val="21"/>
          <w:highlight w:val="none"/>
          <w:u w:val="single"/>
        </w:rPr>
        <w:t xml:space="preserve">        </w:t>
      </w:r>
      <w:r>
        <w:rPr>
          <w:rFonts w:hint="eastAsia" w:ascii="宋体" w:hAnsi="宋体" w:cs="宋体"/>
          <w:szCs w:val="21"/>
          <w:highlight w:val="none"/>
        </w:rPr>
        <w:t>仲裁委员会仲裁。</w:t>
      </w:r>
    </w:p>
    <w:p w14:paraId="7EDFB708">
      <w:pPr>
        <w:spacing w:line="360" w:lineRule="exact"/>
        <w:ind w:firstLine="420"/>
        <w:rPr>
          <w:rFonts w:hint="eastAsia" w:ascii="宋体" w:hAnsi="宋体" w:cs="宋体"/>
          <w:szCs w:val="21"/>
          <w:highlight w:val="none"/>
        </w:rPr>
      </w:pPr>
      <w:r>
        <w:rPr>
          <w:rFonts w:hint="eastAsia" w:ascii="宋体" w:hAnsi="宋体" w:cs="宋体"/>
          <w:szCs w:val="21"/>
          <w:highlight w:val="none"/>
        </w:rPr>
        <w:t>6. 本保函自我方法定代表人（或其授权代理人）签字并加盖公章之日起生效。</w:t>
      </w:r>
    </w:p>
    <w:p w14:paraId="37DC7A47">
      <w:pPr>
        <w:spacing w:line="360" w:lineRule="exact"/>
        <w:rPr>
          <w:rFonts w:hint="eastAsia" w:ascii="宋体" w:hAnsi="宋体" w:cs="宋体"/>
          <w:szCs w:val="21"/>
          <w:highlight w:val="none"/>
        </w:rPr>
      </w:pPr>
    </w:p>
    <w:p w14:paraId="2F5BC875">
      <w:pPr>
        <w:spacing w:line="360" w:lineRule="exact"/>
        <w:rPr>
          <w:rFonts w:hint="eastAsia" w:ascii="宋体" w:hAnsi="宋体" w:cs="宋体"/>
          <w:szCs w:val="21"/>
          <w:highlight w:val="none"/>
        </w:rPr>
      </w:pPr>
      <w:r>
        <w:rPr>
          <w:rFonts w:hint="eastAsia" w:ascii="宋体" w:hAnsi="宋体" w:cs="宋体"/>
          <w:szCs w:val="21"/>
          <w:highlight w:val="none"/>
        </w:rPr>
        <w:t>担 保 人：</w:t>
      </w:r>
      <w:r>
        <w:rPr>
          <w:rFonts w:hint="eastAsia" w:ascii="宋体" w:hAnsi="宋体" w:cs="宋体"/>
          <w:szCs w:val="21"/>
          <w:highlight w:val="none"/>
          <w:u w:val="single"/>
        </w:rPr>
        <w:t xml:space="preserve">                           </w:t>
      </w:r>
      <w:r>
        <w:rPr>
          <w:rFonts w:hint="eastAsia" w:ascii="宋体" w:hAnsi="宋体" w:cs="宋体"/>
          <w:szCs w:val="21"/>
          <w:highlight w:val="none"/>
        </w:rPr>
        <w:t>（盖</w:t>
      </w:r>
      <w:bookmarkStart w:id="1891" w:name="REVIEW_BM_2037"/>
      <w:r>
        <w:rPr>
          <w:rFonts w:hint="eastAsia" w:ascii="宋体" w:hAnsi="宋体" w:cs="宋体"/>
          <w:szCs w:val="21"/>
          <w:highlight w:val="none"/>
        </w:rPr>
        <w:t>单位章</w:t>
      </w:r>
      <w:bookmarkEnd w:id="1891"/>
      <w:r>
        <w:rPr>
          <w:rFonts w:hint="eastAsia" w:ascii="宋体" w:hAnsi="宋体" w:cs="宋体"/>
          <w:szCs w:val="21"/>
          <w:highlight w:val="none"/>
        </w:rPr>
        <w:t>）</w:t>
      </w:r>
    </w:p>
    <w:p w14:paraId="65D4BEB7">
      <w:pPr>
        <w:spacing w:line="360" w:lineRule="exact"/>
        <w:rPr>
          <w:rFonts w:hint="eastAsia"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szCs w:val="21"/>
          <w:highlight w:val="none"/>
        </w:rPr>
        <w:t>（签字）</w:t>
      </w:r>
    </w:p>
    <w:p w14:paraId="23CC22DF">
      <w:pPr>
        <w:spacing w:line="360" w:lineRule="exac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p>
    <w:p w14:paraId="22B2859B">
      <w:pPr>
        <w:spacing w:line="360" w:lineRule="exact"/>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u w:val="single"/>
        </w:rPr>
        <w:t xml:space="preserve">                                      </w:t>
      </w:r>
    </w:p>
    <w:p w14:paraId="1F0858C7">
      <w:pPr>
        <w:spacing w:line="360" w:lineRule="exact"/>
        <w:rPr>
          <w:rFonts w:hint="eastAsia" w:ascii="宋体" w:hAnsi="宋体" w:cs="宋体"/>
          <w:szCs w:val="21"/>
          <w:highlight w:val="none"/>
          <w:u w:val="single"/>
        </w:rPr>
      </w:pPr>
      <w:r>
        <w:rPr>
          <w:rFonts w:hint="eastAsia" w:ascii="宋体" w:hAnsi="宋体" w:cs="宋体"/>
          <w:szCs w:val="21"/>
          <w:highlight w:val="none"/>
        </w:rPr>
        <w:t>电    话：</w:t>
      </w:r>
      <w:r>
        <w:rPr>
          <w:rFonts w:hint="eastAsia" w:ascii="宋体" w:hAnsi="宋体" w:cs="宋体"/>
          <w:szCs w:val="21"/>
          <w:highlight w:val="none"/>
          <w:u w:val="single"/>
        </w:rPr>
        <w:t xml:space="preserve">                                      </w:t>
      </w:r>
    </w:p>
    <w:p w14:paraId="3366293C">
      <w:pPr>
        <w:spacing w:line="360" w:lineRule="exact"/>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p>
    <w:p w14:paraId="240C8E74">
      <w:pPr>
        <w:spacing w:line="360" w:lineRule="exact"/>
        <w:jc w:val="left"/>
        <w:rPr>
          <w:rFonts w:hint="eastAsia" w:ascii="宋体" w:hAnsi="宋体" w:cs="宋体"/>
          <w:szCs w:val="21"/>
          <w:highlight w:val="none"/>
          <w:u w:val="single"/>
        </w:rPr>
      </w:pPr>
    </w:p>
    <w:p w14:paraId="69803F7D">
      <w:pPr>
        <w:spacing w:line="360" w:lineRule="exact"/>
        <w:ind w:left="1329" w:hanging="1329"/>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5FA8799D">
      <w:pPr>
        <w:spacing w:line="360" w:lineRule="exact"/>
        <w:ind w:left="1329" w:hanging="1329"/>
        <w:rPr>
          <w:rFonts w:hint="eastAsia" w:ascii="宋体" w:hAnsi="宋体" w:cs="宋体"/>
          <w:szCs w:val="21"/>
          <w:highlight w:val="none"/>
        </w:rPr>
      </w:pPr>
    </w:p>
    <w:p w14:paraId="66FC1DBD">
      <w:pPr>
        <w:spacing w:line="360" w:lineRule="exact"/>
        <w:ind w:left="1329" w:hanging="1329"/>
        <w:rPr>
          <w:rFonts w:hint="eastAsia" w:ascii="宋体" w:hAnsi="宋体" w:cs="宋体"/>
          <w:szCs w:val="21"/>
          <w:highlight w:val="none"/>
        </w:rPr>
      </w:pPr>
    </w:p>
    <w:p w14:paraId="6E5CE899">
      <w:pPr>
        <w:spacing w:line="360" w:lineRule="exact"/>
        <w:ind w:left="1329" w:hanging="1329"/>
        <w:rPr>
          <w:rFonts w:hint="eastAsia" w:ascii="宋体" w:hAnsi="宋体" w:cs="宋体"/>
          <w:szCs w:val="21"/>
          <w:highlight w:val="none"/>
        </w:rPr>
      </w:pPr>
    </w:p>
    <w:p w14:paraId="64D93A0A">
      <w:pPr>
        <w:spacing w:line="360" w:lineRule="exact"/>
        <w:ind w:left="1329" w:hanging="1329"/>
        <w:rPr>
          <w:rFonts w:hint="eastAsia" w:ascii="宋体" w:hAnsi="宋体" w:cs="宋体"/>
          <w:szCs w:val="21"/>
          <w:highlight w:val="none"/>
        </w:rPr>
      </w:pPr>
    </w:p>
    <w:p w14:paraId="01704C8A">
      <w:pPr>
        <w:spacing w:line="360" w:lineRule="exact"/>
        <w:ind w:left="1329" w:hanging="1329"/>
        <w:rPr>
          <w:rFonts w:hint="eastAsia" w:ascii="宋体" w:hAnsi="宋体" w:cs="宋体"/>
          <w:szCs w:val="21"/>
          <w:highlight w:val="none"/>
        </w:rPr>
      </w:pPr>
    </w:p>
    <w:p w14:paraId="543DA1F1">
      <w:pPr>
        <w:spacing w:line="360" w:lineRule="exact"/>
        <w:ind w:left="1329" w:hanging="1329"/>
        <w:rPr>
          <w:rFonts w:hint="eastAsia" w:ascii="宋体" w:hAnsi="宋体" w:cs="宋体"/>
          <w:szCs w:val="21"/>
          <w:highlight w:val="none"/>
        </w:rPr>
      </w:pPr>
    </w:p>
    <w:p w14:paraId="44815434">
      <w:pPr>
        <w:spacing w:line="360" w:lineRule="exact"/>
        <w:ind w:left="1329" w:hanging="1329"/>
        <w:rPr>
          <w:rFonts w:hint="eastAsia" w:ascii="宋体" w:hAnsi="宋体" w:cs="宋体"/>
          <w:szCs w:val="21"/>
          <w:highlight w:val="none"/>
        </w:rPr>
      </w:pPr>
    </w:p>
    <w:p w14:paraId="3B13B85E">
      <w:pPr>
        <w:spacing w:line="360" w:lineRule="exact"/>
        <w:ind w:left="1329" w:hanging="1329"/>
        <w:rPr>
          <w:rFonts w:hint="eastAsia" w:ascii="宋体" w:hAnsi="宋体" w:cs="宋体"/>
          <w:szCs w:val="21"/>
          <w:highlight w:val="none"/>
        </w:rPr>
      </w:pPr>
    </w:p>
    <w:p w14:paraId="0AB496C2">
      <w:pPr>
        <w:spacing w:line="360" w:lineRule="exact"/>
        <w:ind w:left="1329" w:hanging="1329"/>
        <w:rPr>
          <w:rFonts w:hint="eastAsia" w:ascii="宋体" w:hAnsi="宋体" w:cs="宋体"/>
          <w:szCs w:val="21"/>
          <w:highlight w:val="none"/>
        </w:rPr>
      </w:pPr>
    </w:p>
    <w:p w14:paraId="21F4A168">
      <w:pPr>
        <w:spacing w:line="360" w:lineRule="exact"/>
        <w:ind w:left="1329" w:hanging="1329"/>
        <w:rPr>
          <w:rFonts w:hint="eastAsia" w:ascii="宋体" w:hAnsi="宋体" w:cs="宋体"/>
          <w:szCs w:val="21"/>
          <w:highlight w:val="none"/>
        </w:rPr>
      </w:pPr>
    </w:p>
    <w:p w14:paraId="1C6A606A">
      <w:pPr>
        <w:pStyle w:val="20"/>
        <w:rPr>
          <w:rFonts w:hint="eastAsia" w:ascii="宋体" w:hAnsi="宋体" w:cs="宋体"/>
          <w:sz w:val="21"/>
          <w:szCs w:val="21"/>
          <w:highlight w:val="none"/>
        </w:rPr>
      </w:pPr>
    </w:p>
    <w:p w14:paraId="5F50EC04">
      <w:pPr>
        <w:rPr>
          <w:rFonts w:hint="eastAsia" w:ascii="宋体" w:hAnsi="宋体" w:cs="宋体"/>
          <w:szCs w:val="21"/>
          <w:highlight w:val="none"/>
        </w:rPr>
      </w:pPr>
    </w:p>
    <w:p w14:paraId="11AEAA66">
      <w:pPr>
        <w:pStyle w:val="35"/>
        <w:rPr>
          <w:rFonts w:hint="eastAsia"/>
          <w:highlight w:val="none"/>
        </w:rPr>
      </w:pPr>
    </w:p>
    <w:p w14:paraId="306925DA">
      <w:pPr>
        <w:pStyle w:val="20"/>
        <w:rPr>
          <w:rFonts w:hint="eastAsia" w:ascii="宋体" w:hAnsi="宋体" w:cs="宋体"/>
          <w:sz w:val="21"/>
          <w:szCs w:val="21"/>
          <w:highlight w:val="none"/>
        </w:rPr>
      </w:pPr>
    </w:p>
    <w:p w14:paraId="1394862B">
      <w:pPr>
        <w:spacing w:line="360" w:lineRule="exact"/>
        <w:rPr>
          <w:rFonts w:hint="eastAsia" w:ascii="宋体" w:hAnsi="宋体" w:cs="宋体"/>
          <w:szCs w:val="21"/>
          <w:highlight w:val="none"/>
        </w:rPr>
      </w:pPr>
      <w:r>
        <w:rPr>
          <w:rFonts w:hint="eastAsia" w:ascii="宋体" w:hAnsi="宋体" w:cs="宋体"/>
          <w:szCs w:val="21"/>
          <w:highlight w:val="none"/>
        </w:rPr>
        <w:t>附</w:t>
      </w:r>
      <w:bookmarkStart w:id="1892" w:name="_Toc296891060"/>
      <w:bookmarkStart w:id="1893" w:name="_Toc296944571"/>
      <w:bookmarkStart w:id="1894" w:name="_Toc296347231"/>
      <w:bookmarkStart w:id="1895" w:name="_Toc267261702"/>
      <w:bookmarkStart w:id="1896" w:name="_Toc296503232"/>
      <w:bookmarkStart w:id="1897" w:name="_Toc296891272"/>
      <w:bookmarkStart w:id="1898" w:name="_Toc296346733"/>
      <w:r>
        <w:rPr>
          <w:rFonts w:hint="eastAsia" w:ascii="宋体" w:hAnsi="宋体" w:cs="宋体"/>
          <w:szCs w:val="21"/>
          <w:highlight w:val="none"/>
        </w:rPr>
        <w:t>件</w:t>
      </w:r>
      <w:r>
        <w:rPr>
          <w:rFonts w:hint="eastAsia" w:ascii="宋体" w:hAnsi="宋体" w:cs="宋体"/>
          <w:szCs w:val="21"/>
          <w:highlight w:val="none"/>
          <w:lang w:val="en-US" w:eastAsia="zh-CN"/>
        </w:rPr>
        <w:t>10</w:t>
      </w:r>
      <w:r>
        <w:rPr>
          <w:rFonts w:hint="eastAsia" w:ascii="宋体" w:hAnsi="宋体" w:cs="宋体"/>
          <w:szCs w:val="21"/>
          <w:highlight w:val="none"/>
        </w:rPr>
        <w:t xml:space="preserve"> ：</w:t>
      </w:r>
      <w:bookmarkEnd w:id="1892"/>
      <w:bookmarkEnd w:id="1893"/>
      <w:bookmarkEnd w:id="1894"/>
      <w:bookmarkEnd w:id="1895"/>
      <w:bookmarkEnd w:id="1896"/>
      <w:bookmarkEnd w:id="1897"/>
      <w:bookmarkEnd w:id="1898"/>
    </w:p>
    <w:p w14:paraId="15BF0B6C">
      <w:pPr>
        <w:spacing w:line="600" w:lineRule="auto"/>
        <w:jc w:val="center"/>
        <w:rPr>
          <w:rFonts w:hint="eastAsia" w:ascii="宋体" w:hAnsi="宋体" w:cs="宋体"/>
          <w:szCs w:val="21"/>
          <w:highlight w:val="none"/>
        </w:rPr>
      </w:pPr>
      <w:r>
        <w:rPr>
          <w:rFonts w:hint="eastAsia" w:ascii="宋体" w:hAnsi="宋体" w:cs="宋体"/>
          <w:szCs w:val="21"/>
          <w:highlight w:val="none"/>
        </w:rPr>
        <w:t>预付款担保</w:t>
      </w:r>
    </w:p>
    <w:p w14:paraId="14A522D4">
      <w:pPr>
        <w:spacing w:line="360" w:lineRule="exact"/>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rPr>
        <w:t xml:space="preserve"> （</w:t>
      </w:r>
      <w:bookmarkStart w:id="1899" w:name="REVIEW_BM_2038"/>
      <w:r>
        <w:rPr>
          <w:rFonts w:hint="eastAsia" w:ascii="宋体" w:hAnsi="宋体" w:cs="宋体"/>
          <w:szCs w:val="21"/>
          <w:highlight w:val="none"/>
        </w:rPr>
        <w:t>发包人</w:t>
      </w:r>
      <w:bookmarkEnd w:id="1899"/>
      <w:r>
        <w:rPr>
          <w:rFonts w:hint="eastAsia" w:ascii="宋体" w:hAnsi="宋体" w:cs="宋体"/>
          <w:szCs w:val="21"/>
          <w:highlight w:val="none"/>
        </w:rPr>
        <w:t>名称）：</w:t>
      </w:r>
    </w:p>
    <w:p w14:paraId="37F7C4B5">
      <w:pPr>
        <w:spacing w:line="360" w:lineRule="exact"/>
        <w:rPr>
          <w:rFonts w:hint="eastAsia" w:ascii="宋体" w:hAnsi="宋体" w:cs="宋体"/>
          <w:szCs w:val="21"/>
          <w:highlight w:val="none"/>
        </w:rPr>
      </w:pPr>
    </w:p>
    <w:p w14:paraId="2946B503">
      <w:pPr>
        <w:keepNext w:val="0"/>
        <w:keepLines w:val="0"/>
        <w:pageBreakBefore w:val="0"/>
        <w:widowControl w:val="0"/>
        <w:bidi w:val="0"/>
        <w:spacing w:line="360" w:lineRule="auto"/>
        <w:ind w:firstLine="420"/>
        <w:rPr>
          <w:rFonts w:hint="eastAsia" w:ascii="宋体" w:hAnsi="宋体" w:cs="宋体"/>
          <w:szCs w:val="21"/>
          <w:highlight w:val="none"/>
        </w:rPr>
      </w:pPr>
      <w:r>
        <w:rPr>
          <w:rFonts w:hint="eastAsia" w:ascii="宋体" w:hAnsi="宋体" w:cs="宋体"/>
          <w:szCs w:val="21"/>
          <w:highlight w:val="none"/>
        </w:rPr>
        <w:t>根据</w:t>
      </w:r>
      <w:r>
        <w:rPr>
          <w:rFonts w:hint="eastAsia" w:ascii="宋体" w:hAnsi="宋体" w:cs="宋体"/>
          <w:szCs w:val="21"/>
          <w:highlight w:val="none"/>
          <w:u w:val="single"/>
        </w:rPr>
        <w:t xml:space="preserve">                 </w:t>
      </w:r>
      <w:r>
        <w:rPr>
          <w:rFonts w:hint="eastAsia" w:ascii="宋体" w:hAnsi="宋体" w:cs="宋体"/>
          <w:szCs w:val="21"/>
          <w:highlight w:val="none"/>
        </w:rPr>
        <w:t>（</w:t>
      </w:r>
      <w:bookmarkStart w:id="1900" w:name="REVIEW_BM_2041"/>
      <w:r>
        <w:rPr>
          <w:rFonts w:hint="eastAsia" w:ascii="宋体" w:hAnsi="宋体" w:cs="宋体"/>
          <w:szCs w:val="21"/>
          <w:highlight w:val="none"/>
        </w:rPr>
        <w:t>承包人</w:t>
      </w:r>
      <w:bookmarkEnd w:id="1900"/>
      <w:r>
        <w:rPr>
          <w:rFonts w:hint="eastAsia" w:ascii="宋体" w:hAnsi="宋体" w:cs="宋体"/>
          <w:szCs w:val="21"/>
          <w:highlight w:val="none"/>
        </w:rPr>
        <w:t>名称）（以下称“</w:t>
      </w:r>
      <w:bookmarkStart w:id="1901" w:name="REVIEW_BM_2042"/>
      <w:r>
        <w:rPr>
          <w:rFonts w:hint="eastAsia" w:ascii="宋体" w:hAnsi="宋体" w:cs="宋体"/>
          <w:szCs w:val="21"/>
          <w:highlight w:val="none"/>
        </w:rPr>
        <w:t>承包人</w:t>
      </w:r>
      <w:bookmarkEnd w:id="1901"/>
      <w:r>
        <w:rPr>
          <w:rFonts w:hint="eastAsia" w:ascii="宋体" w:hAnsi="宋体" w:cs="宋体"/>
          <w:szCs w:val="21"/>
          <w:highlight w:val="none"/>
        </w:rPr>
        <w:t>”）与</w:t>
      </w:r>
      <w:r>
        <w:rPr>
          <w:rFonts w:hint="eastAsia" w:ascii="宋体" w:hAnsi="宋体" w:cs="宋体"/>
          <w:szCs w:val="21"/>
          <w:highlight w:val="none"/>
          <w:u w:val="single"/>
        </w:rPr>
        <w:t xml:space="preserve">                </w:t>
      </w:r>
      <w:bookmarkStart w:id="1902" w:name="_Toc23079"/>
      <w:bookmarkStart w:id="1903" w:name="_Toc19561"/>
      <w:bookmarkStart w:id="1904" w:name="_Toc29110"/>
      <w:bookmarkStart w:id="1905" w:name="_Toc31178"/>
      <w:r>
        <w:rPr>
          <w:rFonts w:hint="eastAsia" w:ascii="宋体" w:hAnsi="宋体" w:cs="宋体"/>
          <w:szCs w:val="21"/>
          <w:highlight w:val="none"/>
        </w:rPr>
        <w:t>（</w:t>
      </w:r>
      <w:bookmarkStart w:id="1906" w:name="REVIEW_BM_2039"/>
      <w:r>
        <w:rPr>
          <w:rFonts w:hint="eastAsia" w:ascii="宋体" w:hAnsi="宋体" w:cs="宋体"/>
          <w:szCs w:val="21"/>
          <w:highlight w:val="none"/>
        </w:rPr>
        <w:t>发包人</w:t>
      </w:r>
      <w:bookmarkEnd w:id="1906"/>
      <w:r>
        <w:rPr>
          <w:rFonts w:hint="eastAsia" w:ascii="宋体" w:hAnsi="宋体" w:cs="宋体"/>
          <w:szCs w:val="21"/>
          <w:highlight w:val="none"/>
        </w:rPr>
        <w:t>名称）（以下简称“</w:t>
      </w:r>
      <w:bookmarkStart w:id="1907" w:name="REVIEW_BM_2040"/>
      <w:r>
        <w:rPr>
          <w:rFonts w:hint="eastAsia" w:ascii="宋体" w:hAnsi="宋体" w:cs="宋体"/>
          <w:szCs w:val="21"/>
          <w:highlight w:val="none"/>
        </w:rPr>
        <w:t>发包人</w:t>
      </w:r>
      <w:bookmarkEnd w:id="1907"/>
      <w:r>
        <w:rPr>
          <w:rFonts w:hint="eastAsia" w:ascii="宋体" w:hAnsi="宋体" w:cs="宋体"/>
          <w:szCs w:val="21"/>
          <w:highlight w:val="none"/>
        </w:rPr>
        <w:t>”）</w:t>
      </w:r>
      <w:bookmarkEnd w:id="1902"/>
      <w:bookmarkEnd w:id="1903"/>
      <w:bookmarkEnd w:id="1904"/>
      <w:bookmarkEnd w:id="1905"/>
      <w:r>
        <w:rPr>
          <w:rFonts w:hint="eastAsia" w:ascii="宋体" w:hAnsi="宋体" w:cs="宋体"/>
          <w:szCs w:val="21"/>
          <w:highlight w:val="none"/>
        </w:rPr>
        <w:t>于</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日签订的</w:t>
      </w:r>
      <w:r>
        <w:rPr>
          <w:rFonts w:hint="eastAsia" w:ascii="宋体" w:hAnsi="宋体" w:cs="宋体"/>
          <w:szCs w:val="21"/>
          <w:highlight w:val="none"/>
          <w:u w:val="single"/>
        </w:rPr>
        <w:t xml:space="preserve">                   </w:t>
      </w:r>
      <w:r>
        <w:rPr>
          <w:rFonts w:hint="eastAsia" w:ascii="宋体" w:hAnsi="宋体" w:cs="宋体"/>
          <w:szCs w:val="21"/>
          <w:highlight w:val="none"/>
        </w:rPr>
        <w:t>（工程名称）《建设工程施工合同》，</w:t>
      </w:r>
      <w:bookmarkStart w:id="1908" w:name="REVIEW_BM_2043"/>
      <w:r>
        <w:rPr>
          <w:rFonts w:hint="eastAsia" w:ascii="宋体" w:hAnsi="宋体" w:cs="宋体"/>
          <w:szCs w:val="21"/>
          <w:highlight w:val="none"/>
        </w:rPr>
        <w:t>承包人</w:t>
      </w:r>
      <w:bookmarkEnd w:id="1908"/>
      <w:r>
        <w:rPr>
          <w:rFonts w:hint="eastAsia" w:ascii="宋体" w:hAnsi="宋体" w:cs="宋体"/>
          <w:szCs w:val="21"/>
          <w:highlight w:val="none"/>
        </w:rPr>
        <w:t>按约定的金额向你方提交一份预付款担保，即有权得到你方支付相等金额的预付款。</w:t>
      </w:r>
      <w:bookmarkStart w:id="1909" w:name="REVIEW_BM_2046"/>
      <w:r>
        <w:rPr>
          <w:rFonts w:hint="eastAsia" w:ascii="宋体" w:hAnsi="宋体" w:cs="宋体"/>
          <w:szCs w:val="21"/>
          <w:highlight w:val="none"/>
        </w:rPr>
        <w:t>我方</w:t>
      </w:r>
      <w:bookmarkEnd w:id="1909"/>
      <w:r>
        <w:rPr>
          <w:rFonts w:hint="eastAsia" w:ascii="宋体" w:hAnsi="宋体" w:cs="宋体"/>
          <w:szCs w:val="21"/>
          <w:highlight w:val="none"/>
        </w:rPr>
        <w:t>愿意就你方提供给</w:t>
      </w:r>
      <w:bookmarkStart w:id="1910" w:name="REVIEW_BM_2044"/>
      <w:r>
        <w:rPr>
          <w:rFonts w:hint="eastAsia" w:ascii="宋体" w:hAnsi="宋体" w:cs="宋体"/>
          <w:szCs w:val="21"/>
          <w:highlight w:val="none"/>
        </w:rPr>
        <w:t>承包人</w:t>
      </w:r>
      <w:bookmarkEnd w:id="1910"/>
      <w:r>
        <w:rPr>
          <w:rFonts w:hint="eastAsia" w:ascii="宋体" w:hAnsi="宋体" w:cs="宋体"/>
          <w:szCs w:val="21"/>
          <w:highlight w:val="none"/>
        </w:rPr>
        <w:t>的预付款为</w:t>
      </w:r>
      <w:bookmarkStart w:id="1911" w:name="REVIEW_BM_2045"/>
      <w:r>
        <w:rPr>
          <w:rFonts w:hint="eastAsia" w:ascii="宋体" w:hAnsi="宋体" w:cs="宋体"/>
          <w:szCs w:val="21"/>
          <w:highlight w:val="none"/>
        </w:rPr>
        <w:t>承包人</w:t>
      </w:r>
      <w:bookmarkEnd w:id="1911"/>
      <w:r>
        <w:rPr>
          <w:rFonts w:hint="eastAsia" w:ascii="宋体" w:hAnsi="宋体" w:cs="宋体"/>
          <w:szCs w:val="21"/>
          <w:highlight w:val="none"/>
        </w:rPr>
        <w:t>提供连带责任担保。</w:t>
      </w:r>
    </w:p>
    <w:p w14:paraId="450D1A6E">
      <w:pPr>
        <w:keepNext w:val="0"/>
        <w:keepLines w:val="0"/>
        <w:pageBreakBefore w:val="0"/>
        <w:widowControl w:val="0"/>
        <w:bidi w:val="0"/>
        <w:spacing w:line="360" w:lineRule="auto"/>
        <w:ind w:firstLine="420"/>
        <w:rPr>
          <w:rFonts w:hint="eastAsia" w:ascii="宋体" w:hAnsi="宋体" w:cs="宋体"/>
          <w:szCs w:val="21"/>
          <w:highlight w:val="none"/>
        </w:rPr>
      </w:pPr>
      <w:r>
        <w:rPr>
          <w:rFonts w:hint="eastAsia" w:ascii="宋体" w:hAnsi="宋体" w:cs="宋体"/>
          <w:szCs w:val="21"/>
          <w:highlight w:val="none"/>
        </w:rPr>
        <w:t>1. 担保金额人民币（大写）</w:t>
      </w:r>
      <w:r>
        <w:rPr>
          <w:rFonts w:hint="eastAsia" w:ascii="宋体" w:hAnsi="宋体" w:cs="宋体"/>
          <w:szCs w:val="21"/>
          <w:highlight w:val="none"/>
          <w:u w:val="single"/>
        </w:rPr>
        <w:t xml:space="preserve">                </w:t>
      </w:r>
      <w:r>
        <w:rPr>
          <w:rFonts w:hint="eastAsia" w:ascii="宋体" w:hAnsi="宋体" w:cs="宋体"/>
          <w:szCs w:val="21"/>
          <w:highlight w:val="none"/>
        </w:rPr>
        <w:t>元（¥</w:t>
      </w:r>
      <w:r>
        <w:rPr>
          <w:rFonts w:hint="eastAsia" w:ascii="宋体" w:hAnsi="宋体" w:cs="宋体"/>
          <w:szCs w:val="21"/>
          <w:highlight w:val="none"/>
          <w:u w:val="single"/>
        </w:rPr>
        <w:t xml:space="preserve">             </w:t>
      </w:r>
      <w:r>
        <w:rPr>
          <w:rFonts w:hint="eastAsia" w:ascii="宋体" w:hAnsi="宋体" w:cs="宋体"/>
          <w:szCs w:val="21"/>
          <w:highlight w:val="none"/>
        </w:rPr>
        <w:t>）。</w:t>
      </w:r>
    </w:p>
    <w:p w14:paraId="4B96C8C9">
      <w:pPr>
        <w:keepNext w:val="0"/>
        <w:keepLines w:val="0"/>
        <w:pageBreakBefore w:val="0"/>
        <w:widowControl w:val="0"/>
        <w:bidi w:val="0"/>
        <w:spacing w:line="360" w:lineRule="auto"/>
        <w:ind w:firstLine="420"/>
        <w:rPr>
          <w:rFonts w:hint="eastAsia" w:ascii="宋体" w:hAnsi="宋体" w:cs="宋体"/>
          <w:szCs w:val="21"/>
          <w:highlight w:val="none"/>
        </w:rPr>
      </w:pPr>
      <w:r>
        <w:rPr>
          <w:rFonts w:hint="eastAsia" w:ascii="宋体" w:hAnsi="宋体" w:cs="宋体"/>
          <w:szCs w:val="21"/>
          <w:highlight w:val="none"/>
        </w:rPr>
        <w:t>2. 担保有效期自预付款支付给</w:t>
      </w:r>
      <w:bookmarkStart w:id="1912" w:name="REVIEW_BM_2047"/>
      <w:r>
        <w:rPr>
          <w:rFonts w:hint="eastAsia" w:ascii="宋体" w:hAnsi="宋体" w:cs="宋体"/>
          <w:szCs w:val="21"/>
          <w:highlight w:val="none"/>
        </w:rPr>
        <w:t>承包人</w:t>
      </w:r>
      <w:bookmarkEnd w:id="1912"/>
      <w:r>
        <w:rPr>
          <w:rFonts w:hint="eastAsia" w:ascii="宋体" w:hAnsi="宋体" w:cs="宋体"/>
          <w:szCs w:val="21"/>
          <w:highlight w:val="none"/>
        </w:rPr>
        <w:t>起生效，至你方签发的进度款支付证书说明已完全扣清止。</w:t>
      </w:r>
    </w:p>
    <w:p w14:paraId="517C898D">
      <w:pPr>
        <w:keepNext w:val="0"/>
        <w:keepLines w:val="0"/>
        <w:pageBreakBefore w:val="0"/>
        <w:widowControl w:val="0"/>
        <w:bidi w:val="0"/>
        <w:spacing w:line="360" w:lineRule="auto"/>
        <w:ind w:firstLine="420"/>
        <w:rPr>
          <w:rFonts w:hint="eastAsia" w:ascii="宋体" w:hAnsi="宋体" w:cs="宋体"/>
          <w:szCs w:val="21"/>
          <w:highlight w:val="none"/>
        </w:rPr>
      </w:pPr>
      <w:r>
        <w:rPr>
          <w:rFonts w:hint="eastAsia" w:ascii="宋体" w:hAnsi="宋体" w:cs="宋体"/>
          <w:szCs w:val="21"/>
          <w:highlight w:val="none"/>
        </w:rPr>
        <w:t>3. 在本保函有效期内，因</w:t>
      </w:r>
      <w:bookmarkStart w:id="1913" w:name="REVIEW_BM_2049"/>
      <w:r>
        <w:rPr>
          <w:rFonts w:hint="eastAsia" w:ascii="宋体" w:hAnsi="宋体" w:cs="宋体"/>
          <w:szCs w:val="21"/>
          <w:highlight w:val="none"/>
        </w:rPr>
        <w:t>承包人</w:t>
      </w:r>
      <w:bookmarkEnd w:id="1913"/>
      <w:r>
        <w:rPr>
          <w:rFonts w:hint="eastAsia" w:ascii="宋体" w:hAnsi="宋体" w:cs="宋体"/>
          <w:szCs w:val="21"/>
          <w:highlight w:val="none"/>
        </w:rPr>
        <w:t>违反合同约定的义务而要求收回预付款时，我方在收到你方的书面通知后，在７天内无条件支付。但本保函的担保金额，在</w:t>
      </w:r>
      <w:bookmarkStart w:id="1914" w:name="REVIEW_BM_2048"/>
      <w:r>
        <w:rPr>
          <w:rFonts w:hint="eastAsia" w:ascii="宋体" w:hAnsi="宋体" w:cs="宋体"/>
          <w:szCs w:val="21"/>
          <w:highlight w:val="none"/>
        </w:rPr>
        <w:t>任何时候</w:t>
      </w:r>
      <w:bookmarkEnd w:id="1914"/>
      <w:r>
        <w:rPr>
          <w:rFonts w:hint="eastAsia" w:ascii="宋体" w:hAnsi="宋体" w:cs="宋体"/>
          <w:szCs w:val="21"/>
          <w:highlight w:val="none"/>
        </w:rPr>
        <w:t>不应超过预付款金额减去你方按合同约定在向</w:t>
      </w:r>
      <w:bookmarkStart w:id="1915" w:name="REVIEW_BM_2050"/>
      <w:r>
        <w:rPr>
          <w:rFonts w:hint="eastAsia" w:ascii="宋体" w:hAnsi="宋体" w:cs="宋体"/>
          <w:szCs w:val="21"/>
          <w:highlight w:val="none"/>
        </w:rPr>
        <w:t>承包人</w:t>
      </w:r>
      <w:bookmarkEnd w:id="1915"/>
      <w:r>
        <w:rPr>
          <w:rFonts w:hint="eastAsia" w:ascii="宋体" w:hAnsi="宋体" w:cs="宋体"/>
          <w:szCs w:val="21"/>
          <w:highlight w:val="none"/>
        </w:rPr>
        <w:t>签发的进度款支付证书中扣除的金额。</w:t>
      </w:r>
    </w:p>
    <w:p w14:paraId="29264289">
      <w:pPr>
        <w:keepNext w:val="0"/>
        <w:keepLines w:val="0"/>
        <w:pageBreakBefore w:val="0"/>
        <w:widowControl w:val="0"/>
        <w:bidi w:val="0"/>
        <w:spacing w:line="360" w:lineRule="auto"/>
        <w:ind w:firstLine="420"/>
        <w:rPr>
          <w:rFonts w:hint="eastAsia" w:ascii="宋体" w:hAnsi="宋体" w:cs="宋体"/>
          <w:szCs w:val="21"/>
          <w:highlight w:val="none"/>
        </w:rPr>
      </w:pPr>
      <w:r>
        <w:rPr>
          <w:rFonts w:hint="eastAsia" w:ascii="宋体" w:hAnsi="宋体" w:cs="宋体"/>
          <w:szCs w:val="21"/>
          <w:highlight w:val="none"/>
        </w:rPr>
        <w:t>4. 你方和</w:t>
      </w:r>
      <w:bookmarkStart w:id="1916" w:name="REVIEW_BM_2051"/>
      <w:r>
        <w:rPr>
          <w:rFonts w:hint="eastAsia" w:ascii="宋体" w:hAnsi="宋体" w:cs="宋体"/>
          <w:szCs w:val="21"/>
          <w:highlight w:val="none"/>
        </w:rPr>
        <w:t>承包人</w:t>
      </w:r>
      <w:bookmarkEnd w:id="1916"/>
      <w:r>
        <w:rPr>
          <w:rFonts w:hint="eastAsia" w:ascii="宋体" w:hAnsi="宋体" w:cs="宋体"/>
          <w:szCs w:val="21"/>
          <w:highlight w:val="none"/>
        </w:rPr>
        <w:t>按合同约定变更合同时，</w:t>
      </w:r>
      <w:bookmarkStart w:id="1917" w:name="REVIEW_BM_2052"/>
      <w:r>
        <w:rPr>
          <w:rFonts w:hint="eastAsia" w:ascii="宋体" w:hAnsi="宋体" w:cs="宋体"/>
          <w:szCs w:val="21"/>
          <w:highlight w:val="none"/>
        </w:rPr>
        <w:t>我方</w:t>
      </w:r>
      <w:bookmarkEnd w:id="1917"/>
      <w:r>
        <w:rPr>
          <w:rFonts w:hint="eastAsia" w:ascii="宋体" w:hAnsi="宋体" w:cs="宋体"/>
          <w:szCs w:val="21"/>
          <w:highlight w:val="none"/>
        </w:rPr>
        <w:t>承担本保函规定的义务不变。</w:t>
      </w:r>
    </w:p>
    <w:p w14:paraId="73E9DE62">
      <w:pPr>
        <w:keepNext w:val="0"/>
        <w:keepLines w:val="0"/>
        <w:pageBreakBefore w:val="0"/>
        <w:widowControl w:val="0"/>
        <w:bidi w:val="0"/>
        <w:spacing w:line="360" w:lineRule="auto"/>
        <w:ind w:firstLine="420"/>
        <w:jc w:val="left"/>
        <w:rPr>
          <w:rFonts w:hint="eastAsia" w:ascii="宋体" w:hAnsi="宋体" w:cs="宋体"/>
          <w:szCs w:val="21"/>
          <w:highlight w:val="none"/>
        </w:rPr>
      </w:pPr>
      <w:r>
        <w:rPr>
          <w:rFonts w:hint="eastAsia" w:ascii="宋体" w:hAnsi="宋体" w:cs="宋体"/>
          <w:szCs w:val="21"/>
          <w:highlight w:val="none"/>
        </w:rPr>
        <w:t>5. 因本保函发生的纠纷，可由双方协商解决，协商不成的，任何一方均可提请</w:t>
      </w:r>
      <w:r>
        <w:rPr>
          <w:rFonts w:hint="eastAsia" w:ascii="宋体" w:hAnsi="宋体" w:cs="宋体"/>
          <w:szCs w:val="21"/>
          <w:highlight w:val="none"/>
          <w:u w:val="single"/>
        </w:rPr>
        <w:t xml:space="preserve">        </w:t>
      </w:r>
      <w:r>
        <w:rPr>
          <w:rFonts w:hint="eastAsia" w:ascii="宋体" w:hAnsi="宋体" w:cs="宋体"/>
          <w:szCs w:val="21"/>
          <w:highlight w:val="none"/>
        </w:rPr>
        <w:t>仲裁委员会仲裁。</w:t>
      </w:r>
    </w:p>
    <w:p w14:paraId="689D5262">
      <w:pPr>
        <w:keepNext w:val="0"/>
        <w:keepLines w:val="0"/>
        <w:pageBreakBefore w:val="0"/>
        <w:widowControl w:val="0"/>
        <w:bidi w:val="0"/>
        <w:spacing w:line="360" w:lineRule="auto"/>
        <w:ind w:firstLine="420"/>
        <w:jc w:val="left"/>
        <w:rPr>
          <w:rFonts w:hint="eastAsia" w:ascii="宋体" w:hAnsi="宋体" w:cs="宋体"/>
          <w:szCs w:val="21"/>
          <w:highlight w:val="none"/>
        </w:rPr>
      </w:pPr>
      <w:r>
        <w:rPr>
          <w:rFonts w:hint="eastAsia" w:ascii="宋体" w:hAnsi="宋体" w:cs="宋体"/>
          <w:szCs w:val="21"/>
          <w:highlight w:val="none"/>
        </w:rPr>
        <w:t>6. 本保函自我方法定代表人（或其授权代理人）签字并加盖公章之日起生效。</w:t>
      </w:r>
    </w:p>
    <w:p w14:paraId="16FDAAEE">
      <w:pPr>
        <w:spacing w:line="360" w:lineRule="exact"/>
        <w:rPr>
          <w:rFonts w:hint="eastAsia" w:ascii="宋体" w:hAnsi="宋体" w:cs="宋体"/>
          <w:szCs w:val="21"/>
          <w:highlight w:val="none"/>
        </w:rPr>
      </w:pPr>
    </w:p>
    <w:p w14:paraId="3DA591E8">
      <w:pPr>
        <w:spacing w:line="360" w:lineRule="exact"/>
        <w:rPr>
          <w:rFonts w:hint="eastAsia" w:ascii="宋体" w:hAnsi="宋体" w:cs="宋体"/>
          <w:szCs w:val="21"/>
          <w:highlight w:val="none"/>
        </w:rPr>
      </w:pPr>
    </w:p>
    <w:p w14:paraId="2A84FEC7">
      <w:pPr>
        <w:spacing w:line="360" w:lineRule="exact"/>
        <w:rPr>
          <w:rFonts w:hint="eastAsia" w:ascii="宋体" w:hAnsi="宋体" w:cs="宋体"/>
          <w:szCs w:val="21"/>
          <w:highlight w:val="none"/>
        </w:rPr>
      </w:pPr>
      <w:r>
        <w:rPr>
          <w:rFonts w:hint="eastAsia" w:ascii="宋体" w:hAnsi="宋体" w:cs="宋体"/>
          <w:szCs w:val="21"/>
          <w:highlight w:val="none"/>
        </w:rPr>
        <w:t>担保人：</w:t>
      </w:r>
      <w:r>
        <w:rPr>
          <w:rFonts w:hint="eastAsia" w:ascii="宋体" w:hAnsi="宋体" w:cs="宋体"/>
          <w:szCs w:val="21"/>
          <w:highlight w:val="none"/>
          <w:u w:val="single"/>
        </w:rPr>
        <w:t xml:space="preserve">                          </w:t>
      </w:r>
      <w:r>
        <w:rPr>
          <w:rFonts w:hint="eastAsia" w:ascii="宋体" w:hAnsi="宋体" w:cs="宋体"/>
          <w:szCs w:val="21"/>
          <w:highlight w:val="none"/>
        </w:rPr>
        <w:t>（盖</w:t>
      </w:r>
      <w:bookmarkStart w:id="1918" w:name="REVIEW_BM_2053"/>
      <w:r>
        <w:rPr>
          <w:rFonts w:hint="eastAsia" w:ascii="宋体" w:hAnsi="宋体" w:cs="宋体"/>
          <w:szCs w:val="21"/>
          <w:highlight w:val="none"/>
        </w:rPr>
        <w:t>单位章</w:t>
      </w:r>
      <w:bookmarkEnd w:id="1918"/>
      <w:r>
        <w:rPr>
          <w:rFonts w:hint="eastAsia" w:ascii="宋体" w:hAnsi="宋体" w:cs="宋体"/>
          <w:szCs w:val="21"/>
          <w:highlight w:val="none"/>
        </w:rPr>
        <w:t>）</w:t>
      </w:r>
    </w:p>
    <w:p w14:paraId="7F5A74F3">
      <w:pPr>
        <w:spacing w:line="360" w:lineRule="exact"/>
        <w:rPr>
          <w:rFonts w:hint="eastAsia" w:ascii="宋体" w:hAnsi="宋体" w:cs="宋体"/>
          <w:szCs w:val="21"/>
          <w:highlight w:val="none"/>
        </w:rPr>
      </w:pPr>
      <w:r>
        <w:rPr>
          <w:rFonts w:hint="eastAsia" w:ascii="宋体" w:hAnsi="宋体" w:cs="宋体"/>
          <w:szCs w:val="21"/>
          <w:highlight w:val="none"/>
        </w:rPr>
        <w:t>法定代表人或其委托代理人：</w:t>
      </w:r>
      <w:r>
        <w:rPr>
          <w:rFonts w:hint="eastAsia" w:ascii="宋体" w:hAnsi="宋体" w:cs="宋体"/>
          <w:szCs w:val="21"/>
          <w:highlight w:val="none"/>
          <w:u w:val="single"/>
        </w:rPr>
        <w:t xml:space="preserve">            </w:t>
      </w:r>
      <w:r>
        <w:rPr>
          <w:rFonts w:hint="eastAsia" w:ascii="宋体" w:hAnsi="宋体" w:cs="宋体"/>
          <w:szCs w:val="21"/>
          <w:highlight w:val="none"/>
        </w:rPr>
        <w:t>（签字）</w:t>
      </w:r>
    </w:p>
    <w:p w14:paraId="25FA7C50">
      <w:pPr>
        <w:spacing w:line="360" w:lineRule="exac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p>
    <w:p w14:paraId="75A97DD2">
      <w:pPr>
        <w:spacing w:line="360" w:lineRule="exact"/>
        <w:rPr>
          <w:rFonts w:hint="eastAsia" w:ascii="宋体" w:hAnsi="宋体" w:cs="宋体"/>
          <w:szCs w:val="21"/>
          <w:highlight w:val="none"/>
          <w:u w:val="single"/>
        </w:rPr>
      </w:pPr>
      <w:r>
        <w:rPr>
          <w:rFonts w:hint="eastAsia" w:ascii="宋体" w:hAnsi="宋体" w:cs="宋体"/>
          <w:szCs w:val="21"/>
          <w:highlight w:val="none"/>
        </w:rPr>
        <w:t>邮政编码：</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p>
    <w:p w14:paraId="19EF410A">
      <w:pPr>
        <w:spacing w:line="360" w:lineRule="exact"/>
        <w:rPr>
          <w:rFonts w:hint="eastAsia" w:ascii="宋体" w:hAnsi="宋体" w:cs="宋体"/>
          <w:szCs w:val="21"/>
          <w:highlight w:val="none"/>
          <w:u w:val="single"/>
        </w:rPr>
      </w:pPr>
      <w:r>
        <w:rPr>
          <w:rFonts w:hint="eastAsia" w:ascii="宋体" w:hAnsi="宋体" w:cs="宋体"/>
          <w:szCs w:val="21"/>
          <w:highlight w:val="none"/>
        </w:rPr>
        <w:t>电    话：</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p>
    <w:p w14:paraId="5473E654">
      <w:pPr>
        <w:spacing w:line="360" w:lineRule="exact"/>
        <w:rPr>
          <w:rFonts w:hint="eastAsia" w:ascii="宋体" w:hAnsi="宋体" w:cs="宋体"/>
          <w:szCs w:val="21"/>
          <w:highlight w:val="none"/>
          <w:u w:val="single"/>
        </w:rPr>
      </w:pPr>
      <w:r>
        <w:rPr>
          <w:rFonts w:hint="eastAsia" w:ascii="宋体" w:hAnsi="宋体" w:cs="宋体"/>
          <w:szCs w:val="21"/>
          <w:highlight w:val="none"/>
        </w:rPr>
        <w:t>传    真：</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 xml:space="preserve">                   </w:t>
      </w:r>
      <w:r>
        <w:rPr>
          <w:rFonts w:hint="eastAsia" w:ascii="宋体" w:hAnsi="宋体" w:cs="宋体"/>
          <w:szCs w:val="21"/>
          <w:highlight w:val="none"/>
          <w:u w:val="single"/>
        </w:rPr>
        <w:tab/>
      </w:r>
      <w:r>
        <w:rPr>
          <w:rFonts w:hint="eastAsia" w:ascii="宋体" w:hAnsi="宋体" w:cs="宋体"/>
          <w:szCs w:val="21"/>
          <w:highlight w:val="none"/>
          <w:u w:val="single"/>
        </w:rPr>
        <w:tab/>
      </w:r>
      <w:r>
        <w:rPr>
          <w:rFonts w:hint="eastAsia" w:ascii="宋体" w:hAnsi="宋体" w:cs="宋体"/>
          <w:szCs w:val="21"/>
          <w:highlight w:val="none"/>
          <w:u w:val="single"/>
        </w:rPr>
        <w:tab/>
      </w:r>
    </w:p>
    <w:p w14:paraId="012D538B">
      <w:pPr>
        <w:spacing w:line="360" w:lineRule="exact"/>
        <w:rPr>
          <w:rFonts w:hint="eastAsia" w:ascii="宋体" w:hAnsi="宋体" w:cs="宋体"/>
          <w:szCs w:val="21"/>
          <w:highlight w:val="none"/>
        </w:rPr>
      </w:pPr>
      <w:r>
        <w:rPr>
          <w:rFonts w:hint="eastAsia" w:ascii="宋体" w:hAnsi="宋体" w:cs="宋体"/>
          <w:szCs w:val="21"/>
          <w:highlight w:val="none"/>
        </w:rPr>
        <w:t xml:space="preserve">  </w:t>
      </w:r>
    </w:p>
    <w:p w14:paraId="74C8DFA9">
      <w:pPr>
        <w:spacing w:line="360" w:lineRule="exact"/>
        <w:rPr>
          <w:rFonts w:hint="eastAsia" w:ascii="宋体" w:hAnsi="宋体" w:cs="宋体"/>
          <w:szCs w:val="21"/>
          <w:highlight w:val="none"/>
          <w:u w:val="single"/>
        </w:rPr>
      </w:pPr>
    </w:p>
    <w:p w14:paraId="51F73E1C">
      <w:pPr>
        <w:spacing w:line="360" w:lineRule="exact"/>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37CD07B9">
      <w:pPr>
        <w:spacing w:line="440" w:lineRule="exact"/>
        <w:rPr>
          <w:rFonts w:hint="eastAsia" w:ascii="宋体" w:hAnsi="宋体" w:cs="宋体"/>
          <w:szCs w:val="21"/>
          <w:highlight w:val="none"/>
        </w:rPr>
      </w:pPr>
      <w:r>
        <w:rPr>
          <w:rFonts w:eastAsia="仿宋_GB2312"/>
          <w:b/>
          <w:sz w:val="30"/>
          <w:szCs w:val="30"/>
          <w:highlight w:val="none"/>
        </w:rPr>
        <w:br w:type="page" w:clear="all"/>
      </w:r>
      <w:r>
        <w:rPr>
          <w:rFonts w:hint="eastAsia" w:ascii="宋体" w:hAnsi="宋体" w:cs="宋体"/>
          <w:szCs w:val="21"/>
          <w:highlight w:val="none"/>
        </w:rPr>
        <w:t>附件1</w:t>
      </w:r>
      <w:r>
        <w:rPr>
          <w:rFonts w:hint="eastAsia" w:ascii="宋体" w:hAnsi="宋体" w:cs="宋体"/>
          <w:szCs w:val="21"/>
          <w:highlight w:val="none"/>
          <w:lang w:val="en-US" w:eastAsia="zh-CN"/>
        </w:rPr>
        <w:t>1</w:t>
      </w:r>
      <w:r>
        <w:rPr>
          <w:rFonts w:hint="eastAsia" w:ascii="宋体" w:hAnsi="宋体" w:cs="宋体"/>
          <w:szCs w:val="21"/>
          <w:highlight w:val="none"/>
        </w:rPr>
        <w:t xml:space="preserve">:  </w:t>
      </w:r>
    </w:p>
    <w:p w14:paraId="296EFFFF">
      <w:pPr>
        <w:spacing w:line="440" w:lineRule="exact"/>
        <w:jc w:val="center"/>
        <w:rPr>
          <w:rFonts w:hint="eastAsia" w:ascii="宋体" w:hAnsi="宋体" w:cs="宋体"/>
          <w:szCs w:val="21"/>
          <w:highlight w:val="none"/>
        </w:rPr>
      </w:pPr>
      <w:r>
        <w:rPr>
          <w:rFonts w:hint="eastAsia" w:ascii="宋体" w:hAnsi="宋体" w:cs="宋体"/>
          <w:szCs w:val="21"/>
          <w:highlight w:val="none"/>
        </w:rPr>
        <w:t>支付担保</w:t>
      </w:r>
    </w:p>
    <w:p w14:paraId="39CE2947">
      <w:pPr>
        <w:spacing w:line="440" w:lineRule="exact"/>
        <w:jc w:val="left"/>
        <w:rPr>
          <w:rFonts w:hint="eastAsia" w:ascii="宋体" w:hAnsi="宋体" w:cs="宋体"/>
          <w:szCs w:val="21"/>
          <w:highlight w:val="none"/>
        </w:rPr>
      </w:pPr>
      <w:r>
        <w:rPr>
          <w:rFonts w:hint="eastAsia" w:ascii="宋体" w:hAnsi="宋体" w:cs="宋体"/>
          <w:szCs w:val="21"/>
          <w:highlight w:val="none"/>
          <w:u w:val="single"/>
        </w:rPr>
        <w:t xml:space="preserve">             </w:t>
      </w:r>
      <w:r>
        <w:rPr>
          <w:rFonts w:hint="eastAsia" w:ascii="宋体" w:hAnsi="宋体" w:cs="宋体"/>
          <w:szCs w:val="21"/>
          <w:highlight w:val="none"/>
        </w:rPr>
        <w:t>（</w:t>
      </w:r>
      <w:bookmarkStart w:id="1919" w:name="REVIEW_BM_2054"/>
      <w:r>
        <w:rPr>
          <w:rFonts w:hint="eastAsia" w:ascii="宋体" w:hAnsi="宋体" w:cs="宋体"/>
          <w:szCs w:val="21"/>
          <w:highlight w:val="none"/>
        </w:rPr>
        <w:t>承包人</w:t>
      </w:r>
      <w:bookmarkEnd w:id="1919"/>
      <w:r>
        <w:rPr>
          <w:rFonts w:hint="eastAsia" w:ascii="宋体" w:hAnsi="宋体" w:cs="宋体"/>
          <w:szCs w:val="21"/>
          <w:highlight w:val="none"/>
        </w:rPr>
        <w:t>）：</w:t>
      </w:r>
    </w:p>
    <w:p w14:paraId="02812426">
      <w:pPr>
        <w:spacing w:line="440" w:lineRule="exact"/>
        <w:jc w:val="left"/>
        <w:rPr>
          <w:rFonts w:hint="eastAsia" w:ascii="宋体" w:hAnsi="宋体" w:cs="宋体"/>
          <w:szCs w:val="21"/>
          <w:highlight w:val="none"/>
        </w:rPr>
      </w:pPr>
    </w:p>
    <w:p w14:paraId="72A4743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鉴于你方作为</w:t>
      </w:r>
      <w:bookmarkStart w:id="1920" w:name="REVIEW_BM_2059"/>
      <w:r>
        <w:rPr>
          <w:rFonts w:hint="eastAsia" w:ascii="宋体" w:hAnsi="宋体" w:cs="宋体"/>
          <w:szCs w:val="21"/>
          <w:highlight w:val="none"/>
        </w:rPr>
        <w:t>承包人</w:t>
      </w:r>
      <w:bookmarkEnd w:id="1920"/>
      <w:r>
        <w:rPr>
          <w:rFonts w:hint="eastAsia" w:ascii="宋体" w:hAnsi="宋体" w:cs="宋体"/>
          <w:szCs w:val="21"/>
          <w:highlight w:val="none"/>
        </w:rPr>
        <w:t>已经与</w:t>
      </w:r>
      <w:r>
        <w:rPr>
          <w:rFonts w:hint="eastAsia" w:ascii="宋体" w:hAnsi="宋体" w:cs="宋体"/>
          <w:szCs w:val="21"/>
          <w:highlight w:val="none"/>
          <w:u w:val="single"/>
        </w:rPr>
        <w:t xml:space="preserve">             </w:t>
      </w:r>
      <w:r>
        <w:rPr>
          <w:rFonts w:hint="eastAsia" w:ascii="宋体" w:hAnsi="宋体" w:cs="宋体"/>
          <w:szCs w:val="21"/>
          <w:highlight w:val="none"/>
        </w:rPr>
        <w:t>（</w:t>
      </w:r>
      <w:bookmarkStart w:id="1921" w:name="REVIEW_BM_2055"/>
      <w:r>
        <w:rPr>
          <w:rFonts w:hint="eastAsia" w:ascii="宋体" w:hAnsi="宋体" w:cs="宋体"/>
          <w:szCs w:val="21"/>
          <w:highlight w:val="none"/>
        </w:rPr>
        <w:t>发包人</w:t>
      </w:r>
      <w:bookmarkEnd w:id="1921"/>
      <w:r>
        <w:rPr>
          <w:rFonts w:hint="eastAsia" w:ascii="宋体" w:hAnsi="宋体" w:cs="宋体"/>
          <w:szCs w:val="21"/>
          <w:highlight w:val="none"/>
        </w:rPr>
        <w:t>名称）（以下称“</w:t>
      </w:r>
      <w:bookmarkStart w:id="1922" w:name="REVIEW_BM_2056"/>
      <w:r>
        <w:rPr>
          <w:rFonts w:hint="eastAsia" w:ascii="宋体" w:hAnsi="宋体" w:cs="宋体"/>
          <w:szCs w:val="21"/>
          <w:highlight w:val="none"/>
        </w:rPr>
        <w:t>发包人</w:t>
      </w:r>
      <w:bookmarkEnd w:id="1922"/>
      <w:r>
        <w:rPr>
          <w:rFonts w:hint="eastAsia" w:ascii="宋体" w:hAnsi="宋体" w:cs="宋体"/>
          <w:szCs w:val="21"/>
          <w:highlight w:val="none"/>
        </w:rPr>
        <w:t>”）于</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日签订了</w:t>
      </w:r>
      <w:r>
        <w:rPr>
          <w:rFonts w:hint="eastAsia" w:ascii="宋体" w:hAnsi="宋体" w:cs="宋体"/>
          <w:szCs w:val="21"/>
          <w:highlight w:val="none"/>
          <w:u w:val="single"/>
        </w:rPr>
        <w:t xml:space="preserve">             </w:t>
      </w:r>
      <w:r>
        <w:rPr>
          <w:rFonts w:hint="eastAsia" w:ascii="宋体" w:hAnsi="宋体" w:cs="宋体"/>
          <w:szCs w:val="21"/>
          <w:highlight w:val="none"/>
        </w:rPr>
        <w:t>（工程名称）《建设工程施工合同》（以下称“主合同”），应</w:t>
      </w:r>
      <w:bookmarkStart w:id="1923" w:name="REVIEW_BM_2057"/>
      <w:r>
        <w:rPr>
          <w:rFonts w:hint="eastAsia" w:ascii="宋体" w:hAnsi="宋体" w:cs="宋体"/>
          <w:szCs w:val="21"/>
          <w:highlight w:val="none"/>
        </w:rPr>
        <w:t>发包人</w:t>
      </w:r>
      <w:bookmarkEnd w:id="1923"/>
      <w:r>
        <w:rPr>
          <w:rFonts w:hint="eastAsia" w:ascii="宋体" w:hAnsi="宋体" w:cs="宋体"/>
          <w:szCs w:val="21"/>
          <w:highlight w:val="none"/>
        </w:rPr>
        <w:t>的申请，我方愿就</w:t>
      </w:r>
      <w:bookmarkStart w:id="1924" w:name="REVIEW_BM_2058"/>
      <w:r>
        <w:rPr>
          <w:rFonts w:hint="eastAsia" w:ascii="宋体" w:hAnsi="宋体" w:cs="宋体"/>
          <w:szCs w:val="21"/>
          <w:highlight w:val="none"/>
        </w:rPr>
        <w:t>发包人</w:t>
      </w:r>
      <w:bookmarkEnd w:id="1924"/>
      <w:r>
        <w:rPr>
          <w:rFonts w:hint="eastAsia" w:ascii="宋体" w:hAnsi="宋体" w:cs="宋体"/>
          <w:szCs w:val="21"/>
          <w:highlight w:val="none"/>
        </w:rPr>
        <w:t>履行主合同约定的工程款支付义务以保证的方式向你方提供如下担保：</w:t>
      </w:r>
    </w:p>
    <w:p w14:paraId="061BF2A6">
      <w:pPr>
        <w:bidi w:val="0"/>
        <w:spacing w:line="360" w:lineRule="auto"/>
        <w:ind w:firstLine="420"/>
        <w:rPr>
          <w:rFonts w:hint="eastAsia"/>
          <w:highlight w:val="none"/>
        </w:rPr>
      </w:pPr>
      <w:bookmarkStart w:id="1925" w:name="_Toc17401"/>
      <w:bookmarkStart w:id="1926" w:name="_Toc20380"/>
      <w:bookmarkStart w:id="1927" w:name="_Toc25964"/>
      <w:bookmarkStart w:id="1928" w:name="_Toc31131"/>
      <w:r>
        <w:rPr>
          <w:rFonts w:hint="eastAsia"/>
          <w:highlight w:val="none"/>
        </w:rPr>
        <w:t>一、保证的范围及保证金额</w:t>
      </w:r>
      <w:bookmarkEnd w:id="1925"/>
      <w:bookmarkEnd w:id="1926"/>
      <w:bookmarkEnd w:id="1927"/>
      <w:bookmarkEnd w:id="1928"/>
    </w:p>
    <w:p w14:paraId="3205C7B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1. </w:t>
      </w:r>
      <w:bookmarkStart w:id="1929" w:name="REVIEW_BM_2060"/>
      <w:r>
        <w:rPr>
          <w:rFonts w:hint="eastAsia" w:ascii="宋体" w:hAnsi="宋体" w:cs="宋体"/>
          <w:szCs w:val="21"/>
          <w:highlight w:val="none"/>
        </w:rPr>
        <w:t>我方</w:t>
      </w:r>
      <w:bookmarkEnd w:id="1929"/>
      <w:r>
        <w:rPr>
          <w:rFonts w:hint="eastAsia" w:ascii="宋体" w:hAnsi="宋体" w:cs="宋体"/>
          <w:szCs w:val="21"/>
          <w:highlight w:val="none"/>
        </w:rPr>
        <w:t>的保证范围是主合同约定的工程款。</w:t>
      </w:r>
    </w:p>
    <w:p w14:paraId="5070A89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 本保函所称主合同约定的工程款是指主合同约定的除工程</w:t>
      </w:r>
      <w:bookmarkStart w:id="1930" w:name="REVIEW_BM_2061"/>
      <w:r>
        <w:rPr>
          <w:rFonts w:hint="eastAsia" w:ascii="宋体" w:hAnsi="宋体" w:cs="宋体"/>
          <w:szCs w:val="21"/>
          <w:highlight w:val="none"/>
        </w:rPr>
        <w:t>质量保证金</w:t>
      </w:r>
      <w:bookmarkEnd w:id="1930"/>
      <w:r>
        <w:rPr>
          <w:rFonts w:hint="eastAsia" w:ascii="宋体" w:hAnsi="宋体" w:cs="宋体"/>
          <w:szCs w:val="21"/>
          <w:highlight w:val="none"/>
        </w:rPr>
        <w:t>以外的合同价款。</w:t>
      </w:r>
    </w:p>
    <w:p w14:paraId="2B4CAEE5">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3. </w:t>
      </w:r>
      <w:bookmarkStart w:id="1931" w:name="REVIEW_BM_2062"/>
      <w:r>
        <w:rPr>
          <w:rFonts w:hint="eastAsia" w:ascii="宋体" w:hAnsi="宋体" w:cs="宋体"/>
          <w:szCs w:val="21"/>
          <w:highlight w:val="none"/>
        </w:rPr>
        <w:t>我方</w:t>
      </w:r>
      <w:bookmarkEnd w:id="1931"/>
      <w:r>
        <w:rPr>
          <w:rFonts w:hint="eastAsia" w:ascii="宋体" w:hAnsi="宋体" w:cs="宋体"/>
          <w:szCs w:val="21"/>
          <w:highlight w:val="none"/>
        </w:rPr>
        <w:t>保证的金额是主合同约定的工程款的</w:t>
      </w:r>
      <w:r>
        <w:rPr>
          <w:rFonts w:hint="eastAsia" w:ascii="宋体" w:hAnsi="宋体" w:cs="宋体"/>
          <w:szCs w:val="21"/>
          <w:highlight w:val="none"/>
          <w:u w:val="single"/>
        </w:rPr>
        <w:t xml:space="preserve">      </w:t>
      </w:r>
      <w:r>
        <w:rPr>
          <w:rFonts w:hint="eastAsia" w:ascii="宋体" w:hAnsi="宋体" w:cs="宋体"/>
          <w:szCs w:val="21"/>
          <w:highlight w:val="none"/>
        </w:rPr>
        <w:t>%，数额最高不超过人民币元（大写：</w:t>
      </w:r>
      <w:r>
        <w:rPr>
          <w:rFonts w:hint="eastAsia" w:ascii="宋体" w:hAnsi="宋体" w:cs="宋体"/>
          <w:szCs w:val="21"/>
          <w:highlight w:val="none"/>
          <w:u w:val="single"/>
        </w:rPr>
        <w:t xml:space="preserve">        </w:t>
      </w:r>
      <w:r>
        <w:rPr>
          <w:rFonts w:hint="eastAsia" w:ascii="宋体" w:hAnsi="宋体" w:cs="宋体"/>
          <w:szCs w:val="21"/>
          <w:highlight w:val="none"/>
        </w:rPr>
        <w:t>）。</w:t>
      </w:r>
    </w:p>
    <w:p w14:paraId="747B001B">
      <w:pPr>
        <w:bidi w:val="0"/>
        <w:spacing w:line="360" w:lineRule="auto"/>
        <w:ind w:firstLine="420"/>
        <w:rPr>
          <w:rFonts w:hint="eastAsia"/>
          <w:highlight w:val="none"/>
        </w:rPr>
      </w:pPr>
      <w:bookmarkStart w:id="1932" w:name="_Toc10162"/>
      <w:bookmarkStart w:id="1933" w:name="_Toc31793"/>
      <w:bookmarkStart w:id="1934" w:name="_Toc23880"/>
      <w:bookmarkStart w:id="1935" w:name="_Toc16286"/>
      <w:r>
        <w:rPr>
          <w:rFonts w:hint="eastAsia"/>
          <w:highlight w:val="none"/>
        </w:rPr>
        <w:t>二、保证的方式及保证期间</w:t>
      </w:r>
      <w:bookmarkEnd w:id="1932"/>
      <w:bookmarkEnd w:id="1933"/>
      <w:bookmarkEnd w:id="1934"/>
      <w:bookmarkEnd w:id="1935"/>
    </w:p>
    <w:p w14:paraId="54B8691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1. </w:t>
      </w:r>
      <w:bookmarkStart w:id="1936" w:name="REVIEW_BM_2063"/>
      <w:r>
        <w:rPr>
          <w:rFonts w:hint="eastAsia" w:ascii="宋体" w:hAnsi="宋体" w:cs="宋体"/>
          <w:szCs w:val="21"/>
          <w:highlight w:val="none"/>
        </w:rPr>
        <w:t>我方</w:t>
      </w:r>
      <w:bookmarkEnd w:id="1936"/>
      <w:r>
        <w:rPr>
          <w:rFonts w:hint="eastAsia" w:ascii="宋体" w:hAnsi="宋体" w:cs="宋体"/>
          <w:szCs w:val="21"/>
          <w:highlight w:val="none"/>
        </w:rPr>
        <w:t>保证的方式为：连带责任保证。</w:t>
      </w:r>
    </w:p>
    <w:p w14:paraId="7F27FFE0">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2. </w:t>
      </w:r>
      <w:bookmarkStart w:id="1937" w:name="REVIEW_BM_2064"/>
      <w:r>
        <w:rPr>
          <w:rFonts w:hint="eastAsia" w:ascii="宋体" w:hAnsi="宋体" w:cs="宋体"/>
          <w:szCs w:val="21"/>
          <w:highlight w:val="none"/>
        </w:rPr>
        <w:t>我方</w:t>
      </w:r>
      <w:bookmarkEnd w:id="1937"/>
      <w:r>
        <w:rPr>
          <w:rFonts w:hint="eastAsia" w:ascii="宋体" w:hAnsi="宋体" w:cs="宋体"/>
          <w:szCs w:val="21"/>
          <w:highlight w:val="none"/>
        </w:rPr>
        <w:t>保证的期间为：自本合同生效之日起至主合同约定的工程款支付完毕之日后</w:t>
      </w:r>
      <w:r>
        <w:rPr>
          <w:rFonts w:hint="eastAsia" w:ascii="宋体" w:hAnsi="宋体" w:cs="宋体"/>
          <w:szCs w:val="21"/>
          <w:highlight w:val="none"/>
          <w:u w:val="single"/>
        </w:rPr>
        <w:t xml:space="preserve">    </w:t>
      </w:r>
      <w:r>
        <w:rPr>
          <w:rFonts w:hint="eastAsia" w:ascii="宋体" w:hAnsi="宋体" w:cs="宋体"/>
          <w:szCs w:val="21"/>
          <w:highlight w:val="none"/>
        </w:rPr>
        <w:t>日内。</w:t>
      </w:r>
    </w:p>
    <w:p w14:paraId="6CEC1C8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 你方与</w:t>
      </w:r>
      <w:bookmarkStart w:id="1938" w:name="REVIEW_BM_2065"/>
      <w:r>
        <w:rPr>
          <w:rFonts w:hint="eastAsia" w:ascii="宋体" w:hAnsi="宋体" w:cs="宋体"/>
          <w:szCs w:val="21"/>
          <w:highlight w:val="none"/>
        </w:rPr>
        <w:t>发包人</w:t>
      </w:r>
      <w:bookmarkEnd w:id="1938"/>
      <w:r>
        <w:rPr>
          <w:rFonts w:hint="eastAsia" w:ascii="宋体" w:hAnsi="宋体" w:cs="宋体"/>
          <w:szCs w:val="21"/>
          <w:highlight w:val="none"/>
        </w:rPr>
        <w:t>协议变更工程款支付日期的，经</w:t>
      </w:r>
      <w:bookmarkStart w:id="1939" w:name="REVIEW_BM_2066"/>
      <w:r>
        <w:rPr>
          <w:rFonts w:hint="eastAsia" w:ascii="宋体" w:hAnsi="宋体" w:cs="宋体"/>
          <w:szCs w:val="21"/>
          <w:highlight w:val="none"/>
        </w:rPr>
        <w:t>我方</w:t>
      </w:r>
      <w:bookmarkEnd w:id="1939"/>
      <w:r>
        <w:rPr>
          <w:rFonts w:hint="eastAsia" w:ascii="宋体" w:hAnsi="宋体" w:cs="宋体"/>
          <w:szCs w:val="21"/>
          <w:highlight w:val="none"/>
        </w:rPr>
        <w:t>书面同意后，保证期间按照变更后的支付日期做相应调整。</w:t>
      </w:r>
    </w:p>
    <w:p w14:paraId="61B0B0A6">
      <w:pPr>
        <w:bidi w:val="0"/>
        <w:spacing w:line="360" w:lineRule="auto"/>
        <w:ind w:firstLine="420"/>
        <w:rPr>
          <w:rFonts w:hint="eastAsia"/>
          <w:highlight w:val="none"/>
        </w:rPr>
      </w:pPr>
      <w:bookmarkStart w:id="1940" w:name="_Toc30478"/>
      <w:bookmarkStart w:id="1941" w:name="_Toc23348"/>
      <w:bookmarkStart w:id="1942" w:name="_Toc3217"/>
      <w:bookmarkStart w:id="1943" w:name="_Toc30010"/>
      <w:r>
        <w:rPr>
          <w:rFonts w:hint="eastAsia"/>
          <w:highlight w:val="none"/>
        </w:rPr>
        <w:t>三、承担保证责任的形式</w:t>
      </w:r>
      <w:bookmarkEnd w:id="1940"/>
      <w:bookmarkEnd w:id="1941"/>
      <w:bookmarkEnd w:id="1942"/>
      <w:bookmarkEnd w:id="1943"/>
    </w:p>
    <w:p w14:paraId="21B7BCA7">
      <w:pPr>
        <w:spacing w:line="360" w:lineRule="auto"/>
        <w:ind w:firstLine="420"/>
        <w:jc w:val="left"/>
        <w:rPr>
          <w:rFonts w:hint="eastAsia" w:ascii="宋体" w:hAnsi="宋体" w:cs="宋体"/>
          <w:szCs w:val="21"/>
          <w:highlight w:val="none"/>
        </w:rPr>
      </w:pPr>
      <w:bookmarkStart w:id="1944" w:name="REVIEW_BM_2068"/>
      <w:r>
        <w:rPr>
          <w:rFonts w:hint="eastAsia" w:ascii="宋体" w:hAnsi="宋体" w:cs="宋体"/>
          <w:szCs w:val="21"/>
          <w:highlight w:val="none"/>
        </w:rPr>
        <w:t>我方</w:t>
      </w:r>
      <w:bookmarkEnd w:id="1944"/>
      <w:r>
        <w:rPr>
          <w:rFonts w:hint="eastAsia" w:ascii="宋体" w:hAnsi="宋体" w:cs="宋体"/>
          <w:szCs w:val="21"/>
          <w:highlight w:val="none"/>
        </w:rPr>
        <w:t>承担保证责任的形式是代为支付。</w:t>
      </w:r>
      <w:bookmarkStart w:id="1945" w:name="REVIEW_BM_2067"/>
      <w:r>
        <w:rPr>
          <w:rFonts w:hint="eastAsia" w:ascii="宋体" w:hAnsi="宋体" w:cs="宋体"/>
          <w:szCs w:val="21"/>
          <w:highlight w:val="none"/>
        </w:rPr>
        <w:t>发包人</w:t>
      </w:r>
      <w:bookmarkEnd w:id="1945"/>
      <w:r>
        <w:rPr>
          <w:rFonts w:hint="eastAsia" w:ascii="宋体" w:hAnsi="宋体" w:cs="宋体"/>
          <w:szCs w:val="21"/>
          <w:highlight w:val="none"/>
        </w:rPr>
        <w:t>未按主合同约定向你方支付工程款的，由</w:t>
      </w:r>
      <w:bookmarkStart w:id="1946" w:name="REVIEW_BM_2069"/>
      <w:r>
        <w:rPr>
          <w:rFonts w:hint="eastAsia" w:ascii="宋体" w:hAnsi="宋体" w:cs="宋体"/>
          <w:szCs w:val="21"/>
          <w:highlight w:val="none"/>
        </w:rPr>
        <w:t>我方</w:t>
      </w:r>
      <w:bookmarkEnd w:id="1946"/>
      <w:r>
        <w:rPr>
          <w:rFonts w:hint="eastAsia" w:ascii="宋体" w:hAnsi="宋体" w:cs="宋体"/>
          <w:szCs w:val="21"/>
          <w:highlight w:val="none"/>
        </w:rPr>
        <w:t>在保证金额内代为支付。</w:t>
      </w:r>
    </w:p>
    <w:p w14:paraId="4B6DB6A9">
      <w:pPr>
        <w:bidi w:val="0"/>
        <w:spacing w:line="360" w:lineRule="auto"/>
        <w:ind w:firstLine="420"/>
        <w:rPr>
          <w:rFonts w:hint="eastAsia"/>
          <w:highlight w:val="none"/>
        </w:rPr>
      </w:pPr>
      <w:bookmarkStart w:id="1947" w:name="_Toc4883"/>
      <w:bookmarkStart w:id="1948" w:name="_Toc19016"/>
      <w:bookmarkStart w:id="1949" w:name="_Toc11312"/>
      <w:bookmarkStart w:id="1950" w:name="_Toc12186"/>
      <w:r>
        <w:rPr>
          <w:rFonts w:hint="eastAsia"/>
          <w:highlight w:val="none"/>
        </w:rPr>
        <w:t>四、代偿的安排</w:t>
      </w:r>
      <w:bookmarkEnd w:id="1947"/>
      <w:bookmarkEnd w:id="1948"/>
      <w:bookmarkEnd w:id="1949"/>
      <w:bookmarkEnd w:id="1950"/>
    </w:p>
    <w:p w14:paraId="1D1675C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 你方要求</w:t>
      </w:r>
      <w:bookmarkStart w:id="1951" w:name="REVIEW_BM_2071"/>
      <w:r>
        <w:rPr>
          <w:rFonts w:hint="eastAsia" w:ascii="宋体" w:hAnsi="宋体" w:cs="宋体"/>
          <w:szCs w:val="21"/>
          <w:highlight w:val="none"/>
        </w:rPr>
        <w:t>我方</w:t>
      </w:r>
      <w:bookmarkEnd w:id="1951"/>
      <w:r>
        <w:rPr>
          <w:rFonts w:hint="eastAsia" w:ascii="宋体" w:hAnsi="宋体" w:cs="宋体"/>
          <w:szCs w:val="21"/>
          <w:highlight w:val="none"/>
        </w:rPr>
        <w:t>承担保证责任的，应向</w:t>
      </w:r>
      <w:bookmarkStart w:id="1952" w:name="REVIEW_BM_2072"/>
      <w:r>
        <w:rPr>
          <w:rFonts w:hint="eastAsia" w:ascii="宋体" w:hAnsi="宋体" w:cs="宋体"/>
          <w:szCs w:val="21"/>
          <w:highlight w:val="none"/>
        </w:rPr>
        <w:t>我方</w:t>
      </w:r>
      <w:bookmarkEnd w:id="1952"/>
      <w:r>
        <w:rPr>
          <w:rFonts w:hint="eastAsia" w:ascii="宋体" w:hAnsi="宋体" w:cs="宋体"/>
          <w:szCs w:val="21"/>
          <w:highlight w:val="none"/>
        </w:rPr>
        <w:t>发出书面索赔通知及</w:t>
      </w:r>
      <w:bookmarkStart w:id="1953" w:name="REVIEW_BM_2070"/>
      <w:r>
        <w:rPr>
          <w:rFonts w:hint="eastAsia" w:ascii="宋体" w:hAnsi="宋体" w:cs="宋体"/>
          <w:szCs w:val="21"/>
          <w:highlight w:val="none"/>
        </w:rPr>
        <w:t>发包人</w:t>
      </w:r>
      <w:bookmarkEnd w:id="1953"/>
      <w:r>
        <w:rPr>
          <w:rFonts w:hint="eastAsia" w:ascii="宋体" w:hAnsi="宋体" w:cs="宋体"/>
          <w:szCs w:val="21"/>
          <w:highlight w:val="none"/>
        </w:rPr>
        <w:t>未支付主合同约定工程款的证明材料。索赔通知应写明要求索赔的金额，支付款项应到达的账号。</w:t>
      </w:r>
    </w:p>
    <w:p w14:paraId="7034722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 在出现你方与</w:t>
      </w:r>
      <w:bookmarkStart w:id="1954" w:name="REVIEW_BM_2073"/>
      <w:r>
        <w:rPr>
          <w:rFonts w:hint="eastAsia" w:ascii="宋体" w:hAnsi="宋体" w:cs="宋体"/>
          <w:szCs w:val="21"/>
          <w:highlight w:val="none"/>
        </w:rPr>
        <w:t>发包人</w:t>
      </w:r>
      <w:bookmarkEnd w:id="1954"/>
      <w:r>
        <w:rPr>
          <w:rFonts w:hint="eastAsia" w:ascii="宋体" w:hAnsi="宋体" w:cs="宋体"/>
          <w:szCs w:val="21"/>
          <w:highlight w:val="none"/>
        </w:rPr>
        <w:t>因工程质量发生争议，</w:t>
      </w:r>
      <w:bookmarkStart w:id="1955" w:name="REVIEW_BM_2074"/>
      <w:r>
        <w:rPr>
          <w:rFonts w:hint="eastAsia" w:ascii="宋体" w:hAnsi="宋体" w:cs="宋体"/>
          <w:szCs w:val="21"/>
          <w:highlight w:val="none"/>
        </w:rPr>
        <w:t>发包人</w:t>
      </w:r>
      <w:bookmarkEnd w:id="1955"/>
      <w:r>
        <w:rPr>
          <w:rFonts w:hint="eastAsia" w:ascii="宋体" w:hAnsi="宋体" w:cs="宋体"/>
          <w:szCs w:val="21"/>
          <w:highlight w:val="none"/>
        </w:rPr>
        <w:t>拒绝向你方支付工程款的情形时，你方要求</w:t>
      </w:r>
      <w:bookmarkStart w:id="1956" w:name="REVIEW_BM_2075"/>
      <w:r>
        <w:rPr>
          <w:rFonts w:hint="eastAsia" w:ascii="宋体" w:hAnsi="宋体" w:cs="宋体"/>
          <w:szCs w:val="21"/>
          <w:highlight w:val="none"/>
        </w:rPr>
        <w:t>我方</w:t>
      </w:r>
      <w:bookmarkEnd w:id="1956"/>
      <w:r>
        <w:rPr>
          <w:rFonts w:hint="eastAsia" w:ascii="宋体" w:hAnsi="宋体" w:cs="宋体"/>
          <w:szCs w:val="21"/>
          <w:highlight w:val="none"/>
        </w:rPr>
        <w:t>履行保证责任代为支付的，需提供符合相应条件要求的工程质量检测机构出具的质量说明材料。</w:t>
      </w:r>
    </w:p>
    <w:p w14:paraId="1BAA7E5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3. </w:t>
      </w:r>
      <w:bookmarkStart w:id="1957" w:name="REVIEW_BM_2076"/>
      <w:r>
        <w:rPr>
          <w:rFonts w:hint="eastAsia" w:ascii="宋体" w:hAnsi="宋体" w:cs="宋体"/>
          <w:szCs w:val="21"/>
          <w:highlight w:val="none"/>
        </w:rPr>
        <w:t>我方</w:t>
      </w:r>
      <w:bookmarkEnd w:id="1957"/>
      <w:r>
        <w:rPr>
          <w:rFonts w:hint="eastAsia" w:ascii="宋体" w:hAnsi="宋体" w:cs="宋体"/>
          <w:szCs w:val="21"/>
          <w:highlight w:val="none"/>
        </w:rPr>
        <w:t>收到你方的书面索赔通知及相应的证明材料后７天内无条件支付。</w:t>
      </w:r>
    </w:p>
    <w:p w14:paraId="2599C932">
      <w:pPr>
        <w:bidi w:val="0"/>
        <w:spacing w:line="360" w:lineRule="auto"/>
        <w:ind w:firstLine="420"/>
        <w:rPr>
          <w:rFonts w:hint="eastAsia"/>
          <w:highlight w:val="none"/>
        </w:rPr>
      </w:pPr>
      <w:bookmarkStart w:id="1958" w:name="_Toc1241"/>
      <w:bookmarkStart w:id="1959" w:name="_Toc30624"/>
      <w:bookmarkStart w:id="1960" w:name="_Toc1507"/>
      <w:bookmarkStart w:id="1961" w:name="_Toc25107"/>
      <w:r>
        <w:rPr>
          <w:rFonts w:hint="eastAsia"/>
          <w:highlight w:val="none"/>
        </w:rPr>
        <w:t>五、保证责任的解除</w:t>
      </w:r>
      <w:bookmarkEnd w:id="1958"/>
      <w:bookmarkEnd w:id="1959"/>
      <w:bookmarkEnd w:id="1960"/>
      <w:bookmarkEnd w:id="1961"/>
    </w:p>
    <w:p w14:paraId="006D5C76">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 在本保函承诺的保证期间内，你方未书面向</w:t>
      </w:r>
      <w:bookmarkStart w:id="1962" w:name="REVIEW_BM_2077"/>
      <w:r>
        <w:rPr>
          <w:rFonts w:hint="eastAsia" w:ascii="宋体" w:hAnsi="宋体" w:cs="宋体"/>
          <w:szCs w:val="21"/>
          <w:highlight w:val="none"/>
        </w:rPr>
        <w:t>我方</w:t>
      </w:r>
      <w:bookmarkEnd w:id="1962"/>
      <w:r>
        <w:rPr>
          <w:rFonts w:hint="eastAsia" w:ascii="宋体" w:hAnsi="宋体" w:cs="宋体"/>
          <w:szCs w:val="21"/>
          <w:highlight w:val="none"/>
        </w:rPr>
        <w:t>主张保证责任的，自保证期间届满次日起，</w:t>
      </w:r>
      <w:bookmarkStart w:id="1963" w:name="REVIEW_BM_2078"/>
      <w:r>
        <w:rPr>
          <w:rFonts w:hint="eastAsia" w:ascii="宋体" w:hAnsi="宋体" w:cs="宋体"/>
          <w:szCs w:val="21"/>
          <w:highlight w:val="none"/>
        </w:rPr>
        <w:t>我方</w:t>
      </w:r>
      <w:bookmarkEnd w:id="1963"/>
      <w:r>
        <w:rPr>
          <w:rFonts w:hint="eastAsia" w:ascii="宋体" w:hAnsi="宋体" w:cs="宋体"/>
          <w:szCs w:val="21"/>
          <w:highlight w:val="none"/>
        </w:rPr>
        <w:t>保证责任解除。</w:t>
      </w:r>
    </w:p>
    <w:p w14:paraId="59B91E53">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2. </w:t>
      </w:r>
      <w:bookmarkStart w:id="1964" w:name="REVIEW_BM_2079"/>
      <w:r>
        <w:rPr>
          <w:rFonts w:hint="eastAsia" w:ascii="宋体" w:hAnsi="宋体" w:cs="宋体"/>
          <w:szCs w:val="21"/>
          <w:highlight w:val="none"/>
        </w:rPr>
        <w:t>发包人</w:t>
      </w:r>
      <w:bookmarkEnd w:id="1964"/>
      <w:r>
        <w:rPr>
          <w:rFonts w:hint="eastAsia" w:ascii="宋体" w:hAnsi="宋体" w:cs="宋体"/>
          <w:szCs w:val="21"/>
          <w:highlight w:val="none"/>
        </w:rPr>
        <w:t>按主合同约定履行了工程款的全部支付义务的，自本保函承诺的保证期间届满次日起，</w:t>
      </w:r>
      <w:bookmarkStart w:id="1965" w:name="REVIEW_BM_2080"/>
      <w:r>
        <w:rPr>
          <w:rFonts w:hint="eastAsia" w:ascii="宋体" w:hAnsi="宋体" w:cs="宋体"/>
          <w:szCs w:val="21"/>
          <w:highlight w:val="none"/>
        </w:rPr>
        <w:t>我方</w:t>
      </w:r>
      <w:bookmarkEnd w:id="1965"/>
      <w:r>
        <w:rPr>
          <w:rFonts w:hint="eastAsia" w:ascii="宋体" w:hAnsi="宋体" w:cs="宋体"/>
          <w:szCs w:val="21"/>
          <w:highlight w:val="none"/>
        </w:rPr>
        <w:t>保证责任解除。</w:t>
      </w:r>
    </w:p>
    <w:p w14:paraId="7F1295E4">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3. </w:t>
      </w:r>
      <w:bookmarkStart w:id="1966" w:name="REVIEW_BM_2081"/>
      <w:r>
        <w:rPr>
          <w:rFonts w:hint="eastAsia" w:ascii="宋体" w:hAnsi="宋体" w:cs="宋体"/>
          <w:szCs w:val="21"/>
          <w:highlight w:val="none"/>
        </w:rPr>
        <w:t>我方</w:t>
      </w:r>
      <w:bookmarkEnd w:id="1966"/>
      <w:r>
        <w:rPr>
          <w:rFonts w:hint="eastAsia" w:ascii="宋体" w:hAnsi="宋体" w:cs="宋体"/>
          <w:szCs w:val="21"/>
          <w:highlight w:val="none"/>
        </w:rPr>
        <w:t>按照本保函向你方履行保证责任所支付金额达到本保函保证金额时，自我方向你方支付（支付款项从</w:t>
      </w:r>
      <w:bookmarkStart w:id="1967" w:name="REVIEW_BM_2082"/>
      <w:r>
        <w:rPr>
          <w:rFonts w:hint="eastAsia" w:ascii="宋体" w:hAnsi="宋体" w:cs="宋体"/>
          <w:szCs w:val="21"/>
          <w:highlight w:val="none"/>
        </w:rPr>
        <w:t>我方</w:t>
      </w:r>
      <w:bookmarkEnd w:id="1967"/>
      <w:r>
        <w:rPr>
          <w:rFonts w:hint="eastAsia" w:ascii="宋体" w:hAnsi="宋体" w:cs="宋体"/>
          <w:szCs w:val="21"/>
          <w:highlight w:val="none"/>
        </w:rPr>
        <w:t>账户划出）之日起，保证责任即解除。</w:t>
      </w:r>
    </w:p>
    <w:p w14:paraId="7FB52999">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4. 按照法律法规的规定或出现应解除</w:t>
      </w:r>
      <w:bookmarkStart w:id="1968" w:name="REVIEW_BM_2083"/>
      <w:r>
        <w:rPr>
          <w:rFonts w:hint="eastAsia" w:ascii="宋体" w:hAnsi="宋体" w:cs="宋体"/>
          <w:szCs w:val="21"/>
          <w:highlight w:val="none"/>
        </w:rPr>
        <w:t>我方</w:t>
      </w:r>
      <w:bookmarkEnd w:id="1968"/>
      <w:r>
        <w:rPr>
          <w:rFonts w:hint="eastAsia" w:ascii="宋体" w:hAnsi="宋体" w:cs="宋体"/>
          <w:szCs w:val="21"/>
          <w:highlight w:val="none"/>
        </w:rPr>
        <w:t>保证责任的其他情形的，我方在本保函项下的保证责任亦解除。</w:t>
      </w:r>
    </w:p>
    <w:p w14:paraId="1F5DF632">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 xml:space="preserve">5. </w:t>
      </w:r>
      <w:bookmarkStart w:id="1969" w:name="REVIEW_BM_2084"/>
      <w:r>
        <w:rPr>
          <w:rFonts w:hint="eastAsia" w:ascii="宋体" w:hAnsi="宋体" w:cs="宋体"/>
          <w:szCs w:val="21"/>
          <w:highlight w:val="none"/>
        </w:rPr>
        <w:t>我方</w:t>
      </w:r>
      <w:bookmarkEnd w:id="1969"/>
      <w:r>
        <w:rPr>
          <w:rFonts w:hint="eastAsia" w:ascii="宋体" w:hAnsi="宋体" w:cs="宋体"/>
          <w:szCs w:val="21"/>
          <w:highlight w:val="none"/>
        </w:rPr>
        <w:t>解除保证责任后，你方应自我方保证责任解除之日起</w:t>
      </w:r>
      <w:r>
        <w:rPr>
          <w:rFonts w:hint="eastAsia" w:ascii="宋体" w:hAnsi="宋体" w:cs="宋体"/>
          <w:szCs w:val="21"/>
          <w:highlight w:val="none"/>
          <w:u w:val="single"/>
        </w:rPr>
        <w:t xml:space="preserve">  </w:t>
      </w:r>
      <w:r>
        <w:rPr>
          <w:rFonts w:hint="eastAsia" w:ascii="宋体" w:hAnsi="宋体" w:cs="宋体"/>
          <w:szCs w:val="21"/>
          <w:highlight w:val="none"/>
        </w:rPr>
        <w:t>个工作日内，将本保函原件返还</w:t>
      </w:r>
      <w:bookmarkStart w:id="1970" w:name="REVIEW_BM_2085"/>
      <w:r>
        <w:rPr>
          <w:rFonts w:hint="eastAsia" w:ascii="宋体" w:hAnsi="宋体" w:cs="宋体"/>
          <w:szCs w:val="21"/>
          <w:highlight w:val="none"/>
        </w:rPr>
        <w:t>我方</w:t>
      </w:r>
      <w:bookmarkEnd w:id="1970"/>
      <w:r>
        <w:rPr>
          <w:rFonts w:hint="eastAsia" w:ascii="宋体" w:hAnsi="宋体" w:cs="宋体"/>
          <w:szCs w:val="21"/>
          <w:highlight w:val="none"/>
        </w:rPr>
        <w:t>。</w:t>
      </w:r>
    </w:p>
    <w:p w14:paraId="5407755D">
      <w:pPr>
        <w:bidi w:val="0"/>
        <w:spacing w:line="360" w:lineRule="auto"/>
        <w:ind w:firstLine="420"/>
        <w:rPr>
          <w:rFonts w:hint="eastAsia"/>
          <w:highlight w:val="none"/>
        </w:rPr>
      </w:pPr>
      <w:bookmarkStart w:id="1971" w:name="_Toc23407"/>
      <w:bookmarkStart w:id="1972" w:name="_Toc3962"/>
      <w:bookmarkStart w:id="1973" w:name="_Toc11064"/>
      <w:bookmarkStart w:id="1974" w:name="_Toc5883"/>
      <w:r>
        <w:rPr>
          <w:rFonts w:hint="eastAsia"/>
          <w:highlight w:val="none"/>
        </w:rPr>
        <w:t>六、免责条款</w:t>
      </w:r>
      <w:bookmarkEnd w:id="1971"/>
      <w:bookmarkEnd w:id="1972"/>
      <w:bookmarkEnd w:id="1973"/>
      <w:bookmarkEnd w:id="1974"/>
    </w:p>
    <w:p w14:paraId="6FF438D1">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 因你方违约致使</w:t>
      </w:r>
      <w:bookmarkStart w:id="1975" w:name="REVIEW_BM_2086"/>
      <w:r>
        <w:rPr>
          <w:rFonts w:hint="eastAsia" w:ascii="宋体" w:hAnsi="宋体" w:cs="宋体"/>
          <w:szCs w:val="21"/>
          <w:highlight w:val="none"/>
        </w:rPr>
        <w:t>发包人</w:t>
      </w:r>
      <w:bookmarkEnd w:id="1975"/>
      <w:r>
        <w:rPr>
          <w:rFonts w:hint="eastAsia" w:ascii="宋体" w:hAnsi="宋体" w:cs="宋体"/>
          <w:szCs w:val="21"/>
          <w:highlight w:val="none"/>
        </w:rPr>
        <w:t>不能履行义务的，</w:t>
      </w:r>
      <w:bookmarkStart w:id="1976" w:name="REVIEW_BM_2087"/>
      <w:r>
        <w:rPr>
          <w:rFonts w:hint="eastAsia" w:ascii="宋体" w:hAnsi="宋体" w:cs="宋体"/>
          <w:szCs w:val="21"/>
          <w:highlight w:val="none"/>
        </w:rPr>
        <w:t>我方</w:t>
      </w:r>
      <w:bookmarkEnd w:id="1976"/>
      <w:r>
        <w:rPr>
          <w:rFonts w:hint="eastAsia" w:ascii="宋体" w:hAnsi="宋体" w:cs="宋体"/>
          <w:szCs w:val="21"/>
          <w:highlight w:val="none"/>
        </w:rPr>
        <w:t>不承担保证责任。</w:t>
      </w:r>
    </w:p>
    <w:p w14:paraId="2C6DD29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 依照法律法规的规定或你方与</w:t>
      </w:r>
      <w:bookmarkStart w:id="1977" w:name="REVIEW_BM_2088"/>
      <w:r>
        <w:rPr>
          <w:rFonts w:hint="eastAsia" w:ascii="宋体" w:hAnsi="宋体" w:cs="宋体"/>
          <w:szCs w:val="21"/>
          <w:highlight w:val="none"/>
        </w:rPr>
        <w:t>发包人</w:t>
      </w:r>
      <w:bookmarkEnd w:id="1977"/>
      <w:r>
        <w:rPr>
          <w:rFonts w:hint="eastAsia" w:ascii="宋体" w:hAnsi="宋体" w:cs="宋体"/>
          <w:szCs w:val="21"/>
          <w:highlight w:val="none"/>
        </w:rPr>
        <w:t>的另行约定，免除</w:t>
      </w:r>
      <w:bookmarkStart w:id="1978" w:name="REVIEW_BM_2089"/>
      <w:r>
        <w:rPr>
          <w:rFonts w:hint="eastAsia" w:ascii="宋体" w:hAnsi="宋体" w:cs="宋体"/>
          <w:szCs w:val="21"/>
          <w:highlight w:val="none"/>
        </w:rPr>
        <w:t>发包人</w:t>
      </w:r>
      <w:bookmarkEnd w:id="1978"/>
      <w:r>
        <w:rPr>
          <w:rFonts w:hint="eastAsia" w:ascii="宋体" w:hAnsi="宋体" w:cs="宋体"/>
          <w:szCs w:val="21"/>
          <w:highlight w:val="none"/>
        </w:rPr>
        <w:t>部分或全部义务的，我方亦免除其相应的保证责任。</w:t>
      </w:r>
    </w:p>
    <w:p w14:paraId="7266520F">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3. 你方与</w:t>
      </w:r>
      <w:bookmarkStart w:id="1979" w:name="REVIEW_BM_2090"/>
      <w:r>
        <w:rPr>
          <w:rFonts w:hint="eastAsia" w:ascii="宋体" w:hAnsi="宋体" w:cs="宋体"/>
          <w:szCs w:val="21"/>
          <w:highlight w:val="none"/>
        </w:rPr>
        <w:t>发包人</w:t>
      </w:r>
      <w:bookmarkEnd w:id="1979"/>
      <w:r>
        <w:rPr>
          <w:rFonts w:hint="eastAsia" w:ascii="宋体" w:hAnsi="宋体" w:cs="宋体"/>
          <w:szCs w:val="21"/>
          <w:highlight w:val="none"/>
        </w:rPr>
        <w:t>协议变更主合同的，如加重</w:t>
      </w:r>
      <w:bookmarkStart w:id="1980" w:name="REVIEW_BM_2091"/>
      <w:r>
        <w:rPr>
          <w:rFonts w:hint="eastAsia" w:ascii="宋体" w:hAnsi="宋体" w:cs="宋体"/>
          <w:szCs w:val="21"/>
          <w:highlight w:val="none"/>
        </w:rPr>
        <w:t>发包人</w:t>
      </w:r>
      <w:bookmarkEnd w:id="1980"/>
      <w:r>
        <w:rPr>
          <w:rFonts w:hint="eastAsia" w:ascii="宋体" w:hAnsi="宋体" w:cs="宋体"/>
          <w:szCs w:val="21"/>
          <w:highlight w:val="none"/>
        </w:rPr>
        <w:t>责任致使</w:t>
      </w:r>
      <w:bookmarkStart w:id="1981" w:name="REVIEW_BM_2092"/>
      <w:r>
        <w:rPr>
          <w:rFonts w:hint="eastAsia" w:ascii="宋体" w:hAnsi="宋体" w:cs="宋体"/>
          <w:szCs w:val="21"/>
          <w:highlight w:val="none"/>
        </w:rPr>
        <w:t>我方</w:t>
      </w:r>
      <w:bookmarkEnd w:id="1981"/>
      <w:r>
        <w:rPr>
          <w:rFonts w:hint="eastAsia" w:ascii="宋体" w:hAnsi="宋体" w:cs="宋体"/>
          <w:szCs w:val="21"/>
          <w:highlight w:val="none"/>
        </w:rPr>
        <w:t>保证责任加重的，需征得</w:t>
      </w:r>
      <w:bookmarkStart w:id="1982" w:name="REVIEW_BM_2093"/>
      <w:r>
        <w:rPr>
          <w:rFonts w:hint="eastAsia" w:ascii="宋体" w:hAnsi="宋体" w:cs="宋体"/>
          <w:szCs w:val="21"/>
          <w:highlight w:val="none"/>
        </w:rPr>
        <w:t>我方</w:t>
      </w:r>
      <w:bookmarkEnd w:id="1982"/>
      <w:r>
        <w:rPr>
          <w:rFonts w:hint="eastAsia" w:ascii="宋体" w:hAnsi="宋体" w:cs="宋体"/>
          <w:szCs w:val="21"/>
          <w:highlight w:val="none"/>
        </w:rPr>
        <w:t>书面同意，否则</w:t>
      </w:r>
      <w:bookmarkStart w:id="1983" w:name="REVIEW_BM_2094"/>
      <w:r>
        <w:rPr>
          <w:rFonts w:hint="eastAsia" w:ascii="宋体" w:hAnsi="宋体" w:cs="宋体"/>
          <w:szCs w:val="21"/>
          <w:highlight w:val="none"/>
        </w:rPr>
        <w:t>我方</w:t>
      </w:r>
      <w:bookmarkEnd w:id="1983"/>
      <w:r>
        <w:rPr>
          <w:rFonts w:hint="eastAsia" w:ascii="宋体" w:hAnsi="宋体" w:cs="宋体"/>
          <w:szCs w:val="21"/>
          <w:highlight w:val="none"/>
        </w:rPr>
        <w:t>不再承担因此而加重部分的保证责任，但主合同第10条〔变更〕约定的变更不受本款限制。</w:t>
      </w:r>
    </w:p>
    <w:p w14:paraId="2EA14A2A">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4. 因不可抗力造成</w:t>
      </w:r>
      <w:bookmarkStart w:id="1984" w:name="REVIEW_BM_2095"/>
      <w:r>
        <w:rPr>
          <w:rFonts w:hint="eastAsia" w:ascii="宋体" w:hAnsi="宋体" w:cs="宋体"/>
          <w:szCs w:val="21"/>
          <w:highlight w:val="none"/>
        </w:rPr>
        <w:t>发包人</w:t>
      </w:r>
      <w:bookmarkEnd w:id="1984"/>
      <w:r>
        <w:rPr>
          <w:rFonts w:hint="eastAsia" w:ascii="宋体" w:hAnsi="宋体" w:cs="宋体"/>
          <w:szCs w:val="21"/>
          <w:highlight w:val="none"/>
        </w:rPr>
        <w:t>不能履行义务的，</w:t>
      </w:r>
      <w:bookmarkStart w:id="1985" w:name="REVIEW_BM_2096"/>
      <w:r>
        <w:rPr>
          <w:rFonts w:hint="eastAsia" w:ascii="宋体" w:hAnsi="宋体" w:cs="宋体"/>
          <w:szCs w:val="21"/>
          <w:highlight w:val="none"/>
        </w:rPr>
        <w:t>我方</w:t>
      </w:r>
      <w:bookmarkEnd w:id="1985"/>
      <w:r>
        <w:rPr>
          <w:rFonts w:hint="eastAsia" w:ascii="宋体" w:hAnsi="宋体" w:cs="宋体"/>
          <w:szCs w:val="21"/>
          <w:highlight w:val="none"/>
        </w:rPr>
        <w:t>不承担保证责任。</w:t>
      </w:r>
    </w:p>
    <w:p w14:paraId="3D8FF115">
      <w:pPr>
        <w:bidi w:val="0"/>
        <w:spacing w:line="360" w:lineRule="auto"/>
        <w:ind w:firstLine="420"/>
        <w:rPr>
          <w:rFonts w:hint="eastAsia"/>
          <w:highlight w:val="none"/>
        </w:rPr>
      </w:pPr>
      <w:bookmarkStart w:id="1986" w:name="_Toc20330"/>
      <w:bookmarkStart w:id="1987" w:name="_Toc5169"/>
      <w:bookmarkStart w:id="1988" w:name="_Toc28001"/>
      <w:bookmarkStart w:id="1989" w:name="_Toc20106"/>
      <w:r>
        <w:rPr>
          <w:rFonts w:hint="eastAsia"/>
          <w:highlight w:val="none"/>
        </w:rPr>
        <w:t>七、争议解决</w:t>
      </w:r>
      <w:bookmarkEnd w:id="1986"/>
      <w:bookmarkEnd w:id="1987"/>
      <w:bookmarkEnd w:id="1988"/>
      <w:bookmarkEnd w:id="1989"/>
    </w:p>
    <w:p w14:paraId="3C5C976C">
      <w:pPr>
        <w:spacing w:after="120" w:line="360" w:lineRule="auto"/>
        <w:ind w:firstLine="420"/>
        <w:rPr>
          <w:rFonts w:hint="eastAsia" w:ascii="宋体" w:hAnsi="宋体" w:cs="宋体"/>
          <w:szCs w:val="21"/>
          <w:highlight w:val="none"/>
        </w:rPr>
      </w:pPr>
      <w:r>
        <w:rPr>
          <w:rFonts w:hint="eastAsia" w:ascii="宋体" w:hAnsi="宋体" w:cs="宋体"/>
          <w:szCs w:val="21"/>
          <w:highlight w:val="none"/>
        </w:rPr>
        <w:t>因本保函或本保函相关事项发生的纠纷，可由双方协商解决，协商不成的，按下列第</w:t>
      </w:r>
      <w:r>
        <w:rPr>
          <w:rFonts w:hint="eastAsia" w:ascii="宋体" w:hAnsi="宋体" w:cs="宋体"/>
          <w:szCs w:val="21"/>
          <w:highlight w:val="none"/>
          <w:u w:val="single"/>
        </w:rPr>
        <w:t xml:space="preserve">     </w:t>
      </w:r>
      <w:r>
        <w:rPr>
          <w:rFonts w:hint="eastAsia" w:ascii="宋体" w:hAnsi="宋体" w:cs="宋体"/>
          <w:szCs w:val="21"/>
          <w:highlight w:val="none"/>
        </w:rPr>
        <w:t>种方式解决：</w:t>
      </w:r>
    </w:p>
    <w:p w14:paraId="4070D02C">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（1）向</w:t>
      </w:r>
      <w:r>
        <w:rPr>
          <w:rFonts w:hint="eastAsia" w:ascii="宋体" w:hAnsi="宋体" w:cs="宋体"/>
          <w:szCs w:val="21"/>
          <w:highlight w:val="none"/>
          <w:u w:val="single"/>
        </w:rPr>
        <w:t xml:space="preserve">                     </w:t>
      </w:r>
      <w:r>
        <w:rPr>
          <w:rFonts w:hint="eastAsia" w:ascii="宋体" w:hAnsi="宋体" w:cs="宋体"/>
          <w:szCs w:val="21"/>
          <w:highlight w:val="none"/>
        </w:rPr>
        <w:t>仲裁委员会申请仲裁；</w:t>
      </w:r>
    </w:p>
    <w:p w14:paraId="0FA7CC27">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（2）向</w:t>
      </w:r>
      <w:r>
        <w:rPr>
          <w:rFonts w:hint="eastAsia" w:ascii="宋体" w:hAnsi="宋体" w:cs="宋体"/>
          <w:szCs w:val="21"/>
          <w:highlight w:val="none"/>
          <w:u w:val="single"/>
        </w:rPr>
        <w:t xml:space="preserve">                     </w:t>
      </w:r>
      <w:r>
        <w:rPr>
          <w:rFonts w:hint="eastAsia" w:ascii="宋体" w:hAnsi="宋体" w:cs="宋体"/>
          <w:szCs w:val="21"/>
          <w:highlight w:val="none"/>
        </w:rPr>
        <w:t>人民法院起诉。</w:t>
      </w:r>
    </w:p>
    <w:p w14:paraId="67371F3D">
      <w:pPr>
        <w:bidi w:val="0"/>
        <w:spacing w:line="360" w:lineRule="auto"/>
        <w:ind w:firstLine="420"/>
        <w:rPr>
          <w:rFonts w:hint="eastAsia"/>
          <w:highlight w:val="none"/>
        </w:rPr>
      </w:pPr>
      <w:bookmarkStart w:id="1990" w:name="_Toc29914"/>
      <w:bookmarkStart w:id="1991" w:name="_Toc5124"/>
      <w:bookmarkStart w:id="1992" w:name="_Toc24785"/>
      <w:bookmarkStart w:id="1993" w:name="_Toc11342"/>
      <w:r>
        <w:rPr>
          <w:rFonts w:hint="eastAsia"/>
          <w:highlight w:val="none"/>
        </w:rPr>
        <w:t>八、保函的生效</w:t>
      </w:r>
      <w:bookmarkEnd w:id="1990"/>
      <w:bookmarkEnd w:id="1991"/>
      <w:bookmarkEnd w:id="1992"/>
      <w:bookmarkEnd w:id="1993"/>
    </w:p>
    <w:p w14:paraId="5430B1AB">
      <w:pPr>
        <w:spacing w:line="360" w:lineRule="auto"/>
        <w:ind w:firstLine="420"/>
        <w:jc w:val="left"/>
        <w:rPr>
          <w:rFonts w:hint="eastAsia" w:ascii="宋体" w:hAnsi="宋体" w:cs="宋体"/>
          <w:szCs w:val="21"/>
          <w:highlight w:val="none"/>
        </w:rPr>
      </w:pPr>
      <w:r>
        <w:rPr>
          <w:rFonts w:hint="eastAsia" w:ascii="宋体" w:hAnsi="宋体" w:cs="宋体"/>
          <w:szCs w:val="21"/>
          <w:highlight w:val="none"/>
        </w:rPr>
        <w:t>本保函自我方法定代表人（或其授权代理人）签字并加盖公章之日起生效。</w:t>
      </w:r>
    </w:p>
    <w:p w14:paraId="603235BC">
      <w:pPr>
        <w:spacing w:line="360" w:lineRule="auto"/>
        <w:ind w:firstLine="420"/>
        <w:jc w:val="left"/>
        <w:rPr>
          <w:rFonts w:hint="eastAsia" w:ascii="宋体" w:hAnsi="宋体" w:cs="宋体"/>
          <w:szCs w:val="21"/>
          <w:highlight w:val="none"/>
        </w:rPr>
      </w:pPr>
    </w:p>
    <w:p w14:paraId="1EA16657">
      <w:pPr>
        <w:spacing w:line="360" w:lineRule="auto"/>
        <w:ind w:right="600"/>
        <w:jc w:val="left"/>
        <w:rPr>
          <w:rFonts w:hint="eastAsia" w:ascii="宋体" w:hAnsi="宋体" w:cs="宋体"/>
          <w:szCs w:val="21"/>
          <w:highlight w:val="none"/>
        </w:rPr>
      </w:pPr>
    </w:p>
    <w:p w14:paraId="678EC092">
      <w:pPr>
        <w:spacing w:line="360" w:lineRule="auto"/>
        <w:ind w:right="600"/>
        <w:jc w:val="left"/>
        <w:rPr>
          <w:rFonts w:hint="eastAsia" w:ascii="宋体" w:hAnsi="宋体" w:cs="宋体"/>
          <w:szCs w:val="21"/>
          <w:highlight w:val="none"/>
        </w:rPr>
      </w:pPr>
      <w:r>
        <w:rPr>
          <w:rFonts w:hint="eastAsia" w:ascii="宋体" w:hAnsi="宋体" w:cs="宋体"/>
          <w:szCs w:val="21"/>
          <w:highlight w:val="none"/>
        </w:rPr>
        <w:t>担保人：</w:t>
      </w:r>
      <w:r>
        <w:rPr>
          <w:rFonts w:hint="eastAsia" w:ascii="宋体" w:hAnsi="宋体" w:cs="宋体"/>
          <w:szCs w:val="21"/>
          <w:highlight w:val="none"/>
          <w:u w:val="single"/>
        </w:rPr>
        <w:t xml:space="preserve">                                   </w:t>
      </w:r>
      <w:r>
        <w:rPr>
          <w:rFonts w:hint="eastAsia" w:ascii="宋体" w:hAnsi="宋体" w:cs="宋体"/>
          <w:szCs w:val="21"/>
          <w:highlight w:val="none"/>
        </w:rPr>
        <w:t>（盖章）</w:t>
      </w:r>
    </w:p>
    <w:p w14:paraId="67B156F0">
      <w:pPr>
        <w:spacing w:line="360" w:lineRule="auto"/>
        <w:ind w:right="1200"/>
        <w:rPr>
          <w:rFonts w:hint="eastAsia" w:ascii="宋体" w:hAnsi="宋体" w:cs="宋体"/>
          <w:szCs w:val="21"/>
          <w:highlight w:val="none"/>
        </w:rPr>
      </w:pPr>
      <w:r>
        <w:rPr>
          <w:rFonts w:hint="eastAsia" w:ascii="宋体" w:hAnsi="宋体" w:cs="宋体"/>
          <w:szCs w:val="21"/>
          <w:highlight w:val="none"/>
        </w:rPr>
        <w:t>法定代表人或委托代理人：</w:t>
      </w:r>
      <w:r>
        <w:rPr>
          <w:rFonts w:hint="eastAsia" w:ascii="宋体" w:hAnsi="宋体" w:cs="宋体"/>
          <w:szCs w:val="21"/>
          <w:highlight w:val="none"/>
          <w:u w:val="single"/>
        </w:rPr>
        <w:t xml:space="preserve">                   </w:t>
      </w:r>
      <w:r>
        <w:rPr>
          <w:rFonts w:hint="eastAsia" w:ascii="宋体" w:hAnsi="宋体" w:cs="宋体"/>
          <w:szCs w:val="21"/>
          <w:highlight w:val="none"/>
        </w:rPr>
        <w:t>（签字）</w:t>
      </w:r>
    </w:p>
    <w:p w14:paraId="27A94E21">
      <w:pPr>
        <w:spacing w:line="360" w:lineRule="auto"/>
        <w:jc w:val="left"/>
        <w:rPr>
          <w:rFonts w:hint="eastAsia" w:ascii="宋体" w:hAnsi="宋体" w:cs="宋体"/>
          <w:szCs w:val="21"/>
          <w:highlight w:val="none"/>
        </w:rPr>
      </w:pPr>
      <w:r>
        <w:rPr>
          <w:rFonts w:hint="eastAsia" w:ascii="宋体" w:hAnsi="宋体" w:cs="宋体"/>
          <w:szCs w:val="21"/>
          <w:highlight w:val="none"/>
        </w:rPr>
        <w:t>地    址：</w:t>
      </w:r>
      <w:r>
        <w:rPr>
          <w:rFonts w:hint="eastAsia" w:ascii="宋体" w:hAnsi="宋体" w:cs="宋体"/>
          <w:szCs w:val="21"/>
          <w:highlight w:val="none"/>
          <w:u w:val="single"/>
        </w:rPr>
        <w:t xml:space="preserve">                                        </w:t>
      </w:r>
    </w:p>
    <w:p w14:paraId="242241BC">
      <w:pPr>
        <w:spacing w:line="360" w:lineRule="auto"/>
        <w:jc w:val="left"/>
        <w:rPr>
          <w:rFonts w:hint="eastAsia" w:ascii="宋体" w:hAnsi="宋体" w:cs="宋体"/>
          <w:szCs w:val="21"/>
          <w:highlight w:val="none"/>
        </w:rPr>
      </w:pPr>
      <w:r>
        <w:rPr>
          <w:rFonts w:hint="eastAsia" w:ascii="宋体" w:hAnsi="宋体" w:cs="宋体"/>
          <w:szCs w:val="21"/>
          <w:highlight w:val="none"/>
        </w:rPr>
        <w:t>邮政编码：</w:t>
      </w:r>
      <w:r>
        <w:rPr>
          <w:rFonts w:hint="eastAsia" w:ascii="宋体" w:hAnsi="宋体" w:cs="宋体"/>
          <w:szCs w:val="21"/>
          <w:highlight w:val="none"/>
          <w:u w:val="single"/>
        </w:rPr>
        <w:t xml:space="preserve">                                        </w:t>
      </w:r>
    </w:p>
    <w:p w14:paraId="45A822A0">
      <w:pPr>
        <w:spacing w:line="360" w:lineRule="auto"/>
        <w:jc w:val="left"/>
        <w:rPr>
          <w:rFonts w:hint="eastAsia" w:ascii="宋体" w:hAnsi="宋体" w:cs="宋体"/>
          <w:szCs w:val="21"/>
          <w:highlight w:val="none"/>
        </w:rPr>
      </w:pPr>
      <w:r>
        <w:rPr>
          <w:rFonts w:hint="eastAsia" w:ascii="宋体" w:hAnsi="宋体" w:cs="宋体"/>
          <w:szCs w:val="21"/>
          <w:highlight w:val="none"/>
        </w:rPr>
        <w:t>传    真：</w:t>
      </w:r>
      <w:r>
        <w:rPr>
          <w:rFonts w:hint="eastAsia" w:ascii="宋体" w:hAnsi="宋体" w:cs="宋体"/>
          <w:szCs w:val="21"/>
          <w:highlight w:val="none"/>
          <w:u w:val="single"/>
        </w:rPr>
        <w:t xml:space="preserve">                                        </w:t>
      </w:r>
    </w:p>
    <w:p w14:paraId="136D53B4">
      <w:pPr>
        <w:spacing w:line="360" w:lineRule="auto"/>
        <w:ind w:right="150" w:firstLine="420"/>
        <w:jc w:val="left"/>
        <w:rPr>
          <w:rFonts w:hint="eastAsia" w:ascii="宋体" w:hAnsi="宋体" w:cs="宋体"/>
          <w:szCs w:val="21"/>
          <w:highlight w:val="none"/>
          <w:u w:val="single"/>
        </w:rPr>
      </w:pPr>
    </w:p>
    <w:p w14:paraId="2EA88943">
      <w:pPr>
        <w:spacing w:line="360" w:lineRule="auto"/>
        <w:ind w:right="150" w:firstLine="420"/>
        <w:jc w:val="left"/>
        <w:rPr>
          <w:rFonts w:hint="eastAsia" w:ascii="宋体" w:hAnsi="宋体" w:cs="宋体"/>
          <w:szCs w:val="21"/>
          <w:highlight w:val="none"/>
        </w:rPr>
      </w:pPr>
      <w:r>
        <w:rPr>
          <w:rFonts w:hint="eastAsia" w:ascii="宋体" w:hAnsi="宋体" w:cs="宋体"/>
          <w:szCs w:val="21"/>
          <w:highlight w:val="none"/>
        </w:rPr>
        <w:t xml:space="preserve">             </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1D38550E">
      <w:pPr>
        <w:spacing w:line="440" w:lineRule="exact"/>
        <w:rPr>
          <w:rFonts w:eastAsia="黑体"/>
          <w:sz w:val="30"/>
          <w:szCs w:val="30"/>
          <w:highlight w:val="none"/>
        </w:rPr>
      </w:pPr>
      <w:r>
        <w:rPr>
          <w:rFonts w:eastAsia="仿宋_GB2312"/>
          <w:sz w:val="30"/>
          <w:szCs w:val="30"/>
          <w:highlight w:val="none"/>
        </w:rPr>
        <w:br w:type="page" w:clear="all"/>
      </w:r>
      <w:r>
        <w:rPr>
          <w:rFonts w:hint="eastAsia" w:ascii="宋体" w:hAnsi="宋体" w:cs="宋体"/>
          <w:szCs w:val="21"/>
          <w:highlight w:val="none"/>
        </w:rPr>
        <w:t>附件1</w:t>
      </w:r>
      <w:r>
        <w:rPr>
          <w:rFonts w:hint="eastAsia" w:ascii="宋体" w:hAnsi="宋体" w:cs="宋体"/>
          <w:szCs w:val="21"/>
          <w:highlight w:val="none"/>
          <w:lang w:val="en-US" w:eastAsia="zh-CN"/>
        </w:rPr>
        <w:t>2</w:t>
      </w:r>
      <w:r>
        <w:rPr>
          <w:rFonts w:hint="eastAsia" w:ascii="宋体" w:hAnsi="宋体" w:cs="宋体"/>
          <w:szCs w:val="21"/>
          <w:highlight w:val="none"/>
        </w:rPr>
        <w:t>：</w:t>
      </w:r>
    </w:p>
    <w:p w14:paraId="44564A95">
      <w:pPr>
        <w:bidi w:val="0"/>
        <w:spacing w:line="360" w:lineRule="auto"/>
        <w:jc w:val="center"/>
        <w:rPr>
          <w:rFonts w:hint="eastAsia"/>
          <w:highlight w:val="none"/>
        </w:rPr>
      </w:pPr>
      <w:bookmarkStart w:id="1994" w:name="_Toc19198"/>
      <w:bookmarkStart w:id="1995" w:name="_Toc15518"/>
      <w:bookmarkStart w:id="1996" w:name="_Toc18176"/>
      <w:bookmarkStart w:id="1997" w:name="_Toc20900"/>
      <w:r>
        <w:rPr>
          <w:rFonts w:hint="eastAsia"/>
          <w:highlight w:val="none"/>
        </w:rPr>
        <w:t>11-1：材料暂估价表</w:t>
      </w:r>
      <w:bookmarkEnd w:id="1994"/>
      <w:bookmarkEnd w:id="1995"/>
      <w:bookmarkEnd w:id="1996"/>
      <w:bookmarkEnd w:id="1997"/>
    </w:p>
    <w:tbl>
      <w:tblPr>
        <w:tblStyle w:val="5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42FEA7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single" w:color="auto" w:sz="6" w:space="0"/>
            </w:tcBorders>
            <w:noWrap w:val="0"/>
            <w:vAlign w:val="top"/>
          </w:tcPr>
          <w:p w14:paraId="35E462A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序号</w:t>
            </w:r>
          </w:p>
        </w:tc>
        <w:tc>
          <w:tcPr>
            <w:tcW w:w="1984" w:type="dxa"/>
            <w:tcBorders>
              <w:top w:val="single" w:color="auto" w:sz="12" w:space="0"/>
              <w:bottom w:val="single" w:color="auto" w:sz="6" w:space="0"/>
            </w:tcBorders>
            <w:noWrap w:val="0"/>
            <w:vAlign w:val="top"/>
          </w:tcPr>
          <w:p w14:paraId="2FFE8B2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名称</w:t>
            </w:r>
          </w:p>
        </w:tc>
        <w:tc>
          <w:tcPr>
            <w:tcW w:w="851" w:type="dxa"/>
            <w:tcBorders>
              <w:top w:val="single" w:color="auto" w:sz="12" w:space="0"/>
              <w:bottom w:val="single" w:color="auto" w:sz="6" w:space="0"/>
            </w:tcBorders>
            <w:noWrap w:val="0"/>
            <w:vAlign w:val="top"/>
          </w:tcPr>
          <w:p w14:paraId="35B606A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单位</w:t>
            </w:r>
          </w:p>
        </w:tc>
        <w:tc>
          <w:tcPr>
            <w:tcW w:w="774" w:type="dxa"/>
            <w:tcBorders>
              <w:top w:val="single" w:color="auto" w:sz="12" w:space="0"/>
              <w:bottom w:val="single" w:color="auto" w:sz="6" w:space="0"/>
            </w:tcBorders>
            <w:noWrap w:val="0"/>
            <w:vAlign w:val="top"/>
          </w:tcPr>
          <w:p w14:paraId="50FC303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数量</w:t>
            </w:r>
          </w:p>
        </w:tc>
        <w:tc>
          <w:tcPr>
            <w:tcW w:w="1352" w:type="dxa"/>
            <w:tcBorders>
              <w:top w:val="single" w:color="auto" w:sz="12" w:space="0"/>
              <w:bottom w:val="single" w:color="auto" w:sz="6" w:space="0"/>
            </w:tcBorders>
            <w:noWrap w:val="0"/>
            <w:vAlign w:val="top"/>
          </w:tcPr>
          <w:p w14:paraId="7944D38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单价</w:t>
            </w:r>
            <w:r>
              <w:rPr>
                <w:rFonts w:hint="eastAsia" w:ascii="等线" w:hAnsi="等线" w:eastAsia="仿宋_GB2312" w:cs="Times New Roman"/>
                <w:sz w:val="24"/>
                <w:highlight w:val="none"/>
              </w:rPr>
              <w:t>（元）</w:t>
            </w:r>
          </w:p>
        </w:tc>
        <w:tc>
          <w:tcPr>
            <w:tcW w:w="1418" w:type="dxa"/>
            <w:tcBorders>
              <w:top w:val="single" w:color="auto" w:sz="12" w:space="0"/>
              <w:bottom w:val="single" w:color="auto" w:sz="6" w:space="0"/>
            </w:tcBorders>
            <w:noWrap w:val="0"/>
            <w:vAlign w:val="top"/>
          </w:tcPr>
          <w:p w14:paraId="43812DE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合价</w:t>
            </w:r>
            <w:r>
              <w:rPr>
                <w:rFonts w:hint="eastAsia" w:ascii="等线" w:hAnsi="等线" w:eastAsia="仿宋_GB2312" w:cs="Times New Roman"/>
                <w:sz w:val="24"/>
                <w:highlight w:val="none"/>
              </w:rPr>
              <w:t>（元）</w:t>
            </w:r>
          </w:p>
        </w:tc>
        <w:tc>
          <w:tcPr>
            <w:tcW w:w="1303" w:type="dxa"/>
            <w:tcBorders>
              <w:top w:val="single" w:color="auto" w:sz="12" w:space="0"/>
              <w:bottom w:val="single" w:color="auto" w:sz="6" w:space="0"/>
            </w:tcBorders>
            <w:noWrap w:val="0"/>
            <w:vAlign w:val="top"/>
          </w:tcPr>
          <w:p w14:paraId="31F2970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备注</w:t>
            </w:r>
          </w:p>
        </w:tc>
      </w:tr>
      <w:tr w14:paraId="72ECC26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bottom w:val="single" w:color="auto" w:sz="6" w:space="0"/>
            </w:tcBorders>
            <w:noWrap w:val="0"/>
            <w:vAlign w:val="top"/>
          </w:tcPr>
          <w:p w14:paraId="78E09F2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tcBorders>
              <w:top w:val="single" w:color="auto" w:sz="6" w:space="0"/>
              <w:bottom w:val="single" w:color="auto" w:sz="6" w:space="0"/>
            </w:tcBorders>
            <w:noWrap w:val="0"/>
            <w:vAlign w:val="top"/>
          </w:tcPr>
          <w:p w14:paraId="6F6DE5D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tcBorders>
              <w:top w:val="single" w:color="auto" w:sz="6" w:space="0"/>
              <w:bottom w:val="single" w:color="auto" w:sz="6" w:space="0"/>
            </w:tcBorders>
            <w:noWrap w:val="0"/>
            <w:vAlign w:val="top"/>
          </w:tcPr>
          <w:p w14:paraId="43AC6CD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tcBorders>
              <w:top w:val="single" w:color="auto" w:sz="6" w:space="0"/>
              <w:bottom w:val="single" w:color="auto" w:sz="6" w:space="0"/>
            </w:tcBorders>
            <w:noWrap w:val="0"/>
            <w:vAlign w:val="top"/>
          </w:tcPr>
          <w:p w14:paraId="15CAA32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tcBorders>
              <w:top w:val="single" w:color="auto" w:sz="6" w:space="0"/>
              <w:bottom w:val="single" w:color="auto" w:sz="6" w:space="0"/>
            </w:tcBorders>
            <w:noWrap w:val="0"/>
            <w:vAlign w:val="top"/>
          </w:tcPr>
          <w:p w14:paraId="6BA7EB3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tcBorders>
              <w:top w:val="single" w:color="auto" w:sz="6" w:space="0"/>
              <w:bottom w:val="single" w:color="auto" w:sz="6" w:space="0"/>
            </w:tcBorders>
            <w:noWrap w:val="0"/>
            <w:vAlign w:val="top"/>
          </w:tcPr>
          <w:p w14:paraId="73FB513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tcBorders>
              <w:top w:val="single" w:color="auto" w:sz="6" w:space="0"/>
              <w:bottom w:val="single" w:color="auto" w:sz="6" w:space="0"/>
            </w:tcBorders>
            <w:noWrap w:val="0"/>
            <w:vAlign w:val="top"/>
          </w:tcPr>
          <w:p w14:paraId="1DE2A61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4DF32A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4336012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tcBorders>
              <w:top w:val="nil"/>
            </w:tcBorders>
            <w:noWrap w:val="0"/>
            <w:vAlign w:val="top"/>
          </w:tcPr>
          <w:p w14:paraId="28115F5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tcBorders>
              <w:top w:val="nil"/>
            </w:tcBorders>
            <w:noWrap w:val="0"/>
            <w:vAlign w:val="top"/>
          </w:tcPr>
          <w:p w14:paraId="619E13C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tcBorders>
              <w:top w:val="nil"/>
            </w:tcBorders>
            <w:noWrap w:val="0"/>
            <w:vAlign w:val="top"/>
          </w:tcPr>
          <w:p w14:paraId="20A6B99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tcBorders>
              <w:top w:val="nil"/>
            </w:tcBorders>
            <w:noWrap w:val="0"/>
            <w:vAlign w:val="top"/>
          </w:tcPr>
          <w:p w14:paraId="0058497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tcBorders>
              <w:top w:val="nil"/>
            </w:tcBorders>
            <w:noWrap w:val="0"/>
            <w:vAlign w:val="top"/>
          </w:tcPr>
          <w:p w14:paraId="6386818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tcBorders>
              <w:top w:val="nil"/>
            </w:tcBorders>
            <w:noWrap w:val="0"/>
            <w:vAlign w:val="top"/>
          </w:tcPr>
          <w:p w14:paraId="4EC8213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9290CE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2E0265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1540D01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4493BC8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09EA4D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5E3EB6D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0E6B889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BA1B50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4173710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B1F422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ED156E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63F391B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370F76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0FA8220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6C84C0E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5F11612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5AB1030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78E8DE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671D1A7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812F64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3807D9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4C654C0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3A737D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004CDAC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D2F8B6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C5EBA5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1A6F40A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044CC4A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63495D7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95131C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DB1301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5AB9E8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25321B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230B47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7CBB3D2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16E97B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5B77C1F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0E6801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40EBB0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3D093D7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46F6651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FB5E8B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24B8F9E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2013D1D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21ACFC3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026AD5D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7EA0F54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A1793C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24A08A9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7FB409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60F4F18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7B63889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475BD7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6F05341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04BC9B1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E028A8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5415420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670754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BABDDA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1167414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5093CF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55AE5B0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091F92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EB4D20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E92737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654ED0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22EBA0A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774873E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67F0EC2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15CEBE3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089F7D9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2D8031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A99558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BE2B69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405C286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14412A9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575B0B5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D7B36F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637035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58743AC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51ED889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A6EE48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51385AF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4508813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27DE48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78BB7F1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52FE6E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332FC76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32E426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EDCC7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3493C3B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0DA086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6FB702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7F79459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6273277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4B8FC12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7A145E1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4B2C58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11E1F1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24CCC8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B340A3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26DCC1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01D004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378DFF9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70995C4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FB9901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718F3DC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D815CD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27372AC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65C128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C66850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B7FE1F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6FD1E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DB3CE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668E494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6102645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683CBA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40A7CE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4EB729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FE1D37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F5C8C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9C2F05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59D1571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263E4A5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7A79066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0C11B7A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60FFF0C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00EB094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EA50DD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81E649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474025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04D1047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B23F87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62ACDBD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2EA3383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003184A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67B367B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EED708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5901CA9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3486B2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83E270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0EF1C2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DB86CC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5F2F9EC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3C808D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3E79AD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49D7252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E3F42A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747836E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62AE3A4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3BD4F4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1FFB18C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3FF6D41D">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A52504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23DBE8C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77F94D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7AF9ED2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5E6561E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7AF113C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5F95118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4BC1C9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57E72A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75D97C9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A5B113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E55875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177BCA0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0678895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2F01A8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21972CF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498C88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6F7C532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61A09B5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5F2D456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804718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29C60A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4A55987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B0F26B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D1A6F8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2BD87D3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70EF989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4A3C390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581683C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57785E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31A45A9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bl>
    <w:p w14:paraId="66D3B0E0">
      <w:pPr>
        <w:spacing w:line="440" w:lineRule="exact"/>
        <w:rPr>
          <w:rFonts w:hint="eastAsia" w:eastAsia="黑体"/>
          <w:sz w:val="30"/>
          <w:szCs w:val="30"/>
          <w:highlight w:val="none"/>
        </w:rPr>
      </w:pPr>
    </w:p>
    <w:p w14:paraId="383C6A35">
      <w:pPr>
        <w:spacing w:line="440" w:lineRule="exact"/>
        <w:jc w:val="center"/>
        <w:rPr>
          <w:rFonts w:hint="eastAsia" w:ascii="宋体" w:hAnsi="宋体" w:cs="宋体"/>
          <w:szCs w:val="21"/>
          <w:highlight w:val="none"/>
        </w:rPr>
      </w:pPr>
    </w:p>
    <w:p w14:paraId="33B25486">
      <w:pPr>
        <w:spacing w:line="440" w:lineRule="exact"/>
        <w:jc w:val="center"/>
        <w:rPr>
          <w:rFonts w:hint="eastAsia" w:ascii="宋体" w:hAnsi="宋体" w:cs="宋体"/>
          <w:szCs w:val="21"/>
          <w:highlight w:val="none"/>
        </w:rPr>
      </w:pPr>
      <w:r>
        <w:rPr>
          <w:rFonts w:hint="eastAsia" w:ascii="宋体" w:hAnsi="宋体" w:cs="宋体"/>
          <w:szCs w:val="21"/>
          <w:highlight w:val="none"/>
        </w:rPr>
        <w:t>11-2：工程设备暂估价表</w:t>
      </w:r>
    </w:p>
    <w:tbl>
      <w:tblPr>
        <w:tblStyle w:val="5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993"/>
        <w:gridCol w:w="1984"/>
        <w:gridCol w:w="851"/>
        <w:gridCol w:w="774"/>
        <w:gridCol w:w="1352"/>
        <w:gridCol w:w="1418"/>
        <w:gridCol w:w="1303"/>
      </w:tblGrid>
      <w:tr w14:paraId="76601C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12" w:space="0"/>
              <w:bottom w:val="single" w:color="auto" w:sz="6" w:space="0"/>
            </w:tcBorders>
            <w:noWrap w:val="0"/>
            <w:vAlign w:val="top"/>
          </w:tcPr>
          <w:p w14:paraId="0E12FF1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序号</w:t>
            </w:r>
          </w:p>
        </w:tc>
        <w:tc>
          <w:tcPr>
            <w:tcW w:w="1984" w:type="dxa"/>
            <w:tcBorders>
              <w:top w:val="single" w:color="auto" w:sz="12" w:space="0"/>
              <w:bottom w:val="single" w:color="auto" w:sz="6" w:space="0"/>
            </w:tcBorders>
            <w:noWrap w:val="0"/>
            <w:vAlign w:val="top"/>
          </w:tcPr>
          <w:p w14:paraId="362F6F1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名称</w:t>
            </w:r>
          </w:p>
        </w:tc>
        <w:tc>
          <w:tcPr>
            <w:tcW w:w="851" w:type="dxa"/>
            <w:tcBorders>
              <w:top w:val="single" w:color="auto" w:sz="12" w:space="0"/>
              <w:bottom w:val="single" w:color="auto" w:sz="6" w:space="0"/>
            </w:tcBorders>
            <w:noWrap w:val="0"/>
            <w:vAlign w:val="top"/>
          </w:tcPr>
          <w:p w14:paraId="777CE69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单位</w:t>
            </w:r>
          </w:p>
        </w:tc>
        <w:tc>
          <w:tcPr>
            <w:tcW w:w="774" w:type="dxa"/>
            <w:tcBorders>
              <w:top w:val="single" w:color="auto" w:sz="12" w:space="0"/>
              <w:bottom w:val="single" w:color="auto" w:sz="6" w:space="0"/>
            </w:tcBorders>
            <w:noWrap w:val="0"/>
            <w:vAlign w:val="top"/>
          </w:tcPr>
          <w:p w14:paraId="4AD665E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数量</w:t>
            </w:r>
          </w:p>
        </w:tc>
        <w:tc>
          <w:tcPr>
            <w:tcW w:w="1352" w:type="dxa"/>
            <w:tcBorders>
              <w:top w:val="single" w:color="auto" w:sz="12" w:space="0"/>
              <w:bottom w:val="single" w:color="auto" w:sz="6" w:space="0"/>
            </w:tcBorders>
            <w:noWrap w:val="0"/>
            <w:vAlign w:val="top"/>
          </w:tcPr>
          <w:p w14:paraId="511B317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单价</w:t>
            </w:r>
            <w:r>
              <w:rPr>
                <w:rFonts w:hint="eastAsia" w:ascii="等线" w:hAnsi="等线" w:eastAsia="仿宋_GB2312" w:cs="Times New Roman"/>
                <w:sz w:val="24"/>
                <w:highlight w:val="none"/>
              </w:rPr>
              <w:t>（元）</w:t>
            </w:r>
          </w:p>
        </w:tc>
        <w:tc>
          <w:tcPr>
            <w:tcW w:w="1418" w:type="dxa"/>
            <w:tcBorders>
              <w:top w:val="single" w:color="auto" w:sz="12" w:space="0"/>
              <w:bottom w:val="single" w:color="auto" w:sz="6" w:space="0"/>
            </w:tcBorders>
            <w:noWrap w:val="0"/>
            <w:vAlign w:val="top"/>
          </w:tcPr>
          <w:p w14:paraId="3CDABF8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合价</w:t>
            </w:r>
            <w:r>
              <w:rPr>
                <w:rFonts w:hint="eastAsia" w:ascii="等线" w:hAnsi="等线" w:eastAsia="仿宋_GB2312" w:cs="Times New Roman"/>
                <w:sz w:val="24"/>
                <w:highlight w:val="none"/>
              </w:rPr>
              <w:t>（元）</w:t>
            </w:r>
          </w:p>
        </w:tc>
        <w:tc>
          <w:tcPr>
            <w:tcW w:w="1303" w:type="dxa"/>
            <w:tcBorders>
              <w:top w:val="single" w:color="auto" w:sz="12" w:space="0"/>
              <w:bottom w:val="single" w:color="auto" w:sz="6" w:space="0"/>
            </w:tcBorders>
            <w:noWrap w:val="0"/>
            <w:vAlign w:val="top"/>
          </w:tcPr>
          <w:p w14:paraId="6690D8A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备注</w:t>
            </w:r>
          </w:p>
        </w:tc>
      </w:tr>
      <w:tr w14:paraId="2070D29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single" w:color="auto" w:sz="6" w:space="0"/>
              <w:bottom w:val="single" w:color="auto" w:sz="6" w:space="0"/>
            </w:tcBorders>
            <w:noWrap w:val="0"/>
            <w:vAlign w:val="top"/>
          </w:tcPr>
          <w:p w14:paraId="5AE9A09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tcBorders>
              <w:top w:val="single" w:color="auto" w:sz="6" w:space="0"/>
              <w:bottom w:val="single" w:color="auto" w:sz="6" w:space="0"/>
            </w:tcBorders>
            <w:noWrap w:val="0"/>
            <w:vAlign w:val="top"/>
          </w:tcPr>
          <w:p w14:paraId="7E2077D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tcBorders>
              <w:top w:val="single" w:color="auto" w:sz="6" w:space="0"/>
              <w:bottom w:val="single" w:color="auto" w:sz="6" w:space="0"/>
            </w:tcBorders>
            <w:noWrap w:val="0"/>
            <w:vAlign w:val="top"/>
          </w:tcPr>
          <w:p w14:paraId="59E9D3E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tcBorders>
              <w:top w:val="single" w:color="auto" w:sz="6" w:space="0"/>
              <w:bottom w:val="single" w:color="auto" w:sz="6" w:space="0"/>
            </w:tcBorders>
            <w:noWrap w:val="0"/>
            <w:vAlign w:val="top"/>
          </w:tcPr>
          <w:p w14:paraId="1A6E99F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tcBorders>
              <w:top w:val="single" w:color="auto" w:sz="6" w:space="0"/>
              <w:bottom w:val="single" w:color="auto" w:sz="6" w:space="0"/>
            </w:tcBorders>
            <w:noWrap w:val="0"/>
            <w:vAlign w:val="top"/>
          </w:tcPr>
          <w:p w14:paraId="7A26A62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tcBorders>
              <w:top w:val="single" w:color="auto" w:sz="6" w:space="0"/>
              <w:bottom w:val="single" w:color="auto" w:sz="6" w:space="0"/>
            </w:tcBorders>
            <w:noWrap w:val="0"/>
            <w:vAlign w:val="top"/>
          </w:tcPr>
          <w:p w14:paraId="0B29EF0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tcBorders>
              <w:top w:val="single" w:color="auto" w:sz="6" w:space="0"/>
              <w:bottom w:val="single" w:color="auto" w:sz="6" w:space="0"/>
            </w:tcBorders>
            <w:noWrap w:val="0"/>
            <w:vAlign w:val="top"/>
          </w:tcPr>
          <w:p w14:paraId="536467C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725C554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tcBorders>
              <w:top w:val="nil"/>
            </w:tcBorders>
            <w:noWrap w:val="0"/>
            <w:vAlign w:val="top"/>
          </w:tcPr>
          <w:p w14:paraId="7735392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tcBorders>
              <w:top w:val="nil"/>
            </w:tcBorders>
            <w:noWrap w:val="0"/>
            <w:vAlign w:val="top"/>
          </w:tcPr>
          <w:p w14:paraId="2A31DEF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tcBorders>
              <w:top w:val="nil"/>
            </w:tcBorders>
            <w:noWrap w:val="0"/>
            <w:vAlign w:val="top"/>
          </w:tcPr>
          <w:p w14:paraId="3A86212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tcBorders>
              <w:top w:val="nil"/>
            </w:tcBorders>
            <w:noWrap w:val="0"/>
            <w:vAlign w:val="top"/>
          </w:tcPr>
          <w:p w14:paraId="0590139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tcBorders>
              <w:top w:val="nil"/>
            </w:tcBorders>
            <w:noWrap w:val="0"/>
            <w:vAlign w:val="top"/>
          </w:tcPr>
          <w:p w14:paraId="7E35A42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tcBorders>
              <w:top w:val="nil"/>
            </w:tcBorders>
            <w:noWrap w:val="0"/>
            <w:vAlign w:val="top"/>
          </w:tcPr>
          <w:p w14:paraId="648EDE4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tcBorders>
              <w:top w:val="nil"/>
            </w:tcBorders>
            <w:noWrap w:val="0"/>
            <w:vAlign w:val="top"/>
          </w:tcPr>
          <w:p w14:paraId="48DA1CB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38C27E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DAC013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38B7499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4A574F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7B7AC7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10B8EEC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6C179E6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840430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66A72CE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C517C3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41BAEB4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7A04E2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6B3E0BE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7A257E6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702D4BE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09CF7BA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58B52C9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B98B34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84F632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50225C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F5AFD0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1B943A7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A23785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2974A91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125AF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2476A7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20215AF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7B72D1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2E62D22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4CA89E9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7174BE4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169E49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DCAB89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97752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72C0B97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E1A40F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6564088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6880265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1B541B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4D3E27D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F29646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254B469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3C03A1E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6D6B99E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4C566EC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25F66F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78BBD46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4656144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72EFD30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D30715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154E85E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70F141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B4C411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4413BEB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61C4B68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539594F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610315E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3EB792B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36DB29E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7EA4003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50D1458A">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31976D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72951B5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12A16F0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63C915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81240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60C0829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B24E77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4084F17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B0BB0F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5457243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3FF72B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79F873D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71C4D71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14F62CC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30B31C0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790B09B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5CF6045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FAA125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EDC4B2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6F480C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1DF8F5B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171FD01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0A05916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4ED9318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90F1D1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0B6BB4F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B0B2A8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07F5C5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9DCAD4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626E3F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776428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694B601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61D86EA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CC6ABA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7E17AC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5F4732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1B024A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52C235B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24A3FE4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88D259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0544F41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33BB5A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A7189D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058A33A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DF3D5E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4C39E397">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1113CFA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C22685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AC8A1B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376674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2BC7534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46B83C2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497940B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3A0D6B6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EA8E9B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8EF110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7F2CC86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50F9FAF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0DA276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518D55B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797A2E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0A5678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168BC7C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743C36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8F8F06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256A636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2700E3A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3AA2283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E38EBB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677069D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72D84E0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470C8BE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017890D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097B28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36193E53">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98BE25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6CBF1F6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359027B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52816EE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7ECB3A8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439AFA6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0F9486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45CA8C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64C998F4">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061132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1198AF7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701F56A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7463911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2223FA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687FE14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4E502AD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53A4E0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3DD34F4">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24CF111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1D14507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37474CA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2F4756AE">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77FD89D">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66F81E6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77141432">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559D210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557616F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40E0605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08B9574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4432804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1561ED3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6FD2490">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4CBA1B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57ABAD6">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4644FB3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24030A4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12F61DCF">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714E984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41F6A49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08507008">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r w14:paraId="1D6E25D8">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993" w:type="dxa"/>
            <w:noWrap w:val="0"/>
            <w:vAlign w:val="top"/>
          </w:tcPr>
          <w:p w14:paraId="065BD71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984" w:type="dxa"/>
            <w:noWrap w:val="0"/>
            <w:vAlign w:val="top"/>
          </w:tcPr>
          <w:p w14:paraId="053927C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851" w:type="dxa"/>
            <w:noWrap w:val="0"/>
            <w:vAlign w:val="top"/>
          </w:tcPr>
          <w:p w14:paraId="045C588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774" w:type="dxa"/>
            <w:noWrap w:val="0"/>
            <w:vAlign w:val="top"/>
          </w:tcPr>
          <w:p w14:paraId="5D41943C">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52" w:type="dxa"/>
            <w:noWrap w:val="0"/>
            <w:vAlign w:val="top"/>
          </w:tcPr>
          <w:p w14:paraId="32E9328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418" w:type="dxa"/>
            <w:noWrap w:val="0"/>
            <w:vAlign w:val="top"/>
          </w:tcPr>
          <w:p w14:paraId="313BAFB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c>
          <w:tcPr>
            <w:tcW w:w="1303" w:type="dxa"/>
            <w:noWrap w:val="0"/>
            <w:vAlign w:val="top"/>
          </w:tcPr>
          <w:p w14:paraId="7E8996DB">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p>
        </w:tc>
      </w:tr>
    </w:tbl>
    <w:p w14:paraId="37934256">
      <w:pPr>
        <w:spacing w:line="440" w:lineRule="exact"/>
        <w:rPr>
          <w:rFonts w:eastAsia="仿宋_GB2312"/>
          <w:sz w:val="30"/>
          <w:szCs w:val="30"/>
          <w:highlight w:val="none"/>
        </w:rPr>
      </w:pPr>
    </w:p>
    <w:p w14:paraId="0641EA9A">
      <w:pPr>
        <w:spacing w:line="440" w:lineRule="exact"/>
        <w:jc w:val="center"/>
        <w:rPr>
          <w:rFonts w:eastAsia="黑体"/>
          <w:sz w:val="30"/>
          <w:szCs w:val="30"/>
          <w:highlight w:val="none"/>
        </w:rPr>
      </w:pPr>
      <w:r>
        <w:rPr>
          <w:rFonts w:eastAsia="仿宋_GB2312"/>
          <w:sz w:val="30"/>
          <w:szCs w:val="30"/>
          <w:highlight w:val="none"/>
        </w:rPr>
        <w:br w:type="page" w:clear="all"/>
      </w:r>
      <w:r>
        <w:rPr>
          <w:rFonts w:hint="eastAsia" w:ascii="宋体" w:hAnsi="宋体" w:cs="宋体"/>
          <w:szCs w:val="21"/>
          <w:highlight w:val="none"/>
        </w:rPr>
        <w:t>11-3：专业工程暂估价表</w:t>
      </w:r>
    </w:p>
    <w:tbl>
      <w:tblPr>
        <w:tblStyle w:val="56"/>
        <w:tblW w:w="0" w:type="auto"/>
        <w:tblInd w:w="0" w:type="dxa"/>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Layout w:type="fixed"/>
        <w:tblCellMar>
          <w:top w:w="0" w:type="dxa"/>
          <w:left w:w="28" w:type="dxa"/>
          <w:bottom w:w="0" w:type="dxa"/>
          <w:right w:w="28" w:type="dxa"/>
        </w:tblCellMar>
      </w:tblPr>
      <w:tblGrid>
        <w:gridCol w:w="879"/>
        <w:gridCol w:w="1984"/>
        <w:gridCol w:w="4395"/>
        <w:gridCol w:w="1417"/>
      </w:tblGrid>
      <w:tr w14:paraId="311C853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12" w:space="0"/>
              <w:bottom w:val="single" w:color="auto" w:sz="6" w:space="0"/>
            </w:tcBorders>
            <w:noWrap w:val="0"/>
            <w:vAlign w:val="top"/>
          </w:tcPr>
          <w:p w14:paraId="376092B1">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序号</w:t>
            </w:r>
          </w:p>
        </w:tc>
        <w:tc>
          <w:tcPr>
            <w:tcW w:w="1984" w:type="dxa"/>
            <w:tcBorders>
              <w:top w:val="single" w:color="auto" w:sz="12" w:space="0"/>
              <w:bottom w:val="single" w:color="auto" w:sz="6" w:space="0"/>
            </w:tcBorders>
            <w:noWrap w:val="0"/>
            <w:vAlign w:val="top"/>
          </w:tcPr>
          <w:p w14:paraId="1186E155">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专业工程名称</w:t>
            </w:r>
          </w:p>
        </w:tc>
        <w:tc>
          <w:tcPr>
            <w:tcW w:w="4395" w:type="dxa"/>
            <w:tcBorders>
              <w:top w:val="single" w:color="auto" w:sz="12" w:space="0"/>
              <w:bottom w:val="single" w:color="auto" w:sz="6" w:space="0"/>
            </w:tcBorders>
            <w:noWrap w:val="0"/>
            <w:vAlign w:val="top"/>
          </w:tcPr>
          <w:p w14:paraId="4F380122">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工程内容</w:t>
            </w:r>
          </w:p>
        </w:tc>
        <w:tc>
          <w:tcPr>
            <w:tcW w:w="1417" w:type="dxa"/>
            <w:tcBorders>
              <w:top w:val="single" w:color="auto" w:sz="12" w:space="0"/>
              <w:bottom w:val="single" w:color="auto" w:sz="6" w:space="0"/>
            </w:tcBorders>
            <w:noWrap w:val="0"/>
            <w:vAlign w:val="top"/>
          </w:tcPr>
          <w:p w14:paraId="4698E949">
            <w:pPr>
              <w:pStyle w:val="20"/>
              <w:keepNext/>
              <w:keepLines w:val="0"/>
              <w:suppressLineNumbers w:val="0"/>
              <w:spacing w:before="0" w:beforeAutospacing="0" w:after="0" w:afterAutospacing="0" w:line="440" w:lineRule="exact"/>
              <w:ind w:left="63" w:right="63"/>
              <w:rPr>
                <w:rFonts w:hint="default" w:ascii="等线" w:hAnsi="等线" w:eastAsia="仿宋_GB2312" w:cs="Times New Roman"/>
                <w:sz w:val="24"/>
                <w:highlight w:val="none"/>
              </w:rPr>
            </w:pPr>
            <w:r>
              <w:rPr>
                <w:rFonts w:hint="default" w:ascii="等线" w:hAnsi="等线" w:eastAsia="仿宋_GB2312" w:cs="Times New Roman"/>
                <w:sz w:val="24"/>
                <w:highlight w:val="none"/>
              </w:rPr>
              <w:t>金额</w:t>
            </w:r>
          </w:p>
        </w:tc>
      </w:tr>
      <w:tr w14:paraId="2CDBDA3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single" w:color="auto" w:sz="6" w:space="0"/>
              <w:bottom w:val="single" w:color="auto" w:sz="6" w:space="0"/>
            </w:tcBorders>
            <w:noWrap w:val="0"/>
            <w:vAlign w:val="top"/>
          </w:tcPr>
          <w:p w14:paraId="6BEB21F6">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tcBorders>
              <w:top w:val="single" w:color="auto" w:sz="6" w:space="0"/>
              <w:bottom w:val="single" w:color="auto" w:sz="6" w:space="0"/>
            </w:tcBorders>
            <w:noWrap w:val="0"/>
            <w:vAlign w:val="top"/>
          </w:tcPr>
          <w:p w14:paraId="51A1B18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tcBorders>
              <w:top w:val="single" w:color="auto" w:sz="6" w:space="0"/>
              <w:bottom w:val="single" w:color="auto" w:sz="6" w:space="0"/>
            </w:tcBorders>
            <w:noWrap w:val="0"/>
            <w:vAlign w:val="top"/>
          </w:tcPr>
          <w:p w14:paraId="6C4A9C66">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tcBorders>
              <w:top w:val="single" w:color="auto" w:sz="6" w:space="0"/>
              <w:bottom w:val="single" w:color="auto" w:sz="6" w:space="0"/>
            </w:tcBorders>
            <w:noWrap w:val="0"/>
            <w:vAlign w:val="top"/>
          </w:tcPr>
          <w:p w14:paraId="0DDD51F1">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57BEADD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6FDEFE73">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tcBorders>
              <w:top w:val="nil"/>
            </w:tcBorders>
            <w:noWrap w:val="0"/>
            <w:vAlign w:val="top"/>
          </w:tcPr>
          <w:p w14:paraId="2B530081">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tcBorders>
              <w:top w:val="nil"/>
            </w:tcBorders>
            <w:noWrap w:val="0"/>
            <w:vAlign w:val="top"/>
          </w:tcPr>
          <w:p w14:paraId="78B82ED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tcBorders>
              <w:top w:val="nil"/>
            </w:tcBorders>
            <w:noWrap w:val="0"/>
            <w:vAlign w:val="top"/>
          </w:tcPr>
          <w:p w14:paraId="3B334C1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035A71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tcBorders>
              <w:top w:val="nil"/>
            </w:tcBorders>
            <w:noWrap w:val="0"/>
            <w:vAlign w:val="top"/>
          </w:tcPr>
          <w:p w14:paraId="6F9FC38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tcBorders>
              <w:top w:val="nil"/>
            </w:tcBorders>
            <w:noWrap w:val="0"/>
            <w:vAlign w:val="top"/>
          </w:tcPr>
          <w:p w14:paraId="3C8D897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tcBorders>
              <w:top w:val="nil"/>
            </w:tcBorders>
            <w:noWrap w:val="0"/>
            <w:vAlign w:val="top"/>
          </w:tcPr>
          <w:p w14:paraId="160AE94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tcBorders>
              <w:top w:val="nil"/>
            </w:tcBorders>
            <w:noWrap w:val="0"/>
            <w:vAlign w:val="top"/>
          </w:tcPr>
          <w:p w14:paraId="019C7431">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28BC02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280A0DD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055E7E1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0B95B337">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77BFC68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4E3721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33453D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21A2B62C">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1E61EAD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2DDB5621">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6B045A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4AACE1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6C32BD3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3DB68161">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81E514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7A6571D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5E14D97">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2B091197">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75D5CCE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2BCEA83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157EDFB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C2DB611">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6F72FD9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72C0411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4ED8BC8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657EC2E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351D284">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0120A88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1B56F769">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7354DEA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59430FC1">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300C1D3">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7A300F6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1E2CFF6D">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7213791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6DA1ED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391A43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3FC13D48">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6DC9CB8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7F50D83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6176FE5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861100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2512EB9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3C03275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4258222D">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3EC912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7B349F8">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169FEC46">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7B100FD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2BBDBF7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41C1CA33">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5FD3253">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295C260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7E5ED35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EB58E36">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5581AE75">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EE7A896">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3D2F54B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75F92DF7">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766FF8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548E2BD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403D51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009D99AD">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5D015D24">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40F28268">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50E5999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B56B38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31270E9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065E141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11D5101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4918FAAA">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D328987">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7C85029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4EB090F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C84BB2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3BBC76F">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30240BF6">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463A37E8">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086481F9">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92877B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06940727">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1478EAA8">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3A55022D">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11F4290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1107D91C">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6C3883A0">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F5B7FD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0C5F4ACD">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4C1EEDB3">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1157B3E4">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0C43249B">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67FA0D7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1DC6D8A4">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51DDA53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4B93A39">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74E9BDE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358A295">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7BA6025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2C9E506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0468A8D3">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0BE8D809">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0D9E416B">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1A7F9D4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05F48FF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2E0A22F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C23FEDC">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55348398">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3528D7F0">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0F9A3354">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5FE469CF">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3DF489F6">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79" w:type="dxa"/>
            <w:noWrap w:val="0"/>
            <w:vAlign w:val="top"/>
          </w:tcPr>
          <w:p w14:paraId="757020F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984" w:type="dxa"/>
            <w:noWrap w:val="0"/>
            <w:vAlign w:val="top"/>
          </w:tcPr>
          <w:p w14:paraId="738EE86A">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4395" w:type="dxa"/>
            <w:noWrap w:val="0"/>
            <w:vAlign w:val="top"/>
          </w:tcPr>
          <w:p w14:paraId="131E42FE">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c>
          <w:tcPr>
            <w:tcW w:w="1417" w:type="dxa"/>
            <w:noWrap w:val="0"/>
            <w:vAlign w:val="top"/>
          </w:tcPr>
          <w:p w14:paraId="3D6F49C9">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p>
        </w:tc>
      </w:tr>
      <w:tr w14:paraId="5B24267E">
        <w:tblPrEx>
          <w:tblBorders>
            <w:top w:val="single" w:color="auto" w:sz="12" w:space="0"/>
            <w:left w:val="single" w:color="auto" w:sz="12" w:space="0"/>
            <w:bottom w:val="single" w:color="auto" w:sz="12" w:space="0"/>
            <w:right w:val="single" w:color="auto" w:sz="12" w:space="0"/>
            <w:insideH w:val="single" w:color="auto" w:sz="6" w:space="0"/>
            <w:insideV w:val="single" w:color="auto" w:sz="6" w:space="0"/>
          </w:tblBorders>
          <w:tblCellMar>
            <w:top w:w="0" w:type="dxa"/>
            <w:left w:w="28" w:type="dxa"/>
            <w:bottom w:w="0" w:type="dxa"/>
            <w:right w:w="28" w:type="dxa"/>
          </w:tblCellMar>
        </w:tblPrEx>
        <w:tc>
          <w:tcPr>
            <w:tcW w:w="8675" w:type="dxa"/>
            <w:gridSpan w:val="4"/>
            <w:noWrap w:val="0"/>
            <w:vAlign w:val="top"/>
          </w:tcPr>
          <w:p w14:paraId="42E65452">
            <w:pPr>
              <w:pStyle w:val="20"/>
              <w:keepNext/>
              <w:keepLines w:val="0"/>
              <w:suppressLineNumbers w:val="0"/>
              <w:spacing w:before="0" w:beforeAutospacing="0" w:after="0" w:afterAutospacing="0" w:line="440" w:lineRule="exact"/>
              <w:ind w:left="63" w:right="63"/>
              <w:rPr>
                <w:rFonts w:hint="default" w:ascii="等线" w:hAnsi="等线" w:cs="Times New Roman"/>
                <w:sz w:val="24"/>
                <w:highlight w:val="none"/>
              </w:rPr>
            </w:pPr>
            <w:r>
              <w:rPr>
                <w:rFonts w:hint="default" w:ascii="等线" w:hAnsi="等线" w:eastAsia="仿宋_GB2312" w:cs="Times New Roman"/>
                <w:sz w:val="24"/>
                <w:highlight w:val="none"/>
              </w:rPr>
              <w:t>小计：</w:t>
            </w:r>
          </w:p>
        </w:tc>
      </w:tr>
    </w:tbl>
    <w:p w14:paraId="33E46C34">
      <w:pPr>
        <w:spacing w:line="480" w:lineRule="auto"/>
        <w:rPr>
          <w:rFonts w:hAnsi="宋体"/>
          <w:highlight w:val="none"/>
        </w:rPr>
      </w:pPr>
    </w:p>
    <w:p w14:paraId="61CA2943">
      <w:pPr>
        <w:spacing w:line="440" w:lineRule="exact"/>
        <w:rPr>
          <w:rFonts w:hint="eastAsia" w:ascii="宋体" w:hAnsi="宋体" w:cs="宋体"/>
          <w:szCs w:val="21"/>
          <w:highlight w:val="none"/>
        </w:rPr>
      </w:pPr>
    </w:p>
    <w:p w14:paraId="31697136">
      <w:pPr>
        <w:spacing w:line="440" w:lineRule="exact"/>
        <w:rPr>
          <w:rFonts w:eastAsia="黑体"/>
          <w:sz w:val="30"/>
          <w:szCs w:val="30"/>
          <w:highlight w:val="none"/>
        </w:rPr>
      </w:pPr>
      <w:r>
        <w:rPr>
          <w:rFonts w:hint="eastAsia" w:ascii="宋体" w:hAnsi="宋体" w:cs="宋体"/>
          <w:szCs w:val="21"/>
          <w:highlight w:val="none"/>
        </w:rPr>
        <w:t>附件1</w:t>
      </w:r>
      <w:r>
        <w:rPr>
          <w:rFonts w:hint="eastAsia" w:ascii="宋体" w:hAnsi="宋体" w:cs="宋体"/>
          <w:szCs w:val="21"/>
          <w:highlight w:val="none"/>
          <w:lang w:val="en-US" w:eastAsia="zh-CN"/>
        </w:rPr>
        <w:t>3</w:t>
      </w:r>
      <w:r>
        <w:rPr>
          <w:rFonts w:hint="eastAsia" w:ascii="宋体" w:hAnsi="宋体" w:cs="宋体"/>
          <w:szCs w:val="21"/>
          <w:highlight w:val="none"/>
        </w:rPr>
        <w:t>：</w:t>
      </w:r>
    </w:p>
    <w:p w14:paraId="1111FD5E">
      <w:pPr>
        <w:jc w:val="center"/>
        <w:rPr>
          <w:rFonts w:hint="eastAsia"/>
          <w:b/>
          <w:sz w:val="32"/>
          <w:szCs w:val="32"/>
          <w:highlight w:val="none"/>
        </w:rPr>
      </w:pPr>
      <w:r>
        <w:rPr>
          <w:rFonts w:hint="eastAsia"/>
          <w:b/>
          <w:sz w:val="32"/>
          <w:szCs w:val="32"/>
          <w:highlight w:val="none"/>
        </w:rPr>
        <w:t>质量保修保函</w:t>
      </w:r>
    </w:p>
    <w:p w14:paraId="5DEBC9EB">
      <w:pPr>
        <w:pStyle w:val="477"/>
        <w:spacing w:beforeAutospacing="0" w:afterAutospacing="0" w:line="360" w:lineRule="auto"/>
        <w:ind w:right="-2"/>
        <w:jc w:val="right"/>
        <w:rPr>
          <w:rFonts w:ascii="宋体" w:hAnsi="宋体"/>
          <w:color w:val="auto"/>
          <w:highlight w:val="none"/>
          <w:u w:val="single"/>
        </w:rPr>
      </w:pPr>
      <w:r>
        <w:rPr>
          <w:rFonts w:hint="eastAsia" w:ascii="宋体" w:hAnsi="宋体"/>
          <w:color w:val="auto"/>
          <w:highlight w:val="none"/>
        </w:rPr>
        <w:t>保函编号：</w:t>
      </w:r>
      <w:r>
        <w:rPr>
          <w:rFonts w:hint="eastAsia" w:ascii="宋体" w:hAnsi="宋体"/>
          <w:color w:val="auto"/>
          <w:highlight w:val="none"/>
          <w:u w:val="single"/>
        </w:rPr>
        <w:t xml:space="preserve"> </w:t>
      </w:r>
      <w:r>
        <w:rPr>
          <w:rFonts w:hint="eastAsia" w:ascii="宋体" w:hAnsi="宋体" w:cs="宋体"/>
          <w:color w:val="auto"/>
          <w:highlight w:val="none"/>
          <w:u w:val="single"/>
        </w:rPr>
        <w:t xml:space="preserve">   号</w:t>
      </w:r>
      <w:r>
        <w:rPr>
          <w:rFonts w:hint="eastAsia" w:ascii="宋体" w:hAnsi="宋体"/>
          <w:color w:val="auto"/>
          <w:highlight w:val="none"/>
          <w:u w:val="single"/>
        </w:rPr>
        <w:t xml:space="preserve"> </w:t>
      </w:r>
    </w:p>
    <w:p w14:paraId="3AD79443">
      <w:pPr>
        <w:pStyle w:val="477"/>
        <w:spacing w:beforeAutospacing="0" w:afterAutospacing="0" w:line="360" w:lineRule="auto"/>
        <w:ind w:right="-2"/>
        <w:jc w:val="right"/>
        <w:rPr>
          <w:rFonts w:hint="eastAsia" w:ascii="宋体" w:hAnsi="宋体"/>
          <w:color w:val="auto"/>
          <w:highlight w:val="none"/>
        </w:rPr>
      </w:pPr>
      <w:r>
        <w:rPr>
          <w:rFonts w:hint="eastAsia" w:ascii="宋体" w:hAnsi="宋体"/>
          <w:color w:val="auto"/>
          <w:highlight w:val="none"/>
        </w:rPr>
        <w:t>防伪码：</w:t>
      </w:r>
      <w:r>
        <w:rPr>
          <w:rFonts w:hint="eastAsia" w:ascii="宋体" w:hAnsi="宋体"/>
          <w:color w:val="auto"/>
          <w:highlight w:val="none"/>
          <w:u w:val="single"/>
        </w:rPr>
        <w:t xml:space="preserve">      </w:t>
      </w:r>
      <w:r>
        <w:rPr>
          <w:rFonts w:ascii="宋体" w:hAnsi="宋体"/>
          <w:color w:val="auto"/>
          <w:highlight w:val="none"/>
          <w:u w:val="single"/>
        </w:rPr>
        <w:t xml:space="preserve"> </w:t>
      </w:r>
    </w:p>
    <w:p w14:paraId="51E321A0">
      <w:pPr>
        <w:pStyle w:val="477"/>
        <w:spacing w:before="0" w:beforeAutospacing="0" w:after="0" w:afterAutospacing="0" w:line="360" w:lineRule="auto"/>
        <w:jc w:val="both"/>
        <w:rPr>
          <w:rFonts w:hint="eastAsia" w:ascii="宋体" w:hAnsi="宋体"/>
          <w:color w:val="auto"/>
          <w:highlight w:val="none"/>
          <w:u w:val="single"/>
        </w:rPr>
      </w:pPr>
      <w:r>
        <w:rPr>
          <w:rFonts w:hint="eastAsia"/>
          <w:color w:val="auto"/>
          <w:highlight w:val="none"/>
        </w:rPr>
        <w:t>致</w:t>
      </w:r>
      <w:r>
        <w:rPr>
          <w:rFonts w:hint="eastAsia" w:ascii="Times New Roman" w:hAnsi="Times New Roman"/>
          <w:color w:val="auto"/>
          <w:highlight w:val="none"/>
        </w:rPr>
        <w:t>：</w:t>
      </w:r>
      <w:r>
        <w:rPr>
          <w:rFonts w:hint="eastAsia" w:ascii="宋体" w:hAnsi="宋体"/>
          <w:color w:val="auto"/>
          <w:highlight w:val="none"/>
          <w:u w:val="single"/>
        </w:rPr>
        <w:t xml:space="preserve">                   </w:t>
      </w:r>
      <w:r>
        <w:rPr>
          <w:rFonts w:hint="eastAsia" w:ascii="宋体" w:hAnsi="宋体"/>
          <w:color w:val="auto"/>
          <w:highlight w:val="none"/>
        </w:rPr>
        <w:t>（下称“受益人”）</w:t>
      </w:r>
    </w:p>
    <w:p w14:paraId="54C207F7">
      <w:pPr>
        <w:pStyle w:val="477"/>
        <w:spacing w:before="0" w:beforeAutospacing="0" w:after="0" w:afterAutospacing="0" w:line="360" w:lineRule="auto"/>
        <w:ind w:firstLine="420"/>
        <w:jc w:val="both"/>
        <w:rPr>
          <w:rFonts w:hint="eastAsia" w:ascii="宋体" w:hAnsi="宋体"/>
          <w:color w:val="auto"/>
          <w:highlight w:val="none"/>
        </w:rPr>
      </w:pPr>
      <w:r>
        <w:rPr>
          <w:rFonts w:hint="eastAsia" w:ascii="宋体" w:hAnsi="宋体"/>
          <w:color w:val="auto"/>
          <w:highlight w:val="none"/>
        </w:rPr>
        <w:t>鉴于</w:t>
      </w:r>
      <w:r>
        <w:rPr>
          <w:rFonts w:hint="eastAsia" w:ascii="宋体" w:hAnsi="宋体"/>
          <w:color w:val="auto"/>
          <w:highlight w:val="none"/>
          <w:u w:val="single"/>
        </w:rPr>
        <w:t xml:space="preserve">           </w:t>
      </w:r>
      <w:r>
        <w:rPr>
          <w:rFonts w:hint="eastAsia" w:ascii="宋体" w:hAnsi="宋体"/>
          <w:color w:val="auto"/>
          <w:highlight w:val="none"/>
        </w:rPr>
        <w:t>（下称“被保证人”）</w:t>
      </w:r>
      <w:r>
        <w:rPr>
          <w:rFonts w:hint="eastAsia" w:ascii="宋体" w:hAnsi="宋体"/>
          <w:color w:val="auto"/>
          <w:highlight w:val="none"/>
          <w:u w:val="single"/>
        </w:rPr>
        <w:t xml:space="preserve"> 已/拟</w:t>
      </w:r>
      <w:r>
        <w:rPr>
          <w:rFonts w:hint="eastAsia" w:ascii="宋体" w:hAnsi="宋体"/>
          <w:color w:val="auto"/>
          <w:highlight w:val="none"/>
        </w:rPr>
        <w:t>与受益人签订合同名称为</w:t>
      </w:r>
      <w:r>
        <w:rPr>
          <w:rFonts w:hint="eastAsia" w:ascii="宋体" w:hAnsi="宋体"/>
          <w:color w:val="auto"/>
          <w:highlight w:val="none"/>
          <w:u w:val="single"/>
        </w:rPr>
        <w:t xml:space="preserve">        </w:t>
      </w:r>
      <w:r>
        <w:rPr>
          <w:rFonts w:hint="eastAsia" w:ascii="宋体" w:hAnsi="宋体"/>
          <w:color w:val="auto"/>
          <w:highlight w:val="none"/>
        </w:rPr>
        <w:t>的采购合同（下称“主合同”）。</w:t>
      </w:r>
      <w:bookmarkStart w:id="1998" w:name="REVIEW_BM_2097"/>
      <w:r>
        <w:rPr>
          <w:rFonts w:hint="eastAsia" w:ascii="宋体" w:hAnsi="宋体"/>
          <w:color w:val="auto"/>
          <w:highlight w:val="none"/>
        </w:rPr>
        <w:t>我方</w:t>
      </w:r>
      <w:bookmarkEnd w:id="1998"/>
      <w:r>
        <w:rPr>
          <w:rFonts w:hint="eastAsia" w:ascii="宋体" w:hAnsi="宋体"/>
          <w:color w:val="auto"/>
          <w:highlight w:val="none"/>
        </w:rPr>
        <w:t>在此接受被保证人的委托，向受益人提供见索即付的质量保修保函：</w:t>
      </w:r>
    </w:p>
    <w:p w14:paraId="0BFC17D2">
      <w:pPr>
        <w:pStyle w:val="477"/>
        <w:spacing w:before="0" w:beforeAutospacing="0" w:after="0" w:afterAutospacing="0" w:line="360" w:lineRule="auto"/>
        <w:ind w:firstLine="420"/>
        <w:jc w:val="both"/>
        <w:rPr>
          <w:rFonts w:hint="eastAsia" w:ascii="宋体" w:hAnsi="宋体"/>
          <w:color w:val="auto"/>
          <w:highlight w:val="none"/>
          <w:u w:val="single"/>
        </w:rPr>
      </w:pPr>
      <w:r>
        <w:rPr>
          <w:rFonts w:hint="eastAsia" w:ascii="宋体" w:hAnsi="宋体"/>
          <w:color w:val="auto"/>
          <w:highlight w:val="none"/>
        </w:rPr>
        <w:t>一、 本保函最高担保金额为人民币</w:t>
      </w:r>
      <w:r>
        <w:rPr>
          <w:rFonts w:hint="eastAsia" w:ascii="宋体" w:hAnsi="宋体"/>
          <w:color w:val="auto"/>
          <w:highlight w:val="none"/>
          <w:u w:val="single"/>
        </w:rPr>
        <w:t xml:space="preserve">        </w:t>
      </w:r>
      <w:r>
        <w:rPr>
          <w:rFonts w:hint="eastAsia" w:ascii="宋体" w:hAnsi="宋体"/>
          <w:color w:val="auto"/>
          <w:highlight w:val="none"/>
        </w:rPr>
        <w:t>（大写）¥</w:t>
      </w:r>
      <w:r>
        <w:rPr>
          <w:rFonts w:hint="eastAsia" w:ascii="宋体" w:hAnsi="宋体"/>
          <w:color w:val="auto"/>
          <w:highlight w:val="none"/>
          <w:u w:val="single"/>
        </w:rPr>
        <w:t xml:space="preserve">     </w:t>
      </w:r>
      <w:r>
        <w:rPr>
          <w:rFonts w:hint="eastAsia" w:ascii="宋体" w:hAnsi="宋体"/>
          <w:color w:val="auto"/>
          <w:highlight w:val="none"/>
        </w:rPr>
        <w:t>元（小写）。</w:t>
      </w:r>
    </w:p>
    <w:p w14:paraId="1744AE46">
      <w:pPr>
        <w:pStyle w:val="477"/>
        <w:spacing w:before="0" w:beforeAutospacing="0" w:after="0" w:afterAutospacing="0" w:line="360" w:lineRule="auto"/>
        <w:ind w:firstLine="420"/>
        <w:jc w:val="both"/>
        <w:rPr>
          <w:rFonts w:hint="eastAsia" w:ascii="宋体" w:hAnsi="宋体"/>
          <w:color w:val="auto"/>
          <w:highlight w:val="none"/>
        </w:rPr>
      </w:pPr>
      <w:r>
        <w:rPr>
          <w:rFonts w:hint="eastAsia" w:ascii="宋体" w:hAnsi="宋体"/>
          <w:color w:val="auto"/>
          <w:highlight w:val="none"/>
        </w:rPr>
        <w:t>二、本保函有效期自本保函开立之日起至</w:t>
      </w:r>
      <w:r>
        <w:rPr>
          <w:rFonts w:hint="eastAsia" w:ascii="宋体" w:hAnsi="宋体"/>
          <w:color w:val="auto"/>
          <w:highlight w:val="none"/>
          <w:u w:val="single"/>
        </w:rPr>
        <w:t xml:space="preserve">   </w:t>
      </w:r>
      <w:r>
        <w:rPr>
          <w:rFonts w:hint="eastAsia" w:ascii="宋体" w:hAnsi="宋体"/>
          <w:color w:val="auto"/>
          <w:highlight w:val="none"/>
        </w:rPr>
        <w:t>年</w:t>
      </w:r>
      <w:r>
        <w:rPr>
          <w:rFonts w:hint="eastAsia" w:ascii="宋体" w:hAnsi="宋体"/>
          <w:color w:val="auto"/>
          <w:highlight w:val="none"/>
          <w:u w:val="single"/>
        </w:rPr>
        <w:t xml:space="preserve">  </w:t>
      </w:r>
      <w:r>
        <w:rPr>
          <w:rFonts w:hint="eastAsia" w:ascii="宋体" w:hAnsi="宋体"/>
          <w:color w:val="auto"/>
          <w:highlight w:val="none"/>
        </w:rPr>
        <w:t>月</w:t>
      </w:r>
      <w:r>
        <w:rPr>
          <w:rFonts w:hint="eastAsia" w:ascii="宋体" w:hAnsi="宋体"/>
          <w:color w:val="auto"/>
          <w:highlight w:val="none"/>
          <w:u w:val="single"/>
        </w:rPr>
        <w:t xml:space="preserve">   </w:t>
      </w:r>
      <w:r>
        <w:rPr>
          <w:rFonts w:hint="eastAsia" w:ascii="宋体" w:hAnsi="宋体"/>
          <w:color w:val="auto"/>
          <w:highlight w:val="none"/>
        </w:rPr>
        <w:t>日止。</w:t>
      </w:r>
    </w:p>
    <w:p w14:paraId="5F66D1C2">
      <w:pPr>
        <w:pStyle w:val="477"/>
        <w:spacing w:before="0" w:beforeAutospacing="0" w:after="0" w:afterAutospacing="0" w:line="360" w:lineRule="auto"/>
        <w:ind w:firstLine="420"/>
        <w:jc w:val="both"/>
        <w:rPr>
          <w:rFonts w:ascii="宋体" w:hAnsi="宋体"/>
          <w:color w:val="auto"/>
          <w:highlight w:val="none"/>
        </w:rPr>
      </w:pPr>
      <w:r>
        <w:rPr>
          <w:rFonts w:hint="eastAsia" w:ascii="宋体" w:hAnsi="宋体"/>
          <w:color w:val="auto"/>
          <w:highlight w:val="none"/>
        </w:rPr>
        <w:t>三、被保证人未能在主合同约定的缺陷责任期内对建设工程出现的缺陷进行维修，</w:t>
      </w:r>
      <w:bookmarkStart w:id="1999" w:name="REVIEW_BM_2098"/>
      <w:r>
        <w:rPr>
          <w:rFonts w:hint="eastAsia" w:ascii="宋体" w:hAnsi="宋体"/>
          <w:color w:val="auto"/>
          <w:highlight w:val="none"/>
        </w:rPr>
        <w:t>我方</w:t>
      </w:r>
      <w:bookmarkEnd w:id="1999"/>
      <w:r>
        <w:rPr>
          <w:rFonts w:hint="eastAsia" w:ascii="宋体" w:hAnsi="宋体"/>
          <w:color w:val="auto"/>
          <w:highlight w:val="none"/>
        </w:rPr>
        <w:t>保证在本保函有效期内收到受益人的书面索赔通知、本保函原件、人民法院出具的被保证人应承担赔偿责任的生效判决文书后</w:t>
      </w:r>
      <w:r>
        <w:rPr>
          <w:rFonts w:hint="eastAsia" w:ascii="宋体" w:hAnsi="宋体"/>
          <w:color w:val="auto"/>
          <w:highlight w:val="none"/>
          <w:u w:val="single"/>
        </w:rPr>
        <w:t>3</w:t>
      </w:r>
      <w:r>
        <w:rPr>
          <w:rFonts w:ascii="宋体" w:hAnsi="宋体"/>
          <w:color w:val="auto"/>
          <w:highlight w:val="none"/>
          <w:u w:val="single"/>
        </w:rPr>
        <w:t>0</w:t>
      </w:r>
      <w:r>
        <w:rPr>
          <w:rFonts w:hint="eastAsia" w:ascii="宋体" w:hAnsi="宋体"/>
          <w:color w:val="auto"/>
          <w:highlight w:val="none"/>
        </w:rPr>
        <w:t>个工作日内向受益人支付索赔款，直至本保函的最高担保金额。</w:t>
      </w:r>
    </w:p>
    <w:p w14:paraId="59AD1021">
      <w:pPr>
        <w:pStyle w:val="477"/>
        <w:spacing w:before="0" w:beforeAutospacing="0" w:after="0" w:afterAutospacing="0" w:line="360" w:lineRule="auto"/>
        <w:ind w:firstLine="420"/>
        <w:jc w:val="both"/>
        <w:rPr>
          <w:rFonts w:hint="eastAsia" w:ascii="宋体" w:hAnsi="宋体"/>
          <w:color w:val="auto"/>
          <w:highlight w:val="none"/>
        </w:rPr>
      </w:pPr>
      <w:r>
        <w:rPr>
          <w:rFonts w:hint="eastAsia" w:ascii="宋体" w:hAnsi="宋体"/>
          <w:color w:val="auto"/>
          <w:highlight w:val="none"/>
        </w:rPr>
        <w:t>四、本保函最高担保金额随</w:t>
      </w:r>
      <w:bookmarkStart w:id="2000" w:name="REVIEW_BM_2099"/>
      <w:r>
        <w:rPr>
          <w:rFonts w:hint="eastAsia" w:ascii="宋体" w:hAnsi="宋体"/>
          <w:color w:val="auto"/>
          <w:highlight w:val="none"/>
        </w:rPr>
        <w:t>我方</w:t>
      </w:r>
      <w:bookmarkEnd w:id="2000"/>
      <w:r>
        <w:rPr>
          <w:rFonts w:hint="eastAsia" w:ascii="宋体" w:hAnsi="宋体"/>
          <w:color w:val="auto"/>
          <w:highlight w:val="none"/>
        </w:rPr>
        <w:t>已支付的索赔款而相应递减。</w:t>
      </w:r>
    </w:p>
    <w:p w14:paraId="34EB9620">
      <w:pPr>
        <w:pStyle w:val="477"/>
        <w:spacing w:before="0" w:beforeAutospacing="0" w:after="0" w:afterAutospacing="0" w:line="360" w:lineRule="auto"/>
        <w:ind w:firstLine="420"/>
        <w:jc w:val="both"/>
        <w:rPr>
          <w:rFonts w:hint="eastAsia" w:ascii="宋体" w:hAnsi="宋体"/>
          <w:color w:val="auto"/>
          <w:highlight w:val="none"/>
        </w:rPr>
      </w:pPr>
      <w:r>
        <w:rPr>
          <w:rFonts w:hint="eastAsia" w:ascii="宋体" w:hAnsi="宋体"/>
          <w:color w:val="auto"/>
          <w:highlight w:val="none"/>
        </w:rPr>
        <w:t>五、保函有效期届满，或我方向受益人支付的索赔款已达本保函的最高担保金额，我方在本保函项下的责任解除。</w:t>
      </w:r>
    </w:p>
    <w:p w14:paraId="1C33B3C1">
      <w:pPr>
        <w:pStyle w:val="477"/>
        <w:spacing w:before="0" w:beforeAutospacing="0" w:after="0" w:afterAutospacing="0" w:line="360" w:lineRule="auto"/>
        <w:ind w:firstLine="420"/>
        <w:jc w:val="both"/>
        <w:rPr>
          <w:rFonts w:ascii="宋体" w:hAnsi="宋体"/>
          <w:color w:val="auto"/>
          <w:highlight w:val="none"/>
        </w:rPr>
      </w:pPr>
      <w:r>
        <w:rPr>
          <w:rFonts w:hint="eastAsia" w:ascii="宋体" w:hAnsi="宋体"/>
          <w:color w:val="auto"/>
          <w:highlight w:val="none"/>
        </w:rPr>
        <w:t>六、本保函项下主合同不成立、不生效、无效、被撤销，本保函依然有效。</w:t>
      </w:r>
    </w:p>
    <w:p w14:paraId="64640137">
      <w:pPr>
        <w:pStyle w:val="477"/>
        <w:spacing w:before="0" w:beforeAutospacing="0" w:after="0" w:afterAutospacing="0" w:line="360" w:lineRule="auto"/>
        <w:ind w:firstLine="420"/>
        <w:jc w:val="both"/>
        <w:rPr>
          <w:rFonts w:ascii="宋体" w:hAnsi="宋体"/>
          <w:color w:val="auto"/>
          <w:highlight w:val="none"/>
        </w:rPr>
      </w:pPr>
      <w:r>
        <w:rPr>
          <w:rFonts w:hint="eastAsia" w:ascii="宋体" w:hAnsi="宋体"/>
          <w:color w:val="auto"/>
          <w:highlight w:val="none"/>
        </w:rPr>
        <w:t>七</w:t>
      </w:r>
      <w:r>
        <w:rPr>
          <w:rFonts w:ascii="宋体" w:hAnsi="宋体"/>
          <w:color w:val="auto"/>
          <w:highlight w:val="none"/>
        </w:rPr>
        <w:t>、</w:t>
      </w:r>
      <w:r>
        <w:rPr>
          <w:rFonts w:hint="eastAsia" w:ascii="宋体" w:hAnsi="宋体"/>
          <w:color w:val="auto"/>
          <w:highlight w:val="none"/>
        </w:rPr>
        <w:t>本保函项下的权利不得转让及设定担保。</w:t>
      </w:r>
    </w:p>
    <w:p w14:paraId="61DB1850">
      <w:pPr>
        <w:pStyle w:val="477"/>
        <w:spacing w:before="0" w:beforeAutospacing="0" w:after="0" w:afterAutospacing="0" w:line="360" w:lineRule="auto"/>
        <w:ind w:firstLine="420"/>
        <w:jc w:val="both"/>
        <w:rPr>
          <w:rFonts w:ascii="宋体" w:hAnsi="宋体"/>
          <w:color w:val="auto"/>
          <w:highlight w:val="none"/>
        </w:rPr>
      </w:pPr>
      <w:r>
        <w:rPr>
          <w:rFonts w:hint="eastAsia" w:ascii="宋体" w:hAnsi="宋体"/>
          <w:color w:val="auto"/>
          <w:highlight w:val="none"/>
        </w:rPr>
        <w:t>八、本保函适用中华人民共和国法律，如有争议，诉讼管辖法院为</w:t>
      </w:r>
      <w:bookmarkStart w:id="2001" w:name="REVIEW_BM_2100"/>
      <w:r>
        <w:rPr>
          <w:rFonts w:hint="eastAsia" w:ascii="宋体" w:hAnsi="宋体"/>
          <w:color w:val="auto"/>
          <w:highlight w:val="none"/>
        </w:rPr>
        <w:t>我方</w:t>
      </w:r>
      <w:bookmarkEnd w:id="2001"/>
      <w:r>
        <w:rPr>
          <w:rFonts w:hint="eastAsia" w:ascii="宋体" w:hAnsi="宋体"/>
          <w:color w:val="auto"/>
          <w:highlight w:val="none"/>
        </w:rPr>
        <w:t>所在地人民法院。</w:t>
      </w:r>
    </w:p>
    <w:p w14:paraId="3CC00765">
      <w:pPr>
        <w:spacing w:line="360" w:lineRule="auto"/>
        <w:ind w:firstLine="420"/>
        <w:rPr>
          <w:rFonts w:hint="eastAsia" w:ascii="宋体" w:hAnsi="宋体" w:cs="宋体"/>
          <w:szCs w:val="21"/>
          <w:highlight w:val="none"/>
        </w:rPr>
      </w:pPr>
    </w:p>
    <w:p w14:paraId="645D3761">
      <w:pPr>
        <w:spacing w:line="360" w:lineRule="auto"/>
        <w:ind w:firstLine="420"/>
        <w:rPr>
          <w:rFonts w:hint="eastAsia" w:ascii="宋体" w:hAnsi="宋体" w:cs="宋体"/>
          <w:szCs w:val="21"/>
          <w:highlight w:val="none"/>
        </w:rPr>
      </w:pPr>
    </w:p>
    <w:p w14:paraId="2B55BD4B">
      <w:pPr>
        <w:spacing w:line="360" w:lineRule="auto"/>
        <w:rPr>
          <w:rFonts w:ascii="宋体" w:hAnsi="宋体" w:cs="宋体"/>
          <w:szCs w:val="21"/>
          <w:highlight w:val="none"/>
        </w:rPr>
      </w:pPr>
    </w:p>
    <w:p w14:paraId="298864AD">
      <w:pPr>
        <w:spacing w:line="360" w:lineRule="auto"/>
        <w:rPr>
          <w:rFonts w:ascii="宋体" w:hAnsi="宋体" w:cs="宋体"/>
          <w:szCs w:val="21"/>
          <w:highlight w:val="none"/>
        </w:rPr>
      </w:pPr>
      <w:r>
        <w:rPr>
          <w:rFonts w:hint="eastAsia" w:ascii="宋体" w:hAnsi="宋体" w:cs="宋体"/>
          <w:szCs w:val="21"/>
          <w:highlight w:val="none"/>
        </w:rPr>
        <w:t>担保人（盖章）：</w:t>
      </w:r>
      <w:r>
        <w:rPr>
          <w:rFonts w:hint="eastAsia" w:ascii="宋体" w:hAnsi="宋体"/>
          <w:szCs w:val="21"/>
          <w:highlight w:val="none"/>
          <w:u w:val="single"/>
        </w:rPr>
        <w:t xml:space="preserve">             </w:t>
      </w:r>
    </w:p>
    <w:p w14:paraId="6D680BDA">
      <w:pPr>
        <w:spacing w:line="360" w:lineRule="auto"/>
        <w:rPr>
          <w:rFonts w:hint="eastAsia" w:ascii="宋体" w:hAnsi="宋体" w:cs="宋体"/>
          <w:szCs w:val="21"/>
          <w:highlight w:val="none"/>
          <w:u w:val="single"/>
        </w:rPr>
      </w:pPr>
      <w:r>
        <w:rPr>
          <w:rFonts w:hint="eastAsia" w:ascii="宋体" w:hAnsi="宋体" w:cs="宋体"/>
          <w:szCs w:val="21"/>
          <w:highlight w:val="none"/>
        </w:rPr>
        <w:t>负责人或其授权委托代理人（签字或盖章）：</w:t>
      </w:r>
      <w:r>
        <w:rPr>
          <w:rFonts w:hint="eastAsia" w:ascii="宋体" w:hAnsi="宋体" w:cs="宋体"/>
          <w:szCs w:val="21"/>
          <w:highlight w:val="none"/>
          <w:u w:val="single"/>
        </w:rPr>
        <w:t xml:space="preserve">                      </w:t>
      </w:r>
    </w:p>
    <w:p w14:paraId="764A9F9E">
      <w:pPr>
        <w:spacing w:line="360" w:lineRule="auto"/>
        <w:rPr>
          <w:rFonts w:hint="eastAsia" w:ascii="宋体"/>
          <w:szCs w:val="21"/>
          <w:highlight w:val="none"/>
          <w:u w:val="single"/>
        </w:rPr>
      </w:pPr>
      <w:r>
        <w:rPr>
          <w:rFonts w:hint="eastAsia" w:ascii="宋体" w:hAnsi="宋体" w:cs="宋体"/>
          <w:szCs w:val="21"/>
          <w:highlight w:val="none"/>
        </w:rPr>
        <w:t>单位地址：</w:t>
      </w:r>
      <w:r>
        <w:rPr>
          <w:rFonts w:hint="eastAsia" w:ascii="宋体"/>
          <w:szCs w:val="21"/>
          <w:highlight w:val="none"/>
          <w:u w:val="single"/>
        </w:rPr>
        <w:t xml:space="preserve">               </w:t>
      </w:r>
    </w:p>
    <w:p w14:paraId="4FD8FD98">
      <w:pPr>
        <w:spacing w:line="360" w:lineRule="auto"/>
        <w:rPr>
          <w:rFonts w:hint="eastAsia" w:ascii="宋体"/>
          <w:szCs w:val="21"/>
          <w:highlight w:val="none"/>
          <w:u w:val="single"/>
        </w:rPr>
      </w:pPr>
      <w:r>
        <w:rPr>
          <w:rFonts w:hint="eastAsia" w:ascii="宋体" w:hAnsi="宋体" w:cs="宋体"/>
          <w:szCs w:val="21"/>
          <w:highlight w:val="none"/>
        </w:rPr>
        <w:t>邮政编号：</w:t>
      </w:r>
      <w:r>
        <w:rPr>
          <w:rFonts w:hint="eastAsia" w:ascii="宋体"/>
          <w:szCs w:val="21"/>
          <w:highlight w:val="none"/>
          <w:u w:val="single"/>
        </w:rPr>
        <w:t xml:space="preserve">           </w:t>
      </w:r>
    </w:p>
    <w:p w14:paraId="555AFFDF">
      <w:pPr>
        <w:spacing w:line="360" w:lineRule="auto"/>
        <w:rPr>
          <w:rFonts w:hint="eastAsia" w:ascii="宋体" w:hAnsi="宋体" w:cs="宋体"/>
          <w:szCs w:val="21"/>
          <w:highlight w:val="none"/>
        </w:rPr>
      </w:pPr>
      <w:r>
        <w:rPr>
          <w:rFonts w:hint="eastAsia" w:ascii="宋体" w:hAnsi="宋体" w:cs="宋体"/>
          <w:szCs w:val="21"/>
          <w:highlight w:val="none"/>
        </w:rPr>
        <w:t>电话：</w:t>
      </w:r>
      <w:r>
        <w:rPr>
          <w:rFonts w:hint="eastAsia" w:ascii="宋体" w:hAnsi="宋体" w:cs="宋体"/>
          <w:szCs w:val="21"/>
          <w:highlight w:val="none"/>
          <w:u w:val="single"/>
        </w:rPr>
        <w:t xml:space="preserve">            </w:t>
      </w:r>
      <w:r>
        <w:rPr>
          <w:rFonts w:hint="eastAsia" w:ascii="宋体" w:hAnsi="宋体" w:cs="宋体"/>
          <w:szCs w:val="21"/>
          <w:highlight w:val="none"/>
        </w:rPr>
        <w:t xml:space="preserve">  </w:t>
      </w:r>
    </w:p>
    <w:p w14:paraId="4100FD90">
      <w:pPr>
        <w:spacing w:line="360" w:lineRule="auto"/>
        <w:rPr>
          <w:rFonts w:ascii="宋体" w:hAnsi="宋体" w:cs="宋体"/>
          <w:szCs w:val="21"/>
          <w:highlight w:val="none"/>
          <w:u w:val="single"/>
        </w:rPr>
      </w:pPr>
      <w:r>
        <w:rPr>
          <w:rFonts w:hint="eastAsia" w:ascii="宋体" w:hAnsi="宋体" w:cs="宋体"/>
          <w:szCs w:val="21"/>
          <w:highlight w:val="none"/>
        </w:rPr>
        <w:t>传真：</w:t>
      </w:r>
      <w:r>
        <w:rPr>
          <w:rFonts w:hint="eastAsia" w:ascii="宋体" w:hAnsi="宋体" w:cs="宋体"/>
          <w:szCs w:val="21"/>
          <w:highlight w:val="none"/>
          <w:u w:val="single"/>
        </w:rPr>
        <w:t xml:space="preserve">             </w:t>
      </w:r>
    </w:p>
    <w:p w14:paraId="1C056FDD">
      <w:pPr>
        <w:spacing w:line="360" w:lineRule="auto"/>
        <w:rPr>
          <w:rFonts w:hint="eastAsia" w:ascii="宋体" w:hAnsi="宋体" w:cs="宋体"/>
          <w:szCs w:val="21"/>
          <w:highlight w:val="none"/>
        </w:rPr>
      </w:pPr>
      <w:r>
        <w:rPr>
          <w:rFonts w:hint="eastAsia" w:ascii="宋体" w:hAnsi="宋体" w:cs="宋体"/>
          <w:szCs w:val="21"/>
          <w:highlight w:val="none"/>
        </w:rPr>
        <w:t>日期：</w:t>
      </w:r>
      <w:r>
        <w:rPr>
          <w:rFonts w:hint="eastAsia" w:ascii="宋体" w:hAnsi="宋体" w:cs="宋体"/>
          <w:szCs w:val="21"/>
          <w:highlight w:val="none"/>
          <w:u w:val="single"/>
        </w:rPr>
        <w:t xml:space="preserve">    </w:t>
      </w:r>
      <w:r>
        <w:rPr>
          <w:rFonts w:hint="eastAsia" w:ascii="宋体" w:hAnsi="宋体" w:cs="宋体"/>
          <w:szCs w:val="21"/>
          <w:highlight w:val="none"/>
        </w:rPr>
        <w:t>年</w:t>
      </w:r>
      <w:r>
        <w:rPr>
          <w:rFonts w:hint="eastAsia" w:ascii="宋体" w:hAnsi="宋体" w:cs="宋体"/>
          <w:szCs w:val="21"/>
          <w:highlight w:val="none"/>
          <w:u w:val="single"/>
        </w:rPr>
        <w:t xml:space="preserve">    </w:t>
      </w:r>
      <w:r>
        <w:rPr>
          <w:rFonts w:hint="eastAsia" w:ascii="宋体" w:hAnsi="宋体" w:cs="宋体"/>
          <w:szCs w:val="21"/>
          <w:highlight w:val="none"/>
        </w:rPr>
        <w:t>月</w:t>
      </w:r>
      <w:r>
        <w:rPr>
          <w:rFonts w:hint="eastAsia" w:ascii="宋体" w:hAnsi="宋体" w:cs="宋体"/>
          <w:szCs w:val="21"/>
          <w:highlight w:val="none"/>
          <w:u w:val="single"/>
        </w:rPr>
        <w:t xml:space="preserve">     </w:t>
      </w:r>
      <w:r>
        <w:rPr>
          <w:rFonts w:hint="eastAsia" w:ascii="宋体" w:hAnsi="宋体" w:cs="宋体"/>
          <w:szCs w:val="21"/>
          <w:highlight w:val="none"/>
        </w:rPr>
        <w:t>日</w:t>
      </w:r>
    </w:p>
    <w:p w14:paraId="28053A08">
      <w:pPr>
        <w:spacing w:line="360" w:lineRule="auto"/>
        <w:ind w:firstLine="1680"/>
        <w:rPr>
          <w:szCs w:val="21"/>
          <w:highlight w:val="none"/>
        </w:rPr>
      </w:pPr>
      <w:r>
        <w:rPr>
          <w:rFonts w:hint="eastAsia"/>
          <w:highlight w:val="none"/>
        </w:rPr>
        <w:t>（本保函失效后，请将</w:t>
      </w:r>
      <w:bookmarkStart w:id="2002" w:name="REVIEW_BM_2102"/>
      <w:r>
        <w:rPr>
          <w:rFonts w:hint="eastAsia"/>
          <w:highlight w:val="none"/>
        </w:rPr>
        <w:t>原件</w:t>
      </w:r>
      <w:bookmarkEnd w:id="2002"/>
      <w:r>
        <w:rPr>
          <w:rFonts w:hint="eastAsia"/>
          <w:highlight w:val="none"/>
        </w:rPr>
        <w:t>退回我</w:t>
      </w:r>
      <w:bookmarkStart w:id="2003" w:name="REVIEW_BM_2101"/>
      <w:r>
        <w:rPr>
          <w:rFonts w:hint="eastAsia"/>
          <w:highlight w:val="none"/>
        </w:rPr>
        <w:t>乙方</w:t>
      </w:r>
      <w:bookmarkEnd w:id="2003"/>
      <w:r>
        <w:rPr>
          <w:rFonts w:hint="eastAsia"/>
          <w:highlight w:val="none"/>
        </w:rPr>
        <w:t>注销）</w:t>
      </w:r>
      <w:r>
        <w:rPr>
          <w:rFonts w:hint="eastAsia" w:ascii="宋体" w:hAnsi="宋体" w:cs="宋体"/>
          <w:szCs w:val="21"/>
          <w:highlight w:val="none"/>
        </w:rPr>
        <w:t xml:space="preserve"> </w:t>
      </w:r>
    </w:p>
    <w:p w14:paraId="65084E7C">
      <w:pPr>
        <w:rPr>
          <w:rFonts w:hint="eastAsia"/>
          <w:highlight w:val="none"/>
        </w:rPr>
      </w:pPr>
    </w:p>
    <w:p w14:paraId="5FFED699">
      <w:pPr>
        <w:spacing w:line="440" w:lineRule="exact"/>
        <w:rPr>
          <w:rFonts w:hint="eastAsia"/>
          <w:highlight w:val="none"/>
        </w:rPr>
      </w:pPr>
      <w:bookmarkStart w:id="2004" w:name="_Toc120174328"/>
      <w:bookmarkStart w:id="2005" w:name="_Toc8542"/>
      <w:r>
        <w:rPr>
          <w:rFonts w:hint="eastAsia" w:ascii="宋体" w:hAnsi="宋体" w:cs="宋体"/>
          <w:b/>
          <w:highlight w:val="none"/>
        </w:rPr>
        <w:br w:type="page" w:clear="all"/>
      </w:r>
      <w:r>
        <w:rPr>
          <w:rFonts w:hint="eastAsia" w:ascii="宋体" w:hAnsi="宋体" w:eastAsia="宋体" w:cs="宋体"/>
          <w:szCs w:val="21"/>
          <w:highlight w:val="none"/>
        </w:rPr>
        <w:t>附件1</w:t>
      </w:r>
      <w:r>
        <w:rPr>
          <w:rFonts w:hint="eastAsia" w:ascii="宋体" w:hAnsi="宋体" w:eastAsia="宋体" w:cs="宋体"/>
          <w:szCs w:val="21"/>
          <w:highlight w:val="none"/>
          <w:lang w:val="en-US" w:eastAsia="zh-CN"/>
        </w:rPr>
        <w:t>4</w:t>
      </w:r>
      <w:r>
        <w:rPr>
          <w:rFonts w:hint="eastAsia" w:ascii="宋体" w:hAnsi="宋体" w:eastAsia="宋体" w:cs="宋体"/>
          <w:szCs w:val="21"/>
          <w:highlight w:val="none"/>
        </w:rPr>
        <w:t>：</w:t>
      </w:r>
    </w:p>
    <w:p w14:paraId="1BBBA374">
      <w:pPr>
        <w:jc w:val="center"/>
        <w:rPr>
          <w:rFonts w:hint="eastAsia"/>
          <w:b/>
          <w:sz w:val="36"/>
          <w:szCs w:val="36"/>
          <w:highlight w:val="none"/>
        </w:rPr>
      </w:pPr>
      <w:r>
        <w:rPr>
          <w:rFonts w:hint="eastAsia"/>
          <w:b/>
          <w:sz w:val="36"/>
          <w:szCs w:val="36"/>
          <w:highlight w:val="none"/>
        </w:rPr>
        <w:t>预付款支付申请（核准）表</w:t>
      </w:r>
    </w:p>
    <w:p w14:paraId="60B64A8A">
      <w:pPr>
        <w:rPr>
          <w:rFonts w:hint="eastAsia"/>
          <w:sz w:val="24"/>
          <w:szCs w:val="24"/>
          <w:highlight w:val="none"/>
        </w:rPr>
      </w:pPr>
      <w:r>
        <w:rPr>
          <w:rFonts w:hint="eastAsia"/>
          <w:sz w:val="24"/>
          <w:szCs w:val="24"/>
          <w:highlight w:val="none"/>
        </w:rPr>
        <w:t>工程名称：                                             编号：</w:t>
      </w:r>
    </w:p>
    <w:tbl>
      <w:tblPr>
        <w:tblStyle w:val="56"/>
        <w:tblW w:w="9185"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185"/>
      </w:tblGrid>
      <w:tr w14:paraId="28DBB54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185" w:type="dxa"/>
            <w:noWrap w:val="0"/>
            <w:vAlign w:val="top"/>
          </w:tcPr>
          <w:p w14:paraId="0902AC2B">
            <w:pPr>
              <w:keepNext w:val="0"/>
              <w:keepLines w:val="0"/>
              <w:suppressLineNumbers w:val="0"/>
              <w:spacing w:before="0" w:beforeAutospacing="0" w:after="0" w:afterAutospacing="0" w:line="480" w:lineRule="exact"/>
              <w:ind w:left="525" w:right="0" w:hanging="212"/>
              <w:rPr>
                <w:rFonts w:hint="eastAsia" w:ascii="Times New Roman" w:hAnsi="Times New Roman" w:cs="Times New Roman"/>
                <w:highlight w:val="none"/>
                <w:u w:val="single"/>
              </w:rPr>
            </w:pPr>
            <w:r>
              <w:rPr>
                <w:rFonts w:hint="eastAsia" w:ascii="Times New Roman" w:hAnsi="Times New Roman" w:cs="Times New Roman"/>
                <w:highlight w:val="none"/>
              </w:rPr>
              <w:t>致：</w:t>
            </w:r>
            <w:r>
              <w:rPr>
                <w:rFonts w:hint="eastAsia" w:ascii="Times New Roman" w:hAnsi="Times New Roman" w:cs="Times New Roman"/>
                <w:highlight w:val="none"/>
                <w:u w:val="single"/>
              </w:rPr>
              <w:t xml:space="preserve">                                   （</w:t>
            </w:r>
            <w:bookmarkStart w:id="2006" w:name="REVIEW_BM_2103"/>
            <w:r>
              <w:rPr>
                <w:rFonts w:hint="eastAsia" w:ascii="Times New Roman" w:hAnsi="Times New Roman" w:cs="Times New Roman"/>
                <w:highlight w:val="none"/>
                <w:u w:val="single"/>
              </w:rPr>
              <w:t>发包人</w:t>
            </w:r>
            <w:bookmarkEnd w:id="2006"/>
            <w:r>
              <w:rPr>
                <w:rFonts w:hint="eastAsia" w:ascii="Times New Roman" w:hAnsi="Times New Roman" w:cs="Times New Roman"/>
                <w:highlight w:val="none"/>
                <w:u w:val="single"/>
              </w:rPr>
              <w:t>全称）</w:t>
            </w:r>
          </w:p>
          <w:p w14:paraId="19E19909">
            <w:pPr>
              <w:keepNext w:val="0"/>
              <w:keepLines w:val="0"/>
              <w:suppressLineNumbers w:val="0"/>
              <w:spacing w:before="0" w:beforeAutospacing="0" w:after="0" w:afterAutospacing="0" w:line="400" w:lineRule="exact"/>
              <w:ind w:left="-4" w:right="0" w:firstLine="315"/>
              <w:rPr>
                <w:rFonts w:hint="eastAsia" w:ascii="Times New Roman" w:hAnsi="Times New Roman" w:cs="Times New Roman"/>
                <w:highlight w:val="none"/>
              </w:rPr>
            </w:pPr>
            <w:bookmarkStart w:id="2007" w:name="REVIEW_BM_2104"/>
            <w:r>
              <w:rPr>
                <w:rFonts w:hint="eastAsia" w:ascii="Times New Roman" w:hAnsi="Times New Roman" w:cs="Times New Roman"/>
                <w:highlight w:val="none"/>
              </w:rPr>
              <w:t>我方</w:t>
            </w:r>
            <w:bookmarkEnd w:id="2007"/>
            <w:r>
              <w:rPr>
                <w:rFonts w:hint="eastAsia" w:ascii="Times New Roman" w:hAnsi="Times New Roman" w:cs="Times New Roman"/>
                <w:highlight w:val="none"/>
              </w:rPr>
              <w:t>根据施工合同的约定，现申请支付工程预付款额为(大写)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元，(小写)</w:t>
            </w:r>
          </w:p>
          <w:p w14:paraId="152BA2F2">
            <w:pPr>
              <w:keepNext w:val="0"/>
              <w:keepLines w:val="0"/>
              <w:suppressLineNumbers w:val="0"/>
              <w:spacing w:before="0" w:beforeAutospacing="0" w:after="0" w:afterAutospacing="0" w:line="400" w:lineRule="exact"/>
              <w:ind w:left="0" w:right="0"/>
              <w:rPr>
                <w:rFonts w:hint="eastAsia" w:ascii="Times New Roman" w:hAnsi="Times New Roman" w:cs="Times New Roman"/>
                <w:highlight w:val="none"/>
              </w:rPr>
            </w:pP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元，请予核准。</w:t>
            </w:r>
          </w:p>
          <w:tbl>
            <w:tblPr>
              <w:tblStyle w:val="56"/>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764"/>
              <w:gridCol w:w="2240"/>
              <w:gridCol w:w="1080"/>
            </w:tblGrid>
            <w:tr w14:paraId="6BB65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1001C90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序号</w:t>
                  </w:r>
                </w:p>
              </w:tc>
              <w:tc>
                <w:tcPr>
                  <w:tcW w:w="3340" w:type="dxa"/>
                  <w:noWrap w:val="0"/>
                  <w:vAlign w:val="center"/>
                </w:tcPr>
                <w:p w14:paraId="7055134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名      称</w:t>
                  </w:r>
                </w:p>
              </w:tc>
              <w:tc>
                <w:tcPr>
                  <w:tcW w:w="1764" w:type="dxa"/>
                  <w:noWrap w:val="0"/>
                  <w:vAlign w:val="center"/>
                </w:tcPr>
                <w:p w14:paraId="24A09F5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申请金额（元）</w:t>
                  </w:r>
                </w:p>
              </w:tc>
              <w:tc>
                <w:tcPr>
                  <w:tcW w:w="2240" w:type="dxa"/>
                  <w:noWrap w:val="0"/>
                  <w:vAlign w:val="center"/>
                </w:tcPr>
                <w:p w14:paraId="590B019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复核金额（元）</w:t>
                  </w:r>
                </w:p>
              </w:tc>
              <w:tc>
                <w:tcPr>
                  <w:tcW w:w="1080" w:type="dxa"/>
                  <w:noWrap w:val="0"/>
                  <w:vAlign w:val="center"/>
                </w:tcPr>
                <w:p w14:paraId="65C5A68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备注</w:t>
                  </w:r>
                </w:p>
              </w:tc>
            </w:tr>
            <w:tr w14:paraId="3E945C26">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840535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1</w:t>
                  </w:r>
                </w:p>
              </w:tc>
              <w:tc>
                <w:tcPr>
                  <w:tcW w:w="3340" w:type="dxa"/>
                  <w:noWrap w:val="0"/>
                  <w:vAlign w:val="top"/>
                </w:tcPr>
                <w:p w14:paraId="04AB135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已签约合同价款金额</w:t>
                  </w:r>
                </w:p>
              </w:tc>
              <w:tc>
                <w:tcPr>
                  <w:tcW w:w="1764" w:type="dxa"/>
                  <w:noWrap w:val="0"/>
                  <w:vAlign w:val="top"/>
                </w:tcPr>
                <w:p w14:paraId="589C21C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2240" w:type="dxa"/>
                  <w:noWrap w:val="0"/>
                  <w:vAlign w:val="top"/>
                </w:tcPr>
                <w:p w14:paraId="2F5A3E1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080" w:type="dxa"/>
                  <w:noWrap w:val="0"/>
                  <w:vAlign w:val="top"/>
                </w:tcPr>
                <w:p w14:paraId="793571B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2DD8C39F">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FD2BAF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2</w:t>
                  </w:r>
                </w:p>
              </w:tc>
              <w:tc>
                <w:tcPr>
                  <w:tcW w:w="3340" w:type="dxa"/>
                  <w:noWrap w:val="0"/>
                  <w:vAlign w:val="top"/>
                </w:tcPr>
                <w:p w14:paraId="14D9DAD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其中：安全文明施工费</w:t>
                  </w:r>
                </w:p>
              </w:tc>
              <w:tc>
                <w:tcPr>
                  <w:tcW w:w="1764" w:type="dxa"/>
                  <w:noWrap w:val="0"/>
                  <w:vAlign w:val="top"/>
                </w:tcPr>
                <w:p w14:paraId="779894D5">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2240" w:type="dxa"/>
                  <w:noWrap w:val="0"/>
                  <w:vAlign w:val="top"/>
                </w:tcPr>
                <w:p w14:paraId="20A9AD9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080" w:type="dxa"/>
                  <w:noWrap w:val="0"/>
                  <w:vAlign w:val="top"/>
                </w:tcPr>
                <w:p w14:paraId="6FA9AF8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07E2FB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07B7D3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3</w:t>
                  </w:r>
                </w:p>
              </w:tc>
              <w:tc>
                <w:tcPr>
                  <w:tcW w:w="3340" w:type="dxa"/>
                  <w:noWrap w:val="0"/>
                  <w:vAlign w:val="top"/>
                </w:tcPr>
                <w:p w14:paraId="713A9BF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应支付的预付款</w:t>
                  </w:r>
                </w:p>
              </w:tc>
              <w:tc>
                <w:tcPr>
                  <w:tcW w:w="1764" w:type="dxa"/>
                  <w:noWrap w:val="0"/>
                  <w:vAlign w:val="top"/>
                </w:tcPr>
                <w:p w14:paraId="41C4CA3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2240" w:type="dxa"/>
                  <w:noWrap w:val="0"/>
                  <w:vAlign w:val="top"/>
                </w:tcPr>
                <w:p w14:paraId="61F4C20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080" w:type="dxa"/>
                  <w:noWrap w:val="0"/>
                  <w:vAlign w:val="top"/>
                </w:tcPr>
                <w:p w14:paraId="3A8C3E1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517237C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A10B60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4</w:t>
                  </w:r>
                </w:p>
              </w:tc>
              <w:tc>
                <w:tcPr>
                  <w:tcW w:w="3340" w:type="dxa"/>
                  <w:noWrap w:val="0"/>
                  <w:vAlign w:val="top"/>
                </w:tcPr>
                <w:p w14:paraId="481FD18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应支付的安全文明施工费预付款</w:t>
                  </w:r>
                </w:p>
              </w:tc>
              <w:tc>
                <w:tcPr>
                  <w:tcW w:w="1764" w:type="dxa"/>
                  <w:noWrap w:val="0"/>
                  <w:vAlign w:val="top"/>
                </w:tcPr>
                <w:p w14:paraId="2A791D7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2240" w:type="dxa"/>
                  <w:noWrap w:val="0"/>
                  <w:vAlign w:val="top"/>
                </w:tcPr>
                <w:p w14:paraId="16A1D9E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080" w:type="dxa"/>
                  <w:noWrap w:val="0"/>
                  <w:vAlign w:val="top"/>
                </w:tcPr>
                <w:p w14:paraId="2155799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72A6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688B04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5</w:t>
                  </w:r>
                </w:p>
              </w:tc>
              <w:tc>
                <w:tcPr>
                  <w:tcW w:w="3340" w:type="dxa"/>
                  <w:noWrap w:val="0"/>
                  <w:vAlign w:val="top"/>
                </w:tcPr>
                <w:p w14:paraId="605E969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合计应支付的预付款</w:t>
                  </w:r>
                </w:p>
              </w:tc>
              <w:tc>
                <w:tcPr>
                  <w:tcW w:w="1764" w:type="dxa"/>
                  <w:noWrap w:val="0"/>
                  <w:vAlign w:val="top"/>
                </w:tcPr>
                <w:p w14:paraId="67E214E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2240" w:type="dxa"/>
                  <w:noWrap w:val="0"/>
                  <w:vAlign w:val="top"/>
                </w:tcPr>
                <w:p w14:paraId="03098EF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080" w:type="dxa"/>
                  <w:noWrap w:val="0"/>
                  <w:vAlign w:val="top"/>
                </w:tcPr>
                <w:p w14:paraId="770284E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48AD7E8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3DF83B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340" w:type="dxa"/>
                  <w:noWrap w:val="0"/>
                  <w:vAlign w:val="top"/>
                </w:tcPr>
                <w:p w14:paraId="2869C1E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764" w:type="dxa"/>
                  <w:noWrap w:val="0"/>
                  <w:vAlign w:val="top"/>
                </w:tcPr>
                <w:p w14:paraId="4FC8641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2240" w:type="dxa"/>
                  <w:noWrap w:val="0"/>
                  <w:vAlign w:val="top"/>
                </w:tcPr>
                <w:p w14:paraId="1A1552B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080" w:type="dxa"/>
                  <w:noWrap w:val="0"/>
                  <w:vAlign w:val="top"/>
                </w:tcPr>
                <w:p w14:paraId="29BE646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bl>
          <w:p w14:paraId="33979F52">
            <w:pPr>
              <w:keepNext w:val="0"/>
              <w:keepLines w:val="0"/>
              <w:suppressLineNumbers w:val="0"/>
              <w:spacing w:before="0" w:beforeAutospacing="0" w:after="0" w:afterAutospacing="0" w:line="400" w:lineRule="exact"/>
              <w:ind w:left="0" w:right="420"/>
              <w:rPr>
                <w:rFonts w:hint="eastAsia" w:ascii="Times New Roman" w:hAnsi="Times New Roman" w:cs="Times New Roman"/>
                <w:highlight w:val="none"/>
              </w:rPr>
            </w:pPr>
          </w:p>
          <w:p w14:paraId="69CE0218">
            <w:pPr>
              <w:keepNext w:val="0"/>
              <w:keepLines w:val="0"/>
              <w:suppressLineNumbers w:val="0"/>
              <w:spacing w:before="0" w:beforeAutospacing="0" w:after="0" w:afterAutospacing="0" w:line="400" w:lineRule="exact"/>
              <w:ind w:left="0" w:right="420"/>
              <w:rPr>
                <w:rFonts w:hint="eastAsia" w:ascii="Times New Roman" w:hAnsi="Times New Roman" w:cs="Times New Roman"/>
                <w:highlight w:val="none"/>
              </w:rPr>
            </w:pPr>
            <w:r>
              <w:rPr>
                <w:rFonts w:hint="eastAsia" w:ascii="Times New Roman" w:hAnsi="Times New Roman" w:cs="Times New Roman"/>
                <w:highlight w:val="none"/>
              </w:rPr>
              <w:t xml:space="preserve">                                            </w:t>
            </w:r>
            <w:bookmarkStart w:id="2008" w:name="REVIEW_BM_2105"/>
            <w:r>
              <w:rPr>
                <w:rFonts w:hint="eastAsia" w:ascii="Times New Roman" w:hAnsi="Times New Roman" w:cs="Times New Roman"/>
                <w:highlight w:val="none"/>
              </w:rPr>
              <w:t>承包人</w:t>
            </w:r>
            <w:bookmarkEnd w:id="2008"/>
            <w:r>
              <w:rPr>
                <w:rFonts w:hint="eastAsia" w:ascii="Times New Roman" w:hAnsi="Times New Roman" w:cs="Times New Roman"/>
                <w:highlight w:val="none"/>
              </w:rPr>
              <w:t xml:space="preserve">（章）             </w:t>
            </w:r>
          </w:p>
          <w:p w14:paraId="3086A5B3">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highlight w:val="none"/>
              </w:rPr>
            </w:pPr>
            <w:r>
              <w:rPr>
                <w:rFonts w:hint="eastAsia" w:ascii="Times New Roman" w:hAnsi="Times New Roman" w:cs="Times New Roman"/>
                <w:highlight w:val="none"/>
              </w:rPr>
              <w:t>造价人员</w:t>
            </w:r>
            <w:r>
              <w:rPr>
                <w:rFonts w:hint="eastAsia" w:ascii="Times New Roman" w:hAnsi="Times New Roman" w:cs="Times New Roman"/>
                <w:highlight w:val="none"/>
                <w:u w:val="single"/>
              </w:rPr>
              <w:t xml:space="preserve">               </w:t>
            </w:r>
            <w:bookmarkStart w:id="2009" w:name="REVIEW_BM_2106"/>
            <w:r>
              <w:rPr>
                <w:rFonts w:hint="eastAsia" w:ascii="Times New Roman" w:hAnsi="Times New Roman" w:cs="Times New Roman"/>
                <w:highlight w:val="none"/>
              </w:rPr>
              <w:t>承包人</w:t>
            </w:r>
            <w:bookmarkEnd w:id="2009"/>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r w14:paraId="2504BF2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007" w:hRule="atLeast"/>
          <w:jc w:val="center"/>
        </w:trPr>
        <w:tc>
          <w:tcPr>
            <w:tcW w:w="9185" w:type="dxa"/>
            <w:noWrap w:val="0"/>
            <w:vAlign w:val="top"/>
          </w:tcPr>
          <w:p w14:paraId="1D40682E">
            <w:pPr>
              <w:keepNext w:val="0"/>
              <w:keepLines w:val="0"/>
              <w:suppressLineNumbers w:val="0"/>
              <w:spacing w:before="0" w:beforeAutospacing="0" w:after="0" w:afterAutospacing="0" w:line="400" w:lineRule="exact"/>
              <w:ind w:left="0" w:right="0"/>
              <w:rPr>
                <w:rFonts w:hint="eastAsia" w:ascii="Times New Roman" w:hAnsi="Times New Roman" w:cs="Times New Roman"/>
                <w:highlight w:val="none"/>
              </w:rPr>
            </w:pPr>
            <w:r>
              <w:rPr>
                <w:rFonts w:hint="eastAsia" w:ascii="Times New Roman" w:hAnsi="Times New Roman" w:cs="Times New Roman"/>
                <w:highlight w:val="none"/>
              </w:rPr>
              <w:t>审核意见：</w:t>
            </w:r>
          </w:p>
          <w:p w14:paraId="29FDCA9E">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highlight w:val="none"/>
              </w:rPr>
            </w:pPr>
            <w:r>
              <w:rPr>
                <w:rFonts w:hint="eastAsia" w:ascii="Times New Roman" w:hAnsi="Times New Roman" w:cs="Times New Roman"/>
                <w:highlight w:val="none"/>
              </w:rPr>
              <w:t>□不同意。</w:t>
            </w:r>
          </w:p>
          <w:p w14:paraId="568FC9F8">
            <w:pPr>
              <w:keepNext w:val="0"/>
              <w:keepLines w:val="0"/>
              <w:suppressLineNumbers w:val="0"/>
              <w:spacing w:before="0" w:beforeAutospacing="0" w:after="0" w:afterAutospacing="0" w:line="400" w:lineRule="exact"/>
              <w:ind w:left="0" w:right="0" w:firstLine="420"/>
              <w:rPr>
                <w:rFonts w:hint="eastAsia" w:ascii="Times New Roman" w:hAnsi="Times New Roman" w:cs="Times New Roman"/>
                <w:highlight w:val="none"/>
              </w:rPr>
            </w:pPr>
            <w:r>
              <w:rPr>
                <w:rFonts w:hint="eastAsia" w:ascii="Times New Roman" w:hAnsi="Times New Roman" w:cs="Times New Roman"/>
                <w:highlight w:val="none"/>
              </w:rPr>
              <w:t>□同意，支付时间为本表签发后的15天内。</w:t>
            </w:r>
          </w:p>
          <w:p w14:paraId="57BD6A6B">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3FDA3BA1">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3D9E9178">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0409E07B">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bookmarkStart w:id="2010" w:name="REVIEW_BM_2107"/>
            <w:r>
              <w:rPr>
                <w:rFonts w:hint="eastAsia" w:ascii="Times New Roman" w:hAnsi="Times New Roman" w:cs="Times New Roman"/>
                <w:highlight w:val="none"/>
              </w:rPr>
              <w:t>发包人</w:t>
            </w:r>
            <w:bookmarkEnd w:id="2010"/>
            <w:r>
              <w:rPr>
                <w:rFonts w:hint="eastAsia" w:ascii="Times New Roman" w:hAnsi="Times New Roman" w:cs="Times New Roman"/>
                <w:highlight w:val="none"/>
              </w:rPr>
              <w:t xml:space="preserve">（章）           </w:t>
            </w:r>
          </w:p>
          <w:p w14:paraId="155793CF">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bookmarkStart w:id="2011" w:name="REVIEW_BM_2108"/>
            <w:r>
              <w:rPr>
                <w:rFonts w:hint="eastAsia" w:ascii="Times New Roman" w:hAnsi="Times New Roman" w:cs="Times New Roman"/>
                <w:highlight w:val="none"/>
              </w:rPr>
              <w:t>发包人</w:t>
            </w:r>
            <w:bookmarkEnd w:id="2011"/>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p>
          <w:p w14:paraId="4AD8AE68">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bl>
    <w:p w14:paraId="453E14DA">
      <w:pPr>
        <w:spacing w:before="120"/>
        <w:ind w:firstLine="360"/>
        <w:rPr>
          <w:rFonts w:hint="eastAsia"/>
          <w:sz w:val="18"/>
          <w:szCs w:val="18"/>
          <w:highlight w:val="none"/>
        </w:rPr>
      </w:pPr>
      <w:r>
        <w:rPr>
          <w:rFonts w:hint="eastAsia"/>
          <w:sz w:val="18"/>
          <w:szCs w:val="18"/>
          <w:highlight w:val="none"/>
        </w:rPr>
        <w:t xml:space="preserve">注：1.在选择栏中的“□”内作标识“√”。 </w:t>
      </w:r>
    </w:p>
    <w:p w14:paraId="2FC220B1">
      <w:pPr>
        <w:spacing w:before="120"/>
        <w:ind w:left="720" w:hanging="720"/>
        <w:rPr>
          <w:rFonts w:hint="eastAsia" w:eastAsia="仿宋_GB2312"/>
          <w:sz w:val="30"/>
          <w:szCs w:val="30"/>
          <w:highlight w:val="none"/>
        </w:rPr>
      </w:pPr>
      <w:r>
        <w:rPr>
          <w:rFonts w:hint="eastAsia"/>
          <w:sz w:val="18"/>
          <w:szCs w:val="18"/>
          <w:highlight w:val="none"/>
        </w:rPr>
        <w:t xml:space="preserve">    </w:t>
      </w:r>
      <w:r>
        <w:rPr>
          <w:sz w:val="18"/>
          <w:szCs w:val="18"/>
          <w:highlight w:val="none"/>
        </w:rPr>
        <w:t xml:space="preserve">  </w:t>
      </w:r>
      <w:r>
        <w:rPr>
          <w:rFonts w:hint="eastAsia"/>
          <w:sz w:val="18"/>
          <w:szCs w:val="18"/>
          <w:highlight w:val="none"/>
        </w:rPr>
        <w:t xml:space="preserve">  2.本表一式四份，由</w:t>
      </w:r>
      <w:bookmarkStart w:id="2012" w:name="REVIEW_BM_2110"/>
      <w:r>
        <w:rPr>
          <w:rFonts w:hint="eastAsia"/>
          <w:sz w:val="18"/>
          <w:szCs w:val="18"/>
          <w:highlight w:val="none"/>
        </w:rPr>
        <w:t>承包人</w:t>
      </w:r>
      <w:bookmarkEnd w:id="2012"/>
      <w:r>
        <w:rPr>
          <w:rFonts w:hint="eastAsia"/>
          <w:sz w:val="18"/>
          <w:szCs w:val="18"/>
          <w:highlight w:val="none"/>
        </w:rPr>
        <w:t>填报，</w:t>
      </w:r>
      <w:bookmarkStart w:id="2013" w:name="REVIEW_BM_2109"/>
      <w:r>
        <w:rPr>
          <w:rFonts w:hint="eastAsia"/>
          <w:sz w:val="18"/>
          <w:szCs w:val="18"/>
          <w:highlight w:val="none"/>
        </w:rPr>
        <w:t>发包人</w:t>
      </w:r>
      <w:bookmarkEnd w:id="2013"/>
      <w:r>
        <w:rPr>
          <w:rFonts w:hint="eastAsia"/>
          <w:sz w:val="18"/>
          <w:szCs w:val="18"/>
          <w:highlight w:val="none"/>
        </w:rPr>
        <w:t>、</w:t>
      </w:r>
      <w:bookmarkStart w:id="2014" w:name="REVIEW_BM_2111"/>
      <w:r>
        <w:rPr>
          <w:rFonts w:hint="eastAsia"/>
          <w:sz w:val="18"/>
          <w:szCs w:val="18"/>
          <w:highlight w:val="none"/>
        </w:rPr>
        <w:t>承包人</w:t>
      </w:r>
      <w:bookmarkEnd w:id="2014"/>
      <w:r>
        <w:rPr>
          <w:rFonts w:hint="eastAsia"/>
          <w:sz w:val="18"/>
          <w:szCs w:val="18"/>
          <w:highlight w:val="none"/>
        </w:rPr>
        <w:t>各存</w:t>
      </w:r>
      <w:r>
        <w:rPr>
          <w:rFonts w:hint="eastAsia"/>
          <w:sz w:val="18"/>
          <w:szCs w:val="18"/>
          <w:highlight w:val="none"/>
          <w:lang w:val="en-US" w:eastAsia="zh-CN"/>
        </w:rPr>
        <w:t>二</w:t>
      </w:r>
      <w:r>
        <w:rPr>
          <w:rFonts w:hint="eastAsia"/>
          <w:sz w:val="18"/>
          <w:szCs w:val="18"/>
          <w:highlight w:val="none"/>
        </w:rPr>
        <w:t>份。</w:t>
      </w:r>
    </w:p>
    <w:p w14:paraId="7D2CB918">
      <w:pPr>
        <w:spacing w:before="120"/>
        <w:ind w:left="1200" w:hanging="1200"/>
        <w:rPr>
          <w:rFonts w:hint="eastAsia" w:eastAsia="仿宋_GB2312"/>
          <w:sz w:val="30"/>
          <w:szCs w:val="30"/>
          <w:highlight w:val="none"/>
        </w:rPr>
      </w:pPr>
    </w:p>
    <w:p w14:paraId="75EB1419">
      <w:pPr>
        <w:spacing w:before="0" w:line="440" w:lineRule="exact"/>
        <w:ind w:left="0" w:firstLine="0"/>
        <w:rPr>
          <w:rFonts w:hint="eastAsia" w:eastAsia="仿宋_GB2312"/>
          <w:sz w:val="30"/>
          <w:szCs w:val="30"/>
          <w:highlight w:val="none"/>
        </w:rPr>
      </w:pPr>
      <w:r>
        <w:rPr>
          <w:rFonts w:hint="eastAsia" w:eastAsia="仿宋_GB2312"/>
          <w:sz w:val="30"/>
          <w:szCs w:val="30"/>
          <w:highlight w:val="none"/>
        </w:rPr>
        <w:br w:type="page" w:clear="all"/>
      </w:r>
      <w:r>
        <w:rPr>
          <w:rFonts w:hint="eastAsia" w:ascii="宋体" w:hAnsi="宋体" w:eastAsia="宋体" w:cs="宋体"/>
          <w:sz w:val="21"/>
          <w:szCs w:val="21"/>
          <w:highlight w:val="none"/>
        </w:rPr>
        <w:t>附件1</w:t>
      </w:r>
      <w:r>
        <w:rPr>
          <w:rFonts w:hint="eastAsia" w:ascii="宋体" w:hAnsi="宋体" w:eastAsia="宋体" w:cs="宋体"/>
          <w:sz w:val="21"/>
          <w:szCs w:val="21"/>
          <w:highlight w:val="none"/>
          <w:lang w:val="en-US" w:eastAsia="zh-CN"/>
        </w:rPr>
        <w:t>5</w:t>
      </w:r>
      <w:r>
        <w:rPr>
          <w:rFonts w:hint="eastAsia" w:ascii="宋体" w:hAnsi="宋体" w:eastAsia="宋体" w:cs="宋体"/>
          <w:sz w:val="21"/>
          <w:szCs w:val="21"/>
          <w:highlight w:val="none"/>
        </w:rPr>
        <w:t>：</w:t>
      </w:r>
    </w:p>
    <w:p w14:paraId="4E73E5F1">
      <w:pPr>
        <w:jc w:val="center"/>
        <w:rPr>
          <w:rFonts w:hint="eastAsia"/>
          <w:b/>
          <w:sz w:val="36"/>
          <w:szCs w:val="36"/>
          <w:highlight w:val="none"/>
        </w:rPr>
      </w:pPr>
      <w:r>
        <w:rPr>
          <w:rFonts w:hint="eastAsia"/>
          <w:b/>
          <w:sz w:val="36"/>
          <w:szCs w:val="36"/>
          <w:highlight w:val="none"/>
        </w:rPr>
        <w:t>进度款支付申请（核准）表</w:t>
      </w:r>
    </w:p>
    <w:p w14:paraId="0A8C879C">
      <w:pPr>
        <w:rPr>
          <w:rFonts w:hint="eastAsia"/>
          <w:sz w:val="24"/>
          <w:szCs w:val="24"/>
          <w:highlight w:val="none"/>
        </w:rPr>
      </w:pPr>
      <w:r>
        <w:rPr>
          <w:rFonts w:hint="eastAsia"/>
          <w:sz w:val="24"/>
          <w:szCs w:val="24"/>
          <w:highlight w:val="none"/>
        </w:rPr>
        <w:t>工程名称：                                             编号：</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7281E95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248" w:hRule="atLeast"/>
          <w:jc w:val="center"/>
        </w:trPr>
        <w:tc>
          <w:tcPr>
            <w:tcW w:w="9072" w:type="dxa"/>
            <w:noWrap w:val="0"/>
            <w:vAlign w:val="top"/>
          </w:tcPr>
          <w:p w14:paraId="61B769A0">
            <w:pPr>
              <w:keepNext w:val="0"/>
              <w:keepLines w:val="0"/>
              <w:suppressLineNumbers w:val="0"/>
              <w:spacing w:before="0" w:beforeAutospacing="0" w:after="0" w:afterAutospacing="0" w:line="480" w:lineRule="exact"/>
              <w:ind w:left="525" w:right="0" w:hanging="212"/>
              <w:rPr>
                <w:rFonts w:hint="eastAsia" w:ascii="Times New Roman" w:hAnsi="Times New Roman" w:cs="Times New Roman"/>
                <w:highlight w:val="none"/>
                <w:u w:val="single"/>
              </w:rPr>
            </w:pPr>
            <w:r>
              <w:rPr>
                <w:rFonts w:hint="eastAsia" w:ascii="Times New Roman" w:hAnsi="Times New Roman" w:cs="Times New Roman"/>
                <w:highlight w:val="none"/>
              </w:rPr>
              <w:t>致：</w:t>
            </w:r>
            <w:r>
              <w:rPr>
                <w:rFonts w:hint="eastAsia" w:ascii="Times New Roman" w:hAnsi="Times New Roman" w:cs="Times New Roman"/>
                <w:highlight w:val="none"/>
                <w:u w:val="single"/>
              </w:rPr>
              <w:t xml:space="preserve">                                   （</w:t>
            </w:r>
            <w:bookmarkStart w:id="2015" w:name="REVIEW_BM_2112"/>
            <w:r>
              <w:rPr>
                <w:rFonts w:hint="eastAsia" w:ascii="Times New Roman" w:hAnsi="Times New Roman" w:cs="Times New Roman"/>
                <w:highlight w:val="none"/>
                <w:u w:val="single"/>
              </w:rPr>
              <w:t>发包人</w:t>
            </w:r>
            <w:bookmarkEnd w:id="2015"/>
            <w:r>
              <w:rPr>
                <w:rFonts w:hint="eastAsia" w:ascii="Times New Roman" w:hAnsi="Times New Roman" w:cs="Times New Roman"/>
                <w:highlight w:val="none"/>
                <w:u w:val="single"/>
              </w:rPr>
              <w:t>全称）</w:t>
            </w:r>
          </w:p>
          <w:p w14:paraId="5C329A27">
            <w:pPr>
              <w:keepNext w:val="0"/>
              <w:keepLines w:val="0"/>
              <w:suppressLineNumbers w:val="0"/>
              <w:spacing w:before="0" w:beforeAutospacing="0" w:after="0" w:afterAutospacing="0" w:line="400" w:lineRule="exact"/>
              <w:ind w:left="-4" w:right="0" w:firstLine="315"/>
              <w:rPr>
                <w:rFonts w:hint="eastAsia" w:ascii="Times New Roman" w:hAnsi="Times New Roman" w:cs="Times New Roman"/>
                <w:highlight w:val="none"/>
              </w:rPr>
            </w:pPr>
            <w:bookmarkStart w:id="2016" w:name="REVIEW_BM_2113"/>
            <w:r>
              <w:rPr>
                <w:rFonts w:hint="eastAsia" w:ascii="Times New Roman" w:hAnsi="Times New Roman" w:cs="Times New Roman"/>
                <w:highlight w:val="none"/>
              </w:rPr>
              <w:t>我方</w:t>
            </w:r>
            <w:bookmarkEnd w:id="2016"/>
            <w:r>
              <w:rPr>
                <w:rFonts w:hint="eastAsia" w:ascii="Times New Roman" w:hAnsi="Times New Roman" w:cs="Times New Roman"/>
                <w:highlight w:val="none"/>
              </w:rPr>
              <w:t>于</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至</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期间已完成了</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工作，根据施工合同的约定，现申请支付本期的合同款额为(大写)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元，(小写)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元，请予核准。</w:t>
            </w:r>
          </w:p>
          <w:tbl>
            <w:tblPr>
              <w:tblStyle w:val="56"/>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340"/>
              <w:gridCol w:w="1340"/>
              <w:gridCol w:w="1440"/>
              <w:gridCol w:w="1260"/>
              <w:gridCol w:w="931"/>
            </w:tblGrid>
            <w:tr w14:paraId="10F67C9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460C3800">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序号</w:t>
                  </w:r>
                </w:p>
              </w:tc>
              <w:tc>
                <w:tcPr>
                  <w:tcW w:w="3340" w:type="dxa"/>
                  <w:noWrap w:val="0"/>
                  <w:vAlign w:val="center"/>
                </w:tcPr>
                <w:p w14:paraId="1C937C3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名      称</w:t>
                  </w:r>
                </w:p>
              </w:tc>
              <w:tc>
                <w:tcPr>
                  <w:tcW w:w="1340" w:type="dxa"/>
                  <w:noWrap w:val="0"/>
                  <w:vAlign w:val="center"/>
                </w:tcPr>
                <w:p w14:paraId="107B1C1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实际金额（元）</w:t>
                  </w:r>
                </w:p>
              </w:tc>
              <w:tc>
                <w:tcPr>
                  <w:tcW w:w="1440" w:type="dxa"/>
                  <w:noWrap w:val="0"/>
                  <w:vAlign w:val="center"/>
                </w:tcPr>
                <w:p w14:paraId="25F2C0F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申请金额（元）</w:t>
                  </w:r>
                </w:p>
              </w:tc>
              <w:tc>
                <w:tcPr>
                  <w:tcW w:w="1260" w:type="dxa"/>
                  <w:noWrap w:val="0"/>
                  <w:vAlign w:val="center"/>
                </w:tcPr>
                <w:p w14:paraId="208BC60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复核金额（元）</w:t>
                  </w:r>
                </w:p>
              </w:tc>
              <w:tc>
                <w:tcPr>
                  <w:tcW w:w="931" w:type="dxa"/>
                  <w:noWrap w:val="0"/>
                  <w:vAlign w:val="center"/>
                </w:tcPr>
                <w:p w14:paraId="65C41D0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备注</w:t>
                  </w:r>
                </w:p>
              </w:tc>
            </w:tr>
            <w:tr w14:paraId="6D898D2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6653ED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1</w:t>
                  </w:r>
                </w:p>
              </w:tc>
              <w:tc>
                <w:tcPr>
                  <w:tcW w:w="3340" w:type="dxa"/>
                  <w:noWrap w:val="0"/>
                  <w:vAlign w:val="top"/>
                </w:tcPr>
                <w:p w14:paraId="31F8F09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累计已完成的工程价款</w:t>
                  </w:r>
                </w:p>
              </w:tc>
              <w:tc>
                <w:tcPr>
                  <w:tcW w:w="1340" w:type="dxa"/>
                  <w:noWrap w:val="0"/>
                  <w:vAlign w:val="top"/>
                </w:tcPr>
                <w:p w14:paraId="3D36E9F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021E0A0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5DC46E9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473D732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5C0C898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B323BA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340" w:type="dxa"/>
                  <w:noWrap w:val="0"/>
                  <w:vAlign w:val="top"/>
                </w:tcPr>
                <w:p w14:paraId="2935156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其中：人工费</w:t>
                  </w:r>
                </w:p>
              </w:tc>
              <w:tc>
                <w:tcPr>
                  <w:tcW w:w="1340" w:type="dxa"/>
                  <w:noWrap w:val="0"/>
                  <w:vAlign w:val="top"/>
                </w:tcPr>
                <w:p w14:paraId="41BAF9A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44172B0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5FB86CD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7EC5C0B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51414FC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BC6CA8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2</w:t>
                  </w:r>
                </w:p>
              </w:tc>
              <w:tc>
                <w:tcPr>
                  <w:tcW w:w="3340" w:type="dxa"/>
                  <w:noWrap w:val="0"/>
                  <w:vAlign w:val="top"/>
                </w:tcPr>
                <w:p w14:paraId="510B28D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累计已实际支付的工程价款</w:t>
                  </w:r>
                </w:p>
              </w:tc>
              <w:tc>
                <w:tcPr>
                  <w:tcW w:w="1340" w:type="dxa"/>
                  <w:noWrap w:val="0"/>
                  <w:vAlign w:val="top"/>
                </w:tcPr>
                <w:p w14:paraId="47CF9E8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12B5A0B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17934B7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15B07F2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6DF919F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730C7D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340" w:type="dxa"/>
                  <w:noWrap w:val="0"/>
                  <w:vAlign w:val="top"/>
                </w:tcPr>
                <w:p w14:paraId="65AB2B7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其中：人工费</w:t>
                  </w:r>
                </w:p>
              </w:tc>
              <w:tc>
                <w:tcPr>
                  <w:tcW w:w="1340" w:type="dxa"/>
                  <w:noWrap w:val="0"/>
                  <w:vAlign w:val="top"/>
                </w:tcPr>
                <w:p w14:paraId="035C6A6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6A88BF6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05384B5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7F03065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6D1E6ED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FDAC31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3</w:t>
                  </w:r>
                </w:p>
              </w:tc>
              <w:tc>
                <w:tcPr>
                  <w:tcW w:w="3340" w:type="dxa"/>
                  <w:noWrap w:val="0"/>
                  <w:vAlign w:val="top"/>
                </w:tcPr>
                <w:p w14:paraId="377C6CE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本周期已完成的工程价款</w:t>
                  </w:r>
                </w:p>
              </w:tc>
              <w:tc>
                <w:tcPr>
                  <w:tcW w:w="1340" w:type="dxa"/>
                  <w:noWrap w:val="0"/>
                  <w:vAlign w:val="top"/>
                </w:tcPr>
                <w:p w14:paraId="1049BDC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03B16CD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5AF6731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67AAC15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12AF1E6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F00C7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340" w:type="dxa"/>
                  <w:noWrap w:val="0"/>
                  <w:vAlign w:val="top"/>
                </w:tcPr>
                <w:p w14:paraId="5E7A239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其中：人工费</w:t>
                  </w:r>
                </w:p>
              </w:tc>
              <w:tc>
                <w:tcPr>
                  <w:tcW w:w="1340" w:type="dxa"/>
                  <w:noWrap w:val="0"/>
                  <w:vAlign w:val="top"/>
                </w:tcPr>
                <w:p w14:paraId="5471055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784D028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20F4E54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4AC6623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2639710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DD8D5C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4</w:t>
                  </w:r>
                </w:p>
              </w:tc>
              <w:tc>
                <w:tcPr>
                  <w:tcW w:w="3340" w:type="dxa"/>
                  <w:noWrap w:val="0"/>
                  <w:vAlign w:val="top"/>
                </w:tcPr>
                <w:p w14:paraId="65FC903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本周期应扣减的金额</w:t>
                  </w:r>
                </w:p>
              </w:tc>
              <w:tc>
                <w:tcPr>
                  <w:tcW w:w="1340" w:type="dxa"/>
                  <w:noWrap w:val="0"/>
                  <w:vAlign w:val="top"/>
                </w:tcPr>
                <w:p w14:paraId="6FF299E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5519471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786691D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4CAC6CF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71BCB3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1605570">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4.1</w:t>
                  </w:r>
                </w:p>
              </w:tc>
              <w:tc>
                <w:tcPr>
                  <w:tcW w:w="3340" w:type="dxa"/>
                  <w:noWrap w:val="0"/>
                  <w:vAlign w:val="top"/>
                </w:tcPr>
                <w:p w14:paraId="6FF12D5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本周期实际应抵扣的预付款</w:t>
                  </w:r>
                </w:p>
              </w:tc>
              <w:tc>
                <w:tcPr>
                  <w:tcW w:w="1340" w:type="dxa"/>
                  <w:noWrap w:val="0"/>
                  <w:vAlign w:val="top"/>
                </w:tcPr>
                <w:p w14:paraId="5A0EB4E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417D63F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0C9CB37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6BBE508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485ABC1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A420B03">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4.2</w:t>
                  </w:r>
                </w:p>
              </w:tc>
              <w:tc>
                <w:tcPr>
                  <w:tcW w:w="3340" w:type="dxa"/>
                  <w:noWrap w:val="0"/>
                  <w:vAlign w:val="top"/>
                </w:tcPr>
                <w:p w14:paraId="5AB94EC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本周期应扣减的金额</w:t>
                  </w:r>
                </w:p>
              </w:tc>
              <w:tc>
                <w:tcPr>
                  <w:tcW w:w="1340" w:type="dxa"/>
                  <w:noWrap w:val="0"/>
                  <w:vAlign w:val="top"/>
                </w:tcPr>
                <w:p w14:paraId="427AA03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6A82FD45">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79E1701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347A17C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1748FCB3">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6B2080F0">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5</w:t>
                  </w:r>
                </w:p>
              </w:tc>
              <w:tc>
                <w:tcPr>
                  <w:tcW w:w="3340" w:type="dxa"/>
                  <w:noWrap w:val="0"/>
                  <w:vAlign w:val="top"/>
                </w:tcPr>
                <w:p w14:paraId="05EA3C3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本周期应支付的合同价款</w:t>
                  </w:r>
                </w:p>
              </w:tc>
              <w:tc>
                <w:tcPr>
                  <w:tcW w:w="1340" w:type="dxa"/>
                  <w:noWrap w:val="0"/>
                  <w:vAlign w:val="top"/>
                </w:tcPr>
                <w:p w14:paraId="54785BC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62D63F7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6E32210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5D7392A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783818AA">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654DAE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340" w:type="dxa"/>
                  <w:noWrap w:val="0"/>
                  <w:vAlign w:val="top"/>
                </w:tcPr>
                <w:p w14:paraId="1FB8290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其中：人工费</w:t>
                  </w:r>
                </w:p>
              </w:tc>
              <w:tc>
                <w:tcPr>
                  <w:tcW w:w="1340" w:type="dxa"/>
                  <w:noWrap w:val="0"/>
                  <w:vAlign w:val="top"/>
                </w:tcPr>
                <w:p w14:paraId="2359BF6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440" w:type="dxa"/>
                  <w:noWrap w:val="0"/>
                  <w:vAlign w:val="top"/>
                </w:tcPr>
                <w:p w14:paraId="2F90DBA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260" w:type="dxa"/>
                  <w:noWrap w:val="0"/>
                  <w:vAlign w:val="top"/>
                </w:tcPr>
                <w:p w14:paraId="1EC2C8D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931" w:type="dxa"/>
                  <w:noWrap w:val="0"/>
                  <w:vAlign w:val="top"/>
                </w:tcPr>
                <w:p w14:paraId="69ED944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bl>
          <w:p w14:paraId="0E4D42E7">
            <w:pPr>
              <w:keepNext w:val="0"/>
              <w:keepLines w:val="0"/>
              <w:suppressLineNumbers w:val="0"/>
              <w:spacing w:before="0" w:beforeAutospacing="0" w:after="0" w:afterAutospacing="0" w:line="400" w:lineRule="exact"/>
              <w:ind w:left="0" w:right="420"/>
              <w:rPr>
                <w:rFonts w:hint="eastAsia" w:ascii="Times New Roman" w:hAnsi="Times New Roman" w:cs="Times New Roman"/>
                <w:highlight w:val="none"/>
              </w:rPr>
            </w:pPr>
            <w:r>
              <w:rPr>
                <w:rFonts w:hint="eastAsia" w:ascii="Times New Roman" w:hAnsi="Times New Roman" w:cs="Times New Roman"/>
                <w:highlight w:val="none"/>
              </w:rPr>
              <w:t>附：上述3、4详见附件清单。</w:t>
            </w:r>
          </w:p>
          <w:p w14:paraId="3CA6BCCE">
            <w:pPr>
              <w:keepNext w:val="0"/>
              <w:keepLines w:val="0"/>
              <w:suppressLineNumbers w:val="0"/>
              <w:spacing w:before="0" w:beforeAutospacing="0" w:after="0" w:afterAutospacing="0" w:line="400" w:lineRule="exact"/>
              <w:ind w:left="0" w:right="420"/>
              <w:rPr>
                <w:rFonts w:hint="eastAsia" w:ascii="Times New Roman" w:hAnsi="Times New Roman" w:cs="Times New Roman"/>
                <w:highlight w:val="none"/>
              </w:rPr>
            </w:pPr>
            <w:r>
              <w:rPr>
                <w:rFonts w:hint="eastAsia" w:ascii="Times New Roman" w:hAnsi="Times New Roman" w:cs="Times New Roman"/>
                <w:highlight w:val="none"/>
              </w:rPr>
              <w:t xml:space="preserve">                                            </w:t>
            </w:r>
            <w:bookmarkStart w:id="2017" w:name="REVIEW_BM_2114"/>
            <w:r>
              <w:rPr>
                <w:rFonts w:hint="eastAsia" w:ascii="Times New Roman" w:hAnsi="Times New Roman" w:cs="Times New Roman"/>
                <w:highlight w:val="none"/>
              </w:rPr>
              <w:t>承包人</w:t>
            </w:r>
            <w:bookmarkEnd w:id="2017"/>
            <w:r>
              <w:rPr>
                <w:rFonts w:hint="eastAsia" w:ascii="Times New Roman" w:hAnsi="Times New Roman" w:cs="Times New Roman"/>
                <w:highlight w:val="none"/>
              </w:rPr>
              <w:t xml:space="preserve">（章）             </w:t>
            </w:r>
          </w:p>
          <w:p w14:paraId="2123C5C4">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highlight w:val="none"/>
              </w:rPr>
            </w:pPr>
            <w:r>
              <w:rPr>
                <w:rFonts w:hint="eastAsia" w:ascii="Times New Roman" w:hAnsi="Times New Roman" w:cs="Times New Roman"/>
                <w:highlight w:val="none"/>
              </w:rPr>
              <w:t>造价人员</w:t>
            </w:r>
            <w:r>
              <w:rPr>
                <w:rFonts w:hint="eastAsia" w:ascii="Times New Roman" w:hAnsi="Times New Roman" w:cs="Times New Roman"/>
                <w:highlight w:val="none"/>
                <w:u w:val="single"/>
              </w:rPr>
              <w:t xml:space="preserve">               </w:t>
            </w:r>
            <w:bookmarkStart w:id="2018" w:name="REVIEW_BM_2115"/>
            <w:r>
              <w:rPr>
                <w:rFonts w:hint="eastAsia" w:ascii="Times New Roman" w:hAnsi="Times New Roman" w:cs="Times New Roman"/>
                <w:highlight w:val="none"/>
              </w:rPr>
              <w:t>承包人</w:t>
            </w:r>
            <w:bookmarkEnd w:id="2018"/>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r w14:paraId="5ABAF9D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502" w:hRule="atLeast"/>
          <w:jc w:val="center"/>
        </w:trPr>
        <w:tc>
          <w:tcPr>
            <w:tcW w:w="9072" w:type="dxa"/>
            <w:noWrap w:val="0"/>
            <w:vAlign w:val="top"/>
          </w:tcPr>
          <w:p w14:paraId="3347B3F0">
            <w:pPr>
              <w:keepNext w:val="0"/>
              <w:keepLines w:val="0"/>
              <w:suppressLineNumbers w:val="0"/>
              <w:spacing w:before="0" w:beforeAutospacing="0" w:after="0" w:afterAutospacing="0" w:line="400" w:lineRule="exact"/>
              <w:ind w:left="0" w:right="0"/>
              <w:rPr>
                <w:rFonts w:hint="eastAsia" w:ascii="Times New Roman" w:hAnsi="Times New Roman" w:cs="Times New Roman"/>
                <w:highlight w:val="none"/>
              </w:rPr>
            </w:pPr>
            <w:r>
              <w:rPr>
                <w:rFonts w:hint="eastAsia" w:ascii="Times New Roman" w:hAnsi="Times New Roman" w:cs="Times New Roman"/>
                <w:highlight w:val="none"/>
              </w:rPr>
              <w:t>审核意见：</w:t>
            </w:r>
          </w:p>
          <w:p w14:paraId="35CAEA72">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highlight w:val="none"/>
              </w:rPr>
            </w:pPr>
            <w:r>
              <w:rPr>
                <w:rFonts w:hint="eastAsia" w:ascii="Times New Roman" w:hAnsi="Times New Roman" w:cs="Times New Roman"/>
                <w:highlight w:val="none"/>
              </w:rPr>
              <w:t>□不同意。</w:t>
            </w:r>
          </w:p>
          <w:p w14:paraId="6CB6F0FB">
            <w:pPr>
              <w:keepNext w:val="0"/>
              <w:keepLines w:val="0"/>
              <w:suppressLineNumbers w:val="0"/>
              <w:spacing w:before="0" w:beforeAutospacing="0" w:after="0" w:afterAutospacing="0" w:line="400" w:lineRule="exact"/>
              <w:ind w:left="0" w:right="0" w:firstLine="420"/>
              <w:rPr>
                <w:rFonts w:hint="eastAsia" w:ascii="Times New Roman" w:hAnsi="Times New Roman" w:cs="Times New Roman"/>
                <w:highlight w:val="none"/>
              </w:rPr>
            </w:pPr>
            <w:r>
              <w:rPr>
                <w:rFonts w:hint="eastAsia" w:ascii="Times New Roman" w:hAnsi="Times New Roman" w:cs="Times New Roman"/>
                <w:highlight w:val="none"/>
              </w:rPr>
              <w:t>□同意，支付时间为本表签发后的15天内。</w:t>
            </w:r>
          </w:p>
          <w:p w14:paraId="019C11CD">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2FE5F5FF">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2C936219">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30644F3B">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bookmarkStart w:id="2019" w:name="REVIEW_BM_2116"/>
            <w:r>
              <w:rPr>
                <w:rFonts w:hint="eastAsia" w:ascii="Times New Roman" w:hAnsi="Times New Roman" w:cs="Times New Roman"/>
                <w:highlight w:val="none"/>
              </w:rPr>
              <w:t>发包人</w:t>
            </w:r>
            <w:bookmarkEnd w:id="2019"/>
            <w:r>
              <w:rPr>
                <w:rFonts w:hint="eastAsia" w:ascii="Times New Roman" w:hAnsi="Times New Roman" w:cs="Times New Roman"/>
                <w:highlight w:val="none"/>
              </w:rPr>
              <w:t xml:space="preserve">（章）           </w:t>
            </w:r>
          </w:p>
          <w:p w14:paraId="2FB57E72">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bookmarkStart w:id="2020" w:name="REVIEW_BM_2117"/>
            <w:r>
              <w:rPr>
                <w:rFonts w:hint="eastAsia" w:ascii="Times New Roman" w:hAnsi="Times New Roman" w:cs="Times New Roman"/>
                <w:highlight w:val="none"/>
              </w:rPr>
              <w:t>发包人</w:t>
            </w:r>
            <w:bookmarkEnd w:id="2020"/>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p>
          <w:p w14:paraId="20D86691">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bl>
    <w:p w14:paraId="2C547F87">
      <w:pPr>
        <w:spacing w:before="120"/>
        <w:ind w:firstLine="360"/>
        <w:rPr>
          <w:rFonts w:hint="eastAsia"/>
          <w:sz w:val="18"/>
          <w:szCs w:val="18"/>
          <w:highlight w:val="none"/>
        </w:rPr>
      </w:pPr>
      <w:r>
        <w:rPr>
          <w:rFonts w:hint="eastAsia"/>
          <w:sz w:val="18"/>
          <w:szCs w:val="18"/>
          <w:highlight w:val="none"/>
        </w:rPr>
        <w:t xml:space="preserve">注：1.在选择栏中的“□”内作标识“√”。 </w:t>
      </w:r>
    </w:p>
    <w:p w14:paraId="72C2AE07">
      <w:pPr>
        <w:spacing w:before="120"/>
        <w:ind w:left="720" w:hanging="720"/>
        <w:rPr>
          <w:rFonts w:hint="eastAsia"/>
          <w:sz w:val="18"/>
          <w:szCs w:val="18"/>
          <w:highlight w:val="none"/>
        </w:rPr>
      </w:pPr>
      <w:r>
        <w:rPr>
          <w:rFonts w:hint="eastAsia"/>
          <w:sz w:val="18"/>
          <w:szCs w:val="18"/>
          <w:highlight w:val="none"/>
        </w:rPr>
        <w:t xml:space="preserve">    </w:t>
      </w:r>
      <w:r>
        <w:rPr>
          <w:sz w:val="18"/>
          <w:szCs w:val="18"/>
          <w:highlight w:val="none"/>
        </w:rPr>
        <w:t xml:space="preserve">  </w:t>
      </w:r>
      <w:r>
        <w:rPr>
          <w:rFonts w:hint="eastAsia"/>
          <w:sz w:val="18"/>
          <w:szCs w:val="18"/>
          <w:highlight w:val="none"/>
        </w:rPr>
        <w:t xml:space="preserve">  2.本表一式四份，由</w:t>
      </w:r>
      <w:bookmarkStart w:id="2021" w:name="REVIEW_BM_2119"/>
      <w:r>
        <w:rPr>
          <w:rFonts w:hint="eastAsia"/>
          <w:sz w:val="18"/>
          <w:szCs w:val="18"/>
          <w:highlight w:val="none"/>
        </w:rPr>
        <w:t>承包人</w:t>
      </w:r>
      <w:bookmarkEnd w:id="2021"/>
      <w:r>
        <w:rPr>
          <w:rFonts w:hint="eastAsia"/>
          <w:sz w:val="18"/>
          <w:szCs w:val="18"/>
          <w:highlight w:val="none"/>
        </w:rPr>
        <w:t>填报，</w:t>
      </w:r>
      <w:bookmarkStart w:id="2022" w:name="REVIEW_BM_2118"/>
      <w:r>
        <w:rPr>
          <w:rFonts w:hint="eastAsia"/>
          <w:sz w:val="18"/>
          <w:szCs w:val="18"/>
          <w:highlight w:val="none"/>
        </w:rPr>
        <w:t>发包人</w:t>
      </w:r>
      <w:bookmarkEnd w:id="2022"/>
      <w:r>
        <w:rPr>
          <w:rFonts w:hint="eastAsia"/>
          <w:sz w:val="18"/>
          <w:szCs w:val="18"/>
          <w:highlight w:val="none"/>
        </w:rPr>
        <w:t>、</w:t>
      </w:r>
      <w:bookmarkStart w:id="2023" w:name="REVIEW_BM_2120"/>
      <w:r>
        <w:rPr>
          <w:rFonts w:hint="eastAsia"/>
          <w:sz w:val="18"/>
          <w:szCs w:val="18"/>
          <w:highlight w:val="none"/>
        </w:rPr>
        <w:t>承包人</w:t>
      </w:r>
      <w:bookmarkEnd w:id="2023"/>
      <w:r>
        <w:rPr>
          <w:rFonts w:hint="eastAsia"/>
          <w:sz w:val="18"/>
          <w:szCs w:val="18"/>
          <w:highlight w:val="none"/>
        </w:rPr>
        <w:t>各存</w:t>
      </w:r>
      <w:r>
        <w:rPr>
          <w:rFonts w:hint="eastAsia"/>
          <w:sz w:val="18"/>
          <w:szCs w:val="18"/>
          <w:highlight w:val="none"/>
          <w:lang w:val="en-US" w:eastAsia="zh-CN"/>
        </w:rPr>
        <w:t>二</w:t>
      </w:r>
      <w:r>
        <w:rPr>
          <w:rFonts w:hint="eastAsia"/>
          <w:sz w:val="18"/>
          <w:szCs w:val="18"/>
          <w:highlight w:val="none"/>
        </w:rPr>
        <w:t>份。</w:t>
      </w:r>
    </w:p>
    <w:p w14:paraId="33A95E0F">
      <w:pPr>
        <w:spacing w:before="120"/>
        <w:ind w:left="880" w:hanging="840"/>
        <w:rPr>
          <w:rFonts w:hint="eastAsia"/>
          <w:highlight w:val="none"/>
        </w:rPr>
      </w:pPr>
    </w:p>
    <w:p w14:paraId="59CCA181">
      <w:pPr>
        <w:spacing w:line="440" w:lineRule="exact"/>
        <w:rPr>
          <w:rFonts w:hint="eastAsia" w:eastAsia="宋体"/>
          <w:sz w:val="30"/>
          <w:szCs w:val="30"/>
          <w:highlight w:val="none"/>
          <w:lang w:val="en-US" w:eastAsia="zh-CN"/>
        </w:rPr>
      </w:pPr>
      <w:r>
        <w:rPr>
          <w:sz w:val="30"/>
          <w:szCs w:val="30"/>
          <w:highlight w:val="none"/>
        </w:rPr>
        <w:br w:type="page" w:clear="all"/>
      </w:r>
      <w:r>
        <w:rPr>
          <w:rFonts w:hint="eastAsia" w:ascii="宋体" w:hAnsi="宋体" w:eastAsia="宋体" w:cs="宋体"/>
          <w:sz w:val="21"/>
          <w:szCs w:val="21"/>
          <w:highlight w:val="none"/>
        </w:rPr>
        <w:t>附件1</w:t>
      </w:r>
      <w:r>
        <w:rPr>
          <w:rFonts w:hint="eastAsia" w:ascii="宋体" w:hAnsi="宋体" w:eastAsia="宋体" w:cs="宋体"/>
          <w:sz w:val="21"/>
          <w:szCs w:val="21"/>
          <w:highlight w:val="none"/>
          <w:lang w:val="en-US" w:eastAsia="zh-CN"/>
        </w:rPr>
        <w:t>6</w:t>
      </w:r>
    </w:p>
    <w:p w14:paraId="1C206938">
      <w:pPr>
        <w:jc w:val="center"/>
        <w:rPr>
          <w:rFonts w:hint="eastAsia"/>
          <w:b/>
          <w:sz w:val="36"/>
          <w:szCs w:val="36"/>
          <w:highlight w:val="none"/>
        </w:rPr>
      </w:pPr>
      <w:r>
        <w:rPr>
          <w:rFonts w:hint="eastAsia"/>
          <w:b/>
          <w:sz w:val="36"/>
          <w:szCs w:val="36"/>
          <w:highlight w:val="none"/>
        </w:rPr>
        <w:t>竣工结算款支付申请（核准）表</w:t>
      </w:r>
    </w:p>
    <w:p w14:paraId="6357B1AA">
      <w:pPr>
        <w:rPr>
          <w:rFonts w:hint="eastAsia"/>
          <w:sz w:val="24"/>
          <w:szCs w:val="24"/>
          <w:highlight w:val="none"/>
        </w:rPr>
      </w:pPr>
      <w:r>
        <w:rPr>
          <w:rFonts w:hint="eastAsia"/>
          <w:sz w:val="24"/>
          <w:szCs w:val="24"/>
          <w:highlight w:val="none"/>
        </w:rPr>
        <w:t>工程名称：                                              编号：</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4D6E603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80" w:hRule="atLeast"/>
          <w:jc w:val="center"/>
        </w:trPr>
        <w:tc>
          <w:tcPr>
            <w:tcW w:w="9072" w:type="dxa"/>
            <w:noWrap w:val="0"/>
            <w:vAlign w:val="top"/>
          </w:tcPr>
          <w:p w14:paraId="6EC8B586">
            <w:pPr>
              <w:keepNext w:val="0"/>
              <w:keepLines w:val="0"/>
              <w:suppressLineNumbers w:val="0"/>
              <w:spacing w:before="0" w:beforeAutospacing="0" w:after="0" w:afterAutospacing="0" w:line="480" w:lineRule="exact"/>
              <w:ind w:left="525" w:right="0" w:hanging="212"/>
              <w:rPr>
                <w:rFonts w:hint="eastAsia" w:ascii="Times New Roman" w:hAnsi="Times New Roman" w:cs="Times New Roman"/>
                <w:highlight w:val="none"/>
                <w:u w:val="single"/>
              </w:rPr>
            </w:pPr>
            <w:r>
              <w:rPr>
                <w:rFonts w:hint="eastAsia" w:ascii="Times New Roman" w:hAnsi="Times New Roman" w:cs="Times New Roman"/>
                <w:highlight w:val="none"/>
              </w:rPr>
              <w:t>致：</w:t>
            </w:r>
            <w:r>
              <w:rPr>
                <w:rFonts w:hint="eastAsia" w:ascii="Times New Roman" w:hAnsi="Times New Roman" w:cs="Times New Roman"/>
                <w:highlight w:val="none"/>
                <w:u w:val="single"/>
              </w:rPr>
              <w:t xml:space="preserve">                                   （</w:t>
            </w:r>
            <w:bookmarkStart w:id="2024" w:name="REVIEW_BM_2121"/>
            <w:r>
              <w:rPr>
                <w:rFonts w:hint="eastAsia" w:ascii="Times New Roman" w:hAnsi="Times New Roman" w:cs="Times New Roman"/>
                <w:highlight w:val="none"/>
                <w:u w:val="single"/>
              </w:rPr>
              <w:t>发包人</w:t>
            </w:r>
            <w:bookmarkEnd w:id="2024"/>
            <w:r>
              <w:rPr>
                <w:rFonts w:hint="eastAsia" w:ascii="Times New Roman" w:hAnsi="Times New Roman" w:cs="Times New Roman"/>
                <w:highlight w:val="none"/>
                <w:u w:val="single"/>
              </w:rPr>
              <w:t>全称）</w:t>
            </w:r>
          </w:p>
          <w:p w14:paraId="2754B348">
            <w:pPr>
              <w:keepNext w:val="0"/>
              <w:keepLines w:val="0"/>
              <w:suppressLineNumbers w:val="0"/>
              <w:spacing w:before="0" w:beforeAutospacing="0" w:after="0" w:afterAutospacing="0" w:line="400" w:lineRule="exact"/>
              <w:ind w:left="-4" w:right="0" w:firstLine="315"/>
              <w:rPr>
                <w:rFonts w:hint="eastAsia" w:ascii="Times New Roman" w:hAnsi="Times New Roman" w:cs="Times New Roman"/>
                <w:highlight w:val="none"/>
              </w:rPr>
            </w:pPr>
            <w:bookmarkStart w:id="2025" w:name="REVIEW_BM_2122"/>
            <w:r>
              <w:rPr>
                <w:rFonts w:hint="eastAsia" w:ascii="Times New Roman" w:hAnsi="Times New Roman" w:cs="Times New Roman"/>
                <w:highlight w:val="none"/>
              </w:rPr>
              <w:t>我方</w:t>
            </w:r>
            <w:bookmarkEnd w:id="2025"/>
            <w:r>
              <w:rPr>
                <w:rFonts w:hint="eastAsia" w:ascii="Times New Roman" w:hAnsi="Times New Roman" w:cs="Times New Roman"/>
                <w:highlight w:val="none"/>
              </w:rPr>
              <w:t>于</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至</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期间已完成了合同约定的工作，根据施工合同的约定，现申请支付竣工结算的工程款额为(大写)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元，(小写)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元，请予核准。</w:t>
            </w:r>
          </w:p>
          <w:tbl>
            <w:tblPr>
              <w:tblStyle w:val="56"/>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17E7A05E">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2B065E8D">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序号</w:t>
                  </w:r>
                </w:p>
              </w:tc>
              <w:tc>
                <w:tcPr>
                  <w:tcW w:w="3420" w:type="dxa"/>
                  <w:noWrap w:val="0"/>
                  <w:vAlign w:val="center"/>
                </w:tcPr>
                <w:p w14:paraId="286B8A7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名      称</w:t>
                  </w:r>
                </w:p>
              </w:tc>
              <w:tc>
                <w:tcPr>
                  <w:tcW w:w="1620" w:type="dxa"/>
                  <w:noWrap w:val="0"/>
                  <w:vAlign w:val="center"/>
                </w:tcPr>
                <w:p w14:paraId="0033F59A">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申请金额（元）</w:t>
                  </w:r>
                </w:p>
              </w:tc>
              <w:tc>
                <w:tcPr>
                  <w:tcW w:w="1620" w:type="dxa"/>
                  <w:noWrap w:val="0"/>
                  <w:vAlign w:val="center"/>
                </w:tcPr>
                <w:p w14:paraId="68BBC819">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复核金额（元）</w:t>
                  </w:r>
                </w:p>
              </w:tc>
              <w:tc>
                <w:tcPr>
                  <w:tcW w:w="1651" w:type="dxa"/>
                  <w:noWrap w:val="0"/>
                  <w:vAlign w:val="center"/>
                </w:tcPr>
                <w:p w14:paraId="56A4B178">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备注</w:t>
                  </w:r>
                </w:p>
              </w:tc>
            </w:tr>
            <w:tr w14:paraId="778E7474">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E9D642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1</w:t>
                  </w:r>
                </w:p>
              </w:tc>
              <w:tc>
                <w:tcPr>
                  <w:tcW w:w="3420" w:type="dxa"/>
                  <w:noWrap w:val="0"/>
                  <w:vAlign w:val="top"/>
                </w:tcPr>
                <w:p w14:paraId="7D75C61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竣工结算合同价款总额</w:t>
                  </w:r>
                </w:p>
              </w:tc>
              <w:tc>
                <w:tcPr>
                  <w:tcW w:w="1620" w:type="dxa"/>
                  <w:noWrap w:val="0"/>
                  <w:vAlign w:val="top"/>
                </w:tcPr>
                <w:p w14:paraId="0698D59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20CD747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0388E02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7AD703B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30E579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2</w:t>
                  </w:r>
                </w:p>
              </w:tc>
              <w:tc>
                <w:tcPr>
                  <w:tcW w:w="3420" w:type="dxa"/>
                  <w:noWrap w:val="0"/>
                  <w:vAlign w:val="top"/>
                </w:tcPr>
                <w:p w14:paraId="3BB1181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累计已实际支付的合同价款</w:t>
                  </w:r>
                </w:p>
              </w:tc>
              <w:tc>
                <w:tcPr>
                  <w:tcW w:w="1620" w:type="dxa"/>
                  <w:noWrap w:val="0"/>
                  <w:vAlign w:val="top"/>
                </w:tcPr>
                <w:p w14:paraId="5CD3A29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5D60D99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3811DC6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74D02590">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B9D80AE">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3</w:t>
                  </w:r>
                </w:p>
              </w:tc>
              <w:tc>
                <w:tcPr>
                  <w:tcW w:w="3420" w:type="dxa"/>
                  <w:noWrap w:val="0"/>
                  <w:vAlign w:val="top"/>
                </w:tcPr>
                <w:p w14:paraId="0798C28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应预留的</w:t>
                  </w:r>
                  <w:bookmarkStart w:id="2026" w:name="REVIEW_BM_2123"/>
                  <w:r>
                    <w:rPr>
                      <w:rFonts w:hint="eastAsia" w:ascii="Times New Roman" w:hAnsi="Times New Roman" w:cs="Times New Roman"/>
                      <w:highlight w:val="none"/>
                    </w:rPr>
                    <w:t>质量保证金</w:t>
                  </w:r>
                  <w:bookmarkEnd w:id="2026"/>
                </w:p>
              </w:tc>
              <w:tc>
                <w:tcPr>
                  <w:tcW w:w="1620" w:type="dxa"/>
                  <w:noWrap w:val="0"/>
                  <w:vAlign w:val="top"/>
                </w:tcPr>
                <w:p w14:paraId="0F89292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1C8A749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674804B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1B12F20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A84090D">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4</w:t>
                  </w:r>
                </w:p>
              </w:tc>
              <w:tc>
                <w:tcPr>
                  <w:tcW w:w="3420" w:type="dxa"/>
                  <w:noWrap w:val="0"/>
                  <w:vAlign w:val="top"/>
                </w:tcPr>
                <w:p w14:paraId="08ADB31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应支付的竣工结算款金额</w:t>
                  </w:r>
                </w:p>
              </w:tc>
              <w:tc>
                <w:tcPr>
                  <w:tcW w:w="1620" w:type="dxa"/>
                  <w:noWrap w:val="0"/>
                  <w:vAlign w:val="top"/>
                </w:tcPr>
                <w:p w14:paraId="0C5EB91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4297EB6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7E00950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22993E0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FFC2594">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20424805">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5E699B3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3154814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6A8B2DE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89DC3E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9A02BB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2305D9F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239C431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1137811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2F5F407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1A44C9C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0442A42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350839F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33B02C5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34A3FBF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62FC7F6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2E9C30C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2657214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67F8933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2735778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1FBD19C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3B372CB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5C87A7E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88812DE">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35BC7D1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45A0F2C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2C1D74A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7936FF7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bl>
          <w:p w14:paraId="7475860A">
            <w:pPr>
              <w:keepNext w:val="0"/>
              <w:keepLines w:val="0"/>
              <w:suppressLineNumbers w:val="0"/>
              <w:spacing w:before="0" w:beforeAutospacing="0" w:after="0" w:afterAutospacing="0" w:line="400" w:lineRule="exact"/>
              <w:ind w:left="0" w:right="420" w:firstLine="435"/>
              <w:jc w:val="center"/>
              <w:rPr>
                <w:rFonts w:hint="eastAsia" w:ascii="Times New Roman" w:hAnsi="Times New Roman" w:cs="Times New Roman"/>
                <w:highlight w:val="none"/>
              </w:rPr>
            </w:pPr>
          </w:p>
          <w:p w14:paraId="64360E80">
            <w:pPr>
              <w:keepNext w:val="0"/>
              <w:keepLines w:val="0"/>
              <w:suppressLineNumbers w:val="0"/>
              <w:spacing w:before="0" w:beforeAutospacing="0" w:after="0" w:afterAutospacing="0" w:line="400" w:lineRule="exact"/>
              <w:ind w:left="0" w:right="420" w:firstLine="435"/>
              <w:jc w:val="center"/>
              <w:rPr>
                <w:rFonts w:hint="eastAsia" w:ascii="Times New Roman" w:hAnsi="Times New Roman" w:cs="Times New Roman"/>
                <w:highlight w:val="none"/>
              </w:rPr>
            </w:pPr>
            <w:r>
              <w:rPr>
                <w:rFonts w:hint="eastAsia" w:ascii="Times New Roman" w:hAnsi="Times New Roman" w:cs="Times New Roman"/>
                <w:highlight w:val="none"/>
              </w:rPr>
              <w:t xml:space="preserve">                                            </w:t>
            </w:r>
            <w:bookmarkStart w:id="2027" w:name="REVIEW_BM_2124"/>
            <w:r>
              <w:rPr>
                <w:rFonts w:hint="eastAsia" w:ascii="Times New Roman" w:hAnsi="Times New Roman" w:cs="Times New Roman"/>
                <w:highlight w:val="none"/>
              </w:rPr>
              <w:t>承包人</w:t>
            </w:r>
            <w:bookmarkEnd w:id="2027"/>
            <w:r>
              <w:rPr>
                <w:rFonts w:hint="eastAsia" w:ascii="Times New Roman" w:hAnsi="Times New Roman" w:cs="Times New Roman"/>
                <w:highlight w:val="none"/>
              </w:rPr>
              <w:t xml:space="preserve">（章）             </w:t>
            </w:r>
          </w:p>
          <w:p w14:paraId="107CA793">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highlight w:val="none"/>
              </w:rPr>
            </w:pPr>
            <w:r>
              <w:rPr>
                <w:rFonts w:hint="eastAsia" w:ascii="Times New Roman" w:hAnsi="Times New Roman" w:cs="Times New Roman"/>
                <w:highlight w:val="none"/>
              </w:rPr>
              <w:t>造价人员</w:t>
            </w:r>
            <w:r>
              <w:rPr>
                <w:rFonts w:hint="eastAsia" w:ascii="Times New Roman" w:hAnsi="Times New Roman" w:cs="Times New Roman"/>
                <w:highlight w:val="none"/>
                <w:u w:val="single"/>
              </w:rPr>
              <w:t xml:space="preserve">               </w:t>
            </w:r>
            <w:bookmarkStart w:id="2028" w:name="REVIEW_BM_2125"/>
            <w:r>
              <w:rPr>
                <w:rFonts w:hint="eastAsia" w:ascii="Times New Roman" w:hAnsi="Times New Roman" w:cs="Times New Roman"/>
                <w:highlight w:val="none"/>
              </w:rPr>
              <w:t>承包人</w:t>
            </w:r>
            <w:bookmarkEnd w:id="2028"/>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r w14:paraId="4048A387">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993" w:hRule="atLeast"/>
          <w:jc w:val="center"/>
        </w:trPr>
        <w:tc>
          <w:tcPr>
            <w:tcW w:w="9072" w:type="dxa"/>
            <w:noWrap w:val="0"/>
            <w:vAlign w:val="top"/>
          </w:tcPr>
          <w:p w14:paraId="62265F00">
            <w:pPr>
              <w:keepNext w:val="0"/>
              <w:keepLines w:val="0"/>
              <w:suppressLineNumbers w:val="0"/>
              <w:spacing w:before="0" w:beforeAutospacing="0" w:after="0" w:afterAutospacing="0" w:line="400" w:lineRule="exact"/>
              <w:ind w:left="0" w:right="0"/>
              <w:rPr>
                <w:rFonts w:hint="eastAsia" w:ascii="Times New Roman" w:hAnsi="Times New Roman" w:cs="Times New Roman"/>
                <w:highlight w:val="none"/>
              </w:rPr>
            </w:pPr>
            <w:r>
              <w:rPr>
                <w:rFonts w:hint="eastAsia" w:ascii="Times New Roman" w:hAnsi="Times New Roman" w:cs="Times New Roman"/>
                <w:highlight w:val="none"/>
              </w:rPr>
              <w:t>审核意见：</w:t>
            </w:r>
          </w:p>
          <w:p w14:paraId="7B0B53FF">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highlight w:val="none"/>
              </w:rPr>
            </w:pPr>
            <w:r>
              <w:rPr>
                <w:rFonts w:hint="eastAsia" w:ascii="Times New Roman" w:hAnsi="Times New Roman" w:cs="Times New Roman"/>
                <w:highlight w:val="none"/>
              </w:rPr>
              <w:t>□不同意。</w:t>
            </w:r>
          </w:p>
          <w:p w14:paraId="4E1AE0FE">
            <w:pPr>
              <w:keepNext w:val="0"/>
              <w:keepLines w:val="0"/>
              <w:suppressLineNumbers w:val="0"/>
              <w:spacing w:before="0" w:beforeAutospacing="0" w:after="0" w:afterAutospacing="0" w:line="400" w:lineRule="exact"/>
              <w:ind w:left="0" w:right="0" w:firstLine="420"/>
              <w:rPr>
                <w:rFonts w:hint="eastAsia" w:ascii="Times New Roman" w:hAnsi="Times New Roman" w:cs="Times New Roman"/>
                <w:highlight w:val="none"/>
              </w:rPr>
            </w:pPr>
            <w:r>
              <w:rPr>
                <w:rFonts w:hint="eastAsia" w:ascii="Times New Roman" w:hAnsi="Times New Roman" w:cs="Times New Roman"/>
                <w:highlight w:val="none"/>
              </w:rPr>
              <w:t>□同意，支付时间为本表签发后的15天内。</w:t>
            </w:r>
          </w:p>
          <w:p w14:paraId="2C210AD8">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63B08157">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008A5FE7">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bookmarkStart w:id="2029" w:name="REVIEW_BM_2126"/>
            <w:r>
              <w:rPr>
                <w:rFonts w:hint="eastAsia" w:ascii="Times New Roman" w:hAnsi="Times New Roman" w:cs="Times New Roman"/>
                <w:highlight w:val="none"/>
              </w:rPr>
              <w:t>发包人</w:t>
            </w:r>
            <w:bookmarkEnd w:id="2029"/>
            <w:r>
              <w:rPr>
                <w:rFonts w:hint="eastAsia" w:ascii="Times New Roman" w:hAnsi="Times New Roman" w:cs="Times New Roman"/>
                <w:highlight w:val="none"/>
              </w:rPr>
              <w:t xml:space="preserve">（章）           </w:t>
            </w:r>
          </w:p>
          <w:p w14:paraId="059C2027">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bookmarkStart w:id="2030" w:name="REVIEW_BM_2127"/>
            <w:r>
              <w:rPr>
                <w:rFonts w:hint="eastAsia" w:ascii="Times New Roman" w:hAnsi="Times New Roman" w:cs="Times New Roman"/>
                <w:highlight w:val="none"/>
              </w:rPr>
              <w:t>发包人</w:t>
            </w:r>
            <w:bookmarkEnd w:id="2030"/>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p>
          <w:p w14:paraId="036C6442">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bl>
    <w:p w14:paraId="4C123AF7">
      <w:pPr>
        <w:spacing w:before="120"/>
        <w:ind w:firstLine="360"/>
        <w:rPr>
          <w:rFonts w:hint="eastAsia"/>
          <w:sz w:val="18"/>
          <w:szCs w:val="18"/>
          <w:highlight w:val="none"/>
        </w:rPr>
      </w:pPr>
      <w:r>
        <w:rPr>
          <w:rFonts w:hint="eastAsia"/>
          <w:sz w:val="18"/>
          <w:szCs w:val="18"/>
          <w:highlight w:val="none"/>
        </w:rPr>
        <w:t xml:space="preserve">注：1.在选择栏中的“□”内作标识“√”。 </w:t>
      </w:r>
    </w:p>
    <w:p w14:paraId="02050657">
      <w:pPr>
        <w:spacing w:before="120"/>
        <w:ind w:left="720" w:hanging="720"/>
        <w:rPr>
          <w:rFonts w:hint="eastAsia"/>
          <w:sz w:val="18"/>
          <w:szCs w:val="18"/>
          <w:highlight w:val="none"/>
        </w:rPr>
      </w:pPr>
      <w:r>
        <w:rPr>
          <w:rFonts w:hint="eastAsia"/>
          <w:sz w:val="18"/>
          <w:szCs w:val="18"/>
          <w:highlight w:val="none"/>
        </w:rPr>
        <w:t xml:space="preserve">    </w:t>
      </w:r>
      <w:r>
        <w:rPr>
          <w:sz w:val="18"/>
          <w:szCs w:val="18"/>
          <w:highlight w:val="none"/>
        </w:rPr>
        <w:t xml:space="preserve">  </w:t>
      </w:r>
      <w:r>
        <w:rPr>
          <w:rFonts w:hint="eastAsia"/>
          <w:sz w:val="18"/>
          <w:szCs w:val="18"/>
          <w:highlight w:val="none"/>
        </w:rPr>
        <w:t xml:space="preserve">  2.本表一式四份，由</w:t>
      </w:r>
      <w:bookmarkStart w:id="2031" w:name="REVIEW_BM_2129"/>
      <w:r>
        <w:rPr>
          <w:rFonts w:hint="eastAsia"/>
          <w:sz w:val="18"/>
          <w:szCs w:val="18"/>
          <w:highlight w:val="none"/>
        </w:rPr>
        <w:t>承包人</w:t>
      </w:r>
      <w:bookmarkEnd w:id="2031"/>
      <w:r>
        <w:rPr>
          <w:rFonts w:hint="eastAsia"/>
          <w:sz w:val="18"/>
          <w:szCs w:val="18"/>
          <w:highlight w:val="none"/>
        </w:rPr>
        <w:t>填报，</w:t>
      </w:r>
      <w:bookmarkStart w:id="2032" w:name="REVIEW_BM_2128"/>
      <w:r>
        <w:rPr>
          <w:rFonts w:hint="eastAsia"/>
          <w:sz w:val="18"/>
          <w:szCs w:val="18"/>
          <w:highlight w:val="none"/>
        </w:rPr>
        <w:t>发包人</w:t>
      </w:r>
      <w:bookmarkEnd w:id="2032"/>
      <w:r>
        <w:rPr>
          <w:rFonts w:hint="eastAsia"/>
          <w:sz w:val="18"/>
          <w:szCs w:val="18"/>
          <w:highlight w:val="none"/>
        </w:rPr>
        <w:t>、</w:t>
      </w:r>
      <w:bookmarkStart w:id="2033" w:name="REVIEW_BM_2130"/>
      <w:r>
        <w:rPr>
          <w:rFonts w:hint="eastAsia"/>
          <w:sz w:val="18"/>
          <w:szCs w:val="18"/>
          <w:highlight w:val="none"/>
        </w:rPr>
        <w:t>承包人</w:t>
      </w:r>
      <w:bookmarkEnd w:id="2033"/>
      <w:r>
        <w:rPr>
          <w:rFonts w:hint="eastAsia"/>
          <w:sz w:val="18"/>
          <w:szCs w:val="18"/>
          <w:highlight w:val="none"/>
        </w:rPr>
        <w:t>各存</w:t>
      </w:r>
      <w:r>
        <w:rPr>
          <w:rFonts w:hint="eastAsia"/>
          <w:sz w:val="18"/>
          <w:szCs w:val="18"/>
          <w:highlight w:val="none"/>
          <w:lang w:val="en-US" w:eastAsia="zh-CN"/>
        </w:rPr>
        <w:t>二</w:t>
      </w:r>
      <w:r>
        <w:rPr>
          <w:rFonts w:hint="eastAsia"/>
          <w:sz w:val="18"/>
          <w:szCs w:val="18"/>
          <w:highlight w:val="none"/>
        </w:rPr>
        <w:t>份。</w:t>
      </w:r>
    </w:p>
    <w:p w14:paraId="62370D92">
      <w:pPr>
        <w:ind w:right="360"/>
        <w:rPr>
          <w:rFonts w:hint="eastAsia"/>
          <w:sz w:val="18"/>
          <w:szCs w:val="18"/>
          <w:highlight w:val="none"/>
        </w:rPr>
      </w:pPr>
      <w:r>
        <w:rPr>
          <w:rFonts w:hint="eastAsia"/>
          <w:sz w:val="18"/>
          <w:szCs w:val="18"/>
          <w:highlight w:val="none"/>
        </w:rPr>
        <w:t xml:space="preserve">                                                                                            </w:t>
      </w:r>
    </w:p>
    <w:p w14:paraId="5075AC88">
      <w:pPr>
        <w:spacing w:line="440" w:lineRule="exact"/>
        <w:rPr>
          <w:rFonts w:hint="eastAsia"/>
          <w:b/>
          <w:sz w:val="30"/>
          <w:szCs w:val="30"/>
          <w:highlight w:val="none"/>
        </w:rPr>
      </w:pPr>
      <w:r>
        <w:rPr>
          <w:rFonts w:hint="eastAsia"/>
          <w:sz w:val="30"/>
          <w:szCs w:val="30"/>
          <w:highlight w:val="none"/>
        </w:rPr>
        <w:br w:type="page" w:clear="all"/>
      </w:r>
      <w:r>
        <w:rPr>
          <w:rFonts w:hint="eastAsia" w:ascii="宋体" w:hAnsi="宋体" w:eastAsia="宋体" w:cs="宋体"/>
          <w:sz w:val="21"/>
          <w:szCs w:val="21"/>
          <w:highlight w:val="none"/>
        </w:rPr>
        <w:t>附件1</w:t>
      </w:r>
      <w:r>
        <w:rPr>
          <w:rFonts w:hint="eastAsia" w:ascii="宋体" w:hAnsi="宋体" w:eastAsia="宋体" w:cs="宋体"/>
          <w:sz w:val="21"/>
          <w:szCs w:val="21"/>
          <w:highlight w:val="none"/>
          <w:lang w:val="en-US" w:eastAsia="zh-CN"/>
        </w:rPr>
        <w:t>7</w:t>
      </w:r>
      <w:r>
        <w:rPr>
          <w:rFonts w:hint="eastAsia" w:ascii="宋体" w:hAnsi="宋体" w:eastAsia="宋体" w:cs="宋体"/>
          <w:sz w:val="21"/>
          <w:szCs w:val="21"/>
          <w:highlight w:val="none"/>
        </w:rPr>
        <w:t>：</w:t>
      </w:r>
    </w:p>
    <w:p w14:paraId="5400690E">
      <w:pPr>
        <w:jc w:val="center"/>
        <w:rPr>
          <w:rFonts w:hint="eastAsia"/>
          <w:b/>
          <w:sz w:val="36"/>
          <w:szCs w:val="36"/>
          <w:highlight w:val="none"/>
        </w:rPr>
      </w:pPr>
      <w:r>
        <w:rPr>
          <w:rFonts w:hint="eastAsia"/>
          <w:b/>
          <w:sz w:val="36"/>
          <w:szCs w:val="36"/>
          <w:highlight w:val="none"/>
        </w:rPr>
        <w:t>最终结算款支付申请（核准）表</w:t>
      </w:r>
    </w:p>
    <w:p w14:paraId="5EC19632">
      <w:pPr>
        <w:rPr>
          <w:rFonts w:hint="eastAsia"/>
          <w:sz w:val="24"/>
          <w:szCs w:val="24"/>
          <w:highlight w:val="none"/>
        </w:rPr>
      </w:pPr>
      <w:r>
        <w:rPr>
          <w:rFonts w:hint="eastAsia"/>
          <w:sz w:val="24"/>
          <w:szCs w:val="24"/>
          <w:highlight w:val="none"/>
        </w:rPr>
        <w:t>工程名称：                                             编号：</w:t>
      </w:r>
    </w:p>
    <w:tbl>
      <w:tblPr>
        <w:tblStyle w:val="56"/>
        <w:tblW w:w="0" w:type="auto"/>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9072"/>
      </w:tblGrid>
      <w:tr w14:paraId="14D81A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794" w:hRule="atLeast"/>
          <w:jc w:val="center"/>
        </w:trPr>
        <w:tc>
          <w:tcPr>
            <w:tcW w:w="9072" w:type="dxa"/>
            <w:noWrap w:val="0"/>
            <w:vAlign w:val="top"/>
          </w:tcPr>
          <w:p w14:paraId="411C491F">
            <w:pPr>
              <w:keepNext w:val="0"/>
              <w:keepLines w:val="0"/>
              <w:suppressLineNumbers w:val="0"/>
              <w:spacing w:before="0" w:beforeAutospacing="0" w:after="0" w:afterAutospacing="0" w:line="480" w:lineRule="exact"/>
              <w:ind w:left="525" w:right="0" w:hanging="212"/>
              <w:rPr>
                <w:rFonts w:hint="eastAsia" w:ascii="Times New Roman" w:hAnsi="Times New Roman" w:cs="Times New Roman"/>
                <w:highlight w:val="none"/>
                <w:u w:val="single"/>
              </w:rPr>
            </w:pPr>
            <w:r>
              <w:rPr>
                <w:rFonts w:hint="eastAsia" w:ascii="Times New Roman" w:hAnsi="Times New Roman" w:cs="Times New Roman"/>
                <w:highlight w:val="none"/>
              </w:rPr>
              <w:t>致：</w:t>
            </w:r>
            <w:r>
              <w:rPr>
                <w:rFonts w:hint="eastAsia" w:ascii="Times New Roman" w:hAnsi="Times New Roman" w:cs="Times New Roman"/>
                <w:highlight w:val="none"/>
                <w:u w:val="single"/>
              </w:rPr>
              <w:t xml:space="preserve">                                   （</w:t>
            </w:r>
            <w:bookmarkStart w:id="2034" w:name="REVIEW_BM_2131"/>
            <w:r>
              <w:rPr>
                <w:rFonts w:hint="eastAsia" w:ascii="Times New Roman" w:hAnsi="Times New Roman" w:cs="Times New Roman"/>
                <w:highlight w:val="none"/>
                <w:u w:val="single"/>
              </w:rPr>
              <w:t>发包人</w:t>
            </w:r>
            <w:bookmarkEnd w:id="2034"/>
            <w:r>
              <w:rPr>
                <w:rFonts w:hint="eastAsia" w:ascii="Times New Roman" w:hAnsi="Times New Roman" w:cs="Times New Roman"/>
                <w:highlight w:val="none"/>
                <w:u w:val="single"/>
              </w:rPr>
              <w:t>全称）</w:t>
            </w:r>
          </w:p>
          <w:p w14:paraId="4D577B14">
            <w:pPr>
              <w:keepNext w:val="0"/>
              <w:keepLines w:val="0"/>
              <w:suppressLineNumbers w:val="0"/>
              <w:spacing w:before="0" w:beforeAutospacing="0" w:after="0" w:afterAutospacing="0" w:line="400" w:lineRule="exact"/>
              <w:ind w:left="-4" w:right="0" w:firstLine="315"/>
              <w:rPr>
                <w:rFonts w:hint="eastAsia" w:ascii="Times New Roman" w:hAnsi="Times New Roman" w:cs="Times New Roman"/>
                <w:highlight w:val="none"/>
              </w:rPr>
            </w:pPr>
            <w:bookmarkStart w:id="2035" w:name="REVIEW_BM_2132"/>
            <w:r>
              <w:rPr>
                <w:rFonts w:hint="eastAsia" w:ascii="Times New Roman" w:hAnsi="Times New Roman" w:cs="Times New Roman"/>
                <w:highlight w:val="none"/>
              </w:rPr>
              <w:t>我方</w:t>
            </w:r>
            <w:bookmarkEnd w:id="2035"/>
            <w:r>
              <w:rPr>
                <w:rFonts w:hint="eastAsia" w:ascii="Times New Roman" w:hAnsi="Times New Roman" w:cs="Times New Roman"/>
                <w:highlight w:val="none"/>
              </w:rPr>
              <w:t>于</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至</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期间已完成了缺陷修复工作，根据施工合同的约定，现申请支付最终结清合同款额为(大写)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元，(小写)</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元，请予核准。</w:t>
            </w:r>
          </w:p>
          <w:tbl>
            <w:tblPr>
              <w:tblStyle w:val="56"/>
              <w:tblpPr w:leftFromText="180" w:rightFromText="180" w:vertAnchor="page" w:horzAnchor="margin" w:tblpXSpec="left" w:tblpY="1309"/>
              <w:tblOverlap w:val="never"/>
              <w:tblW w:w="0" w:type="auto"/>
              <w:tblInd w:w="0" w:type="dxa"/>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535"/>
              <w:gridCol w:w="3420"/>
              <w:gridCol w:w="1620"/>
              <w:gridCol w:w="1620"/>
              <w:gridCol w:w="1651"/>
            </w:tblGrid>
            <w:tr w14:paraId="528F30E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309" w:hRule="atLeast"/>
              </w:trPr>
              <w:tc>
                <w:tcPr>
                  <w:tcW w:w="535" w:type="dxa"/>
                  <w:noWrap w:val="0"/>
                  <w:vAlign w:val="center"/>
                </w:tcPr>
                <w:p w14:paraId="147E4D9C">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序号</w:t>
                  </w:r>
                </w:p>
              </w:tc>
              <w:tc>
                <w:tcPr>
                  <w:tcW w:w="3420" w:type="dxa"/>
                  <w:noWrap w:val="0"/>
                  <w:vAlign w:val="center"/>
                </w:tcPr>
                <w:p w14:paraId="35FFEAEA">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名      称</w:t>
                  </w:r>
                </w:p>
              </w:tc>
              <w:tc>
                <w:tcPr>
                  <w:tcW w:w="1620" w:type="dxa"/>
                  <w:noWrap w:val="0"/>
                  <w:vAlign w:val="center"/>
                </w:tcPr>
                <w:p w14:paraId="4715C6E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申请金额（元）</w:t>
                  </w:r>
                </w:p>
              </w:tc>
              <w:tc>
                <w:tcPr>
                  <w:tcW w:w="1620" w:type="dxa"/>
                  <w:noWrap w:val="0"/>
                  <w:vAlign w:val="center"/>
                </w:tcPr>
                <w:p w14:paraId="765766A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复核金额（元）</w:t>
                  </w:r>
                </w:p>
              </w:tc>
              <w:tc>
                <w:tcPr>
                  <w:tcW w:w="1651" w:type="dxa"/>
                  <w:noWrap w:val="0"/>
                  <w:vAlign w:val="center"/>
                </w:tcPr>
                <w:p w14:paraId="06096536">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备注</w:t>
                  </w:r>
                </w:p>
              </w:tc>
            </w:tr>
            <w:tr w14:paraId="79BB7B3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3C54244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1</w:t>
                  </w:r>
                </w:p>
              </w:tc>
              <w:tc>
                <w:tcPr>
                  <w:tcW w:w="3420" w:type="dxa"/>
                  <w:noWrap w:val="0"/>
                  <w:vAlign w:val="top"/>
                </w:tcPr>
                <w:p w14:paraId="4A2E5A2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已预留的</w:t>
                  </w:r>
                  <w:bookmarkStart w:id="2036" w:name="REVIEW_BM_2133"/>
                  <w:r>
                    <w:rPr>
                      <w:rFonts w:hint="eastAsia" w:ascii="Times New Roman" w:hAnsi="Times New Roman" w:cs="Times New Roman"/>
                      <w:highlight w:val="none"/>
                    </w:rPr>
                    <w:t>质量保证金</w:t>
                  </w:r>
                  <w:bookmarkEnd w:id="2036"/>
                </w:p>
              </w:tc>
              <w:tc>
                <w:tcPr>
                  <w:tcW w:w="1620" w:type="dxa"/>
                  <w:noWrap w:val="0"/>
                  <w:vAlign w:val="top"/>
                </w:tcPr>
                <w:p w14:paraId="183C123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3F73990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106E32A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78BFC44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810547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2</w:t>
                  </w:r>
                </w:p>
              </w:tc>
              <w:tc>
                <w:tcPr>
                  <w:tcW w:w="3420" w:type="dxa"/>
                  <w:noWrap w:val="0"/>
                  <w:vAlign w:val="top"/>
                </w:tcPr>
                <w:p w14:paraId="2F0A22B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应增加因</w:t>
                  </w:r>
                  <w:bookmarkStart w:id="2037" w:name="REVIEW_BM_2134"/>
                  <w:r>
                    <w:rPr>
                      <w:rFonts w:hint="eastAsia" w:ascii="Times New Roman" w:hAnsi="Times New Roman" w:cs="Times New Roman"/>
                      <w:highlight w:val="none"/>
                    </w:rPr>
                    <w:t>发包人</w:t>
                  </w:r>
                  <w:bookmarkEnd w:id="2037"/>
                  <w:r>
                    <w:rPr>
                      <w:rFonts w:hint="eastAsia" w:ascii="Times New Roman" w:hAnsi="Times New Roman" w:cs="Times New Roman"/>
                      <w:highlight w:val="none"/>
                    </w:rPr>
                    <w:t>原因造成缺陷的修复金额</w:t>
                  </w:r>
                </w:p>
              </w:tc>
              <w:tc>
                <w:tcPr>
                  <w:tcW w:w="1620" w:type="dxa"/>
                  <w:noWrap w:val="0"/>
                  <w:vAlign w:val="top"/>
                </w:tcPr>
                <w:p w14:paraId="0D44649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61245CB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6EC1564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EF4915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92A72FF">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3</w:t>
                  </w:r>
                </w:p>
              </w:tc>
              <w:tc>
                <w:tcPr>
                  <w:tcW w:w="3420" w:type="dxa"/>
                  <w:noWrap w:val="0"/>
                  <w:vAlign w:val="top"/>
                </w:tcPr>
                <w:p w14:paraId="3204D5F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应扣减</w:t>
                  </w:r>
                  <w:bookmarkStart w:id="2038" w:name="REVIEW_BM_2136"/>
                  <w:r>
                    <w:rPr>
                      <w:rFonts w:hint="eastAsia" w:ascii="Times New Roman" w:hAnsi="Times New Roman" w:cs="Times New Roman"/>
                      <w:highlight w:val="none"/>
                    </w:rPr>
                    <w:t>承包人</w:t>
                  </w:r>
                  <w:bookmarkEnd w:id="2038"/>
                  <w:r>
                    <w:rPr>
                      <w:rFonts w:hint="eastAsia" w:ascii="Times New Roman" w:hAnsi="Times New Roman" w:cs="Times New Roman"/>
                      <w:highlight w:val="none"/>
                    </w:rPr>
                    <w:t>不修复缺陷、</w:t>
                  </w:r>
                  <w:bookmarkStart w:id="2039" w:name="REVIEW_BM_2135"/>
                  <w:r>
                    <w:rPr>
                      <w:rFonts w:hint="eastAsia" w:ascii="Times New Roman" w:hAnsi="Times New Roman" w:cs="Times New Roman"/>
                      <w:highlight w:val="none"/>
                    </w:rPr>
                    <w:t>发包人</w:t>
                  </w:r>
                  <w:bookmarkEnd w:id="2039"/>
                  <w:r>
                    <w:rPr>
                      <w:rFonts w:hint="eastAsia" w:ascii="Times New Roman" w:hAnsi="Times New Roman" w:cs="Times New Roman"/>
                      <w:highlight w:val="none"/>
                    </w:rPr>
                    <w:t>组织修复的金额</w:t>
                  </w:r>
                </w:p>
              </w:tc>
              <w:tc>
                <w:tcPr>
                  <w:tcW w:w="1620" w:type="dxa"/>
                  <w:noWrap w:val="0"/>
                  <w:vAlign w:val="top"/>
                </w:tcPr>
                <w:p w14:paraId="40E2E3A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75E4079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251BA53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3B90F9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5FF3D711">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r>
                    <w:rPr>
                      <w:rFonts w:hint="eastAsia" w:ascii="Times New Roman" w:hAnsi="Times New Roman" w:cs="Times New Roman"/>
                      <w:highlight w:val="none"/>
                    </w:rPr>
                    <w:t>4</w:t>
                  </w:r>
                </w:p>
              </w:tc>
              <w:tc>
                <w:tcPr>
                  <w:tcW w:w="3420" w:type="dxa"/>
                  <w:noWrap w:val="0"/>
                  <w:vAlign w:val="top"/>
                </w:tcPr>
                <w:p w14:paraId="0B1E5A07">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r>
                    <w:rPr>
                      <w:rFonts w:hint="eastAsia" w:ascii="Times New Roman" w:hAnsi="Times New Roman" w:cs="Times New Roman"/>
                      <w:highlight w:val="none"/>
                    </w:rPr>
                    <w:t>最终应支付的合同价款</w:t>
                  </w:r>
                </w:p>
              </w:tc>
              <w:tc>
                <w:tcPr>
                  <w:tcW w:w="1620" w:type="dxa"/>
                  <w:noWrap w:val="0"/>
                  <w:vAlign w:val="top"/>
                </w:tcPr>
                <w:p w14:paraId="45C259A0">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33A4497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3C0FA80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312C048D">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2B01D52">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0D673F4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6E1C872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5AE27836">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1B136F9D">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256CB345">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7C304D85">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581C846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5ED28D1A">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09909B88">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0438DCAE">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49177469">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4EFD7C5B">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7203BDD2">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45BB1761">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323215B3">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6176987B">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r w14:paraId="152A337B">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c>
                <w:tcPr>
                  <w:tcW w:w="535" w:type="dxa"/>
                  <w:noWrap w:val="0"/>
                  <w:vAlign w:val="top"/>
                </w:tcPr>
                <w:p w14:paraId="14D4BB57">
                  <w:pPr>
                    <w:keepNext w:val="0"/>
                    <w:keepLines w:val="0"/>
                    <w:suppressLineNumbers w:val="0"/>
                    <w:spacing w:before="0" w:beforeAutospacing="0" w:after="0" w:afterAutospacing="0" w:line="280" w:lineRule="exact"/>
                    <w:ind w:left="0" w:right="0"/>
                    <w:jc w:val="center"/>
                    <w:rPr>
                      <w:rFonts w:hint="eastAsia" w:ascii="Times New Roman" w:hAnsi="Times New Roman" w:cs="Times New Roman"/>
                      <w:highlight w:val="none"/>
                    </w:rPr>
                  </w:pPr>
                </w:p>
              </w:tc>
              <w:tc>
                <w:tcPr>
                  <w:tcW w:w="3420" w:type="dxa"/>
                  <w:noWrap w:val="0"/>
                  <w:vAlign w:val="top"/>
                </w:tcPr>
                <w:p w14:paraId="7EE90264">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1B4D9299">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20" w:type="dxa"/>
                  <w:noWrap w:val="0"/>
                  <w:vAlign w:val="top"/>
                </w:tcPr>
                <w:p w14:paraId="64757C7F">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c>
                <w:tcPr>
                  <w:tcW w:w="1651" w:type="dxa"/>
                  <w:noWrap w:val="0"/>
                  <w:vAlign w:val="top"/>
                </w:tcPr>
                <w:p w14:paraId="3F99D8BC">
                  <w:pPr>
                    <w:keepNext w:val="0"/>
                    <w:keepLines w:val="0"/>
                    <w:suppressLineNumbers w:val="0"/>
                    <w:spacing w:before="0" w:beforeAutospacing="0" w:after="0" w:afterAutospacing="0" w:line="280" w:lineRule="exact"/>
                    <w:ind w:left="0" w:right="0"/>
                    <w:rPr>
                      <w:rFonts w:hint="eastAsia" w:ascii="Times New Roman" w:hAnsi="Times New Roman" w:cs="Times New Roman"/>
                      <w:highlight w:val="none"/>
                    </w:rPr>
                  </w:pPr>
                </w:p>
              </w:tc>
            </w:tr>
          </w:tbl>
          <w:p w14:paraId="0F921F48">
            <w:pPr>
              <w:keepNext w:val="0"/>
              <w:keepLines w:val="0"/>
              <w:suppressLineNumbers w:val="0"/>
              <w:spacing w:before="0" w:beforeAutospacing="0" w:after="0" w:afterAutospacing="0" w:line="400" w:lineRule="exact"/>
              <w:ind w:left="0" w:right="420" w:firstLine="435"/>
              <w:jc w:val="center"/>
              <w:rPr>
                <w:rFonts w:hint="eastAsia" w:ascii="Times New Roman" w:hAnsi="Times New Roman" w:cs="Times New Roman"/>
                <w:highlight w:val="none"/>
              </w:rPr>
            </w:pPr>
            <w:r>
              <w:rPr>
                <w:rFonts w:hint="eastAsia" w:ascii="Times New Roman" w:hAnsi="Times New Roman" w:cs="Times New Roman"/>
                <w:highlight w:val="none"/>
              </w:rPr>
              <w:t xml:space="preserve">                                            </w:t>
            </w:r>
            <w:bookmarkStart w:id="2040" w:name="REVIEW_BM_2137"/>
            <w:r>
              <w:rPr>
                <w:rFonts w:hint="eastAsia" w:ascii="Times New Roman" w:hAnsi="Times New Roman" w:cs="Times New Roman"/>
                <w:highlight w:val="none"/>
              </w:rPr>
              <w:t>承包人</w:t>
            </w:r>
            <w:bookmarkEnd w:id="2040"/>
            <w:r>
              <w:rPr>
                <w:rFonts w:hint="eastAsia" w:ascii="Times New Roman" w:hAnsi="Times New Roman" w:cs="Times New Roman"/>
                <w:highlight w:val="none"/>
              </w:rPr>
              <w:t xml:space="preserve">（章）             </w:t>
            </w:r>
          </w:p>
          <w:p w14:paraId="58F7E19F">
            <w:pPr>
              <w:keepNext w:val="0"/>
              <w:keepLines w:val="0"/>
              <w:suppressLineNumbers w:val="0"/>
              <w:spacing w:before="0" w:beforeAutospacing="0" w:after="0" w:afterAutospacing="0" w:line="400" w:lineRule="exact"/>
              <w:ind w:left="0" w:right="420" w:firstLine="435"/>
              <w:rPr>
                <w:rFonts w:hint="eastAsia" w:ascii="Times New Roman" w:hAnsi="Times New Roman" w:cs="Times New Roman"/>
                <w:highlight w:val="none"/>
              </w:rPr>
            </w:pPr>
            <w:r>
              <w:rPr>
                <w:rFonts w:hint="eastAsia" w:ascii="Times New Roman" w:hAnsi="Times New Roman" w:cs="Times New Roman"/>
                <w:highlight w:val="none"/>
              </w:rPr>
              <w:t>造价人员</w:t>
            </w:r>
            <w:r>
              <w:rPr>
                <w:rFonts w:hint="eastAsia" w:ascii="Times New Roman" w:hAnsi="Times New Roman" w:cs="Times New Roman"/>
                <w:highlight w:val="none"/>
                <w:u w:val="single"/>
              </w:rPr>
              <w:t xml:space="preserve">               </w:t>
            </w:r>
            <w:bookmarkStart w:id="2041" w:name="REVIEW_BM_2138"/>
            <w:r>
              <w:rPr>
                <w:rFonts w:hint="eastAsia" w:ascii="Times New Roman" w:hAnsi="Times New Roman" w:cs="Times New Roman"/>
                <w:highlight w:val="none"/>
              </w:rPr>
              <w:t>承包人</w:t>
            </w:r>
            <w:bookmarkEnd w:id="2041"/>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r w14:paraId="2F6A4401">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4240" w:hRule="atLeast"/>
          <w:jc w:val="center"/>
        </w:trPr>
        <w:tc>
          <w:tcPr>
            <w:tcW w:w="9072" w:type="dxa"/>
            <w:noWrap w:val="0"/>
            <w:vAlign w:val="top"/>
          </w:tcPr>
          <w:p w14:paraId="6C5A272D">
            <w:pPr>
              <w:keepNext w:val="0"/>
              <w:keepLines w:val="0"/>
              <w:suppressLineNumbers w:val="0"/>
              <w:spacing w:before="0" w:beforeAutospacing="0" w:after="0" w:afterAutospacing="0" w:line="400" w:lineRule="exact"/>
              <w:ind w:left="0" w:right="0"/>
              <w:rPr>
                <w:rFonts w:hint="eastAsia" w:ascii="Times New Roman" w:hAnsi="Times New Roman" w:cs="Times New Roman"/>
                <w:highlight w:val="none"/>
              </w:rPr>
            </w:pPr>
            <w:r>
              <w:rPr>
                <w:rFonts w:hint="eastAsia" w:ascii="Times New Roman" w:hAnsi="Times New Roman" w:cs="Times New Roman"/>
                <w:highlight w:val="none"/>
              </w:rPr>
              <w:t>审核意见：</w:t>
            </w:r>
          </w:p>
          <w:p w14:paraId="2D15DAF8">
            <w:pPr>
              <w:keepNext w:val="0"/>
              <w:keepLines w:val="0"/>
              <w:suppressLineNumbers w:val="0"/>
              <w:spacing w:before="0" w:beforeAutospacing="0" w:after="0" w:afterAutospacing="0" w:line="400" w:lineRule="exact"/>
              <w:ind w:left="0" w:right="0" w:firstLine="435"/>
              <w:rPr>
                <w:rFonts w:hint="eastAsia" w:ascii="Times New Roman" w:hAnsi="Times New Roman" w:cs="Times New Roman"/>
                <w:highlight w:val="none"/>
              </w:rPr>
            </w:pPr>
            <w:r>
              <w:rPr>
                <w:rFonts w:hint="eastAsia" w:ascii="Times New Roman" w:hAnsi="Times New Roman" w:cs="Times New Roman"/>
                <w:highlight w:val="none"/>
              </w:rPr>
              <w:t>□不同意。</w:t>
            </w:r>
          </w:p>
          <w:p w14:paraId="2767471E">
            <w:pPr>
              <w:keepNext w:val="0"/>
              <w:keepLines w:val="0"/>
              <w:suppressLineNumbers w:val="0"/>
              <w:spacing w:before="0" w:beforeAutospacing="0" w:after="0" w:afterAutospacing="0" w:line="400" w:lineRule="exact"/>
              <w:ind w:left="0" w:right="0" w:firstLine="420"/>
              <w:rPr>
                <w:rFonts w:hint="eastAsia" w:ascii="Times New Roman" w:hAnsi="Times New Roman" w:cs="Times New Roman"/>
                <w:highlight w:val="none"/>
              </w:rPr>
            </w:pPr>
            <w:r>
              <w:rPr>
                <w:rFonts w:hint="eastAsia" w:ascii="Times New Roman" w:hAnsi="Times New Roman" w:cs="Times New Roman"/>
                <w:highlight w:val="none"/>
              </w:rPr>
              <w:t>□同意，支付时间为本表签发后的15天内。</w:t>
            </w:r>
          </w:p>
          <w:p w14:paraId="00477504">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557A3398">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2D0C8F9E">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p>
          <w:p w14:paraId="51AE1C45">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rPr>
            </w:pPr>
            <w:bookmarkStart w:id="2042" w:name="REVIEW_BM_2139"/>
            <w:r>
              <w:rPr>
                <w:rFonts w:hint="eastAsia" w:ascii="Times New Roman" w:hAnsi="Times New Roman" w:cs="Times New Roman"/>
                <w:highlight w:val="none"/>
              </w:rPr>
              <w:t>发包人</w:t>
            </w:r>
            <w:bookmarkEnd w:id="2042"/>
            <w:r>
              <w:rPr>
                <w:rFonts w:hint="eastAsia" w:ascii="Times New Roman" w:hAnsi="Times New Roman" w:cs="Times New Roman"/>
                <w:highlight w:val="none"/>
              </w:rPr>
              <w:t xml:space="preserve">（章）           </w:t>
            </w:r>
          </w:p>
          <w:p w14:paraId="25D89E7A">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bookmarkStart w:id="2043" w:name="REVIEW_BM_2140"/>
            <w:r>
              <w:rPr>
                <w:rFonts w:hint="eastAsia" w:ascii="Times New Roman" w:hAnsi="Times New Roman" w:cs="Times New Roman"/>
                <w:highlight w:val="none"/>
              </w:rPr>
              <w:t>发包人</w:t>
            </w:r>
            <w:bookmarkEnd w:id="2043"/>
            <w:r>
              <w:rPr>
                <w:rFonts w:hint="eastAsia" w:ascii="Times New Roman" w:hAnsi="Times New Roman" w:cs="Times New Roman"/>
                <w:highlight w:val="none"/>
              </w:rPr>
              <w:t>代表</w:t>
            </w:r>
            <w:r>
              <w:rPr>
                <w:rFonts w:hint="eastAsia" w:ascii="Times New Roman" w:hAnsi="Times New Roman" w:cs="Times New Roman"/>
                <w:highlight w:val="none"/>
                <w:u w:val="single"/>
              </w:rPr>
              <w:t xml:space="preserve">             </w:t>
            </w:r>
          </w:p>
          <w:p w14:paraId="4037884B">
            <w:pPr>
              <w:keepNext w:val="0"/>
              <w:keepLines w:val="0"/>
              <w:suppressLineNumbers w:val="0"/>
              <w:spacing w:before="0" w:beforeAutospacing="0" w:after="0" w:afterAutospacing="0" w:line="400" w:lineRule="exact"/>
              <w:ind w:left="0" w:right="0" w:firstLine="420"/>
              <w:jc w:val="right"/>
              <w:rPr>
                <w:rFonts w:hint="eastAsia" w:ascii="Times New Roman" w:hAnsi="Times New Roman" w:cs="Times New Roman"/>
                <w:highlight w:val="none"/>
                <w:u w:val="single"/>
              </w:rPr>
            </w:pPr>
            <w:r>
              <w:rPr>
                <w:rFonts w:hint="eastAsia" w:ascii="Times New Roman" w:hAnsi="Times New Roman" w:cs="Times New Roman"/>
                <w:highlight w:val="none"/>
              </w:rPr>
              <w:t>日      期</w:t>
            </w:r>
            <w:r>
              <w:rPr>
                <w:rFonts w:hint="eastAsia" w:ascii="Times New Roman" w:hAnsi="Times New Roman" w:cs="Times New Roman"/>
                <w:highlight w:val="none"/>
                <w:u w:val="single"/>
              </w:rPr>
              <w:t xml:space="preserve">             </w:t>
            </w:r>
          </w:p>
        </w:tc>
      </w:tr>
    </w:tbl>
    <w:p w14:paraId="0FDF6655">
      <w:pPr>
        <w:spacing w:before="120"/>
        <w:ind w:firstLine="360"/>
        <w:rPr>
          <w:rFonts w:hint="eastAsia"/>
          <w:sz w:val="18"/>
          <w:szCs w:val="18"/>
          <w:highlight w:val="none"/>
        </w:rPr>
      </w:pPr>
      <w:r>
        <w:rPr>
          <w:rFonts w:hint="eastAsia"/>
          <w:sz w:val="18"/>
          <w:szCs w:val="18"/>
          <w:highlight w:val="none"/>
        </w:rPr>
        <w:t xml:space="preserve">注：1.在选择栏中的“□”内作标识“√”。 </w:t>
      </w:r>
    </w:p>
    <w:p w14:paraId="2747265F">
      <w:pPr>
        <w:spacing w:before="120"/>
        <w:ind w:left="720" w:hanging="720"/>
        <w:rPr>
          <w:rFonts w:hint="eastAsia"/>
          <w:sz w:val="18"/>
          <w:szCs w:val="18"/>
          <w:highlight w:val="none"/>
        </w:rPr>
      </w:pPr>
      <w:r>
        <w:rPr>
          <w:rFonts w:hint="eastAsia"/>
          <w:sz w:val="18"/>
          <w:szCs w:val="18"/>
          <w:highlight w:val="none"/>
        </w:rPr>
        <w:t xml:space="preserve">    </w:t>
      </w:r>
      <w:r>
        <w:rPr>
          <w:sz w:val="18"/>
          <w:szCs w:val="18"/>
          <w:highlight w:val="none"/>
        </w:rPr>
        <w:t xml:space="preserve">  </w:t>
      </w:r>
      <w:r>
        <w:rPr>
          <w:rFonts w:hint="eastAsia"/>
          <w:sz w:val="18"/>
          <w:szCs w:val="18"/>
          <w:highlight w:val="none"/>
        </w:rPr>
        <w:t xml:space="preserve">  2.本表一式四份，由</w:t>
      </w:r>
      <w:bookmarkStart w:id="2044" w:name="REVIEW_BM_2142"/>
      <w:r>
        <w:rPr>
          <w:rFonts w:hint="eastAsia"/>
          <w:sz w:val="18"/>
          <w:szCs w:val="18"/>
          <w:highlight w:val="none"/>
        </w:rPr>
        <w:t>承包人</w:t>
      </w:r>
      <w:bookmarkEnd w:id="2044"/>
      <w:r>
        <w:rPr>
          <w:rFonts w:hint="eastAsia"/>
          <w:sz w:val="18"/>
          <w:szCs w:val="18"/>
          <w:highlight w:val="none"/>
        </w:rPr>
        <w:t>填报，</w:t>
      </w:r>
      <w:bookmarkStart w:id="2045" w:name="REVIEW_BM_2141"/>
      <w:r>
        <w:rPr>
          <w:rFonts w:hint="eastAsia"/>
          <w:sz w:val="18"/>
          <w:szCs w:val="18"/>
          <w:highlight w:val="none"/>
        </w:rPr>
        <w:t>发包人</w:t>
      </w:r>
      <w:bookmarkEnd w:id="2045"/>
      <w:r>
        <w:rPr>
          <w:rFonts w:hint="eastAsia"/>
          <w:sz w:val="18"/>
          <w:szCs w:val="18"/>
          <w:highlight w:val="none"/>
        </w:rPr>
        <w:t>、</w:t>
      </w:r>
      <w:bookmarkStart w:id="2046" w:name="REVIEW_BM_2143"/>
      <w:r>
        <w:rPr>
          <w:rFonts w:hint="eastAsia"/>
          <w:sz w:val="18"/>
          <w:szCs w:val="18"/>
          <w:highlight w:val="none"/>
        </w:rPr>
        <w:t>承包人</w:t>
      </w:r>
      <w:bookmarkEnd w:id="2046"/>
      <w:r>
        <w:rPr>
          <w:rFonts w:hint="eastAsia"/>
          <w:sz w:val="18"/>
          <w:szCs w:val="18"/>
          <w:highlight w:val="none"/>
        </w:rPr>
        <w:t>各存</w:t>
      </w:r>
      <w:r>
        <w:rPr>
          <w:rFonts w:hint="eastAsia"/>
          <w:sz w:val="18"/>
          <w:szCs w:val="18"/>
          <w:highlight w:val="none"/>
          <w:lang w:val="en-US" w:eastAsia="zh-CN"/>
        </w:rPr>
        <w:t>二</w:t>
      </w:r>
      <w:r>
        <w:rPr>
          <w:rFonts w:hint="eastAsia"/>
          <w:sz w:val="18"/>
          <w:szCs w:val="18"/>
          <w:highlight w:val="none"/>
        </w:rPr>
        <w:t>份。</w:t>
      </w:r>
    </w:p>
    <w:p w14:paraId="585FA7E3">
      <w:pPr>
        <w:pStyle w:val="3"/>
        <w:bidi w:val="0"/>
        <w:jc w:val="center"/>
        <w:rPr>
          <w:rFonts w:hint="eastAsia" w:ascii="宋体" w:hAnsi="宋体" w:cs="宋体"/>
          <w:highlight w:val="none"/>
        </w:rPr>
        <w:sectPr>
          <w:footerReference r:id="rId15" w:type="default"/>
          <w:pgSz w:w="11910" w:h="16840"/>
          <w:pgMar w:top="1340" w:right="1500" w:bottom="1000" w:left="1680" w:header="720" w:footer="720" w:gutter="0"/>
          <w:cols w:space="720" w:num="1"/>
        </w:sectPr>
      </w:pPr>
      <w:r>
        <w:rPr>
          <w:rFonts w:hint="eastAsia" w:ascii="宋体" w:hAnsi="宋体" w:cs="宋体"/>
          <w:b w:val="0"/>
          <w:highlight w:val="none"/>
        </w:rPr>
        <w:br w:type="page" w:clear="all"/>
      </w:r>
      <w:bookmarkStart w:id="2047" w:name="_Toc22858"/>
      <w:r>
        <w:rPr>
          <w:rFonts w:hint="eastAsia"/>
          <w:highlight w:val="none"/>
        </w:rPr>
        <w:t>第</w:t>
      </w:r>
      <w:r>
        <w:rPr>
          <w:rFonts w:hint="eastAsia"/>
          <w:highlight w:val="none"/>
          <w:lang w:eastAsia="zh-CN"/>
        </w:rPr>
        <w:t>八</w:t>
      </w:r>
      <w:r>
        <w:rPr>
          <w:rFonts w:hint="eastAsia"/>
          <w:highlight w:val="none"/>
        </w:rPr>
        <w:t>章</w:t>
      </w:r>
      <w:r>
        <w:rPr>
          <w:rFonts w:hint="eastAsia"/>
          <w:highlight w:val="none"/>
          <w:lang w:val="en-US" w:eastAsia="zh-CN"/>
        </w:rPr>
        <w:t xml:space="preserve">  </w:t>
      </w:r>
      <w:r>
        <w:rPr>
          <w:rFonts w:hint="eastAsia"/>
          <w:highlight w:val="none"/>
        </w:rPr>
        <w:t>质疑、投诉材料格式</w:t>
      </w:r>
      <w:bookmarkEnd w:id="2004"/>
      <w:bookmarkEnd w:id="2005"/>
      <w:bookmarkEnd w:id="2047"/>
    </w:p>
    <w:p w14:paraId="595F981C">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t>质疑函（格式）</w:t>
      </w:r>
    </w:p>
    <w:p w14:paraId="254B6EC9">
      <w:pPr>
        <w:pStyle w:val="28"/>
        <w:spacing w:line="360" w:lineRule="auto"/>
        <w:ind w:firstLine="482"/>
        <w:contextualSpacing/>
        <w:rPr>
          <w:rFonts w:hint="eastAsia" w:hAnsi="宋体" w:cs="宋体"/>
          <w:b/>
          <w:bCs/>
          <w:sz w:val="24"/>
          <w:szCs w:val="24"/>
          <w:highlight w:val="none"/>
        </w:rPr>
      </w:pPr>
      <w:r>
        <w:rPr>
          <w:rFonts w:hint="eastAsia" w:hAnsi="宋体" w:cs="宋体"/>
          <w:b/>
          <w:bCs/>
          <w:sz w:val="24"/>
          <w:szCs w:val="24"/>
          <w:highlight w:val="none"/>
        </w:rPr>
        <w:t>一、质疑供应商基本信息：</w:t>
      </w:r>
    </w:p>
    <w:p w14:paraId="1E22F8EC">
      <w:pPr>
        <w:pStyle w:val="28"/>
        <w:spacing w:line="360" w:lineRule="auto"/>
        <w:ind w:firstLine="480"/>
        <w:contextualSpacing/>
        <w:rPr>
          <w:rFonts w:hint="eastAsia" w:hAnsi="宋体" w:cs="宋体"/>
          <w:bCs/>
          <w:sz w:val="24"/>
          <w:szCs w:val="24"/>
          <w:highlight w:val="none"/>
        </w:rPr>
      </w:pPr>
      <w:r>
        <w:rPr>
          <w:rFonts w:hint="eastAsia" w:hAnsi="宋体" w:cs="宋体"/>
          <w:bCs/>
          <w:sz w:val="24"/>
          <w:szCs w:val="24"/>
          <w:highlight w:val="none"/>
        </w:rPr>
        <w:t xml:space="preserve">质疑供应商：                                                        </w:t>
      </w:r>
    </w:p>
    <w:p w14:paraId="6B9D67D0">
      <w:pPr>
        <w:pStyle w:val="28"/>
        <w:spacing w:line="360" w:lineRule="auto"/>
        <w:ind w:firstLine="480"/>
        <w:contextualSpacing/>
        <w:rPr>
          <w:rFonts w:hint="eastAsia" w:hAnsi="宋体" w:cs="宋体"/>
          <w:bCs/>
          <w:sz w:val="24"/>
          <w:szCs w:val="24"/>
          <w:highlight w:val="none"/>
        </w:rPr>
      </w:pPr>
      <w:r>
        <w:rPr>
          <w:rFonts w:hint="eastAsia" w:hAnsi="宋体" w:cs="宋体"/>
          <w:bCs/>
          <w:sz w:val="24"/>
          <w:szCs w:val="24"/>
          <w:highlight w:val="none"/>
        </w:rPr>
        <w:t xml:space="preserve">地址：                                          邮编：                                   </w:t>
      </w:r>
    </w:p>
    <w:p w14:paraId="32E62875">
      <w:pPr>
        <w:pStyle w:val="28"/>
        <w:spacing w:line="360" w:lineRule="auto"/>
        <w:ind w:firstLine="480"/>
        <w:contextualSpacing/>
        <w:rPr>
          <w:rFonts w:hint="eastAsia" w:hAnsi="宋体" w:cs="宋体"/>
          <w:bCs/>
          <w:sz w:val="24"/>
          <w:szCs w:val="24"/>
          <w:highlight w:val="none"/>
        </w:rPr>
      </w:pPr>
      <w:r>
        <w:rPr>
          <w:rFonts w:hint="eastAsia" w:hAnsi="宋体" w:cs="宋体"/>
          <w:bCs/>
          <w:sz w:val="24"/>
          <w:szCs w:val="24"/>
          <w:highlight w:val="none"/>
        </w:rPr>
        <w:t xml:space="preserve">联系人：                     联系电话：                 </w:t>
      </w:r>
    </w:p>
    <w:p w14:paraId="1693A5D5">
      <w:pPr>
        <w:pStyle w:val="28"/>
        <w:spacing w:line="360" w:lineRule="auto"/>
        <w:ind w:firstLine="480"/>
        <w:contextualSpacing/>
        <w:rPr>
          <w:rFonts w:hint="eastAsia" w:hAnsi="宋体" w:cs="宋体"/>
          <w:bCs/>
          <w:sz w:val="24"/>
          <w:szCs w:val="24"/>
          <w:highlight w:val="none"/>
        </w:rPr>
      </w:pPr>
      <w:r>
        <w:rPr>
          <w:rFonts w:hint="eastAsia" w:hAnsi="宋体" w:cs="宋体"/>
          <w:bCs/>
          <w:sz w:val="24"/>
          <w:szCs w:val="24"/>
          <w:highlight w:val="none"/>
        </w:rPr>
        <w:t xml:space="preserve">授权代表：                      </w:t>
      </w:r>
    </w:p>
    <w:p w14:paraId="20869B64">
      <w:pPr>
        <w:pStyle w:val="28"/>
        <w:spacing w:line="360" w:lineRule="auto"/>
        <w:ind w:firstLine="480"/>
        <w:contextualSpacing/>
        <w:rPr>
          <w:rFonts w:hint="eastAsia" w:hAnsi="宋体" w:cs="宋体"/>
          <w:bCs/>
          <w:sz w:val="24"/>
          <w:szCs w:val="24"/>
          <w:highlight w:val="none"/>
        </w:rPr>
      </w:pPr>
      <w:r>
        <w:rPr>
          <w:rFonts w:hint="eastAsia" w:hAnsi="宋体" w:cs="宋体"/>
          <w:bCs/>
          <w:sz w:val="24"/>
          <w:szCs w:val="24"/>
          <w:highlight w:val="none"/>
        </w:rPr>
        <w:t xml:space="preserve">联系电话：                      </w:t>
      </w:r>
    </w:p>
    <w:p w14:paraId="354AF999">
      <w:pPr>
        <w:pStyle w:val="28"/>
        <w:spacing w:line="360" w:lineRule="auto"/>
        <w:ind w:firstLine="480"/>
        <w:contextualSpacing/>
        <w:rPr>
          <w:rFonts w:hint="eastAsia" w:hAnsi="宋体" w:cs="宋体"/>
          <w:bCs/>
          <w:sz w:val="24"/>
          <w:szCs w:val="24"/>
          <w:highlight w:val="none"/>
        </w:rPr>
      </w:pPr>
      <w:r>
        <w:rPr>
          <w:rFonts w:hint="eastAsia" w:hAnsi="宋体" w:cs="宋体"/>
          <w:bCs/>
          <w:sz w:val="24"/>
          <w:szCs w:val="24"/>
          <w:highlight w:val="none"/>
        </w:rPr>
        <w:t xml:space="preserve">地址：                 邮编：                       </w:t>
      </w:r>
    </w:p>
    <w:p w14:paraId="08E0B147">
      <w:pPr>
        <w:pStyle w:val="28"/>
        <w:spacing w:line="360" w:lineRule="auto"/>
        <w:ind w:firstLine="482"/>
        <w:contextualSpacing/>
        <w:rPr>
          <w:rFonts w:hint="eastAsia" w:hAnsi="宋体" w:cs="宋体"/>
          <w:b/>
          <w:bCs/>
          <w:sz w:val="24"/>
          <w:szCs w:val="24"/>
          <w:highlight w:val="none"/>
        </w:rPr>
      </w:pPr>
      <w:r>
        <w:rPr>
          <w:rFonts w:hint="eastAsia" w:hAnsi="宋体" w:cs="宋体"/>
          <w:b/>
          <w:bCs/>
          <w:sz w:val="24"/>
          <w:szCs w:val="24"/>
          <w:highlight w:val="none"/>
        </w:rPr>
        <w:t>二、质疑项目基本情况：</w:t>
      </w:r>
    </w:p>
    <w:p w14:paraId="769C473A">
      <w:pPr>
        <w:pStyle w:val="28"/>
        <w:spacing w:line="360" w:lineRule="auto"/>
        <w:ind w:left="25" w:firstLine="472"/>
        <w:contextualSpacing/>
        <w:rPr>
          <w:rFonts w:hint="eastAsia" w:hAnsi="宋体" w:cs="宋体"/>
          <w:sz w:val="24"/>
          <w:szCs w:val="24"/>
          <w:highlight w:val="none"/>
        </w:rPr>
      </w:pPr>
      <w:r>
        <w:rPr>
          <w:rFonts w:hint="eastAsia" w:hAnsi="宋体" w:cs="宋体"/>
          <w:bCs/>
          <w:sz w:val="24"/>
          <w:szCs w:val="24"/>
          <w:highlight w:val="none"/>
        </w:rPr>
        <w:t>质疑</w:t>
      </w:r>
      <w:r>
        <w:rPr>
          <w:rFonts w:hint="eastAsia" w:hAnsi="宋体" w:cs="宋体"/>
          <w:sz w:val="24"/>
          <w:szCs w:val="24"/>
          <w:highlight w:val="none"/>
        </w:rPr>
        <w:t>项目的名称：</w:t>
      </w:r>
    </w:p>
    <w:p w14:paraId="06D75E04">
      <w:pPr>
        <w:pStyle w:val="28"/>
        <w:spacing w:line="360" w:lineRule="auto"/>
        <w:ind w:left="25" w:firstLine="472"/>
        <w:contextualSpacing/>
        <w:rPr>
          <w:rFonts w:hint="eastAsia" w:hAnsi="宋体" w:cs="宋体"/>
          <w:sz w:val="24"/>
          <w:szCs w:val="24"/>
          <w:highlight w:val="none"/>
        </w:rPr>
      </w:pPr>
      <w:r>
        <w:rPr>
          <w:rFonts w:hint="eastAsia" w:hAnsi="宋体" w:cs="宋体"/>
          <w:bCs/>
          <w:sz w:val="24"/>
          <w:szCs w:val="24"/>
          <w:highlight w:val="none"/>
        </w:rPr>
        <w:t>质疑</w:t>
      </w:r>
      <w:r>
        <w:rPr>
          <w:rFonts w:hint="eastAsia" w:hAnsi="宋体" w:cs="宋体"/>
          <w:sz w:val="24"/>
          <w:szCs w:val="24"/>
          <w:highlight w:val="none"/>
        </w:rPr>
        <w:t>项目的编号：</w:t>
      </w:r>
    </w:p>
    <w:p w14:paraId="7DFDC644">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采购人名称：</w:t>
      </w:r>
    </w:p>
    <w:p w14:paraId="185FE8C1">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质疑事项：</w:t>
      </w:r>
    </w:p>
    <w:p w14:paraId="736C4614">
      <w:pPr>
        <w:pStyle w:val="28"/>
        <w:spacing w:line="360" w:lineRule="auto"/>
        <w:ind w:left="25" w:firstLine="352"/>
        <w:contextualSpacing/>
        <w:rPr>
          <w:rFonts w:hint="eastAsia" w:hAnsi="宋体" w:cs="宋体"/>
          <w:sz w:val="24"/>
          <w:szCs w:val="24"/>
          <w:highlight w:val="none"/>
        </w:rPr>
      </w:pPr>
      <w:r>
        <w:rPr>
          <w:rFonts w:hint="eastAsia" w:hAnsi="宋体" w:cs="宋体"/>
          <w:sz w:val="24"/>
          <w:szCs w:val="24"/>
          <w:highlight w:val="none"/>
        </w:rPr>
        <w:t>□采购文件   采购文件获取日期：</w:t>
      </w:r>
    </w:p>
    <w:p w14:paraId="3BD19077">
      <w:pPr>
        <w:pStyle w:val="28"/>
        <w:spacing w:line="360" w:lineRule="auto"/>
        <w:ind w:left="25" w:firstLine="352"/>
        <w:contextualSpacing/>
        <w:rPr>
          <w:rFonts w:hint="eastAsia" w:hAnsi="宋体" w:cs="宋体"/>
          <w:sz w:val="24"/>
          <w:szCs w:val="24"/>
          <w:highlight w:val="none"/>
        </w:rPr>
      </w:pPr>
      <w:r>
        <w:rPr>
          <w:rFonts w:hint="eastAsia" w:hAnsi="宋体" w:cs="宋体"/>
          <w:sz w:val="24"/>
          <w:szCs w:val="24"/>
          <w:highlight w:val="none"/>
        </w:rPr>
        <w:t xml:space="preserve">□采购过程   </w:t>
      </w:r>
    </w:p>
    <w:p w14:paraId="5920B6B2">
      <w:pPr>
        <w:pStyle w:val="28"/>
        <w:spacing w:line="360" w:lineRule="auto"/>
        <w:ind w:left="25" w:firstLine="352"/>
        <w:contextualSpacing/>
        <w:rPr>
          <w:rFonts w:hint="eastAsia" w:hAnsi="宋体" w:cs="宋体"/>
          <w:bCs/>
          <w:sz w:val="24"/>
          <w:szCs w:val="24"/>
          <w:highlight w:val="none"/>
        </w:rPr>
      </w:pPr>
      <w:r>
        <w:rPr>
          <w:rFonts w:hint="eastAsia" w:hAnsi="宋体" w:cs="宋体"/>
          <w:sz w:val="24"/>
          <w:szCs w:val="24"/>
          <w:highlight w:val="none"/>
        </w:rPr>
        <w:t xml:space="preserve">□成交结果   </w:t>
      </w:r>
    </w:p>
    <w:p w14:paraId="7983ACCE">
      <w:pPr>
        <w:pStyle w:val="28"/>
        <w:spacing w:line="360" w:lineRule="auto"/>
        <w:ind w:left="25" w:firstLine="472"/>
        <w:contextualSpacing/>
        <w:rPr>
          <w:rFonts w:hint="eastAsia" w:hAnsi="宋体" w:cs="宋体"/>
          <w:b/>
          <w:sz w:val="24"/>
          <w:szCs w:val="24"/>
          <w:highlight w:val="none"/>
        </w:rPr>
      </w:pPr>
      <w:r>
        <w:rPr>
          <w:rFonts w:hint="eastAsia" w:hAnsi="宋体" w:cs="宋体"/>
          <w:b/>
          <w:sz w:val="24"/>
          <w:szCs w:val="24"/>
          <w:highlight w:val="none"/>
        </w:rPr>
        <w:t>三、质疑事项具体内容</w:t>
      </w:r>
    </w:p>
    <w:p w14:paraId="713D4289">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质疑事项1：</w:t>
      </w:r>
    </w:p>
    <w:p w14:paraId="3AF21399">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事实依据：</w:t>
      </w:r>
    </w:p>
    <w:p w14:paraId="281FA965">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 xml:space="preserve">法律依据：                                                        </w:t>
      </w:r>
    </w:p>
    <w:p w14:paraId="7D60FA8A">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质疑事项2</w:t>
      </w:r>
    </w:p>
    <w:p w14:paraId="71798C59">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w:t>
      </w:r>
    </w:p>
    <w:p w14:paraId="7227A2E2">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四、与质疑事项相关的质疑请求：</w:t>
      </w:r>
    </w:p>
    <w:p w14:paraId="0A9CB487">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请求：</w:t>
      </w:r>
    </w:p>
    <w:p w14:paraId="748B689E">
      <w:pPr>
        <w:pStyle w:val="28"/>
        <w:spacing w:line="360" w:lineRule="auto"/>
        <w:ind w:left="25" w:firstLine="352"/>
        <w:contextualSpacing/>
        <w:rPr>
          <w:rFonts w:hint="eastAsia" w:hAnsi="宋体" w:cs="宋体"/>
          <w:sz w:val="24"/>
          <w:szCs w:val="24"/>
          <w:highlight w:val="none"/>
        </w:rPr>
      </w:pPr>
    </w:p>
    <w:p w14:paraId="4E7042B1">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签字（签章）：                                       公章：</w:t>
      </w:r>
    </w:p>
    <w:p w14:paraId="3574B3C3">
      <w:pPr>
        <w:pStyle w:val="28"/>
        <w:spacing w:line="360" w:lineRule="auto"/>
        <w:ind w:left="25" w:firstLine="352"/>
        <w:contextualSpacing/>
        <w:rPr>
          <w:rFonts w:hint="eastAsia" w:hAnsi="宋体" w:cs="宋体"/>
          <w:sz w:val="24"/>
          <w:szCs w:val="24"/>
          <w:highlight w:val="none"/>
        </w:rPr>
      </w:pPr>
    </w:p>
    <w:p w14:paraId="57495920">
      <w:pPr>
        <w:pStyle w:val="28"/>
        <w:spacing w:line="360" w:lineRule="auto"/>
        <w:ind w:left="25" w:firstLine="472"/>
        <w:contextualSpacing/>
        <w:rPr>
          <w:rFonts w:hint="eastAsia" w:hAnsi="宋体" w:cs="宋体"/>
          <w:sz w:val="24"/>
          <w:szCs w:val="24"/>
          <w:highlight w:val="none"/>
        </w:rPr>
      </w:pPr>
      <w:r>
        <w:rPr>
          <w:rFonts w:hint="eastAsia" w:hAnsi="宋体" w:cs="宋体"/>
          <w:sz w:val="24"/>
          <w:szCs w:val="24"/>
          <w:highlight w:val="none"/>
        </w:rPr>
        <w:t>日期：</w:t>
      </w:r>
    </w:p>
    <w:p w14:paraId="5F3B5CC5">
      <w:pPr>
        <w:pStyle w:val="28"/>
        <w:spacing w:line="360" w:lineRule="auto"/>
        <w:contextualSpacing/>
        <w:rPr>
          <w:rFonts w:hint="eastAsia" w:hAnsi="宋体" w:cs="宋体"/>
          <w:b/>
          <w:sz w:val="24"/>
          <w:szCs w:val="24"/>
          <w:highlight w:val="none"/>
        </w:rPr>
      </w:pPr>
    </w:p>
    <w:p w14:paraId="7E9DD762">
      <w:pPr>
        <w:pStyle w:val="28"/>
        <w:spacing w:line="360" w:lineRule="auto"/>
        <w:contextualSpacing/>
        <w:rPr>
          <w:rFonts w:hint="eastAsia" w:hAnsi="宋体" w:cs="宋体"/>
          <w:b/>
          <w:sz w:val="24"/>
          <w:szCs w:val="24"/>
          <w:highlight w:val="none"/>
        </w:rPr>
      </w:pPr>
    </w:p>
    <w:p w14:paraId="40AE0F04">
      <w:pPr>
        <w:pStyle w:val="28"/>
        <w:spacing w:line="360" w:lineRule="auto"/>
        <w:contextualSpacing/>
        <w:rPr>
          <w:rFonts w:hint="eastAsia" w:hAnsi="宋体" w:cs="宋体"/>
          <w:b/>
          <w:sz w:val="24"/>
          <w:szCs w:val="24"/>
          <w:highlight w:val="none"/>
        </w:rPr>
      </w:pPr>
      <w:r>
        <w:rPr>
          <w:rFonts w:hint="eastAsia" w:hAnsi="宋体" w:cs="宋体"/>
          <w:b/>
          <w:sz w:val="24"/>
          <w:szCs w:val="24"/>
          <w:highlight w:val="none"/>
        </w:rPr>
        <w:t>说明：</w:t>
      </w:r>
    </w:p>
    <w:p w14:paraId="50D8CA46">
      <w:pPr>
        <w:pStyle w:val="28"/>
        <w:spacing w:line="360" w:lineRule="auto"/>
        <w:ind w:left="25" w:firstLine="354"/>
        <w:contextualSpacing/>
        <w:rPr>
          <w:rFonts w:hint="eastAsia" w:hAnsi="宋体" w:cs="宋体"/>
          <w:b/>
          <w:bCs/>
          <w:sz w:val="24"/>
          <w:szCs w:val="24"/>
          <w:highlight w:val="none"/>
        </w:rPr>
      </w:pPr>
      <w:r>
        <w:rPr>
          <w:rFonts w:hint="eastAsia" w:hAnsi="宋体" w:cs="宋体"/>
          <w:b/>
          <w:sz w:val="24"/>
          <w:szCs w:val="24"/>
          <w:highlight w:val="none"/>
        </w:rPr>
        <w:t>1.供应商提出质疑时，应提交质疑函和必要的证明材料</w:t>
      </w:r>
      <w:r>
        <w:rPr>
          <w:rFonts w:hint="eastAsia" w:hAnsi="宋体" w:cs="宋体"/>
          <w:b/>
          <w:bCs/>
          <w:sz w:val="24"/>
          <w:szCs w:val="24"/>
          <w:highlight w:val="none"/>
        </w:rPr>
        <w:t>。</w:t>
      </w:r>
    </w:p>
    <w:p w14:paraId="379A7928">
      <w:pPr>
        <w:pStyle w:val="28"/>
        <w:spacing w:line="360" w:lineRule="auto"/>
        <w:ind w:left="25" w:firstLine="354"/>
        <w:contextualSpacing/>
        <w:rPr>
          <w:rFonts w:hint="eastAsia" w:hAnsi="宋体" w:cs="宋体"/>
          <w:b/>
          <w:sz w:val="24"/>
          <w:szCs w:val="24"/>
          <w:highlight w:val="none"/>
        </w:rPr>
      </w:pPr>
      <w:r>
        <w:rPr>
          <w:rFonts w:hint="eastAsia" w:hAnsi="宋体" w:cs="宋体"/>
          <w:b/>
          <w:sz w:val="24"/>
          <w:szCs w:val="24"/>
          <w:highlight w:val="none"/>
        </w:rPr>
        <w:t>2.质疑供应商若委托代理人进行质疑的，质疑函应按要求列明“授权代表”的有关内容，并在附件中提交由质疑供应商签署的授权委托书。授权委托书应载明代理人的姓名或者名称、代理事项、具体权限、期限和相关事项。</w:t>
      </w:r>
    </w:p>
    <w:p w14:paraId="5B130F7D">
      <w:pPr>
        <w:pStyle w:val="28"/>
        <w:spacing w:line="360" w:lineRule="auto"/>
        <w:ind w:left="25" w:firstLine="354"/>
        <w:contextualSpacing/>
        <w:rPr>
          <w:rFonts w:hint="eastAsia" w:hAnsi="宋体" w:cs="宋体"/>
          <w:b/>
          <w:sz w:val="24"/>
          <w:szCs w:val="24"/>
          <w:highlight w:val="none"/>
        </w:rPr>
      </w:pPr>
      <w:r>
        <w:rPr>
          <w:rFonts w:hint="eastAsia" w:hAnsi="宋体" w:cs="宋体"/>
          <w:b/>
          <w:sz w:val="24"/>
          <w:szCs w:val="24"/>
          <w:highlight w:val="none"/>
        </w:rPr>
        <w:t>3.质疑函的质疑事项应具体、明确，并有必要的事实依据和法律依据。</w:t>
      </w:r>
    </w:p>
    <w:p w14:paraId="5B91525B">
      <w:pPr>
        <w:pStyle w:val="28"/>
        <w:spacing w:line="360" w:lineRule="auto"/>
        <w:ind w:left="25" w:firstLine="354"/>
        <w:contextualSpacing/>
        <w:rPr>
          <w:rFonts w:hint="eastAsia" w:hAnsi="宋体" w:cs="宋体"/>
          <w:b/>
          <w:sz w:val="24"/>
          <w:szCs w:val="24"/>
          <w:highlight w:val="none"/>
        </w:rPr>
      </w:pPr>
      <w:r>
        <w:rPr>
          <w:rFonts w:hint="eastAsia" w:hAnsi="宋体" w:cs="宋体"/>
          <w:b/>
          <w:sz w:val="24"/>
          <w:szCs w:val="24"/>
          <w:highlight w:val="none"/>
        </w:rPr>
        <w:t>4.质疑函的质疑请求应与质疑事项相关。</w:t>
      </w:r>
    </w:p>
    <w:p w14:paraId="2024CFF4">
      <w:pPr>
        <w:pStyle w:val="28"/>
        <w:spacing w:line="360" w:lineRule="auto"/>
        <w:ind w:left="25" w:firstLine="354"/>
        <w:contextualSpacing/>
        <w:rPr>
          <w:rFonts w:hint="eastAsia" w:hAnsi="宋体" w:cs="宋体"/>
          <w:b/>
          <w:highlight w:val="none"/>
        </w:rPr>
      </w:pPr>
      <w:r>
        <w:rPr>
          <w:rFonts w:hint="eastAsia" w:hAnsi="宋体" w:cs="宋体"/>
          <w:b/>
          <w:sz w:val="24"/>
          <w:szCs w:val="24"/>
          <w:highlight w:val="none"/>
        </w:rPr>
        <w:t>5.质疑供应商为法人或者其他组织的，质疑函应由法定代表人、主要负责人，或者其授权代表签字或者盖章，并加盖公章。</w:t>
      </w:r>
    </w:p>
    <w:p w14:paraId="4B8405E7">
      <w:pPr>
        <w:pStyle w:val="28"/>
        <w:rPr>
          <w:rFonts w:hint="eastAsia" w:hAnsi="宋体" w:cs="宋体"/>
          <w:b/>
          <w:sz w:val="24"/>
          <w:szCs w:val="24"/>
          <w:highlight w:val="none"/>
        </w:rPr>
      </w:pPr>
    </w:p>
    <w:p w14:paraId="48BAE4A4">
      <w:pPr>
        <w:spacing w:line="460" w:lineRule="exact"/>
        <w:jc w:val="center"/>
        <w:rPr>
          <w:rFonts w:hint="eastAsia" w:ascii="宋体" w:hAnsi="宋体" w:cs="宋体"/>
          <w:sz w:val="44"/>
          <w:highlight w:val="none"/>
        </w:rPr>
      </w:pPr>
      <w:r>
        <w:rPr>
          <w:rFonts w:hint="eastAsia" w:ascii="宋体" w:hAnsi="宋体" w:cs="宋体"/>
          <w:sz w:val="44"/>
          <w:highlight w:val="none"/>
        </w:rPr>
        <w:br w:type="page" w:clear="all"/>
      </w:r>
    </w:p>
    <w:p w14:paraId="2241969B">
      <w:pPr>
        <w:spacing w:line="360" w:lineRule="auto"/>
        <w:jc w:val="center"/>
        <w:rPr>
          <w:rFonts w:hint="eastAsia" w:ascii="宋体" w:hAnsi="宋体" w:cs="宋体"/>
          <w:b/>
          <w:bCs/>
          <w:sz w:val="32"/>
          <w:szCs w:val="32"/>
          <w:highlight w:val="none"/>
        </w:rPr>
      </w:pPr>
      <w:r>
        <w:rPr>
          <w:rFonts w:hint="eastAsia" w:ascii="宋体" w:hAnsi="宋体" w:cs="宋体"/>
          <w:b/>
          <w:bCs/>
          <w:sz w:val="32"/>
          <w:szCs w:val="32"/>
          <w:highlight w:val="none"/>
        </w:rPr>
        <w:t>投诉书（格式）</w:t>
      </w:r>
    </w:p>
    <w:p w14:paraId="608E89AA">
      <w:pPr>
        <w:pStyle w:val="28"/>
        <w:spacing w:line="360" w:lineRule="auto"/>
        <w:ind w:firstLine="482"/>
        <w:rPr>
          <w:rFonts w:hint="eastAsia" w:hAnsi="宋体" w:cs="宋体"/>
          <w:b/>
          <w:bCs/>
          <w:sz w:val="24"/>
          <w:szCs w:val="24"/>
          <w:highlight w:val="none"/>
        </w:rPr>
      </w:pPr>
      <w:r>
        <w:rPr>
          <w:rFonts w:hint="eastAsia" w:hAnsi="宋体" w:cs="宋体"/>
          <w:b/>
          <w:bCs/>
          <w:sz w:val="24"/>
          <w:szCs w:val="24"/>
          <w:highlight w:val="none"/>
        </w:rPr>
        <w:t>一、投诉相关主体基本情况：</w:t>
      </w:r>
    </w:p>
    <w:p w14:paraId="59AA8309">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供应商：                                                                                         </w:t>
      </w:r>
    </w:p>
    <w:p w14:paraId="0399DA93">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地址：                                          邮编：                                           </w:t>
      </w:r>
    </w:p>
    <w:p w14:paraId="4BB5B203">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法定代表人/主要负责人：                                                         </w:t>
      </w:r>
    </w:p>
    <w:p w14:paraId="570E6063">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联系电话：                                         </w:t>
      </w:r>
    </w:p>
    <w:p w14:paraId="01C8E262">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授权代表：                                         联系电话：                   </w:t>
      </w:r>
    </w:p>
    <w:p w14:paraId="6AA77FF7">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地址：                                                            </w:t>
      </w:r>
    </w:p>
    <w:p w14:paraId="65EF1EED">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邮编：            </w:t>
      </w:r>
    </w:p>
    <w:p w14:paraId="1571D06C">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被投诉人1：</w:t>
      </w:r>
    </w:p>
    <w:p w14:paraId="7249CEF9">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地址：                                                            </w:t>
      </w:r>
    </w:p>
    <w:p w14:paraId="0D78EA33">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邮编：           </w:t>
      </w:r>
    </w:p>
    <w:p w14:paraId="6E5F3273">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联系人：                                                联系电话：                </w:t>
      </w:r>
    </w:p>
    <w:p w14:paraId="34E9070F">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被投诉人2：</w:t>
      </w:r>
    </w:p>
    <w:p w14:paraId="68E6C409">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w:t>
      </w:r>
    </w:p>
    <w:p w14:paraId="37DCD753">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相关供应商：                                                                       </w:t>
      </w:r>
    </w:p>
    <w:p w14:paraId="3BD0B1CC">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地址：                                              邮编：                         </w:t>
      </w:r>
    </w:p>
    <w:p w14:paraId="3B916A1A">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 xml:space="preserve">联系人：                                            联系电话：                                     </w:t>
      </w:r>
    </w:p>
    <w:p w14:paraId="5398D472">
      <w:pPr>
        <w:pStyle w:val="28"/>
        <w:spacing w:line="360" w:lineRule="auto"/>
        <w:ind w:firstLine="482"/>
        <w:rPr>
          <w:rFonts w:hint="eastAsia" w:hAnsi="宋体" w:cs="宋体"/>
          <w:b/>
          <w:bCs/>
          <w:sz w:val="24"/>
          <w:szCs w:val="24"/>
          <w:highlight w:val="none"/>
        </w:rPr>
      </w:pPr>
      <w:r>
        <w:rPr>
          <w:rFonts w:hint="eastAsia" w:hAnsi="宋体" w:cs="宋体"/>
          <w:b/>
          <w:bCs/>
          <w:sz w:val="24"/>
          <w:szCs w:val="24"/>
          <w:highlight w:val="none"/>
        </w:rPr>
        <w:t>二、投诉项目基本情况：</w:t>
      </w:r>
    </w:p>
    <w:p w14:paraId="6816DD8E">
      <w:pPr>
        <w:pStyle w:val="28"/>
        <w:spacing w:line="360" w:lineRule="auto"/>
        <w:ind w:left="25" w:firstLine="472"/>
        <w:rPr>
          <w:rFonts w:hint="eastAsia" w:hAnsi="宋体" w:cs="宋体"/>
          <w:sz w:val="24"/>
          <w:szCs w:val="24"/>
          <w:highlight w:val="none"/>
        </w:rPr>
      </w:pPr>
      <w:r>
        <w:rPr>
          <w:rFonts w:hint="eastAsia" w:hAnsi="宋体" w:cs="宋体"/>
          <w:bCs/>
          <w:sz w:val="24"/>
          <w:szCs w:val="24"/>
          <w:highlight w:val="none"/>
        </w:rPr>
        <w:t>采购</w:t>
      </w:r>
      <w:r>
        <w:rPr>
          <w:rFonts w:hint="eastAsia" w:hAnsi="宋体" w:cs="宋体"/>
          <w:sz w:val="24"/>
          <w:szCs w:val="24"/>
          <w:highlight w:val="none"/>
        </w:rPr>
        <w:t>项目的名称：</w:t>
      </w:r>
    </w:p>
    <w:p w14:paraId="4B58EAE4">
      <w:pPr>
        <w:pStyle w:val="28"/>
        <w:spacing w:line="360" w:lineRule="auto"/>
        <w:ind w:left="25" w:firstLine="472"/>
        <w:rPr>
          <w:rFonts w:hint="eastAsia" w:hAnsi="宋体" w:cs="宋体"/>
          <w:sz w:val="24"/>
          <w:szCs w:val="24"/>
          <w:highlight w:val="none"/>
        </w:rPr>
      </w:pPr>
      <w:r>
        <w:rPr>
          <w:rFonts w:hint="eastAsia" w:hAnsi="宋体" w:cs="宋体"/>
          <w:bCs/>
          <w:sz w:val="24"/>
          <w:szCs w:val="24"/>
          <w:highlight w:val="none"/>
        </w:rPr>
        <w:t>采购</w:t>
      </w:r>
      <w:r>
        <w:rPr>
          <w:rFonts w:hint="eastAsia" w:hAnsi="宋体" w:cs="宋体"/>
          <w:sz w:val="24"/>
          <w:szCs w:val="24"/>
          <w:highlight w:val="none"/>
        </w:rPr>
        <w:t>项目的编号：</w:t>
      </w:r>
    </w:p>
    <w:p w14:paraId="5B5AE3FB">
      <w:pPr>
        <w:pStyle w:val="28"/>
        <w:spacing w:line="360" w:lineRule="auto"/>
        <w:ind w:left="25" w:firstLine="472"/>
        <w:rPr>
          <w:rFonts w:hint="eastAsia" w:hAnsi="宋体" w:cs="宋体"/>
          <w:bCs/>
          <w:sz w:val="24"/>
          <w:szCs w:val="24"/>
          <w:highlight w:val="none"/>
        </w:rPr>
      </w:pPr>
      <w:r>
        <w:rPr>
          <w:rFonts w:hint="eastAsia" w:hAnsi="宋体" w:cs="宋体"/>
          <w:sz w:val="24"/>
          <w:szCs w:val="24"/>
          <w:highlight w:val="none"/>
        </w:rPr>
        <w:t>采购人名称：</w:t>
      </w:r>
    </w:p>
    <w:p w14:paraId="38FCC404">
      <w:pPr>
        <w:pStyle w:val="28"/>
        <w:spacing w:line="360" w:lineRule="auto"/>
        <w:ind w:left="25" w:firstLine="472"/>
        <w:rPr>
          <w:rFonts w:hint="eastAsia" w:hAnsi="宋体" w:cs="宋体"/>
          <w:bCs/>
          <w:sz w:val="24"/>
          <w:szCs w:val="24"/>
          <w:highlight w:val="none"/>
        </w:rPr>
      </w:pPr>
      <w:r>
        <w:rPr>
          <w:rFonts w:hint="eastAsia" w:hAnsi="宋体" w:cs="宋体"/>
          <w:sz w:val="24"/>
          <w:szCs w:val="24"/>
          <w:highlight w:val="none"/>
        </w:rPr>
        <w:t>代理机构名称：</w:t>
      </w:r>
    </w:p>
    <w:p w14:paraId="67C06905">
      <w:pPr>
        <w:pStyle w:val="28"/>
        <w:spacing w:line="360" w:lineRule="auto"/>
        <w:ind w:left="25" w:firstLine="472"/>
        <w:rPr>
          <w:rFonts w:hint="eastAsia" w:hAnsi="宋体" w:cs="宋体"/>
          <w:bCs/>
          <w:sz w:val="24"/>
          <w:szCs w:val="24"/>
          <w:highlight w:val="none"/>
        </w:rPr>
      </w:pPr>
      <w:r>
        <w:rPr>
          <w:rFonts w:hint="eastAsia" w:hAnsi="宋体" w:cs="宋体"/>
          <w:bCs/>
          <w:sz w:val="24"/>
          <w:szCs w:val="24"/>
          <w:highlight w:val="none"/>
        </w:rPr>
        <w:t xml:space="preserve">采购文件公告：是/否公告期限：                                                       </w:t>
      </w:r>
    </w:p>
    <w:p w14:paraId="612A0AA3">
      <w:pPr>
        <w:pStyle w:val="28"/>
        <w:spacing w:line="360" w:lineRule="auto"/>
        <w:ind w:left="25" w:firstLine="472"/>
        <w:rPr>
          <w:rFonts w:hint="eastAsia" w:hAnsi="宋体" w:cs="宋体"/>
          <w:b/>
          <w:sz w:val="24"/>
          <w:szCs w:val="24"/>
          <w:highlight w:val="none"/>
        </w:rPr>
      </w:pPr>
      <w:r>
        <w:rPr>
          <w:rFonts w:hint="eastAsia" w:hAnsi="宋体" w:cs="宋体"/>
          <w:bCs/>
          <w:sz w:val="24"/>
          <w:szCs w:val="24"/>
          <w:highlight w:val="none"/>
        </w:rPr>
        <w:t xml:space="preserve">采购结果公告：是/否公告期限：                                                       </w:t>
      </w:r>
    </w:p>
    <w:p w14:paraId="190CBEF1">
      <w:pPr>
        <w:pStyle w:val="28"/>
        <w:spacing w:line="360" w:lineRule="auto"/>
        <w:ind w:left="25" w:firstLine="472"/>
        <w:rPr>
          <w:rFonts w:hint="eastAsia" w:hAnsi="宋体" w:cs="宋体"/>
          <w:b/>
          <w:sz w:val="24"/>
          <w:szCs w:val="24"/>
          <w:highlight w:val="none"/>
        </w:rPr>
      </w:pPr>
      <w:r>
        <w:rPr>
          <w:rFonts w:hint="eastAsia" w:hAnsi="宋体" w:cs="宋体"/>
          <w:b/>
          <w:sz w:val="24"/>
          <w:szCs w:val="24"/>
          <w:highlight w:val="none"/>
        </w:rPr>
        <w:t>三、质疑基本情况</w:t>
      </w:r>
    </w:p>
    <w:p w14:paraId="5A493A9E">
      <w:pPr>
        <w:pStyle w:val="28"/>
        <w:spacing w:line="360" w:lineRule="auto"/>
        <w:ind w:firstLine="480"/>
        <w:rPr>
          <w:rFonts w:hint="eastAsia" w:hAnsi="宋体" w:cs="宋体"/>
          <w:sz w:val="24"/>
          <w:szCs w:val="24"/>
          <w:highlight w:val="none"/>
        </w:rPr>
      </w:pPr>
      <w:r>
        <w:rPr>
          <w:rFonts w:hint="eastAsia" w:hAnsi="宋体" w:cs="宋体"/>
          <w:sz w:val="24"/>
          <w:szCs w:val="24"/>
          <w:highlight w:val="none"/>
        </w:rPr>
        <w:t>投诉人于      年   月   日，向                                提出质疑，质疑事项为：</w:t>
      </w:r>
    </w:p>
    <w:p w14:paraId="426C9280">
      <w:pPr>
        <w:pStyle w:val="28"/>
        <w:spacing w:line="360" w:lineRule="auto"/>
        <w:ind w:firstLine="241"/>
        <w:rPr>
          <w:rFonts w:hint="eastAsia" w:hAnsi="宋体" w:cs="宋体"/>
          <w:bCs/>
          <w:sz w:val="24"/>
          <w:szCs w:val="24"/>
          <w:highlight w:val="none"/>
        </w:rPr>
      </w:pPr>
    </w:p>
    <w:p w14:paraId="78F87DB6">
      <w:pPr>
        <w:pStyle w:val="28"/>
        <w:spacing w:line="360" w:lineRule="auto"/>
        <w:ind w:firstLine="241"/>
        <w:rPr>
          <w:rFonts w:hint="eastAsia" w:hAnsi="宋体" w:cs="宋体"/>
          <w:bCs/>
          <w:sz w:val="24"/>
          <w:szCs w:val="24"/>
          <w:highlight w:val="none"/>
        </w:rPr>
      </w:pPr>
    </w:p>
    <w:p w14:paraId="20330BE8">
      <w:pPr>
        <w:pStyle w:val="28"/>
        <w:spacing w:line="360" w:lineRule="auto"/>
        <w:ind w:firstLine="480"/>
        <w:rPr>
          <w:rFonts w:hint="eastAsia" w:hAnsi="宋体" w:cs="宋体"/>
          <w:sz w:val="24"/>
          <w:szCs w:val="24"/>
          <w:highlight w:val="none"/>
        </w:rPr>
      </w:pPr>
      <w:r>
        <w:rPr>
          <w:rFonts w:hint="eastAsia" w:hAnsi="宋体" w:cs="宋体"/>
          <w:bCs/>
          <w:sz w:val="24"/>
          <w:szCs w:val="24"/>
          <w:highlight w:val="none"/>
        </w:rPr>
        <w:t>采购人/代理机构于</w:t>
      </w:r>
      <w:r>
        <w:rPr>
          <w:rFonts w:hint="eastAsia" w:hAnsi="宋体" w:cs="宋体"/>
          <w:sz w:val="24"/>
          <w:szCs w:val="24"/>
          <w:highlight w:val="none"/>
        </w:rPr>
        <w:t xml:space="preserve">      年   月   日，</w:t>
      </w:r>
      <w:r>
        <w:rPr>
          <w:rFonts w:hint="eastAsia" w:hAnsi="宋体" w:cs="宋体"/>
          <w:bCs/>
          <w:sz w:val="24"/>
          <w:szCs w:val="24"/>
          <w:highlight w:val="none"/>
        </w:rPr>
        <w:t xml:space="preserve">就质疑事项作出了答复/没有在法定期限内作出答复。                                                                                             </w:t>
      </w:r>
    </w:p>
    <w:p w14:paraId="1BB5CBFD">
      <w:pPr>
        <w:pStyle w:val="28"/>
        <w:spacing w:line="360" w:lineRule="auto"/>
        <w:ind w:left="25" w:firstLine="472"/>
        <w:rPr>
          <w:rFonts w:hint="eastAsia" w:hAnsi="宋体" w:cs="宋体"/>
          <w:b/>
          <w:sz w:val="24"/>
          <w:szCs w:val="24"/>
          <w:highlight w:val="none"/>
        </w:rPr>
      </w:pPr>
      <w:r>
        <w:rPr>
          <w:rFonts w:hint="eastAsia" w:hAnsi="宋体" w:cs="宋体"/>
          <w:b/>
          <w:sz w:val="24"/>
          <w:szCs w:val="24"/>
          <w:highlight w:val="none"/>
        </w:rPr>
        <w:t>四、投诉事项具体内容</w:t>
      </w:r>
    </w:p>
    <w:p w14:paraId="1B427F52">
      <w:pPr>
        <w:pStyle w:val="28"/>
        <w:spacing w:line="360" w:lineRule="auto"/>
        <w:ind w:left="25" w:firstLine="472"/>
        <w:rPr>
          <w:rFonts w:hint="eastAsia" w:hAnsi="宋体" w:cs="宋体"/>
          <w:bCs/>
          <w:sz w:val="24"/>
          <w:szCs w:val="24"/>
          <w:highlight w:val="none"/>
        </w:rPr>
      </w:pPr>
      <w:r>
        <w:rPr>
          <w:rFonts w:hint="eastAsia" w:hAnsi="宋体" w:cs="宋体"/>
          <w:sz w:val="24"/>
          <w:szCs w:val="24"/>
          <w:highlight w:val="none"/>
        </w:rPr>
        <w:t>投诉事项1：</w:t>
      </w:r>
    </w:p>
    <w:p w14:paraId="2F5FFC18">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事实依据：</w:t>
      </w:r>
    </w:p>
    <w:p w14:paraId="2E974BE8">
      <w:pPr>
        <w:pStyle w:val="28"/>
        <w:spacing w:line="360" w:lineRule="auto"/>
        <w:ind w:left="25" w:firstLine="472"/>
        <w:rPr>
          <w:rFonts w:hint="eastAsia" w:hAnsi="宋体" w:cs="宋体"/>
          <w:sz w:val="24"/>
          <w:szCs w:val="24"/>
          <w:highlight w:val="none"/>
        </w:rPr>
      </w:pPr>
    </w:p>
    <w:p w14:paraId="234EA9E2">
      <w:pPr>
        <w:pStyle w:val="28"/>
        <w:spacing w:line="360" w:lineRule="auto"/>
        <w:ind w:firstLine="480"/>
        <w:rPr>
          <w:rFonts w:hint="eastAsia" w:hAnsi="宋体" w:cs="宋体"/>
          <w:bCs/>
          <w:sz w:val="24"/>
          <w:szCs w:val="24"/>
          <w:highlight w:val="none"/>
        </w:rPr>
      </w:pPr>
      <w:r>
        <w:rPr>
          <w:rFonts w:hint="eastAsia" w:hAnsi="宋体" w:cs="宋体"/>
          <w:bCs/>
          <w:sz w:val="24"/>
          <w:szCs w:val="24"/>
          <w:highlight w:val="none"/>
        </w:rPr>
        <w:t>法律依据：</w:t>
      </w:r>
    </w:p>
    <w:p w14:paraId="7868CC81">
      <w:pPr>
        <w:pStyle w:val="28"/>
        <w:spacing w:line="360" w:lineRule="auto"/>
        <w:ind w:left="25" w:firstLine="352"/>
        <w:rPr>
          <w:rFonts w:hint="eastAsia" w:hAnsi="宋体" w:cs="宋体"/>
          <w:bCs/>
          <w:sz w:val="24"/>
          <w:szCs w:val="24"/>
          <w:highlight w:val="none"/>
        </w:rPr>
      </w:pPr>
    </w:p>
    <w:p w14:paraId="7CA3417A">
      <w:pPr>
        <w:pStyle w:val="28"/>
        <w:spacing w:line="360" w:lineRule="auto"/>
        <w:ind w:left="25" w:firstLine="472"/>
        <w:rPr>
          <w:rFonts w:hint="eastAsia" w:hAnsi="宋体" w:cs="宋体"/>
          <w:bCs/>
          <w:sz w:val="24"/>
          <w:szCs w:val="24"/>
          <w:highlight w:val="none"/>
        </w:rPr>
      </w:pPr>
      <w:r>
        <w:rPr>
          <w:rFonts w:hint="eastAsia" w:hAnsi="宋体" w:cs="宋体"/>
          <w:sz w:val="24"/>
          <w:szCs w:val="24"/>
          <w:highlight w:val="none"/>
        </w:rPr>
        <w:t xml:space="preserve">投诉事项2  </w:t>
      </w:r>
    </w:p>
    <w:p w14:paraId="6C0CADD6">
      <w:pPr>
        <w:pStyle w:val="28"/>
        <w:spacing w:line="360" w:lineRule="auto"/>
        <w:ind w:left="25" w:firstLine="472"/>
        <w:rPr>
          <w:rFonts w:hint="eastAsia" w:hAnsi="宋体" w:cs="宋体"/>
          <w:bCs/>
          <w:sz w:val="24"/>
          <w:szCs w:val="24"/>
          <w:highlight w:val="none"/>
        </w:rPr>
      </w:pPr>
      <w:r>
        <w:rPr>
          <w:rFonts w:hint="eastAsia" w:hAnsi="宋体" w:cs="宋体"/>
          <w:bCs/>
          <w:sz w:val="24"/>
          <w:szCs w:val="24"/>
          <w:highlight w:val="none"/>
        </w:rPr>
        <w:t>……</w:t>
      </w:r>
    </w:p>
    <w:p w14:paraId="328CB73C">
      <w:pPr>
        <w:pStyle w:val="28"/>
        <w:spacing w:line="360" w:lineRule="auto"/>
        <w:ind w:left="25" w:firstLine="472"/>
        <w:rPr>
          <w:rFonts w:hint="eastAsia" w:hAnsi="宋体" w:cs="宋体"/>
          <w:b/>
          <w:sz w:val="24"/>
          <w:szCs w:val="24"/>
          <w:highlight w:val="none"/>
        </w:rPr>
      </w:pPr>
      <w:r>
        <w:rPr>
          <w:rFonts w:hint="eastAsia" w:hAnsi="宋体" w:cs="宋体"/>
          <w:b/>
          <w:sz w:val="24"/>
          <w:szCs w:val="24"/>
          <w:highlight w:val="none"/>
        </w:rPr>
        <w:t>五、与投诉事项相关的投诉请求：</w:t>
      </w:r>
    </w:p>
    <w:p w14:paraId="0F21395D">
      <w:pPr>
        <w:pStyle w:val="28"/>
        <w:spacing w:line="360" w:lineRule="auto"/>
        <w:ind w:left="25" w:firstLine="472"/>
        <w:rPr>
          <w:rFonts w:hint="eastAsia" w:hAnsi="宋体" w:cs="宋体"/>
          <w:sz w:val="24"/>
          <w:szCs w:val="24"/>
          <w:highlight w:val="none"/>
        </w:rPr>
      </w:pPr>
      <w:r>
        <w:rPr>
          <w:rFonts w:hint="eastAsia" w:hAnsi="宋体" w:cs="宋体"/>
          <w:sz w:val="24"/>
          <w:szCs w:val="24"/>
          <w:highlight w:val="none"/>
        </w:rPr>
        <w:t>请求：</w:t>
      </w:r>
    </w:p>
    <w:p w14:paraId="33EC5C78">
      <w:pPr>
        <w:pStyle w:val="28"/>
        <w:spacing w:line="360" w:lineRule="auto"/>
        <w:ind w:left="25" w:firstLine="352"/>
        <w:rPr>
          <w:rFonts w:hint="eastAsia" w:hAnsi="宋体" w:cs="宋体"/>
          <w:sz w:val="24"/>
          <w:szCs w:val="24"/>
          <w:highlight w:val="none"/>
        </w:rPr>
      </w:pPr>
    </w:p>
    <w:p w14:paraId="028D2E04">
      <w:pPr>
        <w:pStyle w:val="28"/>
        <w:spacing w:line="360" w:lineRule="auto"/>
        <w:ind w:left="25" w:firstLine="472"/>
        <w:rPr>
          <w:rFonts w:hint="eastAsia" w:hAnsi="宋体" w:cs="宋体"/>
          <w:sz w:val="24"/>
          <w:szCs w:val="24"/>
          <w:highlight w:val="none"/>
        </w:rPr>
      </w:pPr>
      <w:r>
        <w:rPr>
          <w:rFonts w:hint="eastAsia" w:hAnsi="宋体" w:cs="宋体"/>
          <w:sz w:val="24"/>
          <w:szCs w:val="24"/>
          <w:highlight w:val="none"/>
        </w:rPr>
        <w:t>签字（签章）：                                     公章：</w:t>
      </w:r>
    </w:p>
    <w:p w14:paraId="260EC7A0">
      <w:pPr>
        <w:pStyle w:val="28"/>
        <w:spacing w:line="360" w:lineRule="auto"/>
        <w:ind w:left="25" w:firstLine="352"/>
        <w:rPr>
          <w:rFonts w:hint="eastAsia" w:hAnsi="宋体" w:cs="宋体"/>
          <w:sz w:val="24"/>
          <w:szCs w:val="24"/>
          <w:highlight w:val="none"/>
        </w:rPr>
      </w:pPr>
    </w:p>
    <w:p w14:paraId="262F8D59">
      <w:pPr>
        <w:pStyle w:val="28"/>
        <w:spacing w:line="360" w:lineRule="auto"/>
        <w:ind w:left="25" w:firstLine="472"/>
        <w:rPr>
          <w:rFonts w:hint="eastAsia" w:hAnsi="宋体" w:cs="宋体"/>
          <w:sz w:val="24"/>
          <w:szCs w:val="24"/>
          <w:highlight w:val="none"/>
        </w:rPr>
      </w:pPr>
      <w:r>
        <w:rPr>
          <w:rFonts w:hint="eastAsia" w:hAnsi="宋体" w:cs="宋体"/>
          <w:sz w:val="24"/>
          <w:szCs w:val="24"/>
          <w:highlight w:val="none"/>
        </w:rPr>
        <w:t>日期：</w:t>
      </w:r>
    </w:p>
    <w:p w14:paraId="24FDBEAB">
      <w:pPr>
        <w:pStyle w:val="28"/>
        <w:spacing w:line="360" w:lineRule="auto"/>
        <w:ind w:left="25" w:firstLine="472"/>
        <w:rPr>
          <w:rFonts w:hint="eastAsia" w:hAnsi="宋体" w:cs="宋体"/>
          <w:sz w:val="24"/>
          <w:szCs w:val="24"/>
          <w:highlight w:val="none"/>
        </w:rPr>
      </w:pPr>
    </w:p>
    <w:p w14:paraId="73998B8E">
      <w:pPr>
        <w:pStyle w:val="28"/>
        <w:spacing w:line="360" w:lineRule="auto"/>
        <w:rPr>
          <w:rFonts w:hint="eastAsia" w:hAnsi="宋体" w:cs="宋体"/>
          <w:b/>
          <w:sz w:val="24"/>
          <w:szCs w:val="24"/>
          <w:highlight w:val="none"/>
        </w:rPr>
      </w:pPr>
    </w:p>
    <w:p w14:paraId="14B631D7">
      <w:pPr>
        <w:pStyle w:val="28"/>
        <w:spacing w:line="360" w:lineRule="auto"/>
        <w:rPr>
          <w:rFonts w:hint="eastAsia" w:hAnsi="宋体" w:cs="宋体"/>
          <w:b/>
          <w:sz w:val="24"/>
          <w:szCs w:val="24"/>
          <w:highlight w:val="none"/>
        </w:rPr>
      </w:pPr>
      <w:r>
        <w:rPr>
          <w:rFonts w:hint="eastAsia" w:hAnsi="宋体" w:cs="宋体"/>
          <w:b/>
          <w:sz w:val="24"/>
          <w:szCs w:val="24"/>
          <w:highlight w:val="none"/>
        </w:rPr>
        <w:t>说明：</w:t>
      </w:r>
    </w:p>
    <w:p w14:paraId="1E0C7B8F">
      <w:pPr>
        <w:pStyle w:val="28"/>
        <w:spacing w:line="360" w:lineRule="auto"/>
        <w:ind w:left="25" w:firstLine="354"/>
        <w:rPr>
          <w:rFonts w:hint="eastAsia" w:hAnsi="宋体" w:cs="宋体"/>
          <w:b/>
          <w:bCs/>
          <w:sz w:val="24"/>
          <w:szCs w:val="24"/>
          <w:highlight w:val="none"/>
        </w:rPr>
      </w:pPr>
      <w:r>
        <w:rPr>
          <w:rFonts w:hint="eastAsia" w:hAnsi="宋体" w:cs="宋体"/>
          <w:b/>
          <w:sz w:val="24"/>
          <w:szCs w:val="24"/>
          <w:highlight w:val="none"/>
        </w:rPr>
        <w:t>1.投诉人提起投诉时，应当提交投诉书和必要的证明材料，并按照被投诉人和与投诉事项有关的供应商数量提供投诉书副本</w:t>
      </w:r>
      <w:r>
        <w:rPr>
          <w:rFonts w:hint="eastAsia" w:hAnsi="宋体" w:cs="宋体"/>
          <w:b/>
          <w:bCs/>
          <w:sz w:val="24"/>
          <w:szCs w:val="24"/>
          <w:highlight w:val="none"/>
        </w:rPr>
        <w:t>。</w:t>
      </w:r>
    </w:p>
    <w:p w14:paraId="204E2FAA">
      <w:pPr>
        <w:pStyle w:val="28"/>
        <w:spacing w:line="360" w:lineRule="auto"/>
        <w:ind w:left="25" w:firstLine="354"/>
        <w:rPr>
          <w:rFonts w:hint="eastAsia" w:hAnsi="宋体" w:cs="宋体"/>
          <w:b/>
          <w:sz w:val="24"/>
          <w:szCs w:val="24"/>
          <w:highlight w:val="none"/>
        </w:rPr>
      </w:pPr>
      <w:r>
        <w:rPr>
          <w:rFonts w:hint="eastAsia" w:hAnsi="宋体" w:cs="宋体"/>
          <w:b/>
          <w:sz w:val="24"/>
          <w:szCs w:val="24"/>
          <w:highlight w:val="none"/>
        </w:rPr>
        <w:t>2.投诉人若委托代理人进行投诉的，投诉书应按要求列明“授权代表”的有关内容，并在附件中提交由投诉人签署的授权委托书。授权委托书应当载明代理人的姓名或者名称、代理事项、具体权限、期限和相关事项。</w:t>
      </w:r>
    </w:p>
    <w:p w14:paraId="27C38C98">
      <w:pPr>
        <w:pStyle w:val="28"/>
        <w:spacing w:line="360" w:lineRule="auto"/>
        <w:ind w:left="25" w:firstLine="354"/>
        <w:rPr>
          <w:rFonts w:hint="eastAsia" w:hAnsi="宋体" w:cs="宋体"/>
          <w:b/>
          <w:sz w:val="24"/>
          <w:szCs w:val="24"/>
          <w:highlight w:val="none"/>
        </w:rPr>
      </w:pPr>
      <w:r>
        <w:rPr>
          <w:rFonts w:hint="eastAsia" w:hAnsi="宋体" w:cs="宋体"/>
          <w:b/>
          <w:sz w:val="24"/>
          <w:szCs w:val="24"/>
          <w:highlight w:val="none"/>
        </w:rPr>
        <w:t>3.投诉书应简要列明质疑事项，质疑函、质疑答复等作为附件材料提供。</w:t>
      </w:r>
    </w:p>
    <w:p w14:paraId="0A260479">
      <w:pPr>
        <w:pStyle w:val="28"/>
        <w:spacing w:line="360" w:lineRule="auto"/>
        <w:ind w:left="25" w:firstLine="354"/>
        <w:rPr>
          <w:rFonts w:hint="eastAsia" w:hAnsi="宋体" w:cs="宋体"/>
          <w:b/>
          <w:sz w:val="24"/>
          <w:szCs w:val="24"/>
          <w:highlight w:val="none"/>
        </w:rPr>
      </w:pPr>
      <w:r>
        <w:rPr>
          <w:rFonts w:hint="eastAsia" w:hAnsi="宋体" w:cs="宋体"/>
          <w:b/>
          <w:sz w:val="24"/>
          <w:szCs w:val="24"/>
          <w:highlight w:val="none"/>
        </w:rPr>
        <w:t>4.投诉书的投诉事项应具体、明确，并有必要的事实依据和法律依据。</w:t>
      </w:r>
    </w:p>
    <w:p w14:paraId="0F2F31F6">
      <w:pPr>
        <w:pStyle w:val="28"/>
        <w:spacing w:line="360" w:lineRule="auto"/>
        <w:ind w:left="25" w:firstLine="354"/>
        <w:rPr>
          <w:rFonts w:hint="eastAsia" w:hAnsi="宋体" w:cs="宋体"/>
          <w:b/>
          <w:sz w:val="24"/>
          <w:szCs w:val="24"/>
          <w:highlight w:val="none"/>
        </w:rPr>
      </w:pPr>
      <w:r>
        <w:rPr>
          <w:rFonts w:hint="eastAsia" w:hAnsi="宋体" w:cs="宋体"/>
          <w:b/>
          <w:sz w:val="24"/>
          <w:szCs w:val="24"/>
          <w:highlight w:val="none"/>
        </w:rPr>
        <w:t>5.投诉书的投诉请求应与投诉事项相关。</w:t>
      </w:r>
    </w:p>
    <w:p w14:paraId="3893149E">
      <w:pPr>
        <w:pStyle w:val="28"/>
        <w:spacing w:line="360" w:lineRule="auto"/>
        <w:ind w:left="25" w:firstLine="354"/>
        <w:rPr>
          <w:rFonts w:hint="eastAsia" w:hAnsi="宋体" w:cs="宋体"/>
          <w:b/>
          <w:sz w:val="24"/>
          <w:szCs w:val="24"/>
          <w:highlight w:val="none"/>
        </w:rPr>
      </w:pPr>
      <w:r>
        <w:rPr>
          <w:rFonts w:hint="eastAsia" w:hAnsi="宋体" w:cs="宋体"/>
          <w:b/>
          <w:sz w:val="24"/>
          <w:szCs w:val="24"/>
          <w:highlight w:val="none"/>
        </w:rPr>
        <w:t>6.投诉人为法人或者其他组织的，投诉书应由法定代表人、主要负责人，或者其授权代表签字或者盖章，并加盖公章。</w:t>
      </w:r>
      <w:bookmarkEnd w:id="38"/>
    </w:p>
    <w:p w14:paraId="31241915">
      <w:pPr>
        <w:rPr>
          <w:rFonts w:hint="eastAsia" w:hAnsi="宋体" w:cs="宋体"/>
          <w:b/>
          <w:sz w:val="24"/>
          <w:szCs w:val="24"/>
          <w:highlight w:val="none"/>
        </w:rPr>
      </w:pPr>
      <w:r>
        <w:rPr>
          <w:rFonts w:hint="eastAsia" w:hAnsi="宋体" w:cs="宋体"/>
          <w:b/>
          <w:sz w:val="24"/>
          <w:szCs w:val="24"/>
          <w:highlight w:val="none"/>
        </w:rPr>
        <w:br w:type="page" w:clear="all"/>
      </w:r>
    </w:p>
    <w:p w14:paraId="6AAA4A9E">
      <w:pPr>
        <w:pStyle w:val="3"/>
        <w:bidi w:val="0"/>
        <w:jc w:val="center"/>
        <w:rPr>
          <w:rStyle w:val="655"/>
          <w:rFonts w:hint="eastAsia" w:ascii="宋体" w:hAnsi="宋体" w:eastAsia="宋体" w:cs="宋体"/>
          <w:b/>
          <w:spacing w:val="10"/>
          <w:sz w:val="36"/>
          <w:szCs w:val="36"/>
          <w:highlight w:val="none"/>
          <w:lang w:val="zh-CN" w:eastAsia="zh-CN"/>
        </w:rPr>
      </w:pPr>
      <w:bookmarkStart w:id="2048" w:name="_Toc29666"/>
      <w:r>
        <w:rPr>
          <w:rFonts w:hint="eastAsia"/>
          <w:highlight w:val="none"/>
          <w:lang w:val="en-US" w:eastAsia="zh-CN"/>
        </w:rPr>
        <w:t>其他文件：</w:t>
      </w:r>
      <w:r>
        <w:rPr>
          <w:rStyle w:val="655"/>
          <w:rFonts w:hint="eastAsia" w:ascii="宋体" w:hAnsi="宋体" w:eastAsia="宋体" w:cs="宋体"/>
          <w:b/>
          <w:spacing w:val="10"/>
          <w:sz w:val="36"/>
          <w:szCs w:val="36"/>
          <w:highlight w:val="none"/>
          <w:lang w:val="zh-CN"/>
        </w:rPr>
        <w:t>退磋商保证金</w:t>
      </w:r>
      <w:r>
        <w:rPr>
          <w:rStyle w:val="655"/>
          <w:rFonts w:hint="eastAsia" w:ascii="宋体" w:hAnsi="宋体" w:eastAsia="宋体" w:cs="宋体"/>
          <w:b/>
          <w:spacing w:val="10"/>
          <w:sz w:val="36"/>
          <w:szCs w:val="36"/>
          <w:highlight w:val="none"/>
          <w:lang w:val="en-US" w:eastAsia="zh-CN"/>
        </w:rPr>
        <w:t>申请</w:t>
      </w:r>
      <w:bookmarkEnd w:id="2048"/>
    </w:p>
    <w:p w14:paraId="26E13AD1">
      <w:pPr>
        <w:pStyle w:val="28"/>
        <w:spacing w:line="360" w:lineRule="auto"/>
        <w:rPr>
          <w:rFonts w:hAnsi="宋体"/>
          <w:bCs/>
          <w:sz w:val="24"/>
          <w:szCs w:val="24"/>
          <w:highlight w:val="none"/>
        </w:rPr>
      </w:pPr>
      <w:r>
        <w:rPr>
          <w:rFonts w:hint="eastAsia" w:hAnsi="宋体"/>
          <w:bCs/>
          <w:sz w:val="24"/>
          <w:szCs w:val="24"/>
          <w:highlight w:val="none"/>
        </w:rPr>
        <w:t>广西德元工程项目管理有限责任公司：</w:t>
      </w:r>
    </w:p>
    <w:p w14:paraId="2A4D31B1">
      <w:pPr>
        <w:pStyle w:val="28"/>
        <w:spacing w:line="360" w:lineRule="auto"/>
        <w:ind w:firstLine="480"/>
        <w:rPr>
          <w:rFonts w:hAnsi="宋体"/>
          <w:bCs/>
          <w:sz w:val="24"/>
          <w:szCs w:val="24"/>
          <w:highlight w:val="none"/>
        </w:rPr>
      </w:pPr>
      <w:bookmarkStart w:id="2049" w:name="REVIEW_BM_2144"/>
      <w:r>
        <w:rPr>
          <w:rFonts w:hint="eastAsia" w:hAnsi="宋体"/>
          <w:bCs/>
          <w:sz w:val="24"/>
          <w:szCs w:val="24"/>
          <w:highlight w:val="none"/>
        </w:rPr>
        <w:t>我</w:t>
      </w:r>
      <w:r>
        <w:rPr>
          <w:rFonts w:hint="eastAsia" w:hAnsi="宋体"/>
          <w:bCs/>
          <w:sz w:val="24"/>
          <w:szCs w:val="24"/>
          <w:highlight w:val="none"/>
          <w:lang w:val="en-US" w:eastAsia="zh-CN"/>
        </w:rPr>
        <w:t>公司</w:t>
      </w:r>
      <w:bookmarkEnd w:id="2049"/>
      <w:r>
        <w:rPr>
          <w:rFonts w:hint="eastAsia" w:hAnsi="宋体"/>
          <w:bCs/>
          <w:sz w:val="24"/>
          <w:szCs w:val="24"/>
          <w:highlight w:val="none"/>
        </w:rPr>
        <w:t>参加项目名称：</w:t>
      </w:r>
      <w:r>
        <w:rPr>
          <w:rFonts w:hint="eastAsia" w:hAnsi="宋体"/>
          <w:bCs/>
          <w:sz w:val="24"/>
          <w:szCs w:val="24"/>
          <w:highlight w:val="none"/>
          <w:lang w:val="en-US" w:eastAsia="zh-CN"/>
        </w:rPr>
        <w:t xml:space="preserve">    </w:t>
      </w:r>
      <w:r>
        <w:rPr>
          <w:rFonts w:hint="eastAsia" w:hAnsi="宋体"/>
          <w:bCs/>
          <w:sz w:val="24"/>
          <w:szCs w:val="24"/>
          <w:highlight w:val="none"/>
        </w:rPr>
        <w:t>(项目编号：</w:t>
      </w:r>
      <w:r>
        <w:rPr>
          <w:rFonts w:hint="eastAsia" w:hAnsi="宋体"/>
          <w:bCs/>
          <w:sz w:val="24"/>
          <w:szCs w:val="24"/>
          <w:highlight w:val="none"/>
          <w:lang w:val="en-US" w:eastAsia="zh-CN"/>
        </w:rPr>
        <w:t xml:space="preserve">   </w:t>
      </w:r>
      <w:r>
        <w:rPr>
          <w:rFonts w:hint="eastAsia" w:hAnsi="宋体"/>
          <w:bCs/>
          <w:sz w:val="24"/>
          <w:szCs w:val="24"/>
          <w:highlight w:val="none"/>
        </w:rPr>
        <w:t>)缴纳的</w:t>
      </w:r>
      <w:r>
        <w:rPr>
          <w:rFonts w:hint="eastAsia" w:hAnsi="宋体"/>
          <w:bCs/>
          <w:sz w:val="24"/>
          <w:szCs w:val="24"/>
          <w:highlight w:val="none"/>
          <w:lang w:val="en-US" w:eastAsia="zh-CN"/>
        </w:rPr>
        <w:t>磋商</w:t>
      </w:r>
      <w:r>
        <w:rPr>
          <w:rFonts w:hint="eastAsia" w:hAnsi="宋体"/>
          <w:bCs/>
          <w:sz w:val="24"/>
          <w:szCs w:val="24"/>
          <w:highlight w:val="none"/>
        </w:rPr>
        <w:t>保证金情况如下：</w:t>
      </w:r>
    </w:p>
    <w:tbl>
      <w:tblPr>
        <w:tblStyle w:val="56"/>
        <w:tblW w:w="8642" w:type="dxa"/>
        <w:jc w:val="center"/>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Layout w:type="fixed"/>
        <w:tblCellMar>
          <w:top w:w="0" w:type="dxa"/>
          <w:left w:w="108" w:type="dxa"/>
          <w:bottom w:w="0" w:type="dxa"/>
          <w:right w:w="108" w:type="dxa"/>
        </w:tblCellMar>
      </w:tblPr>
      <w:tblGrid>
        <w:gridCol w:w="1625"/>
        <w:gridCol w:w="2656"/>
        <w:gridCol w:w="2464"/>
        <w:gridCol w:w="1897"/>
      </w:tblGrid>
      <w:tr w14:paraId="39411012">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582" w:hRule="atLeast"/>
          <w:jc w:val="center"/>
        </w:trPr>
        <w:tc>
          <w:tcPr>
            <w:tcW w:w="1625" w:type="dxa"/>
            <w:noWrap w:val="0"/>
            <w:vAlign w:val="center"/>
          </w:tcPr>
          <w:p w14:paraId="5FAFC54C">
            <w:pPr>
              <w:keepNext w:val="0"/>
              <w:keepLines w:val="0"/>
              <w:suppressLineNumbers w:val="0"/>
              <w:spacing w:before="0" w:beforeAutospacing="0" w:after="0" w:afterAutospacing="0"/>
              <w:ind w:left="0" w:right="0"/>
              <w:jc w:val="center"/>
              <w:rPr>
                <w:rFonts w:hint="default"/>
                <w:sz w:val="24"/>
                <w:highlight w:val="none"/>
              </w:rPr>
            </w:pPr>
            <w:r>
              <w:rPr>
                <w:rFonts w:hint="eastAsia"/>
                <w:sz w:val="24"/>
                <w:highlight w:val="none"/>
              </w:rPr>
              <w:t>序号</w:t>
            </w:r>
          </w:p>
        </w:tc>
        <w:tc>
          <w:tcPr>
            <w:tcW w:w="2656" w:type="dxa"/>
            <w:noWrap w:val="0"/>
            <w:vAlign w:val="center"/>
          </w:tcPr>
          <w:p w14:paraId="6DD5485F">
            <w:pPr>
              <w:keepNext w:val="0"/>
              <w:keepLines w:val="0"/>
              <w:suppressLineNumbers w:val="0"/>
              <w:spacing w:before="0" w:beforeAutospacing="0" w:after="0" w:afterAutospacing="0"/>
              <w:ind w:left="0" w:right="0"/>
              <w:jc w:val="center"/>
              <w:rPr>
                <w:rFonts w:hint="default"/>
                <w:sz w:val="24"/>
                <w:highlight w:val="none"/>
              </w:rPr>
            </w:pPr>
            <w:r>
              <w:rPr>
                <w:rFonts w:hint="eastAsia"/>
                <w:sz w:val="24"/>
                <w:highlight w:val="none"/>
              </w:rPr>
              <w:t>缴纳金额（元）</w:t>
            </w:r>
          </w:p>
        </w:tc>
        <w:tc>
          <w:tcPr>
            <w:tcW w:w="2464" w:type="dxa"/>
            <w:noWrap w:val="0"/>
            <w:vAlign w:val="center"/>
          </w:tcPr>
          <w:p w14:paraId="52C33306">
            <w:pPr>
              <w:keepNext w:val="0"/>
              <w:keepLines w:val="0"/>
              <w:suppressLineNumbers w:val="0"/>
              <w:spacing w:before="0" w:beforeAutospacing="0" w:after="0" w:afterAutospacing="0"/>
              <w:ind w:left="0" w:right="0"/>
              <w:jc w:val="center"/>
              <w:rPr>
                <w:rFonts w:hint="default"/>
                <w:sz w:val="24"/>
                <w:highlight w:val="none"/>
              </w:rPr>
            </w:pPr>
            <w:r>
              <w:rPr>
                <w:rFonts w:hint="eastAsia"/>
                <w:sz w:val="24"/>
                <w:highlight w:val="none"/>
              </w:rPr>
              <w:t>缴纳时间</w:t>
            </w:r>
          </w:p>
        </w:tc>
        <w:tc>
          <w:tcPr>
            <w:tcW w:w="1897" w:type="dxa"/>
            <w:noWrap w:val="0"/>
            <w:vAlign w:val="center"/>
          </w:tcPr>
          <w:p w14:paraId="4EDE236C">
            <w:pPr>
              <w:keepNext w:val="0"/>
              <w:keepLines w:val="0"/>
              <w:suppressLineNumbers w:val="0"/>
              <w:spacing w:before="0" w:beforeAutospacing="0" w:after="0" w:afterAutospacing="0"/>
              <w:ind w:left="0" w:right="0"/>
              <w:jc w:val="center"/>
              <w:rPr>
                <w:rFonts w:hint="eastAsia" w:eastAsia="宋体"/>
                <w:sz w:val="24"/>
                <w:highlight w:val="none"/>
                <w:lang w:eastAsia="zh-CN"/>
              </w:rPr>
            </w:pPr>
            <w:r>
              <w:rPr>
                <w:rFonts w:hint="eastAsia"/>
                <w:sz w:val="24"/>
                <w:highlight w:val="none"/>
                <w:lang w:val="en-US" w:eastAsia="zh-CN"/>
              </w:rPr>
              <w:t>备注</w:t>
            </w:r>
          </w:p>
        </w:tc>
      </w:tr>
      <w:tr w14:paraId="0B71E2CC">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995" w:hRule="atLeast"/>
          <w:jc w:val="center"/>
        </w:trPr>
        <w:tc>
          <w:tcPr>
            <w:tcW w:w="1625" w:type="dxa"/>
            <w:noWrap w:val="0"/>
            <w:vAlign w:val="center"/>
          </w:tcPr>
          <w:p w14:paraId="50C4C10A">
            <w:pPr>
              <w:pStyle w:val="28"/>
              <w:keepNext w:val="0"/>
              <w:keepLines w:val="0"/>
              <w:suppressLineNumbers w:val="0"/>
              <w:spacing w:before="0" w:beforeAutospacing="0" w:after="0" w:afterAutospacing="0"/>
              <w:ind w:left="0" w:right="0" w:firstLine="420"/>
              <w:jc w:val="center"/>
              <w:rPr>
                <w:rFonts w:hint="default" w:hAnsi="宋体"/>
                <w:bCs/>
                <w:sz w:val="24"/>
                <w:szCs w:val="24"/>
                <w:highlight w:val="none"/>
              </w:rPr>
            </w:pPr>
          </w:p>
        </w:tc>
        <w:tc>
          <w:tcPr>
            <w:tcW w:w="2656" w:type="dxa"/>
            <w:noWrap w:val="0"/>
            <w:vAlign w:val="center"/>
          </w:tcPr>
          <w:p w14:paraId="4FB4B20C">
            <w:pPr>
              <w:pStyle w:val="28"/>
              <w:keepNext w:val="0"/>
              <w:keepLines w:val="0"/>
              <w:suppressLineNumbers w:val="0"/>
              <w:spacing w:before="0" w:beforeAutospacing="0" w:after="0" w:afterAutospacing="0"/>
              <w:ind w:left="0" w:right="0" w:firstLine="420"/>
              <w:jc w:val="center"/>
              <w:rPr>
                <w:rFonts w:hint="default" w:hAnsi="宋体"/>
                <w:bCs/>
                <w:sz w:val="24"/>
                <w:szCs w:val="24"/>
                <w:highlight w:val="none"/>
              </w:rPr>
            </w:pPr>
          </w:p>
        </w:tc>
        <w:tc>
          <w:tcPr>
            <w:tcW w:w="2464" w:type="dxa"/>
            <w:noWrap w:val="0"/>
            <w:vAlign w:val="center"/>
          </w:tcPr>
          <w:p w14:paraId="5A40A72F">
            <w:pPr>
              <w:pStyle w:val="28"/>
              <w:keepNext w:val="0"/>
              <w:keepLines w:val="0"/>
              <w:suppressLineNumbers w:val="0"/>
              <w:spacing w:before="0" w:beforeAutospacing="0" w:after="0" w:afterAutospacing="0"/>
              <w:ind w:left="0" w:right="0" w:firstLine="420"/>
              <w:jc w:val="center"/>
              <w:rPr>
                <w:rFonts w:hint="default" w:hAnsi="宋体"/>
                <w:bCs/>
                <w:sz w:val="24"/>
                <w:szCs w:val="24"/>
                <w:highlight w:val="none"/>
              </w:rPr>
            </w:pPr>
          </w:p>
        </w:tc>
        <w:tc>
          <w:tcPr>
            <w:tcW w:w="1897" w:type="dxa"/>
            <w:noWrap w:val="0"/>
            <w:vAlign w:val="center"/>
          </w:tcPr>
          <w:p w14:paraId="18613DAF">
            <w:pPr>
              <w:pStyle w:val="28"/>
              <w:keepNext w:val="0"/>
              <w:keepLines w:val="0"/>
              <w:suppressLineNumbers w:val="0"/>
              <w:spacing w:before="0" w:beforeAutospacing="0" w:after="0" w:afterAutospacing="0"/>
              <w:ind w:left="0" w:right="0" w:firstLine="420"/>
              <w:rPr>
                <w:rFonts w:hint="default" w:hAnsi="宋体"/>
                <w:bCs/>
                <w:sz w:val="24"/>
                <w:szCs w:val="24"/>
                <w:highlight w:val="none"/>
              </w:rPr>
            </w:pPr>
          </w:p>
        </w:tc>
      </w:tr>
      <w:tr w14:paraId="078E3078">
        <w:tblPrEx>
          <w:tblBorders>
            <w:top w:val="single" w:color="auto" w:sz="4" w:space="0"/>
            <w:left w:val="single" w:color="auto" w:sz="4" w:space="0"/>
            <w:bottom w:val="single" w:color="auto" w:sz="4" w:space="0"/>
            <w:right w:val="single" w:color="auto" w:sz="4" w:space="0"/>
            <w:insideH w:val="single" w:color="auto" w:sz="4" w:space="0"/>
            <w:insideV w:val="single" w:color="auto" w:sz="4" w:space="0"/>
          </w:tblBorders>
          <w:tblCellMar>
            <w:top w:w="0" w:type="dxa"/>
            <w:left w:w="108" w:type="dxa"/>
            <w:bottom w:w="0" w:type="dxa"/>
            <w:right w:w="108" w:type="dxa"/>
          </w:tblCellMar>
        </w:tblPrEx>
        <w:trPr>
          <w:trHeight w:val="660" w:hRule="atLeast"/>
          <w:jc w:val="center"/>
        </w:trPr>
        <w:tc>
          <w:tcPr>
            <w:tcW w:w="1625" w:type="dxa"/>
            <w:noWrap w:val="0"/>
            <w:vAlign w:val="center"/>
          </w:tcPr>
          <w:p w14:paraId="31442EAC">
            <w:pPr>
              <w:pStyle w:val="28"/>
              <w:keepNext w:val="0"/>
              <w:keepLines w:val="0"/>
              <w:suppressLineNumbers w:val="0"/>
              <w:spacing w:before="0" w:beforeAutospacing="0" w:after="0" w:afterAutospacing="0"/>
              <w:ind w:left="0" w:right="0"/>
              <w:jc w:val="center"/>
              <w:rPr>
                <w:rFonts w:hint="default" w:hAnsi="宋体"/>
                <w:bCs/>
                <w:sz w:val="24"/>
                <w:szCs w:val="24"/>
                <w:highlight w:val="none"/>
              </w:rPr>
            </w:pPr>
            <w:r>
              <w:rPr>
                <w:rFonts w:hint="eastAsia" w:hAnsi="宋体"/>
                <w:bCs/>
                <w:sz w:val="24"/>
                <w:szCs w:val="24"/>
                <w:highlight w:val="none"/>
              </w:rPr>
              <w:t>合计</w:t>
            </w:r>
          </w:p>
        </w:tc>
        <w:tc>
          <w:tcPr>
            <w:tcW w:w="7017" w:type="dxa"/>
            <w:gridSpan w:val="3"/>
            <w:noWrap w:val="0"/>
            <w:vAlign w:val="top"/>
          </w:tcPr>
          <w:p w14:paraId="41F29892">
            <w:pPr>
              <w:pStyle w:val="28"/>
              <w:keepNext w:val="0"/>
              <w:keepLines w:val="0"/>
              <w:suppressLineNumbers w:val="0"/>
              <w:spacing w:before="0" w:beforeAutospacing="0" w:after="0" w:afterAutospacing="0"/>
              <w:ind w:left="0" w:right="0" w:firstLine="420"/>
              <w:rPr>
                <w:rFonts w:hint="default" w:hAnsi="宋体"/>
                <w:bCs/>
                <w:sz w:val="24"/>
                <w:szCs w:val="24"/>
                <w:highlight w:val="none"/>
              </w:rPr>
            </w:pPr>
          </w:p>
        </w:tc>
      </w:tr>
    </w:tbl>
    <w:p w14:paraId="2AE335A8">
      <w:pPr>
        <w:pStyle w:val="28"/>
        <w:ind w:firstLine="420"/>
        <w:rPr>
          <w:rFonts w:hAnsi="宋体"/>
          <w:bCs/>
          <w:sz w:val="24"/>
          <w:szCs w:val="24"/>
          <w:highlight w:val="none"/>
        </w:rPr>
      </w:pPr>
    </w:p>
    <w:p w14:paraId="6E9B56E1">
      <w:pPr>
        <w:pStyle w:val="28"/>
        <w:ind w:firstLine="420"/>
        <w:rPr>
          <w:rFonts w:hAnsi="宋体"/>
          <w:bCs/>
          <w:sz w:val="24"/>
          <w:szCs w:val="24"/>
          <w:highlight w:val="none"/>
        </w:rPr>
      </w:pPr>
      <w:r>
        <w:rPr>
          <w:rFonts w:hint="eastAsia" w:hAnsi="宋体"/>
          <w:bCs/>
          <w:sz w:val="24"/>
          <w:szCs w:val="24"/>
          <w:highlight w:val="none"/>
        </w:rPr>
        <w:t>请将</w:t>
      </w:r>
      <w:r>
        <w:rPr>
          <w:rFonts w:hint="eastAsia" w:hAnsi="宋体"/>
          <w:bCs/>
          <w:sz w:val="24"/>
          <w:szCs w:val="24"/>
          <w:highlight w:val="none"/>
          <w:lang w:val="en-US" w:eastAsia="zh-CN"/>
        </w:rPr>
        <w:t>磋商</w:t>
      </w:r>
      <w:r>
        <w:rPr>
          <w:rFonts w:hint="eastAsia" w:hAnsi="宋体"/>
          <w:bCs/>
          <w:sz w:val="24"/>
          <w:szCs w:val="24"/>
          <w:highlight w:val="none"/>
        </w:rPr>
        <w:t>保证金退至以下账户：</w:t>
      </w:r>
    </w:p>
    <w:p w14:paraId="7EF05121">
      <w:pPr>
        <w:pStyle w:val="28"/>
        <w:ind w:firstLine="420"/>
        <w:rPr>
          <w:rFonts w:hAnsi="宋体"/>
          <w:bCs/>
          <w:sz w:val="24"/>
          <w:szCs w:val="24"/>
          <w:highlight w:val="none"/>
        </w:rPr>
      </w:pPr>
    </w:p>
    <w:p w14:paraId="79455A61">
      <w:pPr>
        <w:pStyle w:val="28"/>
        <w:ind w:firstLine="420"/>
        <w:rPr>
          <w:rFonts w:hAnsi="宋体"/>
          <w:bCs/>
          <w:sz w:val="24"/>
          <w:szCs w:val="24"/>
          <w:highlight w:val="none"/>
          <w:u w:val="single"/>
        </w:rPr>
      </w:pPr>
      <w:r>
        <w:rPr>
          <w:rFonts w:hint="eastAsia" w:hAnsi="宋体"/>
          <w:bCs/>
          <w:sz w:val="24"/>
          <w:szCs w:val="24"/>
          <w:highlight w:val="none"/>
        </w:rPr>
        <w:t>账户名：</w:t>
      </w:r>
      <w:r>
        <w:rPr>
          <w:rFonts w:hint="eastAsia" w:hAnsi="宋体"/>
          <w:bCs/>
          <w:sz w:val="24"/>
          <w:szCs w:val="24"/>
          <w:highlight w:val="none"/>
          <w:u w:val="single"/>
        </w:rPr>
        <w:t xml:space="preserve">                                            </w:t>
      </w:r>
    </w:p>
    <w:p w14:paraId="791AD6F4">
      <w:pPr>
        <w:pStyle w:val="28"/>
        <w:ind w:firstLine="420"/>
        <w:rPr>
          <w:rFonts w:hAnsi="宋体"/>
          <w:bCs/>
          <w:sz w:val="24"/>
          <w:szCs w:val="24"/>
          <w:highlight w:val="none"/>
        </w:rPr>
      </w:pPr>
    </w:p>
    <w:p w14:paraId="533A62B7">
      <w:pPr>
        <w:pStyle w:val="28"/>
        <w:ind w:firstLine="420"/>
        <w:rPr>
          <w:rFonts w:hAnsi="宋体"/>
          <w:bCs/>
          <w:sz w:val="24"/>
          <w:szCs w:val="24"/>
          <w:highlight w:val="none"/>
          <w:u w:val="single"/>
        </w:rPr>
      </w:pPr>
      <w:r>
        <w:rPr>
          <w:rFonts w:hint="eastAsia" w:hAnsi="宋体"/>
          <w:bCs/>
          <w:sz w:val="24"/>
          <w:szCs w:val="24"/>
          <w:highlight w:val="none"/>
        </w:rPr>
        <w:t>开户行：</w:t>
      </w:r>
      <w:r>
        <w:rPr>
          <w:rFonts w:hint="eastAsia" w:hAnsi="宋体"/>
          <w:bCs/>
          <w:sz w:val="24"/>
          <w:szCs w:val="24"/>
          <w:highlight w:val="none"/>
          <w:u w:val="single"/>
        </w:rPr>
        <w:t xml:space="preserve">                                            </w:t>
      </w:r>
    </w:p>
    <w:p w14:paraId="31CE2FED">
      <w:pPr>
        <w:pStyle w:val="28"/>
        <w:ind w:firstLine="420"/>
        <w:rPr>
          <w:rFonts w:hAnsi="宋体"/>
          <w:bCs/>
          <w:sz w:val="24"/>
          <w:szCs w:val="24"/>
          <w:highlight w:val="none"/>
        </w:rPr>
      </w:pPr>
    </w:p>
    <w:p w14:paraId="0FBF53EB">
      <w:pPr>
        <w:pStyle w:val="28"/>
        <w:ind w:firstLine="420"/>
        <w:rPr>
          <w:rFonts w:hAnsi="宋体"/>
          <w:bCs/>
          <w:sz w:val="24"/>
          <w:szCs w:val="24"/>
          <w:highlight w:val="none"/>
          <w:u w:val="single"/>
        </w:rPr>
      </w:pPr>
      <w:r>
        <w:rPr>
          <w:rFonts w:hint="eastAsia" w:hAnsi="宋体"/>
          <w:bCs/>
          <w:sz w:val="24"/>
          <w:szCs w:val="24"/>
          <w:highlight w:val="none"/>
        </w:rPr>
        <w:t>账  号：</w:t>
      </w:r>
      <w:r>
        <w:rPr>
          <w:rFonts w:hint="eastAsia" w:hAnsi="宋体"/>
          <w:bCs/>
          <w:sz w:val="24"/>
          <w:szCs w:val="24"/>
          <w:highlight w:val="none"/>
          <w:u w:val="single"/>
        </w:rPr>
        <w:t xml:space="preserve">                                            </w:t>
      </w:r>
    </w:p>
    <w:p w14:paraId="1E4E969D">
      <w:pPr>
        <w:pStyle w:val="28"/>
        <w:ind w:firstLine="420"/>
        <w:rPr>
          <w:rFonts w:hAnsi="宋体"/>
          <w:bCs/>
          <w:sz w:val="24"/>
          <w:szCs w:val="24"/>
          <w:highlight w:val="none"/>
        </w:rPr>
      </w:pPr>
    </w:p>
    <w:p w14:paraId="7662884A">
      <w:pPr>
        <w:pStyle w:val="28"/>
        <w:ind w:firstLine="420"/>
        <w:rPr>
          <w:rFonts w:hAnsi="宋体"/>
          <w:bCs/>
          <w:sz w:val="24"/>
          <w:szCs w:val="24"/>
          <w:highlight w:val="none"/>
        </w:rPr>
      </w:pPr>
      <w:r>
        <w:rPr>
          <w:rFonts w:hint="eastAsia" w:hAnsi="宋体"/>
          <w:bCs/>
          <w:sz w:val="24"/>
          <w:szCs w:val="24"/>
          <w:highlight w:val="none"/>
        </w:rPr>
        <w:t>办退期限内，账户如有变动，</w:t>
      </w:r>
      <w:bookmarkStart w:id="2050" w:name="REVIEW_BM_2145"/>
      <w:r>
        <w:rPr>
          <w:rFonts w:hint="eastAsia" w:hAnsi="宋体"/>
          <w:bCs/>
          <w:sz w:val="24"/>
          <w:szCs w:val="24"/>
          <w:highlight w:val="none"/>
        </w:rPr>
        <w:t>我</w:t>
      </w:r>
      <w:r>
        <w:rPr>
          <w:rFonts w:hint="eastAsia" w:hAnsi="宋体"/>
          <w:bCs/>
          <w:sz w:val="24"/>
          <w:szCs w:val="24"/>
          <w:highlight w:val="none"/>
          <w:lang w:val="en-US" w:eastAsia="zh-CN"/>
        </w:rPr>
        <w:t>公司</w:t>
      </w:r>
      <w:bookmarkEnd w:id="2050"/>
      <w:r>
        <w:rPr>
          <w:rFonts w:hint="eastAsia" w:hAnsi="宋体"/>
          <w:bCs/>
          <w:sz w:val="24"/>
          <w:szCs w:val="24"/>
          <w:highlight w:val="none"/>
        </w:rPr>
        <w:t>将及时函告你们。</w:t>
      </w:r>
    </w:p>
    <w:p w14:paraId="70D9322F">
      <w:pPr>
        <w:pStyle w:val="28"/>
        <w:ind w:firstLine="420"/>
        <w:rPr>
          <w:rFonts w:hAnsi="宋体"/>
          <w:bCs/>
          <w:sz w:val="24"/>
          <w:szCs w:val="24"/>
          <w:highlight w:val="none"/>
        </w:rPr>
      </w:pPr>
    </w:p>
    <w:p w14:paraId="2A4CE685">
      <w:pPr>
        <w:pStyle w:val="28"/>
        <w:ind w:firstLine="420"/>
        <w:rPr>
          <w:rFonts w:hAnsi="宋体"/>
          <w:b/>
          <w:bCs/>
          <w:sz w:val="24"/>
          <w:szCs w:val="24"/>
          <w:highlight w:val="none"/>
          <w:u w:val="single"/>
        </w:rPr>
      </w:pPr>
      <w:r>
        <w:rPr>
          <w:rFonts w:hint="eastAsia" w:hAnsi="宋体"/>
          <w:bCs/>
          <w:sz w:val="24"/>
          <w:szCs w:val="24"/>
          <w:highlight w:val="none"/>
        </w:rPr>
        <w:t>联系人：</w:t>
      </w:r>
      <w:r>
        <w:rPr>
          <w:rFonts w:hint="eastAsia" w:hAnsi="宋体"/>
          <w:bCs/>
          <w:sz w:val="24"/>
          <w:szCs w:val="24"/>
          <w:highlight w:val="none"/>
          <w:u w:val="single"/>
        </w:rPr>
        <w:t xml:space="preserve">                   </w:t>
      </w:r>
      <w:r>
        <w:rPr>
          <w:rFonts w:hint="eastAsia" w:hAnsi="宋体"/>
          <w:bCs/>
          <w:sz w:val="24"/>
          <w:szCs w:val="24"/>
          <w:highlight w:val="none"/>
        </w:rPr>
        <w:t xml:space="preserve">             联系电话：</w:t>
      </w:r>
      <w:r>
        <w:rPr>
          <w:rFonts w:hint="eastAsia" w:hAnsi="宋体"/>
          <w:bCs/>
          <w:sz w:val="24"/>
          <w:szCs w:val="24"/>
          <w:highlight w:val="none"/>
          <w:u w:val="single"/>
        </w:rPr>
        <w:t xml:space="preserve">                     </w:t>
      </w:r>
    </w:p>
    <w:p w14:paraId="2CD3CF68">
      <w:pPr>
        <w:pStyle w:val="28"/>
        <w:ind w:firstLine="422"/>
        <w:rPr>
          <w:rFonts w:hAnsi="宋体"/>
          <w:b/>
          <w:bCs/>
          <w:sz w:val="24"/>
          <w:szCs w:val="24"/>
          <w:highlight w:val="none"/>
          <w:u w:val="single"/>
        </w:rPr>
      </w:pPr>
    </w:p>
    <w:p w14:paraId="4663DA1A">
      <w:pPr>
        <w:pStyle w:val="28"/>
        <w:ind w:firstLine="484"/>
        <w:rPr>
          <w:sz w:val="24"/>
          <w:szCs w:val="24"/>
          <w:highlight w:val="none"/>
        </w:rPr>
      </w:pPr>
      <w:r>
        <w:rPr>
          <w:rFonts w:hint="eastAsia"/>
          <w:sz w:val="24"/>
          <w:szCs w:val="24"/>
          <w:highlight w:val="none"/>
        </w:rPr>
        <w:t>供应商名称（公章）：</w:t>
      </w:r>
      <w:r>
        <w:rPr>
          <w:rFonts w:hint="eastAsia"/>
          <w:sz w:val="24"/>
          <w:szCs w:val="24"/>
          <w:highlight w:val="none"/>
          <w:u w:val="single"/>
        </w:rPr>
        <w:t xml:space="preserve">                      </w:t>
      </w:r>
    </w:p>
    <w:p w14:paraId="0299DC64">
      <w:pPr>
        <w:pStyle w:val="28"/>
        <w:ind w:firstLine="420"/>
        <w:rPr>
          <w:sz w:val="24"/>
          <w:szCs w:val="24"/>
          <w:highlight w:val="none"/>
        </w:rPr>
      </w:pPr>
    </w:p>
    <w:p w14:paraId="786BE74D">
      <w:pPr>
        <w:pStyle w:val="28"/>
        <w:ind w:firstLine="484"/>
        <w:rPr>
          <w:sz w:val="24"/>
          <w:szCs w:val="24"/>
          <w:highlight w:val="none"/>
          <w:u w:val="single"/>
        </w:rPr>
      </w:pPr>
      <w:r>
        <w:rPr>
          <w:rFonts w:hint="eastAsia"/>
          <w:sz w:val="24"/>
          <w:szCs w:val="24"/>
          <w:highlight w:val="none"/>
        </w:rPr>
        <w:t>法定代表人或委托代理人签字：</w:t>
      </w:r>
      <w:r>
        <w:rPr>
          <w:rFonts w:hint="eastAsia"/>
          <w:sz w:val="24"/>
          <w:szCs w:val="24"/>
          <w:highlight w:val="none"/>
          <w:u w:val="single"/>
        </w:rPr>
        <w:t xml:space="preserve">                           </w:t>
      </w:r>
    </w:p>
    <w:p w14:paraId="7B925BD2">
      <w:pPr>
        <w:pStyle w:val="28"/>
        <w:ind w:firstLine="422"/>
        <w:rPr>
          <w:b/>
          <w:sz w:val="24"/>
          <w:szCs w:val="24"/>
          <w:highlight w:val="none"/>
        </w:rPr>
      </w:pPr>
    </w:p>
    <w:p w14:paraId="6EC6B5FF">
      <w:pPr>
        <w:pStyle w:val="28"/>
        <w:ind w:firstLine="484"/>
        <w:rPr>
          <w:sz w:val="24"/>
          <w:szCs w:val="24"/>
          <w:highlight w:val="none"/>
          <w:u w:val="single"/>
        </w:rPr>
      </w:pPr>
      <w:r>
        <w:rPr>
          <w:rFonts w:hint="eastAsia"/>
          <w:sz w:val="24"/>
          <w:szCs w:val="24"/>
          <w:highlight w:val="none"/>
        </w:rPr>
        <w:t>日期：</w:t>
      </w:r>
      <w:r>
        <w:rPr>
          <w:rFonts w:hint="eastAsia"/>
          <w:sz w:val="24"/>
          <w:szCs w:val="24"/>
          <w:highlight w:val="none"/>
          <w:u w:val="single"/>
        </w:rPr>
        <w:t xml:space="preserve">                 </w:t>
      </w:r>
    </w:p>
    <w:p w14:paraId="08C25A6E">
      <w:pPr>
        <w:pStyle w:val="28"/>
        <w:ind w:firstLine="560"/>
        <w:rPr>
          <w:rFonts w:ascii="楷体_GB2312" w:hAnsi="华文楷体" w:eastAsia="楷体_GB2312"/>
          <w:b/>
          <w:sz w:val="28"/>
          <w:szCs w:val="28"/>
          <w:highlight w:val="none"/>
        </w:rPr>
      </w:pPr>
    </w:p>
    <w:p w14:paraId="2E711998">
      <w:pPr>
        <w:pStyle w:val="28"/>
        <w:spacing w:line="360" w:lineRule="auto"/>
        <w:ind w:firstLine="562"/>
        <w:rPr>
          <w:rFonts w:hAnsi="宋体" w:cs="宋体"/>
          <w:b/>
          <w:bCs/>
          <w:sz w:val="32"/>
          <w:szCs w:val="32"/>
          <w:highlight w:val="none"/>
        </w:rPr>
      </w:pPr>
      <w:r>
        <w:rPr>
          <w:rFonts w:hint="eastAsia" w:hAnsi="宋体" w:cs="宋体"/>
          <w:b/>
          <w:sz w:val="28"/>
          <w:szCs w:val="28"/>
          <w:highlight w:val="none"/>
        </w:rPr>
        <w:t>注：</w:t>
      </w:r>
      <w:r>
        <w:rPr>
          <w:rFonts w:hint="eastAsia" w:hAnsi="宋体" w:cs="宋体"/>
          <w:b/>
          <w:sz w:val="28"/>
          <w:szCs w:val="28"/>
          <w:highlight w:val="none"/>
          <w:lang w:eastAsia="zh-CN"/>
        </w:rPr>
        <w:t>在</w:t>
      </w:r>
      <w:r>
        <w:rPr>
          <w:rFonts w:hint="eastAsia" w:hAnsi="宋体" w:cs="宋体"/>
          <w:b/>
          <w:sz w:val="28"/>
          <w:szCs w:val="28"/>
          <w:highlight w:val="none"/>
          <w:lang w:val="en-US" w:eastAsia="zh-CN"/>
        </w:rPr>
        <w:t>开标日当天</w:t>
      </w:r>
      <w:r>
        <w:rPr>
          <w:rFonts w:hint="eastAsia" w:hAnsi="宋体" w:cs="宋体"/>
          <w:b/>
          <w:sz w:val="28"/>
          <w:szCs w:val="28"/>
          <w:highlight w:val="none"/>
        </w:rPr>
        <w:t>请</w:t>
      </w:r>
      <w:r>
        <w:rPr>
          <w:rFonts w:hint="eastAsia" w:hAnsi="宋体" w:cs="宋体"/>
          <w:b/>
          <w:sz w:val="28"/>
          <w:szCs w:val="28"/>
          <w:highlight w:val="none"/>
          <w:lang w:val="en-US" w:eastAsia="zh-CN"/>
        </w:rPr>
        <w:t>将</w:t>
      </w:r>
      <w:r>
        <w:rPr>
          <w:rFonts w:hint="eastAsia" w:hAnsi="宋体" w:cs="宋体"/>
          <w:b/>
          <w:sz w:val="28"/>
          <w:szCs w:val="28"/>
          <w:highlight w:val="none"/>
        </w:rPr>
        <w:t>银行转账回执</w:t>
      </w:r>
      <w:r>
        <w:rPr>
          <w:rFonts w:hint="eastAsia" w:hAnsi="宋体" w:cs="宋体"/>
          <w:b/>
          <w:sz w:val="28"/>
          <w:szCs w:val="28"/>
          <w:highlight w:val="none"/>
          <w:lang w:val="en-US" w:eastAsia="zh-CN"/>
        </w:rPr>
        <w:t>+退磋商保证金申请的盖章扫描件发送至邮箱291323763@qq.com（备注：公司名称+退磋商保证金申请）</w:t>
      </w:r>
      <w:r>
        <w:rPr>
          <w:rFonts w:hint="eastAsia" w:hAnsi="宋体" w:cs="宋体"/>
          <w:b/>
          <w:sz w:val="28"/>
          <w:szCs w:val="28"/>
          <w:highlight w:val="none"/>
        </w:rPr>
        <w:t>。（保证金退还联系电话：0771-8028710）</w:t>
      </w:r>
    </w:p>
    <w:p w14:paraId="71F34482">
      <w:pPr>
        <w:pStyle w:val="20"/>
        <w:rPr>
          <w:rFonts w:hint="eastAsia"/>
          <w:highlight w:val="none"/>
        </w:rPr>
      </w:pPr>
    </w:p>
    <w:p w14:paraId="733D8C58">
      <w:pPr>
        <w:spacing w:before="4"/>
        <w:rPr>
          <w:rFonts w:hint="eastAsia" w:ascii="宋体" w:hAnsi="宋体" w:cs="宋体"/>
          <w:color w:val="auto"/>
          <w:sz w:val="6"/>
          <w:szCs w:val="6"/>
          <w:highlight w:val="none"/>
        </w:rPr>
      </w:pPr>
    </w:p>
    <w:p w14:paraId="61AFBB82">
      <w:pPr>
        <w:rPr>
          <w:rFonts w:hint="default"/>
          <w:highlight w:val="none"/>
          <w:lang w:val="en-US" w:eastAsia="zh-CN"/>
        </w:rPr>
      </w:pPr>
    </w:p>
    <w:sectPr>
      <w:headerReference r:id="rId16" w:type="default"/>
      <w:footerReference r:id="rId17" w:type="default"/>
      <w:pgSz w:w="11910" w:h="16850"/>
      <w:pgMar w:top="1417" w:right="1417" w:bottom="1417" w:left="1417" w:header="876" w:footer="861" w:gutter="0"/>
      <w:cols w:space="720" w:num="1"/>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mc:Ignorable="w14">
  <w:font w:name="Times New Roman">
    <w:panose1 w:val="02020603050405020304"/>
    <w:charset w:val="86"/>
    <w:family w:val="auto"/>
    <w:pitch w:val="default"/>
    <w:sig w:usb0="E0002EFF" w:usb1="C000785B" w:usb2="00000009" w:usb3="00000000" w:csb0="400001FF" w:csb1="FFFF0000"/>
  </w:font>
  <w:font w:name="宋体">
    <w:panose1 w:val="02010600030101010101"/>
    <w:charset w:val="30"/>
    <w:family w:val="auto"/>
    <w:pitch w:val="default"/>
    <w:sig w:usb0="00000203" w:usb1="288F0000" w:usb2="00000006" w:usb3="00000000" w:csb0="00040001" w:csb1="00000000"/>
  </w:font>
  <w:font w:name="Wingdings">
    <w:panose1 w:val="05000000000000000000"/>
    <w:charset w:val="02"/>
    <w:family w:val="auto"/>
    <w:pitch w:val="default"/>
    <w:sig w:usb0="00000000" w:usb1="00000000" w:usb2="00000000" w:usb3="00000000" w:csb0="80000000" w:csb1="00000000"/>
  </w:font>
  <w:font w:name="Arial">
    <w:panose1 w:val="020B0604020202020204"/>
    <w:charset w:val="01"/>
    <w:family w:val="swiss"/>
    <w:pitch w:val="default"/>
    <w:sig w:usb0="E0002EFF" w:usb1="C000785B" w:usb2="00000009" w:usb3="00000000" w:csb0="400001FF" w:csb1="FFFF0000"/>
  </w:font>
  <w:font w:name="黑体">
    <w:panose1 w:val="02010609060101010101"/>
    <w:charset w:val="86"/>
    <w:family w:val="auto"/>
    <w:pitch w:val="default"/>
    <w:sig w:usb0="800002BF" w:usb1="38CF7CFA" w:usb2="00000016" w:usb3="00000000" w:csb0="00040001" w:csb1="00000000"/>
  </w:font>
  <w:font w:name="Courier New">
    <w:panose1 w:val="02070309020205020404"/>
    <w:charset w:val="01"/>
    <w:family w:val="modern"/>
    <w:pitch w:val="default"/>
    <w:sig w:usb0="E0002EFF" w:usb1="C0007843" w:usb2="00000009" w:usb3="00000000" w:csb0="400001FF" w:csb1="FFFF0000"/>
  </w:font>
  <w:font w:name="Symbol">
    <w:panose1 w:val="05050102010706020507"/>
    <w:charset w:val="02"/>
    <w:family w:val="roman"/>
    <w:pitch w:val="default"/>
    <w:sig w:usb0="00000000" w:usb1="00000000" w:usb2="00000000" w:usb3="00000000" w:csb0="80000000" w:csb1="00000000"/>
  </w:font>
  <w:font w:name="Calibri">
    <w:panose1 w:val="020F0502020204030204"/>
    <w:charset w:val="00"/>
    <w:family w:val="swiss"/>
    <w:pitch w:val="default"/>
    <w:sig w:usb0="E4002EFF" w:usb1="C000247B" w:usb2="00000009" w:usb3="00000000" w:csb0="200001FF" w:csb1="00000000"/>
  </w:font>
  <w:font w:name="Cambria">
    <w:panose1 w:val="02040503050406030204"/>
    <w:charset w:val="00"/>
    <w:family w:val="auto"/>
    <w:pitch w:val="default"/>
    <w:sig w:usb0="E00006FF" w:usb1="420024FF" w:usb2="02000000" w:usb3="00000000" w:csb0="2000019F" w:csb1="00000000"/>
  </w:font>
  <w:font w:name="MingLiU">
    <w:altName w:val="Segoe Print"/>
    <w:panose1 w:val="02020609040205080304"/>
    <w:charset w:val="00"/>
    <w:family w:val="auto"/>
    <w:pitch w:val="default"/>
    <w:sig w:usb0="00000000" w:usb1="00000000" w:usb2="00000000" w:usb3="00000000" w:csb0="00000000" w:csb1="00000000"/>
  </w:font>
  <w:font w:name="Segoe Print">
    <w:panose1 w:val="02000600000000000000"/>
    <w:charset w:val="00"/>
    <w:family w:val="auto"/>
    <w:pitch w:val="default"/>
    <w:sig w:usb0="0000028F" w:usb1="00000000" w:usb2="00000000" w:usb3="00000000" w:csb0="2000009F" w:csb1="47010000"/>
  </w:font>
  <w:font w:name="Impact">
    <w:panose1 w:val="020B0806030902050204"/>
    <w:charset w:val="00"/>
    <w:family w:val="auto"/>
    <w:pitch w:val="default"/>
    <w:sig w:usb0="00000287" w:usb1="00000000" w:usb2="00000000" w:usb3="00000000" w:csb0="2000009F" w:csb1="DFD70000"/>
  </w:font>
  <w:font w:name="CordiaUPC">
    <w:altName w:val="Segoe Print"/>
    <w:panose1 w:val="020B0604020202020204"/>
    <w:charset w:val="00"/>
    <w:family w:val="auto"/>
    <w:pitch w:val="default"/>
    <w:sig w:usb0="00000000" w:usb1="00000000" w:usb2="00000000" w:usb3="00000000" w:csb0="00000000" w:csb1="00000000"/>
  </w:font>
  <w:font w:name="_x000B__x000C_">
    <w:altName w:val="Segoe Print"/>
    <w:panose1 w:val="020B0603030804020204"/>
    <w:charset w:val="00"/>
    <w:family w:val="auto"/>
    <w:pitch w:val="default"/>
    <w:sig w:usb0="00000000" w:usb1="00000000" w:usb2="00000000" w:usb3="00000000" w:csb0="00000000" w:csb1="00000000"/>
  </w:font>
  <w:font w:name="仿宋_GB2312">
    <w:altName w:val="仿宋"/>
    <w:panose1 w:val="02010609030101010101"/>
    <w:charset w:val="00"/>
    <w:family w:val="auto"/>
    <w:pitch w:val="default"/>
    <w:sig w:usb0="00000000" w:usb1="00000000" w:usb2="00000000" w:usb3="00000000" w:csb0="00000000" w:csb1="00000000"/>
  </w:font>
  <w:font w:name="仿宋">
    <w:panose1 w:val="02010609060101010101"/>
    <w:charset w:val="86"/>
    <w:family w:val="auto"/>
    <w:pitch w:val="default"/>
    <w:sig w:usb0="800002BF" w:usb1="38CF7CFA" w:usb2="00000016" w:usb3="00000000" w:csb0="00040001" w:csb1="00000000"/>
  </w:font>
  <w:font w:name="Tahoma">
    <w:panose1 w:val="020B0604030504040204"/>
    <w:charset w:val="00"/>
    <w:family w:val="auto"/>
    <w:pitch w:val="default"/>
    <w:sig w:usb0="E1002EFF" w:usb1="C000605B" w:usb2="00000029" w:usb3="00000000" w:csb0="200101FF" w:csb1="20280000"/>
  </w:font>
  <w:font w:name="Arial Unicode MS">
    <w:altName w:val="Arial"/>
    <w:panose1 w:val="020B0604020202020204"/>
    <w:charset w:val="00"/>
    <w:family w:val="auto"/>
    <w:pitch w:val="default"/>
    <w:sig w:usb0="00000000" w:usb1="00000000" w:usb2="00000000" w:usb3="00000000" w:csb0="00000000" w:csb1="00000000"/>
  </w:font>
  <w:font w:name="楷体">
    <w:panose1 w:val="02010609060101010101"/>
    <w:charset w:val="86"/>
    <w:family w:val="auto"/>
    <w:pitch w:val="default"/>
    <w:sig w:usb0="800002BF" w:usb1="38CF7CFA" w:usb2="00000016" w:usb3="00000000" w:csb0="00040001" w:csb1="00000000"/>
  </w:font>
  <w:font w:name="Verdana">
    <w:panose1 w:val="020B0604030504040204"/>
    <w:charset w:val="00"/>
    <w:family w:val="auto"/>
    <w:pitch w:val="default"/>
    <w:sig w:usb0="A00006FF" w:usb1="4000205B" w:usb2="00000010" w:usb3="00000000" w:csb0="2000019F" w:csb1="00000000"/>
  </w:font>
  <w:font w:name="华文细黑">
    <w:altName w:val="微软雅黑"/>
    <w:panose1 w:val="02010600040101010101"/>
    <w:charset w:val="00"/>
    <w:family w:val="auto"/>
    <w:pitch w:val="default"/>
    <w:sig w:usb0="00000000" w:usb1="00000000" w:usb2="00000000" w:usb3="00000000" w:csb0="00000000" w:csb1="00000000"/>
  </w:font>
  <w:font w:name="微软雅黑">
    <w:panose1 w:val="020B0503020204020204"/>
    <w:charset w:val="86"/>
    <w:family w:val="auto"/>
    <w:pitch w:val="default"/>
    <w:sig w:usb0="80000287" w:usb1="2ACF3C50" w:usb2="00000016" w:usb3="00000000" w:csb0="0004001F" w:csb1="00000000"/>
  </w:font>
  <w:font w:name="¿¬Ìå">
    <w:altName w:val="Segoe Print"/>
    <w:panose1 w:val="020B0603030804020204"/>
    <w:charset w:val="00"/>
    <w:family w:val="auto"/>
    <w:pitch w:val="default"/>
    <w:sig w:usb0="00000000" w:usb1="00000000" w:usb2="00000000" w:usb3="00000000" w:csb0="00000000" w:csb1="00000000"/>
  </w:font>
  <w:font w:name="Noto Sans CJK JP Regular">
    <w:altName w:val="Segoe Print"/>
    <w:panose1 w:val="020B0603030804020204"/>
    <w:charset w:val="00"/>
    <w:family w:val="auto"/>
    <w:pitch w:val="default"/>
    <w:sig w:usb0="00000000" w:usb1="00000000" w:usb2="00000000" w:usb3="00000000" w:csb0="00000000" w:csb1="00000000"/>
  </w:font>
  <w:font w:name="楷体_GB2312">
    <w:altName w:val="楷体"/>
    <w:panose1 w:val="02010609030101010101"/>
    <w:charset w:val="00"/>
    <w:family w:val="auto"/>
    <w:pitch w:val="default"/>
    <w:sig w:usb0="00000000" w:usb1="00000000" w:usb2="00000000" w:usb3="00000000" w:csb0="00000000" w:csb1="00000000"/>
  </w:font>
  <w:font w:name="方正小标宋简体">
    <w:altName w:val="黑体"/>
    <w:panose1 w:val="02000000000000000000"/>
    <w:charset w:val="00"/>
    <w:family w:val="auto"/>
    <w:pitch w:val="default"/>
    <w:sig w:usb0="00000000" w:usb1="00000000" w:usb2="00000000" w:usb3="00000000" w:csb0="00000000" w:csb1="00000000"/>
  </w:font>
  <w:font w:name="新宋体">
    <w:panose1 w:val="02010609030101010101"/>
    <w:charset w:val="86"/>
    <w:family w:val="auto"/>
    <w:pitch w:val="default"/>
    <w:sig w:usb0="00000203" w:usb1="288F0000" w:usb2="00000006" w:usb3="00000000" w:csb0="00040001" w:csb1="00000000"/>
  </w:font>
  <w:font w:name="等线">
    <w:panose1 w:val="02010600030101010101"/>
    <w:charset w:val="86"/>
    <w:family w:val="auto"/>
    <w:pitch w:val="default"/>
    <w:sig w:usb0="A00002BF" w:usb1="38CF7CFA" w:usb2="00000016" w:usb3="00000000" w:csb0="0004000F" w:csb1="00000000"/>
  </w:font>
  <w:font w:name="华文楷体">
    <w:altName w:val="宋体"/>
    <w:panose1 w:val="02010800040101010101"/>
    <w:charset w:val="00"/>
    <w:family w:val="auto"/>
    <w:pitch w:val="default"/>
    <w:sig w:usb0="00000000" w:usb1="00000000" w:usb2="00000000" w:usb3="00000000" w:csb0="00000000" w:csb1="00000000"/>
  </w:font>
  <w:font w:name="Arial">
    <w:panose1 w:val="020B0604020202020204"/>
    <w:charset w:val="00"/>
    <w:family w:val="auto"/>
    <w:pitch w:val="default"/>
    <w:sig w:usb0="E0002EFF" w:usb1="C000785B" w:usb2="00000009" w:usb3="00000000" w:csb0="400001FF" w:csb1="FFFF0000"/>
  </w:font>
</w:fonts>
</file>

<file path=word/footer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0A6C78">
    <w:pPr>
      <w:pStyle w:val="35"/>
      <w:tabs>
        <w:tab w:val="clear" w:pos="4153"/>
      </w:tabs>
      <w:jc w:val="center"/>
    </w:pPr>
  </w:p>
</w:ftr>
</file>

<file path=word/footer10.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6ED59F9">
    <w:pPr>
      <w:pStyle w:val="35"/>
    </w:pPr>
    <w:r>
      <w:rPr>
        <w:sz w:val="18"/>
      </w:rPr>
      <mc:AlternateContent>
        <mc:Choice Requires="wps">
          <w:drawing>
            <wp:anchor distT="0" distB="0" distL="114300" distR="114300" simplePos="0" relativeHeight="251668480" behindDoc="0" locked="0" layoutInCell="1" allowOverlap="1">
              <wp:simplePos x="0" y="0"/>
              <wp:positionH relativeFrom="margin">
                <wp:align>center</wp:align>
              </wp:positionH>
              <wp:positionV relativeFrom="paragraph">
                <wp:posOffset>0</wp:posOffset>
              </wp:positionV>
              <wp:extent cx="1828800" cy="1828800"/>
              <wp:effectExtent l="0" t="0" r="0" b="0"/>
              <wp:wrapNone/>
              <wp:docPr id="9" name="文本框 17"/>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8C66FBB">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7" o:spid="_x0000_s1026" o:spt="202" type="#_x0000_t202" style="position:absolute;left:0pt;margin-top:0pt;height:144pt;width:144pt;mso-position-horizontal:center;mso-position-horizontal-relative:margin;mso-wrap-style:none;z-index:25166848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ENCD8Y9AgAAcAQAAA4AAABkcnMvZTJvRG9jLnhtbK1UwY7TMBC9I/EP&#10;lu806SKWEjVdla2KkAq7UkGcXcdpLNkey3ablA+AP+DEhTvf1e9g7CQFLRz2wMWaeMZv5r2Zyfym&#10;04ochfMSTEmnk5wSYThU0uxL+vHD+tmMEh+YqZgCI0p6Ep7eLJ4+mbe2EFfQgKqEIwhifNHakjYh&#10;2CLLPG+EZn4CVhh01uA0C/jp9lnlWIvoWmVXeX6dteAq64AL7/F21TvpgOgeAwh1LblYAT9oYUKP&#10;6oRiASn5RlpPF6nauhY83NW1F4GokiLTkE5MgvYuntlizoq9Y7aRfCiBPaaEB5w0kwaTXqBWLDBy&#10;cPIvKC25Aw91mHDQWU8kKYIspvkDbbYNsyJxQam9vYju/x8sf3+8d0RWJX1FiWEaG37+9vX8/ef5&#10;xxcyfRn1aa0vMGxrMTB0r6HDqRnvfbzcte+gwofsECCJ0NVORzGQHsFo1Pp00Vp0gfAIMbuazXJ0&#10;cfSNH5gtY8X43Dof3gjQJBolddjMBM+OGx/60DEkZjOwlkqlhipD2pJeP3+RpwcXD4IrgzkipVh6&#10;Ty50u27guYPqhIwc9IPiLV9LTL5hPtwzh5OBBePuhDs8agWYBAaLkgbc53/dx3hsGHopaXHSSmpw&#10;sShRbw02EgHDaLjR2I2GOehbwNGd4k5ankx84IIazdqB/oQLtYw50MUMx0wlDaN5G/ppx4XkYrlM&#10;QQfr5L7pH+AYWhY2Zmt5TBOF9HaJnVzLpHGUqldl0A0HMXVpWJo46X9+p6jfP4rF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DQg/GPQIAAHAEAAAOAAAAAAAAAAEAIAAAAB8BAABkcnMvZTJv&#10;RG9jLnhtbFBLBQYAAAAABgAGAFkBAADOBQAAAAA=&#10;">
              <v:fill on="f" focussize="0,0"/>
              <v:stroke on="f" weight="0.5pt"/>
              <v:imagedata o:title=""/>
              <o:lock v:ext="edit" aspectratio="f"/>
              <v:textbox inset="0mm,0mm,0mm,0mm" style="mso-fit-shape-to-text:t;">
                <w:txbxContent>
                  <w:p w14:paraId="58C66FBB">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110</w:t>
                    </w:r>
                    <w:r>
                      <w:rPr>
                        <w:rFonts w:hint="eastAsia"/>
                        <w:lang w:eastAsia="zh-CN"/>
                      </w:rPr>
                      <w:fldChar w:fldCharType="end"/>
                    </w:r>
                  </w:p>
                </w:txbxContent>
              </v:textbox>
            </v:shape>
          </w:pict>
        </mc:Fallback>
      </mc:AlternateContent>
    </w:r>
  </w:p>
</w:ftr>
</file>

<file path=word/footer11.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E2679A5">
    <w:pPr>
      <w:pStyle w:val="35"/>
      <w:jc w:val="center"/>
    </w:pPr>
    <w:r>
      <w:rPr>
        <w:sz w:val="18"/>
      </w:rPr>
      <mc:AlternateContent>
        <mc:Choice Requires="wps">
          <w:drawing>
            <wp:anchor distT="0" distB="0" distL="114300" distR="114300" simplePos="0" relativeHeight="251669504" behindDoc="0" locked="0" layoutInCell="1" allowOverlap="1">
              <wp:simplePos x="0" y="0"/>
              <wp:positionH relativeFrom="margin">
                <wp:align>center</wp:align>
              </wp:positionH>
              <wp:positionV relativeFrom="paragraph">
                <wp:posOffset>0</wp:posOffset>
              </wp:positionV>
              <wp:extent cx="1828800" cy="1828800"/>
              <wp:effectExtent l="0" t="0" r="0" b="0"/>
              <wp:wrapNone/>
              <wp:docPr id="10" name="文本框 18"/>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D76D158">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8" o:spid="_x0000_s1026" o:spt="202" type="#_x0000_t202" style="position:absolute;left:0pt;margin-top:0pt;height:144pt;width:144pt;mso-position-horizontal:center;mso-position-horizontal-relative:margin;mso-wrap-style:none;z-index:25166950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5JhTE9AgAAcQQAAA4AAABkcnMvZTJvRG9jLnhtbK1UwW4TMRC9I/EP&#10;lu9kkyKqKOqmCo2CkAqtVBBnx+vNWrI9lu10t3wA/AEnLtz5rnwHz7vZgAqHHrhYs57xm3lvZvbi&#10;srOG3asQNbmSzyZTzpSTVGm3K/nHD5sXc85iEq4Shpwq+YOK/HL5/NlF6xfqjBoylQoMIC4uWl/y&#10;JiW/KIooG2VFnJBXDs6aghUJn2FXVEG0QLemOJtOz4uWQuUDSRUjbteDkx8Rw1MAqa61VGuSe6tc&#10;GlCDMiKBUmy0j3zZV1vXSqabuo4qMVNyME39iSSwt/kslhdisQvCN1oeSxBPKeERJyu0Q9IT1Fok&#10;wfZB/wVltQwUqU4TSbYYiPSKgMVs+kibu0Z41XOB1NGfRI//D1a+v78NTFeYBEjihEXHD9++Hr7/&#10;PPz4wmbzLFDr4wJxdx6RqXtNHYLH+5gvt+07qvBQ7BP1KnR1sFkN8GOIBvLDSWzVJSYzxPxsPp/C&#10;JeEbP5CtEIvxuQ8xvVFkWTZKHtDNHl7cX8c0hI4hOZujjTam76hxrC35+ctX0/7ByQNw45AjU8ql&#10;D+RSt+2OPLdUPYBRoGFSopcbjeTXIqZbETAaKBjLk25w1IaQhI4WZw2Fz/+6z/HoGLyctRi1kjts&#10;FmfmrUMnAZhGI4zGdjTc3l4RZneGpfSyN/EgJDOadSD7CRu1yjngEk4iU8nTaF6lYdyxkVKtVn3Q&#10;3ge9a4YHmEMv0rW78zKnyUJGv0InN7rXOEs1qHLUDZPYd+m4NXnU//zuo37/KZ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uSYUxPQIAAHEEAAAOAAAAAAAAAAEAIAAAAB8BAABkcnMvZTJv&#10;RG9jLnhtbFBLBQYAAAAABgAGAFkBAADOBQAAAAA=&#10;">
              <v:fill on="f" focussize="0,0"/>
              <v:stroke on="f" weight="0.5pt"/>
              <v:imagedata o:title=""/>
              <o:lock v:ext="edit" aspectratio="f"/>
              <v:textbox inset="0mm,0mm,0mm,0mm" style="mso-fit-shape-to-text:t;">
                <w:txbxContent>
                  <w:p w14:paraId="4D76D158">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131</w:t>
                    </w:r>
                    <w:r>
                      <w:rPr>
                        <w:rFonts w:hint="eastAsia"/>
                        <w:lang w:eastAsia="zh-CN"/>
                      </w:rPr>
                      <w:fldChar w:fldCharType="end"/>
                    </w:r>
                  </w:p>
                </w:txbxContent>
              </v:textbox>
            </v:shape>
          </w:pict>
        </mc:Fallback>
      </mc:AlternateContent>
    </w:r>
  </w:p>
  <w:p w14:paraId="0BA9DBEB">
    <w:pPr>
      <w:pStyle w:val="35"/>
    </w:pPr>
  </w:p>
</w:ftr>
</file>

<file path=word/footer2.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2FBCF958">
    <w:pPr>
      <w:pStyle w:val="35"/>
      <w:tabs>
        <w:tab w:val="center" w:pos="4439"/>
        <w:tab w:val="clear" w:pos="4153"/>
      </w:tabs>
      <w:jc w:val="both"/>
    </w:pPr>
    <w:r>
      <w:rPr>
        <w:sz w:val="18"/>
      </w:rPr>
      <mc:AlternateContent>
        <mc:Choice Requires="wps">
          <w:drawing>
            <wp:anchor distT="0" distB="0" distL="114300" distR="114300" simplePos="0" relativeHeight="251661312" behindDoc="0" locked="0" layoutInCell="1" allowOverlap="1">
              <wp:simplePos x="0" y="0"/>
              <wp:positionH relativeFrom="margin">
                <wp:align>center</wp:align>
              </wp:positionH>
              <wp:positionV relativeFrom="paragraph">
                <wp:posOffset>0</wp:posOffset>
              </wp:positionV>
              <wp:extent cx="1828800" cy="1828800"/>
              <wp:effectExtent l="0" t="0" r="0" b="0"/>
              <wp:wrapNone/>
              <wp:docPr id="1" name="文本框 10"/>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695E6E42">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0" o:spid="_x0000_s1026" o:spt="202" type="#_x0000_t202" style="position:absolute;left:0pt;margin-top:0pt;height:144pt;width:144pt;mso-position-horizontal:center;mso-position-horizontal-relative:margin;mso-wrap-style:none;z-index:25166131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PtdV9M7AgAAcAQAAA4AAABkcnMvZTJvRG9jLnhtbK1UwW7UMBC9I/EP&#10;lu802yKq1arZamm1CKnQSgVx9jrOxpLtsWxvk/IB8AecuHDnu/odPDubBRUOPXCxJp7xm3lvZnJ2&#10;PljD7lSImlzNj49mnCknqdFuW/OPH9Yv5pzFJFwjDDlV83sV+fny+bOz3i/UCXVkGhUYQFxc9L7m&#10;XUp+UVVRdsqKeEReOThbClYkfIZt1QTRA92a6mQ2O616Co0PJFWMuL0cnXyPGJ4CSG2rpbokubPK&#10;pRE1KCMSKMVO+8iXpdq2VTJdt21UiZmag2kqJ5LA3uSzWp6JxTYI32m5L0E8pYRHnKzQDkkPUJci&#10;CbYL+i8oq2WgSG06kmSrkUhRBCyOZ4+0ue2EV4ULpI7+IHr8f7Dy/d1NYLrBJHDmhEXDH759ffj+&#10;8+HHF3Zc9Ol9XCDs1iMwDa9pyLHQLd/HfLnp31GDh2KXqIgwtMFmMUCPIRpa3x+0VkNiMkPMT+bz&#10;GVwSvukDqJVYTM99iOmNIsuyUfOAZhZ4cXcV0xg6heRsjtbamNJQ41hf89OXr2blwcEDcOOQYyp9&#10;JJGGzbDns6HmHowCjYMSvVxrJL8SMd2IgMlAwdiddI2jNYQktLc46yh8/td9jkfD4OWsx6TV3GGx&#10;ODNvHRoJwDQZYTI2k+F29oIwumgOaikmHoRkJrMNZD9hoVY5B1zCSWSqeZrMizROOxZSqtWqBO18&#10;0NtufIAx9CJduVsvc5osZPQrdHKti8ZZqlGVvW4YxNKl/dLkSf/zu0T9/lEsfwFQSwMECgAAAAAA&#10;h07iQAAAAAAAAAAAAAAAAAYAAABfcmVscy9QSwMEFAAAAAgAh07iQIoUZjzRAAAAlAEAAAsAAABf&#10;cmVscy8ucmVsc6WQwWrDMAyG74O9g9F9cZrDGKNOL6PQa+kewNiKYxpbRjLZ+vbzDoNl9LajfqHv&#10;E//+8JkWtSJLpGxg1/WgMDvyMQcD75fj0wsoqTZ7u1BGAzcUOIyPD/szLra2I5ljEdUoWQzMtZZX&#10;rcXNmKx0VDC3zUScbG0jB12su9qAeuj7Z82/GTBumOrkDfDJD6Aut9LMf9gpOiahqXaOkqZpiu4e&#10;VQe2ZY7uyDbhG7lGsxywGvAsGgdqWdd+BH1fv/un3tNHPuO61X6HjOuPV2+6HL8AUEsDBBQAAAAI&#10;AIdO4kB+5uUg9wAAAOEBAAATAAAAW0NvbnRlbnRfVHlwZXNdLnhtbJWRQU7DMBBF90jcwfIWJU67&#10;QAgl6YK0S0CoHGBkTxKLZGx5TGhvj5O2G0SRWNoz/78nu9wcxkFMGNg6quQqL6RA0s5Y6ir5vt9l&#10;D1JwBDIwOMJKHpHlpr69KfdHjyxSmriSfYz+USnWPY7AufNIadK6MEJMx9ApD/oDOlTrorhX2lFE&#10;ilmcO2RdNtjC5xDF9pCuTyYBB5bi6bQ4syoJ3g9WQ0ymaiLzg5KdCXlKLjvcW893SUOqXwnz5Drg&#10;nHtJTxOsQfEKIT7DmDSUCayM+6KAU/53yWw5cuba1mrMm8BNir3hdLG61o5r1zj93/Ltkrp0q+WD&#10;6m9QSwECFAAUAAAACACHTuJAfublIPcAAADhAQAAEwAAAAAAAAABACAAAACkBAAAW0NvbnRlbnRf&#10;VHlwZXNdLnhtbFBLAQIUAAoAAAAAAIdO4kAAAAAAAAAAAAAAAAAGAAAAAAAAAAAAEAAAAIYDAABf&#10;cmVscy9QSwECFAAUAAAACACHTuJAihRmPNEAAACUAQAACwAAAAAAAAABACAAAACqAwAAX3JlbHMv&#10;LnJlbHNQSwECFAAKAAAAAACHTuJAAAAAAAAAAAAAAAAABAAAAAAAAAAAABAAAAAAAAAAZHJzL1BL&#10;AQIUABQAAAAIAIdO4kCzSVju0AAAAAUBAAAPAAAAAAAAAAEAIAAAACIAAABkcnMvZG93bnJldi54&#10;bWxQSwECFAAUAAAACACHTuJA+11X0zsCAABwBAAADgAAAAAAAAABACAAAAAfAQAAZHJzL2Uyb0Rv&#10;Yy54bWxQSwUGAAAAAAYABgBZAQAAzAUAAAAA&#10;">
              <v:fill on="f" focussize="0,0"/>
              <v:stroke on="f" weight="0.5pt"/>
              <v:imagedata o:title=""/>
              <o:lock v:ext="edit" aspectratio="f"/>
              <v:textbox inset="0mm,0mm,0mm,0mm" style="mso-fit-shape-to-text:t;">
                <w:txbxContent>
                  <w:p w14:paraId="695E6E42">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2</w:t>
                    </w:r>
                    <w:r>
                      <w:rPr>
                        <w:rFonts w:hint="eastAsia"/>
                        <w:lang w:eastAsia="zh-CN"/>
                      </w:rPr>
                      <w:fldChar w:fldCharType="end"/>
                    </w:r>
                  </w:p>
                </w:txbxContent>
              </v:textbox>
            </v:shape>
          </w:pict>
        </mc:Fallback>
      </mc:AlternateContent>
    </w:r>
  </w:p>
</w:ftr>
</file>

<file path=word/footer3.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022926A">
    <w:pPr>
      <w:pStyle w:val="35"/>
      <w:jc w:val="center"/>
    </w:pPr>
    <w:r>
      <w:rPr>
        <w:sz w:val="18"/>
      </w:rPr>
      <mc:AlternateContent>
        <mc:Choice Requires="wps">
          <w:drawing>
            <wp:anchor distT="0" distB="0" distL="114300" distR="114300" simplePos="0" relativeHeight="251662336" behindDoc="0" locked="0" layoutInCell="1" allowOverlap="1">
              <wp:simplePos x="0" y="0"/>
              <wp:positionH relativeFrom="margin">
                <wp:align>center</wp:align>
              </wp:positionH>
              <wp:positionV relativeFrom="paragraph">
                <wp:posOffset>0</wp:posOffset>
              </wp:positionV>
              <wp:extent cx="1828800" cy="1828800"/>
              <wp:effectExtent l="0" t="0" r="0" b="0"/>
              <wp:wrapNone/>
              <wp:docPr id="2" name="文本框 11"/>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2E9E6D0">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1" o:spid="_x0000_s1026" o:spt="202" type="#_x0000_t202" style="position:absolute;left:0pt;margin-top:0pt;height:144pt;width:144pt;mso-position-horizontal:center;mso-position-horizontal-relative:margin;mso-wrap-style:none;z-index:25166233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MsjfPw9AgAAcAQAAA4AAABkcnMvZTJvRG9jLnhtbK1UwY7TMBC9I/EP&#10;lu80aRGrKmq6KlsVIRV2pYI4u47TWLI9lu02KR8Af8CJC3e+q9/B2EkKWjjsgYs18YzfzHszk8Vt&#10;pxU5CeclmJJOJzklwnCopDmU9OOHzYs5JT4wUzEFRpT0LDy9XT5/tmhtIWbQgKqEIwhifNHakjYh&#10;2CLLPG+EZn4CVhh01uA0C/jpDlnlWIvoWmWzPL/JWnCVdcCF93i77p10QHRPAYS6llysgR+1MKFH&#10;dUKxgJR8I62ny1RtXQse7uvai0BUSZFpSCcmQXsfz2y5YMXBMdtIPpTAnlLCI06aSYNJr1BrFhg5&#10;OvkXlJbcgYc6TDjorCeSFEEW0/yRNruGWZG4oNTeXkX3/w+Wvz89OCKrks4oMUxjwy/fvl6+/7z8&#10;+EKm06hPa32BYTuLgaF7DR1OzXjv4+W+fQcVPmTHAEmErnY6ioH0CEaj1uer1qILhEeI+Ww+z9HF&#10;0Td+YLaMFeNz63x4I0CTaJTUYTMTPDttfehDx5CYzcBGKpUaqgxpS3rz8lWeHlw9CK4M5oiUYuk9&#10;udDtu4HnHqozMnLQD4q3fCMx+Zb58MAcTgYWjLsT7vGoFWASGCxKGnCf/3Uf47Fh6KWkxUkrqcHF&#10;okS9NdhIBAyj4UZjPxrmqO8AR3eKO2l5MvGBC2o0awf6Ey7UKuZAFzMcM5U0jOZd6KcdF5KL1SoF&#10;Ha2Th6Z/gGNoWdianeUxTRTS2xV2ciOTxlGqXpVBNxzE1KVhaeKk//mdon7/KJa/AF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DLI3z8PQIAAHAEAAAOAAAAAAAAAAEAIAAAAB8BAABkcnMvZTJv&#10;RG9jLnhtbFBLBQYAAAAABgAGAFkBAADOBQAAAAA=&#10;">
              <v:fill on="f" focussize="0,0"/>
              <v:stroke on="f" weight="0.5pt"/>
              <v:imagedata o:title=""/>
              <o:lock v:ext="edit" aspectratio="f"/>
              <v:textbox inset="0mm,0mm,0mm,0mm" style="mso-fit-shape-to-text:t;">
                <w:txbxContent>
                  <w:p w14:paraId="72E9E6D0">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9</w:t>
                    </w:r>
                    <w:r>
                      <w:rPr>
                        <w:rFonts w:hint="eastAsia"/>
                        <w:lang w:eastAsia="zh-CN"/>
                      </w:rPr>
                      <w:fldChar w:fldCharType="end"/>
                    </w:r>
                  </w:p>
                </w:txbxContent>
              </v:textbox>
            </v:shape>
          </w:pict>
        </mc:Fallback>
      </mc:AlternateContent>
    </w:r>
  </w:p>
</w:ftr>
</file>

<file path=word/footer4.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8A3D88B">
    <w:pPr>
      <w:pStyle w:val="35"/>
    </w:pPr>
    <w:r>
      <mc:AlternateContent>
        <mc:Choice Requires="wps">
          <w:drawing>
            <wp:anchor distT="0" distB="0" distL="114300" distR="114300" simplePos="0" relativeHeight="251660288" behindDoc="0" locked="0" layoutInCell="1" allowOverlap="1">
              <wp:simplePos x="0" y="0"/>
              <wp:positionH relativeFrom="margin">
                <wp:align>center</wp:align>
              </wp:positionH>
              <wp:positionV relativeFrom="paragraph">
                <wp:posOffset>0</wp:posOffset>
              </wp:positionV>
              <wp:extent cx="1828800" cy="1828800"/>
              <wp:effectExtent l="0" t="0" r="0" b="0"/>
              <wp:wrapNone/>
              <wp:docPr id="3" name="文本框 512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a:noFill/>
                      </a:ln>
                      <a:effectLst/>
                    </wps:spPr>
                    <wps:txbx>
                      <w:txbxContent>
                        <w:p w14:paraId="136380EA">
                          <w:pPr>
                            <w:pStyle w:val="35"/>
                          </w:pPr>
                          <w:r>
                            <w:fldChar w:fldCharType="begin"/>
                          </w:r>
                          <w:r>
                            <w:instrText xml:space="preserve"> PAGE  \* MERGEFORMAT </w:instrText>
                          </w:r>
                          <w:r>
                            <w:fldChar w:fldCharType="separate"/>
                          </w:r>
                          <w:r>
                            <w:t>63</w:t>
                          </w:r>
                          <w:r>
                            <w:fldChar w:fldCharType="end"/>
                          </w:r>
                        </w:p>
                      </w:txbxContent>
                    </wps:txbx>
                    <wps:bodyPr wrap="none" lIns="0" tIns="0" rIns="0" bIns="0" upright="1">
                      <a:spAutoFit/>
                    </wps:bodyPr>
                  </wps:wsp>
                </a:graphicData>
              </a:graphic>
            </wp:anchor>
          </w:drawing>
        </mc:Choice>
        <mc:Fallback>
          <w:pict>
            <v:shape id="文本框 5122" o:spid="_x0000_s1026" o:spt="202" type="#_x0000_t202" style="position:absolute;left:0pt;margin-top:0pt;height:144pt;width:144pt;mso-position-horizontal:center;mso-position-horizontal-relative:margin;mso-wrap-style:none;z-index:251660288;mso-width-relative:page;mso-height-relative:page;" filled="f" stroked="f" coordsize="21600,21600" o:gfxdata="UEsDBAoAAAAAAIdO4kAAAAAAAAAAAAAAAAAEAAAAZHJzL1BLAwQUAAAACACHTuJAzql5uc8AAAAF&#10;AQAADwAAAGRycy9kb3ducmV2LnhtbE2PMWvDMBCF90L/g7hAt0ZOhtY4ljMEsnRLWgrdFOtimUgn&#10;IymO/e9zLYV2Oe7xjnffq7eTd2LEmPpAClbLAgRSG0xPnYKP9/1zCSJlTUa7QKhgxgTb5vGh1pUJ&#10;NzrgeMyd4BBKlVZgcx4qKVNr0eu0DAMSe+cQvc4sYydN1DcO906ui+JFet0Tf7B6wJ3F9nK8egWv&#10;02fAIeEOv85jG20/l+5tVuppsSo2IDJO+e8YvvEZHRpmOoUrmSScAi6SfyZ767JkefpdZFPL//TN&#10;HVBLAwQUAAAACACHTuJAAMzKPtwBAAC4AwAADgAAAGRycy9lMm9Eb2MueG1srVNLjtswDN0X6B0E&#10;7Rs7LqYIjDiDFkGKAfoDZnoAWZZjAZIoSErsXKC9QVfddN9z5RylZDttM5tZzEagSOqR75Fa3w5a&#10;kaNwXoKp6HKRUyIMh0aafUW/PuxerSjxgZmGKTCioifh6e3m5Yt1b0tRQAeqEY4giPFlbyvahWDL&#10;LPO8E5r5BVhhMNiC0yzg1e2zxrEe0bXKijx/k/XgGuuAC+/Rux2DdEJ0TwGEtpVcbIEftDBhRHVC&#10;sYCUfCetp5vUbdsKHj63rReBqIoi05BOLIJ2Hc9ss2bl3jHbST61wJ7SwhUnzaTBoheoLQuMHJx8&#10;BKUld+ChDQsOOhuJJEWQxTK/0ua+Y1YkLii1txfR/fPB8k/HL47IpqKvKTFM48DPP76ff/4+//pG&#10;bpZFERXqrS8x8d5iahjewYB7M/t9dNb9R2jwKTsESDIMrdNRDiRIMBvVPl3UFkMgPEKsitUqxxDH&#10;2HzBahkr5+fW+fBegCbRqKjDcSZ4dvzgw5g6p8RqBnZSqTRSZf5zIOboEWknpteRV+x/ZBiGepjI&#10;1tCckFaPe1FRg9+AEnVnUPa4QrPhZqOejYN1ct9ho8vUpbdvUY+dTJ3GWiMsMowXHGjiOi1f3Jh/&#10;7ynr74fb/AFQSwMECgAAAAAAh07iQAAAAAAAAAAAAAAAAAYAAABfcmVscy9QSwMEFAAAAAgAh07i&#10;QIoUZjzRAAAAlAEAAAsAAABfcmVscy8ucmVsc6WQwWrDMAyG74O9g9F9cZrDGKNOL6PQa+kewNiK&#10;YxpbRjLZ+vbzDoNl9LajfqHvE//+8JkWtSJLpGxg1/WgMDvyMQcD75fj0wsoqTZ7u1BGAzcUOIyP&#10;D/szLra2I5ljEdUoWQzMtZZXrcXNmKx0VDC3zUScbG0jB12su9qAeuj7Z82/GTBumOrkDfDJD6Au&#10;t9LMf9gpOiahqXaOkqZpiu4eVQe2ZY7uyDbhG7lGsxywGvAsGgdqWdd+BH1fv/un3tNHPuO61X6H&#10;jOuPV2+6HL8AUEsDBBQAAAAIAIdO4kB+5uUg9wAAAOEBAAATAAAAW0NvbnRlbnRfVHlwZXNdLnht&#10;bJWRQU7DMBBF90jcwfIWJU67QAgl6YK0S0CoHGBkTxKLZGx5TGhvj5O2G0SRWNoz/78nu9wcxkFM&#10;GNg6quQqL6RA0s5Y6ir5vt9lD1JwBDIwOMJKHpHlpr69KfdHjyxSmriSfYz+USnWPY7AufNIadK6&#10;MEJMx9ApD/oDOlTrorhX2lFEilmcO2RdNtjC5xDF9pCuTyYBB5bi6bQ4syoJ3g9WQ0ymaiLzg5Kd&#10;CXlKLjvcW893SUOqXwnz5DrgnHtJTxOsQfEKIT7DmDSUCayM+6KAU/53yWw5cuba1mrMm8BNir3h&#10;dLG61o5r1zj93/Ltkrp0q+WD6m9QSwECFAAUAAAACACHTuJAfublIPcAAADhAQAAEwAAAAAAAAAB&#10;ACAAAABEBAAAW0NvbnRlbnRfVHlwZXNdLnhtbFBLAQIUAAoAAAAAAIdO4kAAAAAAAAAAAAAAAAAG&#10;AAAAAAAAAAAAEAAAACYDAABfcmVscy9QSwECFAAUAAAACACHTuJAihRmPNEAAACUAQAACwAAAAAA&#10;AAABACAAAABKAwAAX3JlbHMvLnJlbHNQSwECFAAKAAAAAACHTuJAAAAAAAAAAAAAAAAABAAAAAAA&#10;AAAAABAAAAAAAAAAZHJzL1BLAQIUABQAAAAIAIdO4kDOqXm5zwAAAAUBAAAPAAAAAAAAAAEAIAAA&#10;ACIAAABkcnMvZG93bnJldi54bWxQSwECFAAUAAAACACHTuJAAMzKPtwBAAC4AwAADgAAAAAAAAAB&#10;ACAAAAAeAQAAZHJzL2Uyb0RvYy54bWxQSwUGAAAAAAYABgBZAQAAbAUAAAAA&#10;">
              <v:fill on="f" focussize="0,0"/>
              <v:stroke on="f"/>
              <v:imagedata o:title=""/>
              <o:lock v:ext="edit" aspectratio="f"/>
              <v:textbox inset="0mm,0mm,0mm,0mm" style="mso-fit-shape-to-text:t;">
                <w:txbxContent>
                  <w:p w14:paraId="136380EA">
                    <w:pPr>
                      <w:pStyle w:val="35"/>
                    </w:pPr>
                    <w:r>
                      <w:fldChar w:fldCharType="begin"/>
                    </w:r>
                    <w:r>
                      <w:instrText xml:space="preserve"> PAGE  \* MERGEFORMAT </w:instrText>
                    </w:r>
                    <w:r>
                      <w:fldChar w:fldCharType="separate"/>
                    </w:r>
                    <w:r>
                      <w:t>63</w:t>
                    </w:r>
                    <w:r>
                      <w:fldChar w:fldCharType="end"/>
                    </w:r>
                  </w:p>
                </w:txbxContent>
              </v:textbox>
            </v:shape>
          </w:pict>
        </mc:Fallback>
      </mc:AlternateContent>
    </w:r>
  </w:p>
</w:ftr>
</file>

<file path=word/footer5.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6689CAAE">
    <w:pPr>
      <w:pStyle w:val="35"/>
    </w:pPr>
    <w:r>
      <w:rPr>
        <w:sz w:val="18"/>
      </w:rPr>
      <mc:AlternateContent>
        <mc:Choice Requires="wps">
          <w:drawing>
            <wp:anchor distT="0" distB="0" distL="114300" distR="114300" simplePos="0" relativeHeight="251663360" behindDoc="0" locked="0" layoutInCell="1" allowOverlap="1">
              <wp:simplePos x="0" y="0"/>
              <wp:positionH relativeFrom="margin">
                <wp:align>center</wp:align>
              </wp:positionH>
              <wp:positionV relativeFrom="paragraph">
                <wp:posOffset>0</wp:posOffset>
              </wp:positionV>
              <wp:extent cx="1828800" cy="1828800"/>
              <wp:effectExtent l="0" t="0" r="0" b="0"/>
              <wp:wrapNone/>
              <wp:docPr id="4" name="文本框 12"/>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4473E9C9">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2" o:spid="_x0000_s1026" o:spt="202" type="#_x0000_t202" style="position:absolute;left:0pt;margin-top:0pt;height:144pt;width:144pt;mso-position-horizontal:center;mso-position-horizontal-relative:margin;mso-wrap-style:none;z-index:251663360;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KII6D89AgAAcAQAAA4AAABkcnMvZTJvRG9jLnhtbK1UwY7TMBC9I/EP&#10;lu80aYFVFTVdla2KkAq7UkGcXcdpLNkey3abLB8Af8CJy975rn4HYycpaOGwBy7WxDN+M+/NTBbX&#10;nVbkJJyXYEo6neSUCMOhkuZQ0k8fNy/mlPjATMUUGFHSe+Hp9fL5s0VrCzGDBlQlHEEQ44vWlrQJ&#10;wRZZ5nkjNPMTsMKgswanWcBPd8gqx1pE1yqb5flV1oKrrAMuvMfbde+kA6J7CiDUteRiDfyohQk9&#10;qhOKBaTkG2k9XaZq61rwcFvXXgSiSopMQzoxCdr7eGbLBSsOjtlG8qEE9pQSHnHSTBpMeoFas8DI&#10;0cm/oLTkDjzUYcJBZz2RpAiymOaPtNk1zIrEBaX29iK6/3+w/MPpzhFZlfQVJYZpbPj5+7fzj5/n&#10;h69kOov6tNYXGLazGBi6N9Dh1Iz3Pl7u2/dQ4UN2DJBE6GqnoxhIj2A0an1/0Vp0gfAIMZ/N5zm6&#10;OPrGD8yWsWJ8bp0PbwVoEo2SOmxmgmenrQ996BgSsxnYSKVSQ5UhbUmvXr7O04OLB8GVwRyRUiy9&#10;Jxe6fTfw3EN1j4wc9IPiLd9ITL5lPtwxh5OBBePuhFs8agWYBAaLkgbcl3/dx3hsGHopaXHSSmpw&#10;sShR7ww2EgHDaLjR2I+GOeobwNGd4k5ankx84IIazdqB/owLtYo50MUMx0wlDaN5E/ppx4XkYrVK&#10;QUfr5KHpH+AYWha2Zmd5TBOF9HaFndzIpHGUqldl0A0HMXVpWJo46X9+p6jfP4rlL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CiCOg/PQIAAHAEAAAOAAAAAAAAAAEAIAAAAB8BAABkcnMvZTJv&#10;RG9jLnhtbFBLBQYAAAAABgAGAFkBAADOBQAAAAA=&#10;">
              <v:fill on="f" focussize="0,0"/>
              <v:stroke on="f" weight="0.5pt"/>
              <v:imagedata o:title=""/>
              <o:lock v:ext="edit" aspectratio="f"/>
              <v:textbox inset="0mm,0mm,0mm,0mm" style="mso-fit-shape-to-text:t;">
                <w:txbxContent>
                  <w:p w14:paraId="4473E9C9">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75</w:t>
                    </w:r>
                    <w:r>
                      <w:rPr>
                        <w:rFonts w:hint="eastAsia"/>
                        <w:lang w:eastAsia="zh-CN"/>
                      </w:rPr>
                      <w:fldChar w:fldCharType="end"/>
                    </w:r>
                  </w:p>
                </w:txbxContent>
              </v:textbox>
            </v:shape>
          </w:pict>
        </mc:Fallback>
      </mc:AlternateContent>
    </w:r>
  </w:p>
</w:ftr>
</file>

<file path=word/footer6.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D71038D">
    <w:pPr>
      <w:pStyle w:val="35"/>
      <w:jc w:val="center"/>
      <w:rPr>
        <w:rFonts w:eastAsia="仿宋_GB2312"/>
        <w:sz w:val="24"/>
      </w:rPr>
    </w:pPr>
    <w:r>
      <w:rPr>
        <w:sz w:val="24"/>
      </w:rPr>
      <mc:AlternateContent>
        <mc:Choice Requires="wps">
          <w:drawing>
            <wp:anchor distT="0" distB="0" distL="114300" distR="114300" simplePos="0" relativeHeight="251664384" behindDoc="0" locked="0" layoutInCell="1" allowOverlap="1">
              <wp:simplePos x="0" y="0"/>
              <wp:positionH relativeFrom="margin">
                <wp:align>center</wp:align>
              </wp:positionH>
              <wp:positionV relativeFrom="paragraph">
                <wp:posOffset>0</wp:posOffset>
              </wp:positionV>
              <wp:extent cx="1828800" cy="1828800"/>
              <wp:effectExtent l="0" t="0" r="0" b="0"/>
              <wp:wrapNone/>
              <wp:docPr id="5" name="文本框 13"/>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78D1A267">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3" o:spid="_x0000_s1026" o:spt="202" type="#_x0000_t202" style="position:absolute;left:0pt;margin-top:0pt;height:144pt;width:144pt;mso-position-horizontal:center;mso-position-horizontal-relative:margin;mso-wrap-style:none;z-index:251664384;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IO6ono+AgAAcAQAAA4AAABkcnMvZTJvRG9jLnhtbK1UwY7TMBC9I/EP&#10;lu80aVe7qqKmq7JVEVJhV1oQZ9dxGku2x7LdJuUD4A84ceHOd/U7GDtJQQuHPXCxJp7xm3lvZrK4&#10;7bQiR+G8BFPS6SSnRBgOlTT7kn78sHk1p8QHZiqmwIiSnoSnt8uXLxatLcQMGlCVcARBjC9aW9Im&#10;BFtkmeeN0MxPwAqDzhqcZgE/3T6rHGsRXatsluc3WQuusg648B5v172TDojuOYBQ15KLNfCDFib0&#10;qE4oFpCSb6T1dJmqrWvBw31dexGIKikyDenEJGjv4pktF6zYO2YbyYcS2HNKeMJJM2kw6QVqzQIj&#10;Byf/gtKSO/BQhwkHnfVEkiLIYpo/0eaxYVYkLii1txfR/f+D5e+PD47IqqTXlBimseHnb1/P33+e&#10;f3wh06uoT2t9gWGPFgND9xo6nJrx3sfLXfsOKnzIDgGSCF3tdBQD6RGMRq1PF61FFwiPEPPZfJ6j&#10;i6Nv/MBsGSvG59b58EaAJtEoqcNmJnh23PrQh44hMZuBjVQqNVQZ0pb05uo6Tw8uHgRXBnNESrH0&#10;nlzodt3AcwfVCRk56AfFW76RmHzLfHhgDicDC8bdCfd41AowCQwWJQ24z/+6j/HYMPRS0uKkldTg&#10;YlGi3hpsJAKG0XCjsRsNc9B3gKM7xZ20PJn4wAU1mrUD/QkXahVzoIsZjplKGkbzLvTTjgvJxWqV&#10;gg7WyX3TP8AxtCxszaPlMU0U0tsVdnIjk8ZRql6VQTccxNSlYWnipP/5naJ+/yiWvwBQSwMECgAA&#10;AAAAh07iQAAAAAAAAAAAAAAAAAYAAABfcmVscy9QSwMEFAAAAAgAh07iQIoUZjzRAAAAlAEAAAsA&#10;AABfcmVscy8ucmVsc6WQwWrDMAyG74O9g9F9cZrDGKNOL6PQa+kewNiKYxpbRjLZ+vbzDoNl9Laj&#10;fqHvE//+8JkWtSJLpGxg1/WgMDvyMQcD75fj0wsoqTZ7u1BGAzcUOIyPD/szLra2I5ljEdUoWQzM&#10;tZZXrcXNmKx0VDC3zUScbG0jB12su9qAeuj7Z82/GTBumOrkDfDJD6Aut9LMf9gpOiahqXaOkqZp&#10;iu4eVQe2ZY7uyDbhG7lGsxywGvAsGgdqWdd+BH1fv/un3tNHPuO61X6HjOuPV2+6HL8AUEsDBBQA&#10;AAAIAIdO4kB+5uUg9wAAAOEBAAATAAAAW0NvbnRlbnRfVHlwZXNdLnhtbJWRQU7DMBBF90jcwfIW&#10;JU67QAgl6YK0S0CoHGBkTxKLZGx5TGhvj5O2G0SRWNoz/78nu9wcxkFMGNg6quQqL6RA0s5Y6ir5&#10;vt9lD1JwBDIwOMJKHpHlpr69KfdHjyxSmriSfYz+USnWPY7AufNIadK6MEJMx9ApD/oDOlTrorhX&#10;2lFEilmcO2RdNtjC5xDF9pCuTyYBB5bi6bQ4syoJ3g9WQ0ymaiLzg5KdCXlKLjvcW893SUOqXwnz&#10;5DrgnHtJTxOsQfEKIT7DmDSUCayM+6KAU/53yWw5cuba1mrMm8BNir3hdLG61o5r1zj93/Ltkrp0&#10;q+WD6m9QSwECFAAUAAAACACHTuJAfublIPcAAADhAQAAEwAAAAAAAAABACAAAACnBAAAW0NvbnRl&#10;bnRfVHlwZXNdLnhtbFBLAQIUAAoAAAAAAIdO4kAAAAAAAAAAAAAAAAAGAAAAAAAAAAAAEAAAAIkD&#10;AABfcmVscy9QSwECFAAUAAAACACHTuJAihRmPNEAAACUAQAACwAAAAAAAAABACAAAACtAwAAX3Jl&#10;bHMvLnJlbHNQSwECFAAKAAAAAACHTuJAAAAAAAAAAAAAAAAABAAAAAAAAAAAABAAAAAAAAAAZHJz&#10;L1BLAQIUABQAAAAIAIdO4kCzSVju0AAAAAUBAAAPAAAAAAAAAAEAIAAAACIAAABkcnMvZG93bnJl&#10;di54bWxQSwECFAAUAAAACACHTuJAg7qiej4CAABwBAAADgAAAAAAAAABACAAAAAfAQAAZHJzL2Uy&#10;b0RvYy54bWxQSwUGAAAAAAYABgBZAQAAzwUAAAAA&#10;">
              <v:fill on="f" focussize="0,0"/>
              <v:stroke on="f" weight="0.5pt"/>
              <v:imagedata o:title=""/>
              <o:lock v:ext="edit" aspectratio="f"/>
              <v:textbox inset="0mm,0mm,0mm,0mm" style="mso-fit-shape-to-text:t;">
                <w:txbxContent>
                  <w:p w14:paraId="78D1A267">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77</w:t>
                    </w:r>
                    <w:r>
                      <w:rPr>
                        <w:rFonts w:hint="eastAsia"/>
                        <w:lang w:eastAsia="zh-CN"/>
                      </w:rPr>
                      <w:fldChar w:fldCharType="end"/>
                    </w:r>
                  </w:p>
                </w:txbxContent>
              </v:textbox>
            </v:shape>
          </w:pict>
        </mc:Fallback>
      </mc:AlternateContent>
    </w:r>
  </w:p>
</w:ftr>
</file>

<file path=word/footer7.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761BFABC">
    <w:pPr>
      <w:jc w:val="center"/>
      <w:rPr>
        <w:rFonts w:hint="eastAsia"/>
      </w:rPr>
    </w:pPr>
    <w:r>
      <w:rPr>
        <w:sz w:val="21"/>
      </w:rPr>
      <mc:AlternateContent>
        <mc:Choice Requires="wps">
          <w:drawing>
            <wp:anchor distT="0" distB="0" distL="114300" distR="114300" simplePos="0" relativeHeight="251665408" behindDoc="0" locked="0" layoutInCell="1" allowOverlap="1">
              <wp:simplePos x="0" y="0"/>
              <wp:positionH relativeFrom="margin">
                <wp:align>center</wp:align>
              </wp:positionH>
              <wp:positionV relativeFrom="paragraph">
                <wp:posOffset>0</wp:posOffset>
              </wp:positionV>
              <wp:extent cx="1828800" cy="1828800"/>
              <wp:effectExtent l="0" t="0" r="0" b="0"/>
              <wp:wrapNone/>
              <wp:docPr id="6" name="文本框 14"/>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71D019E">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76</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4" o:spid="_x0000_s1026" o:spt="202" type="#_x0000_t202" style="position:absolute;left:0pt;margin-top:0pt;height:144pt;width:144pt;mso-position-horizontal:center;mso-position-horizontal-relative:margin;mso-wrap-style:none;z-index:251665408;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Ac65a89AgAAcAQAAA4AAABkcnMvZTJvRG9jLnhtbK1UwW4TMRC9I/EP&#10;lu90kwJVFHVThUZBSIVWKoiz4/VmLa09lu10t3wA/AEnLr3zXfkOnr3ZgAqHHrhYs57xm3lvZvb8&#10;ojctu1M+aLIln55MOFNWUqXttuSfPq5fzDgLUdhKtGRVye9V4BeL58/OOzdXp9RQWynPAGLDvHMl&#10;b2J086IIslFGhBNyysJZkzci4tNvi8qLDuimLU4nk7OiI185T1KFgNvV4OQHRP8UQKprLdWK5M4o&#10;GwdUr1oRQSk02gW+yNXWtZLxuq6DiqwtOZjGfCIJ7E06i8W5mG+9cI2WhxLEU0p4xMkIbZH0CLUS&#10;UbCd139BGS09BarjiSRTDESyImAxnTzS5rYRTmUukDq4o+jh/8HKD3c3numq5GecWWHQ8P33b/sf&#10;P/cPX9n0VdKnc2GOsFuHwNi/oR5TM96HdLnp3lOFh2IXKYvQ194kMUCPIRpa3x+1Vn1kMkHMTmez&#10;CVwSvvED2QoxH587H+JbRYYlo+Qezczw4u4qxCF0DEnZLK112+aGtpZ1YPTy9SQ/OHoA3lrkSJRS&#10;6QO52G/6A88NVfdg5GkYlODkWiP5lQjxRnhMBgrG7sRrHHVLSEIHi7OG/Jd/3ad4NAxezjpMWskt&#10;Fouz9p1FIwEYR8OPxmY07M5cEkZ3ip10Mpt44GM7mrUn8xkLtUw54BJWIlPJ42hexmHasZBSLZc5&#10;aOe83jbDA4yhE/HK3jqZ0iQhg1uik2udNU5SDaocdMMg5i4dliZN+p/fOer3j2Lx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AHOuWvPQIAAHAEAAAOAAAAAAAAAAEAIAAAAB8BAABkcnMvZTJv&#10;RG9jLnhtbFBLBQYAAAAABgAGAFkBAADOBQAAAAA=&#10;">
              <v:fill on="f" focussize="0,0"/>
              <v:stroke on="f" weight="0.5pt"/>
              <v:imagedata o:title=""/>
              <o:lock v:ext="edit" aspectratio="f"/>
              <v:textbox inset="0mm,0mm,0mm,0mm" style="mso-fit-shape-to-text:t;">
                <w:txbxContent>
                  <w:p w14:paraId="571D019E">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76</w:t>
                    </w:r>
                    <w:r>
                      <w:rPr>
                        <w:rFonts w:hint="eastAsia"/>
                        <w:lang w:eastAsia="zh-CN"/>
                      </w:rPr>
                      <w:fldChar w:fldCharType="end"/>
                    </w:r>
                  </w:p>
                </w:txbxContent>
              </v:textbox>
            </v:shape>
          </w:pict>
        </mc:Fallback>
      </mc:AlternateContent>
    </w:r>
  </w:p>
</w:ftr>
</file>

<file path=word/footer8.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C21D09">
    <w:pPr>
      <w:pStyle w:val="35"/>
    </w:pPr>
    <w:r>
      <w:rPr>
        <w:sz w:val="18"/>
      </w:rPr>
      <mc:AlternateContent>
        <mc:Choice Requires="wps">
          <w:drawing>
            <wp:anchor distT="0" distB="0" distL="114300" distR="114300" simplePos="0" relativeHeight="251666432" behindDoc="0" locked="0" layoutInCell="1" allowOverlap="1">
              <wp:simplePos x="0" y="0"/>
              <wp:positionH relativeFrom="margin">
                <wp:align>center</wp:align>
              </wp:positionH>
              <wp:positionV relativeFrom="paragraph">
                <wp:posOffset>0</wp:posOffset>
              </wp:positionV>
              <wp:extent cx="1828800" cy="1828800"/>
              <wp:effectExtent l="0" t="0" r="0" b="0"/>
              <wp:wrapNone/>
              <wp:docPr id="7" name="文本框 15"/>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233B84F5">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81</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5" o:spid="_x0000_s1026" o:spt="202" type="#_x0000_t202" style="position:absolute;left:0pt;margin-top:0pt;height:144pt;width:144pt;mso-position-horizontal:center;mso-position-horizontal-relative:margin;mso-wrap-style:none;z-index:251666432;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CaIr+o9AgAAcAQAAA4AAABkcnMvZTJvRG9jLnhtbK1UwY7TMBC9I/EP&#10;lu806aJdqqjpqmxVhFTYlQri7DpOY8n2WLbbpHwA/AEnLtz5rn4HYycpaOGwBy7WxDN+M+/NTOa3&#10;nVbkKJyXYEo6neSUCMOhkmZf0o8f1i9mlPjATMUUGFHSk/D0dvH82by1hbiCBlQlHEEQ44vWlrQJ&#10;wRZZ5nkjNPMTsMKgswanWcBPt88qx1pE1yq7yvObrAVXWQdceI+3q95JB0T3FECoa8nFCvhBCxN6&#10;VCcUC0jJN9J6ukjV1rXg4b6uvQhElRSZhnRiErR38cwWc1bsHbON5EMJ7CklPOKkmTSY9AK1YoGR&#10;g5N/QWnJHXiow4SDznoiSRFkMc0fabNtmBWJC0rt7UV0//9g+fvjgyOyKukrSgzT2PDzt6/n7z/P&#10;P76Q6XXUp7W+wLCtxcDQvYYOp2a89/Fy176DCh+yQ4AkQlc7HcVAegSjUevTRWvRBcIjxOxqNsvR&#10;xdE3fmC2jBXjc+t8eCNAk2iU1GEzEzw7bnzoQ8eQmM3AWiqVGqoMaUt68/I6Tw8uHgRXBnNESrH0&#10;nlzodt3AcwfVCRk56AfFW76WmHzDfHhgDicDC8bdCfd41AowCQwWJQ24z/+6j/HYMPRS0uKkldTg&#10;YlGi3hpsJAKG0XCjsRsNc9B3gKM7xZ20PJn4wAU1mrUD/QkXahlzoIsZjplKGkbzLvTTjgvJxXKZ&#10;gg7WyX3TP8AxtCxszNbymCYK6e0SO7mWSeMoVa/KoBsOYurSsDRx0v/8TlG/fxSLX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AmiK/qPQIAAHAEAAAOAAAAAAAAAAEAIAAAAB8BAABkcnMvZTJv&#10;RG9jLnhtbFBLBQYAAAAABgAGAFkBAADOBQAAAAA=&#10;">
              <v:fill on="f" focussize="0,0"/>
              <v:stroke on="f" weight="0.5pt"/>
              <v:imagedata o:title=""/>
              <o:lock v:ext="edit" aspectratio="f"/>
              <v:textbox inset="0mm,0mm,0mm,0mm" style="mso-fit-shape-to-text:t;">
                <w:txbxContent>
                  <w:p w14:paraId="233B84F5">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81</w:t>
                    </w:r>
                    <w:r>
                      <w:rPr>
                        <w:rFonts w:hint="eastAsia"/>
                        <w:lang w:eastAsia="zh-CN"/>
                      </w:rPr>
                      <w:fldChar w:fldCharType="end"/>
                    </w:r>
                  </w:p>
                </w:txbxContent>
              </v:textbox>
            </v:shape>
          </w:pict>
        </mc:Fallback>
      </mc:AlternateContent>
    </w:r>
  </w:p>
</w:ftr>
</file>

<file path=word/footer9.xml><?xml version="1.0" encoding="utf-8"?>
<w:ft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5A61FF92">
    <w:pPr>
      <w:pStyle w:val="35"/>
    </w:pPr>
    <w:r>
      <w:rPr>
        <w:sz w:val="18"/>
      </w:rPr>
      <mc:AlternateContent>
        <mc:Choice Requires="wps">
          <w:drawing>
            <wp:anchor distT="0" distB="0" distL="114300" distR="114300" simplePos="0" relativeHeight="251667456" behindDoc="0" locked="0" layoutInCell="1" allowOverlap="1">
              <wp:simplePos x="0" y="0"/>
              <wp:positionH relativeFrom="margin">
                <wp:align>center</wp:align>
              </wp:positionH>
              <wp:positionV relativeFrom="paragraph">
                <wp:posOffset>0</wp:posOffset>
              </wp:positionV>
              <wp:extent cx="1828800" cy="1828800"/>
              <wp:effectExtent l="0" t="0" r="0" b="0"/>
              <wp:wrapNone/>
              <wp:docPr id="8" name="文本框 16"/>
              <wp:cNvGraphicFramePr/>
              <a:graphic xmlns:a="http://schemas.openxmlformats.org/drawingml/2006/main">
                <a:graphicData uri="http://schemas.microsoft.com/office/word/2010/wordprocessingShape">
                  <wps:wsp>
                    <wps:cNvSpPr txBox="1"/>
                    <wps:spPr bwMode="auto">
                      <a:xfrm>
                        <a:off x="0" y="0"/>
                        <a:ext cx="1828800" cy="1828800"/>
                      </a:xfrm>
                      <a:prstGeom prst="rect">
                        <a:avLst/>
                      </a:prstGeom>
                      <a:noFill/>
                      <a:ln w="6350">
                        <a:noFill/>
                      </a:ln>
                    </wps:spPr>
                    <wps:style>
                      <a:lnRef idx="0">
                        <a:schemeClr val="accent1"/>
                      </a:lnRef>
                      <a:fillRef idx="0">
                        <a:schemeClr val="accent1"/>
                      </a:fillRef>
                      <a:effectRef idx="0">
                        <a:schemeClr val="accent1"/>
                      </a:effectRef>
                      <a:fontRef idx="minor">
                        <a:schemeClr val="dk1"/>
                      </a:fontRef>
                    </wps:style>
                    <wps:txbx>
                      <w:txbxContent>
                        <w:p w14:paraId="5FF77172">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80</w:t>
                          </w:r>
                          <w:r>
                            <w:rPr>
                              <w:rFonts w:hint="eastAsia"/>
                              <w:lang w:eastAsia="zh-CN"/>
                            </w:rPr>
                            <w:fldChar w:fldCharType="end"/>
                          </w:r>
                        </w:p>
                      </w:txbxContent>
                    </wps:txbx>
                    <wps:bodyPr rot="0" spcFirstLastPara="0" vertOverflow="overflow" horzOverflow="overflow" vert="horz" wrap="none" lIns="0" tIns="0" rIns="0" bIns="0" numCol="1" spcCol="0" rtlCol="0" fromWordArt="0" anchor="t" anchorCtr="0" forceAA="0" upright="0" compatLnSpc="1">
                      <a:spAutoFit/>
                    </wps:bodyPr>
                  </wps:wsp>
                </a:graphicData>
              </a:graphic>
            </wp:anchor>
          </w:drawing>
        </mc:Choice>
        <mc:Fallback>
          <w:pict>
            <v:shape id="文本框 16" o:spid="_x0000_s1026" o:spt="202" type="#_x0000_t202" style="position:absolute;left:0pt;margin-top:0pt;height:144pt;width:144pt;mso-position-horizontal:center;mso-position-horizontal-relative:margin;mso-wrap-style:none;z-index:251667456;mso-width-relative:page;mso-height-relative:page;" filled="f" stroked="f" coordsize="21600,21600" o:gfxdata="UEsDBAoAAAAAAIdO4kAAAAAAAAAAAAAAAAAEAAAAZHJzL1BLAwQUAAAACACHTuJAs0lY7tAAAAAF&#10;AQAADwAAAGRycy9kb3ducmV2LnhtbE2PQUvDQBCF74L/YRmhN7tpKxJiNgVL06Ng48HjNjsm0d3Z&#10;sLtN4793FEEvwzze8OZ75XZ2VkwY4uBJwWqZgUBqvRmoU/DS1Lc5iJg0GW09oYJPjLCtrq9KXRh/&#10;oWecjqkTHEKx0Ar6lMZCytj26HRc+hGJvTcfnE4sQydN0BcOd1aus+xeOj0Qf+j1iLse24/j2SnY&#10;1U0TJozBvuKh3rw/Pd7hflZqcbPKHkAknNPfMXzjMzpUzHTyZzJRWAVcJP1M9tZ5zvL0u8iqlP/p&#10;qy9QSwMEFAAAAAgAh07iQGLwRYM9AgAAcAQAAA4AAABkcnMvZTJvRG9jLnhtbK1UwW4TMRC9I/EP&#10;lu90kyKiKOqmCo2CkAqtVBBnx+vNrmR7LNvpbvkA+ANOXLjzXfkOnr3ZgAqHHrhYs57xm3lvZvbi&#10;sjea3SsfWrIln55NOFNWUtXaXck/fti8mHMWorCV0GRVyR9U4JfL588uOrdQ59SQrpRnALFh0bmS&#10;NzG6RVEE2Sgjwhk5ZeGsyRsR8el3ReVFB3Sji/PJZFZ05CvnSaoQcLsenPyI6J8CSHXdSrUmuTfK&#10;xgHVKy0iKIWmdYEvc7V1rWS8qeugItMlB9OYTySBvU1nsbwQi50XrmnlsQTxlBIecTKitUh6glqL&#10;KNjet39BmVZ6ClTHM0mmGIhkRcBiOnmkzV0jnMpcIHVwJ9HD/4OV7+9vPWurkqPtVhg0/PDt6+H7&#10;z8OPL2w6S/p0LiwQducQGPvX1GNqxvuQLrfdO6rwUOwjZRH62pskBugxREPrh5PWqo9MJoj5+Xw+&#10;gUvCN34gWyEW43PnQ3yjyLBklNyjmRle3F+HOISOISmbpU2rdW6otqwr+ezlq0l+cPIAXFvkSJRS&#10;6QO52G/7I88tVQ9g5GkYlODkpkXyaxHirfCYDBSM3Yk3OGpNSEJHi7OG/Od/3ad4NAxezjpMWskt&#10;Fosz/daikQCMo+FHYzsadm+uCKM7xU46mU088FGPZu3JfMJCrVIOuISVyFTyOJpXcZh2LKRUq1UO&#10;2jvf7prhAcbQiXht75xMaZKQwa3QyU2bNU5SDaocdcMg5i4dlyZN+p/fOer3j2L5C1BLAwQKAAAA&#10;AACHTuJAAAAAAAAAAAAAAAAABgAAAF9yZWxzL1BLAwQUAAAACACHTuJAihRmPNEAAACUAQAACwAA&#10;AF9yZWxzLy5yZWxzpZDBasMwDIbvg72D0X1xmsMYo04vo9Br6R7A2IpjGltGMtn69vMOg2X0tqN+&#10;oe8T//7wmRa1IkukbGDX9aAwO/IxBwPvl+PTCyipNnu7UEYDNxQ4jI8P+zMutrYjmWMR1ShZDMy1&#10;lletxc2YrHRUMLfNRJxsbSMHXay72oB66Ptnzb8ZMG6Y6uQN8MkPoC630sx/2Ck6JqGpdo6SpmmK&#10;7h5VB7Zlju7INuEbuUazHLAa8CwaB2pZ134EfV+/+6fe00c+47rVfoeM649Xb7ocvwBQSwMEFAAA&#10;AAgAh07iQH7m5SD3AAAA4QEAABMAAABbQ29udGVudF9UeXBlc10ueG1slZFBTsMwEEX3SNzB8hYl&#10;TrtACCXpgrRLQKgcYGRPEotkbHlMaG+Pk7YbRJFY2jP/vye73BzGQUwY2Dqq5CovpEDSzljqKvm+&#10;32UPUnAEMjA4wkoekeWmvr0p90ePLFKauJJ9jP5RKdY9jsC580hp0rowQkzH0CkP+gM6VOuiuFfa&#10;UUSKWZw7ZF022MLnEMX2kK5PJgEHluLptDizKgneD1ZDTKZqIvODkp0JeUouO9xbz3dJQ6pfCfPk&#10;OuCce0lPE6xB8QohPsOYNJQJrIz7ooBT/nfJbDly5trWasybwE2KveF0sbrWjmvXOP3f8u2SunSr&#10;5YPqb1BLAQIUABQAAAAIAIdO4kB+5uUg9wAAAOEBAAATAAAAAAAAAAEAIAAAAKYEAABbQ29udGVu&#10;dF9UeXBlc10ueG1sUEsBAhQACgAAAAAAh07iQAAAAAAAAAAAAAAAAAYAAAAAAAAAAAAQAAAAiAMA&#10;AF9yZWxzL1BLAQIUABQAAAAIAIdO4kCKFGY80QAAAJQBAAALAAAAAAAAAAEAIAAAAKwDAABfcmVs&#10;cy8ucmVsc1BLAQIUAAoAAAAAAIdO4kAAAAAAAAAAAAAAAAAEAAAAAAAAAAAAEAAAAAAAAABkcnMv&#10;UEsBAhQAFAAAAAgAh07iQLNJWO7QAAAABQEAAA8AAAAAAAAAAQAgAAAAIgAAAGRycy9kb3ducmV2&#10;LnhtbFBLAQIUABQAAAAIAIdO4kBi8EWDPQIAAHAEAAAOAAAAAAAAAAEAIAAAAB8BAABkcnMvZTJv&#10;RG9jLnhtbFBLBQYAAAAABgAGAFkBAADOBQAAAAA=&#10;">
              <v:fill on="f" focussize="0,0"/>
              <v:stroke on="f" weight="0.5pt"/>
              <v:imagedata o:title=""/>
              <o:lock v:ext="edit" aspectratio="f"/>
              <v:textbox inset="0mm,0mm,0mm,0mm" style="mso-fit-shape-to-text:t;">
                <w:txbxContent>
                  <w:p w14:paraId="5FF77172">
                    <w:pPr>
                      <w:pStyle w:val="35"/>
                      <w:rPr>
                        <w:rFonts w:hint="eastAsia" w:eastAsia="宋体"/>
                        <w:lang w:eastAsia="zh-CN"/>
                      </w:rPr>
                    </w:pPr>
                    <w:r>
                      <w:rPr>
                        <w:rFonts w:hint="eastAsia"/>
                        <w:lang w:eastAsia="zh-CN"/>
                      </w:rPr>
                      <w:fldChar w:fldCharType="begin"/>
                    </w:r>
                    <w:r>
                      <w:rPr>
                        <w:rFonts w:hint="eastAsia"/>
                        <w:lang w:eastAsia="zh-CN"/>
                      </w:rPr>
                      <w:instrText xml:space="preserve"> PAGE  \* MERGEFORMAT </w:instrText>
                    </w:r>
                    <w:r>
                      <w:rPr>
                        <w:rFonts w:hint="eastAsia"/>
                        <w:lang w:eastAsia="zh-CN"/>
                      </w:rPr>
                      <w:fldChar w:fldCharType="separate"/>
                    </w:r>
                    <w:r>
                      <w:rPr>
                        <w:rFonts w:hint="eastAsia"/>
                        <w:lang w:eastAsia="zh-CN"/>
                      </w:rPr>
                      <w:t>80</w:t>
                    </w:r>
                    <w:r>
                      <w:rPr>
                        <w:rFonts w:hint="eastAsia"/>
                        <w:lang w:eastAsia="zh-CN"/>
                      </w:rPr>
                      <w:fldChar w:fldCharType="end"/>
                    </w:r>
                  </w:p>
                </w:txbxContent>
              </v:textbox>
            </v:shape>
          </w:pict>
        </mc:Fallback>
      </mc:AlternateContent>
    </w:r>
  </w:p>
</w:ftr>
</file>

<file path=word/header1.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00C9986">
    <w:pPr>
      <w:pStyle w:val="37"/>
      <w:pBdr>
        <w:bottom w:val="none" w:color="000000" w:sz="0" w:space="0"/>
      </w:pBdr>
      <w:jc w:val="left"/>
      <w:rPr>
        <w:rFonts w:hint="eastAsia"/>
      </w:rPr>
    </w:pPr>
  </w:p>
</w:hdr>
</file>

<file path=word/header2.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44E09CFF">
    <w:pPr>
      <w:pStyle w:val="37"/>
      <w:pBdr>
        <w:bottom w:val="none" w:color="000000" w:sz="0" w:space="0"/>
      </w:pBdr>
      <w:tabs>
        <w:tab w:val="center" w:pos="0"/>
        <w:tab w:val="clear" w:pos="4153"/>
      </w:tabs>
      <w:rPr>
        <w:rFonts w:ascii="宋体" w:hAnsi="宋体"/>
      </w:rPr>
    </w:pPr>
  </w:p>
</w:hdr>
</file>

<file path=word/header3.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1F775C08">
    <w:pPr>
      <w:pStyle w:val="37"/>
      <w:pBdr>
        <w:bottom w:val="none" w:color="000000" w:sz="0" w:space="1"/>
      </w:pBdr>
      <w:jc w:val="both"/>
      <w:rPr>
        <w:rFonts w:hint="eastAsia"/>
      </w:rPr>
    </w:pPr>
  </w:p>
</w:hdr>
</file>

<file path=word/header4.xml><?xml version="1.0" encoding="utf-8"?>
<w:hdr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15 wp14">
  <w:p w14:paraId="091C9CE0">
    <w:pPr>
      <w:pStyle w:val="37"/>
      <w:pBdr>
        <w:bottom w:val="none" w:color="000000" w:sz="0" w:space="1"/>
      </w:pBdr>
      <w:jc w:val="both"/>
      <w:rPr>
        <w:rFonts w:hint="eastAsia"/>
      </w:rPr>
    </w:pPr>
  </w:p>
</w:hdr>
</file>

<file path=word/numbering.xml><?xml version="1.0" encoding="utf-8"?>
<w:numbering xmlns:wpc="http://schemas.microsoft.com/office/word/2010/wordprocessingCanvas" xmlns:mc="http://schemas.openxmlformats.org/markup-compatibility/2006" xmlns:o="urn:schemas-microsoft-com:office:office"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pg="http://schemas.microsoft.com/office/word/2010/wordprocessingGroup" xmlns:wpi="http://schemas.microsoft.com/office/word/2010/wordprocessingInk" xmlns:wne="http://schemas.microsoft.com/office/word/2006/wordml" xmlns:wps="http://schemas.microsoft.com/office/word/2010/wordprocessingShape" xmlns:wpsCustomData="http://www.wps.cn/officeDocument/2013/wpsCustomData" mc:Ignorable="w14 wp14">
  <w:abstractNum w:abstractNumId="0">
    <w:nsid w:val="9A95246D"/>
    <w:multiLevelType w:val="multilevel"/>
    <w:tmpl w:val="9A95246D"/>
    <w:lvl w:ilvl="0" w:tentative="0">
      <w:start w:val="8"/>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
    <w:nsid w:val="A8F37E95"/>
    <w:multiLevelType w:val="multilevel"/>
    <w:tmpl w:val="A8F37E95"/>
    <w:lvl w:ilvl="0" w:tentative="0">
      <w:start w:val="1"/>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2">
    <w:nsid w:val="DB16890B"/>
    <w:multiLevelType w:val="multilevel"/>
    <w:tmpl w:val="DB16890B"/>
    <w:lvl w:ilvl="0" w:tentative="0">
      <w:start w:val="1"/>
      <w:numFmt w:val="decimal"/>
      <w:pStyle w:val="14"/>
      <w:lvlText w:val="%1."/>
      <w:lvlJc w:val="left"/>
      <w:pPr>
        <w:tabs>
          <w:tab w:val="left" w:pos="360"/>
        </w:tabs>
        <w:ind w:left="360" w:hanging="360"/>
      </w:p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3">
    <w:nsid w:val="E5F0FB89"/>
    <w:multiLevelType w:val="multilevel"/>
    <w:tmpl w:val="E5F0FB89"/>
    <w:lvl w:ilvl="0" w:tentative="0">
      <w:start w:val="4"/>
      <w:numFmt w:val="chineseCounting"/>
      <w:suff w:val="nothing"/>
      <w:lvlText w:val="%1、"/>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4">
    <w:nsid w:val="00000444"/>
    <w:multiLevelType w:val="multilevel"/>
    <w:tmpl w:val="00000444"/>
    <w:lvl w:ilvl="0" w:tentative="0">
      <w:start w:val="1"/>
      <w:numFmt w:val="decimal"/>
      <w:lvlText w:val="%1."/>
      <w:lvlJc w:val="left"/>
      <w:pPr>
        <w:ind w:left="388" w:hanging="281"/>
      </w:pPr>
      <w:rPr>
        <w:rFonts w:ascii="微软雅黑" w:hAnsi="Times New Roman" w:cs="微软雅黑"/>
        <w:b w:val="0"/>
        <w:bCs w:val="0"/>
        <w:i w:val="0"/>
        <w:iCs w:val="0"/>
        <w:sz w:val="21"/>
        <w:szCs w:val="21"/>
      </w:rPr>
    </w:lvl>
    <w:lvl w:ilvl="1" w:tentative="0">
      <w:start w:val="0"/>
      <w:numFmt w:val="bullet"/>
      <w:lvlText w:val="•"/>
      <w:lvlJc w:val="left"/>
      <w:pPr>
        <w:ind w:left="1003" w:hanging="281"/>
      </w:pPr>
    </w:lvl>
    <w:lvl w:ilvl="2" w:tentative="0">
      <w:start w:val="0"/>
      <w:numFmt w:val="bullet"/>
      <w:lvlText w:val="•"/>
      <w:lvlJc w:val="left"/>
      <w:pPr>
        <w:ind w:left="1627" w:hanging="281"/>
      </w:pPr>
    </w:lvl>
    <w:lvl w:ilvl="3" w:tentative="0">
      <w:start w:val="0"/>
      <w:numFmt w:val="bullet"/>
      <w:lvlText w:val="•"/>
      <w:lvlJc w:val="left"/>
      <w:pPr>
        <w:ind w:left="2251" w:hanging="281"/>
      </w:pPr>
    </w:lvl>
    <w:lvl w:ilvl="4" w:tentative="0">
      <w:start w:val="0"/>
      <w:numFmt w:val="bullet"/>
      <w:lvlText w:val="•"/>
      <w:lvlJc w:val="left"/>
      <w:pPr>
        <w:ind w:left="2874" w:hanging="281"/>
      </w:pPr>
    </w:lvl>
    <w:lvl w:ilvl="5" w:tentative="0">
      <w:start w:val="0"/>
      <w:numFmt w:val="bullet"/>
      <w:lvlText w:val="•"/>
      <w:lvlJc w:val="left"/>
      <w:pPr>
        <w:ind w:left="3498" w:hanging="281"/>
      </w:pPr>
    </w:lvl>
    <w:lvl w:ilvl="6" w:tentative="0">
      <w:start w:val="0"/>
      <w:numFmt w:val="bullet"/>
      <w:lvlText w:val="•"/>
      <w:lvlJc w:val="left"/>
      <w:pPr>
        <w:ind w:left="4122" w:hanging="281"/>
      </w:pPr>
    </w:lvl>
    <w:lvl w:ilvl="7" w:tentative="0">
      <w:start w:val="0"/>
      <w:numFmt w:val="bullet"/>
      <w:lvlText w:val="•"/>
      <w:lvlJc w:val="left"/>
      <w:pPr>
        <w:ind w:left="4745" w:hanging="281"/>
      </w:pPr>
    </w:lvl>
    <w:lvl w:ilvl="8" w:tentative="0">
      <w:start w:val="0"/>
      <w:numFmt w:val="bullet"/>
      <w:lvlText w:val="•"/>
      <w:lvlJc w:val="left"/>
      <w:pPr>
        <w:ind w:left="5369" w:hanging="281"/>
      </w:pPr>
    </w:lvl>
  </w:abstractNum>
  <w:abstractNum w:abstractNumId="5">
    <w:nsid w:val="00000445"/>
    <w:multiLevelType w:val="multilevel"/>
    <w:tmpl w:val="00000445"/>
    <w:lvl w:ilvl="0" w:tentative="0">
      <w:start w:val="1"/>
      <w:numFmt w:val="decimal"/>
      <w:lvlText w:val="%1."/>
      <w:lvlJc w:val="left"/>
      <w:pPr>
        <w:ind w:left="388" w:hanging="281"/>
      </w:pPr>
      <w:rPr>
        <w:rFonts w:ascii="微软雅黑" w:hAnsi="Times New Roman" w:cs="微软雅黑"/>
        <w:b w:val="0"/>
        <w:bCs w:val="0"/>
        <w:i w:val="0"/>
        <w:iCs w:val="0"/>
        <w:sz w:val="21"/>
        <w:szCs w:val="21"/>
      </w:rPr>
    </w:lvl>
    <w:lvl w:ilvl="1" w:tentative="0">
      <w:start w:val="0"/>
      <w:numFmt w:val="bullet"/>
      <w:lvlText w:val="•"/>
      <w:lvlJc w:val="left"/>
      <w:pPr>
        <w:ind w:left="1003" w:hanging="281"/>
      </w:pPr>
    </w:lvl>
    <w:lvl w:ilvl="2" w:tentative="0">
      <w:start w:val="0"/>
      <w:numFmt w:val="bullet"/>
      <w:lvlText w:val="•"/>
      <w:lvlJc w:val="left"/>
      <w:pPr>
        <w:ind w:left="1627" w:hanging="281"/>
      </w:pPr>
    </w:lvl>
    <w:lvl w:ilvl="3" w:tentative="0">
      <w:start w:val="0"/>
      <w:numFmt w:val="bullet"/>
      <w:lvlText w:val="•"/>
      <w:lvlJc w:val="left"/>
      <w:pPr>
        <w:ind w:left="2251" w:hanging="281"/>
      </w:pPr>
    </w:lvl>
    <w:lvl w:ilvl="4" w:tentative="0">
      <w:start w:val="0"/>
      <w:numFmt w:val="bullet"/>
      <w:lvlText w:val="•"/>
      <w:lvlJc w:val="left"/>
      <w:pPr>
        <w:ind w:left="2874" w:hanging="281"/>
      </w:pPr>
    </w:lvl>
    <w:lvl w:ilvl="5" w:tentative="0">
      <w:start w:val="0"/>
      <w:numFmt w:val="bullet"/>
      <w:lvlText w:val="•"/>
      <w:lvlJc w:val="left"/>
      <w:pPr>
        <w:ind w:left="3498" w:hanging="281"/>
      </w:pPr>
    </w:lvl>
    <w:lvl w:ilvl="6" w:tentative="0">
      <w:start w:val="0"/>
      <w:numFmt w:val="bullet"/>
      <w:lvlText w:val="•"/>
      <w:lvlJc w:val="left"/>
      <w:pPr>
        <w:ind w:left="4122" w:hanging="281"/>
      </w:pPr>
    </w:lvl>
    <w:lvl w:ilvl="7" w:tentative="0">
      <w:start w:val="0"/>
      <w:numFmt w:val="bullet"/>
      <w:lvlText w:val="•"/>
      <w:lvlJc w:val="left"/>
      <w:pPr>
        <w:ind w:left="4745" w:hanging="281"/>
      </w:pPr>
    </w:lvl>
    <w:lvl w:ilvl="8" w:tentative="0">
      <w:start w:val="0"/>
      <w:numFmt w:val="bullet"/>
      <w:lvlText w:val="•"/>
      <w:lvlJc w:val="left"/>
      <w:pPr>
        <w:ind w:left="5369" w:hanging="281"/>
      </w:pPr>
    </w:lvl>
  </w:abstractNum>
  <w:abstractNum w:abstractNumId="6">
    <w:nsid w:val="00000446"/>
    <w:multiLevelType w:val="multilevel"/>
    <w:tmpl w:val="00000446"/>
    <w:lvl w:ilvl="0" w:tentative="0">
      <w:start w:val="1"/>
      <w:numFmt w:val="decimal"/>
      <w:lvlText w:val="%1."/>
      <w:lvlJc w:val="left"/>
      <w:pPr>
        <w:ind w:left="340" w:hanging="233"/>
      </w:pPr>
      <w:rPr>
        <w:rFonts w:ascii="微软雅黑" w:hAnsi="Times New Roman" w:cs="微软雅黑"/>
        <w:b w:val="0"/>
        <w:bCs w:val="0"/>
        <w:i w:val="0"/>
        <w:iCs w:val="0"/>
        <w:sz w:val="21"/>
        <w:szCs w:val="21"/>
      </w:rPr>
    </w:lvl>
    <w:lvl w:ilvl="1" w:tentative="0">
      <w:start w:val="0"/>
      <w:numFmt w:val="bullet"/>
      <w:lvlText w:val="•"/>
      <w:lvlJc w:val="left"/>
      <w:pPr>
        <w:ind w:left="967" w:hanging="233"/>
      </w:pPr>
    </w:lvl>
    <w:lvl w:ilvl="2" w:tentative="0">
      <w:start w:val="0"/>
      <w:numFmt w:val="bullet"/>
      <w:lvlText w:val="•"/>
      <w:lvlJc w:val="left"/>
      <w:pPr>
        <w:ind w:left="1595" w:hanging="233"/>
      </w:pPr>
    </w:lvl>
    <w:lvl w:ilvl="3" w:tentative="0">
      <w:start w:val="0"/>
      <w:numFmt w:val="bullet"/>
      <w:lvlText w:val="•"/>
      <w:lvlJc w:val="left"/>
      <w:pPr>
        <w:ind w:left="2223" w:hanging="233"/>
      </w:pPr>
    </w:lvl>
    <w:lvl w:ilvl="4" w:tentative="0">
      <w:start w:val="0"/>
      <w:numFmt w:val="bullet"/>
      <w:lvlText w:val="•"/>
      <w:lvlJc w:val="left"/>
      <w:pPr>
        <w:ind w:left="2850" w:hanging="233"/>
      </w:pPr>
    </w:lvl>
    <w:lvl w:ilvl="5" w:tentative="0">
      <w:start w:val="0"/>
      <w:numFmt w:val="bullet"/>
      <w:lvlText w:val="•"/>
      <w:lvlJc w:val="left"/>
      <w:pPr>
        <w:ind w:left="3478" w:hanging="233"/>
      </w:pPr>
    </w:lvl>
    <w:lvl w:ilvl="6" w:tentative="0">
      <w:start w:val="0"/>
      <w:numFmt w:val="bullet"/>
      <w:lvlText w:val="•"/>
      <w:lvlJc w:val="left"/>
      <w:pPr>
        <w:ind w:left="4106" w:hanging="233"/>
      </w:pPr>
    </w:lvl>
    <w:lvl w:ilvl="7" w:tentative="0">
      <w:start w:val="0"/>
      <w:numFmt w:val="bullet"/>
      <w:lvlText w:val="•"/>
      <w:lvlJc w:val="left"/>
      <w:pPr>
        <w:ind w:left="4733" w:hanging="233"/>
      </w:pPr>
    </w:lvl>
    <w:lvl w:ilvl="8" w:tentative="0">
      <w:start w:val="0"/>
      <w:numFmt w:val="bullet"/>
      <w:lvlText w:val="•"/>
      <w:lvlJc w:val="left"/>
      <w:pPr>
        <w:ind w:left="5361" w:hanging="233"/>
      </w:pPr>
    </w:lvl>
  </w:abstractNum>
  <w:abstractNum w:abstractNumId="7">
    <w:nsid w:val="00000447"/>
    <w:multiLevelType w:val="multilevel"/>
    <w:tmpl w:val="00000447"/>
    <w:lvl w:ilvl="0" w:tentative="0">
      <w:start w:val="1"/>
      <w:numFmt w:val="decimal"/>
      <w:lvlText w:val="%1."/>
      <w:lvlJc w:val="left"/>
      <w:pPr>
        <w:ind w:left="388" w:hanging="281"/>
      </w:pPr>
      <w:rPr>
        <w:rFonts w:ascii="微软雅黑" w:hAnsi="Times New Roman" w:cs="微软雅黑"/>
        <w:b w:val="0"/>
        <w:bCs w:val="0"/>
        <w:i w:val="0"/>
        <w:iCs w:val="0"/>
        <w:sz w:val="21"/>
        <w:szCs w:val="21"/>
      </w:rPr>
    </w:lvl>
    <w:lvl w:ilvl="1" w:tentative="0">
      <w:start w:val="0"/>
      <w:numFmt w:val="bullet"/>
      <w:lvlText w:val="•"/>
      <w:lvlJc w:val="left"/>
      <w:pPr>
        <w:ind w:left="1003" w:hanging="281"/>
      </w:pPr>
    </w:lvl>
    <w:lvl w:ilvl="2" w:tentative="0">
      <w:start w:val="0"/>
      <w:numFmt w:val="bullet"/>
      <w:lvlText w:val="•"/>
      <w:lvlJc w:val="left"/>
      <w:pPr>
        <w:ind w:left="1627" w:hanging="281"/>
      </w:pPr>
    </w:lvl>
    <w:lvl w:ilvl="3" w:tentative="0">
      <w:start w:val="0"/>
      <w:numFmt w:val="bullet"/>
      <w:lvlText w:val="•"/>
      <w:lvlJc w:val="left"/>
      <w:pPr>
        <w:ind w:left="2251" w:hanging="281"/>
      </w:pPr>
    </w:lvl>
    <w:lvl w:ilvl="4" w:tentative="0">
      <w:start w:val="0"/>
      <w:numFmt w:val="bullet"/>
      <w:lvlText w:val="•"/>
      <w:lvlJc w:val="left"/>
      <w:pPr>
        <w:ind w:left="2874" w:hanging="281"/>
      </w:pPr>
    </w:lvl>
    <w:lvl w:ilvl="5" w:tentative="0">
      <w:start w:val="0"/>
      <w:numFmt w:val="bullet"/>
      <w:lvlText w:val="•"/>
      <w:lvlJc w:val="left"/>
      <w:pPr>
        <w:ind w:left="3498" w:hanging="281"/>
      </w:pPr>
    </w:lvl>
    <w:lvl w:ilvl="6" w:tentative="0">
      <w:start w:val="0"/>
      <w:numFmt w:val="bullet"/>
      <w:lvlText w:val="•"/>
      <w:lvlJc w:val="left"/>
      <w:pPr>
        <w:ind w:left="4122" w:hanging="281"/>
      </w:pPr>
    </w:lvl>
    <w:lvl w:ilvl="7" w:tentative="0">
      <w:start w:val="0"/>
      <w:numFmt w:val="bullet"/>
      <w:lvlText w:val="•"/>
      <w:lvlJc w:val="left"/>
      <w:pPr>
        <w:ind w:left="4745" w:hanging="281"/>
      </w:pPr>
    </w:lvl>
    <w:lvl w:ilvl="8" w:tentative="0">
      <w:start w:val="0"/>
      <w:numFmt w:val="bullet"/>
      <w:lvlText w:val="•"/>
      <w:lvlJc w:val="left"/>
      <w:pPr>
        <w:ind w:left="5369" w:hanging="281"/>
      </w:pPr>
    </w:lvl>
  </w:abstractNum>
  <w:abstractNum w:abstractNumId="8">
    <w:nsid w:val="00000448"/>
    <w:multiLevelType w:val="multilevel"/>
    <w:tmpl w:val="00000448"/>
    <w:lvl w:ilvl="0" w:tentative="0">
      <w:start w:val="1"/>
      <w:numFmt w:val="decimal"/>
      <w:lvlText w:val="%1."/>
      <w:lvlJc w:val="left"/>
      <w:pPr>
        <w:ind w:left="388" w:hanging="281"/>
      </w:pPr>
      <w:rPr>
        <w:rFonts w:ascii="微软雅黑" w:hAnsi="Times New Roman" w:cs="微软雅黑"/>
        <w:b w:val="0"/>
        <w:bCs w:val="0"/>
        <w:i w:val="0"/>
        <w:iCs w:val="0"/>
        <w:sz w:val="21"/>
        <w:szCs w:val="21"/>
      </w:rPr>
    </w:lvl>
    <w:lvl w:ilvl="1" w:tentative="0">
      <w:start w:val="0"/>
      <w:numFmt w:val="bullet"/>
      <w:lvlText w:val="•"/>
      <w:lvlJc w:val="left"/>
      <w:pPr>
        <w:ind w:left="1003" w:hanging="281"/>
      </w:pPr>
    </w:lvl>
    <w:lvl w:ilvl="2" w:tentative="0">
      <w:start w:val="0"/>
      <w:numFmt w:val="bullet"/>
      <w:lvlText w:val="•"/>
      <w:lvlJc w:val="left"/>
      <w:pPr>
        <w:ind w:left="1627" w:hanging="281"/>
      </w:pPr>
    </w:lvl>
    <w:lvl w:ilvl="3" w:tentative="0">
      <w:start w:val="0"/>
      <w:numFmt w:val="bullet"/>
      <w:lvlText w:val="•"/>
      <w:lvlJc w:val="left"/>
      <w:pPr>
        <w:ind w:left="2251" w:hanging="281"/>
      </w:pPr>
    </w:lvl>
    <w:lvl w:ilvl="4" w:tentative="0">
      <w:start w:val="0"/>
      <w:numFmt w:val="bullet"/>
      <w:lvlText w:val="•"/>
      <w:lvlJc w:val="left"/>
      <w:pPr>
        <w:ind w:left="2874" w:hanging="281"/>
      </w:pPr>
    </w:lvl>
    <w:lvl w:ilvl="5" w:tentative="0">
      <w:start w:val="0"/>
      <w:numFmt w:val="bullet"/>
      <w:lvlText w:val="•"/>
      <w:lvlJc w:val="left"/>
      <w:pPr>
        <w:ind w:left="3498" w:hanging="281"/>
      </w:pPr>
    </w:lvl>
    <w:lvl w:ilvl="6" w:tentative="0">
      <w:start w:val="0"/>
      <w:numFmt w:val="bullet"/>
      <w:lvlText w:val="•"/>
      <w:lvlJc w:val="left"/>
      <w:pPr>
        <w:ind w:left="4122" w:hanging="281"/>
      </w:pPr>
    </w:lvl>
    <w:lvl w:ilvl="7" w:tentative="0">
      <w:start w:val="0"/>
      <w:numFmt w:val="bullet"/>
      <w:lvlText w:val="•"/>
      <w:lvlJc w:val="left"/>
      <w:pPr>
        <w:ind w:left="4745" w:hanging="281"/>
      </w:pPr>
    </w:lvl>
    <w:lvl w:ilvl="8" w:tentative="0">
      <w:start w:val="0"/>
      <w:numFmt w:val="bullet"/>
      <w:lvlText w:val="•"/>
      <w:lvlJc w:val="left"/>
      <w:pPr>
        <w:ind w:left="5369" w:hanging="281"/>
      </w:pPr>
    </w:lvl>
  </w:abstractNum>
  <w:abstractNum w:abstractNumId="9">
    <w:nsid w:val="00000449"/>
    <w:multiLevelType w:val="multilevel"/>
    <w:tmpl w:val="00000449"/>
    <w:lvl w:ilvl="0" w:tentative="0">
      <w:start w:val="1"/>
      <w:numFmt w:val="decimal"/>
      <w:lvlText w:val="%1."/>
      <w:lvlJc w:val="left"/>
      <w:pPr>
        <w:ind w:left="388" w:hanging="281"/>
      </w:pPr>
      <w:rPr>
        <w:rFonts w:ascii="微软雅黑" w:hAnsi="Times New Roman" w:cs="微软雅黑"/>
        <w:b w:val="0"/>
        <w:bCs w:val="0"/>
        <w:i w:val="0"/>
        <w:iCs w:val="0"/>
        <w:sz w:val="21"/>
        <w:szCs w:val="21"/>
      </w:rPr>
    </w:lvl>
    <w:lvl w:ilvl="1" w:tentative="0">
      <w:start w:val="0"/>
      <w:numFmt w:val="bullet"/>
      <w:lvlText w:val="•"/>
      <w:lvlJc w:val="left"/>
      <w:pPr>
        <w:ind w:left="1003" w:hanging="281"/>
      </w:pPr>
    </w:lvl>
    <w:lvl w:ilvl="2" w:tentative="0">
      <w:start w:val="0"/>
      <w:numFmt w:val="bullet"/>
      <w:lvlText w:val="•"/>
      <w:lvlJc w:val="left"/>
      <w:pPr>
        <w:ind w:left="1627" w:hanging="281"/>
      </w:pPr>
    </w:lvl>
    <w:lvl w:ilvl="3" w:tentative="0">
      <w:start w:val="0"/>
      <w:numFmt w:val="bullet"/>
      <w:lvlText w:val="•"/>
      <w:lvlJc w:val="left"/>
      <w:pPr>
        <w:ind w:left="2251" w:hanging="281"/>
      </w:pPr>
    </w:lvl>
    <w:lvl w:ilvl="4" w:tentative="0">
      <w:start w:val="0"/>
      <w:numFmt w:val="bullet"/>
      <w:lvlText w:val="•"/>
      <w:lvlJc w:val="left"/>
      <w:pPr>
        <w:ind w:left="2874" w:hanging="281"/>
      </w:pPr>
    </w:lvl>
    <w:lvl w:ilvl="5" w:tentative="0">
      <w:start w:val="0"/>
      <w:numFmt w:val="bullet"/>
      <w:lvlText w:val="•"/>
      <w:lvlJc w:val="left"/>
      <w:pPr>
        <w:ind w:left="3498" w:hanging="281"/>
      </w:pPr>
    </w:lvl>
    <w:lvl w:ilvl="6" w:tentative="0">
      <w:start w:val="0"/>
      <w:numFmt w:val="bullet"/>
      <w:lvlText w:val="•"/>
      <w:lvlJc w:val="left"/>
      <w:pPr>
        <w:ind w:left="4122" w:hanging="281"/>
      </w:pPr>
    </w:lvl>
    <w:lvl w:ilvl="7" w:tentative="0">
      <w:start w:val="0"/>
      <w:numFmt w:val="bullet"/>
      <w:lvlText w:val="•"/>
      <w:lvlJc w:val="left"/>
      <w:pPr>
        <w:ind w:left="4745" w:hanging="281"/>
      </w:pPr>
    </w:lvl>
    <w:lvl w:ilvl="8" w:tentative="0">
      <w:start w:val="0"/>
      <w:numFmt w:val="bullet"/>
      <w:lvlText w:val="•"/>
      <w:lvlJc w:val="left"/>
      <w:pPr>
        <w:ind w:left="5369" w:hanging="281"/>
      </w:pPr>
    </w:lvl>
  </w:abstractNum>
  <w:abstractNum w:abstractNumId="10">
    <w:nsid w:val="0000044A"/>
    <w:multiLevelType w:val="multilevel"/>
    <w:tmpl w:val="0000044A"/>
    <w:lvl w:ilvl="0" w:tentative="0">
      <w:start w:val="1"/>
      <w:numFmt w:val="decimal"/>
      <w:lvlText w:val="%1."/>
      <w:lvlJc w:val="left"/>
      <w:pPr>
        <w:ind w:left="107" w:hanging="281"/>
      </w:pPr>
      <w:rPr>
        <w:rFonts w:ascii="微软雅黑" w:hAnsi="Times New Roman" w:cs="微软雅黑"/>
        <w:b w:val="0"/>
        <w:bCs w:val="0"/>
        <w:i w:val="0"/>
        <w:iCs w:val="0"/>
        <w:sz w:val="21"/>
        <w:szCs w:val="21"/>
      </w:rPr>
    </w:lvl>
    <w:lvl w:ilvl="1" w:tentative="0">
      <w:start w:val="0"/>
      <w:numFmt w:val="bullet"/>
      <w:lvlText w:val="•"/>
      <w:lvlJc w:val="left"/>
      <w:pPr>
        <w:ind w:left="751" w:hanging="281"/>
      </w:pPr>
    </w:lvl>
    <w:lvl w:ilvl="2" w:tentative="0">
      <w:start w:val="0"/>
      <w:numFmt w:val="bullet"/>
      <w:lvlText w:val="•"/>
      <w:lvlJc w:val="left"/>
      <w:pPr>
        <w:ind w:left="1403" w:hanging="281"/>
      </w:pPr>
    </w:lvl>
    <w:lvl w:ilvl="3" w:tentative="0">
      <w:start w:val="0"/>
      <w:numFmt w:val="bullet"/>
      <w:lvlText w:val="•"/>
      <w:lvlJc w:val="left"/>
      <w:pPr>
        <w:ind w:left="2055" w:hanging="281"/>
      </w:pPr>
    </w:lvl>
    <w:lvl w:ilvl="4" w:tentative="0">
      <w:start w:val="0"/>
      <w:numFmt w:val="bullet"/>
      <w:lvlText w:val="•"/>
      <w:lvlJc w:val="left"/>
      <w:pPr>
        <w:ind w:left="2706" w:hanging="281"/>
      </w:pPr>
    </w:lvl>
    <w:lvl w:ilvl="5" w:tentative="0">
      <w:start w:val="0"/>
      <w:numFmt w:val="bullet"/>
      <w:lvlText w:val="•"/>
      <w:lvlJc w:val="left"/>
      <w:pPr>
        <w:ind w:left="3358" w:hanging="281"/>
      </w:pPr>
    </w:lvl>
    <w:lvl w:ilvl="6" w:tentative="0">
      <w:start w:val="0"/>
      <w:numFmt w:val="bullet"/>
      <w:lvlText w:val="•"/>
      <w:lvlJc w:val="left"/>
      <w:pPr>
        <w:ind w:left="4010" w:hanging="281"/>
      </w:pPr>
    </w:lvl>
    <w:lvl w:ilvl="7" w:tentative="0">
      <w:start w:val="0"/>
      <w:numFmt w:val="bullet"/>
      <w:lvlText w:val="•"/>
      <w:lvlJc w:val="left"/>
      <w:pPr>
        <w:ind w:left="4661" w:hanging="281"/>
      </w:pPr>
    </w:lvl>
    <w:lvl w:ilvl="8" w:tentative="0">
      <w:start w:val="0"/>
      <w:numFmt w:val="bullet"/>
      <w:lvlText w:val="•"/>
      <w:lvlJc w:val="left"/>
      <w:pPr>
        <w:ind w:left="5313" w:hanging="281"/>
      </w:pPr>
    </w:lvl>
  </w:abstractNum>
  <w:abstractNum w:abstractNumId="11">
    <w:nsid w:val="0000044B"/>
    <w:multiLevelType w:val="multilevel"/>
    <w:tmpl w:val="0000044B"/>
    <w:lvl w:ilvl="0" w:tentative="0">
      <w:start w:val="1"/>
      <w:numFmt w:val="decimal"/>
      <w:lvlText w:val="%1."/>
      <w:lvlJc w:val="left"/>
      <w:pPr>
        <w:ind w:left="388" w:hanging="281"/>
      </w:pPr>
      <w:rPr>
        <w:rFonts w:ascii="微软雅黑" w:hAnsi="Times New Roman" w:cs="微软雅黑"/>
        <w:b w:val="0"/>
        <w:bCs w:val="0"/>
        <w:i w:val="0"/>
        <w:iCs w:val="0"/>
        <w:sz w:val="21"/>
        <w:szCs w:val="21"/>
      </w:rPr>
    </w:lvl>
    <w:lvl w:ilvl="1" w:tentative="0">
      <w:start w:val="0"/>
      <w:numFmt w:val="bullet"/>
      <w:lvlText w:val="•"/>
      <w:lvlJc w:val="left"/>
      <w:pPr>
        <w:ind w:left="1003" w:hanging="281"/>
      </w:pPr>
    </w:lvl>
    <w:lvl w:ilvl="2" w:tentative="0">
      <w:start w:val="0"/>
      <w:numFmt w:val="bullet"/>
      <w:lvlText w:val="•"/>
      <w:lvlJc w:val="left"/>
      <w:pPr>
        <w:ind w:left="1627" w:hanging="281"/>
      </w:pPr>
    </w:lvl>
    <w:lvl w:ilvl="3" w:tentative="0">
      <w:start w:val="0"/>
      <w:numFmt w:val="bullet"/>
      <w:lvlText w:val="•"/>
      <w:lvlJc w:val="left"/>
      <w:pPr>
        <w:ind w:left="2251" w:hanging="281"/>
      </w:pPr>
    </w:lvl>
    <w:lvl w:ilvl="4" w:tentative="0">
      <w:start w:val="0"/>
      <w:numFmt w:val="bullet"/>
      <w:lvlText w:val="•"/>
      <w:lvlJc w:val="left"/>
      <w:pPr>
        <w:ind w:left="2874" w:hanging="281"/>
      </w:pPr>
    </w:lvl>
    <w:lvl w:ilvl="5" w:tentative="0">
      <w:start w:val="0"/>
      <w:numFmt w:val="bullet"/>
      <w:lvlText w:val="•"/>
      <w:lvlJc w:val="left"/>
      <w:pPr>
        <w:ind w:left="3498" w:hanging="281"/>
      </w:pPr>
    </w:lvl>
    <w:lvl w:ilvl="6" w:tentative="0">
      <w:start w:val="0"/>
      <w:numFmt w:val="bullet"/>
      <w:lvlText w:val="•"/>
      <w:lvlJc w:val="left"/>
      <w:pPr>
        <w:ind w:left="4122" w:hanging="281"/>
      </w:pPr>
    </w:lvl>
    <w:lvl w:ilvl="7" w:tentative="0">
      <w:start w:val="0"/>
      <w:numFmt w:val="bullet"/>
      <w:lvlText w:val="•"/>
      <w:lvlJc w:val="left"/>
      <w:pPr>
        <w:ind w:left="4745" w:hanging="281"/>
      </w:pPr>
    </w:lvl>
    <w:lvl w:ilvl="8" w:tentative="0">
      <w:start w:val="0"/>
      <w:numFmt w:val="bullet"/>
      <w:lvlText w:val="•"/>
      <w:lvlJc w:val="left"/>
      <w:pPr>
        <w:ind w:left="5369" w:hanging="281"/>
      </w:pPr>
    </w:lvl>
  </w:abstractNum>
  <w:abstractNum w:abstractNumId="12">
    <w:nsid w:val="036F5F69"/>
    <w:multiLevelType w:val="multilevel"/>
    <w:tmpl w:val="036F5F69"/>
    <w:lvl w:ilvl="0" w:tentative="0">
      <w:start w:val="1"/>
      <w:numFmt w:val="decimal"/>
      <w:lvlText w:val="%1．"/>
      <w:lvlJc w:val="left"/>
      <w:pPr>
        <w:ind w:left="780" w:hanging="360"/>
      </w:pPr>
      <w:rPr>
        <w:rFonts w:hint="default"/>
      </w:rPr>
    </w:lvl>
    <w:lvl w:ilvl="1" w:tentative="0">
      <w:start w:val="1"/>
      <w:numFmt w:val="lowerLetter"/>
      <w:lvlText w:val="%2)"/>
      <w:lvlJc w:val="left"/>
      <w:pPr>
        <w:ind w:left="1260" w:hanging="420"/>
      </w:pPr>
    </w:lvl>
    <w:lvl w:ilvl="2" w:tentative="0">
      <w:start w:val="1"/>
      <w:numFmt w:val="lowerRoman"/>
      <w:lvlText w:val="%3."/>
      <w:lvlJc w:val="right"/>
      <w:pPr>
        <w:ind w:left="1680" w:hanging="420"/>
      </w:pPr>
    </w:lvl>
    <w:lvl w:ilvl="3" w:tentative="0">
      <w:start w:val="1"/>
      <w:numFmt w:val="decimal"/>
      <w:lvlText w:val="%4."/>
      <w:lvlJc w:val="left"/>
      <w:pPr>
        <w:ind w:left="2100" w:hanging="420"/>
      </w:pPr>
    </w:lvl>
    <w:lvl w:ilvl="4" w:tentative="0">
      <w:start w:val="1"/>
      <w:numFmt w:val="lowerLetter"/>
      <w:lvlText w:val="%5)"/>
      <w:lvlJc w:val="left"/>
      <w:pPr>
        <w:ind w:left="2520" w:hanging="420"/>
      </w:pPr>
    </w:lvl>
    <w:lvl w:ilvl="5" w:tentative="0">
      <w:start w:val="1"/>
      <w:numFmt w:val="lowerRoman"/>
      <w:lvlText w:val="%6."/>
      <w:lvlJc w:val="right"/>
      <w:pPr>
        <w:ind w:left="2940" w:hanging="420"/>
      </w:pPr>
    </w:lvl>
    <w:lvl w:ilvl="6" w:tentative="0">
      <w:start w:val="1"/>
      <w:numFmt w:val="decimal"/>
      <w:lvlText w:val="%7."/>
      <w:lvlJc w:val="left"/>
      <w:pPr>
        <w:ind w:left="3360" w:hanging="420"/>
      </w:pPr>
    </w:lvl>
    <w:lvl w:ilvl="7" w:tentative="0">
      <w:start w:val="1"/>
      <w:numFmt w:val="lowerLetter"/>
      <w:lvlText w:val="%8)"/>
      <w:lvlJc w:val="left"/>
      <w:pPr>
        <w:ind w:left="3780" w:hanging="420"/>
      </w:pPr>
    </w:lvl>
    <w:lvl w:ilvl="8" w:tentative="0">
      <w:start w:val="1"/>
      <w:numFmt w:val="lowerRoman"/>
      <w:lvlText w:val="%9."/>
      <w:lvlJc w:val="right"/>
      <w:pPr>
        <w:ind w:left="4200" w:hanging="420"/>
      </w:pPr>
    </w:lvl>
  </w:abstractNum>
  <w:abstractNum w:abstractNumId="13">
    <w:nsid w:val="2B39858C"/>
    <w:multiLevelType w:val="multilevel"/>
    <w:tmpl w:val="2B39858C"/>
    <w:lvl w:ilvl="0" w:tentative="0">
      <w:start w:val="3"/>
      <w:numFmt w:val="chineseCounting"/>
      <w:suff w:val="space"/>
      <w:lvlText w:val="第%1节"/>
      <w:lvlJc w:val="left"/>
      <w:rPr>
        <w:rFonts w:hint="eastAsia"/>
      </w:rPr>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abstractNum w:abstractNumId="14">
    <w:nsid w:val="5498E193"/>
    <w:multiLevelType w:val="multilevel"/>
    <w:tmpl w:val="5498E193"/>
    <w:lvl w:ilvl="0" w:tentative="0">
      <w:start w:val="11"/>
      <w:numFmt w:val="decimal"/>
      <w:suff w:val="space"/>
      <w:lvlText w:val="%1."/>
      <w:lvlJc w:val="left"/>
    </w:lvl>
    <w:lvl w:ilvl="1" w:tentative="0">
      <w:start w:val="0"/>
      <w:numFmt w:val="bullet"/>
      <w:lvlText w:val=""/>
      <w:lvlJc w:val="left"/>
    </w:lvl>
    <w:lvl w:ilvl="2" w:tentative="0">
      <w:start w:val="0"/>
      <w:numFmt w:val="bullet"/>
      <w:lvlText w:val=""/>
      <w:lvlJc w:val="left"/>
    </w:lvl>
    <w:lvl w:ilvl="3" w:tentative="0">
      <w:start w:val="0"/>
      <w:numFmt w:val="bullet"/>
      <w:lvlText w:val=""/>
      <w:lvlJc w:val="left"/>
    </w:lvl>
    <w:lvl w:ilvl="4" w:tentative="0">
      <w:start w:val="0"/>
      <w:numFmt w:val="bullet"/>
      <w:lvlText w:val=""/>
      <w:lvlJc w:val="left"/>
    </w:lvl>
    <w:lvl w:ilvl="5" w:tentative="0">
      <w:start w:val="0"/>
      <w:numFmt w:val="bullet"/>
      <w:lvlText w:val=""/>
      <w:lvlJc w:val="left"/>
    </w:lvl>
    <w:lvl w:ilvl="6" w:tentative="0">
      <w:start w:val="0"/>
      <w:numFmt w:val="bullet"/>
      <w:lvlText w:val=""/>
      <w:lvlJc w:val="left"/>
    </w:lvl>
    <w:lvl w:ilvl="7" w:tentative="0">
      <w:start w:val="0"/>
      <w:numFmt w:val="bullet"/>
      <w:lvlText w:val=""/>
      <w:lvlJc w:val="left"/>
    </w:lvl>
    <w:lvl w:ilvl="8" w:tentative="0">
      <w:start w:val="0"/>
      <w:numFmt w:val="bullet"/>
      <w:lvlText w:val=""/>
      <w:lvlJc w:val="left"/>
    </w:lvl>
  </w:abstractNum>
  <w:num w:numId="1">
    <w:abstractNumId w:val="2"/>
  </w:num>
  <w:num w:numId="2">
    <w:abstractNumId w:val="1"/>
  </w:num>
  <w:num w:numId="3">
    <w:abstractNumId w:val="13"/>
  </w:num>
  <w:num w:numId="4">
    <w:abstractNumId w:val="4"/>
  </w:num>
  <w:num w:numId="5">
    <w:abstractNumId w:val="5"/>
  </w:num>
  <w:num w:numId="6">
    <w:abstractNumId w:val="6"/>
  </w:num>
  <w:num w:numId="7">
    <w:abstractNumId w:val="7"/>
  </w:num>
  <w:num w:numId="8">
    <w:abstractNumId w:val="8"/>
  </w:num>
  <w:num w:numId="9">
    <w:abstractNumId w:val="9"/>
  </w:num>
  <w:num w:numId="10">
    <w:abstractNumId w:val="10"/>
  </w:num>
  <w:num w:numId="11">
    <w:abstractNumId w:val="11"/>
  </w:num>
  <w:num w:numId="12">
    <w:abstractNumId w:val="3"/>
  </w:num>
  <w:num w:numId="13">
    <w:abstractNumId w:val="0"/>
  </w:num>
  <w:num w:numId="14">
    <w:abstractNumId w:val="14"/>
  </w:num>
  <w:num w:numId="15">
    <w:abstractNumId w:val="1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sl="http://schemas.openxmlformats.org/schemaLibrary/2006/main" xmlns:wpsCustomData="http://www.wps.cn/officeDocument/2013/wpsCustomData" mc:Ignorable="w14">
  <w:zoom w:percent="100"/>
  <w:revisionView w:markup="0"/>
  <w:documentProtection w:enforcement="0"/>
  <w:defaultTabStop w:val="420"/>
  <w:characterSpacingControl w:val="doNotCompress"/>
  <w:compat>
    <w:balanceSingleByteDoubleByteWidth/>
    <w:ulTrailSpace/>
    <w:doNotExpandShiftReturn/>
    <w:useFELayou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
  <w:rsids>
    <w:rsidRoot w:val="00000000"/>
    <w:rsid w:val="013F640D"/>
    <w:rsid w:val="14403BBB"/>
    <w:rsid w:val="164C15CB"/>
    <w:rsid w:val="3B324322"/>
    <w:rsid w:val="40EF515B"/>
    <w:rsid w:val="41F304FF"/>
    <w:rsid w:val="4BEC27C5"/>
    <w:rsid w:val="54C635F4"/>
    <w:rsid w:val="58052077"/>
    <w:rsid w:val="7073581A"/>
    <w:rsid w:val="71205F3E"/>
  </w:rsids>
  <m:mathPr>
    <m:brkBin m:val="before"/>
    <m:brkBinSub m:val="--"/>
    <m:smallFrac m:val="0"/>
    <m:dispDef/>
    <m:lMargin m:val="0"/>
    <m:rMargin m:val="0"/>
    <m:defJc m:val="centerGroup"/>
    <m:wrapIndent m:val="1440"/>
    <m:intLim m:val="subSup"/>
    <m:naryLim m:val="undOvr"/>
  </m:mathPr>
  <w:themeFontLang w:val="en-US" w:eastAsia="zh-CN"/>
  <w:clrSchemeMapping w:bg1="light1" w:t1="dark1" w:bg2="light2" w:t2="dark2" w:accent1="accent1" w:accent2="accent2" w:accent3="accent3" w:accent4="accent4" w:accent5="accent5" w:accent6="accent6" w:hyperlink="hyperlink" w:followedHyperlink="followedHyperlink"/>
  <w:shapeDefaults>
    <o:shapedefaults fillcolor="#FFFFFF" fill="t" stroke="t">
      <v:fill on="t" focussize="0,0"/>
      <v:stroke color="#000000"/>
    </o:shapedefaults>
    <o:shapelayout v:ext="edit">
      <o:idmap v:ext="edit" data="1"/>
    </o:shapelayout>
  </w:shapeDefaults>
  <mc:AlternateContent>
    <mc:Choice Requires="wpsCustomData">
      <wpsCustomData:typoFeatureVersion val="1"/>
    </mc:Choice>
  </mc:AlternateContent>
</w:settings>
</file>

<file path=word/styles.xml><?xml version="1.0" encoding="utf-8"?>
<w:styles xmlns:mc="http://schemas.openxmlformats.org/markup-compatibility/2006" xmlns:o="urn:schemas-microsoft-com:office:office" xmlns:r="http://schemas.openxmlformats.org/officeDocument/2006/relationships" xmlns:m="http://schemas.openxmlformats.org/officeDocument/2006/math" xmlns:v="urn:schemas-microsoft-com:vml" xmlns:w="http://schemas.openxmlformats.org/wordprocessingml/2006/main" xmlns:w14="http://schemas.microsoft.com/office/word/2010/wordml" xmlns:w10="urn:schemas-microsoft-com:office:word" xmlns:sl="http://schemas.openxmlformats.org/schemaLibrary/2006/main" xmlns:wpsCustomData="http://www.wps.cn/officeDocument/2013/wpsCustomData" mc:Ignorable="w14">
  <w:docDefaults>
    <w:rPrDefault>
      <w:rPr>
        <w:rFonts w:ascii="Times New Roman" w:hAnsi="Times New Roman" w:eastAsia="宋体" w:cs="Times New Roman"/>
      </w:rPr>
    </w:rPrDefault>
    <w:pPrDefault/>
  </w:docDefaults>
  <w:latentStyles w:count="260" w:defQFormat="0" w:defUnhideWhenUsed="1" w:defSemiHidden="1" w:defUIPriority="99" w:defLockedState="0">
    <w:lsdException w:qFormat="1" w:unhideWhenUsed="0" w:uiPriority="0" w:semiHidden="0" w:name="Normal"/>
    <w:lsdException w:qFormat="1" w:unhideWhenUsed="0" w:uiPriority="0" w:semiHidden="0" w:name="heading 1"/>
    <w:lsdException w:qFormat="1" w:unhideWhenUsed="0" w:uiPriority="0" w:semiHidden="0" w:name="heading 2"/>
    <w:lsdException w:qFormat="1" w:unhideWhenUsed="0" w:uiPriority="0" w:semiHidden="0" w:name="heading 3"/>
    <w:lsdException w:qFormat="1" w:unhideWhenUsed="0" w:uiPriority="0" w:semiHidden="0" w:name="heading 4"/>
    <w:lsdException w:qFormat="1" w:unhideWhenUsed="0" w:uiPriority="0" w:semiHidden="0" w:name="heading 5"/>
    <w:lsdException w:qFormat="1" w:unhideWhenUsed="0" w:uiPriority="0" w:semiHidden="0" w:name="heading 6"/>
    <w:lsdException w:qFormat="1" w:unhideWhenUsed="0" w:uiPriority="0" w:semiHidden="0" w:name="heading 7"/>
    <w:lsdException w:qFormat="1" w:unhideWhenUsed="0" w:uiPriority="0" w:semiHidden="0" w:name="heading 8"/>
    <w:lsdException w:qFormat="1" w:unhideWhenUsed="0" w:uiPriority="0" w:semiHidden="0" w:name="heading 9"/>
    <w:lsdException w:qFormat="1" w:unhideWhenUsed="0" w:uiPriority="0" w:semiHidden="0" w:name="index 1"/>
    <w:lsdException w:uiPriority="99" w:name="index 2"/>
    <w:lsdException w:qFormat="1" w:unhideWhenUsed="0" w:uiPriority="0" w:semiHidden="0" w:name="index 3"/>
    <w:lsdException w:qFormat="1" w:unhideWhenUsed="0" w:uiPriority="0" w:semiHidden="0" w:name="index 4"/>
    <w:lsdException w:uiPriority="99" w:name="index 5"/>
    <w:lsdException w:uiPriority="99" w:name="index 6"/>
    <w:lsdException w:uiPriority="99" w:name="index 7"/>
    <w:lsdException w:qFormat="1" w:unhideWhenUsed="0" w:uiPriority="0" w:semiHidden="0" w:name="index 8"/>
    <w:lsdException w:qFormat="1" w:unhideWhenUsed="0" w:uiPriority="0" w:semiHidden="0" w:name="index 9"/>
    <w:lsdException w:qFormat="1" w:uiPriority="39" w:semiHidden="0" w:name="toc 1"/>
    <w:lsdException w:qFormat="1" w:uiPriority="39" w:semiHidden="0" w:name="toc 2"/>
    <w:lsdException w:qFormat="1" w:uiPriority="39" w:semiHidden="0" w:name="toc 3"/>
    <w:lsdException w:qFormat="1" w:uiPriority="0" w:semiHidden="0" w:name="toc 4"/>
    <w:lsdException w:qFormat="1" w:uiPriority="0" w:semiHidden="0" w:name="toc 5"/>
    <w:lsdException w:qFormat="1" w:uiPriority="0" w:semiHidden="0" w:name="toc 6"/>
    <w:lsdException w:qFormat="1" w:uiPriority="0" w:semiHidden="0" w:name="toc 7"/>
    <w:lsdException w:qFormat="1" w:uiPriority="0" w:semiHidden="0" w:name="toc 8"/>
    <w:lsdException w:qFormat="1" w:uiPriority="0" w:semiHidden="0" w:name="toc 9"/>
    <w:lsdException w:qFormat="1" w:unhideWhenUsed="0" w:uiPriority="0" w:semiHidden="0" w:name="Normal Indent"/>
    <w:lsdException w:qFormat="1" w:unhideWhenUsed="0" w:uiPriority="0" w:semiHidden="0" w:name="footnote text"/>
    <w:lsdException w:qFormat="1" w:unhideWhenUsed="0" w:uiPriority="0" w:semiHidden="0" w:name="annotation text"/>
    <w:lsdException w:qFormat="1" w:uiPriority="0" w:semiHidden="0" w:name="header"/>
    <w:lsdException w:qFormat="1" w:uiPriority="0" w:semiHidden="0" w:name="footer"/>
    <w:lsdException w:uiPriority="99" w:name="index heading"/>
    <w:lsdException w:qFormat="1" w:unhideWhenUsed="0" w:uiPriority="0" w:semiHidden="0" w:name="caption"/>
    <w:lsdException w:qFormat="1" w:unhideWhenUsed="0" w:uiPriority="0" w:semiHidden="0" w:name="table of figures"/>
    <w:lsdException w:uiPriority="99" w:name="envelope address"/>
    <w:lsdException w:qFormat="1" w:uiPriority="0" w:semiHidden="0" w:name="envelope return"/>
    <w:lsdException w:qFormat="1" w:unhideWhenUsed="0" w:uiPriority="0" w:semiHidden="0" w:name="footnote reference"/>
    <w:lsdException w:qFormat="1" w:unhideWhenUsed="0" w:uiPriority="0" w:semiHidden="0" w:name="annotation reference"/>
    <w:lsdException w:uiPriority="99" w:name="line number"/>
    <w:lsdException w:qFormat="1" w:unhideWhenUsed="0" w:uiPriority="0" w:semiHidden="0" w:name="page number"/>
    <w:lsdException w:qFormat="1" w:uiPriority="99" w:name="endnote reference"/>
    <w:lsdException w:qFormat="1" w:uiPriority="99" w:name="endnote text"/>
    <w:lsdException w:uiPriority="99" w:name="table of authorities"/>
    <w:lsdException w:uiPriority="99" w:name="macro"/>
    <w:lsdException w:uiPriority="99" w:name="toa heading"/>
    <w:lsdException w:uiPriority="99" w:name="List"/>
    <w:lsdException w:qFormat="1" w:unhideWhenUsed="0" w:uiPriority="0" w:semiHidden="0" w:name="List Bullet"/>
    <w:lsdException w:qFormat="1" w:uiPriority="99" w:semiHidden="0" w:name="List Number"/>
    <w:lsdException w:qFormat="1" w:unhideWhenUsed="0" w:uiPriority="0" w:semiHidden="0" w:name="List 2"/>
    <w:lsdException w:uiPriority="99" w:name="List 3"/>
    <w:lsdException w:uiPriority="99" w:name="List 4"/>
    <w:lsdException w:qFormat="1" w:unhideWhenUsed="0" w:uiPriority="0" w:semiHidden="0" w:name="List 5"/>
    <w:lsdException w:uiPriority="99" w:name="List Bullet 2"/>
    <w:lsdException w:uiPriority="99" w:name="List Bullet 3"/>
    <w:lsdException w:uiPriority="99" w:name="List Bullet 4"/>
    <w:lsdException w:uiPriority="99" w:name="List Bullet 5"/>
    <w:lsdException w:uiPriority="99" w:name="List Number 2"/>
    <w:lsdException w:uiPriority="99" w:name="List Number 3"/>
    <w:lsdException w:uiPriority="99" w:name="List Number 4"/>
    <w:lsdException w:uiPriority="99" w:name="List Number 5"/>
    <w:lsdException w:qFormat="1" w:unhideWhenUsed="0" w:uiPriority="0" w:semiHidden="0" w:name="Title"/>
    <w:lsdException w:uiPriority="99" w:name="Closing"/>
    <w:lsdException w:uiPriority="99" w:name="Signature"/>
    <w:lsdException w:qFormat="1" w:uiPriority="1" w:semiHidden="0" w:name="Default Paragraph Font"/>
    <w:lsdException w:qFormat="1" w:uiPriority="0" w:semiHidden="0" w:name="Body Text"/>
    <w:lsdException w:qFormat="1" w:unhideWhenUsed="0" w:uiPriority="0" w:semiHidden="0" w:name="Body Text Indent"/>
    <w:lsdException w:uiPriority="99" w:name="List Continue"/>
    <w:lsdException w:uiPriority="99" w:name="List Continue 2"/>
    <w:lsdException w:uiPriority="99" w:name="List Continue 3"/>
    <w:lsdException w:uiPriority="99" w:name="List Continue 4"/>
    <w:lsdException w:uiPriority="99" w:name="List Continue 5"/>
    <w:lsdException w:uiPriority="99" w:name="Message Header"/>
    <w:lsdException w:qFormat="1" w:unhideWhenUsed="0" w:uiPriority="0" w:semiHidden="0" w:name="Subtitle"/>
    <w:lsdException w:uiPriority="99" w:name="Salutation"/>
    <w:lsdException w:qFormat="1" w:unhideWhenUsed="0" w:uiPriority="0" w:semiHidden="0" w:name="Date"/>
    <w:lsdException w:qFormat="1" w:unhideWhenUsed="0" w:uiPriority="0" w:semiHidden="0" w:name="Body Text First Indent"/>
    <w:lsdException w:qFormat="1" w:uiPriority="99" w:semiHidden="0" w:name="Body Text First Indent 2"/>
    <w:lsdException w:uiPriority="99" w:name="Note Heading"/>
    <w:lsdException w:qFormat="1" w:unhideWhenUsed="0" w:uiPriority="0" w:semiHidden="0" w:name="Body Text 2"/>
    <w:lsdException w:qFormat="1" w:unhideWhenUsed="0" w:uiPriority="0" w:semiHidden="0" w:name="Body Text 3"/>
    <w:lsdException w:qFormat="1" w:unhideWhenUsed="0" w:uiPriority="0" w:semiHidden="0" w:name="Body Text Indent 2"/>
    <w:lsdException w:qFormat="1" w:unhideWhenUsed="0" w:uiPriority="0" w:semiHidden="0" w:name="Body Text Indent 3"/>
    <w:lsdException w:qFormat="1" w:unhideWhenUsed="0" w:uiPriority="0" w:semiHidden="0" w:name="Block Text"/>
    <w:lsdException w:qFormat="1" w:unhideWhenUsed="0" w:uiPriority="99" w:semiHidden="0" w:name="Hyperlink"/>
    <w:lsdException w:qFormat="1" w:unhideWhenUsed="0" w:uiPriority="0" w:semiHidden="0" w:name="FollowedHyperlink"/>
    <w:lsdException w:qFormat="1" w:unhideWhenUsed="0" w:uiPriority="0" w:semiHidden="0" w:name="Strong"/>
    <w:lsdException w:qFormat="1" w:unhideWhenUsed="0" w:uiPriority="0" w:semiHidden="0" w:name="Emphasis"/>
    <w:lsdException w:qFormat="1" w:unhideWhenUsed="0" w:uiPriority="0" w:semiHidden="0" w:name="Document Map"/>
    <w:lsdException w:qFormat="1" w:unhideWhenUsed="0" w:uiPriority="0" w:semiHidden="0" w:name="Plain Text"/>
    <w:lsdException w:uiPriority="99" w:name="E-mail Signature"/>
    <w:lsdException w:qFormat="1" w:uiPriority="0" w:semiHidden="0" w:name="Normal (Web)"/>
    <w:lsdException w:qFormat="1" w:unhideWhenUsed="0" w:uiPriority="0" w:semiHidden="0" w:name="HTML Acronym"/>
    <w:lsdException w:uiPriority="99" w:name="HTML Address"/>
    <w:lsdException w:qFormat="1" w:unhideWhenUsed="0" w:uiPriority="0" w:semiHidden="0" w:name="HTML Cite"/>
    <w:lsdException w:qFormat="1" w:unhideWhenUsed="0" w:uiPriority="0" w:semiHidden="0" w:name="HTML Code"/>
    <w:lsdException w:qFormat="1" w:unhideWhenUsed="0" w:uiPriority="0" w:semiHidden="0" w:name="HTML Definition"/>
    <w:lsdException w:uiPriority="99" w:name="HTML Keyboard"/>
    <w:lsdException w:qFormat="1" w:unhideWhenUsed="0" w:uiPriority="0" w:semiHidden="0" w:name="HTML Preformatted"/>
    <w:lsdException w:uiPriority="99" w:name="HTML Sample"/>
    <w:lsdException w:uiPriority="99" w:name="HTML Typewriter"/>
    <w:lsdException w:qFormat="1" w:unhideWhenUsed="0" w:uiPriority="0" w:semiHidden="0" w:name="HTML Variable"/>
    <w:lsdException w:qFormat="1" w:uiPriority="99" w:semiHidden="0" w:name="Normal Table"/>
    <w:lsdException w:qFormat="1" w:unhideWhenUsed="0" w:uiPriority="0" w:semiHidden="0" w:name="annotation subject"/>
    <w:lsdException w:uiPriority="99" w:name="Table Simple 1"/>
    <w:lsdException w:uiPriority="99" w:name="Table Simple 2"/>
    <w:lsdException w:uiPriority="99" w:name="Table Simple 3"/>
    <w:lsdException w:uiPriority="99" w:name="Table Classic 1"/>
    <w:lsdException w:uiPriority="99" w:name="Table Classic 2"/>
    <w:lsdException w:uiPriority="99" w:name="Table Classic 3"/>
    <w:lsdException w:uiPriority="99" w:name="Table Classic 4"/>
    <w:lsdException w:uiPriority="99" w:name="Table Colorful 1"/>
    <w:lsdException w:uiPriority="99" w:name="Table Colorful 2"/>
    <w:lsdException w:uiPriority="99" w:name="Table Colorful 3"/>
    <w:lsdException w:uiPriority="99" w:name="Table Columns 1"/>
    <w:lsdException w:uiPriority="99" w:name="Table Columns 2"/>
    <w:lsdException w:uiPriority="99" w:name="Table Columns 3"/>
    <w:lsdException w:uiPriority="99" w:name="Table Columns 4"/>
    <w:lsdException w:uiPriority="99" w:name="Table Columns 5"/>
    <w:lsdException w:uiPriority="99" w:name="Table Grid 1"/>
    <w:lsdException w:uiPriority="99" w:name="Table Grid 2"/>
    <w:lsdException w:uiPriority="99" w:name="Table Grid 3"/>
    <w:lsdException w:uiPriority="99" w:name="Table Grid 4"/>
    <w:lsdException w:uiPriority="99" w:name="Table Grid 5"/>
    <w:lsdException w:uiPriority="99" w:name="Table Grid 6"/>
    <w:lsdException w:uiPriority="99" w:name="Table Grid 7"/>
    <w:lsdException w:uiPriority="99" w:name="Table Grid 8"/>
    <w:lsdException w:uiPriority="99" w:name="Table List 1"/>
    <w:lsdException w:uiPriority="99" w:name="Table List 2"/>
    <w:lsdException w:uiPriority="99" w:name="Table List 3"/>
    <w:lsdException w:uiPriority="99" w:name="Table List 4"/>
    <w:lsdException w:uiPriority="99" w:name="Table List 5"/>
    <w:lsdException w:uiPriority="99" w:name="Table List 6"/>
    <w:lsdException w:uiPriority="99" w:name="Table List 7"/>
    <w:lsdException w:uiPriority="99" w:name="Table List 8"/>
    <w:lsdException w:uiPriority="99" w:name="Table 3D effects 1"/>
    <w:lsdException w:uiPriority="99" w:name="Table 3D effects 2"/>
    <w:lsdException w:uiPriority="99" w:name="Table 3D effects 3"/>
    <w:lsdException w:uiPriority="99" w:name="Table Contemporary"/>
    <w:lsdException w:uiPriority="99" w:name="Table Elegant"/>
    <w:lsdException w:uiPriority="99" w:name="Table Professional"/>
    <w:lsdException w:uiPriority="99" w:name="Table Subtle 1"/>
    <w:lsdException w:uiPriority="99" w:name="Table Subtle 2"/>
    <w:lsdException w:uiPriority="99" w:name="Table Web 1"/>
    <w:lsdException w:uiPriority="99" w:name="Table Web 2"/>
    <w:lsdException w:uiPriority="99" w:name="Table Web 3"/>
    <w:lsdException w:qFormat="1" w:uiPriority="0" w:semiHidden="0" w:name="Balloon Text"/>
    <w:lsdException w:qFormat="1" w:unhideWhenUsed="0" w:uiPriority="0" w:semiHidden="0" w:name="Table Grid"/>
    <w:lsdException w:uiPriority="99" w:name="Table Theme"/>
    <w:lsdException w:qFormat="1" w:unhideWhenUsed="0" w:uiPriority="99" w:name="Placeholder Text"/>
    <w:lsdException w:qFormat="1" w:unhideWhenUsed="0" w:uiPriority="0" w:semiHidden="0" w:name="No Spacing"/>
    <w:lsdException w:unhideWhenUsed="0" w:uiPriority="60" w:semiHidden="0" w:name="Light Shading"/>
    <w:lsdException w:unhideWhenUsed="0" w:uiPriority="61" w:semiHidden="0" w:name="Light List"/>
    <w:lsdException w:unhideWhenUsed="0" w:uiPriority="62" w:semiHidden="0" w:name="Light Grid"/>
    <w:lsdException w:unhideWhenUsed="0" w:uiPriority="63" w:semiHidden="0" w:name="Medium Shading 1"/>
    <w:lsdException w:unhideWhenUsed="0" w:uiPriority="64" w:semiHidden="0" w:name="Medium Shading 2"/>
    <w:lsdException w:unhideWhenUsed="0" w:uiPriority="65" w:semiHidden="0" w:name="Medium List 1"/>
    <w:lsdException w:unhideWhenUsed="0" w:uiPriority="66" w:semiHidden="0" w:name="Medium List 2"/>
    <w:lsdException w:unhideWhenUsed="0" w:uiPriority="67" w:semiHidden="0" w:name="Medium Grid 1"/>
    <w:lsdException w:unhideWhenUsed="0" w:uiPriority="68" w:semiHidden="0" w:name="Medium Grid 2"/>
    <w:lsdException w:unhideWhenUsed="0" w:uiPriority="69" w:semiHidden="0" w:name="Medium Grid 3"/>
    <w:lsdException w:unhideWhenUsed="0" w:uiPriority="70" w:semiHidden="0" w:name="Dark List"/>
    <w:lsdException w:unhideWhenUsed="0" w:uiPriority="71" w:semiHidden="0" w:name="Colorful Shading"/>
    <w:lsdException w:unhideWhenUsed="0" w:uiPriority="72" w:semiHidden="0" w:name="Colorful List"/>
    <w:lsdException w:unhideWhenUsed="0" w:uiPriority="73" w:semiHidden="0" w:name="Colorful Grid"/>
    <w:lsdException w:unhideWhenUsed="0" w:uiPriority="60" w:semiHidden="0" w:name="Light Shading Accent 1"/>
    <w:lsdException w:unhideWhenUsed="0" w:uiPriority="61" w:semiHidden="0" w:name="Light List Accent 1"/>
    <w:lsdException w:unhideWhenUsed="0" w:uiPriority="62" w:semiHidden="0" w:name="Light Grid Accent 1"/>
    <w:lsdException w:unhideWhenUsed="0" w:uiPriority="63" w:semiHidden="0" w:name="Medium Shading 1 Accent 1"/>
    <w:lsdException w:unhideWhenUsed="0" w:uiPriority="64" w:semiHidden="0" w:name="Medium Shading 2 Accent 1"/>
    <w:lsdException w:unhideWhenUsed="0" w:uiPriority="65" w:semiHidden="0" w:name="Medium List 1 Accent 1"/>
    <w:lsdException w:qFormat="1" w:unhideWhenUsed="0" w:uiPriority="0" w:semiHidden="0" w:name="List Paragraph"/>
    <w:lsdException w:qFormat="1" w:unhideWhenUsed="0" w:uiPriority="0" w:semiHidden="0" w:name="Quote"/>
    <w:lsdException w:qFormat="1" w:unhideWhenUsed="0" w:uiPriority="0" w:semiHidden="0" w:name="Intense Quote"/>
    <w:lsdException w:unhideWhenUsed="0" w:uiPriority="66" w:semiHidden="0" w:name="Medium List 2 Accent 1"/>
    <w:lsdException w:unhideWhenUsed="0" w:uiPriority="67" w:semiHidden="0" w:name="Medium Grid 1 Accent 1"/>
    <w:lsdException w:unhideWhenUsed="0" w:uiPriority="68" w:semiHidden="0" w:name="Medium Grid 2 Accent 1"/>
    <w:lsdException w:unhideWhenUsed="0" w:uiPriority="69" w:semiHidden="0" w:name="Medium Grid 3 Accent 1"/>
    <w:lsdException w:unhideWhenUsed="0" w:uiPriority="70" w:semiHidden="0" w:name="Dark List Accent 1"/>
    <w:lsdException w:unhideWhenUsed="0" w:uiPriority="71" w:semiHidden="0" w:name="Colorful Shading Accent 1"/>
    <w:lsdException w:unhideWhenUsed="0" w:uiPriority="72" w:semiHidden="0" w:name="Colorful List Accent 1"/>
    <w:lsdException w:unhideWhenUsed="0" w:uiPriority="73" w:semiHidden="0" w:name="Colorful Grid Accent 1"/>
    <w:lsdException w:unhideWhenUsed="0" w:uiPriority="60" w:semiHidden="0" w:name="Light Shading Accent 2"/>
    <w:lsdException w:unhideWhenUsed="0" w:uiPriority="61" w:semiHidden="0" w:name="Light List Accent 2"/>
    <w:lsdException w:unhideWhenUsed="0" w:uiPriority="62" w:semiHidden="0" w:name="Light Grid Accent 2"/>
    <w:lsdException w:unhideWhenUsed="0" w:uiPriority="63" w:semiHidden="0" w:name="Medium Shading 1 Accent 2"/>
    <w:lsdException w:unhideWhenUsed="0" w:uiPriority="64" w:semiHidden="0" w:name="Medium Shading 2 Accent 2"/>
    <w:lsdException w:unhideWhenUsed="0" w:uiPriority="65" w:semiHidden="0" w:name="Medium List 1 Accent 2"/>
    <w:lsdException w:unhideWhenUsed="0" w:uiPriority="66" w:semiHidden="0" w:name="Medium List 2 Accent 2"/>
    <w:lsdException w:unhideWhenUsed="0" w:uiPriority="67" w:semiHidden="0" w:name="Medium Grid 1 Accent 2"/>
    <w:lsdException w:unhideWhenUsed="0" w:uiPriority="68" w:semiHidden="0" w:name="Medium Grid 2 Accent 2"/>
    <w:lsdException w:unhideWhenUsed="0" w:uiPriority="69" w:semiHidden="0" w:name="Medium Grid 3 Accent 2"/>
    <w:lsdException w:unhideWhenUsed="0" w:uiPriority="70" w:semiHidden="0" w:name="Dark List Accent 2"/>
    <w:lsdException w:unhideWhenUsed="0" w:uiPriority="71" w:semiHidden="0" w:name="Colorful Shading Accent 2"/>
    <w:lsdException w:unhideWhenUsed="0" w:uiPriority="72" w:semiHidden="0" w:name="Colorful List Accent 2"/>
    <w:lsdException w:unhideWhenUsed="0" w:uiPriority="73" w:semiHidden="0" w:name="Colorful Grid Accent 2"/>
    <w:lsdException w:unhideWhenUsed="0" w:uiPriority="60" w:semiHidden="0" w:name="Light Shading Accent 3"/>
    <w:lsdException w:unhideWhenUsed="0" w:uiPriority="61" w:semiHidden="0" w:name="Light List Accent 3"/>
    <w:lsdException w:unhideWhenUsed="0" w:uiPriority="62" w:semiHidden="0" w:name="Light Grid Accent 3"/>
    <w:lsdException w:unhideWhenUsed="0" w:uiPriority="63" w:semiHidden="0" w:name="Medium Shading 1 Accent 3"/>
    <w:lsdException w:unhideWhenUsed="0" w:uiPriority="64" w:semiHidden="0" w:name="Medium Shading 2 Accent 3"/>
    <w:lsdException w:unhideWhenUsed="0" w:uiPriority="65" w:semiHidden="0" w:name="Medium List 1 Accent 3"/>
    <w:lsdException w:unhideWhenUsed="0" w:uiPriority="66" w:semiHidden="0" w:name="Medium List 2 Accent 3"/>
    <w:lsdException w:unhideWhenUsed="0" w:uiPriority="67" w:semiHidden="0" w:name="Medium Grid 1 Accent 3"/>
    <w:lsdException w:unhideWhenUsed="0" w:uiPriority="68" w:semiHidden="0" w:name="Medium Grid 2 Accent 3"/>
    <w:lsdException w:unhideWhenUsed="0" w:uiPriority="69" w:semiHidden="0" w:name="Medium Grid 3 Accent 3"/>
    <w:lsdException w:unhideWhenUsed="0" w:uiPriority="70" w:semiHidden="0" w:name="Dark List Accent 3"/>
    <w:lsdException w:unhideWhenUsed="0" w:uiPriority="71" w:semiHidden="0" w:name="Colorful Shading Accent 3"/>
    <w:lsdException w:unhideWhenUsed="0" w:uiPriority="72" w:semiHidden="0" w:name="Colorful List Accent 3"/>
    <w:lsdException w:unhideWhenUsed="0" w:uiPriority="73" w:semiHidden="0" w:name="Colorful Grid Accent 3"/>
    <w:lsdException w:unhideWhenUsed="0" w:uiPriority="60" w:semiHidden="0" w:name="Light Shading Accent 4"/>
    <w:lsdException w:unhideWhenUsed="0" w:uiPriority="61" w:semiHidden="0" w:name="Light List Accent 4"/>
    <w:lsdException w:unhideWhenUsed="0" w:uiPriority="62" w:semiHidden="0" w:name="Light Grid Accent 4"/>
    <w:lsdException w:unhideWhenUsed="0" w:uiPriority="63" w:semiHidden="0" w:name="Medium Shading 1 Accent 4"/>
    <w:lsdException w:unhideWhenUsed="0" w:uiPriority="64" w:semiHidden="0" w:name="Medium Shading 2 Accent 4"/>
    <w:lsdException w:unhideWhenUsed="0" w:uiPriority="65" w:semiHidden="0" w:name="Medium List 1 Accent 4"/>
    <w:lsdException w:unhideWhenUsed="0" w:uiPriority="66" w:semiHidden="0" w:name="Medium List 2 Accent 4"/>
    <w:lsdException w:unhideWhenUsed="0" w:uiPriority="67" w:semiHidden="0" w:name="Medium Grid 1 Accent 4"/>
    <w:lsdException w:unhideWhenUsed="0" w:uiPriority="68" w:semiHidden="0" w:name="Medium Grid 2 Accent 4"/>
    <w:lsdException w:unhideWhenUsed="0" w:uiPriority="69" w:semiHidden="0" w:name="Medium Grid 3 Accent 4"/>
    <w:lsdException w:unhideWhenUsed="0" w:uiPriority="70" w:semiHidden="0" w:name="Dark List Accent 4"/>
    <w:lsdException w:unhideWhenUsed="0" w:uiPriority="71" w:semiHidden="0" w:name="Colorful Shading Accent 4"/>
    <w:lsdException w:unhideWhenUsed="0" w:uiPriority="72" w:semiHidden="0" w:name="Colorful List Accent 4"/>
    <w:lsdException w:unhideWhenUsed="0" w:uiPriority="73" w:semiHidden="0" w:name="Colorful Grid Accent 4"/>
    <w:lsdException w:unhideWhenUsed="0" w:uiPriority="60" w:semiHidden="0" w:name="Light Shading Accent 5"/>
    <w:lsdException w:unhideWhenUsed="0" w:uiPriority="61" w:semiHidden="0" w:name="Light List Accent 5"/>
    <w:lsdException w:unhideWhenUsed="0" w:uiPriority="62" w:semiHidden="0" w:name="Light Grid Accent 5"/>
    <w:lsdException w:unhideWhenUsed="0" w:uiPriority="63" w:semiHidden="0" w:name="Medium Shading 1 Accent 5"/>
    <w:lsdException w:unhideWhenUsed="0" w:uiPriority="64" w:semiHidden="0" w:name="Medium Shading 2 Accent 5"/>
    <w:lsdException w:unhideWhenUsed="0" w:uiPriority="65" w:semiHidden="0" w:name="Medium List 1 Accent 5"/>
    <w:lsdException w:unhideWhenUsed="0" w:uiPriority="66" w:semiHidden="0" w:name="Medium List 2 Accent 5"/>
    <w:lsdException w:unhideWhenUsed="0" w:uiPriority="67" w:semiHidden="0" w:name="Medium Grid 1 Accent 5"/>
    <w:lsdException w:unhideWhenUsed="0" w:uiPriority="68" w:semiHidden="0" w:name="Medium Grid 2 Accent 5"/>
    <w:lsdException w:unhideWhenUsed="0" w:uiPriority="69" w:semiHidden="0" w:name="Medium Grid 3 Accent 5"/>
    <w:lsdException w:unhideWhenUsed="0" w:uiPriority="70" w:semiHidden="0" w:name="Dark List Accent 5"/>
    <w:lsdException w:unhideWhenUsed="0" w:uiPriority="71" w:semiHidden="0" w:name="Colorful Shading Accent 5"/>
    <w:lsdException w:unhideWhenUsed="0" w:uiPriority="72" w:semiHidden="0" w:name="Colorful List Accent 5"/>
    <w:lsdException w:unhideWhenUsed="0" w:uiPriority="73" w:semiHidden="0" w:name="Colorful Grid Accent 5"/>
    <w:lsdException w:unhideWhenUsed="0" w:uiPriority="60" w:semiHidden="0" w:name="Light Shading Accent 6"/>
    <w:lsdException w:unhideWhenUsed="0" w:uiPriority="61" w:semiHidden="0" w:name="Light List Accent 6"/>
    <w:lsdException w:unhideWhenUsed="0" w:uiPriority="62" w:semiHidden="0" w:name="Light Grid Accent 6"/>
    <w:lsdException w:unhideWhenUsed="0" w:uiPriority="63" w:semiHidden="0" w:name="Medium Shading 1 Accent 6"/>
    <w:lsdException w:unhideWhenUsed="0" w:uiPriority="64" w:semiHidden="0" w:name="Medium Shading 2 Accent 6"/>
    <w:lsdException w:unhideWhenUsed="0" w:uiPriority="65" w:semiHidden="0" w:name="Medium List 1 Accent 6"/>
    <w:lsdException w:unhideWhenUsed="0" w:uiPriority="66" w:semiHidden="0" w:name="Medium List 2 Accent 6"/>
    <w:lsdException w:unhideWhenUsed="0" w:uiPriority="67" w:semiHidden="0" w:name="Medium Grid 1 Accent 6"/>
    <w:lsdException w:unhideWhenUsed="0" w:uiPriority="68" w:semiHidden="0" w:name="Medium Grid 2 Accent 6"/>
    <w:lsdException w:unhideWhenUsed="0" w:uiPriority="69" w:semiHidden="0" w:name="Medium Grid 3 Accent 6"/>
    <w:lsdException w:unhideWhenUsed="0" w:uiPriority="70" w:semiHidden="0" w:name="Dark List Accent 6"/>
    <w:lsdException w:unhideWhenUsed="0" w:uiPriority="71" w:semiHidden="0" w:name="Colorful Shading Accent 6"/>
    <w:lsdException w:unhideWhenUsed="0" w:uiPriority="72" w:semiHidden="0" w:name="Colorful List Accent 6"/>
    <w:lsdException w:unhideWhenUsed="0" w:uiPriority="73" w:semiHidden="0" w:name="Colorful Grid Accent 6"/>
  </w:latentStyles>
  <w:style w:type="paragraph" w:default="1" w:styleId="1">
    <w:name w:val="Normal"/>
    <w:next w:val="2"/>
    <w:qFormat/>
    <w:uiPriority w:val="0"/>
    <w:pPr>
      <w:widowControl w:val="0"/>
      <w:jc w:val="both"/>
    </w:pPr>
    <w:rPr>
      <w:rFonts w:hint="default" w:ascii="Times New Roman" w:hAnsi="Times New Roman" w:eastAsia="宋体" w:cs="Times New Roman"/>
      <w:sz w:val="21"/>
      <w:szCs w:val="24"/>
      <w:lang w:val="en-US" w:eastAsia="zh-CN" w:bidi="ar-SA"/>
    </w:rPr>
  </w:style>
  <w:style w:type="paragraph" w:styleId="3">
    <w:name w:val="heading 1"/>
    <w:basedOn w:val="1"/>
    <w:next w:val="1"/>
    <w:link w:val="211"/>
    <w:qFormat/>
    <w:uiPriority w:val="0"/>
    <w:pPr>
      <w:keepNext/>
      <w:keepLines/>
      <w:spacing w:before="340" w:after="330" w:line="578" w:lineRule="auto"/>
      <w:outlineLvl w:val="0"/>
    </w:pPr>
    <w:rPr>
      <w:b/>
      <w:bCs/>
      <w:sz w:val="36"/>
      <w:szCs w:val="44"/>
    </w:rPr>
  </w:style>
  <w:style w:type="paragraph" w:styleId="4">
    <w:name w:val="heading 2"/>
    <w:basedOn w:val="1"/>
    <w:next w:val="1"/>
    <w:link w:val="208"/>
    <w:qFormat/>
    <w:uiPriority w:val="0"/>
    <w:pPr>
      <w:keepNext/>
      <w:keepLines/>
      <w:spacing w:before="260" w:after="260" w:line="415" w:lineRule="auto"/>
      <w:jc w:val="center"/>
      <w:outlineLvl w:val="1"/>
    </w:pPr>
    <w:rPr>
      <w:rFonts w:ascii="Cambria" w:hAnsi="Cambria" w:eastAsia="宋体"/>
      <w:b/>
      <w:bCs/>
      <w:sz w:val="32"/>
      <w:szCs w:val="32"/>
    </w:rPr>
  </w:style>
  <w:style w:type="paragraph" w:styleId="5">
    <w:name w:val="heading 3"/>
    <w:basedOn w:val="1"/>
    <w:next w:val="1"/>
    <w:link w:val="73"/>
    <w:qFormat/>
    <w:uiPriority w:val="0"/>
    <w:pPr>
      <w:keepNext/>
      <w:keepLines/>
      <w:widowControl/>
      <w:spacing w:before="260" w:after="260" w:line="416" w:lineRule="auto"/>
      <w:outlineLvl w:val="2"/>
    </w:pPr>
    <w:rPr>
      <w:b/>
      <w:bCs/>
      <w:sz w:val="24"/>
      <w:szCs w:val="32"/>
    </w:rPr>
  </w:style>
  <w:style w:type="paragraph" w:styleId="6">
    <w:name w:val="heading 4"/>
    <w:basedOn w:val="1"/>
    <w:next w:val="1"/>
    <w:link w:val="209"/>
    <w:qFormat/>
    <w:uiPriority w:val="0"/>
    <w:pPr>
      <w:keepNext/>
      <w:keepLines/>
      <w:widowControl/>
      <w:spacing w:before="200" w:line="276" w:lineRule="auto"/>
      <w:jc w:val="left"/>
      <w:outlineLvl w:val="3"/>
    </w:pPr>
    <w:rPr>
      <w:rFonts w:ascii="宋体" w:hAnsi="宋体" w:eastAsia="宋体"/>
      <w:b/>
      <w:bCs/>
      <w:iCs/>
      <w:sz w:val="21"/>
      <w:szCs w:val="20"/>
    </w:rPr>
  </w:style>
  <w:style w:type="paragraph" w:styleId="7">
    <w:name w:val="heading 5"/>
    <w:basedOn w:val="1"/>
    <w:next w:val="1"/>
    <w:link w:val="212"/>
    <w:qFormat/>
    <w:uiPriority w:val="0"/>
    <w:pPr>
      <w:keepNext/>
      <w:keepLines/>
      <w:spacing w:before="280" w:after="290" w:line="376" w:lineRule="auto"/>
      <w:outlineLvl w:val="4"/>
    </w:pPr>
    <w:rPr>
      <w:b/>
      <w:bCs/>
      <w:sz w:val="28"/>
      <w:szCs w:val="28"/>
    </w:rPr>
  </w:style>
  <w:style w:type="paragraph" w:styleId="8">
    <w:name w:val="heading 6"/>
    <w:basedOn w:val="1"/>
    <w:next w:val="1"/>
    <w:link w:val="213"/>
    <w:qFormat/>
    <w:uiPriority w:val="0"/>
    <w:pPr>
      <w:keepNext/>
      <w:keepLines/>
      <w:spacing w:before="240" w:after="64" w:line="320" w:lineRule="auto"/>
      <w:outlineLvl w:val="5"/>
    </w:pPr>
    <w:rPr>
      <w:rFonts w:ascii="Cambria" w:hAnsi="Cambria"/>
      <w:b/>
      <w:bCs/>
      <w:sz w:val="24"/>
    </w:rPr>
  </w:style>
  <w:style w:type="paragraph" w:styleId="9">
    <w:name w:val="heading 7"/>
    <w:basedOn w:val="1"/>
    <w:next w:val="1"/>
    <w:link w:val="214"/>
    <w:qFormat/>
    <w:uiPriority w:val="0"/>
    <w:pPr>
      <w:keepNext/>
      <w:keepLines/>
      <w:spacing w:before="240" w:after="64" w:line="320" w:lineRule="auto"/>
      <w:ind w:firstLine="200"/>
      <w:outlineLvl w:val="6"/>
    </w:pPr>
    <w:rPr>
      <w:b/>
      <w:bCs/>
      <w:sz w:val="24"/>
    </w:rPr>
  </w:style>
  <w:style w:type="paragraph" w:styleId="10">
    <w:name w:val="heading 8"/>
    <w:basedOn w:val="1"/>
    <w:next w:val="1"/>
    <w:link w:val="215"/>
    <w:qFormat/>
    <w:uiPriority w:val="0"/>
    <w:pPr>
      <w:keepNext/>
      <w:keepLines/>
      <w:spacing w:before="240" w:after="64" w:line="320" w:lineRule="auto"/>
      <w:ind w:firstLine="200"/>
      <w:outlineLvl w:val="7"/>
    </w:pPr>
    <w:rPr>
      <w:rFonts w:ascii="Cambria" w:hAnsi="Cambria"/>
      <w:sz w:val="24"/>
    </w:rPr>
  </w:style>
  <w:style w:type="paragraph" w:styleId="11">
    <w:name w:val="heading 9"/>
    <w:basedOn w:val="1"/>
    <w:next w:val="1"/>
    <w:link w:val="216"/>
    <w:qFormat/>
    <w:uiPriority w:val="0"/>
    <w:pPr>
      <w:keepNext/>
      <w:keepLines/>
      <w:spacing w:before="240" w:after="64" w:line="320" w:lineRule="auto"/>
      <w:ind w:firstLine="200"/>
      <w:outlineLvl w:val="8"/>
    </w:pPr>
    <w:rPr>
      <w:rFonts w:ascii="Cambria" w:hAnsi="Cambria"/>
      <w:sz w:val="20"/>
      <w:szCs w:val="21"/>
    </w:rPr>
  </w:style>
  <w:style w:type="character" w:default="1" w:styleId="58">
    <w:name w:val="Default Paragraph Font"/>
    <w:unhideWhenUsed/>
    <w:qFormat/>
    <w:uiPriority w:val="1"/>
  </w:style>
  <w:style w:type="table" w:default="1" w:styleId="56">
    <w:name w:val="Normal Table"/>
    <w:unhideWhenUsed/>
    <w:qFormat/>
    <w:uiPriority w:val="99"/>
    <w:pPr>
      <w:keepNext w:val="0"/>
      <w:keepLines w:val="0"/>
      <w:widowControl/>
      <w:suppressLineNumbers w:val="0"/>
      <w:spacing w:before="0" w:beforeAutospacing="0" w:after="0" w:afterAutospacing="0"/>
      <w:ind w:left="0" w:right="0"/>
    </w:pPr>
    <w:rPr>
      <w:rFonts w:hint="default" w:ascii="Times New Roman" w:hAnsi="Times New Roman" w:cs="Times New Roman"/>
      <w:sz w:val="20"/>
      <w:szCs w:val="20"/>
    </w:rPr>
    <w:tblPr>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paragraph" w:styleId="2">
    <w:name w:val="Normal Indent"/>
    <w:basedOn w:val="1"/>
    <w:next w:val="1"/>
    <w:link w:val="210"/>
    <w:qFormat/>
    <w:uiPriority w:val="0"/>
    <w:pPr>
      <w:spacing w:line="312" w:lineRule="atLeast"/>
      <w:ind w:firstLine="420"/>
    </w:pPr>
    <w:rPr>
      <w:szCs w:val="20"/>
    </w:rPr>
  </w:style>
  <w:style w:type="paragraph" w:styleId="12">
    <w:name w:val="toc 7"/>
    <w:basedOn w:val="1"/>
    <w:next w:val="1"/>
    <w:unhideWhenUsed/>
    <w:qFormat/>
    <w:uiPriority w:val="0"/>
    <w:pPr>
      <w:spacing w:line="360" w:lineRule="exact"/>
      <w:ind w:left="1260" w:firstLine="200"/>
      <w:jc w:val="left"/>
    </w:pPr>
    <w:rPr>
      <w:rFonts w:ascii="Calibri" w:hAnsi="Calibri"/>
      <w:sz w:val="18"/>
      <w:szCs w:val="18"/>
    </w:rPr>
  </w:style>
  <w:style w:type="paragraph" w:styleId="13">
    <w:name w:val="index 8"/>
    <w:basedOn w:val="1"/>
    <w:next w:val="1"/>
    <w:qFormat/>
    <w:uiPriority w:val="0"/>
    <w:pPr>
      <w:ind w:left="1400" w:firstLine="0"/>
    </w:pPr>
  </w:style>
  <w:style w:type="paragraph" w:styleId="14">
    <w:name w:val="List Number"/>
    <w:basedOn w:val="1"/>
    <w:unhideWhenUsed/>
    <w:qFormat/>
    <w:uiPriority w:val="99"/>
    <w:pPr>
      <w:numPr>
        <w:ilvl w:val="0"/>
        <w:numId w:val="1"/>
      </w:numPr>
    </w:pPr>
  </w:style>
  <w:style w:type="paragraph" w:styleId="15">
    <w:name w:val="caption"/>
    <w:basedOn w:val="1"/>
    <w:next w:val="1"/>
    <w:qFormat/>
    <w:uiPriority w:val="0"/>
    <w:pPr>
      <w:spacing w:line="360" w:lineRule="exact"/>
      <w:ind w:firstLine="200"/>
    </w:pPr>
    <w:rPr>
      <w:rFonts w:ascii="Cambria" w:hAnsi="Cambria" w:eastAsia="黑体"/>
      <w:sz w:val="20"/>
      <w:szCs w:val="20"/>
    </w:rPr>
  </w:style>
  <w:style w:type="paragraph" w:styleId="16">
    <w:name w:val="List Bullet"/>
    <w:basedOn w:val="1"/>
    <w:qFormat/>
    <w:uiPriority w:val="0"/>
    <w:pPr>
      <w:tabs>
        <w:tab w:val="left" w:pos="360"/>
      </w:tabs>
      <w:ind w:left="360" w:hanging="360"/>
    </w:pPr>
  </w:style>
  <w:style w:type="paragraph" w:styleId="17">
    <w:name w:val="Document Map"/>
    <w:basedOn w:val="1"/>
    <w:link w:val="217"/>
    <w:qFormat/>
    <w:uiPriority w:val="0"/>
    <w:pPr>
      <w:shd w:val="clear" w:color="auto" w:fill="000080"/>
      <w:spacing w:line="360" w:lineRule="exact"/>
      <w:ind w:firstLine="200"/>
    </w:pPr>
    <w:rPr>
      <w:sz w:val="20"/>
    </w:rPr>
  </w:style>
  <w:style w:type="paragraph" w:styleId="18">
    <w:name w:val="annotation text"/>
    <w:basedOn w:val="1"/>
    <w:link w:val="218"/>
    <w:qFormat/>
    <w:uiPriority w:val="0"/>
    <w:pPr>
      <w:widowControl/>
      <w:jc w:val="left"/>
    </w:pPr>
    <w:rPr>
      <w:sz w:val="20"/>
    </w:rPr>
  </w:style>
  <w:style w:type="paragraph" w:styleId="19">
    <w:name w:val="Body Text 3"/>
    <w:basedOn w:val="1"/>
    <w:link w:val="219"/>
    <w:qFormat/>
    <w:uiPriority w:val="0"/>
    <w:pPr>
      <w:spacing w:line="360" w:lineRule="exact"/>
      <w:ind w:firstLine="200"/>
    </w:pPr>
    <w:rPr>
      <w:rFonts w:ascii="宋体"/>
      <w:sz w:val="24"/>
      <w:szCs w:val="20"/>
    </w:rPr>
  </w:style>
  <w:style w:type="paragraph" w:styleId="20">
    <w:name w:val="Body Text"/>
    <w:basedOn w:val="1"/>
    <w:link w:val="220"/>
    <w:unhideWhenUsed/>
    <w:qFormat/>
    <w:uiPriority w:val="0"/>
    <w:pPr>
      <w:spacing w:after="120"/>
    </w:pPr>
    <w:rPr>
      <w:sz w:val="20"/>
    </w:rPr>
  </w:style>
  <w:style w:type="paragraph" w:styleId="21">
    <w:name w:val="Body Text Indent"/>
    <w:basedOn w:val="1"/>
    <w:next w:val="22"/>
    <w:link w:val="221"/>
    <w:qFormat/>
    <w:uiPriority w:val="0"/>
    <w:pPr>
      <w:spacing w:after="120" w:line="360" w:lineRule="exact"/>
      <w:ind w:left="420" w:firstLine="200"/>
    </w:pPr>
    <w:rPr>
      <w:sz w:val="20"/>
    </w:rPr>
  </w:style>
  <w:style w:type="paragraph" w:styleId="22">
    <w:name w:val="Body Text First Indent 2"/>
    <w:basedOn w:val="21"/>
    <w:unhideWhenUsed/>
    <w:qFormat/>
    <w:uiPriority w:val="99"/>
    <w:pPr>
      <w:ind w:firstLine="420"/>
    </w:pPr>
  </w:style>
  <w:style w:type="paragraph" w:styleId="23">
    <w:name w:val="List 2"/>
    <w:basedOn w:val="1"/>
    <w:qFormat/>
    <w:uiPriority w:val="0"/>
    <w:pPr>
      <w:ind w:left="840" w:hanging="420"/>
    </w:pPr>
    <w:rPr>
      <w:szCs w:val="20"/>
    </w:rPr>
  </w:style>
  <w:style w:type="paragraph" w:styleId="24">
    <w:name w:val="Block Text"/>
    <w:basedOn w:val="1"/>
    <w:qFormat/>
    <w:uiPriority w:val="0"/>
    <w:pPr>
      <w:widowControl/>
      <w:spacing w:line="360" w:lineRule="auto"/>
      <w:ind w:left="1440" w:right="-510" w:hanging="759"/>
    </w:pPr>
    <w:rPr>
      <w:sz w:val="24"/>
      <w:szCs w:val="20"/>
    </w:rPr>
  </w:style>
  <w:style w:type="paragraph" w:styleId="25">
    <w:name w:val="index 4"/>
    <w:basedOn w:val="1"/>
    <w:next w:val="1"/>
    <w:qFormat/>
    <w:uiPriority w:val="0"/>
    <w:pPr>
      <w:ind w:left="600"/>
    </w:pPr>
  </w:style>
  <w:style w:type="paragraph" w:styleId="26">
    <w:name w:val="toc 5"/>
    <w:basedOn w:val="1"/>
    <w:next w:val="1"/>
    <w:unhideWhenUsed/>
    <w:qFormat/>
    <w:uiPriority w:val="0"/>
    <w:pPr>
      <w:spacing w:line="360" w:lineRule="exact"/>
      <w:ind w:left="840" w:firstLine="200"/>
      <w:jc w:val="left"/>
    </w:pPr>
    <w:rPr>
      <w:rFonts w:ascii="Calibri" w:hAnsi="Calibri"/>
      <w:sz w:val="18"/>
      <w:szCs w:val="18"/>
    </w:rPr>
  </w:style>
  <w:style w:type="paragraph" w:styleId="27">
    <w:name w:val="toc 3"/>
    <w:basedOn w:val="1"/>
    <w:next w:val="1"/>
    <w:unhideWhenUsed/>
    <w:qFormat/>
    <w:uiPriority w:val="39"/>
    <w:pPr>
      <w:ind w:left="840"/>
    </w:pPr>
  </w:style>
  <w:style w:type="paragraph" w:styleId="28">
    <w:name w:val="Plain Text"/>
    <w:basedOn w:val="1"/>
    <w:next w:val="13"/>
    <w:link w:val="222"/>
    <w:qFormat/>
    <w:uiPriority w:val="0"/>
    <w:rPr>
      <w:rFonts w:ascii="宋体" w:hAnsi="Courier New"/>
      <w:sz w:val="20"/>
      <w:szCs w:val="20"/>
    </w:rPr>
  </w:style>
  <w:style w:type="paragraph" w:styleId="29">
    <w:name w:val="toc 8"/>
    <w:basedOn w:val="1"/>
    <w:next w:val="1"/>
    <w:unhideWhenUsed/>
    <w:qFormat/>
    <w:uiPriority w:val="0"/>
    <w:pPr>
      <w:spacing w:line="360" w:lineRule="exact"/>
      <w:ind w:left="1470" w:firstLine="200"/>
      <w:jc w:val="left"/>
    </w:pPr>
    <w:rPr>
      <w:rFonts w:ascii="Calibri" w:hAnsi="Calibri"/>
      <w:sz w:val="18"/>
      <w:szCs w:val="18"/>
    </w:rPr>
  </w:style>
  <w:style w:type="paragraph" w:styleId="30">
    <w:name w:val="index 3"/>
    <w:basedOn w:val="1"/>
    <w:next w:val="1"/>
    <w:qFormat/>
    <w:uiPriority w:val="0"/>
    <w:pPr>
      <w:ind w:left="400"/>
      <w:jc w:val="left"/>
    </w:pPr>
  </w:style>
  <w:style w:type="paragraph" w:styleId="31">
    <w:name w:val="Date"/>
    <w:basedOn w:val="1"/>
    <w:next w:val="1"/>
    <w:link w:val="223"/>
    <w:qFormat/>
    <w:uiPriority w:val="0"/>
    <w:pPr>
      <w:spacing w:line="360" w:lineRule="exact"/>
      <w:ind w:left="100" w:firstLine="200"/>
    </w:pPr>
    <w:rPr>
      <w:sz w:val="20"/>
    </w:rPr>
  </w:style>
  <w:style w:type="paragraph" w:styleId="32">
    <w:name w:val="Body Text Indent 2"/>
    <w:basedOn w:val="1"/>
    <w:link w:val="224"/>
    <w:qFormat/>
    <w:uiPriority w:val="0"/>
    <w:pPr>
      <w:spacing w:after="120" w:line="480" w:lineRule="auto"/>
      <w:ind w:left="420" w:firstLine="200"/>
    </w:pPr>
    <w:rPr>
      <w:sz w:val="20"/>
    </w:rPr>
  </w:style>
  <w:style w:type="paragraph" w:styleId="33">
    <w:name w:val="endnote text"/>
    <w:basedOn w:val="1"/>
    <w:link w:val="206"/>
    <w:semiHidden/>
    <w:unhideWhenUsed/>
    <w:qFormat/>
    <w:uiPriority w:val="99"/>
    <w:pPr>
      <w:spacing w:after="0" w:line="240" w:lineRule="auto"/>
    </w:pPr>
    <w:rPr>
      <w:sz w:val="20"/>
      <w:szCs w:val="20"/>
    </w:rPr>
  </w:style>
  <w:style w:type="paragraph" w:styleId="34">
    <w:name w:val="Balloon Text"/>
    <w:basedOn w:val="1"/>
    <w:link w:val="225"/>
    <w:unhideWhenUsed/>
    <w:qFormat/>
    <w:uiPriority w:val="0"/>
    <w:rPr>
      <w:sz w:val="18"/>
      <w:szCs w:val="18"/>
    </w:rPr>
  </w:style>
  <w:style w:type="paragraph" w:styleId="35">
    <w:name w:val="footer"/>
    <w:basedOn w:val="1"/>
    <w:link w:val="226"/>
    <w:unhideWhenUsed/>
    <w:qFormat/>
    <w:uiPriority w:val="0"/>
    <w:pPr>
      <w:tabs>
        <w:tab w:val="center" w:pos="4153"/>
        <w:tab w:val="right" w:pos="8306"/>
      </w:tabs>
      <w:jc w:val="left"/>
    </w:pPr>
    <w:rPr>
      <w:sz w:val="18"/>
      <w:szCs w:val="18"/>
    </w:rPr>
  </w:style>
  <w:style w:type="paragraph" w:styleId="36">
    <w:name w:val="envelope return"/>
    <w:basedOn w:val="1"/>
    <w:unhideWhenUsed/>
    <w:qFormat/>
    <w:uiPriority w:val="0"/>
    <w:rPr>
      <w:rFonts w:hint="default" w:ascii="Arial" w:hAnsi="Arial" w:eastAsia="宋体"/>
      <w:sz w:val="24"/>
      <w:szCs w:val="24"/>
    </w:rPr>
  </w:style>
  <w:style w:type="paragraph" w:styleId="37">
    <w:name w:val="header"/>
    <w:basedOn w:val="1"/>
    <w:link w:val="227"/>
    <w:unhideWhenUsed/>
    <w:qFormat/>
    <w:uiPriority w:val="0"/>
    <w:pPr>
      <w:pBdr>
        <w:bottom w:val="single" w:color="000000" w:sz="6" w:space="1"/>
      </w:pBdr>
      <w:tabs>
        <w:tab w:val="center" w:pos="4153"/>
        <w:tab w:val="right" w:pos="8306"/>
      </w:tabs>
      <w:jc w:val="center"/>
    </w:pPr>
    <w:rPr>
      <w:sz w:val="18"/>
      <w:szCs w:val="18"/>
    </w:rPr>
  </w:style>
  <w:style w:type="paragraph" w:styleId="38">
    <w:name w:val="toc 1"/>
    <w:basedOn w:val="1"/>
    <w:next w:val="1"/>
    <w:unhideWhenUsed/>
    <w:qFormat/>
    <w:uiPriority w:val="39"/>
  </w:style>
  <w:style w:type="paragraph" w:styleId="39">
    <w:name w:val="toc 4"/>
    <w:basedOn w:val="1"/>
    <w:next w:val="1"/>
    <w:unhideWhenUsed/>
    <w:qFormat/>
    <w:uiPriority w:val="0"/>
    <w:pPr>
      <w:spacing w:line="360" w:lineRule="exact"/>
      <w:ind w:left="630" w:firstLine="200"/>
      <w:jc w:val="left"/>
    </w:pPr>
    <w:rPr>
      <w:rFonts w:ascii="Calibri" w:hAnsi="Calibri"/>
      <w:sz w:val="18"/>
      <w:szCs w:val="18"/>
    </w:rPr>
  </w:style>
  <w:style w:type="paragraph" w:styleId="40">
    <w:name w:val="Subtitle"/>
    <w:basedOn w:val="1"/>
    <w:next w:val="1"/>
    <w:link w:val="228"/>
    <w:qFormat/>
    <w:uiPriority w:val="0"/>
    <w:pPr>
      <w:spacing w:before="240" w:after="60" w:line="312" w:lineRule="auto"/>
      <w:ind w:firstLine="200"/>
      <w:jc w:val="center"/>
      <w:outlineLvl w:val="1"/>
    </w:pPr>
    <w:rPr>
      <w:rFonts w:ascii="Cambria" w:hAnsi="Cambria"/>
      <w:b/>
      <w:bCs/>
      <w:sz w:val="32"/>
      <w:szCs w:val="32"/>
    </w:rPr>
  </w:style>
  <w:style w:type="paragraph" w:styleId="41">
    <w:name w:val="footnote text"/>
    <w:basedOn w:val="1"/>
    <w:link w:val="229"/>
    <w:qFormat/>
    <w:uiPriority w:val="0"/>
    <w:pPr>
      <w:jc w:val="left"/>
    </w:pPr>
    <w:rPr>
      <w:sz w:val="18"/>
      <w:szCs w:val="18"/>
    </w:rPr>
  </w:style>
  <w:style w:type="paragraph" w:styleId="42">
    <w:name w:val="toc 6"/>
    <w:basedOn w:val="1"/>
    <w:next w:val="1"/>
    <w:unhideWhenUsed/>
    <w:qFormat/>
    <w:uiPriority w:val="0"/>
    <w:pPr>
      <w:spacing w:line="360" w:lineRule="exact"/>
      <w:ind w:left="1050" w:firstLine="200"/>
      <w:jc w:val="left"/>
    </w:pPr>
    <w:rPr>
      <w:rFonts w:ascii="Calibri" w:hAnsi="Calibri"/>
      <w:sz w:val="18"/>
      <w:szCs w:val="18"/>
    </w:rPr>
  </w:style>
  <w:style w:type="paragraph" w:styleId="43">
    <w:name w:val="List 5"/>
    <w:basedOn w:val="1"/>
    <w:qFormat/>
    <w:uiPriority w:val="0"/>
    <w:pPr>
      <w:ind w:left="2100" w:hanging="420"/>
    </w:pPr>
    <w:rPr>
      <w:szCs w:val="20"/>
    </w:rPr>
  </w:style>
  <w:style w:type="paragraph" w:styleId="44">
    <w:name w:val="Body Text Indent 3"/>
    <w:basedOn w:val="1"/>
    <w:link w:val="230"/>
    <w:qFormat/>
    <w:uiPriority w:val="0"/>
    <w:pPr>
      <w:spacing w:after="120" w:line="360" w:lineRule="exact"/>
      <w:ind w:left="420" w:firstLine="200"/>
    </w:pPr>
    <w:rPr>
      <w:sz w:val="16"/>
      <w:szCs w:val="16"/>
    </w:rPr>
  </w:style>
  <w:style w:type="paragraph" w:styleId="45">
    <w:name w:val="index 9"/>
    <w:basedOn w:val="1"/>
    <w:next w:val="1"/>
    <w:qFormat/>
    <w:uiPriority w:val="0"/>
    <w:pPr>
      <w:ind w:left="1600"/>
    </w:pPr>
    <w:rPr>
      <w:szCs w:val="20"/>
    </w:rPr>
  </w:style>
  <w:style w:type="paragraph" w:styleId="46">
    <w:name w:val="table of figures"/>
    <w:basedOn w:val="1"/>
    <w:next w:val="1"/>
    <w:qFormat/>
    <w:uiPriority w:val="0"/>
    <w:pPr>
      <w:ind w:hanging="200"/>
    </w:pPr>
  </w:style>
  <w:style w:type="paragraph" w:styleId="47">
    <w:name w:val="toc 2"/>
    <w:basedOn w:val="1"/>
    <w:next w:val="1"/>
    <w:link w:val="231"/>
    <w:unhideWhenUsed/>
    <w:qFormat/>
    <w:uiPriority w:val="39"/>
    <w:pPr>
      <w:ind w:left="420"/>
    </w:pPr>
    <w:rPr>
      <w:sz w:val="20"/>
    </w:rPr>
  </w:style>
  <w:style w:type="paragraph" w:styleId="48">
    <w:name w:val="toc 9"/>
    <w:basedOn w:val="1"/>
    <w:next w:val="1"/>
    <w:unhideWhenUsed/>
    <w:qFormat/>
    <w:uiPriority w:val="0"/>
    <w:pPr>
      <w:spacing w:line="360" w:lineRule="exact"/>
      <w:ind w:left="1680" w:firstLine="200"/>
      <w:jc w:val="left"/>
    </w:pPr>
    <w:rPr>
      <w:rFonts w:ascii="Calibri" w:hAnsi="Calibri"/>
      <w:sz w:val="18"/>
      <w:szCs w:val="18"/>
    </w:rPr>
  </w:style>
  <w:style w:type="paragraph" w:styleId="49">
    <w:name w:val="Body Text 2"/>
    <w:basedOn w:val="1"/>
    <w:link w:val="232"/>
    <w:qFormat/>
    <w:uiPriority w:val="0"/>
    <w:pPr>
      <w:spacing w:after="120" w:line="480" w:lineRule="auto"/>
      <w:ind w:firstLine="200"/>
    </w:pPr>
    <w:rPr>
      <w:sz w:val="20"/>
    </w:rPr>
  </w:style>
  <w:style w:type="paragraph" w:styleId="50">
    <w:name w:val="HTML Preformatted"/>
    <w:basedOn w:val="1"/>
    <w:link w:val="233"/>
    <w:qFormat/>
    <w:uiPriority w:val="0"/>
    <w:pPr>
      <w:widowControl/>
      <w:tabs>
        <w:tab w:val="left" w:pos="916"/>
        <w:tab w:val="left" w:pos="1832"/>
        <w:tab w:val="left" w:pos="2748"/>
        <w:tab w:val="left" w:pos="3664"/>
        <w:tab w:val="left" w:pos="4580"/>
        <w:tab w:val="left" w:pos="5496"/>
        <w:tab w:val="left" w:pos="6412"/>
        <w:tab w:val="left" w:pos="7328"/>
        <w:tab w:val="left" w:pos="8244"/>
        <w:tab w:val="left" w:pos="9160"/>
        <w:tab w:val="left" w:pos="10076"/>
        <w:tab w:val="left" w:pos="10992"/>
        <w:tab w:val="left" w:pos="11908"/>
        <w:tab w:val="left" w:pos="12824"/>
        <w:tab w:val="left" w:pos="13740"/>
        <w:tab w:val="left" w:pos="14656"/>
      </w:tabs>
      <w:jc w:val="left"/>
    </w:pPr>
    <w:rPr>
      <w:rFonts w:ascii="Arial" w:hAnsi="Arial"/>
      <w:sz w:val="24"/>
    </w:rPr>
  </w:style>
  <w:style w:type="paragraph" w:styleId="51">
    <w:name w:val="Normal (Web)"/>
    <w:basedOn w:val="1"/>
    <w:unhideWhenUsed/>
    <w:qFormat/>
    <w:uiPriority w:val="0"/>
    <w:pPr>
      <w:widowControl/>
      <w:spacing w:before="100" w:beforeAutospacing="1" w:after="100" w:afterAutospacing="1"/>
      <w:jc w:val="left"/>
    </w:pPr>
    <w:rPr>
      <w:rFonts w:ascii="宋体" w:hAnsi="宋体" w:cs="宋体"/>
      <w:sz w:val="24"/>
    </w:rPr>
  </w:style>
  <w:style w:type="paragraph" w:styleId="52">
    <w:name w:val="index 1"/>
    <w:basedOn w:val="1"/>
    <w:next w:val="1"/>
    <w:qFormat/>
    <w:uiPriority w:val="0"/>
    <w:pPr>
      <w:ind w:right="257"/>
    </w:pPr>
    <w:rPr>
      <w:rFonts w:ascii="宋体" w:hAnsi="宋体"/>
      <w:szCs w:val="20"/>
    </w:rPr>
  </w:style>
  <w:style w:type="paragraph" w:styleId="53">
    <w:name w:val="Title"/>
    <w:basedOn w:val="1"/>
    <w:next w:val="1"/>
    <w:link w:val="234"/>
    <w:qFormat/>
    <w:uiPriority w:val="0"/>
    <w:pPr>
      <w:spacing w:before="240" w:after="240"/>
      <w:ind w:firstLine="1687"/>
      <w:jc w:val="center"/>
      <w:outlineLvl w:val="0"/>
    </w:pPr>
    <w:rPr>
      <w:rFonts w:ascii="Cambria" w:hAnsi="Cambria"/>
      <w:b/>
      <w:bCs/>
      <w:sz w:val="32"/>
      <w:szCs w:val="32"/>
    </w:rPr>
  </w:style>
  <w:style w:type="paragraph" w:styleId="54">
    <w:name w:val="annotation subject"/>
    <w:basedOn w:val="18"/>
    <w:next w:val="18"/>
    <w:link w:val="235"/>
    <w:qFormat/>
    <w:uiPriority w:val="0"/>
    <w:pPr>
      <w:widowControl w:val="0"/>
      <w:spacing w:line="360" w:lineRule="exact"/>
      <w:ind w:firstLine="200"/>
    </w:pPr>
    <w:rPr>
      <w:b/>
      <w:bCs/>
    </w:rPr>
  </w:style>
  <w:style w:type="paragraph" w:styleId="55">
    <w:name w:val="Body Text First Indent"/>
    <w:basedOn w:val="20"/>
    <w:link w:val="236"/>
    <w:qFormat/>
    <w:uiPriority w:val="0"/>
    <w:pPr>
      <w:ind w:firstLine="420"/>
    </w:pPr>
    <w:rPr>
      <w:sz w:val="21"/>
    </w:rPr>
  </w:style>
  <w:style w:type="table" w:styleId="57">
    <w:name w:val="Table Grid"/>
    <w:basedOn w:val="56"/>
    <w:qFormat/>
    <w:uiPriority w:val="0"/>
    <w:tblPr>
      <w:tblBorders>
        <w:top w:val="single" w:color="000000" w:sz="4" w:space="0"/>
        <w:left w:val="single" w:color="000000" w:sz="4" w:space="0"/>
        <w:bottom w:val="single" w:color="000000" w:sz="4" w:space="0"/>
        <w:right w:val="single" w:color="000000" w:sz="4" w:space="0"/>
        <w:insideH w:val="single" w:color="000000" w:sz="4" w:space="0"/>
        <w:insideV w:val="single" w:color="00000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styleId="59">
    <w:name w:val="Strong"/>
    <w:qFormat/>
    <w:uiPriority w:val="0"/>
    <w:rPr>
      <w:b/>
      <w:bCs/>
    </w:rPr>
  </w:style>
  <w:style w:type="character" w:styleId="60">
    <w:name w:val="endnote reference"/>
    <w:basedOn w:val="58"/>
    <w:semiHidden/>
    <w:unhideWhenUsed/>
    <w:qFormat/>
    <w:uiPriority w:val="99"/>
    <w:rPr>
      <w:vertAlign w:val="superscript"/>
    </w:rPr>
  </w:style>
  <w:style w:type="character" w:styleId="61">
    <w:name w:val="page number"/>
    <w:qFormat/>
    <w:uiPriority w:val="0"/>
  </w:style>
  <w:style w:type="character" w:styleId="62">
    <w:name w:val="FollowedHyperlink"/>
    <w:qFormat/>
    <w:uiPriority w:val="0"/>
    <w:rPr>
      <w:color w:val="333333"/>
      <w:u w:val="none"/>
    </w:rPr>
  </w:style>
  <w:style w:type="character" w:styleId="63">
    <w:name w:val="Emphasis"/>
    <w:qFormat/>
    <w:uiPriority w:val="0"/>
    <w:rPr>
      <w:i/>
      <w:iCs/>
    </w:rPr>
  </w:style>
  <w:style w:type="character" w:styleId="64">
    <w:name w:val="HTML Definition"/>
    <w:qFormat/>
    <w:uiPriority w:val="0"/>
  </w:style>
  <w:style w:type="character" w:styleId="65">
    <w:name w:val="HTML Acronym"/>
    <w:qFormat/>
    <w:uiPriority w:val="0"/>
  </w:style>
  <w:style w:type="character" w:styleId="66">
    <w:name w:val="HTML Variable"/>
    <w:qFormat/>
    <w:uiPriority w:val="0"/>
  </w:style>
  <w:style w:type="character" w:styleId="67">
    <w:name w:val="Hyperlink"/>
    <w:qFormat/>
    <w:uiPriority w:val="99"/>
    <w:rPr>
      <w:color w:val="333333"/>
      <w:u w:val="none"/>
    </w:rPr>
  </w:style>
  <w:style w:type="character" w:styleId="68">
    <w:name w:val="HTML Code"/>
    <w:qFormat/>
    <w:uiPriority w:val="0"/>
    <w:rPr>
      <w:rFonts w:ascii="Courier New" w:hAnsi="Courier New"/>
      <w:color w:val="505050"/>
      <w:sz w:val="24"/>
      <w:szCs w:val="24"/>
    </w:rPr>
  </w:style>
  <w:style w:type="character" w:styleId="69">
    <w:name w:val="annotation reference"/>
    <w:qFormat/>
    <w:uiPriority w:val="0"/>
    <w:rPr>
      <w:sz w:val="21"/>
      <w:szCs w:val="21"/>
    </w:rPr>
  </w:style>
  <w:style w:type="character" w:styleId="70">
    <w:name w:val="HTML Cite"/>
    <w:qFormat/>
    <w:uiPriority w:val="0"/>
  </w:style>
  <w:style w:type="character" w:styleId="71">
    <w:name w:val="footnote reference"/>
    <w:qFormat/>
    <w:uiPriority w:val="0"/>
    <w:rPr>
      <w:vertAlign w:val="superscript"/>
    </w:rPr>
  </w:style>
  <w:style w:type="character" w:customStyle="1" w:styleId="72">
    <w:name w:val="标题 2 Char"/>
    <w:qFormat/>
    <w:uiPriority w:val="0"/>
    <w:rPr>
      <w:rFonts w:ascii="Cambria" w:hAnsi="Cambria" w:eastAsia="宋体" w:cs="Times New Roman"/>
      <w:b/>
      <w:bCs/>
      <w:sz w:val="32"/>
      <w:szCs w:val="32"/>
    </w:rPr>
  </w:style>
  <w:style w:type="character" w:customStyle="1" w:styleId="73">
    <w:name w:val="标题 3 Char"/>
    <w:link w:val="5"/>
    <w:qFormat/>
    <w:uiPriority w:val="0"/>
    <w:rPr>
      <w:rFonts w:ascii="Times New Roman" w:hAnsi="Times New Roman" w:eastAsia="宋体" w:cs="Times New Roman"/>
      <w:b/>
      <w:bCs/>
      <w:sz w:val="24"/>
      <w:szCs w:val="32"/>
    </w:rPr>
  </w:style>
  <w:style w:type="table" w:customStyle="1" w:styleId="74">
    <w:name w:val="Table Grid Light"/>
    <w:basedOn w:val="56"/>
    <w:qFormat/>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table" w:customStyle="1" w:styleId="75">
    <w:name w:val="Plain Table 1"/>
    <w:basedOn w:val="56"/>
    <w:uiPriority w:val="59"/>
    <w:pPr>
      <w:spacing w:after="0" w:line="240" w:lineRule="auto"/>
    </w:pPr>
    <w:tblPr>
      <w:tblBorders>
        <w:top w:val="single" w:color="AEAEAE" w:themeColor="text1" w:themeTint="50" w:sz="4" w:space="0"/>
        <w:left w:val="single" w:color="AEAEAE" w:themeColor="text1" w:themeTint="50" w:sz="4" w:space="0"/>
        <w:bottom w:val="single" w:color="AEAEAE" w:themeColor="text1" w:themeTint="50" w:sz="4" w:space="0"/>
        <w:right w:val="single" w:color="AEAEAE" w:themeColor="text1" w:themeTint="50" w:sz="4" w:space="0"/>
        <w:insideH w:val="single" w:color="AEAEAE" w:themeColor="text1" w:themeTint="50" w:sz="4" w:space="0"/>
        <w:insideV w:val="single" w:color="AEAEAE" w:themeColor="text1" w:themeTint="50" w:sz="4" w:space="0"/>
      </w:tblBorders>
      <w:tblCellMar>
        <w:top w:w="0" w:type="dxa"/>
        <w:left w:w="108" w:type="dxa"/>
        <w:bottom w:w="0" w:type="dxa"/>
        <w:right w:w="108" w:type="dxa"/>
      </w:tblCellMar>
    </w:tblPr>
    <w:tblStylePr w:type="firstRow">
      <w:rPr>
        <w:rFonts w:ascii="Arial" w:hAnsi="Arial"/>
        <w:b/>
        <w:color w:val="404040"/>
        <w:sz w:val="22"/>
      </w:r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shd w:val="clear" w:color="F1F1F1" w:themeColor="text1" w:themeTint="0D" w:fill="F1F1F1" w:themeFill="text1" w:themeFillTint="0D"/>
      </w:tcPr>
    </w:tblStylePr>
    <w:tblStylePr w:type="band2Vert"/>
    <w:tblStylePr w:type="band1Horz">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6">
    <w:name w:val="Plain Table 2"/>
    <w:basedOn w:val="56"/>
    <w:uiPriority w:val="59"/>
    <w:pPr>
      <w:spacing w:after="0" w:line="240" w:lineRule="auto"/>
    </w:pPr>
    <w:tblPr>
      <w:tblBorders>
        <w:top w:val="single" w:color="000000" w:themeColor="text1" w:sz="4" w:space="0"/>
        <w:left w:val="none" w:color="000000" w:themeColor="text1" w:sz="4" w:space="0"/>
        <w:bottom w:val="single" w:color="000000" w:themeColor="text1" w:sz="4" w:space="0"/>
        <w:right w:val="none" w:color="000000" w:themeColor="text1" w:sz="4" w:space="0"/>
      </w:tblBorders>
      <w:tblCellMar>
        <w:top w:w="0" w:type="dxa"/>
        <w:left w:w="108" w:type="dxa"/>
        <w:bottom w:w="0" w:type="dxa"/>
        <w:right w:w="108" w:type="dxa"/>
      </w:tblCellMar>
    </w:tblPr>
    <w:tblStylePr w:type="firstRow">
      <w:rPr>
        <w:rFonts w:ascii="Arial" w:hAnsi="Arial"/>
        <w:b/>
        <w:color w:val="404040"/>
        <w:sz w:val="22"/>
      </w:rPr>
      <w:tcPr>
        <w:tcBorders>
          <w:top w:val="single" w:color="000000" w:themeColor="text1" w:sz="4" w:space="0"/>
          <w:bottom w:val="single" w:color="000000" w:themeColor="text1" w:sz="4" w:space="0"/>
        </w:tcBorders>
      </w:tcPr>
    </w:tblStylePr>
    <w:tblStylePr w:type="lastRow">
      <w:rPr>
        <w:rFonts w:ascii="Arial" w:hAnsi="Arial"/>
        <w:b/>
        <w:color w:val="404040"/>
        <w:sz w:val="22"/>
      </w:rPr>
    </w:tblStylePr>
    <w:tblStylePr w:type="firstCol">
      <w:rPr>
        <w:rFonts w:ascii="Arial" w:hAnsi="Arial"/>
        <w:b/>
        <w:color w:val="404040"/>
        <w:sz w:val="22"/>
      </w:rPr>
    </w:tblStylePr>
    <w:tblStylePr w:type="lastCol">
      <w:rPr>
        <w:rFonts w:ascii="Arial" w:hAnsi="Arial"/>
        <w:b/>
        <w:color w:val="404040"/>
        <w:sz w:val="22"/>
      </w:rPr>
    </w:tblStylePr>
    <w:tblStylePr w:type="band1Vert">
      <w:tcPr>
        <w:tcBorders>
          <w:left w:val="single" w:color="000000" w:themeColor="text1" w:sz="4" w:space="0"/>
          <w:right w:val="single" w:color="000000" w:themeColor="text1" w:sz="4" w:space="0"/>
        </w:tcBorders>
      </w:tcPr>
    </w:tblStylePr>
    <w:tblStylePr w:type="band2Vert">
      <w:tcPr>
        <w:tcBorders>
          <w:left w:val="single" w:color="000000" w:themeColor="text1" w:sz="4" w:space="0"/>
          <w:right w:val="single" w:color="000000" w:themeColor="text1" w:sz="4" w:space="0"/>
        </w:tcBorders>
      </w:tcPr>
    </w:tblStylePr>
    <w:tblStylePr w:type="band1Horz">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77">
    <w:name w:val="Plain Table 3"/>
    <w:basedOn w:val="56"/>
    <w:uiPriority w:val="99"/>
    <w:pPr>
      <w:spacing w:after="0" w:line="240" w:lineRule="auto"/>
    </w:pPr>
    <w:tblStylePr w:type="firstRow">
      <w:rPr>
        <w:b/>
        <w:caps/>
        <w:color w:val="404040"/>
      </w:rPr>
      <w:tcPr>
        <w:tcBorders>
          <w:top w:val="nil"/>
          <w:left w:val="nil"/>
          <w:bottom w:val="single" w:color="404040" w:sz="4" w:space="0"/>
          <w:right w:val="nil"/>
        </w:tcBorders>
      </w:tcPr>
    </w:tblStylePr>
    <w:tblStylePr w:type="lastRow">
      <w:rPr>
        <w:b/>
        <w:caps/>
        <w:color w:val="404040"/>
      </w:rPr>
    </w:tblStylePr>
    <w:tblStylePr w:type="firstCol">
      <w:rPr>
        <w:b/>
        <w:caps/>
        <w:color w:val="404040"/>
      </w:rPr>
      <w:tcPr>
        <w:tcBorders>
          <w:top w:val="nil"/>
          <w:left w:val="nil"/>
          <w:bottom w:val="nil"/>
          <w:right w:val="single" w:color="404040" w:sz="4" w:space="0"/>
        </w:tcBorders>
      </w:tcPr>
    </w:tblStylePr>
    <w:tblStylePr w:type="lastCol">
      <w:rPr>
        <w:b/>
        <w:caps/>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8">
    <w:name w:val="Plain Table 4"/>
    <w:basedOn w:val="56"/>
    <w:qFormat/>
    <w:uiPriority w:val="99"/>
    <w:pPr>
      <w:spacing w:after="0" w:line="240" w:lineRule="auto"/>
    </w:pPr>
    <w:tblStylePr w:type="firstRow">
      <w:rPr>
        <w:b/>
        <w:color w:val="404040"/>
      </w:r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79">
    <w:name w:val="Plain Table 5"/>
    <w:basedOn w:val="56"/>
    <w:qFormat/>
    <w:uiPriority w:val="99"/>
    <w:pPr>
      <w:spacing w:after="0" w:line="240" w:lineRule="auto"/>
    </w:pPr>
    <w:tblStylePr w:type="firstRow">
      <w:rPr>
        <w:i/>
        <w:color w:val="404040"/>
      </w:rPr>
      <w:tcPr>
        <w:tcBorders>
          <w:left w:val="nil"/>
          <w:bottom w:val="single" w:color="404040" w:sz="4" w:space="0"/>
          <w:right w:val="nil"/>
        </w:tcBorders>
        <w:shd w:val="clear" w:color="FFFFFF" w:fill="auto"/>
      </w:tcPr>
    </w:tblStylePr>
    <w:tblStylePr w:type="lastRow">
      <w:rPr>
        <w:i/>
        <w:color w:val="404040"/>
      </w:rPr>
      <w:tcPr>
        <w:tcBorders>
          <w:top w:val="single" w:color="404040" w:sz="4" w:space="0"/>
          <w:left w:val="nil"/>
          <w:right w:val="nil"/>
        </w:tcBorders>
        <w:shd w:val="clear" w:color="FFFFFF" w:fill="auto"/>
      </w:tcPr>
    </w:tblStylePr>
    <w:tblStylePr w:type="firstCol">
      <w:pPr>
        <w:jc w:val="right"/>
      </w:pPr>
      <w:rPr>
        <w:i/>
        <w:color w:val="404040"/>
      </w:rPr>
      <w:tcPr>
        <w:tcBorders>
          <w:right w:val="single" w:color="404040" w:sz="4" w:space="0"/>
        </w:tcBorders>
        <w:shd w:val="clear" w:color="FFFFFF" w:fill="auto"/>
      </w:tcPr>
    </w:tblStylePr>
    <w:tblStylePr w:type="lastCol">
      <w:rPr>
        <w:i/>
        <w:color w:val="404040"/>
      </w:rPr>
      <w:tcPr>
        <w:tcBorders>
          <w:left w:val="single" w:color="404040" w:sz="4" w:space="0"/>
        </w:tcBorders>
        <w:shd w:val="clear" w:color="FFFFFF" w:fill="auto"/>
      </w:tcPr>
    </w:tblStylePr>
    <w:tblStylePr w:type="band1Vert">
      <w:rPr>
        <w:rFonts w:ascii="Arial" w:hAnsi="Arial"/>
        <w:color w:val="404040"/>
        <w:sz w:val="22"/>
      </w:rPr>
      <w:tcPr>
        <w:shd w:val="clear" w:color="F1F1F1" w:themeColor="text1" w:themeTint="0D" w:fill="F1F1F1" w:themeFill="text1" w:themeFillTint="0D"/>
      </w:tcPr>
    </w:tblStylePr>
    <w:tblStylePr w:type="band2Vert"/>
    <w:tblStylePr w:type="band1Horz">
      <w:rPr>
        <w:rFonts w:ascii="Arial" w:hAnsi="Arial"/>
        <w:color w:val="404040"/>
        <w:sz w:val="22"/>
      </w:rPr>
      <w:tcPr>
        <w:shd w:val="clear" w:color="F1F1F1" w:themeColor="text1" w:themeTint="0D" w:fill="F1F1F1" w:themeFill="text1" w:themeFillTint="0D"/>
      </w:tcPr>
    </w:tblStylePr>
    <w:tblStylePr w:type="band2Horz"/>
    <w:tblStylePr w:type="neCell"/>
    <w:tblStylePr w:type="nwCell"/>
    <w:tblStylePr w:type="seCell"/>
    <w:tblStylePr w:type="swCell"/>
  </w:style>
  <w:style w:type="table" w:customStyle="1" w:styleId="80">
    <w:name w:val="Grid Table 1 Light"/>
    <w:basedOn w:val="56"/>
    <w:qFormat/>
    <w:uiPriority w:val="99"/>
    <w:pPr>
      <w:spacing w:after="0" w:line="240" w:lineRule="auto"/>
    </w:pPr>
    <w:tblPr>
      <w:tbl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insideH w:val="single" w:color="979797" w:themeColor="text1" w:themeTint="67" w:sz="4" w:space="0"/>
        <w:insideV w:val="single" w:color="979797" w:themeColor="text1" w:themeTint="67" w:sz="4" w:space="0"/>
      </w:tblBorders>
    </w:tblPr>
    <w:tblStylePr w:type="firstRow">
      <w:rPr>
        <w:b/>
        <w:color w:val="404040"/>
      </w:rPr>
      <w:tcPr>
        <w:tcBorders>
          <w:bottom w:val="single" w:color="696969" w:themeColor="tex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979797" w:themeColor="text1" w:themeTint="67" w:sz="4" w:space="0"/>
          <w:left w:val="single" w:color="979797" w:themeColor="text1" w:themeTint="67" w:sz="4" w:space="0"/>
          <w:bottom w:val="single" w:color="979797" w:themeColor="text1" w:themeTint="67" w:sz="4" w:space="0"/>
          <w:right w:val="single" w:color="979797" w:themeColor="text1" w:themeTint="67" w:sz="4" w:space="0"/>
        </w:tcBorders>
      </w:tcPr>
    </w:tblStylePr>
    <w:tblStylePr w:type="band2Horz"/>
    <w:tblStylePr w:type="neCell"/>
    <w:tblStylePr w:type="nwCell"/>
    <w:tblStylePr w:type="seCell"/>
    <w:tblStylePr w:type="swCell"/>
  </w:style>
  <w:style w:type="table" w:customStyle="1" w:styleId="81">
    <w:name w:val="Grid Table 1 Light - Accent 1"/>
    <w:basedOn w:val="5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b/>
        <w:color w:val="404040"/>
      </w:rPr>
      <w:tcPr>
        <w:tcBorders>
          <w:bottom w:val="single" w:color="98B5D8" w:themeColor="accent1"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82">
    <w:name w:val="Grid Table 1 Light - Accent 2"/>
    <w:basedOn w:val="5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b/>
        <w:color w:val="404040"/>
      </w:rPr>
      <w:tcPr>
        <w:tcBorders>
          <w:bottom w:val="single" w:color="DA9896" w:themeColor="accent2"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83">
    <w:name w:val="Grid Table 1 Light - Accent 3"/>
    <w:basedOn w:val="5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b/>
        <w:color w:val="404040"/>
      </w:rPr>
      <w:tcPr>
        <w:tcBorders>
          <w:bottom w:val="single" w:color="C4D79E" w:themeColor="accent3"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84">
    <w:name w:val="Grid Table 1 Light - Accent 4"/>
    <w:basedOn w:val="5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b/>
        <w:color w:val="404040"/>
      </w:rPr>
      <w:tcPr>
        <w:tcBorders>
          <w:bottom w:val="single" w:color="B4A4C8" w:themeColor="accent4"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85">
    <w:name w:val="Grid Table 1 Light - Accent 5"/>
    <w:basedOn w:val="56"/>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b/>
        <w:color w:val="404040"/>
      </w:rPr>
      <w:tcPr>
        <w:tcBorders>
          <w:bottom w:val="single" w:color="95CEDD" w:themeColor="accent5"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86">
    <w:name w:val="Grid Table 1 Light - Accent 6"/>
    <w:basedOn w:val="5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b/>
        <w:color w:val="404040"/>
      </w:rPr>
      <w:tcPr>
        <w:tcBorders>
          <w:bottom w:val="single" w:color="FAC192" w:themeColor="accent6" w:themeTint="95" w:sz="12" w:space="0"/>
        </w:tcBorders>
      </w:tcPr>
    </w:tblStylePr>
    <w:tblStylePr w:type="lastRow">
      <w:rPr>
        <w:b/>
        <w:color w:val="404040"/>
      </w:rPr>
    </w:tblStylePr>
    <w:tblStylePr w:type="firstCol">
      <w:rPr>
        <w:b/>
        <w:color w:val="404040"/>
      </w:rPr>
    </w:tblStylePr>
    <w:tblStylePr w:type="lastCol">
      <w:rPr>
        <w:b/>
        <w:color w:val="404040"/>
      </w:r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table" w:customStyle="1" w:styleId="87">
    <w:name w:val="Grid Table 2"/>
    <w:basedOn w:val="5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single" w:color="696969" w:themeColor="text1" w:themeTint="95" w:sz="12" w:space="0"/>
          <w:right w:val="nil"/>
        </w:tcBorders>
        <w:shd w:val="clear" w:color="FFFFFF" w:fill="auto"/>
      </w:tcPr>
    </w:tblStylePr>
    <w:tblStylePr w:type="lastRow">
      <w:rPr>
        <w:b/>
        <w:color w:val="404040"/>
      </w:rPr>
      <w:tcPr>
        <w:tcBorders>
          <w:top w:val="single" w:color="696969" w:themeColor="text1" w:themeTint="9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88">
    <w:name w:val="Grid Table 2 - Accent 1"/>
    <w:basedOn w:val="56"/>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single" w:color="5D8BC2" w:themeColor="accent1" w:themeTint="EA" w:sz="12" w:space="0"/>
          <w:right w:val="nil"/>
        </w:tcBorders>
        <w:shd w:val="clear" w:color="FFFFFF" w:fill="auto"/>
      </w:tcPr>
    </w:tblStylePr>
    <w:tblStylePr w:type="lastRow">
      <w:rPr>
        <w:b/>
        <w:color w:val="404040"/>
      </w:rPr>
      <w:tcPr>
        <w:tcBorders>
          <w:top w:val="single" w:color="5D8BC2" w:themeColor="accent1" w:themeTint="E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89">
    <w:name w:val="Grid Table 2 - Accent 2"/>
    <w:basedOn w:val="5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single" w:color="D99795" w:themeColor="accent2" w:themeTint="97" w:sz="12" w:space="0"/>
          <w:right w:val="nil"/>
        </w:tcBorders>
        <w:shd w:val="clear" w:color="FFFFFF" w:fill="auto"/>
      </w:tcPr>
    </w:tblStylePr>
    <w:tblStylePr w:type="lastRow">
      <w:rPr>
        <w:b/>
        <w:color w:val="404040"/>
      </w:rPr>
      <w:tcPr>
        <w:tcBorders>
          <w:top w:val="single" w:color="D99795" w:themeColor="accent2" w:themeTint="97"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0">
    <w:name w:val="Grid Table 2 - Accent 3"/>
    <w:basedOn w:val="5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single" w:color="9BBB59" w:themeColor="accent3" w:themeTint="FE" w:sz="12" w:space="0"/>
          <w:right w:val="nil"/>
        </w:tcBorders>
        <w:shd w:val="clear" w:color="FFFFFF" w:fill="auto"/>
      </w:tcPr>
    </w:tblStylePr>
    <w:tblStylePr w:type="lastRow">
      <w:rPr>
        <w:b/>
        <w:color w:val="404040"/>
      </w:rPr>
      <w:tcPr>
        <w:tcBorders>
          <w:top w:val="single" w:color="9BBB59" w:themeColor="accent3" w:themeTint="FE"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1">
    <w:name w:val="Grid Table 2 - Accent 4"/>
    <w:basedOn w:val="56"/>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single" w:color="B2A1C6" w:themeColor="accent4" w:themeTint="9A" w:sz="12" w:space="0"/>
          <w:right w:val="nil"/>
        </w:tcBorders>
        <w:shd w:val="clear" w:color="FFFFFF" w:fill="auto"/>
      </w:tcPr>
    </w:tblStylePr>
    <w:tblStylePr w:type="lastRow">
      <w:rPr>
        <w:b/>
        <w:color w:val="404040"/>
      </w:rPr>
      <w:tcPr>
        <w:tcBorders>
          <w:top w:val="single" w:color="B2A1C6" w:themeColor="accent4" w:themeTint="9A"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2">
    <w:name w:val="Grid Table 2 - Accent 5"/>
    <w:basedOn w:val="56"/>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single" w:color="4BACC6" w:themeColor="accent5" w:sz="12" w:space="0"/>
          <w:right w:val="nil"/>
        </w:tcBorders>
        <w:shd w:val="clear" w:color="FFFFFF" w:fill="auto"/>
      </w:tcPr>
    </w:tblStylePr>
    <w:tblStylePr w:type="lastRow">
      <w:rPr>
        <w:b/>
        <w:color w:val="404040"/>
      </w:rPr>
      <w:tcPr>
        <w:tcBorders>
          <w:top w:val="single" w:color="4BACC6" w:themeColor="accent5"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93">
    <w:name w:val="Grid Table 2 - Accent 6"/>
    <w:basedOn w:val="5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single" w:color="F79646" w:themeColor="accent6" w:sz="12" w:space="0"/>
          <w:right w:val="nil"/>
        </w:tcBorders>
        <w:shd w:val="clear" w:color="FFFFFF" w:fill="auto"/>
      </w:tcPr>
    </w:tblStylePr>
    <w:tblStylePr w:type="lastRow">
      <w:rPr>
        <w:b/>
        <w:color w:val="404040"/>
      </w:rPr>
      <w:tcPr>
        <w:tcBorders>
          <w:top w:val="single" w:color="F79646" w:themeColor="accent6" w:sz="4" w:space="0"/>
          <w:left w:val="nil"/>
          <w:bottom w:val="nil"/>
          <w:right w:val="nil"/>
        </w:tcBorders>
        <w:shd w:val="clear" w:color="FFFFFF" w:fill="auto"/>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94">
    <w:name w:val="Grid Table 3"/>
    <w:basedOn w:val="56"/>
    <w:qFormat/>
    <w:uiPriority w:val="99"/>
    <w:pPr>
      <w:spacing w:after="0" w:line="240" w:lineRule="auto"/>
    </w:pPr>
    <w:tblPr>
      <w:tblBorders>
        <w:bottom w:val="single" w:color="696969" w:themeColor="text1" w:themeTint="95" w:sz="4" w:space="0"/>
        <w:insideH w:val="single" w:color="696969" w:themeColor="text1" w:themeTint="95" w:sz="4" w:space="0"/>
        <w:insideV w:val="single" w:color="696969" w:themeColor="text1" w:themeTint="9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95">
    <w:name w:val="Grid Table 3 - Accent 1"/>
    <w:basedOn w:val="56"/>
    <w:uiPriority w:val="99"/>
    <w:pPr>
      <w:spacing w:after="0" w:line="240" w:lineRule="auto"/>
    </w:pPr>
    <w:tblPr>
      <w:tblBorders>
        <w:bottom w:val="single" w:color="5D8BC2" w:themeColor="accent1" w:themeTint="EA" w:sz="4" w:space="0"/>
        <w:insideH w:val="single" w:color="5D8BC2" w:themeColor="accent1" w:themeTint="EA" w:sz="4" w:space="0"/>
        <w:insideV w:val="single" w:color="5D8BC2" w:themeColor="accent1" w:themeTint="E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BE5F1" w:themeColor="accent1" w:themeTint="34" w:fill="DBE5F1" w:themeFill="accent1" w:themeFillTint="34"/>
      </w:tcPr>
    </w:tblStylePr>
    <w:tblStylePr w:type="band2Vert"/>
    <w:tblStylePr w:type="band1Horz">
      <w:rPr>
        <w:rFonts w:ascii="Arial" w:hAnsi="Arial"/>
        <w:color w:val="404040"/>
        <w:sz w:val="22"/>
      </w:rPr>
      <w:tcPr>
        <w:shd w:val="clear" w:color="DBE5F1" w:themeColor="accent1" w:themeTint="34" w:fill="DBE5F1" w:themeFill="accent1" w:themeFillTint="34"/>
      </w:tcPr>
    </w:tblStylePr>
    <w:tblStylePr w:type="band2Horz"/>
    <w:tblStylePr w:type="neCell"/>
    <w:tblStylePr w:type="nwCell"/>
    <w:tblStylePr w:type="seCell"/>
    <w:tblStylePr w:type="swCell"/>
  </w:style>
  <w:style w:type="table" w:customStyle="1" w:styleId="96">
    <w:name w:val="Grid Table 3 - Accent 2"/>
    <w:basedOn w:val="56"/>
    <w:qFormat/>
    <w:uiPriority w:val="99"/>
    <w:pPr>
      <w:spacing w:after="0" w:line="240" w:lineRule="auto"/>
    </w:pPr>
    <w:tblPr>
      <w:tblBorders>
        <w:bottom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97">
    <w:name w:val="Grid Table 3 - Accent 3"/>
    <w:basedOn w:val="56"/>
    <w:qFormat/>
    <w:uiPriority w:val="99"/>
    <w:pPr>
      <w:spacing w:after="0" w:line="240" w:lineRule="auto"/>
    </w:pPr>
    <w:tblPr>
      <w:tblBorders>
        <w:bottom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98">
    <w:name w:val="Grid Table 3 - Accent 4"/>
    <w:basedOn w:val="56"/>
    <w:uiPriority w:val="99"/>
    <w:pPr>
      <w:spacing w:after="0" w:line="240" w:lineRule="auto"/>
    </w:pPr>
    <w:tblPr>
      <w:tblBorders>
        <w:bottom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99">
    <w:name w:val="Grid Table 3 - Accent 5"/>
    <w:basedOn w:val="56"/>
    <w:qFormat/>
    <w:uiPriority w:val="99"/>
    <w:pPr>
      <w:spacing w:after="0" w:line="240" w:lineRule="auto"/>
    </w:pPr>
    <w:tblPr>
      <w:tblBorders>
        <w:bottom w:val="single" w:color="4BACC6" w:themeColor="accent5" w:sz="4" w:space="0"/>
        <w:insideH w:val="single" w:color="4BACC6" w:themeColor="accent5" w:sz="4" w:space="0"/>
        <w:insideV w:val="single" w:color="4BACC6" w:themeColor="accent5"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0">
    <w:name w:val="Grid Table 3 - Accent 6"/>
    <w:basedOn w:val="56"/>
    <w:qFormat/>
    <w:uiPriority w:val="99"/>
    <w:pPr>
      <w:spacing w:after="0" w:line="240" w:lineRule="auto"/>
    </w:pPr>
    <w:tblPr>
      <w:tblBorders>
        <w:bottom w:val="single" w:color="F79646" w:themeColor="accent6" w:sz="4" w:space="0"/>
        <w:insideH w:val="single" w:color="F79646" w:themeColor="accent6" w:sz="4" w:space="0"/>
        <w:insideV w:val="single" w:color="F79646" w:themeColor="accent6" w:sz="4" w:space="0"/>
      </w:tblBorders>
    </w:tblPr>
    <w:tblStylePr w:type="firstRow">
      <w:rPr>
        <w:b/>
        <w:color w:val="404040"/>
      </w:rPr>
      <w:tcPr>
        <w:tcBorders>
          <w:top w:val="nil"/>
          <w:left w:val="nil"/>
          <w:bottom w:val="nil"/>
          <w:right w:val="nil"/>
        </w:tcBorders>
        <w:shd w:val="clear" w:color="FFFFFF" w:fill="auto"/>
      </w:tcPr>
    </w:tblStylePr>
    <w:tblStylePr w:type="lastRow">
      <w:rPr>
        <w:b/>
        <w:color w:val="404040"/>
      </w:rPr>
      <w:tcPr>
        <w:tcBorders>
          <w:top w:val="nil"/>
          <w:left w:val="nil"/>
          <w:bottom w:val="nil"/>
          <w:right w:val="nil"/>
        </w:tcBorders>
        <w:shd w:val="clear" w:color="FFFFFF" w:fill="auto"/>
      </w:tcPr>
    </w:tblStylePr>
    <w:tblStylePr w:type="firstCol">
      <w:pPr>
        <w:jc w:val="right"/>
      </w:pPr>
      <w:rPr>
        <w:i/>
        <w:color w:val="404040"/>
      </w:rPr>
      <w:tcPr>
        <w:tcBorders>
          <w:top w:val="nil"/>
          <w:left w:val="nil"/>
          <w:bottom w:val="nil"/>
          <w:right w:val="nil"/>
        </w:tcBorders>
        <w:shd w:val="clear" w:color="FFFFFF" w:fill="auto"/>
      </w:tcPr>
    </w:tblStylePr>
    <w:tblStylePr w:type="lastCol">
      <w:rPr>
        <w:i/>
        <w:color w:val="404040"/>
      </w:rPr>
      <w:tcPr>
        <w:tcBorders>
          <w:top w:val="nil"/>
          <w:left w:val="nil"/>
          <w:bottom w:val="nil"/>
          <w:right w:val="nil"/>
        </w:tcBorders>
        <w:shd w:val="clear" w:color="FFFFFF" w:fill="auto"/>
      </w:tc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1">
    <w:name w:val="Grid Table 4"/>
    <w:basedOn w:val="56"/>
    <w:qFormat/>
    <w:uiPriority w:val="59"/>
    <w:pPr>
      <w:spacing w:after="0" w:line="240" w:lineRule="auto"/>
    </w:pPr>
    <w:tblPr>
      <w:tblBorders>
        <w:top w:val="single" w:color="6E6E6E" w:themeColor="text1" w:themeTint="90" w:sz="4" w:space="0"/>
        <w:left w:val="single" w:color="6E6E6E" w:themeColor="text1" w:themeTint="90" w:sz="4" w:space="0"/>
        <w:bottom w:val="single" w:color="6E6E6E" w:themeColor="text1" w:themeTint="90" w:sz="4" w:space="0"/>
        <w:right w:val="single" w:color="6E6E6E" w:themeColor="text1" w:themeTint="90" w:sz="4" w:space="0"/>
        <w:insideH w:val="single" w:color="6E6E6E" w:themeColor="text1" w:themeTint="90" w:sz="4" w:space="0"/>
        <w:insideV w:val="single" w:color="6E6E6E" w:themeColor="text1" w:themeTint="90" w:sz="4" w:space="0"/>
      </w:tblBorders>
    </w:tblPr>
    <w:tblStylePr w:type="firstRow">
      <w:rPr>
        <w:rFonts w:ascii="Arial" w:hAnsi="Arial"/>
        <w:b/>
        <w:color w:val="FFFFFF"/>
        <w:sz w:val="22"/>
      </w:rPr>
      <w:tcPr>
        <w:tcBorders>
          <w:top w:val="single" w:color="000000" w:themeColor="text1" w:sz="4" w:space="0"/>
          <w:left w:val="single" w:color="000000" w:themeColor="text1" w:sz="4" w:space="0"/>
          <w:bottom w:val="single" w:color="000000" w:themeColor="text1" w:sz="4" w:space="0"/>
          <w:right w:val="single" w:color="000000" w:themeColor="text1" w:sz="4" w:space="0"/>
        </w:tcBorders>
        <w:shd w:val="clear" w:color="000000" w:themeColor="text1" w:fill="000000" w:themeFill="text1"/>
      </w:tcPr>
    </w:tblStylePr>
    <w:tblStylePr w:type="lastRow">
      <w:rPr>
        <w:b/>
        <w:color w:val="404040"/>
      </w:rPr>
      <w:tcPr>
        <w:tcBorders>
          <w:top w:val="single" w:color="000000" w:themeColor="text1"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CACACA" w:themeColor="text1" w:themeTint="34" w:fill="CACACA" w:themeFill="text1" w:themeFillTint="34"/>
      </w:tcPr>
    </w:tblStylePr>
    <w:tblStylePr w:type="band2Vert"/>
    <w:tblStylePr w:type="band1Horz">
      <w:rPr>
        <w:rFonts w:ascii="Arial" w:hAnsi="Arial"/>
        <w:color w:val="404040"/>
        <w:sz w:val="22"/>
      </w:rPr>
      <w:tcPr>
        <w:shd w:val="clear" w:color="CACACA" w:themeColor="text1" w:themeTint="34" w:fill="CACACA" w:themeFill="text1" w:themeFillTint="34"/>
      </w:tcPr>
    </w:tblStylePr>
    <w:tblStylePr w:type="band2Horz"/>
    <w:tblStylePr w:type="neCell"/>
    <w:tblStylePr w:type="nwCell"/>
    <w:tblStylePr w:type="seCell"/>
    <w:tblStylePr w:type="swCell"/>
  </w:style>
  <w:style w:type="table" w:customStyle="1" w:styleId="102">
    <w:name w:val="Grid Table 4 - Accent 1"/>
    <w:basedOn w:val="56"/>
    <w:qFormat/>
    <w:uiPriority w:val="5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insideV w:val="single" w:color="9BB7D9" w:themeColor="accent1" w:themeTint="90" w:sz="4" w:space="0"/>
      </w:tblBorders>
    </w:tblPr>
    <w:tblStylePr w:type="firstRow">
      <w:rPr>
        <w:rFonts w:ascii="Arial" w:hAnsi="Arial"/>
        <w:b/>
        <w:color w:val="FFFFFF"/>
        <w:sz w:val="22"/>
      </w:rPr>
      <w:tcPr>
        <w:tcBorders>
          <w:top w:val="single" w:color="5D8BC2" w:themeColor="accent1" w:themeTint="EA" w:sz="4" w:space="0"/>
          <w:left w:val="single" w:color="5D8BC2" w:themeColor="accent1" w:themeTint="EA" w:sz="4" w:space="0"/>
          <w:bottom w:val="single" w:color="5D8BC2" w:themeColor="accent1" w:themeTint="EA" w:sz="4" w:space="0"/>
          <w:right w:val="single" w:color="5D8BC2" w:themeColor="accent1" w:themeTint="EA" w:sz="4" w:space="0"/>
        </w:tcBorders>
        <w:shd w:val="clear" w:color="5D8BC2" w:themeColor="accent1" w:themeTint="EA" w:fill="5D8BC2" w:themeFill="accent1" w:themeFillTint="EA"/>
      </w:tcPr>
    </w:tblStylePr>
    <w:tblStylePr w:type="lastRow">
      <w:rPr>
        <w:b/>
        <w:color w:val="404040"/>
      </w:rPr>
      <w:tcPr>
        <w:tcBorders>
          <w:top w:val="single" w:color="5D8BC2" w:themeColor="accent1" w:themeTint="E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CE6F2" w:themeColor="accent1" w:themeTint="32" w:fill="DCE6F2" w:themeFill="accent1" w:themeFillTint="32"/>
      </w:tcPr>
    </w:tblStylePr>
    <w:tblStylePr w:type="band2Vert"/>
    <w:tblStylePr w:type="band1Horz">
      <w:rPr>
        <w:rFonts w:ascii="Arial" w:hAnsi="Arial"/>
        <w:color w:val="404040"/>
        <w:sz w:val="22"/>
      </w:rPr>
      <w:tcPr>
        <w:shd w:val="clear" w:color="DCE6F2" w:themeColor="accent1" w:themeTint="32" w:fill="DCE6F2" w:themeFill="accent1" w:themeFillTint="32"/>
      </w:tcPr>
    </w:tblStylePr>
    <w:tblStylePr w:type="band2Horz"/>
    <w:tblStylePr w:type="neCell"/>
    <w:tblStylePr w:type="nwCell"/>
    <w:tblStylePr w:type="seCell"/>
    <w:tblStylePr w:type="swCell"/>
  </w:style>
  <w:style w:type="table" w:customStyle="1" w:styleId="103">
    <w:name w:val="Grid Table 4 - Accent 2"/>
    <w:basedOn w:val="56"/>
    <w:uiPriority w:val="5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insideV w:val="single" w:color="DB9C9A" w:themeColor="accent2" w:themeTint="90" w:sz="4" w:space="0"/>
      </w:tblBorders>
    </w:tblPr>
    <w:tblStylePr w:type="firstRow">
      <w:rPr>
        <w:rFonts w:ascii="Arial" w:hAnsi="Arial"/>
        <w:b/>
        <w:color w:val="FFFFFF"/>
        <w:sz w:val="22"/>
      </w:rPr>
      <w:tcPr>
        <w:tc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cBorders>
        <w:shd w:val="clear" w:color="D99795" w:themeColor="accent2" w:themeTint="97" w:fill="D99795" w:themeFill="accent2" w:themeFillTint="97"/>
      </w:tcPr>
    </w:tblStylePr>
    <w:tblStylePr w:type="lastRow">
      <w:rPr>
        <w:b/>
        <w:color w:val="404040"/>
      </w:rPr>
      <w:tcPr>
        <w:tcBorders>
          <w:top w:val="single" w:color="D99795" w:themeColor="accent2" w:themeTint="97"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2DCDC" w:themeColor="accent2" w:themeTint="32" w:fill="F2DCDC" w:themeFill="accent2" w:themeFillTint="32"/>
      </w:tcPr>
    </w:tblStylePr>
    <w:tblStylePr w:type="band2Vert"/>
    <w:tblStylePr w:type="band1Horz">
      <w:rPr>
        <w:rFonts w:ascii="Arial" w:hAnsi="Arial"/>
        <w:color w:val="404040"/>
        <w:sz w:val="22"/>
      </w:rPr>
      <w:tcPr>
        <w:shd w:val="clear" w:color="F2DCDC" w:themeColor="accent2" w:themeTint="32" w:fill="F2DCDC" w:themeFill="accent2" w:themeFillTint="32"/>
      </w:tcPr>
    </w:tblStylePr>
    <w:tblStylePr w:type="band2Horz"/>
    <w:tblStylePr w:type="neCell"/>
    <w:tblStylePr w:type="nwCell"/>
    <w:tblStylePr w:type="seCell"/>
    <w:tblStylePr w:type="swCell"/>
  </w:style>
  <w:style w:type="table" w:customStyle="1" w:styleId="104">
    <w:name w:val="Grid Table 4 - Accent 3"/>
    <w:basedOn w:val="56"/>
    <w:uiPriority w:val="5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insideV w:val="single" w:color="C6D8A1" w:themeColor="accent3" w:themeTint="90" w:sz="4" w:space="0"/>
      </w:tblBorders>
    </w:tblPr>
    <w:tblStylePr w:type="firstRow">
      <w:rPr>
        <w:rFonts w:ascii="Arial" w:hAnsi="Arial"/>
        <w:b/>
        <w:color w:val="FFFFFF"/>
        <w:sz w:val="22"/>
      </w:rPr>
      <w:tcPr>
        <w:tc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tcBorders>
        <w:shd w:val="clear" w:color="9BBB59" w:themeColor="accent3" w:themeTint="FE" w:fill="9BBB59" w:themeFill="accent3" w:themeFillTint="FE"/>
      </w:tcPr>
    </w:tblStylePr>
    <w:tblStylePr w:type="lastRow">
      <w:rPr>
        <w:b/>
        <w:color w:val="404040"/>
      </w:rPr>
      <w:tcPr>
        <w:tcBorders>
          <w:top w:val="single" w:color="9BBB59" w:themeColor="accent3" w:themeTint="FE"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AF1DD" w:themeColor="accent3" w:themeTint="34" w:fill="EAF1DD" w:themeFill="accent3" w:themeFillTint="34"/>
      </w:tcPr>
    </w:tblStylePr>
    <w:tblStylePr w:type="band2Vert"/>
    <w:tblStylePr w:type="band1Horz">
      <w:rPr>
        <w:rFonts w:ascii="Arial" w:hAnsi="Arial"/>
        <w:color w:val="404040"/>
        <w:sz w:val="22"/>
      </w:rPr>
      <w:tcPr>
        <w:shd w:val="clear" w:color="EAF1DD" w:themeColor="accent3" w:themeTint="34" w:fill="EAF1DD" w:themeFill="accent3" w:themeFillTint="34"/>
      </w:tcPr>
    </w:tblStylePr>
    <w:tblStylePr w:type="band2Horz"/>
    <w:tblStylePr w:type="neCell"/>
    <w:tblStylePr w:type="nwCell"/>
    <w:tblStylePr w:type="seCell"/>
    <w:tblStylePr w:type="swCell"/>
  </w:style>
  <w:style w:type="table" w:customStyle="1" w:styleId="105">
    <w:name w:val="Grid Table 4 - Accent 4"/>
    <w:basedOn w:val="56"/>
    <w:qFormat/>
    <w:uiPriority w:val="5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insideV w:val="single" w:color="B7A7CA" w:themeColor="accent4" w:themeTint="90" w:sz="4" w:space="0"/>
      </w:tblBorders>
    </w:tblPr>
    <w:tblStylePr w:type="firstRow">
      <w:rPr>
        <w:rFonts w:ascii="Arial" w:hAnsi="Arial"/>
        <w:b/>
        <w:color w:val="FFFFFF"/>
        <w:sz w:val="22"/>
      </w:rPr>
      <w:tcPr>
        <w:tc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cBorders>
        <w:shd w:val="clear" w:color="B2A1C6" w:themeColor="accent4" w:themeTint="9A" w:fill="B2A1C6" w:themeFill="accent4" w:themeFillTint="9A"/>
      </w:tcPr>
    </w:tblStylePr>
    <w:tblStylePr w:type="lastRow">
      <w:rPr>
        <w:b/>
        <w:color w:val="404040"/>
      </w:rPr>
      <w:tcPr>
        <w:tcBorders>
          <w:top w:val="single" w:color="B2A1C6" w:themeColor="accent4" w:themeTint="9A"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E5DFEC" w:themeColor="accent4" w:themeTint="34" w:fill="E5DFEC" w:themeFill="accent4" w:themeFillTint="34"/>
      </w:tcPr>
    </w:tblStylePr>
    <w:tblStylePr w:type="band2Vert"/>
    <w:tblStylePr w:type="band1Horz">
      <w:rPr>
        <w:rFonts w:ascii="Arial" w:hAnsi="Arial"/>
        <w:color w:val="404040"/>
        <w:sz w:val="22"/>
      </w:rPr>
      <w:tcPr>
        <w:shd w:val="clear" w:color="E5DFEC" w:themeColor="accent4" w:themeTint="34" w:fill="E5DFEC" w:themeFill="accent4" w:themeFillTint="34"/>
      </w:tcPr>
    </w:tblStylePr>
    <w:tblStylePr w:type="band2Horz"/>
    <w:tblStylePr w:type="neCell"/>
    <w:tblStylePr w:type="nwCell"/>
    <w:tblStylePr w:type="seCell"/>
    <w:tblStylePr w:type="swCell"/>
  </w:style>
  <w:style w:type="table" w:customStyle="1" w:styleId="106">
    <w:name w:val="Grid Table 4 - Accent 5"/>
    <w:basedOn w:val="56"/>
    <w:uiPriority w:val="5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FFFFFF"/>
        <w:sz w:val="22"/>
      </w:rPr>
      <w:tcPr>
        <w:tcBorders>
          <w:top w:val="single" w:color="4BACC6" w:themeColor="accent5" w:sz="4" w:space="0"/>
          <w:left w:val="single" w:color="4BACC6" w:themeColor="accent5" w:sz="4" w:space="0"/>
          <w:bottom w:val="single" w:color="4BACC6" w:themeColor="accent5" w:sz="4" w:space="0"/>
          <w:right w:val="single" w:color="4BACC6" w:themeColor="accent5" w:sz="4" w:space="0"/>
        </w:tcBorders>
        <w:shd w:val="clear" w:color="4BACC6" w:themeColor="accent5" w:fill="4BACC6" w:themeFill="accent5"/>
      </w:tcPr>
    </w:tblStylePr>
    <w:tblStylePr w:type="lastRow">
      <w:rPr>
        <w:b/>
        <w:color w:val="404040"/>
      </w:rPr>
      <w:tcPr>
        <w:tcBorders>
          <w:top w:val="single" w:color="4BACC6" w:themeColor="accent5"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DAEEF3" w:themeColor="accent5" w:themeTint="34" w:fill="DAEEF3" w:themeFill="accent5" w:themeFillTint="34"/>
      </w:tcPr>
    </w:tblStylePr>
    <w:tblStylePr w:type="band2Vert"/>
    <w:tblStylePr w:type="band1Horz">
      <w:rPr>
        <w:rFonts w:ascii="Arial" w:hAnsi="Arial"/>
        <w:color w:val="404040"/>
        <w:sz w:val="22"/>
      </w:rPr>
      <w:tcPr>
        <w:shd w:val="clear" w:color="DAEEF3" w:themeColor="accent5" w:themeTint="34" w:fill="DAEEF3" w:themeFill="accent5" w:themeFillTint="34"/>
      </w:tcPr>
    </w:tblStylePr>
    <w:tblStylePr w:type="band2Horz"/>
    <w:tblStylePr w:type="neCell"/>
    <w:tblStylePr w:type="nwCell"/>
    <w:tblStylePr w:type="seCell"/>
    <w:tblStylePr w:type="swCell"/>
  </w:style>
  <w:style w:type="table" w:customStyle="1" w:styleId="107">
    <w:name w:val="Grid Table 4 - Accent 6"/>
    <w:basedOn w:val="56"/>
    <w:uiPriority w:val="5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FFFFFF"/>
        <w:sz w:val="22"/>
      </w:rPr>
      <w:tcPr>
        <w:tcBorders>
          <w:top w:val="single" w:color="F79646" w:themeColor="accent6" w:sz="4" w:space="0"/>
          <w:left w:val="single" w:color="F79646" w:themeColor="accent6" w:sz="4" w:space="0"/>
          <w:bottom w:val="single" w:color="F79646" w:themeColor="accent6" w:sz="4" w:space="0"/>
          <w:right w:val="single" w:color="F79646" w:themeColor="accent6" w:sz="4" w:space="0"/>
        </w:tcBorders>
        <w:shd w:val="clear" w:color="F79646" w:themeColor="accent6" w:fill="F79646" w:themeFill="accent6"/>
      </w:tcPr>
    </w:tblStylePr>
    <w:tblStylePr w:type="lastRow">
      <w:rPr>
        <w:b/>
        <w:color w:val="404040"/>
      </w:rPr>
      <w:tcPr>
        <w:tcBorders>
          <w:top w:val="single" w:color="F79646" w:themeColor="accent6" w:sz="4" w:space="0"/>
        </w:tcBorders>
      </w:tcPr>
    </w:tblStylePr>
    <w:tblStylePr w:type="firstCol">
      <w:rPr>
        <w:b/>
        <w:color w:val="404040"/>
      </w:rPr>
    </w:tblStylePr>
    <w:tblStylePr w:type="lastCol">
      <w:rPr>
        <w:b/>
        <w:color w:val="404040"/>
      </w:rPr>
    </w:tblStylePr>
    <w:tblStylePr w:type="band1Vert">
      <w:rPr>
        <w:rFonts w:ascii="Arial" w:hAnsi="Arial"/>
        <w:color w:val="404040"/>
        <w:sz w:val="22"/>
      </w:rPr>
      <w:tcPr>
        <w:shd w:val="clear" w:color="FDE9D9" w:themeColor="accent6" w:themeTint="34" w:fill="FDE9D9" w:themeFill="accent6" w:themeFillTint="34"/>
      </w:tcPr>
    </w:tblStylePr>
    <w:tblStylePr w:type="band2Vert"/>
    <w:tblStylePr w:type="band1Horz">
      <w:rPr>
        <w:rFonts w:ascii="Arial" w:hAnsi="Arial"/>
        <w:color w:val="404040"/>
        <w:sz w:val="22"/>
      </w:rPr>
      <w:tcPr>
        <w:shd w:val="clear" w:color="FDE9D9" w:themeColor="accent6" w:themeTint="34" w:fill="FDE9D9" w:themeFill="accent6" w:themeFillTint="34"/>
      </w:tcPr>
    </w:tblStylePr>
    <w:tblStylePr w:type="band2Horz"/>
    <w:tblStylePr w:type="neCell"/>
    <w:tblStylePr w:type="nwCell"/>
    <w:tblStylePr w:type="seCell"/>
    <w:tblStylePr w:type="swCell"/>
  </w:style>
  <w:style w:type="table" w:customStyle="1" w:styleId="108">
    <w:name w:val="Grid Table 5 Dark"/>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000000" w:themeColor="text1" w:fill="000000" w:themeFill="text1"/>
      </w:tcPr>
    </w:tblStylePr>
    <w:tblStylePr w:type="lastRow">
      <w:rPr>
        <w:rFonts w:ascii="Arial" w:hAnsi="Arial"/>
        <w:b/>
        <w:color w:val="FFFFFF"/>
        <w:sz w:val="22"/>
      </w:rPr>
      <w:tcPr>
        <w:tcBorders>
          <w:top w:val="single" w:color="FFFFFF" w:themeColor="light1" w:sz="4" w:space="0"/>
        </w:tcBorders>
        <w:shd w:val="clear" w:color="000000" w:themeColor="text1" w:fill="000000" w:themeFill="text1"/>
      </w:tcPr>
    </w:tblStylePr>
    <w:tblStylePr w:type="firstCol">
      <w:rPr>
        <w:rFonts w:ascii="Arial" w:hAnsi="Arial"/>
        <w:b/>
        <w:color w:val="FFFFFF"/>
        <w:sz w:val="22"/>
      </w:rPr>
      <w:tcPr>
        <w:shd w:val="clear" w:color="000000" w:themeColor="text1" w:fill="000000" w:themeFill="text1"/>
      </w:tcPr>
    </w:tblStylePr>
    <w:tblStylePr w:type="lastCol">
      <w:rPr>
        <w:rFonts w:ascii="Arial" w:hAnsi="Arial"/>
        <w:b/>
        <w:color w:val="FFFFFF"/>
        <w:sz w:val="22"/>
      </w:rPr>
      <w:tcPr>
        <w:shd w:val="clear" w:color="000000" w:themeColor="text1" w:fill="000000" w:themeFill="text1"/>
      </w:tcPr>
    </w:tblStylePr>
    <w:tblStylePr w:type="band1Vert">
      <w:tcPr>
        <w:shd w:val="clear" w:color="898989" w:themeColor="text1" w:themeTint="75" w:fill="898989" w:themeFill="text1" w:themeFillTint="75"/>
      </w:tcPr>
    </w:tblStylePr>
    <w:tblStylePr w:type="band2Vert"/>
    <w:tblStylePr w:type="band1Horz">
      <w:tcPr>
        <w:shd w:val="clear" w:color="898989" w:themeColor="text1" w:themeTint="75" w:fill="898989" w:themeFill="text1" w:themeFillTint="75"/>
      </w:tcPr>
    </w:tblStylePr>
    <w:tblStylePr w:type="band2Horz"/>
    <w:tblStylePr w:type="neCell"/>
    <w:tblStylePr w:type="nwCell"/>
    <w:tblStylePr w:type="seCell"/>
    <w:tblStylePr w:type="swCell"/>
  </w:style>
  <w:style w:type="table" w:customStyle="1" w:styleId="109">
    <w:name w:val="Grid Table 5 Dark- Accent 1"/>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F81BD" w:themeColor="accent1" w:fill="4F81BD" w:themeFill="accent1"/>
      </w:tcPr>
    </w:tblStylePr>
    <w:tblStylePr w:type="lastRow">
      <w:rPr>
        <w:rFonts w:ascii="Arial" w:hAnsi="Arial"/>
        <w:b/>
        <w:color w:val="FFFFFF"/>
        <w:sz w:val="22"/>
      </w:rPr>
      <w:tcPr>
        <w:tcBorders>
          <w:top w:val="single" w:color="FFFFFF" w:themeColor="light1" w:sz="4" w:space="0"/>
        </w:tcBorders>
        <w:shd w:val="clear" w:color="4F81BD" w:themeColor="accent1" w:fill="4F81BD" w:themeFill="accent1"/>
      </w:tcPr>
    </w:tblStylePr>
    <w:tblStylePr w:type="firstCol">
      <w:rPr>
        <w:rFonts w:ascii="Arial" w:hAnsi="Arial"/>
        <w:b/>
        <w:color w:val="FFFFFF"/>
        <w:sz w:val="22"/>
      </w:rPr>
      <w:tcPr>
        <w:shd w:val="clear" w:color="4F81BD" w:themeColor="accent1" w:fill="4F81BD" w:themeFill="accent1"/>
      </w:tcPr>
    </w:tblStylePr>
    <w:tblStylePr w:type="lastCol">
      <w:rPr>
        <w:rFonts w:ascii="Arial" w:hAnsi="Arial"/>
        <w:b/>
        <w:color w:val="FFFFFF"/>
        <w:sz w:val="22"/>
      </w:rPr>
      <w:tcPr>
        <w:shd w:val="clear" w:color="4F81BD" w:themeColor="accent1" w:fill="4F81BD" w:themeFill="accent1"/>
      </w:tcPr>
    </w:tblStylePr>
    <w:tblStylePr w:type="band1Vert">
      <w:tcPr>
        <w:shd w:val="clear" w:color="AEC5E0" w:themeColor="accent1" w:themeTint="75" w:fill="AEC5E0" w:themeFill="accent1" w:themeFillTint="75"/>
      </w:tcPr>
    </w:tblStylePr>
    <w:tblStylePr w:type="band2Vert"/>
    <w:tblStylePr w:type="band1Horz">
      <w:tcPr>
        <w:shd w:val="clear" w:color="AEC5E0" w:themeColor="accent1" w:themeTint="75" w:fill="AEC5E0" w:themeFill="accent1" w:themeFillTint="75"/>
      </w:tcPr>
    </w:tblStylePr>
    <w:tblStylePr w:type="band2Horz"/>
    <w:tblStylePr w:type="neCell"/>
    <w:tblStylePr w:type="nwCell"/>
    <w:tblStylePr w:type="seCell"/>
    <w:tblStylePr w:type="swCell"/>
  </w:style>
  <w:style w:type="table" w:customStyle="1" w:styleId="110">
    <w:name w:val="Grid Table 5 Dark - Accent 2"/>
    <w:basedOn w:val="5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C0504D" w:themeColor="accent2" w:fill="C0504D" w:themeFill="accent2"/>
      </w:tcPr>
    </w:tblStylePr>
    <w:tblStylePr w:type="lastRow">
      <w:rPr>
        <w:rFonts w:ascii="Arial" w:hAnsi="Arial"/>
        <w:b/>
        <w:color w:val="FFFFFF"/>
        <w:sz w:val="22"/>
      </w:rPr>
      <w:tcPr>
        <w:tcBorders>
          <w:top w:val="single" w:color="FFFFFF" w:themeColor="light1" w:sz="4" w:space="0"/>
        </w:tcBorders>
        <w:shd w:val="clear" w:color="C0504D" w:themeColor="accent2" w:fill="C0504D" w:themeFill="accent2"/>
      </w:tcPr>
    </w:tblStylePr>
    <w:tblStylePr w:type="firstCol">
      <w:rPr>
        <w:rFonts w:ascii="Arial" w:hAnsi="Arial"/>
        <w:b/>
        <w:color w:val="FFFFFF"/>
        <w:sz w:val="22"/>
      </w:rPr>
      <w:tcPr>
        <w:shd w:val="clear" w:color="C0504D" w:themeColor="accent2" w:fill="C0504D" w:themeFill="accent2"/>
      </w:tcPr>
    </w:tblStylePr>
    <w:tblStylePr w:type="lastCol">
      <w:rPr>
        <w:rFonts w:ascii="Arial" w:hAnsi="Arial"/>
        <w:b/>
        <w:color w:val="FFFFFF"/>
        <w:sz w:val="22"/>
      </w:rPr>
      <w:tcPr>
        <w:shd w:val="clear" w:color="C0504D" w:themeColor="accent2" w:fill="C0504D" w:themeFill="accent2"/>
      </w:tcPr>
    </w:tblStylePr>
    <w:tblStylePr w:type="band1Vert">
      <w:tcPr>
        <w:shd w:val="clear" w:color="E2AEAD" w:themeColor="accent2" w:themeTint="75" w:fill="E2AEAD" w:themeFill="accent2" w:themeFillTint="75"/>
      </w:tcPr>
    </w:tblStylePr>
    <w:tblStylePr w:type="band2Vert"/>
    <w:tblStylePr w:type="band1Horz">
      <w:tcPr>
        <w:shd w:val="clear" w:color="E2AEAD" w:themeColor="accent2" w:themeTint="75" w:fill="E2AEAD" w:themeFill="accent2" w:themeFillTint="75"/>
      </w:tcPr>
    </w:tblStylePr>
    <w:tblStylePr w:type="band2Horz"/>
    <w:tblStylePr w:type="neCell"/>
    <w:tblStylePr w:type="nwCell"/>
    <w:tblStylePr w:type="seCell"/>
    <w:tblStylePr w:type="swCell"/>
  </w:style>
  <w:style w:type="table" w:customStyle="1" w:styleId="111">
    <w:name w:val="Grid Table 5 Dark - Accent 3"/>
    <w:basedOn w:val="56"/>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9BBB59" w:themeColor="accent3" w:fill="9BBB59" w:themeFill="accent3"/>
      </w:tcPr>
    </w:tblStylePr>
    <w:tblStylePr w:type="lastRow">
      <w:rPr>
        <w:rFonts w:ascii="Arial" w:hAnsi="Arial"/>
        <w:b/>
        <w:color w:val="FFFFFF"/>
        <w:sz w:val="22"/>
      </w:rPr>
      <w:tcPr>
        <w:tcBorders>
          <w:top w:val="single" w:color="FFFFFF" w:themeColor="light1" w:sz="4" w:space="0"/>
        </w:tcBorders>
        <w:shd w:val="clear" w:color="9BBB59" w:themeColor="accent3" w:fill="9BBB59" w:themeFill="accent3"/>
      </w:tcPr>
    </w:tblStylePr>
    <w:tblStylePr w:type="firstCol">
      <w:rPr>
        <w:rFonts w:ascii="Arial" w:hAnsi="Arial"/>
        <w:b/>
        <w:color w:val="FFFFFF"/>
        <w:sz w:val="22"/>
      </w:rPr>
      <w:tcPr>
        <w:shd w:val="clear" w:color="9BBB59" w:themeColor="accent3" w:fill="9BBB59" w:themeFill="accent3"/>
      </w:tcPr>
    </w:tblStylePr>
    <w:tblStylePr w:type="lastCol">
      <w:rPr>
        <w:rFonts w:ascii="Arial" w:hAnsi="Arial"/>
        <w:b/>
        <w:color w:val="FFFFFF"/>
        <w:sz w:val="22"/>
      </w:rPr>
      <w:tcPr>
        <w:shd w:val="clear" w:color="9BBB59" w:themeColor="accent3" w:fill="9BBB59" w:themeFill="accent3"/>
      </w:tcPr>
    </w:tblStylePr>
    <w:tblStylePr w:type="band1Vert">
      <w:tcPr>
        <w:shd w:val="clear" w:color="D1DFB2" w:themeColor="accent3" w:themeTint="75" w:fill="D1DFB2" w:themeFill="accent3" w:themeFillTint="75"/>
      </w:tcPr>
    </w:tblStylePr>
    <w:tblStylePr w:type="band2Vert"/>
    <w:tblStylePr w:type="band1Horz">
      <w:tcPr>
        <w:shd w:val="clear" w:color="D1DFB2" w:themeColor="accent3" w:themeTint="75" w:fill="D1DFB2" w:themeFill="accent3" w:themeFillTint="75"/>
      </w:tcPr>
    </w:tblStylePr>
    <w:tblStylePr w:type="band2Horz"/>
    <w:tblStylePr w:type="neCell"/>
    <w:tblStylePr w:type="nwCell"/>
    <w:tblStylePr w:type="seCell"/>
    <w:tblStylePr w:type="swCell"/>
  </w:style>
  <w:style w:type="table" w:customStyle="1" w:styleId="112">
    <w:name w:val="Grid Table 5 Dark- Accent 4"/>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8064A2" w:themeColor="accent4" w:fill="8064A2" w:themeFill="accent4"/>
      </w:tcPr>
    </w:tblStylePr>
    <w:tblStylePr w:type="lastRow">
      <w:rPr>
        <w:rFonts w:ascii="Arial" w:hAnsi="Arial"/>
        <w:b/>
        <w:color w:val="FFFFFF"/>
        <w:sz w:val="22"/>
      </w:rPr>
      <w:tcPr>
        <w:tcBorders>
          <w:top w:val="single" w:color="FFFFFF" w:themeColor="light1" w:sz="4" w:space="0"/>
        </w:tcBorders>
        <w:shd w:val="clear" w:color="8064A2" w:themeColor="accent4" w:fill="8064A2" w:themeFill="accent4"/>
      </w:tcPr>
    </w:tblStylePr>
    <w:tblStylePr w:type="firstCol">
      <w:rPr>
        <w:rFonts w:ascii="Arial" w:hAnsi="Arial"/>
        <w:b/>
        <w:color w:val="FFFFFF"/>
        <w:sz w:val="22"/>
      </w:rPr>
      <w:tcPr>
        <w:shd w:val="clear" w:color="8064A2" w:themeColor="accent4" w:fill="8064A2" w:themeFill="accent4"/>
      </w:tcPr>
    </w:tblStylePr>
    <w:tblStylePr w:type="lastCol">
      <w:rPr>
        <w:rFonts w:ascii="Arial" w:hAnsi="Arial"/>
        <w:b/>
        <w:color w:val="FFFFFF"/>
        <w:sz w:val="22"/>
      </w:rPr>
      <w:tcPr>
        <w:shd w:val="clear" w:color="8064A2" w:themeColor="accent4" w:fill="8064A2" w:themeFill="accent4"/>
      </w:tcPr>
    </w:tblStylePr>
    <w:tblStylePr w:type="band1Vert">
      <w:tcPr>
        <w:shd w:val="clear" w:color="C4B7D4" w:themeColor="accent4" w:themeTint="75" w:fill="C4B7D4" w:themeFill="accent4" w:themeFillTint="75"/>
      </w:tcPr>
    </w:tblStylePr>
    <w:tblStylePr w:type="band2Vert"/>
    <w:tblStylePr w:type="band1Horz">
      <w:tcPr>
        <w:shd w:val="clear" w:color="C4B7D4" w:themeColor="accent4" w:themeTint="75" w:fill="C4B7D4" w:themeFill="accent4" w:themeFillTint="75"/>
      </w:tcPr>
    </w:tblStylePr>
    <w:tblStylePr w:type="band2Horz"/>
    <w:tblStylePr w:type="neCell"/>
    <w:tblStylePr w:type="nwCell"/>
    <w:tblStylePr w:type="seCell"/>
    <w:tblStylePr w:type="swCell"/>
  </w:style>
  <w:style w:type="table" w:customStyle="1" w:styleId="113">
    <w:name w:val="Grid Table 5 Dark - Accent 5"/>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4BACC6" w:themeColor="accent5" w:fill="4BACC6" w:themeFill="accent5"/>
      </w:tcPr>
    </w:tblStylePr>
    <w:tblStylePr w:type="lastRow">
      <w:rPr>
        <w:rFonts w:ascii="Arial" w:hAnsi="Arial"/>
        <w:b/>
        <w:color w:val="FFFFFF"/>
        <w:sz w:val="22"/>
      </w:rPr>
      <w:tcPr>
        <w:tcBorders>
          <w:top w:val="single" w:color="FFFFFF" w:themeColor="light1" w:sz="4" w:space="0"/>
        </w:tcBorders>
        <w:shd w:val="clear" w:color="4BACC6" w:themeColor="accent5" w:fill="4BACC6" w:themeFill="accent5"/>
      </w:tcPr>
    </w:tblStylePr>
    <w:tblStylePr w:type="firstCol">
      <w:rPr>
        <w:rFonts w:ascii="Arial" w:hAnsi="Arial"/>
        <w:b/>
        <w:color w:val="FFFFFF"/>
        <w:sz w:val="22"/>
      </w:rPr>
      <w:tcPr>
        <w:shd w:val="clear" w:color="4BACC6" w:themeColor="accent5" w:fill="4BACC6" w:themeFill="accent5"/>
      </w:tcPr>
    </w:tblStylePr>
    <w:tblStylePr w:type="lastCol">
      <w:rPr>
        <w:rFonts w:ascii="Arial" w:hAnsi="Arial"/>
        <w:b/>
        <w:color w:val="FFFFFF"/>
        <w:sz w:val="22"/>
      </w:rPr>
      <w:tcPr>
        <w:shd w:val="clear" w:color="4BACC6" w:themeColor="accent5" w:fill="4BACC6" w:themeFill="accent5"/>
      </w:tcPr>
    </w:tblStylePr>
    <w:tblStylePr w:type="band1Vert">
      <w:tcPr>
        <w:shd w:val="clear" w:color="ACD8E4" w:themeColor="accent5" w:themeTint="75" w:fill="ACD8E4" w:themeFill="accent5" w:themeFillTint="75"/>
      </w:tcPr>
    </w:tblStylePr>
    <w:tblStylePr w:type="band2Vert"/>
    <w:tblStylePr w:type="band1Horz">
      <w:tcPr>
        <w:shd w:val="clear" w:color="ACD8E4" w:themeColor="accent5" w:themeTint="75" w:fill="ACD8E4" w:themeFill="accent5" w:themeFillTint="75"/>
      </w:tcPr>
    </w:tblStylePr>
    <w:tblStylePr w:type="band2Horz"/>
    <w:tblStylePr w:type="neCell"/>
    <w:tblStylePr w:type="nwCell"/>
    <w:tblStylePr w:type="seCell"/>
    <w:tblStylePr w:type="swCell"/>
  </w:style>
  <w:style w:type="table" w:customStyle="1" w:styleId="114">
    <w:name w:val="Grid Table 5 Dark - Accent 6"/>
    <w:basedOn w:val="56"/>
    <w:qFormat/>
    <w:uiPriority w:val="99"/>
    <w:pPr>
      <w:spacing w:after="0" w:line="240" w:lineRule="auto"/>
    </w:pPr>
    <w:tblPr>
      <w:tblBorders>
        <w:top w:val="single" w:color="FFFFFF" w:themeColor="light1" w:sz="4" w:space="0"/>
        <w:left w:val="single" w:color="FFFFFF" w:themeColor="light1" w:sz="4" w:space="0"/>
        <w:bottom w:val="single" w:color="FFFFFF" w:themeColor="light1" w:sz="4" w:space="0"/>
        <w:right w:val="single" w:color="FFFFFF" w:themeColor="light1" w:sz="4" w:space="0"/>
        <w:insideH w:val="single" w:color="FFFFFF" w:themeColor="light1" w:sz="4" w:space="0"/>
        <w:insideV w:val="single" w:color="FFFFFF" w:themeColor="light1" w:sz="4" w:space="0"/>
      </w:tblBorders>
    </w:tblPr>
    <w:tblStylePr w:type="firstRow">
      <w:rPr>
        <w:rFonts w:ascii="Arial" w:hAnsi="Arial"/>
        <w:b/>
        <w:color w:val="FFFFFF"/>
        <w:sz w:val="22"/>
      </w:rPr>
      <w:tcPr>
        <w:shd w:val="clear" w:color="F79646" w:themeColor="accent6" w:fill="F79646" w:themeFill="accent6"/>
      </w:tcPr>
    </w:tblStylePr>
    <w:tblStylePr w:type="lastRow">
      <w:rPr>
        <w:rFonts w:ascii="Arial" w:hAnsi="Arial"/>
        <w:b/>
        <w:color w:val="FFFFFF"/>
        <w:sz w:val="22"/>
      </w:rPr>
      <w:tcPr>
        <w:tcBorders>
          <w:top w:val="single" w:color="FFFFFF" w:themeColor="light1" w:sz="4" w:space="0"/>
        </w:tcBorders>
        <w:shd w:val="clear" w:color="F79646" w:themeColor="accent6" w:fill="F79646" w:themeFill="accent6"/>
      </w:tcPr>
    </w:tblStylePr>
    <w:tblStylePr w:type="firstCol">
      <w:rPr>
        <w:rFonts w:ascii="Arial" w:hAnsi="Arial"/>
        <w:b/>
        <w:color w:val="FFFFFF"/>
        <w:sz w:val="22"/>
      </w:rPr>
      <w:tcPr>
        <w:shd w:val="clear" w:color="F79646" w:themeColor="accent6" w:fill="F79646" w:themeFill="accent6"/>
      </w:tcPr>
    </w:tblStylePr>
    <w:tblStylePr w:type="lastCol">
      <w:rPr>
        <w:rFonts w:ascii="Arial" w:hAnsi="Arial"/>
        <w:b/>
        <w:color w:val="FFFFFF"/>
        <w:sz w:val="22"/>
      </w:rPr>
      <w:tcPr>
        <w:shd w:val="clear" w:color="F79646" w:themeColor="accent6" w:fill="F79646" w:themeFill="accent6"/>
      </w:tcPr>
    </w:tblStylePr>
    <w:tblStylePr w:type="band1Vert">
      <w:tcPr>
        <w:shd w:val="clear" w:color="FBCEAA" w:themeColor="accent6" w:themeTint="75" w:fill="FBCEAA" w:themeFill="accent6" w:themeFillTint="75"/>
      </w:tcPr>
    </w:tblStylePr>
    <w:tblStylePr w:type="band2Vert"/>
    <w:tblStylePr w:type="band1Horz">
      <w:tcPr>
        <w:shd w:val="clear" w:color="FBCEAA" w:themeColor="accent6" w:themeTint="75" w:fill="FBCEAA" w:themeFill="accent6" w:themeFillTint="75"/>
      </w:tcPr>
    </w:tblStylePr>
    <w:tblStylePr w:type="band2Horz"/>
    <w:tblStylePr w:type="neCell"/>
    <w:tblStylePr w:type="nwCell"/>
    <w:tblStylePr w:type="seCell"/>
    <w:tblStylePr w:type="swCell"/>
  </w:style>
  <w:style w:type="table" w:customStyle="1" w:styleId="115">
    <w:name w:val="Grid Table 6 Colorful"/>
    <w:basedOn w:val="56"/>
    <w:uiPriority w:val="99"/>
    <w:pPr>
      <w:spacing w:after="0" w:line="240" w:lineRule="auto"/>
    </w:pPr>
    <w:tblPr>
      <w:tblBorders>
        <w:top w:val="single" w:color="7E7E7E" w:themeColor="text1" w:themeTint="80" w:sz="4" w:space="0"/>
        <w:left w:val="single" w:color="7E7E7E" w:themeColor="text1" w:themeTint="80" w:sz="4" w:space="0"/>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b/>
        <w:color w:val="808080" w:themeColor="text1" w:themeTint="80"/>
        <w14:textFill>
          <w14:solidFill>
            <w14:schemeClr w14:val="tx1">
              <w14:lumMod w14:val="50000"/>
              <w14:lumOff w14:val="50000"/>
            </w14:schemeClr>
          </w14:solidFill>
        </w14:textFill>
      </w:rPr>
      <w:tcPr>
        <w:tcBorders>
          <w:bottom w:val="single" w:color="7E7E7E" w:themeColor="text1" w:themeTint="80" w:sz="12" w:space="0"/>
        </w:tcBorders>
      </w:tcPr>
    </w:tblStylePr>
    <w:tblStylePr w:type="lastRow">
      <w:rPr>
        <w:b/>
        <w:color w:val="808080" w:themeColor="text1" w:themeTint="80"/>
        <w14:textFill>
          <w14:solidFill>
            <w14:schemeClr w14:val="tx1">
              <w14:lumMod w14:val="50000"/>
              <w14:lumOff w14:val="50000"/>
            </w14:schemeClr>
          </w14:solidFill>
        </w14:textFill>
      </w:rPr>
    </w:tblStylePr>
    <w:tblStylePr w:type="firstCol">
      <w:rPr>
        <w:b/>
        <w:color w:val="808080" w:themeColor="text1" w:themeTint="80"/>
        <w14:textFill>
          <w14:solidFill>
            <w14:schemeClr w14:val="tx1">
              <w14:lumMod w14:val="50000"/>
              <w14:lumOff w14:val="50000"/>
            </w14:schemeClr>
          </w14:solidFill>
        </w14:textFill>
      </w:rPr>
    </w:tblStylePr>
    <w:tblStylePr w:type="lastCol">
      <w:rPr>
        <w:b/>
        <w:color w:val="808080" w:themeColor="text1" w:themeTint="80"/>
        <w14:textFill>
          <w14:solidFill>
            <w14:schemeClr w14:val="tx1">
              <w14:lumMod w14:val="50000"/>
              <w14:lumOff w14:val="50000"/>
            </w14:schemeClr>
          </w14:solidFill>
        </w14:textFill>
      </w:rPr>
    </w:tblStylePr>
    <w:tblStylePr w:type="band1Vert">
      <w:tcPr>
        <w:shd w:val="clear" w:color="CACACA" w:themeColor="text1" w:themeTint="34" w:fill="CACACA" w:themeFill="text1" w:themeFillTint="34"/>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CACACA" w:themeColor="text1" w:themeTint="34" w:fill="CACACA" w:themeFill="text1" w:themeFillTint="34"/>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16">
    <w:name w:val="Grid Table 6 Colorful - Accent 1"/>
    <w:basedOn w:val="56"/>
    <w:qFormat/>
    <w:uiPriority w:val="99"/>
    <w:pPr>
      <w:spacing w:after="0" w:line="240" w:lineRule="auto"/>
    </w:pPr>
    <w:tblPr>
      <w:tblBorders>
        <w:top w:val="single" w:color="A6BFDD" w:themeColor="accent1" w:themeTint="80" w:sz="4" w:space="0"/>
        <w:left w:val="single" w:color="A6BFDD" w:themeColor="accent1" w:themeTint="80" w:sz="4" w:space="0"/>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b/>
        <w:color w:val="A7C0DE" w:themeColor="accent1" w:themeTint="80"/>
        <w14:textFill>
          <w14:solidFill>
            <w14:schemeClr w14:val="accent1">
              <w14:lumMod w14:val="50000"/>
              <w14:lumOff w14:val="50000"/>
            </w14:schemeClr>
          </w14:solidFill>
        </w14:textFill>
      </w:rPr>
      <w:tcPr>
        <w:tcBorders>
          <w:bottom w:val="single" w:color="A6BFDD" w:themeColor="accent1" w:themeTint="80" w:sz="12" w:space="0"/>
        </w:tcBorders>
      </w:tcPr>
    </w:tblStylePr>
    <w:tblStylePr w:type="lastRow">
      <w:rPr>
        <w:b/>
        <w:color w:val="A7C0DE" w:themeColor="accent1" w:themeTint="80"/>
        <w14:textFill>
          <w14:solidFill>
            <w14:schemeClr w14:val="accent1">
              <w14:lumMod w14:val="50000"/>
              <w14:lumOff w14:val="50000"/>
            </w14:schemeClr>
          </w14:solidFill>
        </w14:textFill>
      </w:rPr>
    </w:tblStylePr>
    <w:tblStylePr w:type="firstCol">
      <w:rPr>
        <w:b/>
        <w:color w:val="A7C0DE" w:themeColor="accent1" w:themeTint="80"/>
        <w14:textFill>
          <w14:solidFill>
            <w14:schemeClr w14:val="accent1">
              <w14:lumMod w14:val="50000"/>
              <w14:lumOff w14:val="50000"/>
            </w14:schemeClr>
          </w14:solidFill>
        </w14:textFill>
      </w:rPr>
    </w:tblStylePr>
    <w:tblStylePr w:type="lastCol">
      <w:rPr>
        <w:b/>
        <w:color w:val="A7C0DE" w:themeColor="accent1" w:themeTint="80"/>
        <w14:textFill>
          <w14:solidFill>
            <w14:schemeClr w14:val="accent1">
              <w14:lumMod w14:val="50000"/>
              <w14:lumOff w14:val="50000"/>
            </w14:schemeClr>
          </w14:solidFill>
        </w14:textFill>
      </w:r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17">
    <w:name w:val="Grid Table 6 Colorful - Accent 2"/>
    <w:basedOn w:val="5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12" w:space="0"/>
        </w:tcBorders>
      </w:tcPr>
    </w:tblStylePr>
    <w:tblStylePr w:type="lastRow">
      <w:rPr>
        <w:b/>
        <w:color w:val="DA9896" w:themeColor="accent2" w:themeTint="96"/>
        <w14:textFill>
          <w14:solidFill>
            <w14:schemeClr w14:val="accent2">
              <w14:lumMod w14:val="59000"/>
              <w14:lumOff w14:val="41000"/>
            </w14:schemeClr>
          </w14:solidFill>
        </w14:textFill>
      </w:r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18">
    <w:name w:val="Grid Table 6 Colorful - Accent 3"/>
    <w:basedOn w:val="56"/>
    <w:qFormat/>
    <w:uiPriority w:val="99"/>
    <w:pPr>
      <w:spacing w:after="0" w:line="240" w:lineRule="auto"/>
    </w:pPr>
    <w:tblPr>
      <w:tblBorders>
        <w:top w:val="single" w:color="9BBB59" w:themeColor="accent3" w:themeTint="FE" w:sz="4" w:space="0"/>
        <w:left w:val="single" w:color="9BBB59" w:themeColor="accent3" w:themeTint="FE" w:sz="4" w:space="0"/>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b/>
        <w:color w:val="9BBB59" w:themeColor="accent3" w:themeTint="FF"/>
        <w14:textFill>
          <w14:solidFill>
            <w14:schemeClr w14:val="accent3">
              <w14:lumMod w14:val="100000"/>
              <w14:lumOff w14:val="0"/>
            </w14:schemeClr>
          </w14:solidFill>
        </w14:textFill>
      </w:rPr>
      <w:tcPr>
        <w:tcBorders>
          <w:bottom w:val="single" w:color="9BBB59" w:themeColor="accent3" w:themeTint="FE" w:sz="12" w:space="0"/>
        </w:tcBorders>
      </w:tcPr>
    </w:tblStylePr>
    <w:tblStylePr w:type="lastRow">
      <w:rPr>
        <w:b/>
        <w:color w:val="9BBB59" w:themeColor="accent3" w:themeTint="FF"/>
        <w14:textFill>
          <w14:solidFill>
            <w14:schemeClr w14:val="accent3">
              <w14:lumMod w14:val="100000"/>
              <w14:lumOff w14:val="0"/>
            </w14:schemeClr>
          </w14:solidFill>
        </w14:textFill>
      </w:rPr>
    </w:tblStylePr>
    <w:tblStylePr w:type="firstCol">
      <w:rPr>
        <w:b/>
        <w:color w:val="9BBB59" w:themeColor="accent3" w:themeTint="FF"/>
        <w14:textFill>
          <w14:solidFill>
            <w14:schemeClr w14:val="accent3">
              <w14:lumMod w14:val="100000"/>
              <w14:lumOff w14:val="0"/>
            </w14:schemeClr>
          </w14:solidFill>
        </w14:textFill>
      </w:rPr>
    </w:tblStylePr>
    <w:tblStylePr w:type="lastCol">
      <w:rPr>
        <w:b/>
        <w:color w:val="9BBB59" w:themeColor="accent3" w:themeTint="FF"/>
        <w14:textFill>
          <w14:solidFill>
            <w14:schemeClr w14:val="accent3">
              <w14:lumMod w14:val="100000"/>
              <w14:lumOff w14:val="0"/>
            </w14:schemeClr>
          </w14:solidFill>
        </w14:textFill>
      </w:r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19">
    <w:name w:val="Grid Table 6 Colorful - Accent 4"/>
    <w:basedOn w:val="56"/>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12" w:space="0"/>
        </w:tcBorders>
      </w:tcPr>
    </w:tblStylePr>
    <w:tblStylePr w:type="lastRow">
      <w:rPr>
        <w:b/>
        <w:color w:val="B3A2C7" w:themeColor="accent4" w:themeTint="99"/>
        <w14:textFill>
          <w14:solidFill>
            <w14:schemeClr w14:val="accent4">
              <w14:lumMod w14:val="60000"/>
              <w14:lumOff w14:val="40000"/>
            </w14:schemeClr>
          </w14:solidFill>
        </w14:textFill>
      </w:r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0">
    <w:name w:val="Grid Table 6 Colorful - Accent 5"/>
    <w:basedOn w:val="56"/>
    <w:uiPriority w:val="99"/>
    <w:pPr>
      <w:spacing w:after="0" w:line="240" w:lineRule="auto"/>
    </w:pPr>
    <w:tblPr>
      <w:tblBorders>
        <w:top w:val="single" w:color="4BACC6" w:themeColor="accent5" w:sz="4" w:space="0"/>
        <w:left w:val="single" w:color="4BACC6" w:themeColor="accent5" w:sz="4" w:space="0"/>
        <w:bottom w:val="single" w:color="4BACC6" w:themeColor="accent5" w:sz="4" w:space="0"/>
        <w:right w:val="single" w:color="4BACC6" w:themeColor="accent5" w:sz="4" w:space="0"/>
        <w:insideH w:val="single" w:color="4BACC6" w:themeColor="accent5" w:sz="4" w:space="0"/>
        <w:insideV w:val="single" w:color="4BACC6" w:themeColor="accent5" w:sz="4" w:space="0"/>
      </w:tblBorders>
    </w:tblPr>
    <w:tblStylePr w:type="firstRow">
      <w:rPr>
        <w:b/>
        <w:color w:val="266778" w:themeColor="accent5" w:themeShade="94"/>
      </w:rPr>
      <w:tcPr>
        <w:tcBorders>
          <w:bottom w:val="single" w:color="4BACC6" w:themeColor="accent5"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1">
    <w:name w:val="Grid Table 6 Colorful - Accent 6"/>
    <w:basedOn w:val="56"/>
    <w:qFormat/>
    <w:uiPriority w:val="99"/>
    <w:pPr>
      <w:spacing w:after="0" w:line="240" w:lineRule="auto"/>
    </w:pPr>
    <w:tblPr>
      <w:tblBorders>
        <w:top w:val="single" w:color="F79646" w:themeColor="accent6" w:sz="4" w:space="0"/>
        <w:left w:val="single" w:color="F79646" w:themeColor="accent6" w:sz="4" w:space="0"/>
        <w:bottom w:val="single" w:color="F79646" w:themeColor="accent6" w:sz="4" w:space="0"/>
        <w:right w:val="single" w:color="F79646" w:themeColor="accent6" w:sz="4" w:space="0"/>
        <w:insideH w:val="single" w:color="F79646" w:themeColor="accent6" w:sz="4" w:space="0"/>
        <w:insideV w:val="single" w:color="F79646" w:themeColor="accent6" w:sz="4" w:space="0"/>
      </w:tblBorders>
    </w:tblPr>
    <w:tblStylePr w:type="firstRow">
      <w:rPr>
        <w:b/>
        <w:color w:val="266778" w:themeColor="accent5" w:themeShade="94"/>
      </w:rPr>
      <w:tcPr>
        <w:tcBorders>
          <w:bottom w:val="single" w:color="F79646" w:themeColor="accent6" w:sz="12" w:space="0"/>
        </w:tcBorders>
      </w:tcPr>
    </w:tblStylePr>
    <w:tblStylePr w:type="lastRow">
      <w:rPr>
        <w:b/>
        <w:color w:val="266778" w:themeColor="accent5" w:themeShade="94"/>
      </w:rPr>
    </w:tblStylePr>
    <w:tblStylePr w:type="firstCol">
      <w:rPr>
        <w:b/>
        <w:color w:val="266778" w:themeColor="accent5" w:themeShade="94"/>
      </w:rPr>
    </w:tblStylePr>
    <w:tblStylePr w:type="lastCol">
      <w:rPr>
        <w:b/>
        <w:color w:val="266778" w:themeColor="accent5" w:themeShade="94"/>
      </w:rPr>
    </w:tblStylePr>
    <w:tblStylePr w:type="band1Vert">
      <w:tcPr>
        <w:shd w:val="clear" w:color="FDE9D9" w:themeColor="accent6" w:themeTint="34" w:fill="FDE9D9" w:themeFill="accent6" w:themeFillTint="34"/>
      </w:tcPr>
    </w:tblStylePr>
    <w:tblStylePr w:type="band2Vert"/>
    <w:tblStylePr w:type="band1Horz">
      <w:rPr>
        <w:rFonts w:ascii="Arial" w:hAnsi="Arial"/>
        <w:color w:val="266778" w:themeColor="accent5" w:themeShade="94"/>
        <w:sz w:val="22"/>
      </w:rPr>
      <w:tcPr>
        <w:shd w:val="clear" w:color="FDE9D9" w:themeColor="accent6" w:themeTint="34" w:fill="FDE9D9" w:themeFill="accent6"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2">
    <w:name w:val="Grid Table 7 Colorful"/>
    <w:basedOn w:val="56"/>
    <w:uiPriority w:val="99"/>
    <w:pPr>
      <w:spacing w:after="0" w:line="240" w:lineRule="auto"/>
    </w:pPr>
    <w:tblPr>
      <w:tblBorders>
        <w:bottom w:val="single" w:color="7E7E7E" w:themeColor="text1" w:themeTint="80" w:sz="4" w:space="0"/>
        <w:right w:val="single" w:color="7E7E7E" w:themeColor="text1" w:themeTint="80" w:sz="4" w:space="0"/>
        <w:insideH w:val="single" w:color="7E7E7E" w:themeColor="text1" w:themeTint="80" w:sz="4" w:space="0"/>
        <w:insideV w:val="single" w:color="7E7E7E" w:themeColor="text1" w:themeTint="80" w:sz="4" w:space="0"/>
      </w:tblBorders>
    </w:tblPr>
    <w:tblStylePr w:type="firstRow">
      <w:rPr>
        <w:rFonts w:ascii="Arial" w:hAnsi="Arial"/>
        <w:b/>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b/>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F1F1F1" w:themeColor="text1" w:themeTint="0D" w:fill="F1F1F1" w:themeFill="text1" w:themeFillTint="0D"/>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F1F1F1" w:themeColor="text1" w:themeTint="0D" w:fill="F1F1F1" w:themeFill="text1" w:themeFillTint="0D"/>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23">
    <w:name w:val="Grid Table 7 Colorful - Accent 1"/>
    <w:basedOn w:val="56"/>
    <w:qFormat/>
    <w:uiPriority w:val="99"/>
    <w:pPr>
      <w:spacing w:after="0" w:line="240" w:lineRule="auto"/>
    </w:pPr>
    <w:tblPr>
      <w:tblBorders>
        <w:bottom w:val="single" w:color="A6BFDD" w:themeColor="accent1" w:themeTint="80" w:sz="4" w:space="0"/>
        <w:right w:val="single" w:color="A6BFDD" w:themeColor="accent1" w:themeTint="80" w:sz="4" w:space="0"/>
        <w:insideH w:val="single" w:color="A6BFDD" w:themeColor="accent1" w:themeTint="80" w:sz="4" w:space="0"/>
        <w:insideV w:val="single" w:color="A6BFDD" w:themeColor="accent1" w:themeTint="80" w:sz="4" w:space="0"/>
      </w:tblBorders>
    </w:tblPr>
    <w:tblStylePr w:type="firstRow">
      <w:rPr>
        <w:rFonts w:ascii="Arial" w:hAnsi="Arial"/>
        <w:b/>
        <w:color w:val="A7C0DE" w:themeColor="accent1" w:themeTint="80"/>
        <w:sz w:val="22"/>
        <w14:textFill>
          <w14:solidFill>
            <w14:schemeClr w14:val="accent1">
              <w14:lumMod w14:val="50000"/>
              <w14:lumOff w14:val="50000"/>
            </w14:schemeClr>
          </w14:solidFill>
        </w14:textFill>
      </w:rPr>
      <w:tcPr>
        <w:tcBorders>
          <w:top w:val="nil"/>
          <w:left w:val="nil"/>
          <w:bottom w:val="single" w:color="A6BFDD" w:themeColor="accent1" w:themeTint="80" w:sz="4" w:space="0"/>
          <w:right w:val="nil"/>
        </w:tcBorders>
        <w:shd w:val="clear" w:color="FFFFFF" w:themeColor="light1" w:fill="FFFFFF" w:themeFill="light1"/>
      </w:tcPr>
    </w:tblStylePr>
    <w:tblStylePr w:type="lastRow">
      <w:rPr>
        <w:rFonts w:ascii="Arial" w:hAnsi="Arial"/>
        <w:b/>
        <w:color w:val="A7C0DE" w:themeColor="accent1" w:themeTint="80"/>
        <w:sz w:val="22"/>
        <w14:textFill>
          <w14:solidFill>
            <w14:schemeClr w14:val="accent1">
              <w14:lumMod w14:val="50000"/>
              <w14:lumOff w14:val="50000"/>
            </w14:schemeClr>
          </w14:solidFill>
        </w14:textFill>
      </w:rPr>
      <w:tcPr>
        <w:tcBorders>
          <w:top w:val="single" w:color="A6BFDD" w:themeColor="accent1" w:themeTint="80" w:sz="4" w:space="0"/>
          <w:left w:val="nil"/>
          <w:bottom w:val="nil"/>
          <w:right w:val="nil"/>
        </w:tcBorders>
        <w:shd w:val="clear" w:color="FFFFFF" w:themeColor="light1" w:fill="FFFFFF" w:themeFill="light1"/>
      </w:tcPr>
    </w:tblStylePr>
    <w:tblStylePr w:type="firstCol">
      <w:pPr>
        <w:jc w:val="right"/>
      </w:pPr>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nil"/>
          <w:bottom w:val="nil"/>
          <w:right w:val="single" w:color="A6BFDD" w:themeColor="accent1" w:themeTint="80" w:sz="4" w:space="0"/>
        </w:tcBorders>
        <w:shd w:val="clear" w:color="FFFFFF" w:fill="auto"/>
      </w:tcPr>
    </w:tblStylePr>
    <w:tblStylePr w:type="lastCol">
      <w:rPr>
        <w:rFonts w:ascii="Arial" w:hAnsi="Arial"/>
        <w:i/>
        <w:color w:val="A7C0DE" w:themeColor="accent1" w:themeTint="80"/>
        <w:sz w:val="22"/>
        <w14:textFill>
          <w14:solidFill>
            <w14:schemeClr w14:val="accent1">
              <w14:lumMod w14:val="50000"/>
              <w14:lumOff w14:val="50000"/>
            </w14:schemeClr>
          </w14:solidFill>
        </w14:textFill>
      </w:rPr>
      <w:tcPr>
        <w:tcBorders>
          <w:top w:val="nil"/>
          <w:left w:val="single" w:color="A6BFDD" w:themeColor="accent1" w:themeTint="80" w:sz="4" w:space="0"/>
          <w:bottom w:val="nil"/>
          <w:right w:val="nil"/>
        </w:tcBorders>
        <w:shd w:val="clear" w:color="FFFFFF" w:fill="auto"/>
      </w:tcPr>
    </w:tblStylePr>
    <w:tblStylePr w:type="band1Vert">
      <w:tcPr>
        <w:shd w:val="clear" w:color="DBE5F1" w:themeColor="accent1" w:themeTint="34" w:fill="DBE5F1" w:themeFill="accent1" w:themeFillTint="34"/>
      </w:tcPr>
    </w:tblStylePr>
    <w:tblStylePr w:type="band2Vert"/>
    <w:tblStylePr w:type="band1Horz">
      <w:rPr>
        <w:rFonts w:ascii="Arial" w:hAnsi="Arial"/>
        <w:color w:val="A7C0DE" w:themeColor="accent1" w:themeTint="80"/>
        <w:sz w:val="22"/>
        <w14:textFill>
          <w14:solidFill>
            <w14:schemeClr w14:val="accent1">
              <w14:lumMod w14:val="50000"/>
              <w14:lumOff w14:val="50000"/>
            </w14:schemeClr>
          </w14:solidFill>
        </w14:textFill>
      </w:rPr>
      <w:tcPr>
        <w:shd w:val="clear" w:color="DBE5F1" w:themeColor="accent1" w:themeTint="34" w:fill="DBE5F1" w:themeFill="accent1" w:themeFillTint="34"/>
      </w:tcPr>
    </w:tblStylePr>
    <w:tblStylePr w:type="band2Horz">
      <w:rPr>
        <w:rFonts w:ascii="Arial" w:hAnsi="Arial"/>
        <w:color w:val="A7C0DE" w:themeColor="accent1" w:themeTint="80"/>
        <w:sz w:val="22"/>
        <w14:textFill>
          <w14:solidFill>
            <w14:schemeClr w14:val="accent1">
              <w14:lumMod w14:val="50000"/>
              <w14:lumOff w14:val="50000"/>
            </w14:schemeClr>
          </w14:solidFill>
        </w14:textFill>
      </w:rPr>
    </w:tblStylePr>
    <w:tblStylePr w:type="neCell"/>
    <w:tblStylePr w:type="nwCell"/>
    <w:tblStylePr w:type="seCell"/>
    <w:tblStylePr w:type="swCell"/>
  </w:style>
  <w:style w:type="table" w:customStyle="1" w:styleId="124">
    <w:name w:val="Grid Table 7 Colorful - Accent 2"/>
    <w:basedOn w:val="56"/>
    <w:qFormat/>
    <w:uiPriority w:val="99"/>
    <w:pPr>
      <w:spacing w:after="0" w:line="240" w:lineRule="auto"/>
    </w:pPr>
    <w:tblPr>
      <w:tblBorders>
        <w:bottom w:val="single" w:color="D99795" w:themeColor="accent2" w:themeTint="97" w:sz="4" w:space="0"/>
        <w:right w:val="single" w:color="D99795" w:themeColor="accent2" w:themeTint="97" w:sz="4" w:space="0"/>
        <w:insideH w:val="single" w:color="D99795" w:themeColor="accent2" w:themeTint="97" w:sz="4" w:space="0"/>
        <w:insideV w:val="single" w:color="D99795" w:themeColor="accent2" w:themeTint="97" w:sz="4" w:space="0"/>
      </w:tblBorders>
    </w:tblPr>
    <w:tblStylePr w:type="firstRow">
      <w:rPr>
        <w:rFonts w:ascii="Arial" w:hAnsi="Arial"/>
        <w:b/>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b/>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F2DCDC" w:themeColor="accent2" w:themeTint="32" w:fill="F2DCDC" w:themeFill="accent2" w:themeFillTint="32"/>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F2DCDC" w:themeColor="accent2" w:themeTint="32" w:fill="F2DCDC" w:themeFill="accent2" w:themeFillTint="32"/>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25">
    <w:name w:val="Grid Table 7 Colorful - Accent 3"/>
    <w:basedOn w:val="56"/>
    <w:qFormat/>
    <w:uiPriority w:val="99"/>
    <w:pPr>
      <w:spacing w:after="0" w:line="240" w:lineRule="auto"/>
    </w:pPr>
    <w:tblPr>
      <w:tblBorders>
        <w:bottom w:val="single" w:color="9BBB59" w:themeColor="accent3" w:themeTint="FE" w:sz="4" w:space="0"/>
        <w:right w:val="single" w:color="9BBB59" w:themeColor="accent3" w:themeTint="FE" w:sz="4" w:space="0"/>
        <w:insideH w:val="single" w:color="9BBB59" w:themeColor="accent3" w:themeTint="FE" w:sz="4" w:space="0"/>
        <w:insideV w:val="single" w:color="9BBB59" w:themeColor="accent3" w:themeTint="FE" w:sz="4" w:space="0"/>
      </w:tblBorders>
    </w:tblPr>
    <w:tblStylePr w:type="firstRow">
      <w:rPr>
        <w:rFonts w:ascii="Arial" w:hAnsi="Arial"/>
        <w:b/>
        <w:color w:val="9BBB59" w:themeColor="accent3" w:themeTint="FF"/>
        <w:sz w:val="22"/>
        <w14:textFill>
          <w14:solidFill>
            <w14:schemeClr w14:val="accent3">
              <w14:lumMod w14:val="100000"/>
              <w14:lumOff w14:val="0"/>
            </w14:schemeClr>
          </w14:solidFill>
        </w14:textFill>
      </w:rPr>
      <w:tcPr>
        <w:tcBorders>
          <w:top w:val="nil"/>
          <w:left w:val="nil"/>
          <w:bottom w:val="single" w:color="9BBB59" w:themeColor="accent3" w:themeTint="FE" w:sz="4" w:space="0"/>
          <w:right w:val="nil"/>
        </w:tcBorders>
        <w:shd w:val="clear" w:color="FFFFFF" w:themeColor="light1" w:fill="FFFFFF" w:themeFill="light1"/>
      </w:tcPr>
    </w:tblStylePr>
    <w:tblStylePr w:type="lastRow">
      <w:rPr>
        <w:rFonts w:ascii="Arial" w:hAnsi="Arial"/>
        <w:b/>
        <w:color w:val="9BBB59" w:themeColor="accent3" w:themeTint="FF"/>
        <w:sz w:val="22"/>
        <w14:textFill>
          <w14:solidFill>
            <w14:schemeClr w14:val="accent3">
              <w14:lumMod w14:val="100000"/>
              <w14:lumOff w14:val="0"/>
            </w14:schemeClr>
          </w14:solidFill>
        </w14:textFill>
      </w:rPr>
      <w:tcPr>
        <w:tcBorders>
          <w:top w:val="single" w:color="9BBB59" w:themeColor="accent3" w:themeTint="FE" w:sz="4" w:space="0"/>
          <w:left w:val="nil"/>
          <w:bottom w:val="nil"/>
          <w:right w:val="nil"/>
        </w:tcBorders>
        <w:shd w:val="clear" w:color="FFFFFF" w:themeColor="light1" w:fill="FFFFFF" w:themeFill="light1"/>
      </w:tcPr>
    </w:tblStylePr>
    <w:tblStylePr w:type="firstCol">
      <w:pPr>
        <w:jc w:val="right"/>
      </w:pPr>
      <w:rPr>
        <w:rFonts w:ascii="Arial" w:hAnsi="Arial"/>
        <w:i/>
        <w:color w:val="9BBB59" w:themeColor="accent3" w:themeTint="FF"/>
        <w:sz w:val="22"/>
        <w14:textFill>
          <w14:solidFill>
            <w14:schemeClr w14:val="accent3">
              <w14:lumMod w14:val="100000"/>
              <w14:lumOff w14:val="0"/>
            </w14:schemeClr>
          </w14:solidFill>
        </w14:textFill>
      </w:rPr>
      <w:tcPr>
        <w:tcBorders>
          <w:top w:val="nil"/>
          <w:left w:val="nil"/>
          <w:bottom w:val="nil"/>
          <w:right w:val="single" w:color="9BBB59" w:themeColor="accent3" w:themeTint="FE" w:sz="4" w:space="0"/>
        </w:tcBorders>
        <w:shd w:val="clear" w:color="FFFFFF" w:fill="auto"/>
      </w:tcPr>
    </w:tblStylePr>
    <w:tblStylePr w:type="lastCol">
      <w:rPr>
        <w:rFonts w:ascii="Arial" w:hAnsi="Arial"/>
        <w:i/>
        <w:color w:val="9BBB59" w:themeColor="accent3" w:themeTint="FF"/>
        <w:sz w:val="22"/>
        <w14:textFill>
          <w14:solidFill>
            <w14:schemeClr w14:val="accent3">
              <w14:lumMod w14:val="100000"/>
              <w14:lumOff w14:val="0"/>
            </w14:schemeClr>
          </w14:solidFill>
        </w14:textFill>
      </w:rPr>
      <w:tcPr>
        <w:tcBorders>
          <w:top w:val="nil"/>
          <w:left w:val="single" w:color="9BBB59" w:themeColor="accent3" w:themeTint="FE" w:sz="4" w:space="0"/>
          <w:bottom w:val="nil"/>
          <w:right w:val="nil"/>
        </w:tcBorders>
        <w:shd w:val="clear" w:color="FFFFFF" w:fill="auto"/>
      </w:tcPr>
    </w:tblStylePr>
    <w:tblStylePr w:type="band1Vert">
      <w:tcPr>
        <w:shd w:val="clear" w:color="EAF1DD" w:themeColor="accent3" w:themeTint="34" w:fill="EAF1DD" w:themeFill="accent3" w:themeFillTint="34"/>
      </w:tcPr>
    </w:tblStylePr>
    <w:tblStylePr w:type="band2Vert"/>
    <w:tblStylePr w:type="band1Horz">
      <w:rPr>
        <w:rFonts w:ascii="Arial" w:hAnsi="Arial"/>
        <w:color w:val="9BBB59" w:themeColor="accent3" w:themeTint="FF"/>
        <w:sz w:val="22"/>
        <w14:textFill>
          <w14:solidFill>
            <w14:schemeClr w14:val="accent3">
              <w14:lumMod w14:val="100000"/>
              <w14:lumOff w14:val="0"/>
            </w14:schemeClr>
          </w14:solidFill>
        </w14:textFill>
      </w:rPr>
      <w:tcPr>
        <w:shd w:val="clear" w:color="EAF1DD" w:themeColor="accent3" w:themeTint="34" w:fill="EAF1DD" w:themeFill="accent3" w:themeFillTint="34"/>
      </w:tcPr>
    </w:tblStylePr>
    <w:tblStylePr w:type="band2Horz">
      <w:rPr>
        <w:rFonts w:ascii="Arial" w:hAnsi="Arial"/>
        <w:color w:val="9BBB59" w:themeColor="accent3" w:themeTint="FF"/>
        <w:sz w:val="22"/>
        <w14:textFill>
          <w14:solidFill>
            <w14:schemeClr w14:val="accent3">
              <w14:lumMod w14:val="100000"/>
              <w14:lumOff w14:val="0"/>
            </w14:schemeClr>
          </w14:solidFill>
        </w14:textFill>
      </w:rPr>
    </w:tblStylePr>
    <w:tblStylePr w:type="neCell"/>
    <w:tblStylePr w:type="nwCell"/>
    <w:tblStylePr w:type="seCell"/>
    <w:tblStylePr w:type="swCell"/>
  </w:style>
  <w:style w:type="table" w:customStyle="1" w:styleId="126">
    <w:name w:val="Grid Table 7 Colorful - Accent 4"/>
    <w:basedOn w:val="56"/>
    <w:qFormat/>
    <w:uiPriority w:val="99"/>
    <w:pPr>
      <w:spacing w:after="0" w:line="240" w:lineRule="auto"/>
    </w:pPr>
    <w:tblPr>
      <w:tblBorders>
        <w:bottom w:val="single" w:color="B2A1C6" w:themeColor="accent4" w:themeTint="9A" w:sz="4" w:space="0"/>
        <w:right w:val="single" w:color="B2A1C6" w:themeColor="accent4" w:themeTint="9A" w:sz="4" w:space="0"/>
        <w:insideH w:val="single" w:color="B2A1C6" w:themeColor="accent4" w:themeTint="9A" w:sz="4" w:space="0"/>
        <w:insideV w:val="single" w:color="B2A1C6" w:themeColor="accent4" w:themeTint="9A" w:sz="4" w:space="0"/>
      </w:tblBorders>
    </w:tblPr>
    <w:tblStylePr w:type="firstRow">
      <w:rPr>
        <w:rFonts w:ascii="Arial" w:hAnsi="Arial"/>
        <w:b/>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b/>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E5DFEC" w:themeColor="accent4" w:themeTint="34" w:fill="E5DFEC" w:themeFill="accent4" w:themeFillTint="34"/>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E5DFEC" w:themeColor="accent4" w:themeTint="34" w:fill="E5DFEC" w:themeFill="accent4" w:themeFillTint="34"/>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27">
    <w:name w:val="Grid Table 7 Colorful - Accent 5"/>
    <w:basedOn w:val="56"/>
    <w:qFormat/>
    <w:uiPriority w:val="99"/>
    <w:pPr>
      <w:spacing w:after="0" w:line="240" w:lineRule="auto"/>
    </w:pPr>
    <w:tblPr>
      <w:tblBorders>
        <w:bottom w:val="single" w:color="99D0DE" w:themeColor="accent5" w:themeTint="90" w:sz="4" w:space="0"/>
        <w:right w:val="single" w:color="99D0DE" w:themeColor="accent5" w:themeTint="90" w:sz="4" w:space="0"/>
        <w:insideH w:val="single" w:color="99D0DE" w:themeColor="accent5" w:themeTint="90" w:sz="4" w:space="0"/>
        <w:insideV w:val="single" w:color="99D0DE" w:themeColor="accent5" w:themeTint="90" w:sz="4" w:space="0"/>
      </w:tblBorders>
    </w:tblPr>
    <w:tblStylePr w:type="firstRow">
      <w:rPr>
        <w:rFonts w:ascii="Arial" w:hAnsi="Arial"/>
        <w:b/>
        <w:color w:val="266778" w:themeColor="accent5" w:themeShade="94"/>
        <w:sz w:val="22"/>
      </w:rPr>
      <w:tcPr>
        <w:tcBorders>
          <w:top w:val="nil"/>
          <w:left w:val="nil"/>
          <w:bottom w:val="single" w:color="99D0DE" w:themeColor="accent5" w:themeTint="90" w:sz="4" w:space="0"/>
          <w:right w:val="nil"/>
        </w:tcBorders>
        <w:shd w:val="clear" w:color="FFFFFF" w:themeColor="light1" w:fill="FFFFFF" w:themeFill="light1"/>
      </w:tcPr>
    </w:tblStylePr>
    <w:tblStylePr w:type="lastRow">
      <w:rPr>
        <w:rFonts w:ascii="Arial" w:hAnsi="Arial"/>
        <w:b/>
        <w:color w:val="266778" w:themeColor="accent5" w:themeShade="94"/>
        <w:sz w:val="22"/>
      </w:rPr>
      <w:tcPr>
        <w:tcBorders>
          <w:top w:val="single" w:color="99D0DE" w:themeColor="accent5" w:themeTint="90" w:sz="4" w:space="0"/>
          <w:left w:val="nil"/>
          <w:bottom w:val="nil"/>
          <w:right w:val="nil"/>
        </w:tcBorders>
        <w:shd w:val="clear" w:color="FFFFFF" w:themeColor="light1" w:fill="FFFFFF" w:themeFill="light1"/>
      </w:tcPr>
    </w:tblStylePr>
    <w:tblStylePr w:type="firstCol">
      <w:pPr>
        <w:jc w:val="right"/>
      </w:pPr>
      <w:rPr>
        <w:rFonts w:ascii="Arial" w:hAnsi="Arial"/>
        <w:i/>
        <w:color w:val="266778" w:themeColor="accent5" w:themeShade="94"/>
        <w:sz w:val="22"/>
      </w:rPr>
      <w:tcPr>
        <w:tcBorders>
          <w:top w:val="nil"/>
          <w:left w:val="nil"/>
          <w:bottom w:val="nil"/>
          <w:right w:val="single" w:color="99D0DE" w:themeColor="accent5" w:themeTint="90" w:sz="4" w:space="0"/>
        </w:tcBorders>
        <w:shd w:val="clear" w:color="FFFFFF" w:fill="auto"/>
      </w:tcPr>
    </w:tblStylePr>
    <w:tblStylePr w:type="lastCol">
      <w:rPr>
        <w:rFonts w:ascii="Arial" w:hAnsi="Arial"/>
        <w:i/>
        <w:color w:val="266778" w:themeColor="accent5" w:themeShade="94"/>
        <w:sz w:val="22"/>
      </w:rPr>
      <w:tcPr>
        <w:tcBorders>
          <w:top w:val="nil"/>
          <w:left w:val="single" w:color="99D0DE" w:themeColor="accent5" w:themeTint="90" w:sz="4" w:space="0"/>
          <w:bottom w:val="nil"/>
          <w:right w:val="nil"/>
        </w:tcBorders>
        <w:shd w:val="clear" w:color="FFFFFF" w:fill="auto"/>
      </w:tcPr>
    </w:tblStylePr>
    <w:tblStylePr w:type="band1Vert">
      <w:tcPr>
        <w:shd w:val="clear" w:color="DAEEF3" w:themeColor="accent5" w:themeTint="34" w:fill="DAEEF3" w:themeFill="accent5" w:themeFillTint="34"/>
      </w:tcPr>
    </w:tblStylePr>
    <w:tblStylePr w:type="band2Vert"/>
    <w:tblStylePr w:type="band1Horz">
      <w:rPr>
        <w:rFonts w:ascii="Arial" w:hAnsi="Arial"/>
        <w:color w:val="266778" w:themeColor="accent5" w:themeShade="94"/>
        <w:sz w:val="22"/>
      </w:rPr>
      <w:tcPr>
        <w:shd w:val="clear" w:color="DAEEF3" w:themeColor="accent5" w:themeTint="34" w:fill="DAEEF3" w:themeFill="accent5" w:themeFillTint="34"/>
      </w:tcPr>
    </w:tblStylePr>
    <w:tblStylePr w:type="band2Horz">
      <w:rPr>
        <w:rFonts w:ascii="Arial" w:hAnsi="Arial"/>
        <w:color w:val="266778" w:themeColor="accent5" w:themeShade="94"/>
        <w:sz w:val="22"/>
      </w:rPr>
    </w:tblStylePr>
    <w:tblStylePr w:type="neCell"/>
    <w:tblStylePr w:type="nwCell"/>
    <w:tblStylePr w:type="seCell"/>
    <w:tblStylePr w:type="swCell"/>
  </w:style>
  <w:style w:type="table" w:customStyle="1" w:styleId="128">
    <w:name w:val="Grid Table 7 Colorful - Accent 6"/>
    <w:basedOn w:val="56"/>
    <w:uiPriority w:val="99"/>
    <w:pPr>
      <w:spacing w:after="0" w:line="240" w:lineRule="auto"/>
    </w:pPr>
    <w:tblPr>
      <w:tblBorders>
        <w:bottom w:val="single" w:color="FAC396" w:themeColor="accent6" w:themeTint="90" w:sz="4" w:space="0"/>
        <w:right w:val="single" w:color="FAC396" w:themeColor="accent6" w:themeTint="90" w:sz="4" w:space="0"/>
        <w:insideH w:val="single" w:color="FAC396" w:themeColor="accent6" w:themeTint="90" w:sz="4" w:space="0"/>
        <w:insideV w:val="single" w:color="FAC396" w:themeColor="accent6" w:themeTint="90" w:sz="4" w:space="0"/>
      </w:tblBorders>
    </w:tblPr>
    <w:tblStylePr w:type="firstRow">
      <w:rPr>
        <w:rFonts w:ascii="Arial" w:hAnsi="Arial"/>
        <w:b/>
        <w:color w:val="B05408" w:themeColor="accent6" w:themeShade="94"/>
        <w:sz w:val="22"/>
      </w:rPr>
      <w:tcPr>
        <w:tcBorders>
          <w:top w:val="nil"/>
          <w:left w:val="nil"/>
          <w:bottom w:val="single" w:color="FAC396" w:themeColor="accent6" w:themeTint="90" w:sz="4" w:space="0"/>
          <w:right w:val="nil"/>
        </w:tcBorders>
        <w:shd w:val="clear" w:color="FFFFFF" w:themeColor="light1" w:fill="FFFFFF" w:themeFill="light1"/>
      </w:tcPr>
    </w:tblStylePr>
    <w:tblStylePr w:type="lastRow">
      <w:rPr>
        <w:rFonts w:ascii="Arial" w:hAnsi="Arial"/>
        <w:b/>
        <w:color w:val="B05408" w:themeColor="accent6" w:themeShade="94"/>
        <w:sz w:val="22"/>
      </w:rPr>
      <w:tcPr>
        <w:tcBorders>
          <w:top w:val="single" w:color="FAC396" w:themeColor="accent6" w:themeTint="90" w:sz="4" w:space="0"/>
          <w:left w:val="nil"/>
          <w:bottom w:val="nil"/>
          <w:right w:val="nil"/>
        </w:tcBorders>
        <w:shd w:val="clear" w:color="FFFFFF" w:themeColor="light1" w:fill="FFFFFF" w:themeFill="light1"/>
      </w:tcPr>
    </w:tblStylePr>
    <w:tblStylePr w:type="firstCol">
      <w:pPr>
        <w:jc w:val="right"/>
      </w:pPr>
      <w:rPr>
        <w:rFonts w:ascii="Arial" w:hAnsi="Arial"/>
        <w:i/>
        <w:color w:val="B05408" w:themeColor="accent6" w:themeShade="94"/>
        <w:sz w:val="22"/>
      </w:rPr>
      <w:tcPr>
        <w:tcBorders>
          <w:top w:val="nil"/>
          <w:left w:val="nil"/>
          <w:bottom w:val="nil"/>
          <w:right w:val="single" w:color="FAC396" w:themeColor="accent6" w:themeTint="90" w:sz="4" w:space="0"/>
        </w:tcBorders>
        <w:shd w:val="clear" w:color="FFFFFF" w:fill="auto"/>
      </w:tcPr>
    </w:tblStylePr>
    <w:tblStylePr w:type="lastCol">
      <w:rPr>
        <w:rFonts w:ascii="Arial" w:hAnsi="Arial"/>
        <w:i/>
        <w:color w:val="B05408" w:themeColor="accent6" w:themeShade="94"/>
        <w:sz w:val="22"/>
      </w:rPr>
      <w:tcPr>
        <w:tcBorders>
          <w:top w:val="nil"/>
          <w:left w:val="single" w:color="FAC396" w:themeColor="accent6" w:themeTint="90" w:sz="4" w:space="0"/>
          <w:bottom w:val="nil"/>
          <w:right w:val="nil"/>
        </w:tcBorders>
        <w:shd w:val="clear" w:color="FFFFFF" w:fill="auto"/>
      </w:tcPr>
    </w:tblStylePr>
    <w:tblStylePr w:type="band1Vert">
      <w:tcPr>
        <w:shd w:val="clear" w:color="FDE9D9" w:themeColor="accent6" w:themeTint="34" w:fill="FDE9D9" w:themeFill="accent6" w:themeFillTint="34"/>
      </w:tcPr>
    </w:tblStylePr>
    <w:tblStylePr w:type="band2Vert"/>
    <w:tblStylePr w:type="band1Horz">
      <w:rPr>
        <w:rFonts w:ascii="Arial" w:hAnsi="Arial"/>
        <w:color w:val="B05408" w:themeColor="accent6" w:themeShade="94"/>
        <w:sz w:val="22"/>
      </w:rPr>
      <w:tcPr>
        <w:shd w:val="clear" w:color="FDE9D9" w:themeColor="accent6" w:themeTint="34" w:fill="FDE9D9" w:themeFill="accent6" w:themeFillTint="34"/>
      </w:tcPr>
    </w:tblStylePr>
    <w:tblStylePr w:type="band2Horz">
      <w:rPr>
        <w:rFonts w:ascii="Arial" w:hAnsi="Arial"/>
        <w:color w:val="B05408" w:themeColor="accent6" w:themeShade="94"/>
        <w:sz w:val="22"/>
      </w:rPr>
    </w:tblStylePr>
    <w:tblStylePr w:type="neCell"/>
    <w:tblStylePr w:type="nwCell"/>
    <w:tblStylePr w:type="seCell"/>
    <w:tblStylePr w:type="swCell"/>
  </w:style>
  <w:style w:type="table" w:customStyle="1" w:styleId="129">
    <w:name w:val="List Table 1 Light"/>
    <w:basedOn w:val="56"/>
    <w:qFormat/>
    <w:uiPriority w:val="99"/>
    <w:pPr>
      <w:spacing w:after="0" w:line="240" w:lineRule="auto"/>
    </w:pPr>
    <w:tblStylePr w:type="firstRow">
      <w:rPr>
        <w:b/>
        <w:color w:val="404040"/>
      </w:rPr>
      <w:tcPr>
        <w:tcBorders>
          <w:top w:val="nil"/>
          <w:left w:val="nil"/>
          <w:bottom w:val="single" w:color="000000" w:themeColor="text1" w:sz="4" w:space="0"/>
          <w:right w:val="nil"/>
        </w:tcBorders>
      </w:tcPr>
    </w:tblStylePr>
    <w:tblStylePr w:type="lastRow">
      <w:rPr>
        <w:b/>
        <w:color w:val="404040"/>
      </w:rPr>
      <w:tcPr>
        <w:tcBorders>
          <w:top w:val="single" w:color="000000" w:themeColor="tex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BEBEBE" w:themeColor="text1" w:themeTint="40" w:fill="BEBEBE" w:themeFill="text1" w:themeFillTint="40"/>
      </w:tcPr>
    </w:tblStylePr>
    <w:tblStylePr w:type="band2Vert"/>
    <w:tblStylePr w:type="band1Horz">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0">
    <w:name w:val="List Table 1 Light - Accent 1"/>
    <w:basedOn w:val="56"/>
    <w:uiPriority w:val="99"/>
    <w:pPr>
      <w:spacing w:after="0" w:line="240" w:lineRule="auto"/>
    </w:pPr>
    <w:tblStylePr w:type="firstRow">
      <w:rPr>
        <w:b/>
        <w:color w:val="404040"/>
      </w:rPr>
      <w:tcPr>
        <w:tcBorders>
          <w:top w:val="nil"/>
          <w:left w:val="nil"/>
          <w:bottom w:val="single" w:color="4F81BD" w:themeColor="accent1" w:sz="4" w:space="0"/>
          <w:right w:val="nil"/>
        </w:tcBorders>
      </w:tcPr>
    </w:tblStylePr>
    <w:tblStylePr w:type="lastRow">
      <w:rPr>
        <w:b/>
        <w:color w:val="404040"/>
      </w:rPr>
      <w:tcPr>
        <w:tcBorders>
          <w:top w:val="single" w:color="4F81BD" w:themeColor="accent1"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2DFEE" w:themeColor="accent1" w:themeTint="40" w:fill="D2DFEE" w:themeFill="accent1" w:themeFillTint="40"/>
      </w:tcPr>
    </w:tblStylePr>
    <w:tblStylePr w:type="band2Vert"/>
    <w:tblStylePr w:type="band1Horz">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1">
    <w:name w:val="List Table 1 Light - Accent 2"/>
    <w:basedOn w:val="56"/>
    <w:uiPriority w:val="99"/>
    <w:pPr>
      <w:spacing w:after="0" w:line="240" w:lineRule="auto"/>
    </w:pPr>
    <w:tblStylePr w:type="firstRow">
      <w:rPr>
        <w:b/>
        <w:color w:val="404040"/>
      </w:rPr>
      <w:tcPr>
        <w:tcBorders>
          <w:top w:val="nil"/>
          <w:left w:val="nil"/>
          <w:bottom w:val="single" w:color="C0504D" w:themeColor="accent2" w:sz="4" w:space="0"/>
          <w:right w:val="nil"/>
        </w:tcBorders>
      </w:tcPr>
    </w:tblStylePr>
    <w:tblStylePr w:type="lastRow">
      <w:rPr>
        <w:b/>
        <w:color w:val="404040"/>
      </w:rPr>
      <w:tcPr>
        <w:tcBorders>
          <w:top w:val="single" w:color="C0504D" w:themeColor="accent2"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FD3D2" w:themeColor="accent2" w:themeTint="40" w:fill="EFD3D2" w:themeFill="accent2" w:themeFillTint="40"/>
      </w:tcPr>
    </w:tblStylePr>
    <w:tblStylePr w:type="band2Vert"/>
    <w:tblStylePr w:type="band1Horz">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2">
    <w:name w:val="List Table 1 Light - Accent 3"/>
    <w:basedOn w:val="56"/>
    <w:qFormat/>
    <w:uiPriority w:val="99"/>
    <w:pPr>
      <w:spacing w:after="0" w:line="240" w:lineRule="auto"/>
    </w:pPr>
    <w:tblStylePr w:type="firstRow">
      <w:rPr>
        <w:b/>
        <w:color w:val="404040"/>
      </w:rPr>
      <w:tcPr>
        <w:tcBorders>
          <w:top w:val="nil"/>
          <w:left w:val="nil"/>
          <w:bottom w:val="single" w:color="9BBB59" w:themeColor="accent3" w:sz="4" w:space="0"/>
          <w:right w:val="nil"/>
        </w:tcBorders>
      </w:tcPr>
    </w:tblStylePr>
    <w:tblStylePr w:type="lastRow">
      <w:rPr>
        <w:b/>
        <w:color w:val="404040"/>
      </w:rPr>
      <w:tcPr>
        <w:tcBorders>
          <w:top w:val="single" w:color="9BBB59" w:themeColor="accent3" w:sz="4" w:space="0"/>
          <w:left w:val="nil"/>
          <w:bottom w:val="nil"/>
          <w:right w:val="nil"/>
        </w:tcBorders>
      </w:tcPr>
    </w:tblStylePr>
    <w:tblStylePr w:type="firstCol">
      <w:rPr>
        <w:b/>
        <w:color w:val="404040"/>
      </w:rPr>
    </w:tblStylePr>
    <w:tblStylePr w:type="lastCol">
      <w:rPr>
        <w:b/>
        <w:color w:val="404040"/>
      </w:rPr>
    </w:tblStylePr>
    <w:tblStylePr w:type="band1Vert">
      <w:tcPr>
        <w:shd w:val="clear" w:color="E5EDD5" w:themeColor="accent3" w:themeTint="40" w:fill="E5EDD5" w:themeFill="accent3" w:themeFillTint="40"/>
      </w:tcPr>
    </w:tblStylePr>
    <w:tblStylePr w:type="band2Vert"/>
    <w:tblStylePr w:type="band1Horz">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33">
    <w:name w:val="List Table 1 Light - Accent 4"/>
    <w:basedOn w:val="56"/>
    <w:uiPriority w:val="99"/>
    <w:pPr>
      <w:spacing w:after="0" w:line="240" w:lineRule="auto"/>
    </w:pPr>
    <w:tblStylePr w:type="firstRow">
      <w:rPr>
        <w:b/>
        <w:color w:val="404040"/>
      </w:rPr>
      <w:tcPr>
        <w:tcBorders>
          <w:top w:val="nil"/>
          <w:left w:val="nil"/>
          <w:bottom w:val="single" w:color="8064A2" w:themeColor="accent4" w:sz="4" w:space="0"/>
          <w:right w:val="nil"/>
        </w:tcBorders>
      </w:tcPr>
    </w:tblStylePr>
    <w:tblStylePr w:type="lastRow">
      <w:rPr>
        <w:b/>
        <w:color w:val="404040"/>
      </w:rPr>
      <w:tcPr>
        <w:tcBorders>
          <w:top w:val="single" w:color="8064A2" w:themeColor="accent4"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FD8E7" w:themeColor="accent4" w:themeTint="40" w:fill="DFD8E7" w:themeFill="accent4" w:themeFillTint="40"/>
      </w:tcPr>
    </w:tblStylePr>
    <w:tblStylePr w:type="band2Vert"/>
    <w:tblStylePr w:type="band1Horz">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34">
    <w:name w:val="List Table 1 Light - Accent 5"/>
    <w:basedOn w:val="56"/>
    <w:qFormat/>
    <w:uiPriority w:val="99"/>
    <w:pPr>
      <w:spacing w:after="0" w:line="240" w:lineRule="auto"/>
    </w:pPr>
    <w:tblStylePr w:type="firstRow">
      <w:rPr>
        <w:b/>
        <w:color w:val="404040"/>
      </w:rPr>
      <w:tcPr>
        <w:tcBorders>
          <w:top w:val="nil"/>
          <w:left w:val="nil"/>
          <w:bottom w:val="single" w:color="4BACC6" w:themeColor="accent5" w:sz="4" w:space="0"/>
          <w:right w:val="nil"/>
        </w:tcBorders>
      </w:tcPr>
    </w:tblStylePr>
    <w:tblStylePr w:type="lastRow">
      <w:rPr>
        <w:b/>
        <w:color w:val="404040"/>
      </w:rPr>
      <w:tcPr>
        <w:tcBorders>
          <w:top w:val="single" w:color="4BACC6" w:themeColor="accent5" w:sz="4" w:space="0"/>
          <w:left w:val="nil"/>
          <w:bottom w:val="nil"/>
          <w:right w:val="nil"/>
        </w:tcBorders>
      </w:tcPr>
    </w:tblStylePr>
    <w:tblStylePr w:type="firstCol">
      <w:rPr>
        <w:b/>
        <w:color w:val="404040"/>
      </w:rPr>
    </w:tblStylePr>
    <w:tblStylePr w:type="lastCol">
      <w:rPr>
        <w:b/>
        <w:color w:val="404040"/>
      </w:rPr>
    </w:tblStylePr>
    <w:tblStylePr w:type="band1Vert">
      <w:tcPr>
        <w:shd w:val="clear" w:color="D1EAF0" w:themeColor="accent5" w:themeTint="40" w:fill="D1EAF0" w:themeFill="accent5" w:themeFillTint="40"/>
      </w:tcPr>
    </w:tblStylePr>
    <w:tblStylePr w:type="band2Vert"/>
    <w:tblStylePr w:type="band1Horz">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35">
    <w:name w:val="List Table 1 Light - Accent 6"/>
    <w:basedOn w:val="56"/>
    <w:qFormat/>
    <w:uiPriority w:val="99"/>
    <w:pPr>
      <w:spacing w:after="0" w:line="240" w:lineRule="auto"/>
    </w:pPr>
    <w:tblStylePr w:type="firstRow">
      <w:rPr>
        <w:b/>
        <w:color w:val="404040"/>
      </w:rPr>
      <w:tcPr>
        <w:tcBorders>
          <w:top w:val="nil"/>
          <w:left w:val="nil"/>
          <w:bottom w:val="single" w:color="F79646" w:themeColor="accent6" w:sz="4" w:space="0"/>
          <w:right w:val="nil"/>
        </w:tcBorders>
      </w:tcPr>
    </w:tblStylePr>
    <w:tblStylePr w:type="lastRow">
      <w:rPr>
        <w:b/>
        <w:color w:val="404040"/>
      </w:rPr>
      <w:tcPr>
        <w:tcBorders>
          <w:top w:val="single" w:color="F79646" w:themeColor="accent6" w:sz="4" w:space="0"/>
          <w:left w:val="nil"/>
          <w:bottom w:val="nil"/>
          <w:right w:val="nil"/>
        </w:tcBorders>
      </w:tcPr>
    </w:tblStylePr>
    <w:tblStylePr w:type="firstCol">
      <w:rPr>
        <w:b/>
        <w:color w:val="404040"/>
      </w:rPr>
    </w:tblStylePr>
    <w:tblStylePr w:type="lastCol">
      <w:rPr>
        <w:b/>
        <w:color w:val="404040"/>
      </w:rPr>
    </w:tblStylePr>
    <w:tblStylePr w:type="band1Vert">
      <w:tcPr>
        <w:shd w:val="clear" w:color="FCE4D0" w:themeColor="accent6" w:themeTint="40" w:fill="FCE4D0" w:themeFill="accent6" w:themeFillTint="40"/>
      </w:tcPr>
    </w:tblStylePr>
    <w:tblStylePr w:type="band2Vert"/>
    <w:tblStylePr w:type="band1Horz">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36">
    <w:name w:val="List Table 2"/>
    <w:basedOn w:val="56"/>
    <w:uiPriority w:val="99"/>
    <w:pPr>
      <w:spacing w:after="0" w:line="240" w:lineRule="auto"/>
    </w:pPr>
    <w:tblPr>
      <w:tblBorders>
        <w:top w:val="single" w:color="6E6E6E" w:themeColor="text1" w:themeTint="90" w:sz="4" w:space="0"/>
        <w:bottom w:val="single" w:color="6E6E6E" w:themeColor="text1" w:themeTint="90" w:sz="4" w:space="0"/>
        <w:insideH w:val="single" w:color="6E6E6E" w:themeColor="text1" w:themeTint="90" w:sz="4" w:space="0"/>
      </w:tblBorders>
    </w:tblPr>
    <w:tblStylePr w:type="fir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lastRow">
      <w:rPr>
        <w:rFonts w:ascii="Arial" w:hAnsi="Arial"/>
        <w:b/>
        <w:color w:val="404040"/>
        <w:sz w:val="22"/>
      </w:rPr>
      <w:tcPr>
        <w:tcBorders>
          <w:top w:val="single" w:color="6E6E6E" w:themeColor="text1" w:themeTint="90" w:sz="4" w:space="0"/>
          <w:left w:val="nil"/>
          <w:bottom w:val="single" w:color="6E6E6E" w:themeColor="tex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37">
    <w:name w:val="List Table 2 - Accent 1"/>
    <w:basedOn w:val="56"/>
    <w:qFormat/>
    <w:uiPriority w:val="99"/>
    <w:pPr>
      <w:spacing w:after="0" w:line="240" w:lineRule="auto"/>
    </w:pPr>
    <w:tblPr>
      <w:tblBorders>
        <w:top w:val="single" w:color="9BB7D9" w:themeColor="accent1" w:themeTint="90" w:sz="4" w:space="0"/>
        <w:bottom w:val="single" w:color="9BB7D9" w:themeColor="accent1" w:themeTint="90" w:sz="4" w:space="0"/>
        <w:insideH w:val="single" w:color="9BB7D9" w:themeColor="accent1" w:themeTint="90" w:sz="4" w:space="0"/>
      </w:tblBorders>
    </w:tblPr>
    <w:tblStylePr w:type="fir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lastRow">
      <w:rPr>
        <w:rFonts w:ascii="Arial" w:hAnsi="Arial"/>
        <w:b/>
        <w:color w:val="404040"/>
        <w:sz w:val="22"/>
      </w:rPr>
      <w:tcPr>
        <w:tcBorders>
          <w:top w:val="single" w:color="9BB7D9" w:themeColor="accent1" w:themeTint="90" w:sz="4" w:space="0"/>
          <w:left w:val="nil"/>
          <w:bottom w:val="single" w:color="9BB7D9" w:themeColor="accent1"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38">
    <w:name w:val="List Table 2 - Accent 2"/>
    <w:basedOn w:val="56"/>
    <w:uiPriority w:val="99"/>
    <w:pPr>
      <w:spacing w:after="0" w:line="240" w:lineRule="auto"/>
    </w:pPr>
    <w:tblPr>
      <w:tblBorders>
        <w:top w:val="single" w:color="DB9C9A" w:themeColor="accent2" w:themeTint="90" w:sz="4" w:space="0"/>
        <w:bottom w:val="single" w:color="DB9C9A" w:themeColor="accent2" w:themeTint="90" w:sz="4" w:space="0"/>
        <w:insideH w:val="single" w:color="DB9C9A" w:themeColor="accent2" w:themeTint="90" w:sz="4" w:space="0"/>
      </w:tblBorders>
    </w:tblPr>
    <w:tblStylePr w:type="fir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lastRow">
      <w:rPr>
        <w:rFonts w:ascii="Arial" w:hAnsi="Arial"/>
        <w:b/>
        <w:color w:val="404040"/>
        <w:sz w:val="22"/>
      </w:rPr>
      <w:tcPr>
        <w:tcBorders>
          <w:top w:val="single" w:color="DB9C9A" w:themeColor="accent2" w:themeTint="90" w:sz="4" w:space="0"/>
          <w:left w:val="nil"/>
          <w:bottom w:val="single" w:color="DB9C9A" w:themeColor="accent2"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39">
    <w:name w:val="List Table 2 - Accent 3"/>
    <w:basedOn w:val="56"/>
    <w:qFormat/>
    <w:uiPriority w:val="99"/>
    <w:pPr>
      <w:spacing w:after="0" w:line="240" w:lineRule="auto"/>
    </w:pPr>
    <w:tblPr>
      <w:tblBorders>
        <w:top w:val="single" w:color="C6D8A1" w:themeColor="accent3" w:themeTint="90" w:sz="4" w:space="0"/>
        <w:bottom w:val="single" w:color="C6D8A1" w:themeColor="accent3" w:themeTint="90" w:sz="4" w:space="0"/>
        <w:insideH w:val="single" w:color="C6D8A1" w:themeColor="accent3" w:themeTint="90" w:sz="4" w:space="0"/>
      </w:tblBorders>
    </w:tblPr>
    <w:tblStylePr w:type="fir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lastRow">
      <w:rPr>
        <w:rFonts w:ascii="Arial" w:hAnsi="Arial"/>
        <w:b/>
        <w:color w:val="404040"/>
        <w:sz w:val="22"/>
      </w:rPr>
      <w:tcPr>
        <w:tcBorders>
          <w:top w:val="single" w:color="C6D8A1" w:themeColor="accent3" w:themeTint="90" w:sz="4" w:space="0"/>
          <w:left w:val="nil"/>
          <w:bottom w:val="single" w:color="C6D8A1" w:themeColor="accent3"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40">
    <w:name w:val="List Table 2 - Accent 4"/>
    <w:basedOn w:val="56"/>
    <w:qFormat/>
    <w:uiPriority w:val="99"/>
    <w:pPr>
      <w:spacing w:after="0" w:line="240" w:lineRule="auto"/>
    </w:pPr>
    <w:tblPr>
      <w:tblBorders>
        <w:top w:val="single" w:color="B7A7CA" w:themeColor="accent4" w:themeTint="90" w:sz="4" w:space="0"/>
        <w:bottom w:val="single" w:color="B7A7CA" w:themeColor="accent4" w:themeTint="90" w:sz="4" w:space="0"/>
        <w:insideH w:val="single" w:color="B7A7CA" w:themeColor="accent4" w:themeTint="90" w:sz="4" w:space="0"/>
      </w:tblBorders>
    </w:tblPr>
    <w:tblStylePr w:type="fir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lastRow">
      <w:rPr>
        <w:rFonts w:ascii="Arial" w:hAnsi="Arial"/>
        <w:b/>
        <w:color w:val="404040"/>
        <w:sz w:val="22"/>
      </w:rPr>
      <w:tcPr>
        <w:tcBorders>
          <w:top w:val="single" w:color="B7A7CA" w:themeColor="accent4" w:themeTint="90" w:sz="4" w:space="0"/>
          <w:left w:val="nil"/>
          <w:bottom w:val="single" w:color="B7A7CA" w:themeColor="accent4"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41">
    <w:name w:val="List Table 2 - Accent 5"/>
    <w:basedOn w:val="56"/>
    <w:uiPriority w:val="99"/>
    <w:pPr>
      <w:spacing w:after="0" w:line="240" w:lineRule="auto"/>
    </w:pPr>
    <w:tblPr>
      <w:tblBorders>
        <w:top w:val="single" w:color="99D0DE" w:themeColor="accent5" w:themeTint="90" w:sz="4" w:space="0"/>
        <w:bottom w:val="single" w:color="99D0DE" w:themeColor="accent5" w:themeTint="90" w:sz="4" w:space="0"/>
        <w:insideH w:val="single" w:color="99D0DE" w:themeColor="accent5" w:themeTint="90" w:sz="4" w:space="0"/>
      </w:tblBorders>
    </w:tblPr>
    <w:tblStylePr w:type="fir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lastRow">
      <w:rPr>
        <w:rFonts w:ascii="Arial" w:hAnsi="Arial"/>
        <w:b/>
        <w:color w:val="404040"/>
        <w:sz w:val="22"/>
      </w:rPr>
      <w:tcPr>
        <w:tcBorders>
          <w:top w:val="single" w:color="99D0DE" w:themeColor="accent5" w:themeTint="90" w:sz="4" w:space="0"/>
          <w:left w:val="nil"/>
          <w:bottom w:val="single" w:color="99D0DE" w:themeColor="accent5"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42">
    <w:name w:val="List Table 2 - Accent 6"/>
    <w:basedOn w:val="56"/>
    <w:qFormat/>
    <w:uiPriority w:val="99"/>
    <w:pPr>
      <w:spacing w:after="0" w:line="240" w:lineRule="auto"/>
    </w:pPr>
    <w:tblPr>
      <w:tblBorders>
        <w:top w:val="single" w:color="FAC396" w:themeColor="accent6" w:themeTint="90" w:sz="4" w:space="0"/>
        <w:bottom w:val="single" w:color="FAC396" w:themeColor="accent6" w:themeTint="90" w:sz="4" w:space="0"/>
        <w:insideH w:val="single" w:color="FAC396" w:themeColor="accent6" w:themeTint="90" w:sz="4" w:space="0"/>
      </w:tblBorders>
    </w:tblPr>
    <w:tblStylePr w:type="fir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lastRow">
      <w:rPr>
        <w:rFonts w:ascii="Arial" w:hAnsi="Arial"/>
        <w:b/>
        <w:color w:val="404040"/>
        <w:sz w:val="22"/>
      </w:rPr>
      <w:tcPr>
        <w:tcBorders>
          <w:top w:val="single" w:color="FAC396" w:themeColor="accent6" w:themeTint="90" w:sz="4" w:space="0"/>
          <w:left w:val="nil"/>
          <w:bottom w:val="single" w:color="FAC396" w:themeColor="accent6" w:themeTint="90" w:sz="4" w:space="0"/>
          <w:right w:val="nil"/>
        </w:tcBorders>
      </w:tcPr>
    </w:tblStylePr>
    <w:tblStylePr w:type="firstCol">
      <w:rPr>
        <w:rFonts w:ascii="Arial" w:hAnsi="Arial"/>
        <w:b/>
        <w:color w:val="404040"/>
        <w:sz w:val="22"/>
      </w:rPr>
    </w:tblStylePr>
    <w:tblStylePr w:type="lastCol">
      <w:rPr>
        <w:rFonts w:ascii="Arial" w:hAnsi="Arial"/>
        <w:b/>
        <w:color w:val="404040"/>
        <w:sz w:val="22"/>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43">
    <w:name w:val="List Table 3"/>
    <w:basedOn w:val="5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000000" w:themeColor="text1" w:sz="4" w:space="0"/>
          <w:right w:val="single" w:color="000000" w:themeColor="text1" w:sz="4" w:space="0"/>
        </w:tcBorders>
      </w:tcPr>
    </w:tblStylePr>
    <w:tblStylePr w:type="band2Vert"/>
    <w:tblStylePr w:type="band1Horz">
      <w:rPr>
        <w:rFonts w:ascii="Arial" w:hAnsi="Arial"/>
        <w:color w:val="404040"/>
        <w:sz w:val="22"/>
      </w:rPr>
      <w:tcPr>
        <w:tcBorders>
          <w:top w:val="single" w:color="000000" w:themeColor="text1" w:sz="4" w:space="0"/>
          <w:bottom w:val="single" w:color="000000" w:themeColor="text1" w:sz="4" w:space="0"/>
        </w:tcBorders>
      </w:tcPr>
    </w:tblStylePr>
    <w:tblStylePr w:type="band2Horz"/>
    <w:tblStylePr w:type="neCell"/>
    <w:tblStylePr w:type="nwCell"/>
    <w:tblStylePr w:type="seCell"/>
    <w:tblStylePr w:type="swCell"/>
  </w:style>
  <w:style w:type="table" w:customStyle="1" w:styleId="144">
    <w:name w:val="List Table 3 - Accent 1"/>
    <w:basedOn w:val="56"/>
    <w:uiPriority w:val="99"/>
    <w:pPr>
      <w:spacing w:after="0" w:line="240" w:lineRule="auto"/>
    </w:pPr>
    <w:tblPr>
      <w:tblBorders>
        <w:top w:val="single" w:color="4F81BD" w:themeColor="accent1" w:sz="4" w:space="0"/>
        <w:left w:val="single" w:color="4F81BD" w:themeColor="accent1" w:sz="4" w:space="0"/>
        <w:bottom w:val="single" w:color="4F81BD" w:themeColor="accent1" w:sz="4" w:space="0"/>
        <w:right w:val="single" w:color="4F81BD" w:themeColor="accent1"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4F81BD" w:themeColor="accent1" w:sz="4" w:space="0"/>
          <w:right w:val="single" w:color="4F81BD" w:themeColor="accent1" w:sz="4" w:space="0"/>
        </w:tcBorders>
      </w:tcPr>
    </w:tblStylePr>
    <w:tblStylePr w:type="band2Vert"/>
    <w:tblStylePr w:type="band1Horz">
      <w:rPr>
        <w:rFonts w:ascii="Arial" w:hAnsi="Arial"/>
        <w:color w:val="404040"/>
        <w:sz w:val="22"/>
      </w:rPr>
      <w:tcPr>
        <w:tcBorders>
          <w:top w:val="single" w:color="4F81BD" w:themeColor="accent1" w:sz="4" w:space="0"/>
          <w:bottom w:val="single" w:color="4F81BD" w:themeColor="accent1" w:sz="4" w:space="0"/>
        </w:tcBorders>
      </w:tcPr>
    </w:tblStylePr>
    <w:tblStylePr w:type="band2Horz"/>
    <w:tblStylePr w:type="neCell"/>
    <w:tblStylePr w:type="nwCell"/>
    <w:tblStylePr w:type="seCell"/>
    <w:tblStylePr w:type="swCell"/>
  </w:style>
  <w:style w:type="table" w:customStyle="1" w:styleId="145">
    <w:name w:val="List Table 3 - Accent 2"/>
    <w:basedOn w:val="56"/>
    <w:qFormat/>
    <w:uiPriority w:val="99"/>
    <w:pPr>
      <w:spacing w:after="0" w:line="240" w:lineRule="auto"/>
    </w:pPr>
    <w:tblPr>
      <w:tblBorders>
        <w:top w:val="single" w:color="D99795" w:themeColor="accent2" w:themeTint="97" w:sz="4" w:space="0"/>
        <w:left w:val="single" w:color="D99795" w:themeColor="accent2" w:themeTint="97" w:sz="4" w:space="0"/>
        <w:bottom w:val="single" w:color="D99795" w:themeColor="accent2" w:themeTint="97" w:sz="4" w:space="0"/>
        <w:right w:val="single" w:color="D99795" w:themeColor="accent2" w:themeTint="97" w:sz="4" w:space="0"/>
      </w:tblBorders>
    </w:tblPr>
    <w:tblStylePr w:type="firstRow">
      <w:rPr>
        <w:rFonts w:ascii="Arial" w:hAnsi="Arial"/>
        <w:b/>
        <w:color w:val="FFFFFF"/>
        <w:sz w:val="22"/>
      </w:rPr>
      <w:tcPr>
        <w:shd w:val="clear" w:color="D99795" w:themeColor="accent2" w:themeTint="97" w:fill="D99795" w:themeFill="accent2" w:themeFillTint="97"/>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D99795" w:themeColor="accent2" w:themeTint="97" w:sz="4" w:space="0"/>
          <w:right w:val="single" w:color="D99795" w:themeColor="accent2" w:themeTint="97" w:sz="4" w:space="0"/>
        </w:tcBorders>
      </w:tcPr>
    </w:tblStylePr>
    <w:tblStylePr w:type="band2Vert"/>
    <w:tblStylePr w:type="band1Horz">
      <w:rPr>
        <w:rFonts w:ascii="Arial" w:hAnsi="Arial"/>
        <w:color w:val="404040"/>
        <w:sz w:val="22"/>
      </w:rPr>
      <w:tcPr>
        <w:tcBorders>
          <w:top w:val="single" w:color="D99795" w:themeColor="accent2" w:themeTint="97" w:sz="4" w:space="0"/>
          <w:bottom w:val="single" w:color="D99795" w:themeColor="accent2" w:themeTint="97" w:sz="4" w:space="0"/>
        </w:tcBorders>
      </w:tcPr>
    </w:tblStylePr>
    <w:tblStylePr w:type="band2Horz"/>
    <w:tblStylePr w:type="neCell"/>
    <w:tblStylePr w:type="nwCell"/>
    <w:tblStylePr w:type="seCell"/>
    <w:tblStylePr w:type="swCell"/>
  </w:style>
  <w:style w:type="table" w:customStyle="1" w:styleId="146">
    <w:name w:val="List Table 3 - Accent 3"/>
    <w:basedOn w:val="56"/>
    <w:qFormat/>
    <w:uiPriority w:val="99"/>
    <w:pPr>
      <w:spacing w:after="0" w:line="240" w:lineRule="auto"/>
    </w:pPr>
    <w:tblPr>
      <w:tblBorders>
        <w:top w:val="single" w:color="C3D69C" w:themeColor="accent3" w:themeTint="98" w:sz="4" w:space="0"/>
        <w:left w:val="single" w:color="C3D69C" w:themeColor="accent3" w:themeTint="98" w:sz="4" w:space="0"/>
        <w:bottom w:val="single" w:color="C3D69C" w:themeColor="accent3" w:themeTint="98" w:sz="4" w:space="0"/>
        <w:right w:val="single" w:color="C3D69C" w:themeColor="accent3" w:themeTint="98" w:sz="4" w:space="0"/>
      </w:tblBorders>
    </w:tblPr>
    <w:tblStylePr w:type="firstRow">
      <w:rPr>
        <w:rFonts w:ascii="Arial" w:hAnsi="Arial"/>
        <w:b/>
        <w:color w:val="FFFFFF"/>
        <w:sz w:val="22"/>
      </w:rPr>
      <w:tcPr>
        <w:shd w:val="clear" w:color="C3D69C" w:themeColor="accent3" w:themeTint="98" w:fill="C3D69C" w:themeFill="accent3"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C3D69C" w:themeColor="accent3" w:themeTint="98" w:sz="4" w:space="0"/>
          <w:right w:val="single" w:color="C3D69C" w:themeColor="accent3" w:themeTint="98" w:sz="4" w:space="0"/>
        </w:tcBorders>
      </w:tcPr>
    </w:tblStylePr>
    <w:tblStylePr w:type="band2Vert"/>
    <w:tblStylePr w:type="band1Horz">
      <w:rPr>
        <w:rFonts w:ascii="Arial" w:hAnsi="Arial"/>
        <w:color w:val="404040"/>
        <w:sz w:val="22"/>
      </w:rPr>
      <w:tcPr>
        <w:tcBorders>
          <w:top w:val="single" w:color="C3D69C" w:themeColor="accent3" w:themeTint="98" w:sz="4" w:space="0"/>
          <w:bottom w:val="single" w:color="C3D69C" w:themeColor="accent3" w:themeTint="98" w:sz="4" w:space="0"/>
        </w:tcBorders>
      </w:tcPr>
    </w:tblStylePr>
    <w:tblStylePr w:type="band2Horz"/>
    <w:tblStylePr w:type="neCell"/>
    <w:tblStylePr w:type="nwCell"/>
    <w:tblStylePr w:type="seCell"/>
    <w:tblStylePr w:type="swCell"/>
  </w:style>
  <w:style w:type="table" w:customStyle="1" w:styleId="147">
    <w:name w:val="List Table 3 - Accent 4"/>
    <w:basedOn w:val="56"/>
    <w:qFormat/>
    <w:uiPriority w:val="99"/>
    <w:pPr>
      <w:spacing w:after="0" w:line="240" w:lineRule="auto"/>
    </w:pPr>
    <w:tblPr>
      <w:tblBorders>
        <w:top w:val="single" w:color="B2A1C6" w:themeColor="accent4" w:themeTint="9A" w:sz="4" w:space="0"/>
        <w:left w:val="single" w:color="B2A1C6" w:themeColor="accent4" w:themeTint="9A" w:sz="4" w:space="0"/>
        <w:bottom w:val="single" w:color="B2A1C6" w:themeColor="accent4" w:themeTint="9A" w:sz="4" w:space="0"/>
        <w:right w:val="single" w:color="B2A1C6" w:themeColor="accent4" w:themeTint="9A" w:sz="4" w:space="0"/>
      </w:tblBorders>
    </w:tblPr>
    <w:tblStylePr w:type="firstRow">
      <w:rPr>
        <w:rFonts w:ascii="Arial" w:hAnsi="Arial"/>
        <w:b/>
        <w:color w:val="FFFFFF"/>
        <w:sz w:val="22"/>
      </w:rPr>
      <w:tcPr>
        <w:shd w:val="clear" w:color="B2A1C6" w:themeColor="accent4" w:themeTint="9A" w:fill="B2A1C6" w:themeFill="accent4"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B2A1C6" w:themeColor="accent4" w:themeTint="9A" w:sz="4" w:space="0"/>
          <w:right w:val="single" w:color="B2A1C6" w:themeColor="accent4" w:themeTint="9A" w:sz="4" w:space="0"/>
        </w:tcBorders>
      </w:tcPr>
    </w:tblStylePr>
    <w:tblStylePr w:type="band2Vert"/>
    <w:tblStylePr w:type="band1Horz">
      <w:rPr>
        <w:rFonts w:ascii="Arial" w:hAnsi="Arial"/>
        <w:color w:val="404040"/>
        <w:sz w:val="22"/>
      </w:rPr>
      <w:tcPr>
        <w:tcBorders>
          <w:top w:val="single" w:color="B2A1C6" w:themeColor="accent4" w:themeTint="9A" w:sz="4" w:space="0"/>
          <w:bottom w:val="single" w:color="B2A1C6" w:themeColor="accent4" w:themeTint="9A" w:sz="4" w:space="0"/>
        </w:tcBorders>
      </w:tcPr>
    </w:tblStylePr>
    <w:tblStylePr w:type="band2Horz"/>
    <w:tblStylePr w:type="neCell"/>
    <w:tblStylePr w:type="nwCell"/>
    <w:tblStylePr w:type="seCell"/>
    <w:tblStylePr w:type="swCell"/>
  </w:style>
  <w:style w:type="table" w:customStyle="1" w:styleId="148">
    <w:name w:val="List Table 3 - Accent 5"/>
    <w:basedOn w:val="56"/>
    <w:qFormat/>
    <w:uiPriority w:val="99"/>
    <w:pPr>
      <w:spacing w:after="0" w:line="240" w:lineRule="auto"/>
    </w:pPr>
    <w:tblPr>
      <w:tblBorders>
        <w:top w:val="single" w:color="92CCDC" w:themeColor="accent5" w:themeTint="9A" w:sz="4" w:space="0"/>
        <w:left w:val="single" w:color="92CCDC" w:themeColor="accent5" w:themeTint="9A" w:sz="4" w:space="0"/>
        <w:bottom w:val="single" w:color="92CCDC" w:themeColor="accent5" w:themeTint="9A" w:sz="4" w:space="0"/>
        <w:right w:val="single" w:color="92CCDC" w:themeColor="accent5" w:themeTint="9A" w:sz="4" w:space="0"/>
      </w:tblBorders>
    </w:tblPr>
    <w:tblStylePr w:type="firstRow">
      <w:rPr>
        <w:rFonts w:ascii="Arial" w:hAnsi="Arial"/>
        <w:b/>
        <w:color w:val="FFFFFF"/>
        <w:sz w:val="22"/>
      </w:rPr>
      <w:tcPr>
        <w:shd w:val="clear" w:color="92CCDC" w:themeColor="accent5" w:themeTint="9A" w:fill="92CCDC" w:themeFill="accent5" w:themeFillTint="9A"/>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92CCDC" w:themeColor="accent5" w:themeTint="9A" w:sz="4" w:space="0"/>
          <w:right w:val="single" w:color="92CCDC" w:themeColor="accent5" w:themeTint="9A" w:sz="4" w:space="0"/>
        </w:tcBorders>
      </w:tcPr>
    </w:tblStylePr>
    <w:tblStylePr w:type="band2Vert"/>
    <w:tblStylePr w:type="band1Horz">
      <w:rPr>
        <w:rFonts w:ascii="Arial" w:hAnsi="Arial"/>
        <w:color w:val="404040"/>
        <w:sz w:val="22"/>
      </w:rPr>
      <w:tcPr>
        <w:tcBorders>
          <w:top w:val="single" w:color="92CCDC" w:themeColor="accent5" w:themeTint="9A" w:sz="4" w:space="0"/>
          <w:bottom w:val="single" w:color="92CCDC" w:themeColor="accent5" w:themeTint="9A" w:sz="4" w:space="0"/>
        </w:tcBorders>
      </w:tcPr>
    </w:tblStylePr>
    <w:tblStylePr w:type="band2Horz"/>
    <w:tblStylePr w:type="neCell"/>
    <w:tblStylePr w:type="nwCell"/>
    <w:tblStylePr w:type="seCell"/>
    <w:tblStylePr w:type="swCell"/>
  </w:style>
  <w:style w:type="table" w:customStyle="1" w:styleId="149">
    <w:name w:val="List Table 3 - Accent 6"/>
    <w:basedOn w:val="56"/>
    <w:uiPriority w:val="99"/>
    <w:pPr>
      <w:spacing w:after="0" w:line="240" w:lineRule="auto"/>
    </w:pPr>
    <w:tblPr>
      <w:tblBorders>
        <w:top w:val="single" w:color="FAC090" w:themeColor="accent6" w:themeTint="98" w:sz="4" w:space="0"/>
        <w:left w:val="single" w:color="FAC090" w:themeColor="accent6" w:themeTint="98" w:sz="4" w:space="0"/>
        <w:bottom w:val="single" w:color="FAC090" w:themeColor="accent6" w:themeTint="98" w:sz="4" w:space="0"/>
        <w:right w:val="single" w:color="FAC090" w:themeColor="accent6" w:themeTint="98" w:sz="4" w:space="0"/>
      </w:tblBorders>
    </w:tblPr>
    <w:tblStylePr w:type="firstRow">
      <w:rPr>
        <w:rFonts w:ascii="Arial" w:hAnsi="Arial"/>
        <w:b/>
        <w:color w:val="FFFFFF"/>
        <w:sz w:val="22"/>
      </w:rPr>
      <w:tcPr>
        <w:shd w:val="clear" w:color="FAC090" w:themeColor="accent6" w:themeTint="98" w:fill="FAC090" w:themeFill="accent6" w:themeFillTint="98"/>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tcBorders>
          <w:left w:val="single" w:color="FAC090" w:themeColor="accent6" w:themeTint="98" w:sz="4" w:space="0"/>
          <w:right w:val="single" w:color="FAC090" w:themeColor="accent6" w:themeTint="98" w:sz="4" w:space="0"/>
        </w:tcBorders>
      </w:tcPr>
    </w:tblStylePr>
    <w:tblStylePr w:type="band2Vert"/>
    <w:tblStylePr w:type="band1Horz">
      <w:rPr>
        <w:rFonts w:ascii="Arial" w:hAnsi="Arial"/>
        <w:color w:val="404040"/>
        <w:sz w:val="22"/>
      </w:rPr>
      <w:tcPr>
        <w:tcBorders>
          <w:top w:val="single" w:color="FAC090" w:themeColor="accent6" w:themeTint="98" w:sz="4" w:space="0"/>
          <w:bottom w:val="single" w:color="FAC090" w:themeColor="accent6" w:themeTint="98" w:sz="4" w:space="0"/>
        </w:tcBorders>
      </w:tcPr>
    </w:tblStylePr>
    <w:tblStylePr w:type="band2Horz"/>
    <w:tblStylePr w:type="neCell"/>
    <w:tblStylePr w:type="nwCell"/>
    <w:tblStylePr w:type="seCell"/>
    <w:tblStylePr w:type="swCell"/>
  </w:style>
  <w:style w:type="table" w:customStyle="1" w:styleId="150">
    <w:name w:val="List Table 4"/>
    <w:basedOn w:val="56"/>
    <w:qFormat/>
    <w:uiPriority w:val="99"/>
    <w:pPr>
      <w:spacing w:after="0" w:line="240" w:lineRule="auto"/>
    </w:pPr>
    <w:tblPr>
      <w:tblBorders>
        <w:top w:val="single" w:color="000000" w:themeColor="text1" w:sz="4" w:space="0"/>
        <w:left w:val="single" w:color="000000" w:themeColor="text1" w:sz="4" w:space="0"/>
        <w:bottom w:val="single" w:color="000000" w:themeColor="text1" w:sz="4" w:space="0"/>
        <w:right w:val="single" w:color="000000" w:themeColor="text1" w:sz="4" w:space="0"/>
        <w:insideH w:val="single" w:color="000000" w:themeColor="text1" w:sz="4" w:space="0"/>
      </w:tblBorders>
    </w:tblPr>
    <w:tblStylePr w:type="firstRow">
      <w:rPr>
        <w:rFonts w:ascii="Arial" w:hAnsi="Arial"/>
        <w:b/>
        <w:color w:val="FFFFFF"/>
        <w:sz w:val="22"/>
      </w:rPr>
      <w:tcPr>
        <w:shd w:val="clear" w:color="000000" w:themeColor="text1" w:fill="000000" w:themeFill="tex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BEBEBE" w:themeColor="text1" w:themeTint="40" w:fill="BEBEBE" w:themeFill="text1" w:themeFillTint="40"/>
      </w:tcPr>
    </w:tblStylePr>
    <w:tblStylePr w:type="band2Vert"/>
    <w:tblStylePr w:type="band1Horz">
      <w:rPr>
        <w:rFonts w:ascii="Arial" w:hAnsi="Arial"/>
        <w:color w:val="404040"/>
        <w:sz w:val="22"/>
      </w:rPr>
      <w:tcPr>
        <w:shd w:val="clear" w:color="BEBEBE" w:themeColor="text1" w:themeTint="40" w:fill="BEBEBE" w:themeFill="text1" w:themeFillTint="40"/>
      </w:tcPr>
    </w:tblStylePr>
    <w:tblStylePr w:type="band2Horz"/>
    <w:tblStylePr w:type="neCell"/>
    <w:tblStylePr w:type="nwCell"/>
    <w:tblStylePr w:type="seCell"/>
    <w:tblStylePr w:type="swCell"/>
  </w:style>
  <w:style w:type="table" w:customStyle="1" w:styleId="151">
    <w:name w:val="List Table 4 - Accent 1"/>
    <w:basedOn w:val="56"/>
    <w:qFormat/>
    <w:uiPriority w:val="99"/>
    <w:pPr>
      <w:spacing w:after="0" w:line="240" w:lineRule="auto"/>
    </w:pPr>
    <w:tblPr>
      <w:tblBorders>
        <w:top w:val="single" w:color="9BB7D9" w:themeColor="accent1" w:themeTint="90" w:sz="4" w:space="0"/>
        <w:left w:val="single" w:color="9BB7D9" w:themeColor="accent1" w:themeTint="90" w:sz="4" w:space="0"/>
        <w:bottom w:val="single" w:color="9BB7D9" w:themeColor="accent1" w:themeTint="90" w:sz="4" w:space="0"/>
        <w:right w:val="single" w:color="9BB7D9" w:themeColor="accent1" w:themeTint="90" w:sz="4" w:space="0"/>
        <w:insideH w:val="single" w:color="9BB7D9" w:themeColor="accent1" w:themeTint="90" w:sz="4" w:space="0"/>
      </w:tblBorders>
    </w:tblPr>
    <w:tblStylePr w:type="firstRow">
      <w:rPr>
        <w:rFonts w:ascii="Arial" w:hAnsi="Arial"/>
        <w:b/>
        <w:color w:val="FFFFFF"/>
        <w:sz w:val="22"/>
      </w:rPr>
      <w:tcPr>
        <w:shd w:val="clear" w:color="4F81BD" w:themeColor="accent1" w:fill="4F81BD" w:themeFill="accent1"/>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2DFEE" w:themeColor="accent1" w:themeTint="40" w:fill="D2DFEE" w:themeFill="accent1" w:themeFillTint="40"/>
      </w:tcPr>
    </w:tblStylePr>
    <w:tblStylePr w:type="band2Vert"/>
    <w:tblStylePr w:type="band1Horz">
      <w:rPr>
        <w:rFonts w:ascii="Arial" w:hAnsi="Arial"/>
        <w:color w:val="404040"/>
        <w:sz w:val="22"/>
      </w:rPr>
      <w:tcPr>
        <w:shd w:val="clear" w:color="D2DFEE" w:themeColor="accent1" w:themeTint="40" w:fill="D2DFEE" w:themeFill="accent1" w:themeFillTint="40"/>
      </w:tcPr>
    </w:tblStylePr>
    <w:tblStylePr w:type="band2Horz"/>
    <w:tblStylePr w:type="neCell"/>
    <w:tblStylePr w:type="nwCell"/>
    <w:tblStylePr w:type="seCell"/>
    <w:tblStylePr w:type="swCell"/>
  </w:style>
  <w:style w:type="table" w:customStyle="1" w:styleId="152">
    <w:name w:val="List Table 4 - Accent 2"/>
    <w:basedOn w:val="56"/>
    <w:qFormat/>
    <w:uiPriority w:val="99"/>
    <w:pPr>
      <w:spacing w:after="0" w:line="240" w:lineRule="auto"/>
    </w:pPr>
    <w:tblPr>
      <w:tblBorders>
        <w:top w:val="single" w:color="DB9C9A" w:themeColor="accent2" w:themeTint="90" w:sz="4" w:space="0"/>
        <w:left w:val="single" w:color="DB9C9A" w:themeColor="accent2" w:themeTint="90" w:sz="4" w:space="0"/>
        <w:bottom w:val="single" w:color="DB9C9A" w:themeColor="accent2" w:themeTint="90" w:sz="4" w:space="0"/>
        <w:right w:val="single" w:color="DB9C9A" w:themeColor="accent2" w:themeTint="90" w:sz="4" w:space="0"/>
        <w:insideH w:val="single" w:color="DB9C9A" w:themeColor="accent2" w:themeTint="90" w:sz="4" w:space="0"/>
      </w:tblBorders>
    </w:tblPr>
    <w:tblStylePr w:type="firstRow">
      <w:rPr>
        <w:rFonts w:ascii="Arial" w:hAnsi="Arial"/>
        <w:b/>
        <w:color w:val="FFFFFF"/>
        <w:sz w:val="22"/>
      </w:rPr>
      <w:tcPr>
        <w:shd w:val="clear" w:color="C0504D" w:themeColor="accent2" w:fill="C0504D" w:themeFill="accent2"/>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FD3D2" w:themeColor="accent2" w:themeTint="40" w:fill="EFD3D2" w:themeFill="accent2" w:themeFillTint="40"/>
      </w:tcPr>
    </w:tblStylePr>
    <w:tblStylePr w:type="band2Vert"/>
    <w:tblStylePr w:type="band1Horz">
      <w:rPr>
        <w:rFonts w:ascii="Arial" w:hAnsi="Arial"/>
        <w:color w:val="404040"/>
        <w:sz w:val="22"/>
      </w:rPr>
      <w:tcPr>
        <w:shd w:val="clear" w:color="EFD3D2" w:themeColor="accent2" w:themeTint="40" w:fill="EFD3D2" w:themeFill="accent2" w:themeFillTint="40"/>
      </w:tcPr>
    </w:tblStylePr>
    <w:tblStylePr w:type="band2Horz"/>
    <w:tblStylePr w:type="neCell"/>
    <w:tblStylePr w:type="nwCell"/>
    <w:tblStylePr w:type="seCell"/>
    <w:tblStylePr w:type="swCell"/>
  </w:style>
  <w:style w:type="table" w:customStyle="1" w:styleId="153">
    <w:name w:val="List Table 4 - Accent 3"/>
    <w:basedOn w:val="56"/>
    <w:qFormat/>
    <w:uiPriority w:val="99"/>
    <w:pPr>
      <w:spacing w:after="0" w:line="240" w:lineRule="auto"/>
    </w:pPr>
    <w:tblPr>
      <w:tblBorders>
        <w:top w:val="single" w:color="C6D8A1" w:themeColor="accent3" w:themeTint="90" w:sz="4" w:space="0"/>
        <w:left w:val="single" w:color="C6D8A1" w:themeColor="accent3" w:themeTint="90" w:sz="4" w:space="0"/>
        <w:bottom w:val="single" w:color="C6D8A1" w:themeColor="accent3" w:themeTint="90" w:sz="4" w:space="0"/>
        <w:right w:val="single" w:color="C6D8A1" w:themeColor="accent3" w:themeTint="90" w:sz="4" w:space="0"/>
        <w:insideH w:val="single" w:color="C6D8A1" w:themeColor="accent3" w:themeTint="90" w:sz="4" w:space="0"/>
      </w:tblBorders>
    </w:tblPr>
    <w:tblStylePr w:type="firstRow">
      <w:rPr>
        <w:rFonts w:ascii="Arial" w:hAnsi="Arial"/>
        <w:b/>
        <w:color w:val="FFFFFF"/>
        <w:sz w:val="22"/>
      </w:rPr>
      <w:tcPr>
        <w:shd w:val="clear" w:color="9BBB59" w:themeColor="accent3" w:fill="9BBB59" w:themeFill="accent3"/>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E5EDD5" w:themeColor="accent3" w:themeTint="40" w:fill="E5EDD5" w:themeFill="accent3" w:themeFillTint="40"/>
      </w:tcPr>
    </w:tblStylePr>
    <w:tblStylePr w:type="band2Vert"/>
    <w:tblStylePr w:type="band1Horz">
      <w:rPr>
        <w:rFonts w:ascii="Arial" w:hAnsi="Arial"/>
        <w:color w:val="404040"/>
        <w:sz w:val="22"/>
      </w:rPr>
      <w:tcPr>
        <w:shd w:val="clear" w:color="E5EDD5" w:themeColor="accent3" w:themeTint="40" w:fill="E5EDD5" w:themeFill="accent3" w:themeFillTint="40"/>
      </w:tcPr>
    </w:tblStylePr>
    <w:tblStylePr w:type="band2Horz"/>
    <w:tblStylePr w:type="neCell"/>
    <w:tblStylePr w:type="nwCell"/>
    <w:tblStylePr w:type="seCell"/>
    <w:tblStylePr w:type="swCell"/>
  </w:style>
  <w:style w:type="table" w:customStyle="1" w:styleId="154">
    <w:name w:val="List Table 4 - Accent 4"/>
    <w:basedOn w:val="56"/>
    <w:qFormat/>
    <w:uiPriority w:val="99"/>
    <w:pPr>
      <w:spacing w:after="0" w:line="240" w:lineRule="auto"/>
    </w:pPr>
    <w:tblPr>
      <w:tblBorders>
        <w:top w:val="single" w:color="B7A7CA" w:themeColor="accent4" w:themeTint="90" w:sz="4" w:space="0"/>
        <w:left w:val="single" w:color="B7A7CA" w:themeColor="accent4" w:themeTint="90" w:sz="4" w:space="0"/>
        <w:bottom w:val="single" w:color="B7A7CA" w:themeColor="accent4" w:themeTint="90" w:sz="4" w:space="0"/>
        <w:right w:val="single" w:color="B7A7CA" w:themeColor="accent4" w:themeTint="90" w:sz="4" w:space="0"/>
        <w:insideH w:val="single" w:color="B7A7CA" w:themeColor="accent4" w:themeTint="90" w:sz="4" w:space="0"/>
      </w:tblBorders>
    </w:tblPr>
    <w:tblStylePr w:type="firstRow">
      <w:rPr>
        <w:rFonts w:ascii="Arial" w:hAnsi="Arial"/>
        <w:b/>
        <w:color w:val="FFFFFF"/>
        <w:sz w:val="22"/>
      </w:rPr>
      <w:tcPr>
        <w:shd w:val="clear" w:color="8064A2" w:themeColor="accent4" w:fill="8064A2" w:themeFill="accent4"/>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FD8E7" w:themeColor="accent4" w:themeTint="40" w:fill="DFD8E7" w:themeFill="accent4" w:themeFillTint="40"/>
      </w:tcPr>
    </w:tblStylePr>
    <w:tblStylePr w:type="band2Vert"/>
    <w:tblStylePr w:type="band1Horz">
      <w:rPr>
        <w:rFonts w:ascii="Arial" w:hAnsi="Arial"/>
        <w:color w:val="404040"/>
        <w:sz w:val="22"/>
      </w:rPr>
      <w:tcPr>
        <w:shd w:val="clear" w:color="DFD8E7" w:themeColor="accent4" w:themeTint="40" w:fill="DFD8E7" w:themeFill="accent4" w:themeFillTint="40"/>
      </w:tcPr>
    </w:tblStylePr>
    <w:tblStylePr w:type="band2Horz"/>
    <w:tblStylePr w:type="neCell"/>
    <w:tblStylePr w:type="nwCell"/>
    <w:tblStylePr w:type="seCell"/>
    <w:tblStylePr w:type="swCell"/>
  </w:style>
  <w:style w:type="table" w:customStyle="1" w:styleId="155">
    <w:name w:val="List Table 4 - Accent 5"/>
    <w:basedOn w:val="56"/>
    <w:qFormat/>
    <w:uiPriority w:val="99"/>
    <w:pPr>
      <w:spacing w:after="0" w:line="240" w:lineRule="auto"/>
    </w:pPr>
    <w:tblPr>
      <w:tblBorders>
        <w:top w:val="single" w:color="99D0DE" w:themeColor="accent5" w:themeTint="90" w:sz="4" w:space="0"/>
        <w:left w:val="single" w:color="99D0DE" w:themeColor="accent5" w:themeTint="90" w:sz="4" w:space="0"/>
        <w:bottom w:val="single" w:color="99D0DE" w:themeColor="accent5" w:themeTint="90" w:sz="4" w:space="0"/>
        <w:right w:val="single" w:color="99D0DE" w:themeColor="accent5" w:themeTint="90" w:sz="4" w:space="0"/>
        <w:insideH w:val="single" w:color="99D0DE" w:themeColor="accent5" w:themeTint="90" w:sz="4" w:space="0"/>
      </w:tblBorders>
    </w:tblPr>
    <w:tblStylePr w:type="firstRow">
      <w:rPr>
        <w:rFonts w:ascii="Arial" w:hAnsi="Arial"/>
        <w:b/>
        <w:color w:val="FFFFFF"/>
        <w:sz w:val="22"/>
      </w:rPr>
      <w:tcPr>
        <w:shd w:val="clear" w:color="4BACC6" w:themeColor="accent5" w:fill="4BACC6" w:themeFill="accent5"/>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D1EAF0" w:themeColor="accent5" w:themeTint="40" w:fill="D1EAF0" w:themeFill="accent5" w:themeFillTint="40"/>
      </w:tcPr>
    </w:tblStylePr>
    <w:tblStylePr w:type="band2Vert"/>
    <w:tblStylePr w:type="band1Horz">
      <w:rPr>
        <w:rFonts w:ascii="Arial" w:hAnsi="Arial"/>
        <w:color w:val="404040"/>
        <w:sz w:val="22"/>
      </w:rPr>
      <w:tcPr>
        <w:shd w:val="clear" w:color="D1EAF0" w:themeColor="accent5" w:themeTint="40" w:fill="D1EAF0" w:themeFill="accent5" w:themeFillTint="40"/>
      </w:tcPr>
    </w:tblStylePr>
    <w:tblStylePr w:type="band2Horz"/>
    <w:tblStylePr w:type="neCell"/>
    <w:tblStylePr w:type="nwCell"/>
    <w:tblStylePr w:type="seCell"/>
    <w:tblStylePr w:type="swCell"/>
  </w:style>
  <w:style w:type="table" w:customStyle="1" w:styleId="156">
    <w:name w:val="List Table 4 - Accent 6"/>
    <w:basedOn w:val="56"/>
    <w:uiPriority w:val="99"/>
    <w:pPr>
      <w:spacing w:after="0" w:line="240" w:lineRule="auto"/>
    </w:pPr>
    <w:tblPr>
      <w:tblBorders>
        <w:top w:val="single" w:color="FAC396" w:themeColor="accent6" w:themeTint="90" w:sz="4" w:space="0"/>
        <w:left w:val="single" w:color="FAC396" w:themeColor="accent6" w:themeTint="90" w:sz="4" w:space="0"/>
        <w:bottom w:val="single" w:color="FAC396" w:themeColor="accent6" w:themeTint="90" w:sz="4" w:space="0"/>
        <w:right w:val="single" w:color="FAC396" w:themeColor="accent6" w:themeTint="90" w:sz="4" w:space="0"/>
        <w:insideH w:val="single" w:color="FAC396" w:themeColor="accent6" w:themeTint="90" w:sz="4" w:space="0"/>
      </w:tblBorders>
    </w:tblPr>
    <w:tblStylePr w:type="firstRow">
      <w:rPr>
        <w:rFonts w:ascii="Arial" w:hAnsi="Arial"/>
        <w:b/>
        <w:color w:val="FFFFFF"/>
        <w:sz w:val="22"/>
      </w:rPr>
      <w:tcPr>
        <w:shd w:val="clear" w:color="F79646" w:themeColor="accent6" w:fill="F79646" w:themeFill="accent6"/>
      </w:tcPr>
    </w:tblStylePr>
    <w:tblStylePr w:type="lastRow">
      <w:rPr>
        <w:b/>
        <w:color w:val="404040"/>
      </w:rPr>
    </w:tblStylePr>
    <w:tblStylePr w:type="firstCol">
      <w:rPr>
        <w:b/>
        <w:color w:val="404040"/>
      </w:rPr>
    </w:tblStylePr>
    <w:tblStylePr w:type="lastCol">
      <w:rPr>
        <w:b/>
        <w:color w:val="404040"/>
      </w:rPr>
    </w:tblStylePr>
    <w:tblStylePr w:type="band1Vert">
      <w:rPr>
        <w:rFonts w:ascii="Arial" w:hAnsi="Arial"/>
        <w:color w:val="404040"/>
        <w:sz w:val="22"/>
      </w:rPr>
      <w:tcPr>
        <w:shd w:val="clear" w:color="FCE4D0" w:themeColor="accent6" w:themeTint="40" w:fill="FCE4D0" w:themeFill="accent6" w:themeFillTint="40"/>
      </w:tcPr>
    </w:tblStylePr>
    <w:tblStylePr w:type="band2Vert"/>
    <w:tblStylePr w:type="band1Horz">
      <w:rPr>
        <w:rFonts w:ascii="Arial" w:hAnsi="Arial"/>
        <w:color w:val="404040"/>
        <w:sz w:val="22"/>
      </w:rPr>
      <w:tcPr>
        <w:shd w:val="clear" w:color="FCE4D0" w:themeColor="accent6" w:themeTint="40" w:fill="FCE4D0" w:themeFill="accent6" w:themeFillTint="40"/>
      </w:tcPr>
    </w:tblStylePr>
    <w:tblStylePr w:type="band2Horz"/>
    <w:tblStylePr w:type="neCell"/>
    <w:tblStylePr w:type="nwCell"/>
    <w:tblStylePr w:type="seCell"/>
    <w:tblStylePr w:type="swCell"/>
  </w:style>
  <w:style w:type="table" w:customStyle="1" w:styleId="157">
    <w:name w:val="List Table 5 Dark"/>
    <w:basedOn w:val="56"/>
    <w:qFormat/>
    <w:uiPriority w:val="99"/>
    <w:pPr>
      <w:spacing w:after="0" w:line="240" w:lineRule="auto"/>
    </w:pPr>
    <w:tblPr>
      <w:tblBorders>
        <w:top w:val="single" w:color="7E7E7E" w:themeColor="text1" w:themeTint="80" w:sz="32" w:space="0"/>
        <w:left w:val="single" w:color="7E7E7E" w:themeColor="text1" w:themeTint="80" w:sz="32" w:space="0"/>
        <w:bottom w:val="single" w:color="7E7E7E" w:themeColor="text1" w:themeTint="80" w:sz="32" w:space="0"/>
        <w:right w:val="single" w:color="7E7E7E" w:themeColor="text1" w:themeTint="80" w:sz="32" w:space="0"/>
      </w:tblBorders>
    </w:tblPr>
    <w:tblStylePr w:type="firstRow">
      <w:rPr>
        <w:rFonts w:ascii="Arial" w:hAnsi="Arial"/>
        <w:b/>
        <w:color w:val="FFFFFF" w:themeColor="light1"/>
        <w:sz w:val="22"/>
        <w14:textFill>
          <w14:solidFill>
            <w14:schemeClr w14:val="lt1"/>
          </w14:solidFill>
        </w14:textFill>
      </w:rPr>
      <w:tcPr>
        <w:tcBorders>
          <w:top w:val="single" w:color="7E7E7E" w:themeColor="text1" w:themeTint="80" w:sz="32" w:space="0"/>
          <w:bottom w:val="single" w:color="FFFFFF" w:themeColor="light1" w:sz="12" w:space="0"/>
        </w:tcBorders>
        <w:shd w:val="clear" w:color="7E7E7E" w:themeColor="text1" w:themeTint="80" w:fill="7E7E7E" w:themeFill="text1" w:themeFillTint="80"/>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7E7E7E" w:themeColor="text1" w:themeTint="80" w:sz="32" w:space="0"/>
          <w:right w:val="single" w:color="FFFFFF" w:themeColor="light1" w:sz="4" w:space="0"/>
        </w:tcBorders>
      </w:tcPr>
    </w:tblStylePr>
    <w:tblStylePr w:type="lastCol">
      <w:tcPr>
        <w:tcBorders>
          <w:left w:val="single" w:color="FFFFFF" w:themeColor="light1" w:sz="4" w:space="0"/>
          <w:right w:val="single" w:color="7E7E7E" w:themeColor="text1" w:themeTint="80" w:sz="32" w:space="0"/>
        </w:tcBorders>
      </w:tcPr>
    </w:tblStylePr>
    <w:tblStylePr w:type="band1Vert">
      <w:tcPr>
        <w:tcBorders>
          <w:left w:val="single" w:color="FFFFFF" w:themeColor="light1" w:sz="4" w:space="0"/>
          <w:right w:val="single" w:color="FFFFFF" w:themeColor="light1" w:sz="4" w:space="0"/>
        </w:tcBorders>
        <w:shd w:val="clear" w:color="7E7E7E" w:themeColor="text1" w:themeTint="80" w:fill="7E7E7E" w:themeFill="text1" w:themeFillTint="80"/>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band2Horz">
      <w:tcPr>
        <w:tcBorders>
          <w:top w:val="single" w:color="FFFFFF" w:themeColor="light1" w:sz="4" w:space="0"/>
          <w:bottom w:val="single" w:color="FFFFFF" w:themeColor="light1" w:sz="4" w:space="0"/>
        </w:tcBorders>
        <w:shd w:val="clear" w:color="7E7E7E" w:themeColor="text1" w:themeTint="80" w:fill="7E7E7E" w:themeFill="text1" w:themeFillTint="80"/>
      </w:tcPr>
    </w:tblStylePr>
    <w:tblStylePr w:type="neCell"/>
    <w:tblStylePr w:type="nwCell"/>
    <w:tblStylePr w:type="seCell"/>
    <w:tblStylePr w:type="swCell"/>
  </w:style>
  <w:style w:type="table" w:customStyle="1" w:styleId="158">
    <w:name w:val="List Table 5 Dark - Accent 1"/>
    <w:basedOn w:val="56"/>
    <w:qFormat/>
    <w:uiPriority w:val="99"/>
    <w:pPr>
      <w:spacing w:after="0" w:line="240" w:lineRule="auto"/>
    </w:pPr>
    <w:tblPr>
      <w:tblBorders>
        <w:top w:val="single" w:color="4F81BD" w:themeColor="accent1" w:sz="32" w:space="0"/>
        <w:left w:val="single" w:color="4F81BD" w:themeColor="accent1" w:sz="32" w:space="0"/>
        <w:bottom w:val="single" w:color="4F81BD" w:themeColor="accent1" w:sz="32" w:space="0"/>
        <w:right w:val="single" w:color="4F81BD" w:themeColor="accent1" w:sz="32" w:space="0"/>
      </w:tblBorders>
    </w:tblPr>
    <w:tblStylePr w:type="firstRow">
      <w:rPr>
        <w:rFonts w:ascii="Arial" w:hAnsi="Arial"/>
        <w:b/>
        <w:color w:val="FFFFFF" w:themeColor="light1"/>
        <w:sz w:val="22"/>
        <w14:textFill>
          <w14:solidFill>
            <w14:schemeClr w14:val="lt1"/>
          </w14:solidFill>
        </w14:textFill>
      </w:rPr>
      <w:tcPr>
        <w:tcBorders>
          <w:top w:val="single" w:color="4F81BD" w:themeColor="accent1" w:sz="32" w:space="0"/>
          <w:bottom w:val="single" w:color="FFFFFF" w:themeColor="light1" w:sz="12" w:space="0"/>
        </w:tcBorders>
        <w:shd w:val="clear" w:color="4F81BD" w:themeColor="accent1" w:fill="4F81BD" w:themeFill="accent1"/>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4F81BD" w:themeColor="accent1" w:sz="32" w:space="0"/>
          <w:right w:val="single" w:color="FFFFFF" w:themeColor="light1" w:sz="4" w:space="0"/>
        </w:tcBorders>
      </w:tcPr>
    </w:tblStylePr>
    <w:tblStylePr w:type="lastCol">
      <w:tcPr>
        <w:tcBorders>
          <w:left w:val="single" w:color="FFFFFF" w:themeColor="light1" w:sz="4" w:space="0"/>
          <w:right w:val="single" w:color="4F81BD" w:themeColor="accent1" w:sz="32" w:space="0"/>
        </w:tcBorders>
      </w:tcPr>
    </w:tblStylePr>
    <w:tblStylePr w:type="band1Vert">
      <w:tcPr>
        <w:tcBorders>
          <w:left w:val="single" w:color="FFFFFF" w:themeColor="light1" w:sz="4" w:space="0"/>
          <w:right w:val="single" w:color="FFFFFF" w:themeColor="light1" w:sz="4" w:space="0"/>
        </w:tcBorders>
        <w:shd w:val="clear" w:color="4F81BD" w:themeColor="accent1" w:fill="4F81BD" w:themeFill="accent1"/>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4F81BD" w:themeColor="accent1" w:fill="4F81BD" w:themeFill="accent1"/>
      </w:tcPr>
    </w:tblStylePr>
    <w:tblStylePr w:type="band2Horz">
      <w:tcPr>
        <w:tcBorders>
          <w:top w:val="single" w:color="FFFFFF" w:themeColor="light1" w:sz="4" w:space="0"/>
          <w:bottom w:val="single" w:color="FFFFFF" w:themeColor="light1" w:sz="4" w:space="0"/>
        </w:tcBorders>
        <w:shd w:val="clear" w:color="4F81BD" w:themeColor="accent1" w:fill="4F81BD" w:themeFill="accent1"/>
      </w:tcPr>
    </w:tblStylePr>
    <w:tblStylePr w:type="neCell"/>
    <w:tblStylePr w:type="nwCell"/>
    <w:tblStylePr w:type="seCell"/>
    <w:tblStylePr w:type="swCell"/>
  </w:style>
  <w:style w:type="table" w:customStyle="1" w:styleId="159">
    <w:name w:val="List Table 5 Dark - Accent 2"/>
    <w:basedOn w:val="56"/>
    <w:qFormat/>
    <w:uiPriority w:val="99"/>
    <w:pPr>
      <w:spacing w:after="0" w:line="240" w:lineRule="auto"/>
    </w:pPr>
    <w:tblPr>
      <w:tblBorders>
        <w:top w:val="single" w:color="D99795" w:themeColor="accent2" w:themeTint="97" w:sz="32" w:space="0"/>
        <w:left w:val="single" w:color="D99795" w:themeColor="accent2" w:themeTint="97" w:sz="32" w:space="0"/>
        <w:bottom w:val="single" w:color="D99795" w:themeColor="accent2" w:themeTint="97" w:sz="32" w:space="0"/>
        <w:right w:val="single" w:color="D99795" w:themeColor="accent2" w:themeTint="97" w:sz="32" w:space="0"/>
      </w:tblBorders>
    </w:tblPr>
    <w:tblStylePr w:type="firstRow">
      <w:rPr>
        <w:rFonts w:ascii="Arial" w:hAnsi="Arial"/>
        <w:b/>
        <w:color w:val="FFFFFF" w:themeColor="light1"/>
        <w:sz w:val="22"/>
        <w14:textFill>
          <w14:solidFill>
            <w14:schemeClr w14:val="lt1"/>
          </w14:solidFill>
        </w14:textFill>
      </w:rPr>
      <w:tcPr>
        <w:tcBorders>
          <w:top w:val="single" w:color="D99795" w:themeColor="accent2" w:themeTint="97" w:sz="32" w:space="0"/>
          <w:bottom w:val="single" w:color="FFFFFF" w:themeColor="light1" w:sz="12" w:space="0"/>
        </w:tcBorders>
        <w:shd w:val="clear" w:color="D99795" w:themeColor="accent2" w:themeTint="97" w:fill="D99795" w:themeFill="accent2" w:themeFillTint="97"/>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D99795" w:themeColor="accent2" w:themeTint="97" w:sz="32" w:space="0"/>
          <w:right w:val="single" w:color="FFFFFF" w:themeColor="light1" w:sz="4" w:space="0"/>
        </w:tcBorders>
      </w:tcPr>
    </w:tblStylePr>
    <w:tblStylePr w:type="lastCol">
      <w:tcPr>
        <w:tcBorders>
          <w:left w:val="single" w:color="FFFFFF" w:themeColor="light1" w:sz="4" w:space="0"/>
          <w:right w:val="single" w:color="D99795" w:themeColor="accent2" w:themeTint="97" w:sz="32" w:space="0"/>
        </w:tcBorders>
      </w:tcPr>
    </w:tblStylePr>
    <w:tblStylePr w:type="band1Vert">
      <w:tcPr>
        <w:tcBorders>
          <w:left w:val="single" w:color="FFFFFF" w:themeColor="light1" w:sz="4" w:space="0"/>
          <w:right w:val="single" w:color="FFFFFF" w:themeColor="light1" w:sz="4" w:space="0"/>
        </w:tcBorders>
        <w:shd w:val="clear" w:color="D99795" w:themeColor="accent2" w:themeTint="97" w:fill="D99795" w:themeFill="accent2" w:themeFillTint="97"/>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band2Horz">
      <w:tcPr>
        <w:tcBorders>
          <w:top w:val="single" w:color="FFFFFF" w:themeColor="light1" w:sz="4" w:space="0"/>
          <w:bottom w:val="single" w:color="FFFFFF" w:themeColor="light1" w:sz="4" w:space="0"/>
        </w:tcBorders>
        <w:shd w:val="clear" w:color="D99795" w:themeColor="accent2" w:themeTint="97" w:fill="D99795" w:themeFill="accent2" w:themeFillTint="97"/>
      </w:tcPr>
    </w:tblStylePr>
    <w:tblStylePr w:type="neCell"/>
    <w:tblStylePr w:type="nwCell"/>
    <w:tblStylePr w:type="seCell"/>
    <w:tblStylePr w:type="swCell"/>
  </w:style>
  <w:style w:type="table" w:customStyle="1" w:styleId="160">
    <w:name w:val="List Table 5 Dark - Accent 3"/>
    <w:basedOn w:val="56"/>
    <w:qFormat/>
    <w:uiPriority w:val="99"/>
    <w:pPr>
      <w:spacing w:after="0" w:line="240" w:lineRule="auto"/>
    </w:pPr>
    <w:tblPr>
      <w:tblBorders>
        <w:top w:val="single" w:color="C3D69C" w:themeColor="accent3" w:themeTint="98" w:sz="32" w:space="0"/>
        <w:left w:val="single" w:color="C3D69C" w:themeColor="accent3" w:themeTint="98" w:sz="32" w:space="0"/>
        <w:bottom w:val="single" w:color="C3D69C" w:themeColor="accent3" w:themeTint="98" w:sz="32" w:space="0"/>
        <w:right w:val="single" w:color="C3D69C" w:themeColor="accent3" w:themeTint="98" w:sz="32" w:space="0"/>
      </w:tblBorders>
    </w:tblPr>
    <w:tblStylePr w:type="firstRow">
      <w:rPr>
        <w:rFonts w:ascii="Arial" w:hAnsi="Arial"/>
        <w:b/>
        <w:color w:val="FFFFFF" w:themeColor="light1"/>
        <w:sz w:val="22"/>
        <w14:textFill>
          <w14:solidFill>
            <w14:schemeClr w14:val="lt1"/>
          </w14:solidFill>
        </w14:textFill>
      </w:rPr>
      <w:tcPr>
        <w:tcBorders>
          <w:top w:val="single" w:color="C3D69C" w:themeColor="accent3" w:themeTint="98" w:sz="32" w:space="0"/>
          <w:bottom w:val="single" w:color="FFFFFF" w:themeColor="light1" w:sz="12" w:space="0"/>
        </w:tcBorders>
        <w:shd w:val="clear" w:color="C3D69C" w:themeColor="accent3" w:themeTint="98" w:fill="C3D69C" w:themeFill="accent3"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C3D69C" w:themeColor="accent3" w:themeTint="98" w:sz="32" w:space="0"/>
          <w:right w:val="single" w:color="FFFFFF" w:themeColor="light1" w:sz="4" w:space="0"/>
        </w:tcBorders>
      </w:tcPr>
    </w:tblStylePr>
    <w:tblStylePr w:type="lastCol">
      <w:tcPr>
        <w:tcBorders>
          <w:left w:val="single" w:color="FFFFFF" w:themeColor="light1" w:sz="4" w:space="0"/>
          <w:right w:val="single" w:color="C3D69C" w:themeColor="accent3" w:themeTint="98" w:sz="32" w:space="0"/>
        </w:tcBorders>
      </w:tcPr>
    </w:tblStylePr>
    <w:tblStylePr w:type="band1Vert">
      <w:tcPr>
        <w:tcBorders>
          <w:left w:val="single" w:color="FFFFFF" w:themeColor="light1" w:sz="4" w:space="0"/>
          <w:right w:val="single" w:color="FFFFFF" w:themeColor="light1" w:sz="4" w:space="0"/>
        </w:tcBorders>
        <w:shd w:val="clear" w:color="C3D69C" w:themeColor="accent3" w:themeTint="98" w:fill="C3D69C" w:themeFill="accent3"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band2Horz">
      <w:tcPr>
        <w:tcBorders>
          <w:top w:val="single" w:color="FFFFFF" w:themeColor="light1" w:sz="4" w:space="0"/>
          <w:bottom w:val="single" w:color="FFFFFF" w:themeColor="light1" w:sz="4" w:space="0"/>
        </w:tcBorders>
        <w:shd w:val="clear" w:color="C3D69C" w:themeColor="accent3" w:themeTint="98" w:fill="C3D69C" w:themeFill="accent3" w:themeFillTint="98"/>
      </w:tcPr>
    </w:tblStylePr>
    <w:tblStylePr w:type="neCell"/>
    <w:tblStylePr w:type="nwCell"/>
    <w:tblStylePr w:type="seCell"/>
    <w:tblStylePr w:type="swCell"/>
  </w:style>
  <w:style w:type="table" w:customStyle="1" w:styleId="161">
    <w:name w:val="List Table 5 Dark - Accent 4"/>
    <w:basedOn w:val="56"/>
    <w:qFormat/>
    <w:uiPriority w:val="99"/>
    <w:pPr>
      <w:spacing w:after="0" w:line="240" w:lineRule="auto"/>
    </w:pPr>
    <w:tblPr>
      <w:tblBorders>
        <w:top w:val="single" w:color="B2A1C6" w:themeColor="accent4" w:themeTint="9A" w:sz="32" w:space="0"/>
        <w:left w:val="single" w:color="B2A1C6" w:themeColor="accent4" w:themeTint="9A" w:sz="32" w:space="0"/>
        <w:bottom w:val="single" w:color="B2A1C6" w:themeColor="accent4" w:themeTint="9A" w:sz="32" w:space="0"/>
        <w:right w:val="single" w:color="B2A1C6" w:themeColor="accent4" w:themeTint="9A" w:sz="32" w:space="0"/>
      </w:tblBorders>
    </w:tblPr>
    <w:tblStylePr w:type="firstRow">
      <w:rPr>
        <w:rFonts w:ascii="Arial" w:hAnsi="Arial"/>
        <w:b/>
        <w:color w:val="FFFFFF" w:themeColor="light1"/>
        <w:sz w:val="22"/>
        <w14:textFill>
          <w14:solidFill>
            <w14:schemeClr w14:val="lt1"/>
          </w14:solidFill>
        </w14:textFill>
      </w:rPr>
      <w:tcPr>
        <w:tcBorders>
          <w:top w:val="single" w:color="B2A1C6" w:themeColor="accent4" w:themeTint="9A" w:sz="32" w:space="0"/>
          <w:bottom w:val="single" w:color="FFFFFF" w:themeColor="light1" w:sz="12" w:space="0"/>
        </w:tcBorders>
        <w:shd w:val="clear" w:color="B2A1C6" w:themeColor="accent4" w:themeTint="9A" w:fill="B2A1C6" w:themeFill="accent4"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B2A1C6" w:themeColor="accent4" w:themeTint="9A" w:sz="32" w:space="0"/>
          <w:right w:val="single" w:color="FFFFFF" w:themeColor="light1" w:sz="4" w:space="0"/>
        </w:tcBorders>
      </w:tcPr>
    </w:tblStylePr>
    <w:tblStylePr w:type="lastCol">
      <w:tcPr>
        <w:tcBorders>
          <w:left w:val="single" w:color="FFFFFF" w:themeColor="light1" w:sz="4" w:space="0"/>
          <w:right w:val="single" w:color="B2A1C6" w:themeColor="accent4" w:themeTint="9A" w:sz="32" w:space="0"/>
        </w:tcBorders>
      </w:tcPr>
    </w:tblStylePr>
    <w:tblStylePr w:type="band1Vert">
      <w:tcPr>
        <w:tcBorders>
          <w:left w:val="single" w:color="FFFFFF" w:themeColor="light1" w:sz="4" w:space="0"/>
          <w:right w:val="single" w:color="FFFFFF" w:themeColor="light1" w:sz="4" w:space="0"/>
        </w:tcBorders>
        <w:shd w:val="clear" w:color="B2A1C6" w:themeColor="accent4" w:themeTint="9A" w:fill="B2A1C6" w:themeFill="accent4"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band2Horz">
      <w:tcPr>
        <w:tcBorders>
          <w:top w:val="single" w:color="FFFFFF" w:themeColor="light1" w:sz="4" w:space="0"/>
          <w:bottom w:val="single" w:color="FFFFFF" w:themeColor="light1" w:sz="4" w:space="0"/>
        </w:tcBorders>
        <w:shd w:val="clear" w:color="B2A1C6" w:themeColor="accent4" w:themeTint="9A" w:fill="B2A1C6" w:themeFill="accent4" w:themeFillTint="9A"/>
      </w:tcPr>
    </w:tblStylePr>
    <w:tblStylePr w:type="neCell"/>
    <w:tblStylePr w:type="nwCell"/>
    <w:tblStylePr w:type="seCell"/>
    <w:tblStylePr w:type="swCell"/>
  </w:style>
  <w:style w:type="table" w:customStyle="1" w:styleId="162">
    <w:name w:val="List Table 5 Dark - Accent 5"/>
    <w:basedOn w:val="56"/>
    <w:uiPriority w:val="99"/>
    <w:pPr>
      <w:spacing w:after="0" w:line="240" w:lineRule="auto"/>
    </w:pPr>
    <w:tblPr>
      <w:tblBorders>
        <w:top w:val="single" w:color="92CCDC" w:themeColor="accent5" w:themeTint="9A" w:sz="32" w:space="0"/>
        <w:left w:val="single" w:color="92CCDC" w:themeColor="accent5" w:themeTint="9A" w:sz="32" w:space="0"/>
        <w:bottom w:val="single" w:color="92CCDC" w:themeColor="accent5" w:themeTint="9A" w:sz="32" w:space="0"/>
        <w:right w:val="single" w:color="92CCDC" w:themeColor="accent5" w:themeTint="9A" w:sz="32" w:space="0"/>
      </w:tblBorders>
    </w:tblPr>
    <w:tblStylePr w:type="firstRow">
      <w:rPr>
        <w:rFonts w:ascii="Arial" w:hAnsi="Arial"/>
        <w:b/>
        <w:color w:val="FFFFFF" w:themeColor="light1"/>
        <w:sz w:val="22"/>
        <w14:textFill>
          <w14:solidFill>
            <w14:schemeClr w14:val="lt1"/>
          </w14:solidFill>
        </w14:textFill>
      </w:rPr>
      <w:tcPr>
        <w:tcBorders>
          <w:top w:val="single" w:color="92CCDC" w:themeColor="accent5" w:themeTint="9A" w:sz="32" w:space="0"/>
          <w:bottom w:val="single" w:color="FFFFFF" w:themeColor="light1" w:sz="12" w:space="0"/>
        </w:tcBorders>
        <w:shd w:val="clear" w:color="92CCDC" w:themeColor="accent5" w:themeTint="9A" w:fill="92CCDC" w:themeFill="accent5" w:themeFillTint="9A"/>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92CCDC" w:themeColor="accent5" w:themeTint="9A" w:sz="32" w:space="0"/>
          <w:right w:val="single" w:color="FFFFFF" w:themeColor="light1" w:sz="4" w:space="0"/>
        </w:tcBorders>
      </w:tcPr>
    </w:tblStylePr>
    <w:tblStylePr w:type="lastCol">
      <w:tcPr>
        <w:tcBorders>
          <w:left w:val="single" w:color="FFFFFF" w:themeColor="light1" w:sz="4" w:space="0"/>
          <w:right w:val="single" w:color="92CCDC" w:themeColor="accent5" w:themeTint="9A" w:sz="32" w:space="0"/>
        </w:tcBorders>
      </w:tcPr>
    </w:tblStylePr>
    <w:tblStylePr w:type="band1Vert">
      <w:tcPr>
        <w:tcBorders>
          <w:left w:val="single" w:color="FFFFFF" w:themeColor="light1" w:sz="4" w:space="0"/>
          <w:right w:val="single" w:color="FFFFFF" w:themeColor="light1" w:sz="4" w:space="0"/>
        </w:tcBorders>
        <w:shd w:val="clear" w:color="92CCDC" w:themeColor="accent5" w:themeTint="9A" w:fill="92CCDC" w:themeFill="accent5" w:themeFillTint="9A"/>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band2Horz">
      <w:tcPr>
        <w:tcBorders>
          <w:top w:val="single" w:color="FFFFFF" w:themeColor="light1" w:sz="4" w:space="0"/>
          <w:bottom w:val="single" w:color="FFFFFF" w:themeColor="light1" w:sz="4" w:space="0"/>
        </w:tcBorders>
        <w:shd w:val="clear" w:color="92CCDC" w:themeColor="accent5" w:themeTint="9A" w:fill="92CCDC" w:themeFill="accent5" w:themeFillTint="9A"/>
      </w:tcPr>
    </w:tblStylePr>
    <w:tblStylePr w:type="neCell"/>
    <w:tblStylePr w:type="nwCell"/>
    <w:tblStylePr w:type="seCell"/>
    <w:tblStylePr w:type="swCell"/>
  </w:style>
  <w:style w:type="table" w:customStyle="1" w:styleId="163">
    <w:name w:val="List Table 5 Dark - Accent 6"/>
    <w:basedOn w:val="56"/>
    <w:qFormat/>
    <w:uiPriority w:val="99"/>
    <w:pPr>
      <w:spacing w:after="0" w:line="240" w:lineRule="auto"/>
    </w:pPr>
    <w:tblPr>
      <w:tblBorders>
        <w:top w:val="single" w:color="FAC090" w:themeColor="accent6" w:themeTint="98" w:sz="32" w:space="0"/>
        <w:left w:val="single" w:color="FAC090" w:themeColor="accent6" w:themeTint="98" w:sz="32" w:space="0"/>
        <w:bottom w:val="single" w:color="FAC090" w:themeColor="accent6" w:themeTint="98" w:sz="32" w:space="0"/>
        <w:right w:val="single" w:color="FAC090" w:themeColor="accent6" w:themeTint="98" w:sz="32" w:space="0"/>
      </w:tblBorders>
    </w:tblPr>
    <w:tblStylePr w:type="firstRow">
      <w:rPr>
        <w:rFonts w:ascii="Arial" w:hAnsi="Arial"/>
        <w:b/>
        <w:color w:val="FFFFFF" w:themeColor="light1"/>
        <w:sz w:val="22"/>
        <w14:textFill>
          <w14:solidFill>
            <w14:schemeClr w14:val="lt1"/>
          </w14:solidFill>
        </w14:textFill>
      </w:rPr>
      <w:tcPr>
        <w:tcBorders>
          <w:top w:val="single" w:color="FAC090" w:themeColor="accent6" w:themeTint="98" w:sz="32" w:space="0"/>
          <w:bottom w:val="single" w:color="FFFFFF" w:themeColor="light1" w:sz="12" w:space="0"/>
        </w:tcBorders>
        <w:shd w:val="clear" w:color="FAC090" w:themeColor="accent6" w:themeTint="98" w:fill="FAC090" w:themeFill="accent6" w:themeFillTint="98"/>
      </w:tcPr>
    </w:tblStylePr>
    <w:tblStylePr w:type="lastRow">
      <w:rPr>
        <w:rFonts w:ascii="Arial" w:hAnsi="Arial"/>
        <w:b/>
        <w:color w:val="FFFFFF" w:themeColor="light1"/>
        <w:sz w:val="22"/>
        <w14:textFill>
          <w14:solidFill>
            <w14:schemeClr w14:val="lt1"/>
          </w14:solidFill>
        </w14:textFill>
      </w:rPr>
    </w:tblStylePr>
    <w:tblStylePr w:type="firstCol">
      <w:rPr>
        <w:rFonts w:ascii="Arial" w:hAnsi="Arial"/>
        <w:b/>
        <w:color w:val="FFFFFF" w:themeColor="light1"/>
        <w:sz w:val="22"/>
        <w14:textFill>
          <w14:solidFill>
            <w14:schemeClr w14:val="lt1"/>
          </w14:solidFill>
        </w14:textFill>
      </w:rPr>
      <w:tcPr>
        <w:tcBorders>
          <w:left w:val="single" w:color="FAC090" w:themeColor="accent6" w:themeTint="98" w:sz="32" w:space="0"/>
          <w:right w:val="single" w:color="FFFFFF" w:themeColor="light1" w:sz="4" w:space="0"/>
        </w:tcBorders>
      </w:tcPr>
    </w:tblStylePr>
    <w:tblStylePr w:type="lastCol">
      <w:tcPr>
        <w:tcBorders>
          <w:left w:val="single" w:color="FFFFFF" w:themeColor="light1" w:sz="4" w:space="0"/>
          <w:right w:val="single" w:color="FAC090" w:themeColor="accent6" w:themeTint="98" w:sz="32" w:space="0"/>
        </w:tcBorders>
      </w:tcPr>
    </w:tblStylePr>
    <w:tblStylePr w:type="band1Vert">
      <w:tcPr>
        <w:tcBorders>
          <w:left w:val="single" w:color="FFFFFF" w:themeColor="light1" w:sz="4" w:space="0"/>
          <w:right w:val="single" w:color="FFFFFF" w:themeColor="light1" w:sz="4" w:space="0"/>
        </w:tcBorders>
        <w:shd w:val="clear" w:color="FAC090" w:themeColor="accent6" w:themeTint="98" w:fill="FAC090" w:themeFill="accent6" w:themeFillTint="98"/>
      </w:tcPr>
    </w:tblStylePr>
    <w:tblStylePr w:type="band2Vert">
      <w:tcPr>
        <w:tcBorders>
          <w:left w:val="single" w:color="FFFFFF" w:themeColor="light1" w:sz="4" w:space="0"/>
          <w:right w:val="single" w:color="FFFFFF" w:themeColor="light1" w:sz="4" w:space="0"/>
        </w:tcBorders>
      </w:tcPr>
    </w:tblStylePr>
    <w:tblStylePr w:type="band1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band2Horz">
      <w:tcPr>
        <w:tcBorders>
          <w:top w:val="single" w:color="FFFFFF" w:themeColor="light1" w:sz="4" w:space="0"/>
          <w:bottom w:val="single" w:color="FFFFFF" w:themeColor="light1" w:sz="4" w:space="0"/>
        </w:tcBorders>
        <w:shd w:val="clear" w:color="FAC090" w:themeColor="accent6" w:themeTint="98" w:fill="FAC090" w:themeFill="accent6" w:themeFillTint="98"/>
      </w:tcPr>
    </w:tblStylePr>
    <w:tblStylePr w:type="neCell"/>
    <w:tblStylePr w:type="nwCell"/>
    <w:tblStylePr w:type="seCell"/>
    <w:tblStylePr w:type="swCell"/>
  </w:style>
  <w:style w:type="table" w:customStyle="1" w:styleId="164">
    <w:name w:val="List Table 6 Colorful"/>
    <w:basedOn w:val="56"/>
    <w:uiPriority w:val="99"/>
    <w:pPr>
      <w:spacing w:after="0" w:line="240" w:lineRule="auto"/>
    </w:pPr>
    <w:tblPr>
      <w:tblBorders>
        <w:top w:val="single" w:color="7E7E7E" w:themeColor="text1" w:themeTint="80" w:sz="4" w:space="0"/>
        <w:bottom w:val="single" w:color="7E7E7E" w:themeColor="text1" w:themeTint="80" w:sz="4" w:space="0"/>
      </w:tblBorders>
    </w:tblPr>
    <w:tblStylePr w:type="firstRow">
      <w:rPr>
        <w:b/>
        <w:color w:val="000000" w:themeColor="text1"/>
        <w14:textFill>
          <w14:solidFill>
            <w14:schemeClr w14:val="tx1"/>
          </w14:solidFill>
        </w14:textFill>
      </w:rPr>
      <w:tcPr>
        <w:tcBorders>
          <w:bottom w:val="single" w:color="7E7E7E" w:themeColor="text1" w:themeTint="80" w:sz="4" w:space="0"/>
        </w:tcBorders>
      </w:tcPr>
    </w:tblStylePr>
    <w:tblStylePr w:type="lastRow">
      <w:rPr>
        <w:b/>
        <w:color w:val="000000" w:themeColor="text1"/>
        <w14:textFill>
          <w14:solidFill>
            <w14:schemeClr w14:val="tx1"/>
          </w14:solidFill>
        </w14:textFill>
      </w:rPr>
      <w:tcPr>
        <w:tcBorders>
          <w:top w:val="single" w:color="7E7E7E" w:themeColor="text1" w:themeTint="80" w:sz="4" w:space="0"/>
        </w:tcBorders>
      </w:tcPr>
    </w:tblStylePr>
    <w:tblStylePr w:type="firstCol">
      <w:rPr>
        <w:b/>
        <w:color w:val="000000" w:themeColor="text1"/>
        <w14:textFill>
          <w14:solidFill>
            <w14:schemeClr w14:val="tx1"/>
          </w14:solidFill>
        </w14:textFill>
      </w:rPr>
    </w:tblStylePr>
    <w:tblStylePr w:type="lastCol">
      <w:rPr>
        <w:b/>
        <w:color w:val="000000" w:themeColor="text1"/>
        <w14:textFill>
          <w14:solidFill>
            <w14:schemeClr w14:val="tx1"/>
          </w14:solidFill>
        </w14:textFill>
      </w:rPr>
    </w:tblStylePr>
    <w:tblStylePr w:type="band1Vert">
      <w:tcPr>
        <w:shd w:val="clear" w:color="BEBEBE" w:themeColor="text1" w:themeTint="40" w:fill="BEBEBE" w:themeFill="text1" w:themeFillTint="40"/>
      </w:tcPr>
    </w:tblStylePr>
    <w:tblStylePr w:type="band2Vert"/>
    <w:tblStylePr w:type="band1Horz">
      <w:rPr>
        <w:rFonts w:ascii="Arial" w:hAnsi="Arial"/>
        <w:color w:val="000000" w:themeColor="text1"/>
        <w:sz w:val="22"/>
        <w14:textFill>
          <w14:solidFill>
            <w14:schemeClr w14:val="tx1"/>
          </w14:solidFill>
        </w14:textFill>
      </w:rPr>
      <w:tcPr>
        <w:shd w:val="clear" w:color="BEBEBE" w:themeColor="text1" w:themeTint="40" w:fill="BEBEBE" w:themeFill="text1" w:themeFillTint="40"/>
      </w:tcPr>
    </w:tblStylePr>
    <w:tblStylePr w:type="band2Horz">
      <w:rPr>
        <w:rFonts w:ascii="Arial" w:hAnsi="Arial"/>
        <w:color w:val="000000" w:themeColor="text1"/>
        <w:sz w:val="22"/>
        <w14:textFill>
          <w14:solidFill>
            <w14:schemeClr w14:val="tx1"/>
          </w14:solidFill>
        </w14:textFill>
      </w:rPr>
    </w:tblStylePr>
    <w:tblStylePr w:type="neCell"/>
    <w:tblStylePr w:type="nwCell"/>
    <w:tblStylePr w:type="seCell"/>
    <w:tblStylePr w:type="swCell"/>
  </w:style>
  <w:style w:type="table" w:customStyle="1" w:styleId="165">
    <w:name w:val="List Table 6 Colorful - Accent 1"/>
    <w:basedOn w:val="56"/>
    <w:qFormat/>
    <w:uiPriority w:val="99"/>
    <w:pPr>
      <w:spacing w:after="0" w:line="240" w:lineRule="auto"/>
    </w:pPr>
    <w:tblPr>
      <w:tblBorders>
        <w:top w:val="single" w:color="4F81BD" w:themeColor="accent1" w:sz="4" w:space="0"/>
        <w:bottom w:val="single" w:color="4F81BD" w:themeColor="accent1" w:sz="4" w:space="0"/>
      </w:tblBorders>
    </w:tblPr>
    <w:tblStylePr w:type="firstRow">
      <w:rPr>
        <w:b/>
        <w:color w:val="2A4B71" w:themeColor="accent1" w:themeShade="94"/>
      </w:rPr>
      <w:tcPr>
        <w:tcBorders>
          <w:bottom w:val="single" w:color="4F81BD" w:themeColor="accent1" w:sz="4" w:space="0"/>
        </w:tcBorders>
      </w:tcPr>
    </w:tblStylePr>
    <w:tblStylePr w:type="lastRow">
      <w:rPr>
        <w:b/>
        <w:color w:val="2A4B71" w:themeColor="accent1" w:themeShade="94"/>
      </w:rPr>
      <w:tcPr>
        <w:tcBorders>
          <w:top w:val="single" w:color="4F81BD" w:themeColor="accent1" w:sz="4" w:space="0"/>
        </w:tcBorders>
      </w:tcPr>
    </w:tblStylePr>
    <w:tblStylePr w:type="firstCol">
      <w:rPr>
        <w:b/>
        <w:color w:val="2A4B71" w:themeColor="accent1" w:themeShade="94"/>
      </w:rPr>
    </w:tblStylePr>
    <w:tblStylePr w:type="lastCol">
      <w:rPr>
        <w:b/>
        <w:color w:val="2A4B71" w:themeColor="accent1" w:themeShade="94"/>
      </w:r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66">
    <w:name w:val="List Table 6 Colorful - Accent 2"/>
    <w:basedOn w:val="56"/>
    <w:qFormat/>
    <w:uiPriority w:val="99"/>
    <w:pPr>
      <w:spacing w:after="0" w:line="240" w:lineRule="auto"/>
    </w:pPr>
    <w:tblPr>
      <w:tblBorders>
        <w:top w:val="single" w:color="D99795" w:themeColor="accent2" w:themeTint="97" w:sz="4" w:space="0"/>
        <w:bottom w:val="single" w:color="D99795" w:themeColor="accent2" w:themeTint="97" w:sz="4" w:space="0"/>
      </w:tblBorders>
    </w:tblPr>
    <w:tblStylePr w:type="firstRow">
      <w:rPr>
        <w:b/>
        <w:color w:val="DA9896" w:themeColor="accent2" w:themeTint="96"/>
        <w14:textFill>
          <w14:solidFill>
            <w14:schemeClr w14:val="accent2">
              <w14:lumMod w14:val="59000"/>
              <w14:lumOff w14:val="41000"/>
            </w14:schemeClr>
          </w14:solidFill>
        </w14:textFill>
      </w:rPr>
      <w:tcPr>
        <w:tcBorders>
          <w:bottom w:val="single" w:color="D99795" w:themeColor="accent2" w:themeTint="97" w:sz="4" w:space="0"/>
        </w:tcBorders>
      </w:tcPr>
    </w:tblStylePr>
    <w:tblStylePr w:type="lastRow">
      <w:rPr>
        <w:b/>
        <w:color w:val="DA9896" w:themeColor="accent2" w:themeTint="96"/>
        <w14:textFill>
          <w14:solidFill>
            <w14:schemeClr w14:val="accent2">
              <w14:lumMod w14:val="59000"/>
              <w14:lumOff w14:val="41000"/>
            </w14:schemeClr>
          </w14:solidFill>
        </w14:textFill>
      </w:rPr>
      <w:tcPr>
        <w:tcBorders>
          <w:top w:val="single" w:color="D99795" w:themeColor="accent2" w:themeTint="97" w:sz="4" w:space="0"/>
        </w:tcBorders>
      </w:tcPr>
    </w:tblStylePr>
    <w:tblStylePr w:type="firstCol">
      <w:rPr>
        <w:b/>
        <w:color w:val="DA9896" w:themeColor="accent2" w:themeTint="96"/>
        <w14:textFill>
          <w14:solidFill>
            <w14:schemeClr w14:val="accent2">
              <w14:lumMod w14:val="59000"/>
              <w14:lumOff w14:val="41000"/>
            </w14:schemeClr>
          </w14:solidFill>
        </w14:textFill>
      </w:rPr>
    </w:tblStylePr>
    <w:tblStylePr w:type="lastCol">
      <w:rPr>
        <w:b/>
        <w:color w:val="DA9896" w:themeColor="accent2" w:themeTint="96"/>
        <w14:textFill>
          <w14:solidFill>
            <w14:schemeClr w14:val="accent2">
              <w14:lumMod w14:val="59000"/>
              <w14:lumOff w14:val="41000"/>
            </w14:schemeClr>
          </w14:solidFill>
        </w14:textFill>
      </w:r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67">
    <w:name w:val="List Table 6 Colorful - Accent 3"/>
    <w:basedOn w:val="56"/>
    <w:uiPriority w:val="99"/>
    <w:pPr>
      <w:spacing w:after="0" w:line="240" w:lineRule="auto"/>
    </w:pPr>
    <w:tblPr>
      <w:tblBorders>
        <w:top w:val="single" w:color="C3D69C" w:themeColor="accent3" w:themeTint="98" w:sz="4" w:space="0"/>
        <w:bottom w:val="single" w:color="C3D69C" w:themeColor="accent3" w:themeTint="98" w:sz="4" w:space="0"/>
      </w:tblBorders>
    </w:tblPr>
    <w:tblStylePr w:type="firstRow">
      <w:rPr>
        <w:b/>
        <w:color w:val="C3D69B" w:themeColor="accent3" w:themeTint="99"/>
        <w14:textFill>
          <w14:solidFill>
            <w14:schemeClr w14:val="accent3">
              <w14:lumMod w14:val="60000"/>
              <w14:lumOff w14:val="40000"/>
            </w14:schemeClr>
          </w14:solidFill>
        </w14:textFill>
      </w:rPr>
      <w:tcPr>
        <w:tcBorders>
          <w:bottom w:val="single" w:color="C3D69C" w:themeColor="accent3" w:themeTint="98" w:sz="4" w:space="0"/>
        </w:tcBorders>
      </w:tcPr>
    </w:tblStylePr>
    <w:tblStylePr w:type="lastRow">
      <w:rPr>
        <w:b/>
        <w:color w:val="C3D69B" w:themeColor="accent3" w:themeTint="99"/>
        <w14:textFill>
          <w14:solidFill>
            <w14:schemeClr w14:val="accent3">
              <w14:lumMod w14:val="60000"/>
              <w14:lumOff w14:val="40000"/>
            </w14:schemeClr>
          </w14:solidFill>
        </w14:textFill>
      </w:rPr>
      <w:tcPr>
        <w:tcBorders>
          <w:top w:val="single" w:color="C3D69C" w:themeColor="accent3" w:themeTint="98" w:sz="4" w:space="0"/>
        </w:tcBorders>
      </w:tcPr>
    </w:tblStylePr>
    <w:tblStylePr w:type="firstCol">
      <w:rPr>
        <w:b/>
        <w:color w:val="C3D69B" w:themeColor="accent3" w:themeTint="99"/>
        <w14:textFill>
          <w14:solidFill>
            <w14:schemeClr w14:val="accent3">
              <w14:lumMod w14:val="60000"/>
              <w14:lumOff w14:val="40000"/>
            </w14:schemeClr>
          </w14:solidFill>
        </w14:textFill>
      </w:rPr>
    </w:tblStylePr>
    <w:tblStylePr w:type="lastCol">
      <w:rPr>
        <w:b/>
        <w:color w:val="C3D69B" w:themeColor="accent3" w:themeTint="99"/>
        <w14:textFill>
          <w14:solidFill>
            <w14:schemeClr w14:val="accent3">
              <w14:lumMod w14:val="60000"/>
              <w14:lumOff w14:val="40000"/>
            </w14:schemeClr>
          </w14:solidFill>
        </w14:textFill>
      </w:r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68">
    <w:name w:val="List Table 6 Colorful - Accent 4"/>
    <w:basedOn w:val="56"/>
    <w:qFormat/>
    <w:uiPriority w:val="99"/>
    <w:pPr>
      <w:spacing w:after="0" w:line="240" w:lineRule="auto"/>
    </w:pPr>
    <w:tblPr>
      <w:tblBorders>
        <w:top w:val="single" w:color="B2A1C6" w:themeColor="accent4" w:themeTint="9A" w:sz="4" w:space="0"/>
        <w:bottom w:val="single" w:color="B2A1C6" w:themeColor="accent4" w:themeTint="9A" w:sz="4" w:space="0"/>
      </w:tblBorders>
    </w:tblPr>
    <w:tblStylePr w:type="firstRow">
      <w:rPr>
        <w:b/>
        <w:color w:val="B3A2C7" w:themeColor="accent4" w:themeTint="99"/>
        <w14:textFill>
          <w14:solidFill>
            <w14:schemeClr w14:val="accent4">
              <w14:lumMod w14:val="60000"/>
              <w14:lumOff w14:val="40000"/>
            </w14:schemeClr>
          </w14:solidFill>
        </w14:textFill>
      </w:rPr>
      <w:tcPr>
        <w:tcBorders>
          <w:bottom w:val="single" w:color="B2A1C6" w:themeColor="accent4" w:themeTint="9A" w:sz="4" w:space="0"/>
        </w:tcBorders>
      </w:tcPr>
    </w:tblStylePr>
    <w:tblStylePr w:type="lastRow">
      <w:rPr>
        <w:b/>
        <w:color w:val="B3A2C7" w:themeColor="accent4" w:themeTint="99"/>
        <w14:textFill>
          <w14:solidFill>
            <w14:schemeClr w14:val="accent4">
              <w14:lumMod w14:val="60000"/>
              <w14:lumOff w14:val="40000"/>
            </w14:schemeClr>
          </w14:solidFill>
        </w14:textFill>
      </w:rPr>
      <w:tcPr>
        <w:tcBorders>
          <w:top w:val="single" w:color="B2A1C6" w:themeColor="accent4" w:themeTint="9A" w:sz="4" w:space="0"/>
        </w:tcBorders>
      </w:tcPr>
    </w:tblStylePr>
    <w:tblStylePr w:type="firstCol">
      <w:rPr>
        <w:b/>
        <w:color w:val="B3A2C7" w:themeColor="accent4" w:themeTint="99"/>
        <w14:textFill>
          <w14:solidFill>
            <w14:schemeClr w14:val="accent4">
              <w14:lumMod w14:val="60000"/>
              <w14:lumOff w14:val="40000"/>
            </w14:schemeClr>
          </w14:solidFill>
        </w14:textFill>
      </w:rPr>
    </w:tblStylePr>
    <w:tblStylePr w:type="lastCol">
      <w:rPr>
        <w:b/>
        <w:color w:val="B3A2C7" w:themeColor="accent4" w:themeTint="99"/>
        <w14:textFill>
          <w14:solidFill>
            <w14:schemeClr w14:val="accent4">
              <w14:lumMod w14:val="60000"/>
              <w14:lumOff w14:val="40000"/>
            </w14:schemeClr>
          </w14:solidFill>
        </w14:textFill>
      </w:r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69">
    <w:name w:val="List Table 6 Colorful - Accent 5"/>
    <w:basedOn w:val="56"/>
    <w:qFormat/>
    <w:uiPriority w:val="99"/>
    <w:pPr>
      <w:spacing w:after="0" w:line="240" w:lineRule="auto"/>
    </w:pPr>
    <w:tblPr>
      <w:tblBorders>
        <w:top w:val="single" w:color="92CCDC" w:themeColor="accent5" w:themeTint="9A" w:sz="4" w:space="0"/>
        <w:bottom w:val="single" w:color="92CCDC" w:themeColor="accent5" w:themeTint="9A" w:sz="4" w:space="0"/>
      </w:tblBorders>
    </w:tblPr>
    <w:tblStylePr w:type="firstRow">
      <w:rPr>
        <w:b/>
        <w:color w:val="93CDDD" w:themeColor="accent5" w:themeTint="99"/>
        <w14:textFill>
          <w14:solidFill>
            <w14:schemeClr w14:val="accent5">
              <w14:lumMod w14:val="60000"/>
              <w14:lumOff w14:val="40000"/>
            </w14:schemeClr>
          </w14:solidFill>
        </w14:textFill>
      </w:rPr>
      <w:tcPr>
        <w:tcBorders>
          <w:bottom w:val="single" w:color="92CCDC" w:themeColor="accent5" w:themeTint="9A" w:sz="4" w:space="0"/>
        </w:tcBorders>
      </w:tcPr>
    </w:tblStylePr>
    <w:tblStylePr w:type="lastRow">
      <w:rPr>
        <w:b/>
        <w:color w:val="93CDDD" w:themeColor="accent5" w:themeTint="99"/>
        <w14:textFill>
          <w14:solidFill>
            <w14:schemeClr w14:val="accent5">
              <w14:lumMod w14:val="60000"/>
              <w14:lumOff w14:val="40000"/>
            </w14:schemeClr>
          </w14:solidFill>
        </w14:textFill>
      </w:rPr>
      <w:tcPr>
        <w:tcBorders>
          <w:top w:val="single" w:color="92CCDC" w:themeColor="accent5" w:themeTint="9A" w:sz="4" w:space="0"/>
        </w:tcBorders>
      </w:tcPr>
    </w:tblStylePr>
    <w:tblStylePr w:type="firstCol">
      <w:rPr>
        <w:b/>
        <w:color w:val="93CDDD" w:themeColor="accent5" w:themeTint="99"/>
        <w14:textFill>
          <w14:solidFill>
            <w14:schemeClr w14:val="accent5">
              <w14:lumMod w14:val="60000"/>
              <w14:lumOff w14:val="40000"/>
            </w14:schemeClr>
          </w14:solidFill>
        </w14:textFill>
      </w:rPr>
    </w:tblStylePr>
    <w:tblStylePr w:type="lastCol">
      <w:rPr>
        <w:b/>
        <w:color w:val="93CDDD" w:themeColor="accent5" w:themeTint="99"/>
        <w14:textFill>
          <w14:solidFill>
            <w14:schemeClr w14:val="accent5">
              <w14:lumMod w14:val="60000"/>
              <w14:lumOff w14:val="40000"/>
            </w14:schemeClr>
          </w14:solidFill>
        </w14:textFill>
      </w:r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0">
    <w:name w:val="List Table 6 Colorful - Accent 6"/>
    <w:basedOn w:val="56"/>
    <w:uiPriority w:val="99"/>
    <w:pPr>
      <w:spacing w:after="0" w:line="240" w:lineRule="auto"/>
    </w:pPr>
    <w:tblPr>
      <w:tblBorders>
        <w:top w:val="single" w:color="FAC090" w:themeColor="accent6" w:themeTint="98" w:sz="4" w:space="0"/>
        <w:bottom w:val="single" w:color="FAC090" w:themeColor="accent6" w:themeTint="98" w:sz="4" w:space="0"/>
      </w:tblBorders>
    </w:tblPr>
    <w:tblStylePr w:type="firstRow">
      <w:rPr>
        <w:b/>
        <w:color w:val="FAC090" w:themeColor="accent6" w:themeTint="99"/>
        <w14:textFill>
          <w14:solidFill>
            <w14:schemeClr w14:val="accent6">
              <w14:lumMod w14:val="60000"/>
              <w14:lumOff w14:val="40000"/>
            </w14:schemeClr>
          </w14:solidFill>
        </w14:textFill>
      </w:rPr>
      <w:tcPr>
        <w:tcBorders>
          <w:bottom w:val="single" w:color="FAC090" w:themeColor="accent6" w:themeTint="98" w:sz="4" w:space="0"/>
        </w:tcBorders>
      </w:tcPr>
    </w:tblStylePr>
    <w:tblStylePr w:type="lastRow">
      <w:rPr>
        <w:b/>
        <w:color w:val="FAC090" w:themeColor="accent6" w:themeTint="99"/>
        <w14:textFill>
          <w14:solidFill>
            <w14:schemeClr w14:val="accent6">
              <w14:lumMod w14:val="60000"/>
              <w14:lumOff w14:val="40000"/>
            </w14:schemeClr>
          </w14:solidFill>
        </w14:textFill>
      </w:rPr>
      <w:tcPr>
        <w:tcBorders>
          <w:top w:val="single" w:color="FAC090" w:themeColor="accent6" w:themeTint="98" w:sz="4" w:space="0"/>
        </w:tcBorders>
      </w:tcPr>
    </w:tblStylePr>
    <w:tblStylePr w:type="firstCol">
      <w:rPr>
        <w:b/>
        <w:color w:val="FAC090" w:themeColor="accent6" w:themeTint="99"/>
        <w14:textFill>
          <w14:solidFill>
            <w14:schemeClr w14:val="accent6">
              <w14:lumMod w14:val="60000"/>
              <w14:lumOff w14:val="40000"/>
            </w14:schemeClr>
          </w14:solidFill>
        </w14:textFill>
      </w:rPr>
    </w:tblStylePr>
    <w:tblStylePr w:type="lastCol">
      <w:rPr>
        <w:b/>
        <w:color w:val="FAC090" w:themeColor="accent6" w:themeTint="99"/>
        <w14:textFill>
          <w14:solidFill>
            <w14:schemeClr w14:val="accent6">
              <w14:lumMod w14:val="60000"/>
              <w14:lumOff w14:val="40000"/>
            </w14:schemeClr>
          </w14:solidFill>
        </w14:textFill>
      </w:r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1">
    <w:name w:val="List Table 7 Colorful"/>
    <w:basedOn w:val="56"/>
    <w:qFormat/>
    <w:uiPriority w:val="99"/>
    <w:pPr>
      <w:spacing w:after="0" w:line="240" w:lineRule="auto"/>
    </w:pPr>
    <w:tblPr>
      <w:tblBorders>
        <w:right w:val="single" w:color="7E7E7E" w:themeColor="text1" w:themeTint="80" w:sz="4" w:space="0"/>
      </w:tblBorders>
    </w:tblPr>
    <w:tblStylePr w:type="firstRow">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single" w:color="7E7E7E" w:themeColor="text1" w:themeTint="80" w:sz="4" w:space="0"/>
          <w:right w:val="nil"/>
        </w:tcBorders>
        <w:shd w:val="clear" w:color="FFFFFF" w:themeColor="light1" w:fill="FFFFFF" w:themeFill="light1"/>
      </w:tcPr>
    </w:tblStylePr>
    <w:tblStylePr w:type="lastRow">
      <w:rPr>
        <w:rFonts w:ascii="Arial" w:hAnsi="Arial"/>
        <w:i/>
        <w:color w:val="808080" w:themeColor="text1" w:themeTint="80"/>
        <w:sz w:val="22"/>
        <w14:textFill>
          <w14:solidFill>
            <w14:schemeClr w14:val="tx1">
              <w14:lumMod w14:val="50000"/>
              <w14:lumOff w14:val="50000"/>
            </w14:schemeClr>
          </w14:solidFill>
        </w14:textFill>
      </w:rPr>
      <w:tcPr>
        <w:tcBorders>
          <w:top w:val="single" w:color="7E7E7E" w:themeColor="text1" w:themeTint="80" w:sz="4" w:space="0"/>
          <w:left w:val="nil"/>
          <w:bottom w:val="nil"/>
          <w:right w:val="nil"/>
        </w:tcBorders>
        <w:shd w:val="clear" w:color="FFFFFF" w:themeColor="light1" w:fill="FFFFFF" w:themeFill="light1"/>
      </w:tcPr>
    </w:tblStylePr>
    <w:tblStylePr w:type="firstCol">
      <w:pPr>
        <w:jc w:val="right"/>
      </w:pPr>
      <w:rPr>
        <w:rFonts w:ascii="Arial" w:hAnsi="Arial"/>
        <w:i/>
        <w:color w:val="808080" w:themeColor="text1" w:themeTint="80"/>
        <w:sz w:val="22"/>
        <w14:textFill>
          <w14:solidFill>
            <w14:schemeClr w14:val="tx1">
              <w14:lumMod w14:val="50000"/>
              <w14:lumOff w14:val="50000"/>
            </w14:schemeClr>
          </w14:solidFill>
        </w14:textFill>
      </w:rPr>
      <w:tcPr>
        <w:tcBorders>
          <w:top w:val="nil"/>
          <w:left w:val="nil"/>
          <w:bottom w:val="nil"/>
          <w:right w:val="single" w:color="7E7E7E" w:themeColor="text1" w:themeTint="80" w:sz="4" w:space="0"/>
        </w:tcBorders>
        <w:shd w:val="clear" w:color="FFFFFF" w:fill="auto"/>
      </w:tcPr>
    </w:tblStylePr>
    <w:tblStylePr w:type="lastCol">
      <w:rPr>
        <w:rFonts w:ascii="Arial" w:hAnsi="Arial"/>
        <w:i/>
        <w:color w:val="808080" w:themeColor="text1" w:themeTint="80"/>
        <w:sz w:val="22"/>
        <w14:textFill>
          <w14:solidFill>
            <w14:schemeClr w14:val="tx1">
              <w14:lumMod w14:val="50000"/>
              <w14:lumOff w14:val="50000"/>
            </w14:schemeClr>
          </w14:solidFill>
        </w14:textFill>
      </w:rPr>
      <w:tcPr>
        <w:tcBorders>
          <w:top w:val="nil"/>
          <w:left w:val="single" w:color="7E7E7E" w:themeColor="text1" w:themeTint="80" w:sz="4" w:space="0"/>
          <w:bottom w:val="nil"/>
          <w:right w:val="nil"/>
        </w:tcBorders>
        <w:shd w:val="clear" w:color="FFFFFF" w:fill="auto"/>
      </w:tcPr>
    </w:tblStylePr>
    <w:tblStylePr w:type="band1Vert">
      <w:tcPr>
        <w:shd w:val="clear" w:color="BEBEBE" w:themeColor="text1" w:themeTint="40" w:fill="BEBEBE" w:themeFill="text1" w:themeFillTint="40"/>
      </w:tcPr>
    </w:tblStylePr>
    <w:tblStylePr w:type="band2Vert"/>
    <w:tblStylePr w:type="band1Horz">
      <w:rPr>
        <w:rFonts w:ascii="Arial" w:hAnsi="Arial"/>
        <w:color w:val="808080" w:themeColor="text1" w:themeTint="80"/>
        <w:sz w:val="22"/>
        <w14:textFill>
          <w14:solidFill>
            <w14:schemeClr w14:val="tx1">
              <w14:lumMod w14:val="50000"/>
              <w14:lumOff w14:val="50000"/>
            </w14:schemeClr>
          </w14:solidFill>
        </w14:textFill>
      </w:rPr>
      <w:tcPr>
        <w:shd w:val="clear" w:color="BEBEBE" w:themeColor="text1" w:themeTint="40" w:fill="BEBEBE" w:themeFill="text1" w:themeFillTint="40"/>
      </w:tcPr>
    </w:tblStylePr>
    <w:tblStylePr w:type="band2Horz">
      <w:rPr>
        <w:rFonts w:ascii="Arial" w:hAnsi="Arial"/>
        <w:color w:val="808080" w:themeColor="text1" w:themeTint="80"/>
        <w:sz w:val="22"/>
        <w14:textFill>
          <w14:solidFill>
            <w14:schemeClr w14:val="tx1">
              <w14:lumMod w14:val="50000"/>
              <w14:lumOff w14:val="50000"/>
            </w14:schemeClr>
          </w14:solidFill>
        </w14:textFill>
      </w:rPr>
    </w:tblStylePr>
    <w:tblStylePr w:type="neCell"/>
    <w:tblStylePr w:type="nwCell"/>
    <w:tblStylePr w:type="seCell"/>
    <w:tblStylePr w:type="swCell"/>
  </w:style>
  <w:style w:type="table" w:customStyle="1" w:styleId="172">
    <w:name w:val="List Table 7 Colorful - Accent 1"/>
    <w:basedOn w:val="56"/>
    <w:qFormat/>
    <w:uiPriority w:val="99"/>
    <w:pPr>
      <w:spacing w:after="0" w:line="240" w:lineRule="auto"/>
    </w:pPr>
    <w:tblPr>
      <w:tblBorders>
        <w:right w:val="single" w:color="4F81BD" w:themeColor="accent1" w:sz="4" w:space="0"/>
      </w:tblBorders>
    </w:tblPr>
    <w:tblStylePr w:type="firstRow">
      <w:rPr>
        <w:rFonts w:ascii="Arial" w:hAnsi="Arial"/>
        <w:i/>
        <w:color w:val="2A4B71" w:themeColor="accent1" w:themeShade="94"/>
        <w:sz w:val="22"/>
      </w:rPr>
      <w:tcPr>
        <w:tcBorders>
          <w:top w:val="nil"/>
          <w:left w:val="nil"/>
          <w:bottom w:val="single" w:color="4F81BD" w:themeColor="accent1" w:sz="4" w:space="0"/>
          <w:right w:val="nil"/>
        </w:tcBorders>
        <w:shd w:val="clear" w:color="FFFFFF" w:themeColor="light1" w:fill="FFFFFF" w:themeFill="light1"/>
      </w:tcPr>
    </w:tblStylePr>
    <w:tblStylePr w:type="lastRow">
      <w:rPr>
        <w:rFonts w:ascii="Arial" w:hAnsi="Arial"/>
        <w:i/>
        <w:color w:val="2A4B71" w:themeColor="accent1" w:themeShade="94"/>
        <w:sz w:val="22"/>
      </w:rPr>
      <w:tcPr>
        <w:tcBorders>
          <w:top w:val="single" w:color="4F81BD" w:themeColor="accent1" w:sz="4" w:space="0"/>
          <w:left w:val="nil"/>
          <w:bottom w:val="nil"/>
          <w:right w:val="nil"/>
        </w:tcBorders>
        <w:shd w:val="clear" w:color="FFFFFF" w:themeColor="light1" w:fill="FFFFFF" w:themeFill="light1"/>
      </w:tcPr>
    </w:tblStylePr>
    <w:tblStylePr w:type="firstCol">
      <w:pPr>
        <w:jc w:val="right"/>
      </w:pPr>
      <w:rPr>
        <w:rFonts w:ascii="Arial" w:hAnsi="Arial"/>
        <w:i/>
        <w:color w:val="2A4B71" w:themeColor="accent1" w:themeShade="94"/>
        <w:sz w:val="22"/>
      </w:rPr>
      <w:tcPr>
        <w:tcBorders>
          <w:top w:val="nil"/>
          <w:left w:val="nil"/>
          <w:bottom w:val="nil"/>
          <w:right w:val="single" w:color="4F81BD" w:themeColor="accent1" w:sz="4" w:space="0"/>
        </w:tcBorders>
        <w:shd w:val="clear" w:color="FFFFFF" w:fill="auto"/>
      </w:tcPr>
    </w:tblStylePr>
    <w:tblStylePr w:type="lastCol">
      <w:rPr>
        <w:rFonts w:ascii="Arial" w:hAnsi="Arial"/>
        <w:i/>
        <w:color w:val="2A4B71" w:themeColor="accent1" w:themeShade="94"/>
        <w:sz w:val="22"/>
      </w:rPr>
      <w:tcPr>
        <w:tcBorders>
          <w:top w:val="nil"/>
          <w:left w:val="single" w:color="4F81BD" w:themeColor="accent1" w:sz="4" w:space="0"/>
          <w:bottom w:val="nil"/>
          <w:right w:val="nil"/>
        </w:tcBorders>
        <w:shd w:val="clear" w:color="FFFFFF" w:fill="auto"/>
      </w:tcPr>
    </w:tblStylePr>
    <w:tblStylePr w:type="band1Vert">
      <w:tcPr>
        <w:shd w:val="clear" w:color="D2DFEE" w:themeColor="accent1" w:themeTint="40" w:fill="D2DFEE" w:themeFill="accent1" w:themeFillTint="40"/>
      </w:tcPr>
    </w:tblStylePr>
    <w:tblStylePr w:type="band2Vert"/>
    <w:tblStylePr w:type="band1Horz">
      <w:rPr>
        <w:rFonts w:ascii="Arial" w:hAnsi="Arial"/>
        <w:color w:val="2A4B71" w:themeColor="accent1" w:themeShade="94"/>
        <w:sz w:val="22"/>
      </w:rPr>
      <w:tcPr>
        <w:shd w:val="clear" w:color="D2DFEE" w:themeColor="accent1" w:themeTint="40" w:fill="D2DFEE" w:themeFill="accent1" w:themeFillTint="40"/>
      </w:tcPr>
    </w:tblStylePr>
    <w:tblStylePr w:type="band2Horz">
      <w:rPr>
        <w:rFonts w:ascii="Arial" w:hAnsi="Arial"/>
        <w:color w:val="2A4B71" w:themeColor="accent1" w:themeShade="94"/>
        <w:sz w:val="22"/>
      </w:rPr>
    </w:tblStylePr>
    <w:tblStylePr w:type="neCell"/>
    <w:tblStylePr w:type="nwCell"/>
    <w:tblStylePr w:type="seCell"/>
    <w:tblStylePr w:type="swCell"/>
  </w:style>
  <w:style w:type="table" w:customStyle="1" w:styleId="173">
    <w:name w:val="List Table 7 Colorful - Accent 2"/>
    <w:basedOn w:val="56"/>
    <w:qFormat/>
    <w:uiPriority w:val="99"/>
    <w:pPr>
      <w:spacing w:after="0" w:line="240" w:lineRule="auto"/>
    </w:pPr>
    <w:tblPr>
      <w:tblBorders>
        <w:right w:val="single" w:color="D99795" w:themeColor="accent2" w:themeTint="97" w:sz="4" w:space="0"/>
      </w:tblBorders>
    </w:tblPr>
    <w:tblStylePr w:type="firstRow">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single" w:color="D99795" w:themeColor="accent2" w:themeTint="97" w:sz="4" w:space="0"/>
          <w:right w:val="nil"/>
        </w:tcBorders>
        <w:shd w:val="clear" w:color="FFFFFF" w:themeColor="light1" w:fill="FFFFFF" w:themeFill="light1"/>
      </w:tcPr>
    </w:tblStylePr>
    <w:tblStylePr w:type="lastRow">
      <w:rPr>
        <w:rFonts w:ascii="Arial" w:hAnsi="Arial"/>
        <w:i/>
        <w:color w:val="DA9896" w:themeColor="accent2" w:themeTint="96"/>
        <w:sz w:val="22"/>
        <w14:textFill>
          <w14:solidFill>
            <w14:schemeClr w14:val="accent2">
              <w14:lumMod w14:val="59000"/>
              <w14:lumOff w14:val="41000"/>
            </w14:schemeClr>
          </w14:solidFill>
        </w14:textFill>
      </w:rPr>
      <w:tcPr>
        <w:tcBorders>
          <w:top w:val="single" w:color="D99795" w:themeColor="accent2" w:themeTint="97" w:sz="4" w:space="0"/>
          <w:left w:val="nil"/>
          <w:bottom w:val="nil"/>
          <w:right w:val="nil"/>
        </w:tcBorders>
        <w:shd w:val="clear" w:color="FFFFFF" w:themeColor="light1" w:fill="FFFFFF" w:themeFill="light1"/>
      </w:tcPr>
    </w:tblStylePr>
    <w:tblStylePr w:type="firstCol">
      <w:pPr>
        <w:jc w:val="right"/>
      </w:pPr>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nil"/>
          <w:bottom w:val="nil"/>
          <w:right w:val="single" w:color="D99795" w:themeColor="accent2" w:themeTint="97" w:sz="4" w:space="0"/>
        </w:tcBorders>
        <w:shd w:val="clear" w:color="FFFFFF" w:fill="auto"/>
      </w:tcPr>
    </w:tblStylePr>
    <w:tblStylePr w:type="lastCol">
      <w:rPr>
        <w:rFonts w:ascii="Arial" w:hAnsi="Arial"/>
        <w:i/>
        <w:color w:val="DA9896" w:themeColor="accent2" w:themeTint="96"/>
        <w:sz w:val="22"/>
        <w14:textFill>
          <w14:solidFill>
            <w14:schemeClr w14:val="accent2">
              <w14:lumMod w14:val="59000"/>
              <w14:lumOff w14:val="41000"/>
            </w14:schemeClr>
          </w14:solidFill>
        </w14:textFill>
      </w:rPr>
      <w:tcPr>
        <w:tcBorders>
          <w:top w:val="nil"/>
          <w:left w:val="single" w:color="D99795" w:themeColor="accent2" w:themeTint="97" w:sz="4" w:space="0"/>
          <w:bottom w:val="nil"/>
          <w:right w:val="nil"/>
        </w:tcBorders>
        <w:shd w:val="clear" w:color="FFFFFF" w:fill="auto"/>
      </w:tcPr>
    </w:tblStylePr>
    <w:tblStylePr w:type="band1Vert">
      <w:tcPr>
        <w:shd w:val="clear" w:color="EFD3D2" w:themeColor="accent2" w:themeTint="40" w:fill="EFD3D2" w:themeFill="accent2" w:themeFillTint="40"/>
      </w:tcPr>
    </w:tblStylePr>
    <w:tblStylePr w:type="band2Vert"/>
    <w:tblStylePr w:type="band1Horz">
      <w:rPr>
        <w:rFonts w:ascii="Arial" w:hAnsi="Arial"/>
        <w:color w:val="DA9896" w:themeColor="accent2" w:themeTint="96"/>
        <w:sz w:val="22"/>
        <w14:textFill>
          <w14:solidFill>
            <w14:schemeClr w14:val="accent2">
              <w14:lumMod w14:val="59000"/>
              <w14:lumOff w14:val="41000"/>
            </w14:schemeClr>
          </w14:solidFill>
        </w14:textFill>
      </w:rPr>
      <w:tcPr>
        <w:shd w:val="clear" w:color="EFD3D2" w:themeColor="accent2" w:themeTint="40" w:fill="EFD3D2" w:themeFill="accent2" w:themeFillTint="40"/>
      </w:tcPr>
    </w:tblStylePr>
    <w:tblStylePr w:type="band2Horz">
      <w:rPr>
        <w:rFonts w:ascii="Arial" w:hAnsi="Arial"/>
        <w:color w:val="DA9896" w:themeColor="accent2" w:themeTint="96"/>
        <w:sz w:val="22"/>
        <w14:textFill>
          <w14:solidFill>
            <w14:schemeClr w14:val="accent2">
              <w14:lumMod w14:val="59000"/>
              <w14:lumOff w14:val="41000"/>
            </w14:schemeClr>
          </w14:solidFill>
        </w14:textFill>
      </w:rPr>
    </w:tblStylePr>
    <w:tblStylePr w:type="neCell"/>
    <w:tblStylePr w:type="nwCell"/>
    <w:tblStylePr w:type="seCell"/>
    <w:tblStylePr w:type="swCell"/>
  </w:style>
  <w:style w:type="table" w:customStyle="1" w:styleId="174">
    <w:name w:val="List Table 7 Colorful - Accent 3"/>
    <w:basedOn w:val="56"/>
    <w:qFormat/>
    <w:uiPriority w:val="99"/>
    <w:pPr>
      <w:spacing w:after="0" w:line="240" w:lineRule="auto"/>
    </w:pPr>
    <w:tblPr>
      <w:tblBorders>
        <w:right w:val="single" w:color="C3D69C" w:themeColor="accent3" w:themeTint="98" w:sz="4" w:space="0"/>
      </w:tblBorders>
    </w:tblPr>
    <w:tblStylePr w:type="firstRow">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single" w:color="C3D69C" w:themeColor="accent3" w:themeTint="98" w:sz="4" w:space="0"/>
          <w:right w:val="nil"/>
        </w:tcBorders>
        <w:shd w:val="clear" w:color="FFFFFF" w:themeColor="light1" w:fill="FFFFFF" w:themeFill="light1"/>
      </w:tcPr>
    </w:tblStylePr>
    <w:tblStylePr w:type="lastRow">
      <w:rPr>
        <w:rFonts w:ascii="Arial" w:hAnsi="Arial"/>
        <w:i/>
        <w:color w:val="C3D69B" w:themeColor="accent3" w:themeTint="99"/>
        <w:sz w:val="22"/>
        <w14:textFill>
          <w14:solidFill>
            <w14:schemeClr w14:val="accent3">
              <w14:lumMod w14:val="60000"/>
              <w14:lumOff w14:val="40000"/>
            </w14:schemeClr>
          </w14:solidFill>
        </w14:textFill>
      </w:rPr>
      <w:tcPr>
        <w:tcBorders>
          <w:top w:val="single" w:color="C3D69C" w:themeColor="accent3" w:themeTint="98" w:sz="4" w:space="0"/>
          <w:left w:val="nil"/>
          <w:bottom w:val="nil"/>
          <w:right w:val="nil"/>
        </w:tcBorders>
        <w:shd w:val="clear" w:color="FFFFFF" w:themeColor="light1" w:fill="FFFFFF" w:themeFill="light1"/>
      </w:tcPr>
    </w:tblStylePr>
    <w:tblStylePr w:type="firstCol">
      <w:pPr>
        <w:jc w:val="right"/>
      </w:pPr>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nil"/>
          <w:bottom w:val="nil"/>
          <w:right w:val="single" w:color="C3D69C" w:themeColor="accent3" w:themeTint="98" w:sz="4" w:space="0"/>
        </w:tcBorders>
        <w:shd w:val="clear" w:color="FFFFFF" w:fill="auto"/>
      </w:tcPr>
    </w:tblStylePr>
    <w:tblStylePr w:type="lastCol">
      <w:rPr>
        <w:rFonts w:ascii="Arial" w:hAnsi="Arial"/>
        <w:i/>
        <w:color w:val="C3D69B" w:themeColor="accent3" w:themeTint="99"/>
        <w:sz w:val="22"/>
        <w14:textFill>
          <w14:solidFill>
            <w14:schemeClr w14:val="accent3">
              <w14:lumMod w14:val="60000"/>
              <w14:lumOff w14:val="40000"/>
            </w14:schemeClr>
          </w14:solidFill>
        </w14:textFill>
      </w:rPr>
      <w:tcPr>
        <w:tcBorders>
          <w:top w:val="nil"/>
          <w:left w:val="single" w:color="C3D69C" w:themeColor="accent3" w:themeTint="98" w:sz="4" w:space="0"/>
          <w:bottom w:val="nil"/>
          <w:right w:val="nil"/>
        </w:tcBorders>
        <w:shd w:val="clear" w:color="FFFFFF" w:fill="auto"/>
      </w:tcPr>
    </w:tblStylePr>
    <w:tblStylePr w:type="band1Vert">
      <w:tcPr>
        <w:shd w:val="clear" w:color="E5EDD5" w:themeColor="accent3" w:themeTint="40" w:fill="E5EDD5" w:themeFill="accent3" w:themeFillTint="40"/>
      </w:tcPr>
    </w:tblStylePr>
    <w:tblStylePr w:type="band2Vert"/>
    <w:tblStylePr w:type="band1Horz">
      <w:rPr>
        <w:rFonts w:ascii="Arial" w:hAnsi="Arial"/>
        <w:color w:val="C3D69B" w:themeColor="accent3" w:themeTint="99"/>
        <w:sz w:val="22"/>
        <w14:textFill>
          <w14:solidFill>
            <w14:schemeClr w14:val="accent3">
              <w14:lumMod w14:val="60000"/>
              <w14:lumOff w14:val="40000"/>
            </w14:schemeClr>
          </w14:solidFill>
        </w14:textFill>
      </w:rPr>
      <w:tcPr>
        <w:shd w:val="clear" w:color="E5EDD5" w:themeColor="accent3" w:themeTint="40" w:fill="E5EDD5" w:themeFill="accent3" w:themeFillTint="40"/>
      </w:tcPr>
    </w:tblStylePr>
    <w:tblStylePr w:type="band2Horz">
      <w:rPr>
        <w:rFonts w:ascii="Arial" w:hAnsi="Arial"/>
        <w:color w:val="C3D69B" w:themeColor="accent3" w:themeTint="99"/>
        <w:sz w:val="22"/>
        <w14:textFill>
          <w14:solidFill>
            <w14:schemeClr w14:val="accent3">
              <w14:lumMod w14:val="60000"/>
              <w14:lumOff w14:val="40000"/>
            </w14:schemeClr>
          </w14:solidFill>
        </w14:textFill>
      </w:rPr>
    </w:tblStylePr>
    <w:tblStylePr w:type="neCell"/>
    <w:tblStylePr w:type="nwCell"/>
    <w:tblStylePr w:type="seCell"/>
    <w:tblStylePr w:type="swCell"/>
  </w:style>
  <w:style w:type="table" w:customStyle="1" w:styleId="175">
    <w:name w:val="List Table 7 Colorful - Accent 4"/>
    <w:basedOn w:val="56"/>
    <w:uiPriority w:val="99"/>
    <w:pPr>
      <w:spacing w:after="0" w:line="240" w:lineRule="auto"/>
    </w:pPr>
    <w:tblPr>
      <w:tblBorders>
        <w:right w:val="single" w:color="B2A1C6" w:themeColor="accent4" w:themeTint="9A" w:sz="4" w:space="0"/>
      </w:tblBorders>
    </w:tblPr>
    <w:tblStylePr w:type="firstRow">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single" w:color="B2A1C6" w:themeColor="accent4" w:themeTint="9A" w:sz="4" w:space="0"/>
          <w:right w:val="nil"/>
        </w:tcBorders>
        <w:shd w:val="clear" w:color="FFFFFF" w:themeColor="light1" w:fill="FFFFFF" w:themeFill="light1"/>
      </w:tcPr>
    </w:tblStylePr>
    <w:tblStylePr w:type="lastRow">
      <w:rPr>
        <w:rFonts w:ascii="Arial" w:hAnsi="Arial"/>
        <w:i/>
        <w:color w:val="B3A2C7" w:themeColor="accent4" w:themeTint="99"/>
        <w:sz w:val="22"/>
        <w14:textFill>
          <w14:solidFill>
            <w14:schemeClr w14:val="accent4">
              <w14:lumMod w14:val="60000"/>
              <w14:lumOff w14:val="40000"/>
            </w14:schemeClr>
          </w14:solidFill>
        </w14:textFill>
      </w:rPr>
      <w:tcPr>
        <w:tcBorders>
          <w:top w:val="single" w:color="B2A1C6" w:themeColor="accent4" w:themeTint="9A" w:sz="4" w:space="0"/>
          <w:left w:val="nil"/>
          <w:bottom w:val="nil"/>
          <w:right w:val="nil"/>
        </w:tcBorders>
        <w:shd w:val="clear" w:color="FFFFFF" w:themeColor="light1" w:fill="FFFFFF" w:themeFill="light1"/>
      </w:tcPr>
    </w:tblStylePr>
    <w:tblStylePr w:type="firstCol">
      <w:pPr>
        <w:jc w:val="right"/>
      </w:pPr>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nil"/>
          <w:bottom w:val="nil"/>
          <w:right w:val="single" w:color="B2A1C6" w:themeColor="accent4" w:themeTint="9A" w:sz="4" w:space="0"/>
        </w:tcBorders>
        <w:shd w:val="clear" w:color="FFFFFF" w:fill="auto"/>
      </w:tcPr>
    </w:tblStylePr>
    <w:tblStylePr w:type="lastCol">
      <w:rPr>
        <w:rFonts w:ascii="Arial" w:hAnsi="Arial"/>
        <w:i/>
        <w:color w:val="B3A2C7" w:themeColor="accent4" w:themeTint="99"/>
        <w:sz w:val="22"/>
        <w14:textFill>
          <w14:solidFill>
            <w14:schemeClr w14:val="accent4">
              <w14:lumMod w14:val="60000"/>
              <w14:lumOff w14:val="40000"/>
            </w14:schemeClr>
          </w14:solidFill>
        </w14:textFill>
      </w:rPr>
      <w:tcPr>
        <w:tcBorders>
          <w:top w:val="nil"/>
          <w:left w:val="single" w:color="B2A1C6" w:themeColor="accent4" w:themeTint="9A" w:sz="4" w:space="0"/>
          <w:bottom w:val="nil"/>
          <w:right w:val="nil"/>
        </w:tcBorders>
        <w:shd w:val="clear" w:color="FFFFFF" w:fill="auto"/>
      </w:tcPr>
    </w:tblStylePr>
    <w:tblStylePr w:type="band1Vert">
      <w:tcPr>
        <w:shd w:val="clear" w:color="DFD8E7" w:themeColor="accent4" w:themeTint="40" w:fill="DFD8E7" w:themeFill="accent4" w:themeFillTint="40"/>
      </w:tcPr>
    </w:tblStylePr>
    <w:tblStylePr w:type="band2Vert"/>
    <w:tblStylePr w:type="band1Horz">
      <w:rPr>
        <w:rFonts w:ascii="Arial" w:hAnsi="Arial"/>
        <w:color w:val="B3A2C7" w:themeColor="accent4" w:themeTint="99"/>
        <w:sz w:val="22"/>
        <w14:textFill>
          <w14:solidFill>
            <w14:schemeClr w14:val="accent4">
              <w14:lumMod w14:val="60000"/>
              <w14:lumOff w14:val="40000"/>
            </w14:schemeClr>
          </w14:solidFill>
        </w14:textFill>
      </w:rPr>
      <w:tcPr>
        <w:shd w:val="clear" w:color="DFD8E7" w:themeColor="accent4" w:themeTint="40" w:fill="DFD8E7" w:themeFill="accent4" w:themeFillTint="40"/>
      </w:tcPr>
    </w:tblStylePr>
    <w:tblStylePr w:type="band2Horz">
      <w:rPr>
        <w:rFonts w:ascii="Arial" w:hAnsi="Arial"/>
        <w:color w:val="B3A2C7" w:themeColor="accent4" w:themeTint="99"/>
        <w:sz w:val="22"/>
        <w14:textFill>
          <w14:solidFill>
            <w14:schemeClr w14:val="accent4">
              <w14:lumMod w14:val="60000"/>
              <w14:lumOff w14:val="40000"/>
            </w14:schemeClr>
          </w14:solidFill>
        </w14:textFill>
      </w:rPr>
    </w:tblStylePr>
    <w:tblStylePr w:type="neCell"/>
    <w:tblStylePr w:type="nwCell"/>
    <w:tblStylePr w:type="seCell"/>
    <w:tblStylePr w:type="swCell"/>
  </w:style>
  <w:style w:type="table" w:customStyle="1" w:styleId="176">
    <w:name w:val="List Table 7 Colorful - Accent 5"/>
    <w:basedOn w:val="56"/>
    <w:uiPriority w:val="99"/>
    <w:pPr>
      <w:spacing w:after="0" w:line="240" w:lineRule="auto"/>
    </w:pPr>
    <w:tblPr>
      <w:tblBorders>
        <w:right w:val="single" w:color="92CCDC" w:themeColor="accent5" w:themeTint="9A" w:sz="4" w:space="0"/>
      </w:tblBorders>
    </w:tblPr>
    <w:tblStylePr w:type="firstRow">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single" w:color="92CCDC" w:themeColor="accent5" w:themeTint="9A" w:sz="4" w:space="0"/>
          <w:right w:val="nil"/>
        </w:tcBorders>
        <w:shd w:val="clear" w:color="FFFFFF" w:themeColor="light1" w:fill="FFFFFF" w:themeFill="light1"/>
      </w:tcPr>
    </w:tblStylePr>
    <w:tblStylePr w:type="lastRow">
      <w:rPr>
        <w:rFonts w:ascii="Arial" w:hAnsi="Arial"/>
        <w:i/>
        <w:color w:val="93CDDD" w:themeColor="accent5" w:themeTint="99"/>
        <w:sz w:val="22"/>
        <w14:textFill>
          <w14:solidFill>
            <w14:schemeClr w14:val="accent5">
              <w14:lumMod w14:val="60000"/>
              <w14:lumOff w14:val="40000"/>
            </w14:schemeClr>
          </w14:solidFill>
        </w14:textFill>
      </w:rPr>
      <w:tcPr>
        <w:tcBorders>
          <w:top w:val="single" w:color="92CCDC" w:themeColor="accent5" w:themeTint="9A" w:sz="4" w:space="0"/>
          <w:left w:val="nil"/>
          <w:bottom w:val="nil"/>
          <w:right w:val="nil"/>
        </w:tcBorders>
        <w:shd w:val="clear" w:color="FFFFFF" w:themeColor="light1" w:fill="FFFFFF" w:themeFill="light1"/>
      </w:tcPr>
    </w:tblStylePr>
    <w:tblStylePr w:type="firstCol">
      <w:pPr>
        <w:jc w:val="right"/>
      </w:pPr>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nil"/>
          <w:bottom w:val="nil"/>
          <w:right w:val="single" w:color="92CCDC" w:themeColor="accent5" w:themeTint="9A" w:sz="4" w:space="0"/>
        </w:tcBorders>
        <w:shd w:val="clear" w:color="FFFFFF" w:fill="auto"/>
      </w:tcPr>
    </w:tblStylePr>
    <w:tblStylePr w:type="lastCol">
      <w:rPr>
        <w:rFonts w:ascii="Arial" w:hAnsi="Arial"/>
        <w:i/>
        <w:color w:val="93CDDD" w:themeColor="accent5" w:themeTint="99"/>
        <w:sz w:val="22"/>
        <w14:textFill>
          <w14:solidFill>
            <w14:schemeClr w14:val="accent5">
              <w14:lumMod w14:val="60000"/>
              <w14:lumOff w14:val="40000"/>
            </w14:schemeClr>
          </w14:solidFill>
        </w14:textFill>
      </w:rPr>
      <w:tcPr>
        <w:tcBorders>
          <w:top w:val="nil"/>
          <w:left w:val="single" w:color="92CCDC" w:themeColor="accent5" w:themeTint="9A" w:sz="4" w:space="0"/>
          <w:bottom w:val="nil"/>
          <w:right w:val="nil"/>
        </w:tcBorders>
        <w:shd w:val="clear" w:color="FFFFFF" w:fill="auto"/>
      </w:tcPr>
    </w:tblStylePr>
    <w:tblStylePr w:type="band1Vert">
      <w:tcPr>
        <w:shd w:val="clear" w:color="D1EAF0" w:themeColor="accent5" w:themeTint="40" w:fill="D1EAF0" w:themeFill="accent5" w:themeFillTint="40"/>
      </w:tcPr>
    </w:tblStylePr>
    <w:tblStylePr w:type="band2Vert"/>
    <w:tblStylePr w:type="band1Horz">
      <w:rPr>
        <w:rFonts w:ascii="Arial" w:hAnsi="Arial"/>
        <w:color w:val="93CDDD" w:themeColor="accent5" w:themeTint="99"/>
        <w:sz w:val="22"/>
        <w14:textFill>
          <w14:solidFill>
            <w14:schemeClr w14:val="accent5">
              <w14:lumMod w14:val="60000"/>
              <w14:lumOff w14:val="40000"/>
            </w14:schemeClr>
          </w14:solidFill>
        </w14:textFill>
      </w:rPr>
      <w:tcPr>
        <w:shd w:val="clear" w:color="D1EAF0" w:themeColor="accent5" w:themeTint="40" w:fill="D1EAF0" w:themeFill="accent5" w:themeFillTint="40"/>
      </w:tcPr>
    </w:tblStylePr>
    <w:tblStylePr w:type="band2Horz">
      <w:rPr>
        <w:rFonts w:ascii="Arial" w:hAnsi="Arial"/>
        <w:color w:val="93CDDD" w:themeColor="accent5" w:themeTint="99"/>
        <w:sz w:val="22"/>
        <w14:textFill>
          <w14:solidFill>
            <w14:schemeClr w14:val="accent5">
              <w14:lumMod w14:val="60000"/>
              <w14:lumOff w14:val="40000"/>
            </w14:schemeClr>
          </w14:solidFill>
        </w14:textFill>
      </w:rPr>
    </w:tblStylePr>
    <w:tblStylePr w:type="neCell"/>
    <w:tblStylePr w:type="nwCell"/>
    <w:tblStylePr w:type="seCell"/>
    <w:tblStylePr w:type="swCell"/>
  </w:style>
  <w:style w:type="table" w:customStyle="1" w:styleId="177">
    <w:name w:val="List Table 7 Colorful - Accent 6"/>
    <w:basedOn w:val="56"/>
    <w:qFormat/>
    <w:uiPriority w:val="99"/>
    <w:pPr>
      <w:spacing w:after="0" w:line="240" w:lineRule="auto"/>
    </w:pPr>
    <w:tblPr>
      <w:tblBorders>
        <w:right w:val="single" w:color="FAC090" w:themeColor="accent6" w:themeTint="98" w:sz="4" w:space="0"/>
      </w:tblBorders>
    </w:tblPr>
    <w:tblStylePr w:type="firstRow">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single" w:color="FAC090" w:themeColor="accent6" w:themeTint="98" w:sz="4" w:space="0"/>
          <w:right w:val="nil"/>
        </w:tcBorders>
        <w:shd w:val="clear" w:color="FFFFFF" w:themeColor="light1" w:fill="FFFFFF" w:themeFill="light1"/>
      </w:tcPr>
    </w:tblStylePr>
    <w:tblStylePr w:type="lastRow">
      <w:rPr>
        <w:rFonts w:ascii="Arial" w:hAnsi="Arial"/>
        <w:i/>
        <w:color w:val="FAC090" w:themeColor="accent6" w:themeTint="99"/>
        <w:sz w:val="22"/>
        <w14:textFill>
          <w14:solidFill>
            <w14:schemeClr w14:val="accent6">
              <w14:lumMod w14:val="60000"/>
              <w14:lumOff w14:val="40000"/>
            </w14:schemeClr>
          </w14:solidFill>
        </w14:textFill>
      </w:rPr>
      <w:tcPr>
        <w:tcBorders>
          <w:top w:val="single" w:color="FAC090" w:themeColor="accent6" w:themeTint="98" w:sz="4" w:space="0"/>
          <w:left w:val="nil"/>
          <w:bottom w:val="nil"/>
          <w:right w:val="nil"/>
        </w:tcBorders>
        <w:shd w:val="clear" w:color="FFFFFF" w:themeColor="light1" w:fill="FFFFFF" w:themeFill="light1"/>
      </w:tcPr>
    </w:tblStylePr>
    <w:tblStylePr w:type="firstCol">
      <w:pPr>
        <w:jc w:val="right"/>
      </w:pPr>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nil"/>
          <w:bottom w:val="nil"/>
          <w:right w:val="single" w:color="FAC090" w:themeColor="accent6" w:themeTint="98" w:sz="4" w:space="0"/>
        </w:tcBorders>
        <w:shd w:val="clear" w:color="FFFFFF" w:fill="auto"/>
      </w:tcPr>
    </w:tblStylePr>
    <w:tblStylePr w:type="lastCol">
      <w:rPr>
        <w:rFonts w:ascii="Arial" w:hAnsi="Arial"/>
        <w:i/>
        <w:color w:val="FAC090" w:themeColor="accent6" w:themeTint="99"/>
        <w:sz w:val="22"/>
        <w14:textFill>
          <w14:solidFill>
            <w14:schemeClr w14:val="accent6">
              <w14:lumMod w14:val="60000"/>
              <w14:lumOff w14:val="40000"/>
            </w14:schemeClr>
          </w14:solidFill>
        </w14:textFill>
      </w:rPr>
      <w:tcPr>
        <w:tcBorders>
          <w:top w:val="nil"/>
          <w:left w:val="single" w:color="FAC090" w:themeColor="accent6" w:themeTint="98" w:sz="4" w:space="0"/>
          <w:bottom w:val="nil"/>
          <w:right w:val="nil"/>
        </w:tcBorders>
        <w:shd w:val="clear" w:color="FFFFFF" w:fill="auto"/>
      </w:tcPr>
    </w:tblStylePr>
    <w:tblStylePr w:type="band1Vert">
      <w:tcPr>
        <w:shd w:val="clear" w:color="FCE4D0" w:themeColor="accent6" w:themeTint="40" w:fill="FCE4D0" w:themeFill="accent6" w:themeFillTint="40"/>
      </w:tcPr>
    </w:tblStylePr>
    <w:tblStylePr w:type="band2Vert"/>
    <w:tblStylePr w:type="band1Horz">
      <w:rPr>
        <w:rFonts w:ascii="Arial" w:hAnsi="Arial"/>
        <w:color w:val="FAC090" w:themeColor="accent6" w:themeTint="99"/>
        <w:sz w:val="22"/>
        <w14:textFill>
          <w14:solidFill>
            <w14:schemeClr w14:val="accent6">
              <w14:lumMod w14:val="60000"/>
              <w14:lumOff w14:val="40000"/>
            </w14:schemeClr>
          </w14:solidFill>
        </w14:textFill>
      </w:rPr>
      <w:tcPr>
        <w:shd w:val="clear" w:color="FCE4D0" w:themeColor="accent6" w:themeTint="40" w:fill="FCE4D0" w:themeFill="accent6" w:themeFillTint="40"/>
      </w:tcPr>
    </w:tblStylePr>
    <w:tblStylePr w:type="band2Horz">
      <w:rPr>
        <w:rFonts w:ascii="Arial" w:hAnsi="Arial"/>
        <w:color w:val="FAC090" w:themeColor="accent6" w:themeTint="99"/>
        <w:sz w:val="22"/>
        <w14:textFill>
          <w14:solidFill>
            <w14:schemeClr w14:val="accent6">
              <w14:lumMod w14:val="60000"/>
              <w14:lumOff w14:val="40000"/>
            </w14:schemeClr>
          </w14:solidFill>
        </w14:textFill>
      </w:rPr>
    </w:tblStylePr>
    <w:tblStylePr w:type="neCell"/>
    <w:tblStylePr w:type="nwCell"/>
    <w:tblStylePr w:type="seCell"/>
    <w:tblStylePr w:type="swCell"/>
  </w:style>
  <w:style w:type="table" w:customStyle="1" w:styleId="178">
    <w:name w:val="Lined - Accent"/>
    <w:basedOn w:val="56"/>
    <w:qFormat/>
    <w:uiPriority w:val="99"/>
    <w:pPr>
      <w:spacing w:after="0" w:line="240" w:lineRule="auto"/>
    </w:pPr>
    <w:rPr>
      <w:color w:val="404040"/>
    </w:r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79">
    <w:name w:val="Lined - Accent 1"/>
    <w:basedOn w:val="56"/>
    <w:qFormat/>
    <w:uiPriority w:val="99"/>
    <w:pPr>
      <w:spacing w:after="0" w:line="240" w:lineRule="auto"/>
    </w:pPr>
    <w:rPr>
      <w:color w:val="404040"/>
    </w:r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0">
    <w:name w:val="Lined - Accent 2"/>
    <w:basedOn w:val="56"/>
    <w:qFormat/>
    <w:uiPriority w:val="99"/>
    <w:pPr>
      <w:spacing w:after="0" w:line="240" w:lineRule="auto"/>
    </w:pPr>
    <w:rPr>
      <w:color w:val="404040"/>
    </w:r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1">
    <w:name w:val="Lined - Accent 3"/>
    <w:basedOn w:val="56"/>
    <w:uiPriority w:val="99"/>
    <w:pPr>
      <w:spacing w:after="0" w:line="240" w:lineRule="auto"/>
    </w:pPr>
    <w:rPr>
      <w:color w:val="404040"/>
    </w:r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2">
    <w:name w:val="Lined - Accent 4"/>
    <w:basedOn w:val="56"/>
    <w:uiPriority w:val="99"/>
    <w:pPr>
      <w:spacing w:after="0" w:line="240" w:lineRule="auto"/>
    </w:pPr>
    <w:rPr>
      <w:color w:val="404040"/>
    </w:r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83">
    <w:name w:val="Lined - Accent 5"/>
    <w:basedOn w:val="56"/>
    <w:qFormat/>
    <w:uiPriority w:val="99"/>
    <w:pPr>
      <w:spacing w:after="0" w:line="240" w:lineRule="auto"/>
    </w:pPr>
    <w:rPr>
      <w:color w:val="404040"/>
    </w:r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84">
    <w:name w:val="Lined - Accent 6"/>
    <w:basedOn w:val="56"/>
    <w:qFormat/>
    <w:uiPriority w:val="99"/>
    <w:pPr>
      <w:spacing w:after="0" w:line="240" w:lineRule="auto"/>
    </w:pPr>
    <w:rPr>
      <w:color w:val="404040"/>
    </w:r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85">
    <w:name w:val="Bordered &amp; Lined - Accent"/>
    <w:basedOn w:val="56"/>
    <w:uiPriority w:val="99"/>
    <w:pPr>
      <w:spacing w:after="0" w:line="240" w:lineRule="auto"/>
    </w:pPr>
    <w:rPr>
      <w:color w:val="404040"/>
    </w:rPr>
    <w:tblPr>
      <w:tblBorders>
        <w:top w:val="single" w:color="585858" w:themeColor="text1" w:themeTint="A6" w:sz="4" w:space="0"/>
        <w:left w:val="single" w:color="585858" w:themeColor="text1" w:themeTint="A6" w:sz="4" w:space="0"/>
        <w:bottom w:val="single" w:color="585858" w:themeColor="text1" w:themeTint="A6" w:sz="4" w:space="0"/>
        <w:right w:val="single" w:color="585858" w:themeColor="text1" w:themeTint="A6" w:sz="4" w:space="0"/>
        <w:insideH w:val="single" w:color="585858" w:themeColor="text1" w:themeTint="A6" w:sz="4" w:space="0"/>
        <w:insideV w:val="single" w:color="585858" w:themeColor="text1" w:themeTint="A6" w:sz="4" w:space="0"/>
      </w:tblBorders>
    </w:tblPr>
    <w:tblStylePr w:type="firstRow">
      <w:rPr>
        <w:rFonts w:ascii="Arial" w:hAnsi="Arial"/>
        <w:color w:val="F2F2F2"/>
        <w:sz w:val="22"/>
      </w:rPr>
      <w:tcPr>
        <w:shd w:val="clear" w:color="7E7E7E" w:themeColor="text1" w:themeTint="80" w:fill="7E7E7E" w:themeFill="text1" w:themeFillTint="80"/>
      </w:tcPr>
    </w:tblStylePr>
    <w:tblStylePr w:type="lastRow">
      <w:rPr>
        <w:rFonts w:ascii="Arial" w:hAnsi="Arial"/>
        <w:color w:val="F2F2F2"/>
        <w:sz w:val="22"/>
      </w:rPr>
      <w:tcPr>
        <w:shd w:val="clear" w:color="7E7E7E" w:themeColor="text1" w:themeTint="80" w:fill="7E7E7E" w:themeFill="text1" w:themeFillTint="80"/>
      </w:tcPr>
    </w:tblStylePr>
    <w:tblStylePr w:type="firstCol">
      <w:rPr>
        <w:rFonts w:ascii="Arial" w:hAnsi="Arial"/>
        <w:color w:val="F2F2F2"/>
        <w:sz w:val="22"/>
      </w:rPr>
      <w:tcPr>
        <w:shd w:val="clear" w:color="7E7E7E" w:themeColor="text1" w:themeTint="80" w:fill="7E7E7E" w:themeFill="text1" w:themeFillTint="80"/>
      </w:tcPr>
    </w:tblStylePr>
    <w:tblStylePr w:type="lastCol">
      <w:rPr>
        <w:rFonts w:ascii="Arial" w:hAnsi="Arial"/>
        <w:color w:val="F2F2F2"/>
        <w:sz w:val="22"/>
      </w:rPr>
      <w:tcPr>
        <w:shd w:val="clear" w:color="7E7E7E" w:themeColor="text1" w:themeTint="80" w:fill="7E7E7E" w:themeFill="text1" w:themeFillTint="80"/>
      </w:tcPr>
    </w:tblStylePr>
    <w:tblStylePr w:type="band1Vert">
      <w:rPr>
        <w:rFonts w:ascii="Arial" w:hAnsi="Arial"/>
        <w:color w:val="404040"/>
        <w:sz w:val="22"/>
      </w:rPr>
    </w:tblStylePr>
    <w:tblStylePr w:type="band2Vert">
      <w:rPr>
        <w:rFonts w:ascii="Arial" w:hAnsi="Arial"/>
        <w:color w:val="404040"/>
        <w:sz w:val="22"/>
      </w:rPr>
      <w:tcPr>
        <w:shd w:val="clear" w:color="F1F1F1" w:themeColor="text1" w:themeTint="0D" w:fill="F1F1F1" w:themeFill="text1" w:themeFillTint="0D"/>
      </w:tcPr>
    </w:tblStylePr>
    <w:tblStylePr w:type="band1Horz">
      <w:rPr>
        <w:rFonts w:ascii="Arial" w:hAnsi="Arial"/>
        <w:color w:val="404040"/>
        <w:sz w:val="22"/>
      </w:rPr>
    </w:tblStylePr>
    <w:tblStylePr w:type="band2Horz">
      <w:rPr>
        <w:rFonts w:ascii="Arial" w:hAnsi="Arial"/>
        <w:color w:val="404040"/>
        <w:sz w:val="22"/>
      </w:rPr>
      <w:tcPr>
        <w:shd w:val="clear" w:color="F1F1F1" w:themeColor="text1" w:themeTint="0D" w:fill="F1F1F1" w:themeFill="text1" w:themeFillTint="0D"/>
      </w:tcPr>
    </w:tblStylePr>
    <w:tblStylePr w:type="neCell"/>
    <w:tblStylePr w:type="nwCell"/>
    <w:tblStylePr w:type="seCell"/>
    <w:tblStylePr w:type="swCell"/>
  </w:style>
  <w:style w:type="table" w:customStyle="1" w:styleId="186">
    <w:name w:val="Bordered &amp; Lined - Accent 1"/>
    <w:basedOn w:val="56"/>
    <w:qFormat/>
    <w:uiPriority w:val="99"/>
    <w:pPr>
      <w:spacing w:after="0" w:line="240" w:lineRule="auto"/>
    </w:pPr>
    <w:rPr>
      <w:color w:val="404040"/>
    </w:rPr>
    <w:tblPr>
      <w:tblBorders>
        <w:top w:val="single" w:color="2A4B71" w:themeColor="accent1" w:themeShade="95" w:sz="4" w:space="0"/>
        <w:left w:val="single" w:color="2A4B71" w:themeColor="accent1" w:themeShade="95" w:sz="4" w:space="0"/>
        <w:bottom w:val="single" w:color="2A4B71" w:themeColor="accent1" w:themeShade="95" w:sz="4" w:space="0"/>
        <w:right w:val="single" w:color="2A4B71" w:themeColor="accent1" w:themeShade="95" w:sz="4" w:space="0"/>
        <w:insideH w:val="single" w:color="2A4B71" w:themeColor="accent1" w:themeShade="95" w:sz="4" w:space="0"/>
        <w:insideV w:val="single" w:color="2A4B71" w:themeColor="accent1" w:themeShade="95" w:sz="4" w:space="0"/>
      </w:tblBorders>
    </w:tblPr>
    <w:tblStylePr w:type="firstRow">
      <w:rPr>
        <w:rFonts w:ascii="Arial" w:hAnsi="Arial"/>
        <w:color w:val="F2F2F2"/>
        <w:sz w:val="22"/>
      </w:rPr>
      <w:tcPr>
        <w:shd w:val="clear" w:color="5D8BC2" w:themeColor="accent1" w:themeTint="EA" w:fill="5D8BC2" w:themeFill="accent1" w:themeFillTint="EA"/>
      </w:tcPr>
    </w:tblStylePr>
    <w:tblStylePr w:type="lastRow">
      <w:rPr>
        <w:rFonts w:ascii="Arial" w:hAnsi="Arial"/>
        <w:color w:val="F2F2F2"/>
        <w:sz w:val="22"/>
      </w:rPr>
      <w:tcPr>
        <w:shd w:val="clear" w:color="5D8BC2" w:themeColor="accent1" w:themeTint="EA" w:fill="5D8BC2" w:themeFill="accent1" w:themeFillTint="EA"/>
      </w:tcPr>
    </w:tblStylePr>
    <w:tblStylePr w:type="firstCol">
      <w:rPr>
        <w:rFonts w:ascii="Arial" w:hAnsi="Arial"/>
        <w:color w:val="F2F2F2"/>
        <w:sz w:val="22"/>
      </w:rPr>
      <w:tcPr>
        <w:shd w:val="clear" w:color="5D8BC2" w:themeColor="accent1" w:themeTint="EA" w:fill="5D8BC2" w:themeFill="accent1" w:themeFillTint="EA"/>
      </w:tcPr>
    </w:tblStylePr>
    <w:tblStylePr w:type="lastCol">
      <w:rPr>
        <w:rFonts w:ascii="Arial" w:hAnsi="Arial"/>
        <w:color w:val="F2F2F2"/>
        <w:sz w:val="22"/>
      </w:rPr>
      <w:tcPr>
        <w:shd w:val="clear" w:color="5D8BC2" w:themeColor="accent1" w:themeTint="EA" w:fill="5D8BC2" w:themeFill="accent1" w:themeFillTint="EA"/>
      </w:tcPr>
    </w:tblStylePr>
    <w:tblStylePr w:type="band1Vert">
      <w:rPr>
        <w:rFonts w:ascii="Arial" w:hAnsi="Arial"/>
        <w:color w:val="404040"/>
        <w:sz w:val="22"/>
      </w:rPr>
    </w:tblStylePr>
    <w:tblStylePr w:type="band2Vert">
      <w:rPr>
        <w:rFonts w:ascii="Arial" w:hAnsi="Arial"/>
        <w:color w:val="404040"/>
        <w:sz w:val="22"/>
      </w:rPr>
      <w:tcPr>
        <w:shd w:val="clear" w:color="C7D7EA" w:themeColor="accent1" w:themeTint="50" w:fill="C7D7EA" w:themeFill="accent1" w:themeFillTint="50"/>
      </w:tcPr>
    </w:tblStylePr>
    <w:tblStylePr w:type="band1Horz">
      <w:rPr>
        <w:rFonts w:ascii="Arial" w:hAnsi="Arial"/>
        <w:color w:val="404040"/>
        <w:sz w:val="22"/>
      </w:rPr>
    </w:tblStylePr>
    <w:tblStylePr w:type="band2Horz">
      <w:rPr>
        <w:rFonts w:ascii="Arial" w:hAnsi="Arial"/>
        <w:color w:val="404040"/>
        <w:sz w:val="22"/>
      </w:rPr>
      <w:tcPr>
        <w:shd w:val="clear" w:color="C7D7EA" w:themeColor="accent1" w:themeTint="50" w:fill="C7D7EA" w:themeFill="accent1" w:themeFillTint="50"/>
      </w:tcPr>
    </w:tblStylePr>
    <w:tblStylePr w:type="neCell"/>
    <w:tblStylePr w:type="nwCell"/>
    <w:tblStylePr w:type="seCell"/>
    <w:tblStylePr w:type="swCell"/>
  </w:style>
  <w:style w:type="table" w:customStyle="1" w:styleId="187">
    <w:name w:val="Bordered &amp; Lined - Accent 2"/>
    <w:basedOn w:val="56"/>
    <w:qFormat/>
    <w:uiPriority w:val="99"/>
    <w:pPr>
      <w:spacing w:after="0" w:line="240" w:lineRule="auto"/>
    </w:pPr>
    <w:rPr>
      <w:color w:val="404040"/>
    </w:rPr>
    <w:tblPr>
      <w:tblBorders>
        <w:top w:val="single" w:color="742B29" w:themeColor="accent2" w:themeShade="95" w:sz="4" w:space="0"/>
        <w:left w:val="single" w:color="742B29" w:themeColor="accent2" w:themeShade="95" w:sz="4" w:space="0"/>
        <w:bottom w:val="single" w:color="742B29" w:themeColor="accent2" w:themeShade="95" w:sz="4" w:space="0"/>
        <w:right w:val="single" w:color="742B29" w:themeColor="accent2" w:themeShade="95" w:sz="4" w:space="0"/>
        <w:insideH w:val="single" w:color="742B29" w:themeColor="accent2" w:themeShade="95" w:sz="4" w:space="0"/>
        <w:insideV w:val="single" w:color="742B29" w:themeColor="accent2" w:themeShade="95" w:sz="4" w:space="0"/>
      </w:tblBorders>
    </w:tblPr>
    <w:tblStylePr w:type="firstRow">
      <w:rPr>
        <w:rFonts w:ascii="Arial" w:hAnsi="Arial"/>
        <w:color w:val="F2F2F2"/>
        <w:sz w:val="22"/>
      </w:rPr>
      <w:tcPr>
        <w:shd w:val="clear" w:color="D99795" w:themeColor="accent2" w:themeTint="97" w:fill="D99795" w:themeFill="accent2" w:themeFillTint="97"/>
      </w:tcPr>
    </w:tblStylePr>
    <w:tblStylePr w:type="lastRow">
      <w:rPr>
        <w:rFonts w:ascii="Arial" w:hAnsi="Arial"/>
        <w:color w:val="F2F2F2"/>
        <w:sz w:val="22"/>
      </w:rPr>
      <w:tcPr>
        <w:shd w:val="clear" w:color="D99795" w:themeColor="accent2" w:themeTint="97" w:fill="D99795" w:themeFill="accent2" w:themeFillTint="97"/>
      </w:tcPr>
    </w:tblStylePr>
    <w:tblStylePr w:type="firstCol">
      <w:rPr>
        <w:rFonts w:ascii="Arial" w:hAnsi="Arial"/>
        <w:color w:val="F2F2F2"/>
        <w:sz w:val="22"/>
      </w:rPr>
      <w:tcPr>
        <w:shd w:val="clear" w:color="D99795" w:themeColor="accent2" w:themeTint="97" w:fill="D99795" w:themeFill="accent2" w:themeFillTint="97"/>
      </w:tcPr>
    </w:tblStylePr>
    <w:tblStylePr w:type="lastCol">
      <w:rPr>
        <w:rFonts w:ascii="Arial" w:hAnsi="Arial"/>
        <w:color w:val="F2F2F2"/>
        <w:sz w:val="22"/>
      </w:rPr>
      <w:tcPr>
        <w:shd w:val="clear" w:color="D99795" w:themeColor="accent2" w:themeTint="97" w:fill="D99795" w:themeFill="accent2" w:themeFillTint="97"/>
      </w:tcPr>
    </w:tblStylePr>
    <w:tblStylePr w:type="band1Vert">
      <w:rPr>
        <w:rFonts w:ascii="Arial" w:hAnsi="Arial"/>
        <w:color w:val="404040"/>
        <w:sz w:val="22"/>
      </w:rPr>
    </w:tblStylePr>
    <w:tblStylePr w:type="band2Vert">
      <w:rPr>
        <w:rFonts w:ascii="Arial" w:hAnsi="Arial"/>
        <w:color w:val="404040"/>
        <w:sz w:val="22"/>
      </w:rPr>
      <w:tcPr>
        <w:shd w:val="clear" w:color="F2DCDC" w:themeColor="accent2" w:themeTint="32" w:fill="F2DCDC" w:themeFill="accent2" w:themeFillTint="32"/>
      </w:tcPr>
    </w:tblStylePr>
    <w:tblStylePr w:type="band1Horz">
      <w:rPr>
        <w:rFonts w:ascii="Arial" w:hAnsi="Arial"/>
        <w:color w:val="404040"/>
        <w:sz w:val="22"/>
      </w:rPr>
    </w:tblStylePr>
    <w:tblStylePr w:type="band2Horz">
      <w:rPr>
        <w:rFonts w:ascii="Arial" w:hAnsi="Arial"/>
        <w:color w:val="404040"/>
        <w:sz w:val="22"/>
      </w:rPr>
      <w:tcPr>
        <w:shd w:val="clear" w:color="F2DCDC" w:themeColor="accent2" w:themeTint="32" w:fill="F2DCDC" w:themeFill="accent2" w:themeFillTint="32"/>
      </w:tcPr>
    </w:tblStylePr>
    <w:tblStylePr w:type="neCell"/>
    <w:tblStylePr w:type="nwCell"/>
    <w:tblStylePr w:type="seCell"/>
    <w:tblStylePr w:type="swCell"/>
  </w:style>
  <w:style w:type="table" w:customStyle="1" w:styleId="188">
    <w:name w:val="Bordered &amp; Lined - Accent 3"/>
    <w:basedOn w:val="56"/>
    <w:qFormat/>
    <w:uiPriority w:val="99"/>
    <w:pPr>
      <w:spacing w:after="0" w:line="240" w:lineRule="auto"/>
    </w:pPr>
    <w:rPr>
      <w:color w:val="404040"/>
    </w:rPr>
    <w:tblPr>
      <w:tblBorders>
        <w:top w:val="single" w:color="5C722E" w:themeColor="accent3" w:themeShade="95" w:sz="4" w:space="0"/>
        <w:left w:val="single" w:color="5C722E" w:themeColor="accent3" w:themeShade="95" w:sz="4" w:space="0"/>
        <w:bottom w:val="single" w:color="5C722E" w:themeColor="accent3" w:themeShade="95" w:sz="4" w:space="0"/>
        <w:right w:val="single" w:color="5C722E" w:themeColor="accent3" w:themeShade="95" w:sz="4" w:space="0"/>
        <w:insideH w:val="single" w:color="5C722E" w:themeColor="accent3" w:themeShade="95" w:sz="4" w:space="0"/>
        <w:insideV w:val="single" w:color="5C722E" w:themeColor="accent3" w:themeShade="95" w:sz="4" w:space="0"/>
      </w:tblBorders>
    </w:tblPr>
    <w:tblStylePr w:type="firstRow">
      <w:rPr>
        <w:rFonts w:ascii="Arial" w:hAnsi="Arial"/>
        <w:color w:val="F2F2F2"/>
        <w:sz w:val="22"/>
      </w:rPr>
      <w:tcPr>
        <w:shd w:val="clear" w:color="9BBB59" w:themeColor="accent3" w:themeTint="FE" w:fill="9BBB59" w:themeFill="accent3" w:themeFillTint="FE"/>
      </w:tcPr>
    </w:tblStylePr>
    <w:tblStylePr w:type="lastRow">
      <w:rPr>
        <w:rFonts w:ascii="Arial" w:hAnsi="Arial"/>
        <w:color w:val="F2F2F2"/>
        <w:sz w:val="22"/>
      </w:rPr>
      <w:tcPr>
        <w:shd w:val="clear" w:color="9BBB59" w:themeColor="accent3" w:themeTint="FE" w:fill="9BBB59" w:themeFill="accent3" w:themeFillTint="FE"/>
      </w:tcPr>
    </w:tblStylePr>
    <w:tblStylePr w:type="firstCol">
      <w:rPr>
        <w:rFonts w:ascii="Arial" w:hAnsi="Arial"/>
        <w:color w:val="F2F2F2"/>
        <w:sz w:val="22"/>
      </w:rPr>
      <w:tcPr>
        <w:shd w:val="clear" w:color="9BBB59" w:themeColor="accent3" w:themeTint="FE" w:fill="9BBB59" w:themeFill="accent3" w:themeFillTint="FE"/>
      </w:tcPr>
    </w:tblStylePr>
    <w:tblStylePr w:type="lastCol">
      <w:rPr>
        <w:rFonts w:ascii="Arial" w:hAnsi="Arial"/>
        <w:color w:val="F2F2F2"/>
        <w:sz w:val="22"/>
      </w:rPr>
      <w:tcPr>
        <w:shd w:val="clear" w:color="9BBB59" w:themeColor="accent3" w:themeTint="FE" w:fill="9BBB59" w:themeFill="accent3" w:themeFillTint="FE"/>
      </w:tcPr>
    </w:tblStylePr>
    <w:tblStylePr w:type="band1Vert">
      <w:rPr>
        <w:rFonts w:ascii="Arial" w:hAnsi="Arial"/>
        <w:color w:val="404040"/>
        <w:sz w:val="22"/>
      </w:rPr>
    </w:tblStylePr>
    <w:tblStylePr w:type="band2Vert">
      <w:rPr>
        <w:rFonts w:ascii="Arial" w:hAnsi="Arial"/>
        <w:color w:val="404040"/>
        <w:sz w:val="22"/>
      </w:rPr>
      <w:tcPr>
        <w:shd w:val="clear" w:color="EAF1DD" w:themeColor="accent3" w:themeTint="34" w:fill="EAF1DD" w:themeFill="accent3" w:themeFillTint="34"/>
      </w:tcPr>
    </w:tblStylePr>
    <w:tblStylePr w:type="band1Horz">
      <w:rPr>
        <w:rFonts w:ascii="Arial" w:hAnsi="Arial"/>
        <w:color w:val="404040"/>
        <w:sz w:val="22"/>
      </w:rPr>
    </w:tblStylePr>
    <w:tblStylePr w:type="band2Horz">
      <w:rPr>
        <w:rFonts w:ascii="Arial" w:hAnsi="Arial"/>
        <w:color w:val="404040"/>
        <w:sz w:val="22"/>
      </w:rPr>
      <w:tcPr>
        <w:shd w:val="clear" w:color="EAF1DD" w:themeColor="accent3" w:themeTint="34" w:fill="EAF1DD" w:themeFill="accent3" w:themeFillTint="34"/>
      </w:tcPr>
    </w:tblStylePr>
    <w:tblStylePr w:type="neCell"/>
    <w:tblStylePr w:type="nwCell"/>
    <w:tblStylePr w:type="seCell"/>
    <w:tblStylePr w:type="swCell"/>
  </w:style>
  <w:style w:type="table" w:customStyle="1" w:styleId="189">
    <w:name w:val="Bordered &amp; Lined - Accent 4"/>
    <w:basedOn w:val="56"/>
    <w:qFormat/>
    <w:uiPriority w:val="99"/>
    <w:pPr>
      <w:spacing w:after="0" w:line="240" w:lineRule="auto"/>
    </w:pPr>
    <w:rPr>
      <w:color w:val="404040"/>
    </w:rPr>
    <w:tblPr>
      <w:tblBorders>
        <w:top w:val="single" w:color="4A395F" w:themeColor="accent4" w:themeShade="95" w:sz="4" w:space="0"/>
        <w:left w:val="single" w:color="4A395F" w:themeColor="accent4" w:themeShade="95" w:sz="4" w:space="0"/>
        <w:bottom w:val="single" w:color="4A395F" w:themeColor="accent4" w:themeShade="95" w:sz="4" w:space="0"/>
        <w:right w:val="single" w:color="4A395F" w:themeColor="accent4" w:themeShade="95" w:sz="4" w:space="0"/>
        <w:insideH w:val="single" w:color="4A395F" w:themeColor="accent4" w:themeShade="95" w:sz="4" w:space="0"/>
        <w:insideV w:val="single" w:color="4A395F" w:themeColor="accent4" w:themeShade="95" w:sz="4" w:space="0"/>
      </w:tblBorders>
    </w:tblPr>
    <w:tblStylePr w:type="firstRow">
      <w:rPr>
        <w:rFonts w:ascii="Arial" w:hAnsi="Arial"/>
        <w:color w:val="F2F2F2"/>
        <w:sz w:val="22"/>
      </w:rPr>
      <w:tcPr>
        <w:shd w:val="clear" w:color="B2A1C6" w:themeColor="accent4" w:themeTint="9A" w:fill="B2A1C6" w:themeFill="accent4" w:themeFillTint="9A"/>
      </w:tcPr>
    </w:tblStylePr>
    <w:tblStylePr w:type="lastRow">
      <w:rPr>
        <w:rFonts w:ascii="Arial" w:hAnsi="Arial"/>
        <w:color w:val="F2F2F2"/>
        <w:sz w:val="22"/>
      </w:rPr>
      <w:tcPr>
        <w:shd w:val="clear" w:color="B2A1C6" w:themeColor="accent4" w:themeTint="9A" w:fill="B2A1C6" w:themeFill="accent4" w:themeFillTint="9A"/>
      </w:tcPr>
    </w:tblStylePr>
    <w:tblStylePr w:type="firstCol">
      <w:rPr>
        <w:rFonts w:ascii="Arial" w:hAnsi="Arial"/>
        <w:color w:val="F2F2F2"/>
        <w:sz w:val="22"/>
      </w:rPr>
      <w:tcPr>
        <w:shd w:val="clear" w:color="B2A1C6" w:themeColor="accent4" w:themeTint="9A" w:fill="B2A1C6" w:themeFill="accent4" w:themeFillTint="9A"/>
      </w:tcPr>
    </w:tblStylePr>
    <w:tblStylePr w:type="lastCol">
      <w:rPr>
        <w:rFonts w:ascii="Arial" w:hAnsi="Arial"/>
        <w:color w:val="F2F2F2"/>
        <w:sz w:val="22"/>
      </w:rPr>
      <w:tcPr>
        <w:shd w:val="clear" w:color="B2A1C6" w:themeColor="accent4" w:themeTint="9A" w:fill="B2A1C6" w:themeFill="accent4" w:themeFillTint="9A"/>
      </w:tcPr>
    </w:tblStylePr>
    <w:tblStylePr w:type="band1Vert">
      <w:rPr>
        <w:rFonts w:ascii="Arial" w:hAnsi="Arial"/>
        <w:color w:val="404040"/>
        <w:sz w:val="22"/>
      </w:rPr>
    </w:tblStylePr>
    <w:tblStylePr w:type="band2Vert">
      <w:rPr>
        <w:rFonts w:ascii="Arial" w:hAnsi="Arial"/>
        <w:color w:val="404040"/>
        <w:sz w:val="22"/>
      </w:rPr>
      <w:tcPr>
        <w:shd w:val="clear" w:color="E5DFEC" w:themeColor="accent4" w:themeTint="34" w:fill="E5DFEC" w:themeFill="accent4" w:themeFillTint="34"/>
      </w:tcPr>
    </w:tblStylePr>
    <w:tblStylePr w:type="band1Horz">
      <w:rPr>
        <w:rFonts w:ascii="Arial" w:hAnsi="Arial"/>
        <w:color w:val="404040"/>
        <w:sz w:val="22"/>
      </w:rPr>
    </w:tblStylePr>
    <w:tblStylePr w:type="band2Horz">
      <w:rPr>
        <w:rFonts w:ascii="Arial" w:hAnsi="Arial"/>
        <w:color w:val="404040"/>
        <w:sz w:val="22"/>
      </w:rPr>
      <w:tcPr>
        <w:shd w:val="clear" w:color="E5DFEC" w:themeColor="accent4" w:themeTint="34" w:fill="E5DFEC" w:themeFill="accent4" w:themeFillTint="34"/>
      </w:tcPr>
    </w:tblStylePr>
    <w:tblStylePr w:type="neCell"/>
    <w:tblStylePr w:type="nwCell"/>
    <w:tblStylePr w:type="seCell"/>
    <w:tblStylePr w:type="swCell"/>
  </w:style>
  <w:style w:type="table" w:customStyle="1" w:styleId="190">
    <w:name w:val="Bordered &amp; Lined - Accent 5"/>
    <w:basedOn w:val="56"/>
    <w:qFormat/>
    <w:uiPriority w:val="99"/>
    <w:pPr>
      <w:spacing w:after="0" w:line="240" w:lineRule="auto"/>
    </w:pPr>
    <w:rPr>
      <w:color w:val="404040"/>
    </w:rPr>
    <w:tblPr>
      <w:tblBorders>
        <w:top w:val="single" w:color="266779" w:themeColor="accent5" w:themeShade="95" w:sz="4" w:space="0"/>
        <w:left w:val="single" w:color="266779" w:themeColor="accent5" w:themeShade="95" w:sz="4" w:space="0"/>
        <w:bottom w:val="single" w:color="266779" w:themeColor="accent5" w:themeShade="95" w:sz="4" w:space="0"/>
        <w:right w:val="single" w:color="266779" w:themeColor="accent5" w:themeShade="95" w:sz="4" w:space="0"/>
        <w:insideH w:val="single" w:color="266779" w:themeColor="accent5" w:themeShade="95" w:sz="4" w:space="0"/>
        <w:insideV w:val="single" w:color="266779" w:themeColor="accent5" w:themeShade="95" w:sz="4" w:space="0"/>
      </w:tblBorders>
    </w:tblPr>
    <w:tblStylePr w:type="firstRow">
      <w:rPr>
        <w:rFonts w:ascii="Arial" w:hAnsi="Arial"/>
        <w:color w:val="F2F2F2"/>
        <w:sz w:val="22"/>
      </w:rPr>
      <w:tcPr>
        <w:shd w:val="clear" w:color="4BACC6" w:themeColor="accent5" w:fill="4BACC6" w:themeFill="accent5"/>
      </w:tcPr>
    </w:tblStylePr>
    <w:tblStylePr w:type="lastRow">
      <w:rPr>
        <w:rFonts w:ascii="Arial" w:hAnsi="Arial"/>
        <w:color w:val="F2F2F2"/>
        <w:sz w:val="22"/>
      </w:rPr>
      <w:tcPr>
        <w:shd w:val="clear" w:color="4BACC6" w:themeColor="accent5" w:fill="4BACC6" w:themeFill="accent5"/>
      </w:tcPr>
    </w:tblStylePr>
    <w:tblStylePr w:type="firstCol">
      <w:rPr>
        <w:rFonts w:ascii="Arial" w:hAnsi="Arial"/>
        <w:color w:val="F2F2F2"/>
        <w:sz w:val="22"/>
      </w:rPr>
      <w:tcPr>
        <w:shd w:val="clear" w:color="4BACC6" w:themeColor="accent5" w:fill="4BACC6" w:themeFill="accent5"/>
      </w:tcPr>
    </w:tblStylePr>
    <w:tblStylePr w:type="lastCol">
      <w:rPr>
        <w:rFonts w:ascii="Arial" w:hAnsi="Arial"/>
        <w:color w:val="F2F2F2"/>
        <w:sz w:val="22"/>
      </w:rPr>
      <w:tcPr>
        <w:shd w:val="clear" w:color="4BACC6" w:themeColor="accent5" w:fill="4BACC6" w:themeFill="accent5"/>
      </w:tcPr>
    </w:tblStylePr>
    <w:tblStylePr w:type="band1Vert">
      <w:rPr>
        <w:rFonts w:ascii="Arial" w:hAnsi="Arial"/>
        <w:color w:val="404040"/>
        <w:sz w:val="22"/>
      </w:rPr>
    </w:tblStylePr>
    <w:tblStylePr w:type="band2Vert">
      <w:rPr>
        <w:rFonts w:ascii="Arial" w:hAnsi="Arial"/>
        <w:color w:val="404040"/>
        <w:sz w:val="22"/>
      </w:rPr>
      <w:tcPr>
        <w:shd w:val="clear" w:color="DAEEF3" w:themeColor="accent5" w:themeTint="34" w:fill="DAEEF3" w:themeFill="accent5" w:themeFillTint="34"/>
      </w:tcPr>
    </w:tblStylePr>
    <w:tblStylePr w:type="band1Horz">
      <w:rPr>
        <w:rFonts w:ascii="Arial" w:hAnsi="Arial"/>
        <w:color w:val="404040"/>
        <w:sz w:val="22"/>
      </w:rPr>
    </w:tblStylePr>
    <w:tblStylePr w:type="band2Horz">
      <w:rPr>
        <w:rFonts w:ascii="Arial" w:hAnsi="Arial"/>
        <w:color w:val="404040"/>
        <w:sz w:val="22"/>
      </w:rPr>
      <w:tcPr>
        <w:shd w:val="clear" w:color="DAEEF3" w:themeColor="accent5" w:themeTint="34" w:fill="DAEEF3" w:themeFill="accent5" w:themeFillTint="34"/>
      </w:tcPr>
    </w:tblStylePr>
    <w:tblStylePr w:type="neCell"/>
    <w:tblStylePr w:type="nwCell"/>
    <w:tblStylePr w:type="seCell"/>
    <w:tblStylePr w:type="swCell"/>
  </w:style>
  <w:style w:type="table" w:customStyle="1" w:styleId="191">
    <w:name w:val="Bordered &amp; Lined - Accent 6"/>
    <w:basedOn w:val="56"/>
    <w:qFormat/>
    <w:uiPriority w:val="99"/>
    <w:pPr>
      <w:spacing w:after="0" w:line="240" w:lineRule="auto"/>
    </w:pPr>
    <w:rPr>
      <w:color w:val="404040"/>
    </w:rPr>
    <w:tblPr>
      <w:tblBorders>
        <w:top w:val="single" w:color="B15407" w:themeColor="accent6" w:themeShade="95" w:sz="4" w:space="0"/>
        <w:left w:val="single" w:color="B15407" w:themeColor="accent6" w:themeShade="95" w:sz="4" w:space="0"/>
        <w:bottom w:val="single" w:color="B15407" w:themeColor="accent6" w:themeShade="95" w:sz="4" w:space="0"/>
        <w:right w:val="single" w:color="B15407" w:themeColor="accent6" w:themeShade="95" w:sz="4" w:space="0"/>
        <w:insideH w:val="single" w:color="B15407" w:themeColor="accent6" w:themeShade="95" w:sz="4" w:space="0"/>
        <w:insideV w:val="single" w:color="B15407" w:themeColor="accent6" w:themeShade="95" w:sz="4" w:space="0"/>
      </w:tblBorders>
    </w:tblPr>
    <w:tblStylePr w:type="firstRow">
      <w:rPr>
        <w:rFonts w:ascii="Arial" w:hAnsi="Arial"/>
        <w:color w:val="F2F2F2"/>
        <w:sz w:val="22"/>
      </w:rPr>
      <w:tcPr>
        <w:shd w:val="clear" w:color="F79646" w:themeColor="accent6" w:fill="F79646" w:themeFill="accent6"/>
      </w:tcPr>
    </w:tblStylePr>
    <w:tblStylePr w:type="lastRow">
      <w:rPr>
        <w:rFonts w:ascii="Arial" w:hAnsi="Arial"/>
        <w:color w:val="F2F2F2"/>
        <w:sz w:val="22"/>
      </w:rPr>
      <w:tcPr>
        <w:shd w:val="clear" w:color="F79646" w:themeColor="accent6" w:fill="F79646" w:themeFill="accent6"/>
      </w:tcPr>
    </w:tblStylePr>
    <w:tblStylePr w:type="firstCol">
      <w:rPr>
        <w:rFonts w:ascii="Arial" w:hAnsi="Arial"/>
        <w:color w:val="F2F2F2"/>
        <w:sz w:val="22"/>
      </w:rPr>
      <w:tcPr>
        <w:shd w:val="clear" w:color="F79646" w:themeColor="accent6" w:fill="F79646" w:themeFill="accent6"/>
      </w:tcPr>
    </w:tblStylePr>
    <w:tblStylePr w:type="lastCol">
      <w:rPr>
        <w:rFonts w:ascii="Arial" w:hAnsi="Arial"/>
        <w:color w:val="F2F2F2"/>
        <w:sz w:val="22"/>
      </w:rPr>
      <w:tcPr>
        <w:shd w:val="clear" w:color="F79646" w:themeColor="accent6" w:fill="F79646" w:themeFill="accent6"/>
      </w:tcPr>
    </w:tblStylePr>
    <w:tblStylePr w:type="band1Vert">
      <w:rPr>
        <w:rFonts w:ascii="Arial" w:hAnsi="Arial"/>
        <w:color w:val="404040"/>
        <w:sz w:val="22"/>
      </w:rPr>
    </w:tblStylePr>
    <w:tblStylePr w:type="band2Vert">
      <w:rPr>
        <w:rFonts w:ascii="Arial" w:hAnsi="Arial"/>
        <w:color w:val="404040"/>
        <w:sz w:val="22"/>
      </w:rPr>
      <w:tcPr>
        <w:shd w:val="clear" w:color="FDE9D9" w:themeColor="accent6" w:themeTint="34" w:fill="FDE9D9" w:themeFill="accent6" w:themeFillTint="34"/>
      </w:tcPr>
    </w:tblStylePr>
    <w:tblStylePr w:type="band1Horz">
      <w:rPr>
        <w:rFonts w:ascii="Arial" w:hAnsi="Arial"/>
        <w:color w:val="404040"/>
        <w:sz w:val="22"/>
      </w:rPr>
    </w:tblStylePr>
    <w:tblStylePr w:type="band2Horz">
      <w:rPr>
        <w:rFonts w:ascii="Arial" w:hAnsi="Arial"/>
        <w:color w:val="404040"/>
        <w:sz w:val="22"/>
      </w:rPr>
      <w:tcPr>
        <w:shd w:val="clear" w:color="FDE9D9" w:themeColor="accent6" w:themeTint="34" w:fill="FDE9D9" w:themeFill="accent6" w:themeFillTint="34"/>
      </w:tcPr>
    </w:tblStylePr>
    <w:tblStylePr w:type="neCell"/>
    <w:tblStylePr w:type="nwCell"/>
    <w:tblStylePr w:type="seCell"/>
    <w:tblStylePr w:type="swCell"/>
  </w:style>
  <w:style w:type="table" w:customStyle="1" w:styleId="192">
    <w:name w:val="Bordered"/>
    <w:basedOn w:val="56"/>
    <w:qFormat/>
    <w:uiPriority w:val="99"/>
    <w:pPr>
      <w:spacing w:after="0" w:line="240" w:lineRule="auto"/>
    </w:pPr>
    <w:tblPr>
      <w:tbl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insideH w:val="single" w:color="D8D8D8" w:themeColor="text1" w:themeTint="26" w:sz="4" w:space="0"/>
        <w:insideV w:val="single" w:color="D8D8D8" w:themeColor="text1" w:themeTint="26" w:sz="4" w:space="0"/>
      </w:tblBorders>
    </w:tblPr>
    <w:tblStylePr w:type="firstRow">
      <w:rPr>
        <w:rFonts w:ascii="Arial" w:hAnsi="Arial"/>
        <w:color w:val="404040"/>
        <w:sz w:val="22"/>
      </w:rPr>
      <w:tcPr>
        <w:tcBorders>
          <w:bottom w:val="single" w:color="7E7E7E" w:themeColor="text1" w:themeTint="80" w:sz="12" w:space="0"/>
        </w:tcBorders>
      </w:tcPr>
    </w:tblStylePr>
    <w:tblStylePr w:type="lastRow">
      <w:rPr>
        <w:rFonts w:ascii="Arial" w:hAnsi="Arial"/>
        <w:color w:val="404040"/>
        <w:sz w:val="22"/>
      </w:rPr>
      <w:tcPr>
        <w:tcBorders>
          <w:top w:val="single" w:color="7E7E7E" w:themeColor="text1" w:themeTint="80"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7E7E7E" w:themeColor="text1" w:themeTint="80" w:sz="12" w:space="0"/>
        </w:tcBorders>
      </w:tcPr>
    </w:tblStylePr>
    <w:tblStylePr w:type="band1Vert"/>
    <w:tblStylePr w:type="band2Vert"/>
    <w:tblStylePr w:type="band1Horz">
      <w:rPr>
        <w:rFonts w:ascii="Arial" w:hAnsi="Arial"/>
        <w:color w:val="404040"/>
        <w:sz w:val="22"/>
      </w:rPr>
      <w:tcPr>
        <w:tcBorders>
          <w:top w:val="single" w:color="D8D8D8" w:themeColor="text1" w:themeTint="26" w:sz="4" w:space="0"/>
          <w:left w:val="single" w:color="D8D8D8" w:themeColor="text1" w:themeTint="26" w:sz="4" w:space="0"/>
          <w:bottom w:val="single" w:color="D8D8D8" w:themeColor="text1" w:themeTint="26" w:sz="4" w:space="0"/>
          <w:right w:val="single" w:color="D8D8D8" w:themeColor="text1" w:themeTint="26" w:sz="4" w:space="0"/>
        </w:tcBorders>
      </w:tcPr>
    </w:tblStylePr>
    <w:tblStylePr w:type="band2Horz"/>
    <w:tblStylePr w:type="neCell"/>
    <w:tblStylePr w:type="nwCell"/>
    <w:tblStylePr w:type="seCell"/>
    <w:tblStylePr w:type="swCell"/>
  </w:style>
  <w:style w:type="table" w:customStyle="1" w:styleId="193">
    <w:name w:val="Bordered - Accent 1"/>
    <w:basedOn w:val="56"/>
    <w:qFormat/>
    <w:uiPriority w:val="99"/>
    <w:pPr>
      <w:spacing w:after="0" w:line="240" w:lineRule="auto"/>
    </w:pPr>
    <w:tblPr>
      <w:tbl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insideH w:val="single" w:color="B7CCE4" w:themeColor="accent1" w:themeTint="67" w:sz="4" w:space="0"/>
        <w:insideV w:val="single" w:color="B7CCE4" w:themeColor="accent1" w:themeTint="67" w:sz="4" w:space="0"/>
      </w:tblBorders>
    </w:tblPr>
    <w:tblStylePr w:type="firstRow">
      <w:rPr>
        <w:rFonts w:ascii="Arial" w:hAnsi="Arial"/>
        <w:color w:val="404040"/>
        <w:sz w:val="22"/>
      </w:rPr>
      <w:tcPr>
        <w:tcBorders>
          <w:bottom w:val="single" w:color="4F81BD" w:themeColor="accent1" w:sz="12" w:space="0"/>
        </w:tcBorders>
      </w:tcPr>
    </w:tblStylePr>
    <w:tblStylePr w:type="lastRow">
      <w:rPr>
        <w:rFonts w:ascii="Arial" w:hAnsi="Arial"/>
        <w:color w:val="404040"/>
        <w:sz w:val="22"/>
      </w:rPr>
      <w:tcPr>
        <w:tcBorders>
          <w:top w:val="single" w:color="4F81BD" w:themeColor="accent1"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4F81BD" w:themeColor="accent1" w:sz="12" w:space="0"/>
        </w:tcBorders>
      </w:tcPr>
    </w:tblStylePr>
    <w:tblStylePr w:type="band1Vert"/>
    <w:tblStylePr w:type="band2Vert"/>
    <w:tblStylePr w:type="band1Horz">
      <w:rPr>
        <w:rFonts w:ascii="Arial" w:hAnsi="Arial"/>
        <w:color w:val="404040"/>
        <w:sz w:val="22"/>
      </w:rPr>
      <w:tcPr>
        <w:tcBorders>
          <w:top w:val="single" w:color="B7CCE4" w:themeColor="accent1" w:themeTint="67" w:sz="4" w:space="0"/>
          <w:left w:val="single" w:color="B7CCE4" w:themeColor="accent1" w:themeTint="67" w:sz="4" w:space="0"/>
          <w:bottom w:val="single" w:color="B7CCE4" w:themeColor="accent1" w:themeTint="67" w:sz="4" w:space="0"/>
          <w:right w:val="single" w:color="B7CCE4" w:themeColor="accent1" w:themeTint="67" w:sz="4" w:space="0"/>
        </w:tcBorders>
      </w:tcPr>
    </w:tblStylePr>
    <w:tblStylePr w:type="band2Horz"/>
    <w:tblStylePr w:type="neCell"/>
    <w:tblStylePr w:type="nwCell"/>
    <w:tblStylePr w:type="seCell"/>
    <w:tblStylePr w:type="swCell"/>
  </w:style>
  <w:style w:type="table" w:customStyle="1" w:styleId="194">
    <w:name w:val="Bordered - Accent 2"/>
    <w:basedOn w:val="56"/>
    <w:qFormat/>
    <w:uiPriority w:val="99"/>
    <w:pPr>
      <w:spacing w:after="0" w:line="240" w:lineRule="auto"/>
    </w:pPr>
    <w:tblPr>
      <w:tbl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insideH w:val="single" w:color="E5B8B7" w:themeColor="accent2" w:themeTint="67" w:sz="4" w:space="0"/>
        <w:insideV w:val="single" w:color="E5B8B7" w:themeColor="accent2" w:themeTint="67" w:sz="4" w:space="0"/>
      </w:tblBorders>
    </w:tblPr>
    <w:tblStylePr w:type="firstRow">
      <w:rPr>
        <w:rFonts w:ascii="Arial" w:hAnsi="Arial"/>
        <w:color w:val="404040"/>
        <w:sz w:val="22"/>
      </w:rPr>
      <w:tcPr>
        <w:tcBorders>
          <w:bottom w:val="single" w:color="D99795" w:themeColor="accent2" w:themeTint="97" w:sz="12" w:space="0"/>
        </w:tcBorders>
      </w:tcPr>
    </w:tblStylePr>
    <w:tblStylePr w:type="lastRow">
      <w:rPr>
        <w:rFonts w:ascii="Arial" w:hAnsi="Arial"/>
        <w:color w:val="404040"/>
        <w:sz w:val="22"/>
      </w:rPr>
      <w:tcPr>
        <w:tcBorders>
          <w:top w:val="single" w:color="D99795" w:themeColor="accent2" w:themeTint="97"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D99795" w:themeColor="accent2" w:themeTint="97" w:sz="12" w:space="0"/>
        </w:tcBorders>
      </w:tcPr>
    </w:tblStylePr>
    <w:tblStylePr w:type="band1Vert"/>
    <w:tblStylePr w:type="band2Vert"/>
    <w:tblStylePr w:type="band1Horz">
      <w:rPr>
        <w:rFonts w:ascii="Arial" w:hAnsi="Arial"/>
        <w:color w:val="404040"/>
        <w:sz w:val="22"/>
      </w:rPr>
      <w:tcPr>
        <w:tcBorders>
          <w:top w:val="single" w:color="E5B8B7" w:themeColor="accent2" w:themeTint="67" w:sz="4" w:space="0"/>
          <w:left w:val="single" w:color="E5B8B7" w:themeColor="accent2" w:themeTint="67" w:sz="4" w:space="0"/>
          <w:bottom w:val="single" w:color="E5B8B7" w:themeColor="accent2" w:themeTint="67" w:sz="4" w:space="0"/>
          <w:right w:val="single" w:color="E5B8B7" w:themeColor="accent2" w:themeTint="67" w:sz="4" w:space="0"/>
        </w:tcBorders>
      </w:tcPr>
    </w:tblStylePr>
    <w:tblStylePr w:type="band2Horz"/>
    <w:tblStylePr w:type="neCell"/>
    <w:tblStylePr w:type="nwCell"/>
    <w:tblStylePr w:type="seCell"/>
    <w:tblStylePr w:type="swCell"/>
  </w:style>
  <w:style w:type="table" w:customStyle="1" w:styleId="195">
    <w:name w:val="Bordered - Accent 3"/>
    <w:basedOn w:val="56"/>
    <w:qFormat/>
    <w:uiPriority w:val="99"/>
    <w:pPr>
      <w:spacing w:after="0" w:line="240" w:lineRule="auto"/>
    </w:pPr>
    <w:tblPr>
      <w:tbl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insideH w:val="single" w:color="D6E3BB" w:themeColor="accent3" w:themeTint="67" w:sz="4" w:space="0"/>
        <w:insideV w:val="single" w:color="D6E3BB" w:themeColor="accent3" w:themeTint="67" w:sz="4" w:space="0"/>
      </w:tblBorders>
    </w:tblPr>
    <w:tblStylePr w:type="firstRow">
      <w:rPr>
        <w:rFonts w:ascii="Arial" w:hAnsi="Arial"/>
        <w:color w:val="404040"/>
        <w:sz w:val="22"/>
      </w:rPr>
      <w:tcPr>
        <w:tcBorders>
          <w:bottom w:val="single" w:color="C3D69C" w:themeColor="accent3" w:themeTint="98" w:sz="12" w:space="0"/>
        </w:tcBorders>
      </w:tcPr>
    </w:tblStylePr>
    <w:tblStylePr w:type="lastRow">
      <w:rPr>
        <w:rFonts w:ascii="Arial" w:hAnsi="Arial"/>
        <w:color w:val="404040"/>
        <w:sz w:val="22"/>
      </w:rPr>
      <w:tcPr>
        <w:tcBorders>
          <w:top w:val="single" w:color="C3D69C" w:themeColor="accent3"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C3D69C" w:themeColor="accent3" w:themeTint="98" w:sz="12" w:space="0"/>
        </w:tcBorders>
      </w:tcPr>
    </w:tblStylePr>
    <w:tblStylePr w:type="band1Vert"/>
    <w:tblStylePr w:type="band2Vert"/>
    <w:tblStylePr w:type="band1Horz">
      <w:rPr>
        <w:rFonts w:ascii="Arial" w:hAnsi="Arial"/>
        <w:color w:val="404040"/>
        <w:sz w:val="22"/>
      </w:rPr>
      <w:tcPr>
        <w:tcBorders>
          <w:top w:val="single" w:color="D6E3BB" w:themeColor="accent3" w:themeTint="67" w:sz="4" w:space="0"/>
          <w:left w:val="single" w:color="D6E3BB" w:themeColor="accent3" w:themeTint="67" w:sz="4" w:space="0"/>
          <w:bottom w:val="single" w:color="D6E3BB" w:themeColor="accent3" w:themeTint="67" w:sz="4" w:space="0"/>
          <w:right w:val="single" w:color="D6E3BB" w:themeColor="accent3" w:themeTint="67" w:sz="4" w:space="0"/>
        </w:tcBorders>
      </w:tcPr>
    </w:tblStylePr>
    <w:tblStylePr w:type="band2Horz"/>
    <w:tblStylePr w:type="neCell"/>
    <w:tblStylePr w:type="nwCell"/>
    <w:tblStylePr w:type="seCell"/>
    <w:tblStylePr w:type="swCell"/>
  </w:style>
  <w:style w:type="table" w:customStyle="1" w:styleId="196">
    <w:name w:val="Bordered - Accent 4"/>
    <w:basedOn w:val="56"/>
    <w:qFormat/>
    <w:uiPriority w:val="99"/>
    <w:pPr>
      <w:spacing w:after="0" w:line="240" w:lineRule="auto"/>
    </w:pPr>
    <w:tblPr>
      <w:tbl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insideH w:val="single" w:color="CBC0D9" w:themeColor="accent4" w:themeTint="67" w:sz="4" w:space="0"/>
        <w:insideV w:val="single" w:color="CBC0D9" w:themeColor="accent4" w:themeTint="67" w:sz="4" w:space="0"/>
      </w:tblBorders>
    </w:tblPr>
    <w:tblStylePr w:type="firstRow">
      <w:rPr>
        <w:rFonts w:ascii="Arial" w:hAnsi="Arial"/>
        <w:color w:val="404040"/>
        <w:sz w:val="22"/>
      </w:rPr>
      <w:tcPr>
        <w:tcBorders>
          <w:bottom w:val="single" w:color="B2A1C6" w:themeColor="accent4" w:themeTint="9A" w:sz="12" w:space="0"/>
        </w:tcBorders>
      </w:tcPr>
    </w:tblStylePr>
    <w:tblStylePr w:type="lastRow">
      <w:rPr>
        <w:rFonts w:ascii="Arial" w:hAnsi="Arial"/>
        <w:color w:val="404040"/>
        <w:sz w:val="22"/>
      </w:rPr>
      <w:tcPr>
        <w:tcBorders>
          <w:top w:val="single" w:color="B2A1C6" w:themeColor="accent4"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B2A1C6" w:themeColor="accent4" w:themeTint="9A" w:sz="12" w:space="0"/>
        </w:tcBorders>
      </w:tcPr>
    </w:tblStylePr>
    <w:tblStylePr w:type="band1Vert"/>
    <w:tblStylePr w:type="band2Vert"/>
    <w:tblStylePr w:type="band1Horz">
      <w:rPr>
        <w:rFonts w:ascii="Arial" w:hAnsi="Arial"/>
        <w:color w:val="404040"/>
        <w:sz w:val="22"/>
      </w:rPr>
      <w:tcPr>
        <w:tcBorders>
          <w:top w:val="single" w:color="CBC0D9" w:themeColor="accent4" w:themeTint="67" w:sz="4" w:space="0"/>
          <w:left w:val="single" w:color="CBC0D9" w:themeColor="accent4" w:themeTint="67" w:sz="4" w:space="0"/>
          <w:bottom w:val="single" w:color="CBC0D9" w:themeColor="accent4" w:themeTint="67" w:sz="4" w:space="0"/>
          <w:right w:val="single" w:color="CBC0D9" w:themeColor="accent4" w:themeTint="67" w:sz="4" w:space="0"/>
        </w:tcBorders>
      </w:tcPr>
    </w:tblStylePr>
    <w:tblStylePr w:type="band2Horz"/>
    <w:tblStylePr w:type="neCell"/>
    <w:tblStylePr w:type="nwCell"/>
    <w:tblStylePr w:type="seCell"/>
    <w:tblStylePr w:type="swCell"/>
  </w:style>
  <w:style w:type="table" w:customStyle="1" w:styleId="197">
    <w:name w:val="Bordered - Accent 5"/>
    <w:basedOn w:val="56"/>
    <w:qFormat/>
    <w:uiPriority w:val="99"/>
    <w:pPr>
      <w:spacing w:after="0" w:line="240" w:lineRule="auto"/>
    </w:pPr>
    <w:tblPr>
      <w:tbl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insideH w:val="single" w:color="B6DDE7" w:themeColor="accent5" w:themeTint="67" w:sz="4" w:space="0"/>
        <w:insideV w:val="single" w:color="B6DDE7" w:themeColor="accent5" w:themeTint="67" w:sz="4" w:space="0"/>
      </w:tblBorders>
    </w:tblPr>
    <w:tblStylePr w:type="firstRow">
      <w:rPr>
        <w:rFonts w:ascii="Arial" w:hAnsi="Arial"/>
        <w:color w:val="404040"/>
        <w:sz w:val="22"/>
      </w:rPr>
      <w:tcPr>
        <w:tcBorders>
          <w:bottom w:val="single" w:color="92CCDC" w:themeColor="accent5" w:themeTint="9A" w:sz="12" w:space="0"/>
        </w:tcBorders>
      </w:tcPr>
    </w:tblStylePr>
    <w:tblStylePr w:type="lastRow">
      <w:rPr>
        <w:rFonts w:ascii="Arial" w:hAnsi="Arial"/>
        <w:color w:val="404040"/>
        <w:sz w:val="22"/>
      </w:rPr>
      <w:tcPr>
        <w:tcBorders>
          <w:top w:val="single" w:color="92CCDC" w:themeColor="accent5" w:themeTint="9A"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92CCDC" w:themeColor="accent5" w:themeTint="9A" w:sz="12" w:space="0"/>
        </w:tcBorders>
      </w:tcPr>
    </w:tblStylePr>
    <w:tblStylePr w:type="band1Vert"/>
    <w:tblStylePr w:type="band2Vert"/>
    <w:tblStylePr w:type="band1Horz">
      <w:rPr>
        <w:rFonts w:ascii="Arial" w:hAnsi="Arial"/>
        <w:color w:val="404040"/>
        <w:sz w:val="22"/>
      </w:rPr>
      <w:tcPr>
        <w:tcBorders>
          <w:top w:val="single" w:color="B6DDE7" w:themeColor="accent5" w:themeTint="67" w:sz="4" w:space="0"/>
          <w:left w:val="single" w:color="B6DDE7" w:themeColor="accent5" w:themeTint="67" w:sz="4" w:space="0"/>
          <w:bottom w:val="single" w:color="B6DDE7" w:themeColor="accent5" w:themeTint="67" w:sz="4" w:space="0"/>
          <w:right w:val="single" w:color="B6DDE7" w:themeColor="accent5" w:themeTint="67" w:sz="4" w:space="0"/>
        </w:tcBorders>
      </w:tcPr>
    </w:tblStylePr>
    <w:tblStylePr w:type="band2Horz"/>
    <w:tblStylePr w:type="neCell"/>
    <w:tblStylePr w:type="nwCell"/>
    <w:tblStylePr w:type="seCell"/>
    <w:tblStylePr w:type="swCell"/>
  </w:style>
  <w:style w:type="table" w:customStyle="1" w:styleId="198">
    <w:name w:val="Bordered - Accent 6"/>
    <w:basedOn w:val="56"/>
    <w:qFormat/>
    <w:uiPriority w:val="99"/>
    <w:pPr>
      <w:spacing w:after="0" w:line="240" w:lineRule="auto"/>
    </w:pPr>
    <w:tblPr>
      <w:tbl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insideH w:val="single" w:color="FBD4B4" w:themeColor="accent6" w:themeTint="67" w:sz="4" w:space="0"/>
        <w:insideV w:val="single" w:color="FBD4B4" w:themeColor="accent6" w:themeTint="67" w:sz="4" w:space="0"/>
      </w:tblBorders>
    </w:tblPr>
    <w:tblStylePr w:type="firstRow">
      <w:rPr>
        <w:rFonts w:ascii="Arial" w:hAnsi="Arial"/>
        <w:color w:val="404040"/>
        <w:sz w:val="22"/>
      </w:rPr>
      <w:tcPr>
        <w:tcBorders>
          <w:bottom w:val="single" w:color="FAC090" w:themeColor="accent6" w:themeTint="98" w:sz="12" w:space="0"/>
        </w:tcBorders>
      </w:tcPr>
    </w:tblStylePr>
    <w:tblStylePr w:type="lastRow">
      <w:rPr>
        <w:rFonts w:ascii="Arial" w:hAnsi="Arial"/>
        <w:color w:val="404040"/>
        <w:sz w:val="22"/>
      </w:rPr>
      <w:tcPr>
        <w:tcBorders>
          <w:top w:val="single" w:color="FAC090" w:themeColor="accent6" w:themeTint="98" w:sz="12" w:space="0"/>
        </w:tcBorders>
      </w:tcPr>
    </w:tblStylePr>
    <w:tblStylePr w:type="firstCol">
      <w:rPr>
        <w:rFonts w:ascii="Arial" w:hAnsi="Arial"/>
        <w:color w:val="404040"/>
        <w:sz w:val="22"/>
      </w:rPr>
    </w:tblStylePr>
    <w:tblStylePr w:type="lastCol">
      <w:rPr>
        <w:rFonts w:ascii="Arial" w:hAnsi="Arial"/>
        <w:color w:val="404040"/>
        <w:sz w:val="22"/>
      </w:rPr>
      <w:tcPr>
        <w:tcBorders>
          <w:left w:val="single" w:color="FAC090" w:themeColor="accent6" w:themeTint="98" w:sz="12" w:space="0"/>
        </w:tcBorders>
      </w:tcPr>
    </w:tblStylePr>
    <w:tblStylePr w:type="band1Vert"/>
    <w:tblStylePr w:type="band2Vert"/>
    <w:tblStylePr w:type="band1Horz">
      <w:rPr>
        <w:rFonts w:ascii="Arial" w:hAnsi="Arial"/>
        <w:color w:val="404040"/>
        <w:sz w:val="22"/>
      </w:rPr>
      <w:tcPr>
        <w:tcBorders>
          <w:top w:val="single" w:color="FBD4B4" w:themeColor="accent6" w:themeTint="67" w:sz="4" w:space="0"/>
          <w:left w:val="single" w:color="FBD4B4" w:themeColor="accent6" w:themeTint="67" w:sz="4" w:space="0"/>
          <w:bottom w:val="single" w:color="FBD4B4" w:themeColor="accent6" w:themeTint="67" w:sz="4" w:space="0"/>
          <w:right w:val="single" w:color="FBD4B4" w:themeColor="accent6" w:themeTint="67" w:sz="4" w:space="0"/>
        </w:tcBorders>
      </w:tcPr>
    </w:tblStylePr>
    <w:tblStylePr w:type="band2Horz"/>
    <w:tblStylePr w:type="neCell"/>
    <w:tblStylePr w:type="nwCell"/>
    <w:tblStylePr w:type="seCell"/>
    <w:tblStylePr w:type="swCell"/>
  </w:style>
  <w:style w:type="character" w:customStyle="1" w:styleId="199">
    <w:name w:val="Heading 6 Char"/>
    <w:basedOn w:val="58"/>
    <w:qFormat/>
    <w:uiPriority w:val="9"/>
    <w:rPr>
      <w:rFonts w:ascii="Arial" w:hAnsi="Arial" w:eastAsia="Arial" w:cs="Arial"/>
      <w:i/>
      <w:iCs/>
      <w:color w:val="595959" w:themeColor="text1" w:themeTint="A6"/>
      <w14:textFill>
        <w14:solidFill>
          <w14:schemeClr w14:val="tx1">
            <w14:lumMod w14:val="65000"/>
            <w14:lumOff w14:val="35000"/>
          </w14:schemeClr>
        </w14:solidFill>
      </w14:textFill>
    </w:rPr>
  </w:style>
  <w:style w:type="character" w:customStyle="1" w:styleId="200">
    <w:name w:val="Heading 7 Char"/>
    <w:basedOn w:val="58"/>
    <w:qFormat/>
    <w:uiPriority w:val="9"/>
    <w:rPr>
      <w:rFonts w:ascii="Arial" w:hAnsi="Arial" w:eastAsia="Arial" w:cs="Arial"/>
      <w:color w:val="595959" w:themeColor="text1" w:themeTint="A6"/>
      <w14:textFill>
        <w14:solidFill>
          <w14:schemeClr w14:val="tx1">
            <w14:lumMod w14:val="65000"/>
            <w14:lumOff w14:val="35000"/>
          </w14:schemeClr>
        </w14:solidFill>
      </w14:textFill>
    </w:rPr>
  </w:style>
  <w:style w:type="character" w:customStyle="1" w:styleId="201">
    <w:name w:val="Heading 8 Char"/>
    <w:basedOn w:val="5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2">
    <w:name w:val="Heading 9 Char"/>
    <w:basedOn w:val="58"/>
    <w:qFormat/>
    <w:uiPriority w:val="9"/>
    <w:rPr>
      <w:rFonts w:ascii="Arial" w:hAnsi="Arial" w:eastAsia="Arial" w:cs="Arial"/>
      <w:i/>
      <w:iCs/>
      <w:color w:val="262626" w:themeColor="text1" w:themeTint="D9"/>
      <w14:textFill>
        <w14:solidFill>
          <w14:schemeClr w14:val="tx1">
            <w14:lumMod w14:val="85000"/>
            <w14:lumOff w14:val="15000"/>
          </w14:schemeClr>
        </w14:solidFill>
      </w14:textFill>
    </w:rPr>
  </w:style>
  <w:style w:type="character" w:customStyle="1" w:styleId="203">
    <w:name w:val="Subtitle Char"/>
    <w:basedOn w:val="58"/>
    <w:qFormat/>
    <w:uiPriority w:val="11"/>
    <w:rPr>
      <w:color w:val="595959" w:themeColor="text1" w:themeTint="A6"/>
      <w:spacing w:val="15"/>
      <w:sz w:val="28"/>
      <w:szCs w:val="28"/>
      <w14:textFill>
        <w14:solidFill>
          <w14:schemeClr w14:val="tx1">
            <w14:lumMod w14:val="65000"/>
            <w14:lumOff w14:val="35000"/>
          </w14:schemeClr>
        </w14:solidFill>
      </w14:textFill>
    </w:rPr>
  </w:style>
  <w:style w:type="character" w:customStyle="1" w:styleId="204">
    <w:name w:val="Quote Char"/>
    <w:basedOn w:val="58"/>
    <w:qFormat/>
    <w:uiPriority w:val="29"/>
    <w:rPr>
      <w:i/>
      <w:iCs/>
      <w:color w:val="404040" w:themeColor="text1" w:themeTint="BF"/>
      <w14:textFill>
        <w14:solidFill>
          <w14:schemeClr w14:val="tx1">
            <w14:lumMod w14:val="75000"/>
            <w14:lumOff w14:val="25000"/>
          </w14:schemeClr>
        </w14:solidFill>
      </w14:textFill>
    </w:rPr>
  </w:style>
  <w:style w:type="character" w:customStyle="1" w:styleId="205">
    <w:name w:val="Intense Quote Char"/>
    <w:basedOn w:val="58"/>
    <w:qFormat/>
    <w:uiPriority w:val="30"/>
    <w:rPr>
      <w:i/>
      <w:iCs/>
      <w:color w:val="376092" w:themeColor="accent1" w:themeShade="BF"/>
    </w:rPr>
  </w:style>
  <w:style w:type="character" w:customStyle="1" w:styleId="206">
    <w:name w:val="Endnote Text Char"/>
    <w:basedOn w:val="58"/>
    <w:link w:val="33"/>
    <w:semiHidden/>
    <w:qFormat/>
    <w:uiPriority w:val="99"/>
    <w:rPr>
      <w:sz w:val="20"/>
      <w:szCs w:val="20"/>
    </w:rPr>
  </w:style>
  <w:style w:type="character" w:styleId="207">
    <w:name w:val="Placeholder Text"/>
    <w:basedOn w:val="58"/>
    <w:semiHidden/>
    <w:qFormat/>
    <w:uiPriority w:val="99"/>
    <w:rPr>
      <w:color w:val="666666"/>
    </w:rPr>
  </w:style>
  <w:style w:type="character" w:customStyle="1" w:styleId="208">
    <w:name w:val="标题 2 Char1"/>
    <w:link w:val="4"/>
    <w:qFormat/>
    <w:uiPriority w:val="0"/>
    <w:rPr>
      <w:rFonts w:ascii="Cambria" w:hAnsi="Cambria" w:eastAsia="宋体" w:cs="Times New Roman"/>
      <w:b/>
      <w:bCs/>
      <w:sz w:val="32"/>
      <w:szCs w:val="32"/>
    </w:rPr>
  </w:style>
  <w:style w:type="character" w:customStyle="1" w:styleId="209">
    <w:name w:val="标题 4 Char"/>
    <w:link w:val="6"/>
    <w:qFormat/>
    <w:uiPriority w:val="0"/>
    <w:rPr>
      <w:rFonts w:ascii="宋体" w:hAnsi="宋体" w:eastAsia="宋体"/>
      <w:b/>
      <w:bCs/>
      <w:iCs/>
      <w:sz w:val="21"/>
    </w:rPr>
  </w:style>
  <w:style w:type="character" w:customStyle="1" w:styleId="210">
    <w:name w:val="正文缩进 Char"/>
    <w:link w:val="2"/>
    <w:qFormat/>
    <w:uiPriority w:val="0"/>
    <w:rPr>
      <w:sz w:val="21"/>
    </w:rPr>
  </w:style>
  <w:style w:type="character" w:customStyle="1" w:styleId="211">
    <w:name w:val="标题 1 Char"/>
    <w:link w:val="3"/>
    <w:qFormat/>
    <w:uiPriority w:val="0"/>
    <w:rPr>
      <w:rFonts w:ascii="Times New Roman" w:hAnsi="Times New Roman" w:eastAsia="宋体" w:cs="Times New Roman"/>
      <w:b/>
      <w:bCs/>
      <w:sz w:val="36"/>
      <w:szCs w:val="44"/>
    </w:rPr>
  </w:style>
  <w:style w:type="character" w:customStyle="1" w:styleId="212">
    <w:name w:val="标题 5 Char"/>
    <w:link w:val="7"/>
    <w:qFormat/>
    <w:uiPriority w:val="0"/>
    <w:rPr>
      <w:rFonts w:ascii="Times New Roman" w:hAnsi="Times New Roman" w:eastAsia="宋体" w:cs="Times New Roman"/>
      <w:b/>
      <w:bCs/>
      <w:sz w:val="28"/>
      <w:szCs w:val="28"/>
    </w:rPr>
  </w:style>
  <w:style w:type="character" w:customStyle="1" w:styleId="213">
    <w:name w:val="标题 6 Char"/>
    <w:link w:val="8"/>
    <w:qFormat/>
    <w:uiPriority w:val="0"/>
    <w:rPr>
      <w:rFonts w:ascii="Cambria" w:hAnsi="Cambria" w:eastAsia="宋体" w:cs="Times New Roman"/>
      <w:b/>
      <w:bCs/>
      <w:sz w:val="24"/>
      <w:szCs w:val="24"/>
    </w:rPr>
  </w:style>
  <w:style w:type="character" w:customStyle="1" w:styleId="214">
    <w:name w:val="标题 7 Char"/>
    <w:link w:val="9"/>
    <w:qFormat/>
    <w:uiPriority w:val="0"/>
    <w:rPr>
      <w:rFonts w:ascii="Times New Roman" w:hAnsi="Times New Roman" w:eastAsia="宋体" w:cs="Times New Roman"/>
      <w:b/>
      <w:bCs/>
      <w:sz w:val="24"/>
      <w:szCs w:val="24"/>
    </w:rPr>
  </w:style>
  <w:style w:type="character" w:customStyle="1" w:styleId="215">
    <w:name w:val="标题 8 Char"/>
    <w:link w:val="10"/>
    <w:qFormat/>
    <w:uiPriority w:val="0"/>
    <w:rPr>
      <w:rFonts w:ascii="Cambria" w:hAnsi="Cambria" w:eastAsia="宋体" w:cs="Times New Roman"/>
      <w:sz w:val="24"/>
      <w:szCs w:val="24"/>
    </w:rPr>
  </w:style>
  <w:style w:type="character" w:customStyle="1" w:styleId="216">
    <w:name w:val="标题 9 Char"/>
    <w:link w:val="11"/>
    <w:qFormat/>
    <w:uiPriority w:val="0"/>
    <w:rPr>
      <w:rFonts w:ascii="Cambria" w:hAnsi="Cambria" w:eastAsia="宋体" w:cs="Times New Roman"/>
      <w:szCs w:val="21"/>
    </w:rPr>
  </w:style>
  <w:style w:type="character" w:customStyle="1" w:styleId="217">
    <w:name w:val="文档结构图 Char"/>
    <w:link w:val="17"/>
    <w:qFormat/>
    <w:uiPriority w:val="0"/>
    <w:rPr>
      <w:rFonts w:ascii="Times New Roman" w:hAnsi="Times New Roman" w:eastAsia="宋体" w:cs="Times New Roman"/>
      <w:szCs w:val="24"/>
      <w:shd w:val="clear" w:color="auto" w:fill="000080"/>
    </w:rPr>
  </w:style>
  <w:style w:type="character" w:customStyle="1" w:styleId="218">
    <w:name w:val="批注文字 Char"/>
    <w:link w:val="18"/>
    <w:qFormat/>
    <w:uiPriority w:val="0"/>
    <w:rPr>
      <w:szCs w:val="24"/>
    </w:rPr>
  </w:style>
  <w:style w:type="character" w:customStyle="1" w:styleId="219">
    <w:name w:val="正文文本 3 Char"/>
    <w:link w:val="19"/>
    <w:qFormat/>
    <w:uiPriority w:val="0"/>
    <w:rPr>
      <w:rFonts w:ascii="宋体" w:hAnsi="Times New Roman" w:eastAsia="宋体" w:cs="Times New Roman"/>
      <w:sz w:val="24"/>
      <w:szCs w:val="20"/>
    </w:rPr>
  </w:style>
  <w:style w:type="character" w:customStyle="1" w:styleId="220">
    <w:name w:val="正文文本 Char"/>
    <w:link w:val="20"/>
    <w:qFormat/>
    <w:uiPriority w:val="0"/>
    <w:rPr>
      <w:rFonts w:ascii="Times New Roman" w:hAnsi="Times New Roman" w:eastAsia="宋体" w:cs="Times New Roman"/>
      <w:szCs w:val="24"/>
    </w:rPr>
  </w:style>
  <w:style w:type="character" w:customStyle="1" w:styleId="221">
    <w:name w:val="正文文本缩进 Char"/>
    <w:link w:val="21"/>
    <w:qFormat/>
    <w:uiPriority w:val="0"/>
    <w:rPr>
      <w:rFonts w:ascii="Times New Roman" w:hAnsi="Times New Roman" w:eastAsia="宋体" w:cs="Times New Roman"/>
      <w:szCs w:val="24"/>
    </w:rPr>
  </w:style>
  <w:style w:type="character" w:customStyle="1" w:styleId="222">
    <w:name w:val="纯文本 Char"/>
    <w:link w:val="28"/>
    <w:qFormat/>
    <w:uiPriority w:val="0"/>
    <w:rPr>
      <w:rFonts w:ascii="宋体" w:hAnsi="Courier New" w:eastAsia="宋体"/>
    </w:rPr>
  </w:style>
  <w:style w:type="character" w:customStyle="1" w:styleId="223">
    <w:name w:val="日期 Char"/>
    <w:link w:val="31"/>
    <w:qFormat/>
    <w:uiPriority w:val="0"/>
    <w:rPr>
      <w:szCs w:val="24"/>
    </w:rPr>
  </w:style>
  <w:style w:type="character" w:customStyle="1" w:styleId="224">
    <w:name w:val="正文文本缩进 2 Char"/>
    <w:link w:val="32"/>
    <w:qFormat/>
    <w:uiPriority w:val="0"/>
    <w:rPr>
      <w:rFonts w:ascii="Times New Roman" w:hAnsi="Times New Roman" w:eastAsia="宋体" w:cs="Times New Roman"/>
      <w:szCs w:val="24"/>
    </w:rPr>
  </w:style>
  <w:style w:type="character" w:customStyle="1" w:styleId="225">
    <w:name w:val="批注框文本 Char"/>
    <w:link w:val="34"/>
    <w:qFormat/>
    <w:uiPriority w:val="0"/>
    <w:rPr>
      <w:rFonts w:ascii="Times New Roman" w:hAnsi="Times New Roman" w:eastAsia="宋体" w:cs="Times New Roman"/>
      <w:sz w:val="18"/>
      <w:szCs w:val="18"/>
    </w:rPr>
  </w:style>
  <w:style w:type="character" w:customStyle="1" w:styleId="226">
    <w:name w:val="页脚 Char"/>
    <w:link w:val="35"/>
    <w:qFormat/>
    <w:uiPriority w:val="0"/>
    <w:rPr>
      <w:rFonts w:ascii="Times New Roman" w:hAnsi="Times New Roman" w:eastAsia="宋体" w:cs="Times New Roman"/>
      <w:sz w:val="18"/>
      <w:szCs w:val="18"/>
    </w:rPr>
  </w:style>
  <w:style w:type="character" w:customStyle="1" w:styleId="227">
    <w:name w:val="页眉 Char"/>
    <w:link w:val="37"/>
    <w:qFormat/>
    <w:uiPriority w:val="0"/>
    <w:rPr>
      <w:rFonts w:ascii="Times New Roman" w:hAnsi="Times New Roman" w:eastAsia="宋体" w:cs="Times New Roman"/>
      <w:sz w:val="18"/>
      <w:szCs w:val="18"/>
    </w:rPr>
  </w:style>
  <w:style w:type="character" w:customStyle="1" w:styleId="228">
    <w:name w:val="副标题 Char"/>
    <w:link w:val="40"/>
    <w:qFormat/>
    <w:uiPriority w:val="0"/>
    <w:rPr>
      <w:rFonts w:ascii="Cambria" w:hAnsi="Cambria" w:cs="Times New Roman"/>
      <w:b/>
      <w:bCs/>
      <w:sz w:val="32"/>
      <w:szCs w:val="32"/>
    </w:rPr>
  </w:style>
  <w:style w:type="character" w:customStyle="1" w:styleId="229">
    <w:name w:val="脚注文本 Char1"/>
    <w:link w:val="41"/>
    <w:qFormat/>
    <w:uiPriority w:val="0"/>
    <w:rPr>
      <w:sz w:val="18"/>
      <w:szCs w:val="18"/>
    </w:rPr>
  </w:style>
  <w:style w:type="character" w:customStyle="1" w:styleId="230">
    <w:name w:val="正文文本缩进 3 Char"/>
    <w:link w:val="44"/>
    <w:qFormat/>
    <w:uiPriority w:val="0"/>
    <w:rPr>
      <w:rFonts w:ascii="Times New Roman" w:hAnsi="Times New Roman" w:eastAsia="宋体" w:cs="Times New Roman"/>
      <w:sz w:val="16"/>
      <w:szCs w:val="16"/>
    </w:rPr>
  </w:style>
  <w:style w:type="character" w:customStyle="1" w:styleId="231">
    <w:name w:val="目录 2 Char"/>
    <w:link w:val="47"/>
    <w:qFormat/>
    <w:uiPriority w:val="39"/>
    <w:rPr>
      <w:rFonts w:ascii="Times New Roman" w:hAnsi="Times New Roman" w:eastAsia="宋体" w:cs="Times New Roman"/>
      <w:szCs w:val="24"/>
    </w:rPr>
  </w:style>
  <w:style w:type="character" w:customStyle="1" w:styleId="232">
    <w:name w:val="正文文本 2 Char"/>
    <w:link w:val="49"/>
    <w:qFormat/>
    <w:uiPriority w:val="0"/>
    <w:rPr>
      <w:szCs w:val="24"/>
    </w:rPr>
  </w:style>
  <w:style w:type="character" w:customStyle="1" w:styleId="233">
    <w:name w:val="HTML 预设格式 Char"/>
    <w:link w:val="50"/>
    <w:qFormat/>
    <w:uiPriority w:val="0"/>
    <w:rPr>
      <w:rFonts w:ascii="Arial" w:hAnsi="Arial" w:cs="Arial"/>
      <w:sz w:val="24"/>
      <w:szCs w:val="24"/>
    </w:rPr>
  </w:style>
  <w:style w:type="character" w:customStyle="1" w:styleId="234">
    <w:name w:val="标题 Char"/>
    <w:link w:val="53"/>
    <w:qFormat/>
    <w:uiPriority w:val="0"/>
    <w:rPr>
      <w:rFonts w:ascii="Cambria" w:hAnsi="Cambria"/>
      <w:b/>
      <w:bCs/>
      <w:sz w:val="32"/>
      <w:szCs w:val="32"/>
    </w:rPr>
  </w:style>
  <w:style w:type="character" w:customStyle="1" w:styleId="235">
    <w:name w:val="批注主题 Char"/>
    <w:link w:val="54"/>
    <w:qFormat/>
    <w:uiPriority w:val="0"/>
    <w:rPr>
      <w:rFonts w:ascii="Times New Roman" w:hAnsi="Times New Roman" w:eastAsia="宋体" w:cs="Times New Roman"/>
      <w:b/>
      <w:bCs/>
      <w:szCs w:val="24"/>
    </w:rPr>
  </w:style>
  <w:style w:type="character" w:customStyle="1" w:styleId="236">
    <w:name w:val="正文首行缩进 Char"/>
    <w:link w:val="55"/>
    <w:qFormat/>
    <w:uiPriority w:val="0"/>
    <w:rPr>
      <w:rFonts w:ascii="Times New Roman" w:hAnsi="Times New Roman" w:eastAsia="宋体" w:cs="Times New Roman"/>
      <w:sz w:val="21"/>
      <w:szCs w:val="24"/>
    </w:rPr>
  </w:style>
  <w:style w:type="paragraph" w:customStyle="1" w:styleId="237">
    <w:name w:val="Default"/>
    <w:basedOn w:val="53"/>
    <w:qFormat/>
    <w:uiPriority w:val="0"/>
    <w:pPr>
      <w:widowControl w:val="0"/>
    </w:pPr>
    <w:rPr>
      <w:rFonts w:cs="Calibri"/>
      <w:color w:val="000000"/>
      <w:sz w:val="24"/>
      <w:szCs w:val="24"/>
      <w:lang w:val="en-US" w:eastAsia="zh-CN" w:bidi="ar-SA"/>
    </w:rPr>
  </w:style>
  <w:style w:type="character" w:customStyle="1" w:styleId="238">
    <w:name w:val="页眉 Char1"/>
    <w:semiHidden/>
    <w:qFormat/>
    <w:uiPriority w:val="99"/>
    <w:rPr>
      <w:sz w:val="18"/>
      <w:szCs w:val="18"/>
    </w:rPr>
  </w:style>
  <w:style w:type="character" w:customStyle="1" w:styleId="239">
    <w:name w:val="copy1"/>
    <w:qFormat/>
    <w:uiPriority w:val="0"/>
    <w:rPr>
      <w:rFonts w:hint="default" w:ascii="Arial" w:hAnsi="Arial" w:cs="Arial"/>
      <w:color w:val="525252"/>
      <w:sz w:val="15"/>
      <w:szCs w:val="15"/>
      <w:u w:val="none"/>
    </w:rPr>
  </w:style>
  <w:style w:type="character" w:customStyle="1" w:styleId="240">
    <w:name w:val="表格标题_"/>
    <w:link w:val="241"/>
    <w:qFormat/>
    <w:uiPriority w:val="0"/>
    <w:rPr>
      <w:rFonts w:ascii="MingLiU" w:hAnsi="MingLiU" w:eastAsia="MingLiU"/>
      <w:shd w:val="clear" w:color="auto" w:fill="FFFFFF"/>
    </w:rPr>
  </w:style>
  <w:style w:type="paragraph" w:customStyle="1" w:styleId="241">
    <w:name w:val="表格标题"/>
    <w:basedOn w:val="1"/>
    <w:link w:val="240"/>
    <w:qFormat/>
    <w:uiPriority w:val="0"/>
    <w:pPr>
      <w:shd w:val="clear" w:color="auto" w:fill="FFFFFF"/>
      <w:spacing w:line="322" w:lineRule="exact"/>
      <w:jc w:val="both"/>
    </w:pPr>
    <w:rPr>
      <w:rFonts w:ascii="MingLiU" w:hAnsi="MingLiU" w:eastAsia="MingLiU"/>
      <w:sz w:val="20"/>
      <w:szCs w:val="20"/>
    </w:rPr>
  </w:style>
  <w:style w:type="character" w:customStyle="1" w:styleId="242">
    <w:name w:val="Char Char18"/>
    <w:qFormat/>
    <w:uiPriority w:val="0"/>
    <w:rPr>
      <w:rFonts w:ascii="Times New Roman" w:hAnsi="Times New Roman" w:eastAsia="宋体" w:cs="Times New Roman"/>
      <w:b/>
      <w:bCs/>
      <w:sz w:val="28"/>
      <w:szCs w:val="28"/>
    </w:rPr>
  </w:style>
  <w:style w:type="character" w:customStyle="1" w:styleId="243">
    <w:name w:val="Heading 1 Char"/>
    <w:qFormat/>
    <w:uiPriority w:val="0"/>
    <w:rPr>
      <w:rFonts w:eastAsia="宋体"/>
      <w:b/>
      <w:bCs/>
      <w:sz w:val="32"/>
      <w:szCs w:val="44"/>
      <w:lang w:val="en-US" w:eastAsia="zh-CN" w:bidi="ar-SA"/>
    </w:rPr>
  </w:style>
  <w:style w:type="character" w:customStyle="1" w:styleId="244">
    <w:name w:val="Document Map Char"/>
    <w:qFormat/>
    <w:uiPriority w:val="0"/>
    <w:rPr>
      <w:rFonts w:eastAsia="宋体"/>
      <w:sz w:val="21"/>
      <w:szCs w:val="24"/>
      <w:lang w:val="en-US" w:eastAsia="zh-CN" w:bidi="ar-SA"/>
    </w:rPr>
  </w:style>
  <w:style w:type="character" w:customStyle="1" w:styleId="245">
    <w:name w:val="不明显强调2"/>
    <w:qFormat/>
    <w:uiPriority w:val="19"/>
    <w:rPr>
      <w:i/>
      <w:iCs/>
      <w:color w:val="808080"/>
    </w:rPr>
  </w:style>
  <w:style w:type="character" w:customStyle="1" w:styleId="246">
    <w:name w:val="1ji Char Char"/>
    <w:link w:val="247"/>
    <w:qFormat/>
    <w:uiPriority w:val="0"/>
    <w:rPr>
      <w:rFonts w:ascii="宋体" w:hAnsi="宋体"/>
      <w:b/>
      <w:bCs/>
      <w:sz w:val="36"/>
    </w:rPr>
  </w:style>
  <w:style w:type="paragraph" w:customStyle="1" w:styleId="247">
    <w:name w:val="1ji"/>
    <w:basedOn w:val="3"/>
    <w:link w:val="246"/>
    <w:qFormat/>
    <w:uiPriority w:val="0"/>
    <w:pPr>
      <w:keepLines w:val="0"/>
      <w:widowControl/>
      <w:spacing w:before="0" w:after="0" w:line="240" w:lineRule="auto"/>
      <w:jc w:val="center"/>
    </w:pPr>
    <w:rPr>
      <w:rFonts w:ascii="宋体" w:hAnsi="宋体"/>
      <w:szCs w:val="20"/>
    </w:rPr>
  </w:style>
  <w:style w:type="character" w:customStyle="1" w:styleId="248">
    <w:name w:val="样式6 Char Char"/>
    <w:link w:val="249"/>
    <w:qFormat/>
    <w:uiPriority w:val="0"/>
    <w:rPr>
      <w:rFonts w:ascii="Times New Roman" w:hAnsi="Times New Roman" w:eastAsia="宋体" w:cs="Times New Roman"/>
      <w:sz w:val="18"/>
      <w:szCs w:val="18"/>
    </w:rPr>
  </w:style>
  <w:style w:type="paragraph" w:customStyle="1" w:styleId="249">
    <w:name w:val="样式6"/>
    <w:basedOn w:val="37"/>
    <w:next w:val="250"/>
    <w:link w:val="248"/>
    <w:qFormat/>
    <w:uiPriority w:val="0"/>
    <w:pPr>
      <w:pBdr>
        <w:bottom w:val="none" w:color="000000" w:sz="0" w:space="0"/>
      </w:pBdr>
      <w:spacing w:line="360" w:lineRule="exact"/>
      <w:ind w:firstLine="200"/>
    </w:pPr>
  </w:style>
  <w:style w:type="paragraph" w:customStyle="1" w:styleId="250">
    <w:name w:val="样式1"/>
    <w:basedOn w:val="37"/>
    <w:next w:val="1"/>
    <w:link w:val="251"/>
    <w:qFormat/>
    <w:uiPriority w:val="0"/>
    <w:pPr>
      <w:pBdr>
        <w:bottom w:val="none" w:color="000000" w:sz="0" w:space="0"/>
      </w:pBdr>
      <w:spacing w:line="360" w:lineRule="auto"/>
      <w:ind w:right="-876"/>
    </w:pPr>
    <w:rPr>
      <w:rFonts w:eastAsia="黑体"/>
      <w:b/>
      <w:sz w:val="44"/>
    </w:rPr>
  </w:style>
  <w:style w:type="character" w:customStyle="1" w:styleId="251">
    <w:name w:val="样式1 Char Char"/>
    <w:link w:val="250"/>
    <w:qFormat/>
    <w:uiPriority w:val="0"/>
    <w:rPr>
      <w:rFonts w:eastAsia="黑体"/>
      <w:b/>
      <w:sz w:val="44"/>
      <w:szCs w:val="18"/>
    </w:rPr>
  </w:style>
  <w:style w:type="character" w:customStyle="1" w:styleId="252">
    <w:name w:val="正文文本 (42)"/>
    <w:qFormat/>
    <w:uiPriority w:val="0"/>
    <w:rPr>
      <w:rFonts w:ascii="MingLiU" w:hAnsi="MingLiU" w:eastAsia="MingLiU"/>
      <w:b/>
      <w:bCs/>
      <w:color w:val="000000"/>
      <w:spacing w:val="0"/>
      <w:position w:val="0"/>
      <w:u w:val="single"/>
      <w:lang w:val="zh-CN" w:eastAsia="zh-CN" w:bidi="ar-SA"/>
    </w:rPr>
  </w:style>
  <w:style w:type="character" w:customStyle="1" w:styleId="253">
    <w:name w:val="标题4 Char Char"/>
    <w:link w:val="254"/>
    <w:qFormat/>
    <w:uiPriority w:val="0"/>
    <w:rPr>
      <w:rFonts w:ascii="Arial" w:hAnsi="Arial"/>
      <w:b/>
      <w:bCs/>
      <w:sz w:val="24"/>
      <w:szCs w:val="32"/>
    </w:rPr>
  </w:style>
  <w:style w:type="paragraph" w:customStyle="1" w:styleId="254">
    <w:name w:val="标题4"/>
    <w:basedOn w:val="4"/>
    <w:next w:val="25"/>
    <w:link w:val="253"/>
    <w:qFormat/>
    <w:uiPriority w:val="0"/>
    <w:pPr>
      <w:spacing w:before="60" w:after="60" w:line="413" w:lineRule="auto"/>
      <w:jc w:val="center"/>
    </w:pPr>
    <w:rPr>
      <w:rFonts w:ascii="Arial" w:hAnsi="Arial"/>
      <w:sz w:val="24"/>
    </w:rPr>
  </w:style>
  <w:style w:type="character" w:customStyle="1" w:styleId="255">
    <w:name w:val="引用 Char"/>
    <w:link w:val="256"/>
    <w:qFormat/>
    <w:uiPriority w:val="0"/>
    <w:rPr>
      <w:i/>
      <w:iCs/>
      <w:color w:val="000000"/>
      <w:szCs w:val="24"/>
    </w:rPr>
  </w:style>
  <w:style w:type="paragraph" w:styleId="256">
    <w:name w:val="Quote"/>
    <w:basedOn w:val="1"/>
    <w:next w:val="1"/>
    <w:link w:val="255"/>
    <w:qFormat/>
    <w:uiPriority w:val="0"/>
    <w:pPr>
      <w:spacing w:line="360" w:lineRule="exact"/>
      <w:ind w:firstLine="200"/>
    </w:pPr>
    <w:rPr>
      <w:i/>
      <w:iCs/>
      <w:color w:val="000000"/>
      <w:sz w:val="20"/>
    </w:rPr>
  </w:style>
  <w:style w:type="character" w:customStyle="1" w:styleId="257">
    <w:name w:val="脚注文本 Char2"/>
    <w:qFormat/>
    <w:uiPriority w:val="99"/>
    <w:rPr>
      <w:sz w:val="18"/>
      <w:szCs w:val="18"/>
    </w:rPr>
  </w:style>
  <w:style w:type="character" w:customStyle="1" w:styleId="258">
    <w:name w:val="样式 4 + 四号 Char Char"/>
    <w:link w:val="259"/>
    <w:qFormat/>
    <w:uiPriority w:val="0"/>
    <w:rPr>
      <w:rFonts w:ascii="Cambria" w:hAnsi="Cambria" w:eastAsia="宋体" w:cs="Times New Roman"/>
      <w:b/>
      <w:bCs/>
      <w:sz w:val="28"/>
      <w:szCs w:val="28"/>
    </w:rPr>
  </w:style>
  <w:style w:type="paragraph" w:customStyle="1" w:styleId="259">
    <w:name w:val="样式 4 + 四号"/>
    <w:basedOn w:val="260"/>
    <w:next w:val="6"/>
    <w:link w:val="258"/>
    <w:qFormat/>
    <w:uiPriority w:val="0"/>
    <w:rPr>
      <w:sz w:val="28"/>
    </w:rPr>
  </w:style>
  <w:style w:type="paragraph" w:customStyle="1" w:styleId="260">
    <w:name w:val="4"/>
    <w:basedOn w:val="6"/>
    <w:next w:val="20"/>
    <w:link w:val="261"/>
    <w:qFormat/>
    <w:uiPriority w:val="0"/>
    <w:pPr>
      <w:widowControl w:val="0"/>
      <w:spacing w:before="120" w:after="120" w:line="360" w:lineRule="exact"/>
    </w:pPr>
    <w:rPr>
      <w:rFonts w:ascii="Cambria" w:hAnsi="Cambria"/>
      <w:iCs w:val="0"/>
      <w:sz w:val="32"/>
      <w:szCs w:val="28"/>
    </w:rPr>
  </w:style>
  <w:style w:type="character" w:customStyle="1" w:styleId="261">
    <w:name w:val="4 Char Char"/>
    <w:link w:val="260"/>
    <w:qFormat/>
    <w:uiPriority w:val="0"/>
    <w:rPr>
      <w:rFonts w:ascii="Cambria" w:hAnsi="Cambria" w:eastAsia="宋体" w:cs="Times New Roman"/>
      <w:b/>
      <w:bCs/>
      <w:sz w:val="32"/>
      <w:szCs w:val="28"/>
    </w:rPr>
  </w:style>
  <w:style w:type="character" w:customStyle="1" w:styleId="262">
    <w:name w:val="不明显强调1"/>
    <w:qFormat/>
    <w:uiPriority w:val="19"/>
    <w:rPr>
      <w:i/>
      <w:iCs/>
      <w:color w:val="808080"/>
    </w:rPr>
  </w:style>
  <w:style w:type="character" w:customStyle="1" w:styleId="263">
    <w:name w:val="font161"/>
    <w:qFormat/>
    <w:uiPriority w:val="0"/>
    <w:rPr>
      <w:rFonts w:ascii="Arial" w:hAnsi="Arial" w:eastAsia="黑体"/>
      <w:b/>
      <w:bCs/>
      <w:sz w:val="32"/>
      <w:szCs w:val="32"/>
      <w:lang w:val="en-US" w:eastAsia="zh-CN" w:bidi="ar-SA"/>
    </w:rPr>
  </w:style>
  <w:style w:type="character" w:customStyle="1" w:styleId="264">
    <w:name w:val="Heading 4 Char"/>
    <w:qFormat/>
    <w:uiPriority w:val="0"/>
    <w:rPr>
      <w:rFonts w:ascii="Arial" w:hAnsi="Arial" w:eastAsia="宋体"/>
      <w:b/>
      <w:bCs/>
      <w:sz w:val="21"/>
      <w:szCs w:val="28"/>
      <w:lang w:val="en-US" w:eastAsia="zh-CN" w:bidi="ar-SA"/>
    </w:rPr>
  </w:style>
  <w:style w:type="character" w:customStyle="1" w:styleId="265">
    <w:name w:val="样式 Char"/>
    <w:qFormat/>
    <w:uiPriority w:val="0"/>
    <w:rPr>
      <w:rFonts w:ascii="宋体" w:hAnsi="宋体" w:eastAsia="宋体" w:cs="宋体"/>
      <w:sz w:val="24"/>
      <w:szCs w:val="24"/>
      <w:lang w:val="en-US" w:eastAsia="zh-CN" w:bidi="ar-SA"/>
    </w:rPr>
  </w:style>
  <w:style w:type="character" w:customStyle="1" w:styleId="266">
    <w:name w:val="Char Char9"/>
    <w:qFormat/>
    <w:uiPriority w:val="0"/>
    <w:rPr>
      <w:rFonts w:eastAsia="宋体"/>
      <w:b/>
      <w:bCs/>
      <w:sz w:val="32"/>
      <w:szCs w:val="44"/>
      <w:lang w:val="en-US" w:eastAsia="zh-CN" w:bidi="ar-SA"/>
    </w:rPr>
  </w:style>
  <w:style w:type="character" w:customStyle="1" w:styleId="267">
    <w:name w:val="NormalCharacter"/>
    <w:semiHidden/>
    <w:qFormat/>
    <w:uiPriority w:val="0"/>
  </w:style>
  <w:style w:type="character" w:customStyle="1" w:styleId="268">
    <w:name w:val="textcontents"/>
    <w:qFormat/>
    <w:uiPriority w:val="0"/>
    <w:rPr>
      <w:rFonts w:cs="Times New Roman"/>
    </w:rPr>
  </w:style>
  <w:style w:type="character" w:customStyle="1" w:styleId="269">
    <w:name w:val="不明显参考2"/>
    <w:qFormat/>
    <w:uiPriority w:val="31"/>
    <w:rPr>
      <w:smallCaps/>
      <w:color w:val="C0504D"/>
      <w:u w:val="single"/>
    </w:rPr>
  </w:style>
  <w:style w:type="character" w:customStyle="1" w:styleId="270">
    <w:name w:val="明显参考3"/>
    <w:qFormat/>
    <w:uiPriority w:val="0"/>
    <w:rPr>
      <w:b/>
      <w:bCs/>
      <w:smallCaps/>
      <w:color w:val="C0504D"/>
      <w:spacing w:val="5"/>
      <w:u w:val="single"/>
    </w:rPr>
  </w:style>
  <w:style w:type="character" w:customStyle="1" w:styleId="271">
    <w:name w:val="Body Text Indent 2 Char"/>
    <w:qFormat/>
    <w:uiPriority w:val="0"/>
    <w:rPr>
      <w:rFonts w:eastAsia="宋体"/>
      <w:sz w:val="21"/>
      <w:szCs w:val="24"/>
      <w:lang w:val="en-US" w:eastAsia="zh-CN" w:bidi="ar-SA"/>
    </w:rPr>
  </w:style>
  <w:style w:type="character" w:customStyle="1" w:styleId="272">
    <w:name w:val="书籍标题3"/>
    <w:qFormat/>
    <w:uiPriority w:val="0"/>
    <w:rPr>
      <w:b/>
      <w:bCs/>
      <w:smallCaps/>
      <w:spacing w:val="5"/>
    </w:rPr>
  </w:style>
  <w:style w:type="character" w:customStyle="1" w:styleId="273">
    <w:name w:val="Book Title"/>
    <w:qFormat/>
    <w:uiPriority w:val="0"/>
    <w:rPr>
      <w:b/>
      <w:bCs/>
      <w:smallCaps/>
      <w:spacing w:val="5"/>
    </w:rPr>
  </w:style>
  <w:style w:type="character" w:customStyle="1" w:styleId="274">
    <w:name w:val="Char Char8"/>
    <w:qFormat/>
    <w:uiPriority w:val="0"/>
    <w:rPr>
      <w:rFonts w:eastAsia="宋体"/>
      <w:b/>
      <w:bCs/>
      <w:sz w:val="32"/>
      <w:szCs w:val="44"/>
      <w:lang w:val="en-US" w:eastAsia="zh-CN" w:bidi="ar-SA"/>
    </w:rPr>
  </w:style>
  <w:style w:type="character" w:customStyle="1" w:styleId="275">
    <w:name w:val="脚注文本 Char"/>
    <w:qFormat/>
    <w:uiPriority w:val="0"/>
    <w:rPr>
      <w:sz w:val="18"/>
      <w:szCs w:val="18"/>
    </w:rPr>
  </w:style>
  <w:style w:type="character" w:customStyle="1" w:styleId="276">
    <w:name w:val="标题5 Char Char"/>
    <w:link w:val="277"/>
    <w:qFormat/>
    <w:uiPriority w:val="0"/>
    <w:rPr>
      <w:rFonts w:ascii="Arial" w:hAnsi="Arial"/>
      <w:b/>
      <w:bCs/>
      <w:sz w:val="24"/>
      <w:szCs w:val="32"/>
    </w:rPr>
  </w:style>
  <w:style w:type="paragraph" w:customStyle="1" w:styleId="277">
    <w:name w:val="标题5"/>
    <w:basedOn w:val="5"/>
    <w:link w:val="276"/>
    <w:qFormat/>
    <w:uiPriority w:val="0"/>
    <w:pPr>
      <w:widowControl w:val="0"/>
      <w:spacing w:line="413" w:lineRule="auto"/>
    </w:pPr>
    <w:rPr>
      <w:rFonts w:ascii="Arial" w:hAnsi="Arial"/>
    </w:rPr>
  </w:style>
  <w:style w:type="character" w:customStyle="1" w:styleId="278">
    <w:name w:val="普通文字 Char Char5"/>
    <w:qFormat/>
    <w:uiPriority w:val="0"/>
    <w:rPr>
      <w:rFonts w:ascii="宋体" w:hAnsi="Courier New" w:eastAsia="宋体"/>
      <w:szCs w:val="21"/>
      <w:lang w:bidi="ar-SA"/>
    </w:rPr>
  </w:style>
  <w:style w:type="character" w:customStyle="1" w:styleId="279">
    <w:name w:val="正文呀2 Char"/>
    <w:link w:val="280"/>
    <w:qFormat/>
    <w:uiPriority w:val="0"/>
    <w:rPr>
      <w:sz w:val="21"/>
      <w:szCs w:val="21"/>
    </w:rPr>
  </w:style>
  <w:style w:type="paragraph" w:customStyle="1" w:styleId="280">
    <w:name w:val="正文呀2"/>
    <w:basedOn w:val="281"/>
    <w:link w:val="279"/>
    <w:qFormat/>
    <w:uiPriority w:val="0"/>
    <w:rPr>
      <w:rFonts w:ascii="Times New Roman" w:hAnsi="Times New Roman"/>
    </w:rPr>
  </w:style>
  <w:style w:type="paragraph" w:customStyle="1" w:styleId="281">
    <w:name w:val="正文呀"/>
    <w:basedOn w:val="1"/>
    <w:link w:val="282"/>
    <w:qFormat/>
    <w:uiPriority w:val="0"/>
    <w:pPr>
      <w:spacing w:line="420" w:lineRule="exact"/>
      <w:ind w:firstLine="420"/>
    </w:pPr>
    <w:rPr>
      <w:rFonts w:ascii="宋体" w:hAnsi="宋体"/>
      <w:szCs w:val="21"/>
    </w:rPr>
  </w:style>
  <w:style w:type="character" w:customStyle="1" w:styleId="282">
    <w:name w:val="正文呀 Char"/>
    <w:link w:val="281"/>
    <w:qFormat/>
    <w:uiPriority w:val="0"/>
    <w:rPr>
      <w:rFonts w:ascii="宋体" w:hAnsi="宋体"/>
      <w:sz w:val="21"/>
      <w:szCs w:val="21"/>
    </w:rPr>
  </w:style>
  <w:style w:type="character" w:customStyle="1" w:styleId="283">
    <w:name w:val="style1"/>
    <w:qFormat/>
    <w:uiPriority w:val="0"/>
  </w:style>
  <w:style w:type="character" w:customStyle="1" w:styleId="284">
    <w:name w:val="Footnote Text Char"/>
    <w:qFormat/>
    <w:uiPriority w:val="0"/>
    <w:rPr>
      <w:rFonts w:eastAsia="宋体"/>
      <w:sz w:val="18"/>
      <w:lang w:val="en-US" w:eastAsia="zh-CN" w:bidi="ar-SA"/>
    </w:rPr>
  </w:style>
  <w:style w:type="character" w:customStyle="1" w:styleId="285">
    <w:name w:val="文档结构图 Char1"/>
    <w:qFormat/>
    <w:uiPriority w:val="0"/>
    <w:rPr>
      <w:rFonts w:ascii="宋体"/>
      <w:sz w:val="18"/>
      <w:szCs w:val="18"/>
    </w:rPr>
  </w:style>
  <w:style w:type="character" w:customStyle="1" w:styleId="286">
    <w:name w:val="标题 Char1"/>
    <w:qFormat/>
    <w:uiPriority w:val="0"/>
    <w:rPr>
      <w:rFonts w:ascii="Cambria" w:hAnsi="Cambria" w:eastAsia="宋体" w:cs="Times New Roman"/>
      <w:b/>
      <w:bCs/>
      <w:sz w:val="32"/>
      <w:szCs w:val="32"/>
    </w:rPr>
  </w:style>
  <w:style w:type="character" w:customStyle="1" w:styleId="287">
    <w:name w:val="引用 Char2"/>
    <w:qFormat/>
    <w:uiPriority w:val="29"/>
    <w:rPr>
      <w:i/>
      <w:iCs/>
      <w:color w:val="000000"/>
      <w:sz w:val="21"/>
    </w:rPr>
  </w:style>
  <w:style w:type="character" w:customStyle="1" w:styleId="288">
    <w:name w:val="正文文本 (2) + 间距 0 pt2"/>
    <w:qFormat/>
    <w:uiPriority w:val="0"/>
    <w:rPr>
      <w:rFonts w:ascii="MingLiU" w:hAnsi="MingLiU" w:eastAsia="MingLiU" w:cs="MingLiU"/>
      <w:color w:val="000000"/>
      <w:spacing w:val="0"/>
      <w:position w:val="0"/>
      <w:sz w:val="22"/>
      <w:szCs w:val="22"/>
      <w:u w:val="none"/>
      <w:shd w:val="clear" w:color="auto" w:fill="FFFFFF"/>
      <w:lang w:val="zh-CN" w:eastAsia="zh-CN" w:bidi="zh-CN"/>
    </w:rPr>
  </w:style>
  <w:style w:type="character" w:customStyle="1" w:styleId="289">
    <w:name w:val="正文文本 (2) + 间距 2 pt1"/>
    <w:qFormat/>
    <w:uiPriority w:val="0"/>
    <w:rPr>
      <w:rFonts w:ascii="MingLiU" w:hAnsi="MingLiU" w:eastAsia="MingLiU" w:cs="MingLiU"/>
      <w:color w:val="000000"/>
      <w:spacing w:val="50"/>
      <w:position w:val="0"/>
      <w:sz w:val="22"/>
      <w:szCs w:val="22"/>
      <w:u w:val="none"/>
      <w:shd w:val="clear" w:color="auto" w:fill="FFFFFF"/>
      <w:lang w:val="zh-CN" w:eastAsia="zh-CN"/>
    </w:rPr>
  </w:style>
  <w:style w:type="character" w:customStyle="1" w:styleId="290">
    <w:name w:val="Char Char19"/>
    <w:qFormat/>
    <w:uiPriority w:val="0"/>
    <w:rPr>
      <w:rFonts w:ascii="Arial" w:hAnsi="Arial" w:eastAsia="宋体" w:cs="Times New Roman"/>
      <w:b/>
      <w:bCs/>
      <w:szCs w:val="28"/>
    </w:rPr>
  </w:style>
  <w:style w:type="character" w:customStyle="1" w:styleId="291">
    <w:name w:val="标题 #7 + 间距 0 pt1"/>
    <w:qFormat/>
    <w:uiPriority w:val="0"/>
    <w:rPr>
      <w:rFonts w:ascii="MingLiU" w:hAnsi="MingLiU" w:eastAsia="MingLiU" w:cs="MingLiU"/>
      <w:color w:val="000000"/>
      <w:spacing w:val="10"/>
      <w:position w:val="0"/>
      <w:sz w:val="26"/>
      <w:szCs w:val="26"/>
      <w:u w:val="none"/>
      <w:shd w:val="clear" w:color="auto" w:fill="FFFFFF"/>
      <w:lang w:val="zh-CN" w:eastAsia="zh-CN"/>
    </w:rPr>
  </w:style>
  <w:style w:type="character" w:customStyle="1" w:styleId="292">
    <w:name w:val="正文文本 (2) + 10 pt14"/>
    <w:qFormat/>
    <w:uiPriority w:val="0"/>
    <w:rPr>
      <w:rFonts w:ascii="MingLiU" w:hAnsi="MingLiU" w:eastAsia="MingLiU" w:cs="MingLiU"/>
      <w:color w:val="000000"/>
      <w:spacing w:val="-40"/>
      <w:position w:val="0"/>
      <w:sz w:val="20"/>
      <w:szCs w:val="20"/>
      <w:u w:val="none"/>
      <w:shd w:val="clear" w:color="auto" w:fill="FFFFFF"/>
      <w:lang w:val="zh-CN" w:eastAsia="zh-CN"/>
    </w:rPr>
  </w:style>
  <w:style w:type="character" w:customStyle="1" w:styleId="293">
    <w:name w:val="Balloon Text Char"/>
    <w:qFormat/>
    <w:uiPriority w:val="0"/>
    <w:rPr>
      <w:sz w:val="18"/>
      <w:lang w:bidi="ar-SA"/>
    </w:rPr>
  </w:style>
  <w:style w:type="character" w:customStyle="1" w:styleId="294">
    <w:name w:val="页眉或页脚 + 间距 0 pt"/>
    <w:qFormat/>
    <w:uiPriority w:val="0"/>
    <w:rPr>
      <w:rFonts w:ascii="MingLiU" w:hAnsi="MingLiU" w:eastAsia="MingLiU" w:cs="MingLiU"/>
      <w:color w:val="000000"/>
      <w:spacing w:val="0"/>
      <w:position w:val="0"/>
      <w:sz w:val="20"/>
      <w:szCs w:val="20"/>
      <w:u w:val="none"/>
      <w:lang w:val="zh-CN" w:eastAsia="zh-CN" w:bidi="ar-SA"/>
    </w:rPr>
  </w:style>
  <w:style w:type="character" w:customStyle="1" w:styleId="295">
    <w:name w:val="正文文本 (2) + 5.5 pt"/>
    <w:qFormat/>
    <w:uiPriority w:val="0"/>
    <w:rPr>
      <w:rFonts w:ascii="MingLiU" w:hAnsi="MingLiU" w:eastAsia="MingLiU" w:cs="MingLiU"/>
      <w:i/>
      <w:iCs/>
      <w:color w:val="000000"/>
      <w:spacing w:val="10"/>
      <w:position w:val="0"/>
      <w:sz w:val="11"/>
      <w:szCs w:val="11"/>
      <w:u w:val="none"/>
      <w:shd w:val="clear" w:color="auto" w:fill="FFFFFF"/>
      <w:lang w:val="zh-CN" w:eastAsia="zh-CN"/>
    </w:rPr>
  </w:style>
  <w:style w:type="character" w:customStyle="1" w:styleId="296">
    <w:name w:val="标题 Char3"/>
    <w:qFormat/>
    <w:uiPriority w:val="0"/>
    <w:rPr>
      <w:rFonts w:ascii="Cambria" w:hAnsi="Cambria" w:cs="Times New Roman"/>
      <w:b/>
      <w:bCs/>
      <w:sz w:val="32"/>
      <w:szCs w:val="32"/>
    </w:rPr>
  </w:style>
  <w:style w:type="character" w:customStyle="1" w:styleId="297">
    <w:name w:val="标题 #7 (4)_"/>
    <w:link w:val="298"/>
    <w:qFormat/>
    <w:uiPriority w:val="0"/>
    <w:rPr>
      <w:rFonts w:ascii="MingLiU" w:hAnsi="MingLiU" w:eastAsia="MingLiU"/>
      <w:sz w:val="26"/>
      <w:szCs w:val="26"/>
      <w:shd w:val="clear" w:color="auto" w:fill="FFFFFF"/>
    </w:rPr>
  </w:style>
  <w:style w:type="paragraph" w:customStyle="1" w:styleId="298">
    <w:name w:val="标题 #7 (4)"/>
    <w:basedOn w:val="1"/>
    <w:link w:val="297"/>
    <w:qFormat/>
    <w:uiPriority w:val="0"/>
    <w:pPr>
      <w:shd w:val="clear" w:color="auto" w:fill="FFFFFF"/>
      <w:spacing w:after="1020" w:line="240" w:lineRule="atLeast"/>
      <w:jc w:val="left"/>
      <w:outlineLvl w:val="6"/>
    </w:pPr>
    <w:rPr>
      <w:rFonts w:ascii="MingLiU" w:hAnsi="MingLiU" w:eastAsia="MingLiU"/>
      <w:sz w:val="26"/>
      <w:szCs w:val="26"/>
    </w:rPr>
  </w:style>
  <w:style w:type="character" w:customStyle="1" w:styleId="299">
    <w:name w:val="Char Char5"/>
    <w:qFormat/>
    <w:uiPriority w:val="0"/>
    <w:rPr>
      <w:rFonts w:eastAsia="宋体"/>
      <w:b/>
      <w:bCs/>
      <w:sz w:val="28"/>
      <w:szCs w:val="28"/>
      <w:lang w:val="en-US" w:eastAsia="zh-CN" w:bidi="ar-SA"/>
    </w:rPr>
  </w:style>
  <w:style w:type="character" w:customStyle="1" w:styleId="300">
    <w:name w:val="页眉或页脚 + Impact1"/>
    <w:qFormat/>
    <w:uiPriority w:val="0"/>
    <w:rPr>
      <w:rFonts w:ascii="Impact" w:hAnsi="Impact" w:eastAsia="Times New Roman" w:cs="Impact"/>
      <w:color w:val="000000"/>
      <w:spacing w:val="0"/>
      <w:position w:val="0"/>
      <w:sz w:val="16"/>
      <w:szCs w:val="16"/>
      <w:u w:val="none"/>
      <w:lang w:val="zh-CN" w:eastAsia="zh-CN" w:bidi="ar-SA"/>
    </w:rPr>
  </w:style>
  <w:style w:type="character" w:customStyle="1" w:styleId="301">
    <w:name w:val="正文文本 (2) + 间距 3 pt"/>
    <w:qFormat/>
    <w:uiPriority w:val="0"/>
    <w:rPr>
      <w:rFonts w:ascii="MingLiU" w:hAnsi="MingLiU" w:eastAsia="MingLiU" w:cs="MingLiU"/>
      <w:color w:val="000000"/>
      <w:spacing w:val="60"/>
      <w:position w:val="0"/>
      <w:sz w:val="22"/>
      <w:szCs w:val="22"/>
      <w:u w:val="none"/>
      <w:shd w:val="clear" w:color="auto" w:fill="FFFFFF"/>
      <w:lang w:val="zh-CN" w:eastAsia="zh-CN"/>
    </w:rPr>
  </w:style>
  <w:style w:type="character" w:customStyle="1" w:styleId="302">
    <w:name w:val="标题 #7 (5)_"/>
    <w:link w:val="303"/>
    <w:qFormat/>
    <w:uiPriority w:val="0"/>
    <w:rPr>
      <w:rFonts w:ascii="MingLiU" w:hAnsi="MingLiU" w:eastAsia="MingLiU"/>
      <w:spacing w:val="50"/>
      <w:sz w:val="30"/>
      <w:szCs w:val="30"/>
      <w:shd w:val="clear" w:color="auto" w:fill="FFFFFF"/>
    </w:rPr>
  </w:style>
  <w:style w:type="paragraph" w:customStyle="1" w:styleId="303">
    <w:name w:val="标题 #7 (5)"/>
    <w:basedOn w:val="1"/>
    <w:link w:val="302"/>
    <w:qFormat/>
    <w:uiPriority w:val="0"/>
    <w:pPr>
      <w:shd w:val="clear" w:color="auto" w:fill="FFFFFF"/>
      <w:spacing w:line="559" w:lineRule="exact"/>
      <w:jc w:val="left"/>
      <w:outlineLvl w:val="6"/>
    </w:pPr>
    <w:rPr>
      <w:rFonts w:ascii="MingLiU" w:hAnsi="MingLiU" w:eastAsia="MingLiU"/>
      <w:spacing w:val="50"/>
      <w:sz w:val="30"/>
      <w:szCs w:val="30"/>
    </w:rPr>
  </w:style>
  <w:style w:type="character" w:customStyle="1" w:styleId="304">
    <w:name w:val="批注文字 Char2"/>
    <w:qFormat/>
    <w:uiPriority w:val="0"/>
    <w:rPr>
      <w:sz w:val="21"/>
      <w:szCs w:val="24"/>
    </w:rPr>
  </w:style>
  <w:style w:type="character" w:customStyle="1" w:styleId="305">
    <w:name w:val="Char Char23"/>
    <w:qFormat/>
    <w:uiPriority w:val="0"/>
    <w:rPr>
      <w:rFonts w:eastAsia="宋体"/>
      <w:b/>
      <w:bCs/>
      <w:sz w:val="32"/>
      <w:szCs w:val="44"/>
      <w:lang w:val="en-US" w:eastAsia="zh-CN" w:bidi="ar-SA"/>
    </w:rPr>
  </w:style>
  <w:style w:type="character" w:customStyle="1" w:styleId="306">
    <w:name w:val="标题 3 Char Char"/>
    <w:qFormat/>
    <w:uiPriority w:val="0"/>
    <w:rPr>
      <w:rFonts w:eastAsia="宋体"/>
      <w:b/>
      <w:bCs/>
      <w:sz w:val="32"/>
      <w:szCs w:val="32"/>
      <w:lang w:val="en-US" w:eastAsia="zh-CN" w:bidi="ar-SA"/>
    </w:rPr>
  </w:style>
  <w:style w:type="character" w:customStyle="1" w:styleId="307">
    <w:name w:val="标题 #8 + 间距 0 pt"/>
    <w:qFormat/>
    <w:uiPriority w:val="0"/>
    <w:rPr>
      <w:rFonts w:ascii="MingLiU" w:hAnsi="MingLiU" w:eastAsia="MingLiU" w:cs="MingLiU"/>
      <w:b/>
      <w:bCs/>
      <w:color w:val="000000"/>
      <w:spacing w:val="0"/>
      <w:position w:val="0"/>
      <w:sz w:val="22"/>
      <w:szCs w:val="22"/>
      <w:u w:val="none"/>
      <w:lang w:val="zh-CN" w:eastAsia="zh-CN" w:bidi="zh-CN"/>
    </w:rPr>
  </w:style>
  <w:style w:type="character" w:customStyle="1" w:styleId="308">
    <w:name w:val="书籍标题1"/>
    <w:qFormat/>
    <w:uiPriority w:val="33"/>
    <w:rPr>
      <w:b/>
      <w:bCs/>
      <w:smallCaps/>
      <w:spacing w:val="5"/>
    </w:rPr>
  </w:style>
  <w:style w:type="character" w:customStyle="1" w:styleId="309">
    <w:name w:val="页眉或页脚_"/>
    <w:link w:val="310"/>
    <w:qFormat/>
    <w:uiPriority w:val="0"/>
    <w:rPr>
      <w:rFonts w:ascii="MingLiU" w:hAnsi="MingLiU" w:eastAsia="MingLiU"/>
      <w:spacing w:val="10"/>
      <w:shd w:val="clear" w:color="auto" w:fill="FFFFFF"/>
    </w:rPr>
  </w:style>
  <w:style w:type="paragraph" w:customStyle="1" w:styleId="310">
    <w:name w:val="页眉或页脚1"/>
    <w:basedOn w:val="1"/>
    <w:link w:val="309"/>
    <w:qFormat/>
    <w:uiPriority w:val="0"/>
    <w:pPr>
      <w:shd w:val="clear" w:color="auto" w:fill="FFFFFF"/>
      <w:spacing w:line="240" w:lineRule="atLeast"/>
      <w:jc w:val="left"/>
    </w:pPr>
    <w:rPr>
      <w:rFonts w:ascii="MingLiU" w:hAnsi="MingLiU" w:eastAsia="MingLiU"/>
      <w:spacing w:val="10"/>
      <w:sz w:val="20"/>
      <w:szCs w:val="20"/>
    </w:rPr>
  </w:style>
  <w:style w:type="character" w:customStyle="1" w:styleId="311">
    <w:name w:val="Intense Emphasis"/>
    <w:qFormat/>
    <w:uiPriority w:val="0"/>
    <w:rPr>
      <w:b/>
      <w:bCs/>
      <w:i/>
      <w:iCs/>
      <w:color w:val="4F81BD"/>
    </w:rPr>
  </w:style>
  <w:style w:type="character" w:customStyle="1" w:styleId="312">
    <w:name w:val="标题 #7 + 间距 0 pt"/>
    <w:qFormat/>
    <w:uiPriority w:val="0"/>
    <w:rPr>
      <w:rFonts w:ascii="MingLiU" w:hAnsi="MingLiU" w:eastAsia="MingLiU" w:cs="MingLiU"/>
      <w:color w:val="000000"/>
      <w:spacing w:val="0"/>
      <w:position w:val="0"/>
      <w:sz w:val="26"/>
      <w:szCs w:val="26"/>
      <w:u w:val="none"/>
      <w:shd w:val="clear" w:color="auto" w:fill="FFFFFF"/>
      <w:lang w:val="zh-CN" w:eastAsia="zh-CN"/>
    </w:rPr>
  </w:style>
  <w:style w:type="character" w:customStyle="1" w:styleId="313">
    <w:name w:val="明显强调2"/>
    <w:qFormat/>
    <w:uiPriority w:val="21"/>
    <w:rPr>
      <w:b/>
      <w:bCs/>
      <w:i/>
      <w:iCs/>
      <w:color w:val="4F81BD"/>
    </w:rPr>
  </w:style>
  <w:style w:type="character" w:customStyle="1" w:styleId="314">
    <w:name w:val="明显参考2"/>
    <w:qFormat/>
    <w:uiPriority w:val="32"/>
    <w:rPr>
      <w:b/>
      <w:bCs/>
      <w:smallCaps/>
      <w:color w:val="C0504D"/>
      <w:spacing w:val="5"/>
      <w:u w:val="single"/>
    </w:rPr>
  </w:style>
  <w:style w:type="character" w:customStyle="1" w:styleId="315">
    <w:name w:val="小标题无样式 Char"/>
    <w:link w:val="316"/>
    <w:qFormat/>
    <w:uiPriority w:val="0"/>
    <w:rPr>
      <w:rFonts w:ascii="宋体" w:hAnsi="宋体"/>
      <w:b/>
      <w:sz w:val="24"/>
      <w:szCs w:val="21"/>
    </w:rPr>
  </w:style>
  <w:style w:type="paragraph" w:customStyle="1" w:styleId="316">
    <w:name w:val="小标题无样式"/>
    <w:basedOn w:val="281"/>
    <w:link w:val="315"/>
    <w:qFormat/>
    <w:uiPriority w:val="0"/>
    <w:pPr>
      <w:ind w:firstLine="0"/>
    </w:pPr>
    <w:rPr>
      <w:b/>
      <w:sz w:val="24"/>
    </w:rPr>
  </w:style>
  <w:style w:type="character" w:customStyle="1" w:styleId="317">
    <w:name w:val="正文文本 (15)_"/>
    <w:link w:val="318"/>
    <w:qFormat/>
    <w:uiPriority w:val="0"/>
    <w:rPr>
      <w:rFonts w:ascii="MingLiU" w:hAnsi="MingLiU" w:eastAsia="MingLiU"/>
      <w:b/>
      <w:bCs/>
      <w:sz w:val="28"/>
      <w:szCs w:val="28"/>
      <w:shd w:val="clear" w:color="auto" w:fill="FFFFFF"/>
    </w:rPr>
  </w:style>
  <w:style w:type="paragraph" w:customStyle="1" w:styleId="318">
    <w:name w:val="正文文本 (15)"/>
    <w:basedOn w:val="1"/>
    <w:link w:val="317"/>
    <w:qFormat/>
    <w:uiPriority w:val="0"/>
    <w:pPr>
      <w:shd w:val="clear" w:color="auto" w:fill="FFFFFF"/>
      <w:spacing w:before="120" w:after="420" w:line="240" w:lineRule="atLeast"/>
      <w:jc w:val="both"/>
    </w:pPr>
    <w:rPr>
      <w:rFonts w:ascii="MingLiU" w:hAnsi="MingLiU" w:eastAsia="MingLiU"/>
      <w:b/>
      <w:bCs/>
      <w:sz w:val="28"/>
      <w:szCs w:val="28"/>
    </w:rPr>
  </w:style>
  <w:style w:type="character" w:customStyle="1" w:styleId="319">
    <w:name w:val="样式 宋体 小四 加粗 黑色"/>
    <w:qFormat/>
    <w:uiPriority w:val="0"/>
    <w:rPr>
      <w:rFonts w:ascii="宋体" w:hAnsi="宋体"/>
      <w:b/>
      <w:bCs/>
      <w:color w:val="000000"/>
      <w:sz w:val="24"/>
    </w:rPr>
  </w:style>
  <w:style w:type="character" w:customStyle="1" w:styleId="320">
    <w:name w:val="标题 #7 (4) + 间距 7 pt"/>
    <w:qFormat/>
    <w:uiPriority w:val="0"/>
    <w:rPr>
      <w:rFonts w:ascii="MingLiU" w:hAnsi="MingLiU" w:eastAsia="MingLiU"/>
      <w:color w:val="000000"/>
      <w:spacing w:val="140"/>
      <w:position w:val="0"/>
      <w:sz w:val="26"/>
      <w:szCs w:val="26"/>
      <w:lang w:val="zh-CN" w:eastAsia="zh-CN" w:bidi="ar-SA"/>
    </w:rPr>
  </w:style>
  <w:style w:type="character" w:customStyle="1" w:styleId="321">
    <w:name w:val="Header Char"/>
    <w:qFormat/>
    <w:uiPriority w:val="0"/>
    <w:rPr>
      <w:rFonts w:eastAsia="宋体"/>
      <w:sz w:val="18"/>
      <w:szCs w:val="18"/>
      <w:lang w:val="en-US" w:eastAsia="zh-CN" w:bidi="ar-SA"/>
    </w:rPr>
  </w:style>
  <w:style w:type="character" w:customStyle="1" w:styleId="322">
    <w:name w:val="正文文本 (2) + Impact1"/>
    <w:qFormat/>
    <w:uiPriority w:val="0"/>
    <w:rPr>
      <w:rFonts w:ascii="Impact" w:hAnsi="Impact" w:eastAsia="Times New Roman" w:cs="Impact"/>
      <w:color w:val="000000"/>
      <w:spacing w:val="0"/>
      <w:position w:val="0"/>
      <w:sz w:val="16"/>
      <w:szCs w:val="16"/>
      <w:u w:val="none"/>
      <w:shd w:val="clear" w:color="auto" w:fill="FFFFFF"/>
      <w:lang w:val="en-US" w:eastAsia="en-US"/>
    </w:rPr>
  </w:style>
  <w:style w:type="character" w:customStyle="1" w:styleId="323">
    <w:name w:val="正文文本 (2) + 间距 -1 pt"/>
    <w:qFormat/>
    <w:uiPriority w:val="0"/>
    <w:rPr>
      <w:rFonts w:ascii="MingLiU" w:hAnsi="MingLiU" w:eastAsia="MingLiU" w:cs="MingLiU"/>
      <w:color w:val="000000"/>
      <w:spacing w:val="-20"/>
      <w:position w:val="0"/>
      <w:sz w:val="22"/>
      <w:szCs w:val="22"/>
      <w:u w:val="none"/>
      <w:shd w:val="clear" w:color="auto" w:fill="FFFFFF"/>
      <w:lang w:val="zh-CN" w:eastAsia="zh-CN" w:bidi="zh-CN"/>
    </w:rPr>
  </w:style>
  <w:style w:type="character" w:customStyle="1" w:styleId="324">
    <w:name w:val="明显引用 Char2"/>
    <w:qFormat/>
    <w:uiPriority w:val="30"/>
    <w:rPr>
      <w:b/>
      <w:bCs/>
      <w:i/>
      <w:iCs/>
      <w:color w:val="4F81BD"/>
      <w:sz w:val="21"/>
    </w:rPr>
  </w:style>
  <w:style w:type="character" w:customStyle="1" w:styleId="325">
    <w:name w:val="正文文本 (2) + 4 pt1"/>
    <w:qFormat/>
    <w:uiPriority w:val="0"/>
    <w:rPr>
      <w:rFonts w:ascii="MingLiU" w:hAnsi="MingLiU" w:eastAsia="MingLiU" w:cs="MingLiU"/>
      <w:color w:val="000000"/>
      <w:spacing w:val="0"/>
      <w:position w:val="0"/>
      <w:sz w:val="8"/>
      <w:szCs w:val="8"/>
      <w:u w:val="none"/>
      <w:shd w:val="clear" w:color="auto" w:fill="FFFFFF"/>
      <w:lang w:val="zh-CN" w:eastAsia="zh-CN"/>
    </w:rPr>
  </w:style>
  <w:style w:type="character" w:customStyle="1" w:styleId="326">
    <w:name w:val="Char Char"/>
    <w:qFormat/>
    <w:uiPriority w:val="0"/>
    <w:rPr>
      <w:rFonts w:ascii="Cambria" w:hAnsi="Cambria"/>
      <w:b/>
      <w:bCs/>
      <w:sz w:val="32"/>
      <w:szCs w:val="32"/>
      <w:lang w:bidi="ar-SA"/>
    </w:rPr>
  </w:style>
  <w:style w:type="character" w:customStyle="1" w:styleId="327">
    <w:name w:val="Comment Subject Char"/>
    <w:qFormat/>
    <w:uiPriority w:val="0"/>
    <w:rPr>
      <w:b/>
      <w:sz w:val="24"/>
      <w:lang w:bidi="ar-SA"/>
    </w:rPr>
  </w:style>
  <w:style w:type="character" w:customStyle="1" w:styleId="328">
    <w:name w:val="引用 Char1"/>
    <w:qFormat/>
    <w:uiPriority w:val="29"/>
    <w:rPr>
      <w:rFonts w:ascii="Times New Roman" w:hAnsi="Times New Roman" w:eastAsia="宋体" w:cs="Times New Roman"/>
      <w:i/>
      <w:iCs/>
      <w:color w:val="000000"/>
      <w:szCs w:val="24"/>
    </w:rPr>
  </w:style>
  <w:style w:type="character" w:customStyle="1" w:styleId="329">
    <w:name w:val="标题 Char2"/>
    <w:qFormat/>
    <w:uiPriority w:val="0"/>
    <w:rPr>
      <w:rFonts w:ascii="Cambria" w:hAnsi="Cambria" w:eastAsia="宋体" w:cs="Times New Roman"/>
      <w:b/>
      <w:bCs/>
      <w:sz w:val="32"/>
      <w:szCs w:val="32"/>
    </w:rPr>
  </w:style>
  <w:style w:type="character" w:customStyle="1" w:styleId="330">
    <w:name w:val="不明显参考1"/>
    <w:qFormat/>
    <w:uiPriority w:val="31"/>
    <w:rPr>
      <w:smallCaps/>
      <w:color w:val="C0504D"/>
      <w:u w:val="single"/>
    </w:rPr>
  </w:style>
  <w:style w:type="character" w:customStyle="1" w:styleId="331">
    <w:name w:val="正文文本 (2) + 5.5 pt1"/>
    <w:qFormat/>
    <w:uiPriority w:val="0"/>
    <w:rPr>
      <w:rFonts w:ascii="MingLiU" w:hAnsi="MingLiU" w:eastAsia="MingLiU" w:cs="MingLiU"/>
      <w:i/>
      <w:iCs/>
      <w:color w:val="000000"/>
      <w:spacing w:val="-20"/>
      <w:position w:val="0"/>
      <w:sz w:val="11"/>
      <w:szCs w:val="11"/>
      <w:u w:val="none"/>
      <w:shd w:val="clear" w:color="auto" w:fill="FFFFFF"/>
      <w:lang w:val="zh-CN" w:eastAsia="zh-CN"/>
    </w:rPr>
  </w:style>
  <w:style w:type="character" w:customStyle="1" w:styleId="332">
    <w:name w:val="正文文本 (14)_"/>
    <w:link w:val="333"/>
    <w:qFormat/>
    <w:uiPriority w:val="0"/>
    <w:rPr>
      <w:rFonts w:ascii="MingLiU" w:hAnsi="MingLiU" w:eastAsia="MingLiU" w:cs="MingLiU"/>
      <w:sz w:val="18"/>
      <w:szCs w:val="18"/>
      <w:shd w:val="clear" w:color="auto" w:fill="FFFFFF"/>
    </w:rPr>
  </w:style>
  <w:style w:type="paragraph" w:customStyle="1" w:styleId="333">
    <w:name w:val="正文文本 (14)"/>
    <w:basedOn w:val="1"/>
    <w:link w:val="332"/>
    <w:qFormat/>
    <w:uiPriority w:val="0"/>
    <w:pPr>
      <w:shd w:val="clear" w:color="auto" w:fill="FFFFFF"/>
      <w:spacing w:before="300" w:line="300" w:lineRule="exact"/>
      <w:jc w:val="both"/>
    </w:pPr>
    <w:rPr>
      <w:rFonts w:ascii="MingLiU" w:hAnsi="MingLiU" w:eastAsia="MingLiU"/>
      <w:sz w:val="18"/>
      <w:szCs w:val="18"/>
    </w:rPr>
  </w:style>
  <w:style w:type="character" w:customStyle="1" w:styleId="334">
    <w:name w:val="Char Char3"/>
    <w:qFormat/>
    <w:uiPriority w:val="0"/>
    <w:rPr>
      <w:rFonts w:eastAsia="宋体"/>
      <w:sz w:val="21"/>
      <w:szCs w:val="24"/>
      <w:lang w:val="en-US" w:eastAsia="zh-CN" w:bidi="ar-SA"/>
    </w:rPr>
  </w:style>
  <w:style w:type="character" w:customStyle="1" w:styleId="335">
    <w:name w:val="Char Char24"/>
    <w:qFormat/>
    <w:uiPriority w:val="0"/>
    <w:rPr>
      <w:rFonts w:eastAsia="宋体"/>
      <w:b/>
      <w:bCs/>
      <w:sz w:val="32"/>
      <w:szCs w:val="44"/>
      <w:lang w:val="en-US" w:eastAsia="zh-CN" w:bidi="ar-SA"/>
    </w:rPr>
  </w:style>
  <w:style w:type="character" w:customStyle="1" w:styleId="336">
    <w:name w:val="T10 Char"/>
    <w:link w:val="337"/>
    <w:qFormat/>
    <w:uiPriority w:val="0"/>
    <w:rPr>
      <w:rFonts w:ascii="宋体" w:hAnsi="宋体"/>
      <w:b/>
      <w:sz w:val="28"/>
    </w:rPr>
  </w:style>
  <w:style w:type="paragraph" w:customStyle="1" w:styleId="337">
    <w:name w:val="T10"/>
    <w:basedOn w:val="1"/>
    <w:link w:val="336"/>
    <w:qFormat/>
    <w:uiPriority w:val="0"/>
    <w:pPr>
      <w:spacing w:line="500" w:lineRule="exact"/>
      <w:ind w:left="10" w:firstLine="561"/>
      <w:jc w:val="center"/>
    </w:pPr>
    <w:rPr>
      <w:rFonts w:ascii="宋体" w:hAnsi="宋体"/>
      <w:b/>
      <w:sz w:val="28"/>
      <w:szCs w:val="20"/>
    </w:rPr>
  </w:style>
  <w:style w:type="character" w:customStyle="1" w:styleId="338">
    <w:name w:val="正文文本 (42)_"/>
    <w:link w:val="339"/>
    <w:qFormat/>
    <w:uiPriority w:val="0"/>
    <w:rPr>
      <w:rFonts w:ascii="MingLiU" w:hAnsi="MingLiU" w:eastAsia="MingLiU"/>
      <w:b/>
      <w:bCs/>
      <w:shd w:val="clear" w:color="auto" w:fill="FFFFFF"/>
    </w:rPr>
  </w:style>
  <w:style w:type="paragraph" w:customStyle="1" w:styleId="339">
    <w:name w:val="正文文本 (42)1"/>
    <w:basedOn w:val="1"/>
    <w:link w:val="338"/>
    <w:qFormat/>
    <w:uiPriority w:val="0"/>
    <w:pPr>
      <w:shd w:val="clear" w:color="auto" w:fill="FFFFFF"/>
      <w:spacing w:line="398" w:lineRule="exact"/>
      <w:jc w:val="both"/>
    </w:pPr>
    <w:rPr>
      <w:rFonts w:ascii="MingLiU" w:hAnsi="MingLiU" w:eastAsia="MingLiU"/>
      <w:b/>
      <w:bCs/>
      <w:sz w:val="20"/>
      <w:szCs w:val="20"/>
    </w:rPr>
  </w:style>
  <w:style w:type="character" w:customStyle="1" w:styleId="340">
    <w:name w:val="标题 #7 + 间距 0 pt2"/>
    <w:qFormat/>
    <w:uiPriority w:val="0"/>
    <w:rPr>
      <w:rFonts w:ascii="MingLiU" w:hAnsi="MingLiU" w:eastAsia="MingLiU" w:cs="MingLiU"/>
      <w:color w:val="000000"/>
      <w:spacing w:val="10"/>
      <w:position w:val="0"/>
      <w:sz w:val="26"/>
      <w:szCs w:val="26"/>
      <w:u w:val="single"/>
      <w:shd w:val="clear" w:color="auto" w:fill="FFFFFF"/>
      <w:lang w:val="zh-CN" w:eastAsia="zh-CN"/>
    </w:rPr>
  </w:style>
  <w:style w:type="character" w:customStyle="1" w:styleId="341">
    <w:name w:val="正文小标题 Char"/>
    <w:link w:val="342"/>
    <w:qFormat/>
    <w:uiPriority w:val="0"/>
    <w:rPr>
      <w:rFonts w:hAnsi="宋体"/>
      <w:sz w:val="21"/>
      <w:szCs w:val="21"/>
    </w:rPr>
  </w:style>
  <w:style w:type="paragraph" w:customStyle="1" w:styleId="342">
    <w:name w:val="正文小标题"/>
    <w:basedOn w:val="3"/>
    <w:link w:val="341"/>
    <w:qFormat/>
    <w:uiPriority w:val="0"/>
    <w:pPr>
      <w:keepLines w:val="0"/>
      <w:spacing w:before="240" w:after="240" w:line="420" w:lineRule="exact"/>
    </w:pPr>
    <w:rPr>
      <w:rFonts w:hAnsi="宋体"/>
      <w:b w:val="0"/>
      <w:bCs w:val="0"/>
      <w:sz w:val="21"/>
      <w:szCs w:val="21"/>
    </w:rPr>
  </w:style>
  <w:style w:type="character" w:customStyle="1" w:styleId="343">
    <w:name w:val="不明显参考3"/>
    <w:qFormat/>
    <w:uiPriority w:val="0"/>
    <w:rPr>
      <w:smallCaps/>
      <w:color w:val="C0504D"/>
      <w:u w:val="single"/>
    </w:rPr>
  </w:style>
  <w:style w:type="character" w:customStyle="1" w:styleId="344">
    <w:name w:val="正文文本 (2) + 6.5 pt"/>
    <w:qFormat/>
    <w:uiPriority w:val="0"/>
    <w:rPr>
      <w:rFonts w:ascii="MingLiU" w:hAnsi="MingLiU" w:eastAsia="MingLiU" w:cs="MingLiU"/>
      <w:i/>
      <w:iCs/>
      <w:color w:val="000000"/>
      <w:spacing w:val="0"/>
      <w:position w:val="0"/>
      <w:sz w:val="13"/>
      <w:szCs w:val="13"/>
      <w:u w:val="none"/>
      <w:shd w:val="clear" w:color="auto" w:fill="FFFFFF"/>
      <w:lang w:val="en-US" w:eastAsia="en-US" w:bidi="ar-SA"/>
    </w:rPr>
  </w:style>
  <w:style w:type="character" w:customStyle="1" w:styleId="345">
    <w:name w:val="Date Char"/>
    <w:qFormat/>
    <w:uiPriority w:val="0"/>
    <w:rPr>
      <w:rFonts w:eastAsia="宋体"/>
      <w:sz w:val="21"/>
      <w:szCs w:val="24"/>
      <w:lang w:val="en-US" w:eastAsia="zh-CN" w:bidi="ar-SA"/>
    </w:rPr>
  </w:style>
  <w:style w:type="character" w:customStyle="1" w:styleId="346">
    <w:name w:val="ca-11"/>
    <w:qFormat/>
    <w:uiPriority w:val="0"/>
    <w:rPr>
      <w:rFonts w:ascii="宋体" w:eastAsia="宋体"/>
      <w:sz w:val="21"/>
      <w:szCs w:val="21"/>
    </w:rPr>
  </w:style>
  <w:style w:type="character" w:customStyle="1" w:styleId="347">
    <w:name w:val="正文文本 (2) + 间距 0 pt"/>
    <w:qFormat/>
    <w:uiPriority w:val="0"/>
    <w:rPr>
      <w:rFonts w:ascii="MingLiU" w:hAnsi="MingLiU" w:eastAsia="MingLiU" w:cs="MingLiU"/>
      <w:color w:val="000000"/>
      <w:spacing w:val="0"/>
      <w:position w:val="0"/>
      <w:sz w:val="22"/>
      <w:szCs w:val="22"/>
      <w:u w:val="none"/>
      <w:shd w:val="clear" w:color="auto" w:fill="FFFFFF"/>
      <w:lang w:val="zh-CN" w:eastAsia="zh-CN" w:bidi="ar-SA"/>
    </w:rPr>
  </w:style>
  <w:style w:type="character" w:customStyle="1" w:styleId="348">
    <w:name w:val="正文文本 (5)_"/>
    <w:link w:val="349"/>
    <w:qFormat/>
    <w:uiPriority w:val="0"/>
    <w:rPr>
      <w:rFonts w:ascii="MingLiU" w:hAnsi="MingLiU" w:eastAsia="MingLiU" w:cs="MingLiU"/>
      <w:shd w:val="clear" w:color="auto" w:fill="FFFFFF"/>
    </w:rPr>
  </w:style>
  <w:style w:type="paragraph" w:customStyle="1" w:styleId="349">
    <w:name w:val="正文文本 (5)"/>
    <w:basedOn w:val="1"/>
    <w:link w:val="348"/>
    <w:qFormat/>
    <w:uiPriority w:val="0"/>
    <w:pPr>
      <w:shd w:val="clear" w:color="auto" w:fill="FFFFFF"/>
      <w:spacing w:before="5100" w:line="0" w:lineRule="atLeast"/>
      <w:jc w:val="left"/>
    </w:pPr>
    <w:rPr>
      <w:rFonts w:ascii="MingLiU" w:hAnsi="MingLiU" w:eastAsia="MingLiU"/>
      <w:sz w:val="20"/>
      <w:szCs w:val="20"/>
    </w:rPr>
  </w:style>
  <w:style w:type="character" w:customStyle="1" w:styleId="350">
    <w:name w:val="Char Char6"/>
    <w:qFormat/>
    <w:uiPriority w:val="0"/>
    <w:rPr>
      <w:rFonts w:ascii="Arial" w:hAnsi="Arial" w:eastAsia="宋体"/>
      <w:b/>
      <w:bCs/>
      <w:sz w:val="21"/>
      <w:szCs w:val="28"/>
      <w:lang w:val="en-US" w:eastAsia="zh-CN" w:bidi="ar-SA"/>
    </w:rPr>
  </w:style>
  <w:style w:type="character" w:customStyle="1" w:styleId="351">
    <w:name w:val="页脚 Char1"/>
    <w:semiHidden/>
    <w:qFormat/>
    <w:uiPriority w:val="99"/>
    <w:rPr>
      <w:sz w:val="18"/>
      <w:szCs w:val="18"/>
    </w:rPr>
  </w:style>
  <w:style w:type="character" w:customStyle="1" w:styleId="352">
    <w:name w:val="样式2 Char Char"/>
    <w:link w:val="353"/>
    <w:qFormat/>
    <w:uiPriority w:val="0"/>
    <w:rPr>
      <w:rFonts w:ascii="宋体" w:hAnsi="宋体" w:eastAsia="宋体"/>
      <w:sz w:val="24"/>
      <w:szCs w:val="84"/>
    </w:rPr>
  </w:style>
  <w:style w:type="paragraph" w:customStyle="1" w:styleId="353">
    <w:name w:val="样式2"/>
    <w:basedOn w:val="20"/>
    <w:link w:val="352"/>
    <w:qFormat/>
    <w:uiPriority w:val="0"/>
    <w:pPr>
      <w:spacing w:after="0" w:line="440" w:lineRule="exact"/>
      <w:ind w:firstLine="480"/>
    </w:pPr>
    <w:rPr>
      <w:rFonts w:ascii="宋体" w:hAnsi="宋体"/>
      <w:sz w:val="24"/>
      <w:szCs w:val="84"/>
    </w:rPr>
  </w:style>
  <w:style w:type="character" w:customStyle="1" w:styleId="354">
    <w:name w:val="正文文本 Char2"/>
    <w:qFormat/>
    <w:uiPriority w:val="0"/>
    <w:rPr>
      <w:sz w:val="21"/>
      <w:szCs w:val="24"/>
    </w:rPr>
  </w:style>
  <w:style w:type="character" w:customStyle="1" w:styleId="355">
    <w:name w:val="样式5 Char Char"/>
    <w:link w:val="356"/>
    <w:qFormat/>
    <w:uiPriority w:val="0"/>
    <w:rPr>
      <w:szCs w:val="24"/>
    </w:rPr>
  </w:style>
  <w:style w:type="paragraph" w:customStyle="1" w:styleId="356">
    <w:name w:val="样式5"/>
    <w:basedOn w:val="1"/>
    <w:link w:val="355"/>
    <w:qFormat/>
    <w:uiPriority w:val="0"/>
    <w:pPr>
      <w:spacing w:line="360" w:lineRule="exact"/>
    </w:pPr>
    <w:rPr>
      <w:sz w:val="20"/>
    </w:rPr>
  </w:style>
  <w:style w:type="character" w:customStyle="1" w:styleId="357">
    <w:name w:val="标题 #8_"/>
    <w:link w:val="358"/>
    <w:qFormat/>
    <w:uiPriority w:val="0"/>
    <w:rPr>
      <w:rFonts w:ascii="MingLiU" w:hAnsi="MingLiU" w:eastAsia="MingLiU" w:cs="MingLiU"/>
      <w:b/>
      <w:bCs/>
      <w:spacing w:val="10"/>
      <w:sz w:val="22"/>
      <w:shd w:val="clear" w:color="auto" w:fill="FFFFFF"/>
    </w:rPr>
  </w:style>
  <w:style w:type="paragraph" w:customStyle="1" w:styleId="358">
    <w:name w:val="标题 #8"/>
    <w:basedOn w:val="1"/>
    <w:link w:val="357"/>
    <w:qFormat/>
    <w:uiPriority w:val="0"/>
    <w:pPr>
      <w:shd w:val="clear" w:color="auto" w:fill="FFFFFF"/>
      <w:spacing w:before="120" w:after="420" w:line="0" w:lineRule="atLeast"/>
      <w:jc w:val="left"/>
      <w:outlineLvl w:val="7"/>
    </w:pPr>
    <w:rPr>
      <w:rFonts w:ascii="MingLiU" w:hAnsi="MingLiU" w:eastAsia="MingLiU"/>
      <w:b/>
      <w:bCs/>
      <w:spacing w:val="10"/>
      <w:sz w:val="22"/>
      <w:szCs w:val="20"/>
    </w:rPr>
  </w:style>
  <w:style w:type="character" w:customStyle="1" w:styleId="359">
    <w:name w:val="目录 (2) + 间距 0 pt"/>
    <w:qFormat/>
    <w:uiPriority w:val="0"/>
    <w:rPr>
      <w:rFonts w:ascii="MingLiU" w:hAnsi="MingLiU" w:eastAsia="MingLiU" w:cs="MingLiU"/>
      <w:color w:val="000000"/>
      <w:spacing w:val="0"/>
      <w:position w:val="0"/>
      <w:sz w:val="22"/>
      <w:szCs w:val="22"/>
      <w:u w:val="none"/>
      <w:lang w:val="zh-CN" w:eastAsia="zh-CN"/>
    </w:rPr>
  </w:style>
  <w:style w:type="character" w:customStyle="1" w:styleId="360">
    <w:name w:val="正文文本 (19) + 间距 0 pt"/>
    <w:qFormat/>
    <w:uiPriority w:val="0"/>
    <w:rPr>
      <w:rFonts w:ascii="MingLiU" w:hAnsi="MingLiU" w:eastAsia="MingLiU" w:cs="MingLiU"/>
      <w:b/>
      <w:bCs/>
      <w:color w:val="000000"/>
      <w:spacing w:val="0"/>
      <w:position w:val="0"/>
      <w:sz w:val="22"/>
      <w:szCs w:val="22"/>
      <w:u w:val="none"/>
      <w:lang w:val="zh-CN" w:eastAsia="zh-CN" w:bidi="zh-CN"/>
    </w:rPr>
  </w:style>
  <w:style w:type="character" w:customStyle="1" w:styleId="361">
    <w:name w:val="Subtle Emphasis"/>
    <w:qFormat/>
    <w:uiPriority w:val="0"/>
    <w:rPr>
      <w:i/>
      <w:iCs/>
      <w:color w:val="808080"/>
    </w:rPr>
  </w:style>
  <w:style w:type="character" w:customStyle="1" w:styleId="362">
    <w:name w:val="样式3 Char Char"/>
    <w:link w:val="363"/>
    <w:qFormat/>
    <w:uiPriority w:val="0"/>
    <w:rPr>
      <w:rFonts w:ascii="Times New Roman" w:hAnsi="Times New Roman" w:eastAsia="宋体" w:cs="Times New Roman"/>
      <w:szCs w:val="24"/>
    </w:rPr>
  </w:style>
  <w:style w:type="paragraph" w:customStyle="1" w:styleId="363">
    <w:name w:val="样式3"/>
    <w:basedOn w:val="20"/>
    <w:link w:val="362"/>
    <w:qFormat/>
    <w:uiPriority w:val="0"/>
    <w:pPr>
      <w:spacing w:line="360" w:lineRule="exact"/>
    </w:pPr>
  </w:style>
  <w:style w:type="character" w:customStyle="1" w:styleId="364">
    <w:name w:val="Comment Text Char1"/>
    <w:qFormat/>
    <w:uiPriority w:val="0"/>
    <w:rPr>
      <w:sz w:val="24"/>
      <w:lang w:bidi="ar-SA"/>
    </w:rPr>
  </w:style>
  <w:style w:type="character" w:customStyle="1" w:styleId="365">
    <w:name w:val="正文文本缩进 Char1"/>
    <w:semiHidden/>
    <w:qFormat/>
    <w:uiPriority w:val="99"/>
    <w:rPr>
      <w:sz w:val="21"/>
    </w:rPr>
  </w:style>
  <w:style w:type="character" w:customStyle="1" w:styleId="366">
    <w:name w:val="页眉或页脚 + Times New Roman"/>
    <w:qFormat/>
    <w:uiPriority w:val="0"/>
    <w:rPr>
      <w:rFonts w:ascii="Times New Roman" w:hAnsi="Times New Roman" w:eastAsia="MingLiU" w:cs="Times New Roman"/>
      <w:color w:val="000000"/>
      <w:spacing w:val="0"/>
      <w:position w:val="0"/>
      <w:sz w:val="18"/>
      <w:szCs w:val="18"/>
      <w:u w:val="none"/>
      <w:lang w:val="zh-CN" w:eastAsia="zh-CN" w:bidi="ar-SA"/>
    </w:rPr>
  </w:style>
  <w:style w:type="character" w:customStyle="1" w:styleId="367">
    <w:name w:val="Char Char20"/>
    <w:qFormat/>
    <w:uiPriority w:val="0"/>
    <w:rPr>
      <w:rFonts w:ascii="Times New Roman" w:hAnsi="Times New Roman" w:eastAsia="宋体" w:cs="Times New Roman"/>
      <w:b/>
      <w:bCs/>
      <w:sz w:val="24"/>
      <w:szCs w:val="32"/>
    </w:rPr>
  </w:style>
  <w:style w:type="character" w:customStyle="1" w:styleId="368">
    <w:name w:val="正文文本 (2) + 10 pt3"/>
    <w:qFormat/>
    <w:uiPriority w:val="0"/>
    <w:rPr>
      <w:rFonts w:ascii="MingLiU" w:hAnsi="MingLiU" w:eastAsia="MingLiU" w:cs="MingLiU"/>
      <w:color w:val="000000"/>
      <w:spacing w:val="0"/>
      <w:position w:val="0"/>
      <w:sz w:val="20"/>
      <w:szCs w:val="20"/>
      <w:u w:val="none"/>
      <w:lang w:val="zh-CN" w:eastAsia="zh-CN" w:bidi="zh-CN"/>
    </w:rPr>
  </w:style>
  <w:style w:type="character" w:customStyle="1" w:styleId="369">
    <w:name w:val="正文文本 (2) + 间距 7 pt"/>
    <w:qFormat/>
    <w:uiPriority w:val="0"/>
    <w:rPr>
      <w:rFonts w:ascii="MingLiU" w:hAnsi="MingLiU" w:eastAsia="MingLiU" w:cs="MingLiU"/>
      <w:color w:val="000000"/>
      <w:spacing w:val="150"/>
      <w:position w:val="0"/>
      <w:sz w:val="22"/>
      <w:szCs w:val="22"/>
      <w:u w:val="none"/>
      <w:shd w:val="clear" w:color="auto" w:fill="FFFFFF"/>
      <w:lang w:val="zh-CN" w:eastAsia="zh-CN"/>
    </w:rPr>
  </w:style>
  <w:style w:type="character" w:customStyle="1" w:styleId="370">
    <w:name w:val="Subtle Reference"/>
    <w:qFormat/>
    <w:uiPriority w:val="0"/>
    <w:rPr>
      <w:smallCaps/>
      <w:color w:val="C0504D"/>
      <w:u w:val="single"/>
    </w:rPr>
  </w:style>
  <w:style w:type="character" w:customStyle="1" w:styleId="371">
    <w:name w:val="正文文本 Char1"/>
    <w:qFormat/>
    <w:uiPriority w:val="0"/>
    <w:rPr>
      <w:sz w:val="21"/>
    </w:rPr>
  </w:style>
  <w:style w:type="character" w:customStyle="1" w:styleId="372">
    <w:name w:val="正文文本 (2) + 间距 0 pt Exact1"/>
    <w:qFormat/>
    <w:uiPriority w:val="0"/>
    <w:rPr>
      <w:rFonts w:ascii="MingLiU" w:hAnsi="MingLiU" w:eastAsia="MingLiU" w:cs="MingLiU"/>
      <w:color w:val="000000"/>
      <w:spacing w:val="0"/>
      <w:position w:val="0"/>
      <w:sz w:val="22"/>
      <w:szCs w:val="22"/>
      <w:u w:val="none"/>
      <w:shd w:val="clear" w:color="auto" w:fill="FFFFFF"/>
      <w:lang w:val="zh-CN" w:eastAsia="zh-CN"/>
    </w:rPr>
  </w:style>
  <w:style w:type="character" w:customStyle="1" w:styleId="373">
    <w:name w:val="纯文本 Char2"/>
    <w:qFormat/>
    <w:uiPriority w:val="0"/>
    <w:rPr>
      <w:rFonts w:ascii="宋体" w:hAnsi="Courier New"/>
      <w:sz w:val="21"/>
    </w:rPr>
  </w:style>
  <w:style w:type="character" w:customStyle="1" w:styleId="374">
    <w:name w:val="批注文字 Char1"/>
    <w:qFormat/>
    <w:uiPriority w:val="0"/>
    <w:rPr>
      <w:rFonts w:ascii="Times New Roman" w:hAnsi="Times New Roman" w:eastAsia="宋体" w:cs="Times New Roman"/>
      <w:szCs w:val="24"/>
    </w:rPr>
  </w:style>
  <w:style w:type="character" w:customStyle="1" w:styleId="375">
    <w:name w:val="普通文字 Char Char1"/>
    <w:qFormat/>
    <w:uiPriority w:val="0"/>
    <w:rPr>
      <w:rFonts w:ascii="宋体" w:hAnsi="Courier New" w:eastAsia="宋体"/>
      <w:sz w:val="21"/>
      <w:lang w:val="en-US" w:eastAsia="zh-CN" w:bidi="ar-SA"/>
    </w:rPr>
  </w:style>
  <w:style w:type="character" w:customStyle="1" w:styleId="376">
    <w:name w:val="正文文本 (45)_"/>
    <w:link w:val="377"/>
    <w:qFormat/>
    <w:uiPriority w:val="0"/>
    <w:rPr>
      <w:rFonts w:ascii="MingLiU" w:hAnsi="MingLiU" w:eastAsia="MingLiU"/>
      <w:sz w:val="22"/>
      <w:shd w:val="clear" w:color="auto" w:fill="FFFFFF"/>
    </w:rPr>
  </w:style>
  <w:style w:type="paragraph" w:customStyle="1" w:styleId="377">
    <w:name w:val="正文文本 (45)"/>
    <w:basedOn w:val="1"/>
    <w:link w:val="376"/>
    <w:qFormat/>
    <w:uiPriority w:val="0"/>
    <w:pPr>
      <w:shd w:val="clear" w:color="auto" w:fill="FFFFFF"/>
      <w:spacing w:after="420" w:line="240" w:lineRule="atLeast"/>
      <w:jc w:val="center"/>
    </w:pPr>
    <w:rPr>
      <w:rFonts w:ascii="MingLiU" w:hAnsi="MingLiU" w:eastAsia="MingLiU"/>
      <w:sz w:val="22"/>
      <w:szCs w:val="20"/>
    </w:rPr>
  </w:style>
  <w:style w:type="character" w:customStyle="1" w:styleId="378">
    <w:name w:val="正文文本 (14) + Times New Roman"/>
    <w:qFormat/>
    <w:uiPriority w:val="0"/>
    <w:rPr>
      <w:rFonts w:ascii="Times New Roman" w:hAnsi="Times New Roman" w:eastAsia="MingLiU" w:cs="Times New Roman"/>
      <w:color w:val="000000"/>
      <w:spacing w:val="0"/>
      <w:position w:val="0"/>
      <w:sz w:val="24"/>
      <w:szCs w:val="24"/>
      <w:u w:val="none"/>
      <w:shd w:val="clear" w:color="auto" w:fill="FFFFFF"/>
      <w:lang w:val="en-US" w:eastAsia="en-US"/>
    </w:rPr>
  </w:style>
  <w:style w:type="character" w:customStyle="1" w:styleId="379">
    <w:name w:val="正文文本 (2)_"/>
    <w:link w:val="380"/>
    <w:qFormat/>
    <w:uiPriority w:val="0"/>
    <w:rPr>
      <w:rFonts w:ascii="MingLiU" w:hAnsi="MingLiU" w:eastAsia="MingLiU" w:cs="MingLiU"/>
      <w:spacing w:val="20"/>
      <w:sz w:val="22"/>
      <w:shd w:val="clear" w:color="auto" w:fill="FFFFFF"/>
    </w:rPr>
  </w:style>
  <w:style w:type="paragraph" w:customStyle="1" w:styleId="380">
    <w:name w:val="正文文本 (2)4"/>
    <w:basedOn w:val="1"/>
    <w:link w:val="379"/>
    <w:qFormat/>
    <w:uiPriority w:val="0"/>
    <w:pPr>
      <w:shd w:val="clear" w:color="auto" w:fill="FFFFFF"/>
      <w:spacing w:before="300" w:line="439" w:lineRule="exact"/>
      <w:jc w:val="both"/>
    </w:pPr>
    <w:rPr>
      <w:rFonts w:ascii="MingLiU" w:hAnsi="MingLiU" w:eastAsia="MingLiU"/>
      <w:spacing w:val="20"/>
      <w:sz w:val="22"/>
      <w:szCs w:val="20"/>
    </w:rPr>
  </w:style>
  <w:style w:type="character" w:customStyle="1" w:styleId="381">
    <w:name w:val="批注主题 Char1"/>
    <w:qFormat/>
    <w:uiPriority w:val="0"/>
    <w:rPr>
      <w:b/>
      <w:bCs/>
      <w:sz w:val="21"/>
      <w:szCs w:val="24"/>
    </w:rPr>
  </w:style>
  <w:style w:type="character" w:customStyle="1" w:styleId="382">
    <w:name w:val="样式4 Char Char"/>
    <w:link w:val="383"/>
    <w:qFormat/>
    <w:uiPriority w:val="0"/>
    <w:rPr>
      <w:rFonts w:ascii="宋体" w:hAnsi="宋体"/>
      <w:color w:val="FF0000"/>
      <w:sz w:val="24"/>
      <w:szCs w:val="24"/>
      <w:lang w:val="en-US" w:eastAsia="zh-CN" w:bidi="ar-SA"/>
    </w:rPr>
  </w:style>
  <w:style w:type="paragraph" w:customStyle="1" w:styleId="383">
    <w:name w:val="样式4"/>
    <w:link w:val="382"/>
    <w:qFormat/>
    <w:uiPriority w:val="0"/>
    <w:pPr>
      <w:ind w:left="-178" w:right="-107"/>
      <w:jc w:val="center"/>
    </w:pPr>
    <w:rPr>
      <w:rFonts w:hint="default" w:ascii="宋体" w:hAnsi="宋体" w:eastAsia="宋体" w:cs="Times New Roman"/>
      <w:color w:val="FF0000"/>
      <w:sz w:val="24"/>
      <w:szCs w:val="24"/>
      <w:lang w:val="en-US" w:eastAsia="zh-CN" w:bidi="ar-SA"/>
    </w:rPr>
  </w:style>
  <w:style w:type="character" w:customStyle="1" w:styleId="384">
    <w:name w:val="Body Text Indent Char"/>
    <w:qFormat/>
    <w:uiPriority w:val="0"/>
    <w:rPr>
      <w:rFonts w:ascii="宋体" w:hAnsi="宋体" w:eastAsia="宋体"/>
      <w:sz w:val="21"/>
      <w:lang w:val="en-US" w:eastAsia="zh-CN" w:bidi="ar-SA"/>
    </w:rPr>
  </w:style>
  <w:style w:type="character" w:customStyle="1" w:styleId="385">
    <w:name w:val="书籍标题2"/>
    <w:qFormat/>
    <w:uiPriority w:val="33"/>
    <w:rPr>
      <w:b/>
      <w:bCs/>
      <w:smallCaps/>
      <w:spacing w:val="5"/>
    </w:rPr>
  </w:style>
  <w:style w:type="character" w:customStyle="1" w:styleId="386">
    <w:name w:val="op-map-singlepoint-info-right"/>
    <w:qFormat/>
    <w:uiPriority w:val="0"/>
  </w:style>
  <w:style w:type="character" w:customStyle="1" w:styleId="387">
    <w:name w:val="Heading 3 Char"/>
    <w:qFormat/>
    <w:uiPriority w:val="0"/>
    <w:rPr>
      <w:rFonts w:cs="Times New Roman"/>
      <w:b/>
      <w:bCs/>
      <w:sz w:val="32"/>
      <w:szCs w:val="32"/>
    </w:rPr>
  </w:style>
  <w:style w:type="character" w:customStyle="1" w:styleId="388">
    <w:name w:val="正文文本 (2) + 10 pt34"/>
    <w:qFormat/>
    <w:uiPriority w:val="0"/>
    <w:rPr>
      <w:rFonts w:ascii="MingLiU" w:hAnsi="MingLiU" w:eastAsia="MingLiU" w:cs="MingLiU"/>
      <w:color w:val="000000"/>
      <w:spacing w:val="140"/>
      <w:position w:val="0"/>
      <w:sz w:val="20"/>
      <w:szCs w:val="20"/>
      <w:u w:val="none"/>
      <w:shd w:val="clear" w:color="auto" w:fill="FFFFFF"/>
      <w:lang w:val="zh-CN" w:eastAsia="zh-CN"/>
    </w:rPr>
  </w:style>
  <w:style w:type="character" w:customStyle="1" w:styleId="389">
    <w:name w:val="标题 1 Char Char"/>
    <w:qFormat/>
    <w:uiPriority w:val="0"/>
    <w:rPr>
      <w:rFonts w:eastAsia="宋体"/>
      <w:b/>
      <w:sz w:val="44"/>
      <w:lang w:val="en-US" w:eastAsia="zh-CN" w:bidi="ar-SA"/>
    </w:rPr>
  </w:style>
  <w:style w:type="character" w:customStyle="1" w:styleId="390">
    <w:name w:val="标题 3 字符"/>
    <w:qFormat/>
    <w:uiPriority w:val="0"/>
    <w:rPr>
      <w:rFonts w:ascii="Calibri" w:hAnsi="Calibri" w:eastAsia="宋体"/>
      <w:b/>
      <w:sz w:val="32"/>
    </w:rPr>
  </w:style>
  <w:style w:type="character" w:customStyle="1" w:styleId="391">
    <w:name w:val="正文文本 (31)_"/>
    <w:link w:val="392"/>
    <w:qFormat/>
    <w:uiPriority w:val="0"/>
    <w:rPr>
      <w:shd w:val="clear" w:color="auto" w:fill="FFFFFF"/>
      <w:lang w:eastAsia="en-US"/>
    </w:rPr>
  </w:style>
  <w:style w:type="paragraph" w:customStyle="1" w:styleId="392">
    <w:name w:val="正文文本 (31)"/>
    <w:basedOn w:val="1"/>
    <w:link w:val="391"/>
    <w:qFormat/>
    <w:uiPriority w:val="0"/>
    <w:pPr>
      <w:shd w:val="clear" w:color="auto" w:fill="FFFFFF"/>
      <w:spacing w:line="401" w:lineRule="exact"/>
      <w:ind w:firstLine="500"/>
    </w:pPr>
    <w:rPr>
      <w:sz w:val="20"/>
      <w:szCs w:val="20"/>
      <w:lang w:eastAsia="en-US"/>
    </w:rPr>
  </w:style>
  <w:style w:type="character" w:customStyle="1" w:styleId="393">
    <w:name w:val="明显引用 Char1"/>
    <w:qFormat/>
    <w:uiPriority w:val="30"/>
    <w:rPr>
      <w:rFonts w:ascii="Times New Roman" w:hAnsi="Times New Roman" w:eastAsia="宋体" w:cs="Times New Roman"/>
      <w:b/>
      <w:bCs/>
      <w:i/>
      <w:iCs/>
      <w:color w:val="4F81BD"/>
      <w:szCs w:val="24"/>
    </w:rPr>
  </w:style>
  <w:style w:type="character" w:customStyle="1" w:styleId="394">
    <w:name w:val="不明显强调3"/>
    <w:qFormat/>
    <w:uiPriority w:val="0"/>
    <w:rPr>
      <w:i/>
      <w:iCs/>
      <w:color w:val="808080"/>
    </w:rPr>
  </w:style>
  <w:style w:type="character" w:customStyle="1" w:styleId="395">
    <w:name w:val="Intense Reference"/>
    <w:qFormat/>
    <w:uiPriority w:val="0"/>
    <w:rPr>
      <w:b/>
      <w:bCs/>
      <w:smallCaps/>
      <w:color w:val="C0504D"/>
      <w:spacing w:val="5"/>
      <w:u w:val="single"/>
    </w:rPr>
  </w:style>
  <w:style w:type="character" w:customStyle="1" w:styleId="396">
    <w:name w:val="15"/>
    <w:qFormat/>
    <w:uiPriority w:val="0"/>
    <w:rPr>
      <w:rFonts w:hint="default" w:ascii="Times New Roman" w:hAnsi="Times New Roman" w:cs="Times New Roman"/>
      <w:color w:val="0000FF"/>
      <w:u w:val="single"/>
    </w:rPr>
  </w:style>
  <w:style w:type="character" w:customStyle="1" w:styleId="397">
    <w:name w:val="标题 3 Char Char Char"/>
    <w:qFormat/>
    <w:uiPriority w:val="0"/>
    <w:rPr>
      <w:rFonts w:eastAsia="宋体"/>
      <w:b/>
      <w:bCs/>
      <w:sz w:val="32"/>
      <w:szCs w:val="32"/>
      <w:lang w:val="en-US" w:eastAsia="zh-CN" w:bidi="ar-SA"/>
    </w:rPr>
  </w:style>
  <w:style w:type="character" w:customStyle="1" w:styleId="398">
    <w:name w:val="Char Char1"/>
    <w:qFormat/>
    <w:uiPriority w:val="0"/>
    <w:rPr>
      <w:rFonts w:eastAsia="宋体"/>
      <w:sz w:val="18"/>
      <w:szCs w:val="18"/>
      <w:lang w:val="en-US" w:eastAsia="zh-CN" w:bidi="ar-SA"/>
    </w:rPr>
  </w:style>
  <w:style w:type="character" w:customStyle="1" w:styleId="399">
    <w:name w:val="para1"/>
    <w:qFormat/>
    <w:uiPriority w:val="0"/>
    <w:rPr>
      <w:rFonts w:hint="default" w:ascii="Arial" w:hAnsi="Arial" w:cs="Arial"/>
      <w:sz w:val="18"/>
      <w:szCs w:val="18"/>
    </w:rPr>
  </w:style>
  <w:style w:type="character" w:customStyle="1" w:styleId="400">
    <w:name w:val="标题 1 Char_1"/>
    <w:link w:val="401"/>
    <w:qFormat/>
    <w:uiPriority w:val="99"/>
    <w:rPr>
      <w:rFonts w:ascii="Calibri" w:hAnsi="Calibri"/>
      <w:b/>
      <w:bCs/>
      <w:sz w:val="32"/>
      <w:szCs w:val="44"/>
    </w:rPr>
  </w:style>
  <w:style w:type="paragraph" w:customStyle="1" w:styleId="401">
    <w:name w:val="标题 1_1"/>
    <w:basedOn w:val="402"/>
    <w:next w:val="402"/>
    <w:link w:val="400"/>
    <w:qFormat/>
    <w:uiPriority w:val="99"/>
    <w:pPr>
      <w:keepNext/>
      <w:keepLines/>
      <w:spacing w:line="360" w:lineRule="auto"/>
      <w:outlineLvl w:val="0"/>
    </w:pPr>
    <w:rPr>
      <w:b/>
      <w:bCs/>
      <w:sz w:val="32"/>
      <w:szCs w:val="44"/>
    </w:rPr>
  </w:style>
  <w:style w:type="paragraph" w:customStyle="1" w:styleId="402">
    <w:name w:val="正文_2"/>
    <w:qFormat/>
    <w:uiPriority w:val="0"/>
    <w:pPr>
      <w:widowControl w:val="0"/>
      <w:jc w:val="both"/>
    </w:pPr>
    <w:rPr>
      <w:rFonts w:hint="default" w:ascii="Calibri" w:hAnsi="Calibri" w:eastAsia="宋体" w:cs="Times New Roman"/>
      <w:sz w:val="21"/>
      <w:szCs w:val="22"/>
      <w:lang w:val="en-US" w:eastAsia="zh-CN" w:bidi="ar-SA"/>
    </w:rPr>
  </w:style>
  <w:style w:type="character" w:customStyle="1" w:styleId="403">
    <w:name w:val="正文文本缩进 2 Char1"/>
    <w:semiHidden/>
    <w:qFormat/>
    <w:uiPriority w:val="99"/>
    <w:rPr>
      <w:sz w:val="21"/>
    </w:rPr>
  </w:style>
  <w:style w:type="character" w:customStyle="1" w:styleId="404">
    <w:name w:val="Char Char2"/>
    <w:qFormat/>
    <w:uiPriority w:val="0"/>
    <w:rPr>
      <w:rFonts w:ascii="宋体" w:hAnsi="Courier New" w:eastAsia="宋体"/>
      <w:sz w:val="21"/>
      <w:szCs w:val="24"/>
      <w:lang w:val="en-US" w:eastAsia="zh-CN" w:bidi="ar-SA"/>
    </w:rPr>
  </w:style>
  <w:style w:type="character" w:customStyle="1" w:styleId="405">
    <w:name w:val="Char Char22"/>
    <w:qFormat/>
    <w:uiPriority w:val="0"/>
    <w:rPr>
      <w:rFonts w:ascii="Times New Roman" w:hAnsi="Times New Roman" w:eastAsia="宋体" w:cs="Times New Roman"/>
      <w:b/>
      <w:bCs/>
      <w:sz w:val="32"/>
      <w:szCs w:val="44"/>
    </w:rPr>
  </w:style>
  <w:style w:type="character" w:customStyle="1" w:styleId="406">
    <w:name w:val="正文文本 2 Char1"/>
    <w:qFormat/>
    <w:uiPriority w:val="0"/>
    <w:rPr>
      <w:rFonts w:ascii="Times New Roman" w:hAnsi="Times New Roman" w:eastAsia="宋体" w:cs="Times New Roman"/>
      <w:szCs w:val="24"/>
    </w:rPr>
  </w:style>
  <w:style w:type="character" w:customStyle="1" w:styleId="407">
    <w:name w:val="style6"/>
    <w:qFormat/>
    <w:uiPriority w:val="0"/>
  </w:style>
  <w:style w:type="character" w:customStyle="1" w:styleId="408">
    <w:name w:val="Char Char91"/>
    <w:qFormat/>
    <w:uiPriority w:val="0"/>
    <w:rPr>
      <w:rFonts w:eastAsia="宋体"/>
      <w:b/>
      <w:bCs/>
      <w:sz w:val="32"/>
      <w:szCs w:val="44"/>
      <w:lang w:val="en-US" w:eastAsia="zh-CN" w:bidi="ar-SA"/>
    </w:rPr>
  </w:style>
  <w:style w:type="character" w:customStyle="1" w:styleId="409">
    <w:name w:val="样式 Char Char"/>
    <w:qFormat/>
    <w:uiPriority w:val="0"/>
    <w:rPr>
      <w:rFonts w:ascii="宋体" w:hAnsi="宋体" w:eastAsia="宋体" w:cs="宋体"/>
      <w:sz w:val="24"/>
      <w:szCs w:val="24"/>
      <w:lang w:val="en-US" w:eastAsia="zh-CN" w:bidi="ar-SA"/>
    </w:rPr>
  </w:style>
  <w:style w:type="character" w:customStyle="1" w:styleId="410">
    <w:name w:val="纯文本 Char1"/>
    <w:qFormat/>
    <w:uiPriority w:val="0"/>
    <w:rPr>
      <w:rFonts w:ascii="宋体" w:hAnsi="Courier New" w:eastAsia="宋体" w:cs="Courier New"/>
      <w:szCs w:val="21"/>
    </w:rPr>
  </w:style>
  <w:style w:type="character" w:customStyle="1" w:styleId="411">
    <w:name w:val="日期 Char1"/>
    <w:qFormat/>
    <w:uiPriority w:val="0"/>
    <w:rPr>
      <w:rFonts w:ascii="Times New Roman" w:hAnsi="Times New Roman" w:eastAsia="宋体" w:cs="Times New Roman"/>
      <w:szCs w:val="24"/>
    </w:rPr>
  </w:style>
  <w:style w:type="character" w:customStyle="1" w:styleId="412">
    <w:name w:val="批注文字 Char Char"/>
    <w:qFormat/>
    <w:uiPriority w:val="0"/>
    <w:rPr>
      <w:rFonts w:ascii="宋体" w:hAnsi="Times New Roman" w:eastAsia="宋体" w:cs="Times New Roman"/>
      <w:sz w:val="28"/>
      <w:szCs w:val="20"/>
    </w:rPr>
  </w:style>
  <w:style w:type="character" w:customStyle="1" w:styleId="413">
    <w:name w:val="Heading 3 Char1"/>
    <w:qFormat/>
    <w:uiPriority w:val="0"/>
    <w:rPr>
      <w:rFonts w:eastAsia="宋体"/>
      <w:b/>
      <w:bCs/>
      <w:sz w:val="24"/>
      <w:szCs w:val="32"/>
      <w:lang w:val="en-US" w:eastAsia="zh-CN" w:bidi="ar-SA"/>
    </w:rPr>
  </w:style>
  <w:style w:type="character" w:customStyle="1" w:styleId="414">
    <w:name w:val="副标题 Char2"/>
    <w:qFormat/>
    <w:uiPriority w:val="0"/>
    <w:rPr>
      <w:rFonts w:ascii="Cambria" w:hAnsi="Cambria" w:cs="Times New Roman"/>
      <w:b/>
      <w:bCs/>
      <w:sz w:val="32"/>
      <w:szCs w:val="32"/>
    </w:rPr>
  </w:style>
  <w:style w:type="character" w:customStyle="1" w:styleId="415">
    <w:name w:val="表格标题 (4)_"/>
    <w:link w:val="416"/>
    <w:qFormat/>
    <w:uiPriority w:val="0"/>
    <w:rPr>
      <w:rFonts w:ascii="MingLiU" w:hAnsi="MingLiU" w:eastAsia="MingLiU"/>
      <w:b/>
      <w:bCs/>
      <w:sz w:val="22"/>
      <w:shd w:val="clear" w:color="auto" w:fill="FFFFFF"/>
    </w:rPr>
  </w:style>
  <w:style w:type="paragraph" w:customStyle="1" w:styleId="416">
    <w:name w:val="表格标题 (4)"/>
    <w:basedOn w:val="1"/>
    <w:link w:val="415"/>
    <w:qFormat/>
    <w:uiPriority w:val="0"/>
    <w:pPr>
      <w:shd w:val="clear" w:color="auto" w:fill="FFFFFF"/>
      <w:spacing w:line="240" w:lineRule="atLeast"/>
      <w:jc w:val="left"/>
    </w:pPr>
    <w:rPr>
      <w:rFonts w:ascii="MingLiU" w:hAnsi="MingLiU" w:eastAsia="MingLiU"/>
      <w:b/>
      <w:bCs/>
      <w:sz w:val="22"/>
      <w:szCs w:val="20"/>
    </w:rPr>
  </w:style>
  <w:style w:type="character" w:customStyle="1" w:styleId="417">
    <w:name w:val="Heading 5 Char"/>
    <w:qFormat/>
    <w:uiPriority w:val="0"/>
    <w:rPr>
      <w:rFonts w:eastAsia="宋体"/>
      <w:b/>
      <w:bCs/>
      <w:sz w:val="28"/>
      <w:szCs w:val="28"/>
      <w:lang w:val="en-US" w:eastAsia="zh-CN" w:bidi="ar-SA"/>
    </w:rPr>
  </w:style>
  <w:style w:type="character" w:customStyle="1" w:styleId="418">
    <w:name w:val="批注框文本 Char1"/>
    <w:qFormat/>
    <w:uiPriority w:val="0"/>
    <w:rPr>
      <w:sz w:val="18"/>
      <w:szCs w:val="18"/>
    </w:rPr>
  </w:style>
  <w:style w:type="character" w:customStyle="1" w:styleId="419">
    <w:name w:val="明显强调1"/>
    <w:qFormat/>
    <w:uiPriority w:val="21"/>
    <w:rPr>
      <w:b/>
      <w:bCs/>
      <w:i/>
      <w:iCs/>
      <w:color w:val="4F81BD"/>
    </w:rPr>
  </w:style>
  <w:style w:type="character" w:customStyle="1" w:styleId="420">
    <w:name w:val="正文文本 (31) + CordiaUPC"/>
    <w:qFormat/>
    <w:uiPriority w:val="0"/>
    <w:rPr>
      <w:rFonts w:ascii="CordiaUPC" w:hAnsi="CordiaUPC" w:eastAsia="Times New Roman" w:cs="CordiaUPC"/>
      <w:b/>
      <w:bCs/>
      <w:color w:val="000000"/>
      <w:spacing w:val="0"/>
      <w:position w:val="0"/>
      <w:sz w:val="34"/>
      <w:szCs w:val="34"/>
      <w:lang w:val="en-US" w:eastAsia="en-US" w:bidi="ar-SA"/>
    </w:rPr>
  </w:style>
  <w:style w:type="character" w:customStyle="1" w:styleId="421">
    <w:name w:val="正文文本 (19)_"/>
    <w:link w:val="422"/>
    <w:qFormat/>
    <w:uiPriority w:val="0"/>
    <w:rPr>
      <w:rFonts w:ascii="MingLiU" w:hAnsi="MingLiU" w:eastAsia="MingLiU" w:cs="MingLiU"/>
      <w:b/>
      <w:bCs/>
      <w:spacing w:val="10"/>
      <w:sz w:val="22"/>
      <w:shd w:val="clear" w:color="auto" w:fill="FFFFFF"/>
    </w:rPr>
  </w:style>
  <w:style w:type="paragraph" w:customStyle="1" w:styleId="422">
    <w:name w:val="正文文本 (19)"/>
    <w:basedOn w:val="1"/>
    <w:link w:val="421"/>
    <w:qFormat/>
    <w:uiPriority w:val="0"/>
    <w:pPr>
      <w:shd w:val="clear" w:color="auto" w:fill="FFFFFF"/>
      <w:spacing w:line="559" w:lineRule="exact"/>
      <w:jc w:val="left"/>
    </w:pPr>
    <w:rPr>
      <w:rFonts w:ascii="MingLiU" w:hAnsi="MingLiU" w:eastAsia="MingLiU"/>
      <w:b/>
      <w:bCs/>
      <w:spacing w:val="10"/>
      <w:sz w:val="22"/>
      <w:szCs w:val="20"/>
    </w:rPr>
  </w:style>
  <w:style w:type="character" w:customStyle="1" w:styleId="423">
    <w:name w:val="页眉或页脚 + 间距 1 pt1"/>
    <w:qFormat/>
    <w:uiPriority w:val="0"/>
    <w:rPr>
      <w:rFonts w:ascii="MingLiU" w:hAnsi="MingLiU" w:eastAsia="MingLiU" w:cs="MingLiU"/>
      <w:color w:val="000000"/>
      <w:spacing w:val="30"/>
      <w:position w:val="0"/>
      <w:sz w:val="20"/>
      <w:szCs w:val="20"/>
      <w:u w:val="none"/>
      <w:lang w:val="zh-CN" w:eastAsia="zh-CN" w:bidi="ar-SA"/>
    </w:rPr>
  </w:style>
  <w:style w:type="character" w:customStyle="1" w:styleId="424">
    <w:name w:val="正文文本缩进 3 Char1"/>
    <w:semiHidden/>
    <w:qFormat/>
    <w:uiPriority w:val="99"/>
    <w:rPr>
      <w:sz w:val="16"/>
      <w:szCs w:val="16"/>
    </w:rPr>
  </w:style>
  <w:style w:type="character" w:customStyle="1" w:styleId="425">
    <w:name w:val="Footer Char"/>
    <w:qFormat/>
    <w:uiPriority w:val="0"/>
    <w:rPr>
      <w:rFonts w:eastAsia="宋体"/>
      <w:sz w:val="18"/>
      <w:szCs w:val="18"/>
      <w:lang w:val="en-US" w:eastAsia="zh-CN" w:bidi="ar-SA"/>
    </w:rPr>
  </w:style>
  <w:style w:type="character" w:customStyle="1" w:styleId="426">
    <w:name w:val="Char Char Char"/>
    <w:qFormat/>
    <w:uiPriority w:val="0"/>
    <w:rPr>
      <w:rFonts w:eastAsia="宋体"/>
      <w:sz w:val="18"/>
      <w:szCs w:val="18"/>
      <w:lang w:val="en-US" w:eastAsia="zh-CN" w:bidi="ar-SA"/>
    </w:rPr>
  </w:style>
  <w:style w:type="character" w:customStyle="1" w:styleId="427">
    <w:name w:val="标题 #7_"/>
    <w:link w:val="428"/>
    <w:qFormat/>
    <w:uiPriority w:val="0"/>
    <w:rPr>
      <w:rFonts w:ascii="MingLiU" w:hAnsi="MingLiU" w:eastAsia="MingLiU"/>
      <w:spacing w:val="30"/>
      <w:sz w:val="26"/>
      <w:szCs w:val="26"/>
      <w:shd w:val="clear" w:color="auto" w:fill="FFFFFF"/>
    </w:rPr>
  </w:style>
  <w:style w:type="paragraph" w:customStyle="1" w:styleId="428">
    <w:name w:val="标题 #7"/>
    <w:basedOn w:val="1"/>
    <w:link w:val="427"/>
    <w:qFormat/>
    <w:uiPriority w:val="0"/>
    <w:pPr>
      <w:shd w:val="clear" w:color="auto" w:fill="FFFFFF"/>
      <w:spacing w:before="540" w:after="540" w:line="240" w:lineRule="atLeast"/>
      <w:jc w:val="center"/>
      <w:outlineLvl w:val="6"/>
    </w:pPr>
    <w:rPr>
      <w:rFonts w:ascii="MingLiU" w:hAnsi="MingLiU" w:eastAsia="MingLiU"/>
      <w:spacing w:val="30"/>
      <w:sz w:val="26"/>
      <w:szCs w:val="26"/>
    </w:rPr>
  </w:style>
  <w:style w:type="character" w:customStyle="1" w:styleId="429">
    <w:name w:val="正文文本 (2) + 间距 0 pt6"/>
    <w:qFormat/>
    <w:uiPriority w:val="0"/>
    <w:rPr>
      <w:rFonts w:ascii="MingLiU" w:hAnsi="MingLiU" w:eastAsia="MingLiU" w:cs="MingLiU"/>
      <w:color w:val="000000"/>
      <w:spacing w:val="0"/>
      <w:position w:val="0"/>
      <w:sz w:val="22"/>
      <w:szCs w:val="22"/>
      <w:u w:val="single"/>
      <w:shd w:val="clear" w:color="auto" w:fill="FFFFFF"/>
      <w:lang w:val="zh-CN" w:eastAsia="zh-CN"/>
    </w:rPr>
  </w:style>
  <w:style w:type="character" w:customStyle="1" w:styleId="430">
    <w:name w:val="Char Char21"/>
    <w:qFormat/>
    <w:uiPriority w:val="0"/>
    <w:rPr>
      <w:rFonts w:ascii="Arial" w:hAnsi="Arial" w:eastAsia="黑体" w:cs="Times New Roman"/>
      <w:b/>
      <w:bCs/>
      <w:sz w:val="32"/>
      <w:szCs w:val="32"/>
    </w:rPr>
  </w:style>
  <w:style w:type="character" w:customStyle="1" w:styleId="431">
    <w:name w:val="正文文本 (30) + CordiaUPC"/>
    <w:qFormat/>
    <w:uiPriority w:val="0"/>
    <w:rPr>
      <w:rFonts w:ascii="CordiaUPC" w:hAnsi="CordiaUPC" w:eastAsia="Times New Roman" w:cs="CordiaUPC"/>
      <w:b/>
      <w:bCs/>
      <w:color w:val="000000"/>
      <w:spacing w:val="0"/>
      <w:position w:val="0"/>
      <w:sz w:val="34"/>
      <w:szCs w:val="34"/>
      <w:lang w:val="en-US" w:eastAsia="en-US" w:bidi="ar-SA"/>
    </w:rPr>
  </w:style>
  <w:style w:type="character" w:customStyle="1" w:styleId="432">
    <w:name w:val="Heading 2 Char"/>
    <w:qFormat/>
    <w:uiPriority w:val="0"/>
    <w:rPr>
      <w:rFonts w:ascii="Arial" w:hAnsi="Arial" w:eastAsia="黑体"/>
      <w:b/>
      <w:bCs/>
      <w:sz w:val="32"/>
      <w:szCs w:val="32"/>
      <w:lang w:val="en-US" w:eastAsia="zh-CN" w:bidi="ar-SA"/>
    </w:rPr>
  </w:style>
  <w:style w:type="character" w:customStyle="1" w:styleId="433">
    <w:name w:val="明显强调3"/>
    <w:qFormat/>
    <w:uiPriority w:val="0"/>
    <w:rPr>
      <w:b/>
      <w:bCs/>
      <w:i/>
      <w:iCs/>
      <w:color w:val="4F81BD"/>
    </w:rPr>
  </w:style>
  <w:style w:type="character" w:customStyle="1" w:styleId="434">
    <w:name w:val="Title Char"/>
    <w:qFormat/>
    <w:uiPriority w:val="0"/>
    <w:rPr>
      <w:rFonts w:ascii="Cambria" w:hAnsi="Cambria"/>
      <w:b/>
      <w:sz w:val="32"/>
      <w:lang w:bidi="ar-SA"/>
    </w:rPr>
  </w:style>
  <w:style w:type="character" w:customStyle="1" w:styleId="435">
    <w:name w:val="明显引用 Char3"/>
    <w:qFormat/>
    <w:uiPriority w:val="99"/>
    <w:rPr>
      <w:b/>
      <w:bCs/>
      <w:i/>
      <w:iCs/>
      <w:color w:val="4F81BD"/>
      <w:sz w:val="21"/>
      <w:szCs w:val="24"/>
    </w:rPr>
  </w:style>
  <w:style w:type="character" w:customStyle="1" w:styleId="436">
    <w:name w:val="062"/>
    <w:qFormat/>
    <w:uiPriority w:val="0"/>
    <w:rPr>
      <w:rFonts w:ascii="宋体" w:hAnsi="宋体"/>
      <w:b/>
      <w:bCs/>
      <w:sz w:val="32"/>
    </w:rPr>
  </w:style>
  <w:style w:type="character" w:customStyle="1" w:styleId="437">
    <w:name w:val="明显引用 Char"/>
    <w:link w:val="438"/>
    <w:qFormat/>
    <w:uiPriority w:val="0"/>
    <w:rPr>
      <w:b/>
      <w:bCs/>
      <w:i/>
      <w:iCs/>
      <w:color w:val="4F81BD"/>
      <w:szCs w:val="24"/>
    </w:rPr>
  </w:style>
  <w:style w:type="paragraph" w:styleId="438">
    <w:name w:val="Intense Quote"/>
    <w:basedOn w:val="1"/>
    <w:next w:val="1"/>
    <w:link w:val="437"/>
    <w:qFormat/>
    <w:uiPriority w:val="0"/>
    <w:pPr>
      <w:pBdr>
        <w:bottom w:val="single" w:color="4F81BD" w:sz="4" w:space="4"/>
      </w:pBdr>
      <w:spacing w:before="200" w:after="280" w:line="360" w:lineRule="exact"/>
      <w:ind w:left="936" w:right="936" w:firstLine="200"/>
    </w:pPr>
    <w:rPr>
      <w:b/>
      <w:bCs/>
      <w:i/>
      <w:iCs/>
      <w:color w:val="4F81BD"/>
      <w:sz w:val="20"/>
    </w:rPr>
  </w:style>
  <w:style w:type="character" w:customStyle="1" w:styleId="439">
    <w:name w:val="标题 3 Char1"/>
    <w:qFormat/>
    <w:uiPriority w:val="0"/>
    <w:rPr>
      <w:b/>
      <w:bCs/>
      <w:sz w:val="32"/>
      <w:szCs w:val="32"/>
    </w:rPr>
  </w:style>
  <w:style w:type="character" w:customStyle="1" w:styleId="440">
    <w:name w:val="正文文本 (30)_"/>
    <w:link w:val="441"/>
    <w:qFormat/>
    <w:uiPriority w:val="0"/>
    <w:rPr>
      <w:shd w:val="clear" w:color="auto" w:fill="FFFFFF"/>
      <w:lang w:eastAsia="en-US"/>
    </w:rPr>
  </w:style>
  <w:style w:type="paragraph" w:customStyle="1" w:styleId="441">
    <w:name w:val="正文文本 (30)"/>
    <w:basedOn w:val="1"/>
    <w:link w:val="440"/>
    <w:qFormat/>
    <w:uiPriority w:val="0"/>
    <w:pPr>
      <w:shd w:val="clear" w:color="auto" w:fill="FFFFFF"/>
      <w:spacing w:before="420" w:line="401" w:lineRule="exact"/>
      <w:ind w:firstLine="500"/>
    </w:pPr>
    <w:rPr>
      <w:sz w:val="20"/>
      <w:szCs w:val="20"/>
      <w:lang w:eastAsia="en-US"/>
    </w:rPr>
  </w:style>
  <w:style w:type="character" w:customStyle="1" w:styleId="442">
    <w:name w:val="正文文本 (2) + Times New Roman"/>
    <w:qFormat/>
    <w:uiPriority w:val="0"/>
    <w:rPr>
      <w:rFonts w:ascii="Times New Roman" w:hAnsi="Times New Roman" w:eastAsia="Times New Roman" w:cs="Times New Roman"/>
      <w:color w:val="000000"/>
      <w:spacing w:val="0"/>
      <w:position w:val="0"/>
      <w:sz w:val="24"/>
      <w:szCs w:val="24"/>
      <w:u w:val="none"/>
      <w:shd w:val="clear" w:color="auto" w:fill="FFFFFF"/>
      <w:lang w:val="en-US" w:eastAsia="en-US" w:bidi="en-US"/>
    </w:rPr>
  </w:style>
  <w:style w:type="character" w:customStyle="1" w:styleId="443">
    <w:name w:val="引用 Char3"/>
    <w:qFormat/>
    <w:uiPriority w:val="99"/>
    <w:rPr>
      <w:i/>
      <w:iCs/>
      <w:color w:val="000000"/>
      <w:sz w:val="21"/>
      <w:szCs w:val="24"/>
    </w:rPr>
  </w:style>
  <w:style w:type="character" w:customStyle="1" w:styleId="444">
    <w:name w:val="HTML 预设格式 Char1"/>
    <w:qFormat/>
    <w:uiPriority w:val="99"/>
    <w:rPr>
      <w:rFonts w:ascii="Courier New" w:hAnsi="Courier New" w:cs="Courier New"/>
    </w:rPr>
  </w:style>
  <w:style w:type="character" w:customStyle="1" w:styleId="445">
    <w:name w:val="Comment Text Char"/>
    <w:qFormat/>
    <w:uiPriority w:val="0"/>
    <w:rPr>
      <w:rFonts w:cs="Times New Roman"/>
      <w:sz w:val="24"/>
      <w:szCs w:val="24"/>
    </w:rPr>
  </w:style>
  <w:style w:type="character" w:customStyle="1" w:styleId="446">
    <w:name w:val="Char Char4"/>
    <w:qFormat/>
    <w:uiPriority w:val="0"/>
    <w:rPr>
      <w:b/>
      <w:bCs/>
      <w:sz w:val="21"/>
      <w:szCs w:val="24"/>
      <w:lang w:bidi="ar-SA"/>
    </w:rPr>
  </w:style>
  <w:style w:type="character" w:customStyle="1" w:styleId="447">
    <w:name w:val="Char Char7"/>
    <w:qFormat/>
    <w:uiPriority w:val="0"/>
    <w:rPr>
      <w:rFonts w:eastAsia="宋体"/>
      <w:b/>
      <w:bCs/>
      <w:sz w:val="24"/>
      <w:szCs w:val="32"/>
      <w:lang w:val="en-US" w:eastAsia="zh-CN" w:bidi="ar-SA"/>
    </w:rPr>
  </w:style>
  <w:style w:type="character" w:customStyle="1" w:styleId="448">
    <w:name w:val="标题 #7 (5) + 间距 0 pt"/>
    <w:qFormat/>
    <w:uiPriority w:val="0"/>
    <w:rPr>
      <w:rFonts w:ascii="MingLiU" w:hAnsi="MingLiU" w:eastAsia="MingLiU"/>
      <w:color w:val="000000"/>
      <w:spacing w:val="0"/>
      <w:position w:val="0"/>
      <w:sz w:val="30"/>
      <w:szCs w:val="30"/>
      <w:lang w:val="zh-CN" w:eastAsia="zh-CN" w:bidi="ar-SA"/>
    </w:rPr>
  </w:style>
  <w:style w:type="character" w:customStyle="1" w:styleId="449">
    <w:name w:val="标题 #8 (3)_"/>
    <w:link w:val="450"/>
    <w:qFormat/>
    <w:uiPriority w:val="0"/>
    <w:rPr>
      <w:rFonts w:ascii="MingLiU" w:hAnsi="MingLiU" w:eastAsia="MingLiU" w:cs="MingLiU"/>
      <w:shd w:val="clear" w:color="auto" w:fill="FFFFFF"/>
    </w:rPr>
  </w:style>
  <w:style w:type="paragraph" w:customStyle="1" w:styleId="450">
    <w:name w:val="标题 #8 (3)"/>
    <w:basedOn w:val="1"/>
    <w:link w:val="449"/>
    <w:qFormat/>
    <w:uiPriority w:val="0"/>
    <w:pPr>
      <w:shd w:val="clear" w:color="auto" w:fill="FFFFFF"/>
      <w:spacing w:before="300" w:after="420" w:line="0" w:lineRule="atLeast"/>
      <w:jc w:val="both"/>
      <w:outlineLvl w:val="7"/>
    </w:pPr>
    <w:rPr>
      <w:rFonts w:ascii="MingLiU" w:hAnsi="MingLiU" w:eastAsia="MingLiU"/>
      <w:sz w:val="20"/>
      <w:szCs w:val="20"/>
    </w:rPr>
  </w:style>
  <w:style w:type="character" w:customStyle="1" w:styleId="451">
    <w:name w:val="Plain Text Char"/>
    <w:qFormat/>
    <w:uiPriority w:val="0"/>
    <w:rPr>
      <w:rFonts w:ascii="宋体" w:hAnsi="Courier New" w:eastAsia="宋体"/>
      <w:sz w:val="24"/>
      <w:lang w:bidi="ar-SA"/>
    </w:rPr>
  </w:style>
  <w:style w:type="character" w:customStyle="1" w:styleId="452">
    <w:name w:val="font5 Char"/>
    <w:qFormat/>
    <w:uiPriority w:val="0"/>
    <w:rPr>
      <w:rFonts w:ascii="宋体" w:hAnsi="宋体" w:eastAsia="宋体"/>
      <w:sz w:val="24"/>
      <w:szCs w:val="24"/>
      <w:lang w:val="en-US" w:eastAsia="zh-CN" w:bidi="ar-SA"/>
    </w:rPr>
  </w:style>
  <w:style w:type="character" w:customStyle="1" w:styleId="453">
    <w:name w:val="Char Char61"/>
    <w:qFormat/>
    <w:uiPriority w:val="0"/>
    <w:rPr>
      <w:rFonts w:eastAsia="宋体"/>
      <w:b/>
      <w:bCs/>
      <w:sz w:val="32"/>
      <w:szCs w:val="44"/>
      <w:lang w:val="en-US" w:eastAsia="zh-CN" w:bidi="ar-SA"/>
    </w:rPr>
  </w:style>
  <w:style w:type="character" w:customStyle="1" w:styleId="454">
    <w:name w:val="明显参考1"/>
    <w:qFormat/>
    <w:uiPriority w:val="32"/>
    <w:rPr>
      <w:b/>
      <w:bCs/>
      <w:smallCaps/>
      <w:color w:val="C0504D"/>
      <w:spacing w:val="5"/>
      <w:u w:val="single"/>
    </w:rPr>
  </w:style>
  <w:style w:type="character" w:customStyle="1" w:styleId="455">
    <w:name w:val="副标题 Char1"/>
    <w:qFormat/>
    <w:uiPriority w:val="11"/>
    <w:rPr>
      <w:rFonts w:ascii="Cambria" w:hAnsi="Cambria" w:eastAsia="宋体" w:cs="Times New Roman"/>
      <w:b/>
      <w:bCs/>
      <w:sz w:val="32"/>
      <w:szCs w:val="32"/>
    </w:rPr>
  </w:style>
  <w:style w:type="character" w:customStyle="1" w:styleId="456">
    <w:name w:val="en"/>
    <w:qFormat/>
    <w:uiPriority w:val="0"/>
  </w:style>
  <w:style w:type="paragraph" w:customStyle="1" w:styleId="457">
    <w:name w:val="_Style 2"/>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58">
    <w:name w:val="WPSOffice手动目录 1"/>
    <w:qFormat/>
    <w:uiPriority w:val="0"/>
    <w:rPr>
      <w:rFonts w:hint="default" w:ascii="Times New Roman" w:hAnsi="Times New Roman" w:eastAsia="宋体" w:cs="Times New Roman"/>
      <w:lang w:val="en-US" w:eastAsia="zh-CN" w:bidi="ar-SA"/>
    </w:rPr>
  </w:style>
  <w:style w:type="paragraph" w:customStyle="1" w:styleId="459">
    <w:name w:val="正文_3_0"/>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60">
    <w:name w:val="批注文字_0"/>
    <w:basedOn w:val="461"/>
    <w:unhideWhenUsed/>
    <w:qFormat/>
    <w:uiPriority w:val="0"/>
    <w:pPr>
      <w:jc w:val="left"/>
    </w:pPr>
    <w:rPr>
      <w:rFonts w:ascii="Times New Roman" w:hAnsi="Times New Roman"/>
    </w:rPr>
  </w:style>
  <w:style w:type="paragraph" w:customStyle="1" w:styleId="461">
    <w:name w:val="正文_3"/>
    <w:basedOn w:val="462"/>
    <w:qFormat/>
    <w:uiPriority w:val="0"/>
    <w:pPr>
      <w:widowControl w:val="0"/>
      <w:jc w:val="both"/>
    </w:pPr>
    <w:rPr>
      <w:rFonts w:ascii="Calibri" w:hAnsi="Calibri"/>
      <w:sz w:val="21"/>
      <w:szCs w:val="22"/>
      <w:lang w:val="en-US" w:eastAsia="zh-CN" w:bidi="ar-SA"/>
    </w:rPr>
  </w:style>
  <w:style w:type="paragraph" w:customStyle="1" w:styleId="462">
    <w:name w:val="正文_4"/>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63">
    <w:name w:val="正文_2_1"/>
    <w:basedOn w:val="464"/>
    <w:qFormat/>
    <w:uiPriority w:val="0"/>
  </w:style>
  <w:style w:type="paragraph" w:customStyle="1" w:styleId="464">
    <w:name w:val="正文_2_2"/>
    <w:qFormat/>
    <w:uiPriority w:val="0"/>
    <w:pPr>
      <w:widowControl w:val="0"/>
      <w:jc w:val="both"/>
    </w:pPr>
    <w:rPr>
      <w:rFonts w:hint="default" w:ascii="Calibri" w:hAnsi="Calibri" w:eastAsia="宋体" w:cs="Times New Roman"/>
      <w:sz w:val="21"/>
      <w:szCs w:val="22"/>
      <w:lang w:val="en-US" w:eastAsia="zh-CN" w:bidi="ar-SA"/>
    </w:rPr>
  </w:style>
  <w:style w:type="paragraph" w:customStyle="1" w:styleId="465">
    <w:name w:val="正文_2_0_0"/>
    <w:basedOn w:val="463"/>
    <w:qFormat/>
    <w:uiPriority w:val="0"/>
  </w:style>
  <w:style w:type="paragraph" w:customStyle="1" w:styleId="466">
    <w:name w:val="标题 3_0"/>
    <w:basedOn w:val="402"/>
    <w:next w:val="467"/>
    <w:qFormat/>
    <w:uiPriority w:val="99"/>
    <w:pPr>
      <w:keepNext/>
      <w:keepLines/>
      <w:spacing w:line="360" w:lineRule="auto"/>
      <w:outlineLvl w:val="2"/>
    </w:pPr>
    <w:rPr>
      <w:rFonts w:eastAsia="黑体"/>
      <w:b/>
      <w:bCs/>
      <w:szCs w:val="32"/>
    </w:rPr>
  </w:style>
  <w:style w:type="paragraph" w:customStyle="1" w:styleId="467">
    <w:name w:val="正文_2_0"/>
    <w:basedOn w:val="461"/>
    <w:qFormat/>
    <w:uiPriority w:val="0"/>
  </w:style>
  <w:style w:type="paragraph" w:customStyle="1" w:styleId="468">
    <w:name w:val="标题 2_1"/>
    <w:basedOn w:val="467"/>
    <w:next w:val="467"/>
    <w:semiHidden/>
    <w:qFormat/>
    <w:uiPriority w:val="0"/>
    <w:pPr>
      <w:keepNext/>
      <w:keepLines/>
      <w:spacing w:before="260" w:after="260" w:line="415" w:lineRule="auto"/>
      <w:outlineLvl w:val="1"/>
    </w:pPr>
    <w:rPr>
      <w:rFonts w:ascii="Cambria" w:hAnsi="Cambria"/>
      <w:b/>
      <w:bCs/>
      <w:sz w:val="32"/>
      <w:szCs w:val="32"/>
    </w:rPr>
  </w:style>
  <w:style w:type="paragraph" w:customStyle="1" w:styleId="469">
    <w:name w:val="标题 4_0"/>
    <w:basedOn w:val="470"/>
    <w:next w:val="402"/>
    <w:qFormat/>
    <w:uiPriority w:val="0"/>
    <w:pPr>
      <w:keepNext/>
      <w:keepLines/>
      <w:spacing w:line="360" w:lineRule="auto"/>
      <w:outlineLvl w:val="3"/>
    </w:pPr>
    <w:rPr>
      <w:rFonts w:ascii="Arial" w:hAnsi="Arial"/>
      <w:b/>
      <w:bCs/>
      <w:szCs w:val="28"/>
    </w:rPr>
  </w:style>
  <w:style w:type="paragraph" w:customStyle="1" w:styleId="470">
    <w:name w:val="正文_0"/>
    <w:next w:val="471"/>
    <w:qFormat/>
    <w:uiPriority w:val="0"/>
    <w:pPr>
      <w:widowControl w:val="0"/>
      <w:jc w:val="both"/>
    </w:pPr>
    <w:rPr>
      <w:rFonts w:hint="default" w:ascii="Times New Roman" w:hAnsi="Times New Roman" w:eastAsia="宋体" w:cs="Times New Roman"/>
      <w:sz w:val="21"/>
      <w:szCs w:val="24"/>
      <w:lang w:val="en-US" w:eastAsia="zh-CN" w:bidi="ar-SA"/>
    </w:rPr>
  </w:style>
  <w:style w:type="paragraph" w:customStyle="1" w:styleId="471">
    <w:name w:val="正文文本_0"/>
    <w:basedOn w:val="470"/>
    <w:unhideWhenUsed/>
    <w:qFormat/>
    <w:uiPriority w:val="99"/>
    <w:pPr>
      <w:spacing w:after="60" w:line="360" w:lineRule="atLeast"/>
      <w:ind w:left="72" w:right="30"/>
      <w:jc w:val="center"/>
    </w:pPr>
    <w:rPr>
      <w:rFonts w:ascii="Calibri" w:hAnsi="Calibri"/>
      <w:sz w:val="20"/>
      <w:szCs w:val="20"/>
      <w:lang w:val="zh-CN" w:eastAsia="zh-CN"/>
    </w:rPr>
  </w:style>
  <w:style w:type="paragraph" w:customStyle="1" w:styleId="472">
    <w:name w:val="正文_1"/>
    <w:qFormat/>
    <w:uiPriority w:val="99"/>
    <w:pPr>
      <w:widowControl w:val="0"/>
      <w:jc w:val="both"/>
    </w:pPr>
    <w:rPr>
      <w:rFonts w:hint="default" w:ascii="Calibri" w:hAnsi="Calibri" w:eastAsia="宋体" w:cs="Times New Roman"/>
      <w:sz w:val="21"/>
      <w:szCs w:val="22"/>
      <w:lang w:val="en-US" w:eastAsia="zh-CN" w:bidi="ar-SA"/>
    </w:rPr>
  </w:style>
  <w:style w:type="paragraph" w:customStyle="1" w:styleId="473">
    <w:name w:val="正文2"/>
    <w:basedOn w:val="1"/>
    <w:qFormat/>
    <w:uiPriority w:val="0"/>
    <w:pPr>
      <w:spacing w:before="156" w:line="360" w:lineRule="auto"/>
      <w:ind w:firstLine="510"/>
    </w:pPr>
    <w:rPr>
      <w:sz w:val="24"/>
      <w:szCs w:val="20"/>
    </w:rPr>
  </w:style>
  <w:style w:type="paragraph" w:customStyle="1" w:styleId="474">
    <w:name w:val="正文呀_1"/>
    <w:basedOn w:val="470"/>
    <w:qFormat/>
    <w:uiPriority w:val="0"/>
    <w:pPr>
      <w:spacing w:line="420" w:lineRule="exact"/>
      <w:ind w:firstLine="420"/>
    </w:pPr>
    <w:rPr>
      <w:rFonts w:ascii="宋体" w:hAnsi="宋体"/>
      <w:sz w:val="20"/>
      <w:szCs w:val="21"/>
      <w:lang w:val="zh-CN" w:eastAsia="zh-CN"/>
    </w:rPr>
  </w:style>
  <w:style w:type="paragraph" w:customStyle="1" w:styleId="475">
    <w:name w:val="正文呀2_1"/>
    <w:basedOn w:val="474"/>
    <w:qFormat/>
    <w:uiPriority w:val="0"/>
    <w:rPr>
      <w:rFonts w:ascii="Times New Roman" w:hAnsi="Times New Roman" w:eastAsia="宋体" w:cs="Times New Roman"/>
      <w:sz w:val="21"/>
      <w:lang w:val="en-US" w:eastAsia="zh-CN"/>
    </w:rPr>
  </w:style>
  <w:style w:type="paragraph" w:customStyle="1" w:styleId="476">
    <w:name w:val="正文_1_0"/>
    <w:qFormat/>
    <w:uiPriority w:val="99"/>
    <w:pPr>
      <w:widowControl w:val="0"/>
      <w:jc w:val="both"/>
    </w:pPr>
    <w:rPr>
      <w:rFonts w:hint="default" w:ascii="Times New Roman" w:hAnsi="Times New Roman" w:eastAsia="宋体" w:cs="Times New Roman"/>
      <w:sz w:val="21"/>
      <w:lang w:val="en-US" w:eastAsia="zh-CN" w:bidi="ar-SA"/>
    </w:rPr>
  </w:style>
  <w:style w:type="paragraph" w:customStyle="1" w:styleId="477">
    <w:name w:val="ggbody"/>
    <w:basedOn w:val="1"/>
    <w:qFormat/>
    <w:uiPriority w:val="0"/>
    <w:pPr>
      <w:widowControl/>
      <w:spacing w:before="100" w:beforeAutospacing="1" w:after="100" w:afterAutospacing="1" w:line="400" w:lineRule="atLeast"/>
      <w:jc w:val="left"/>
    </w:pPr>
    <w:rPr>
      <w:rFonts w:ascii="_x000B__x000C_" w:hAnsi="_x000B__x000C_"/>
      <w:color w:val="000000"/>
      <w:szCs w:val="21"/>
    </w:rPr>
  </w:style>
  <w:style w:type="paragraph" w:customStyle="1" w:styleId="478">
    <w:name w:val="表"/>
    <w:basedOn w:val="1"/>
    <w:qFormat/>
    <w:uiPriority w:val="0"/>
    <w:pPr>
      <w:spacing w:line="300" w:lineRule="auto"/>
    </w:pPr>
    <w:rPr>
      <w:color w:val="000000"/>
      <w:szCs w:val="21"/>
    </w:rPr>
  </w:style>
  <w:style w:type="paragraph" w:customStyle="1" w:styleId="479">
    <w:name w:val="样式 标题 4 + 小四 首行缩进:  2 字符"/>
    <w:basedOn w:val="6"/>
    <w:next w:val="7"/>
    <w:qFormat/>
    <w:uiPriority w:val="0"/>
    <w:pPr>
      <w:widowControl w:val="0"/>
      <w:spacing w:before="120" w:after="120" w:line="360" w:lineRule="exact"/>
      <w:ind w:firstLine="482"/>
    </w:pPr>
    <w:rPr>
      <w:rFonts w:ascii="Cambria" w:hAnsi="Cambria" w:eastAsia="黑体" w:cs="宋体"/>
      <w:iCs w:val="0"/>
      <w:sz w:val="24"/>
      <w:szCs w:val="20"/>
    </w:rPr>
  </w:style>
  <w:style w:type="paragraph" w:customStyle="1" w:styleId="480">
    <w:name w:val="xl34"/>
    <w:basedOn w:val="1"/>
    <w:qFormat/>
    <w:uiPriority w:val="0"/>
    <w:pPr>
      <w:widowControl/>
      <w:pBdr>
        <w:left w:val="single" w:color="000000" w:sz="4" w:space="0"/>
        <w:right w:val="single" w:color="000000" w:sz="4" w:space="0"/>
      </w:pBdr>
      <w:spacing w:before="100" w:after="100"/>
      <w:jc w:val="center"/>
    </w:pPr>
    <w:rPr>
      <w:rFonts w:ascii="宋体" w:hAnsi="宋体"/>
      <w:sz w:val="24"/>
      <w:szCs w:val="20"/>
    </w:rPr>
  </w:style>
  <w:style w:type="paragraph" w:customStyle="1" w:styleId="481">
    <w:name w:val="flNote"/>
    <w:basedOn w:val="1"/>
    <w:qFormat/>
    <w:uiPriority w:val="0"/>
    <w:pPr>
      <w:spacing w:before="320" w:after="160" w:line="360" w:lineRule="atLeast"/>
      <w:jc w:val="center"/>
    </w:pPr>
    <w:rPr>
      <w:rFonts w:ascii="Arial" w:eastAsia="黑体"/>
      <w:sz w:val="30"/>
      <w:szCs w:val="20"/>
    </w:rPr>
  </w:style>
  <w:style w:type="paragraph" w:customStyle="1" w:styleId="482">
    <w:name w:val="xl41"/>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4"/>
    </w:rPr>
  </w:style>
  <w:style w:type="paragraph" w:customStyle="1" w:styleId="483">
    <w:name w:val="font7"/>
    <w:basedOn w:val="1"/>
    <w:qFormat/>
    <w:uiPriority w:val="0"/>
    <w:pPr>
      <w:widowControl/>
      <w:spacing w:before="100" w:beforeAutospacing="1" w:after="100" w:afterAutospacing="1"/>
      <w:jc w:val="left"/>
    </w:pPr>
    <w:rPr>
      <w:rFonts w:hint="eastAsia" w:ascii="宋体" w:hAnsi="宋体"/>
      <w:sz w:val="28"/>
      <w:szCs w:val="28"/>
    </w:rPr>
  </w:style>
  <w:style w:type="paragraph" w:customStyle="1" w:styleId="484">
    <w:name w:val="菲页(卷)"/>
    <w:basedOn w:val="3"/>
    <w:next w:val="485"/>
    <w:qFormat/>
    <w:uiPriority w:val="0"/>
    <w:pPr>
      <w:keepLines w:val="0"/>
      <w:pageBreakBefore/>
      <w:widowControl/>
      <w:tabs>
        <w:tab w:val="left" w:pos="0"/>
      </w:tabs>
      <w:spacing w:before="0" w:after="0" w:line="240" w:lineRule="auto"/>
      <w:jc w:val="center"/>
      <w:outlineLvl w:val="1"/>
    </w:pPr>
    <w:rPr>
      <w:rFonts w:ascii="黑体" w:eastAsia="黑体"/>
      <w:bCs w:val="0"/>
      <w:sz w:val="32"/>
      <w:szCs w:val="20"/>
    </w:rPr>
  </w:style>
  <w:style w:type="paragraph" w:customStyle="1" w:styleId="485">
    <w:name w:val="正文1"/>
    <w:qFormat/>
    <w:uiPriority w:val="0"/>
    <w:pPr>
      <w:widowControl w:val="0"/>
      <w:spacing w:line="312" w:lineRule="atLeast"/>
      <w:jc w:val="both"/>
    </w:pPr>
    <w:rPr>
      <w:rFonts w:hint="default" w:ascii="宋体" w:hAnsi="Times New Roman" w:eastAsia="宋体" w:cs="Times New Roman"/>
      <w:sz w:val="34"/>
      <w:lang w:val="en-US" w:eastAsia="zh-CN" w:bidi="ar-SA"/>
    </w:rPr>
  </w:style>
  <w:style w:type="paragraph" w:customStyle="1" w:styleId="486">
    <w:name w:val="2 Char Char Char Char Char Char Char Char Char Char Char Char1 Char"/>
    <w:basedOn w:val="1"/>
    <w:qFormat/>
    <w:uiPriority w:val="0"/>
    <w:pPr>
      <w:spacing w:line="360" w:lineRule="auto"/>
      <w:ind w:firstLine="200"/>
    </w:pPr>
  </w:style>
  <w:style w:type="paragraph" w:customStyle="1" w:styleId="487">
    <w:name w:val="文件标题"/>
    <w:basedOn w:val="1"/>
    <w:qFormat/>
    <w:uiPriority w:val="0"/>
    <w:pPr>
      <w:jc w:val="center"/>
    </w:pPr>
    <w:rPr>
      <w:b/>
      <w:sz w:val="36"/>
      <w:szCs w:val="20"/>
    </w:rPr>
  </w:style>
  <w:style w:type="paragraph" w:customStyle="1" w:styleId="488">
    <w:name w:val="TOC 标题1"/>
    <w:basedOn w:val="3"/>
    <w:next w:val="1"/>
    <w:unhideWhenUsed/>
    <w:qFormat/>
    <w:uiPriority w:val="39"/>
    <w:pPr>
      <w:widowControl/>
      <w:spacing w:before="480" w:after="0" w:line="276" w:lineRule="auto"/>
      <w:jc w:val="left"/>
      <w:outlineLvl w:val="9"/>
    </w:pPr>
    <w:rPr>
      <w:rFonts w:ascii="Cambria" w:hAnsi="Cambria" w:eastAsia="宋体" w:cs="Times New Roman"/>
      <w:color w:val="366091"/>
      <w:sz w:val="28"/>
      <w:szCs w:val="28"/>
    </w:rPr>
  </w:style>
  <w:style w:type="paragraph" w:customStyle="1" w:styleId="489">
    <w:name w:val="样式 样式 标题 3 + (中文) 黑体 小四 非加粗 段前: 7.8 磅 段后: 0 磅 行距: 固定值 20 磅 + 黑色..."/>
    <w:basedOn w:val="490"/>
    <w:next w:val="260"/>
    <w:qFormat/>
    <w:uiPriority w:val="0"/>
    <w:pPr>
      <w:ind w:firstLine="480"/>
    </w:pPr>
    <w:rPr>
      <w:color w:val="000000"/>
    </w:rPr>
  </w:style>
  <w:style w:type="paragraph" w:customStyle="1" w:styleId="490">
    <w:name w:val="样式 标题 3 + (中文) 黑体 小四 非加粗 段前: 7.8 磅 段后: 0 磅 行距: 固定值 20 磅"/>
    <w:basedOn w:val="5"/>
    <w:qFormat/>
    <w:uiPriority w:val="0"/>
    <w:pPr>
      <w:widowControl w:val="0"/>
      <w:spacing w:before="0" w:after="0" w:line="400" w:lineRule="exact"/>
    </w:pPr>
    <w:rPr>
      <w:rFonts w:ascii="黑体" w:eastAsia="黑体" w:cs="宋体"/>
      <w:b w:val="0"/>
      <w:bCs w:val="0"/>
      <w:szCs w:val="20"/>
    </w:rPr>
  </w:style>
  <w:style w:type="paragraph" w:customStyle="1" w:styleId="491">
    <w:name w:val="xl4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sz w:val="24"/>
    </w:rPr>
  </w:style>
  <w:style w:type="paragraph" w:customStyle="1" w:styleId="492">
    <w:name w:val="样式 4 + 居中 段前: 0 磅 段后: 0 磅 行距: 单倍行距"/>
    <w:basedOn w:val="260"/>
    <w:next w:val="6"/>
    <w:qFormat/>
    <w:uiPriority w:val="0"/>
    <w:pPr>
      <w:spacing w:before="0" w:after="0" w:line="240" w:lineRule="auto"/>
      <w:jc w:val="center"/>
    </w:pPr>
    <w:rPr>
      <w:rFonts w:cs="宋体"/>
      <w:szCs w:val="20"/>
    </w:rPr>
  </w:style>
  <w:style w:type="paragraph" w:customStyle="1" w:styleId="493">
    <w:name w:val="Char1"/>
    <w:basedOn w:val="1"/>
    <w:qFormat/>
    <w:uiPriority w:val="0"/>
    <w:rPr>
      <w:rFonts w:ascii="仿宋_GB2312" w:eastAsia="仿宋_GB2312"/>
      <w:b/>
      <w:sz w:val="32"/>
      <w:szCs w:val="32"/>
    </w:rPr>
  </w:style>
  <w:style w:type="paragraph" w:customStyle="1" w:styleId="494">
    <w:name w:val="xl27"/>
    <w:basedOn w:val="1"/>
    <w:qFormat/>
    <w:uiPriority w:val="0"/>
    <w:pPr>
      <w:widowControl/>
      <w:pBdr>
        <w:bottom w:val="single" w:color="000000" w:sz="4" w:space="0"/>
        <w:right w:val="single" w:color="000000" w:sz="4" w:space="0"/>
      </w:pBdr>
      <w:spacing w:before="100" w:beforeAutospacing="1" w:after="100" w:afterAutospacing="1"/>
      <w:jc w:val="center"/>
    </w:pPr>
    <w:rPr>
      <w:sz w:val="24"/>
    </w:rPr>
  </w:style>
  <w:style w:type="paragraph" w:customStyle="1" w:styleId="495">
    <w:name w:val="样式 标题 4 + 黑色 首行缩进:  2 字符"/>
    <w:basedOn w:val="7"/>
    <w:next w:val="7"/>
    <w:qFormat/>
    <w:uiPriority w:val="0"/>
    <w:pPr>
      <w:spacing w:line="240" w:lineRule="auto"/>
      <w:ind w:firstLine="562"/>
    </w:pPr>
    <w:rPr>
      <w:rFonts w:cs="宋体"/>
      <w:color w:val="000000"/>
      <w:szCs w:val="20"/>
    </w:rPr>
  </w:style>
  <w:style w:type="paragraph" w:customStyle="1" w:styleId="496">
    <w:name w:val="Char1 Char Char Char Char Char Char1"/>
    <w:basedOn w:val="1"/>
    <w:qFormat/>
    <w:uiPriority w:val="0"/>
    <w:rPr>
      <w:rFonts w:ascii="Tahoma" w:hAnsi="Tahoma"/>
      <w:sz w:val="24"/>
      <w:szCs w:val="20"/>
    </w:rPr>
  </w:style>
  <w:style w:type="paragraph" w:customStyle="1" w:styleId="497">
    <w:name w:val="xl2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4"/>
    </w:rPr>
  </w:style>
  <w:style w:type="paragraph" w:customStyle="1" w:styleId="498">
    <w:name w:val="表头"/>
    <w:basedOn w:val="1"/>
    <w:qFormat/>
    <w:uiPriority w:val="0"/>
    <w:pPr>
      <w:spacing w:line="420" w:lineRule="atLeast"/>
      <w:ind w:firstLine="200"/>
      <w:jc w:val="center"/>
    </w:pPr>
    <w:rPr>
      <w:rFonts w:ascii="黑体" w:eastAsia="黑体"/>
      <w:szCs w:val="20"/>
    </w:rPr>
  </w:style>
  <w:style w:type="paragraph" w:customStyle="1" w:styleId="499">
    <w:name w:val="xl2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4"/>
    </w:rPr>
  </w:style>
  <w:style w:type="paragraph" w:customStyle="1" w:styleId="500">
    <w:name w:val="_Style 37"/>
    <w:basedOn w:val="1"/>
    <w:next w:val="1"/>
    <w:qFormat/>
    <w:uiPriority w:val="0"/>
  </w:style>
  <w:style w:type="paragraph" w:customStyle="1" w:styleId="501">
    <w:name w:val="正文呀2_0"/>
    <w:basedOn w:val="502"/>
    <w:qFormat/>
    <w:uiPriority w:val="0"/>
    <w:rPr>
      <w:rFonts w:ascii="Times New Roman" w:hAnsi="Times New Roman"/>
    </w:rPr>
  </w:style>
  <w:style w:type="paragraph" w:customStyle="1" w:styleId="502">
    <w:name w:val="正文呀_0"/>
    <w:basedOn w:val="476"/>
    <w:qFormat/>
    <w:uiPriority w:val="0"/>
    <w:pPr>
      <w:spacing w:line="420" w:lineRule="exact"/>
      <w:ind w:firstLine="420"/>
    </w:pPr>
    <w:rPr>
      <w:rFonts w:ascii="宋体" w:hAnsi="宋体"/>
      <w:szCs w:val="21"/>
    </w:rPr>
  </w:style>
  <w:style w:type="paragraph" w:customStyle="1" w:styleId="503">
    <w:name w:val="Blockquote"/>
    <w:basedOn w:val="1"/>
    <w:qFormat/>
    <w:uiPriority w:val="0"/>
    <w:pPr>
      <w:spacing w:before="100" w:after="100"/>
      <w:ind w:left="360" w:right="360"/>
      <w:jc w:val="left"/>
    </w:pPr>
    <w:rPr>
      <w:sz w:val="24"/>
      <w:szCs w:val="20"/>
    </w:rPr>
  </w:style>
  <w:style w:type="paragraph" w:customStyle="1" w:styleId="504">
    <w:name w:val="默认段落字体 Para Char Char Char Char Char Char Char Char Char Char"/>
    <w:basedOn w:val="1"/>
    <w:qFormat/>
    <w:uiPriority w:val="0"/>
    <w:rPr>
      <w:rFonts w:ascii="Tahoma" w:hAnsi="Tahoma"/>
      <w:sz w:val="24"/>
      <w:u w:val="single"/>
    </w:rPr>
  </w:style>
  <w:style w:type="paragraph" w:customStyle="1" w:styleId="505">
    <w:name w:val="xl5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4"/>
    </w:rPr>
  </w:style>
  <w:style w:type="paragraph" w:customStyle="1" w:styleId="506">
    <w:name w:val="空半行"/>
    <w:basedOn w:val="1"/>
    <w:qFormat/>
    <w:uiPriority w:val="0"/>
    <w:pPr>
      <w:spacing w:line="120" w:lineRule="exact"/>
    </w:pPr>
    <w:rPr>
      <w:rFonts w:eastAsia="仿宋_GB2312"/>
      <w:color w:val="FFFFFF"/>
      <w:sz w:val="30"/>
      <w:szCs w:val="20"/>
    </w:rPr>
  </w:style>
  <w:style w:type="paragraph" w:customStyle="1" w:styleId="507">
    <w:name w:val="样式 4 + 居中 段前: 0 磅 段后: 0 磅 行距: 单倍行距1"/>
    <w:basedOn w:val="260"/>
    <w:next w:val="6"/>
    <w:qFormat/>
    <w:uiPriority w:val="0"/>
    <w:pPr>
      <w:spacing w:before="0" w:after="0" w:line="240" w:lineRule="auto"/>
      <w:jc w:val="center"/>
    </w:pPr>
    <w:rPr>
      <w:rFonts w:cs="宋体"/>
      <w:szCs w:val="20"/>
    </w:rPr>
  </w:style>
  <w:style w:type="paragraph" w:customStyle="1" w:styleId="508">
    <w:name w:val="纯文本1"/>
    <w:basedOn w:val="1"/>
    <w:qFormat/>
    <w:uiPriority w:val="0"/>
    <w:pPr>
      <w:jc w:val="left"/>
    </w:pPr>
    <w:rPr>
      <w:rFonts w:ascii="宋体" w:hAnsi="Courier New"/>
      <w:szCs w:val="20"/>
    </w:rPr>
  </w:style>
  <w:style w:type="paragraph" w:customStyle="1" w:styleId="509">
    <w:name w:val="样式 行距: 固定值 25 磅"/>
    <w:basedOn w:val="1"/>
    <w:qFormat/>
    <w:uiPriority w:val="0"/>
    <w:pPr>
      <w:spacing w:line="500" w:lineRule="exact"/>
    </w:pPr>
    <w:rPr>
      <w:rFonts w:cs="宋体"/>
      <w:sz w:val="28"/>
      <w:szCs w:val="20"/>
    </w:rPr>
  </w:style>
  <w:style w:type="paragraph" w:customStyle="1" w:styleId="510">
    <w:name w:val="font10"/>
    <w:basedOn w:val="1"/>
    <w:qFormat/>
    <w:uiPriority w:val="0"/>
    <w:pPr>
      <w:widowControl/>
      <w:spacing w:before="100" w:beforeAutospacing="1" w:after="100" w:afterAutospacing="1"/>
      <w:jc w:val="left"/>
    </w:pPr>
    <w:rPr>
      <w:rFonts w:hint="eastAsia" w:ascii="宋体" w:hAnsi="宋体"/>
      <w:sz w:val="24"/>
    </w:rPr>
  </w:style>
  <w:style w:type="paragraph" w:customStyle="1" w:styleId="511">
    <w:name w:val="6'"/>
    <w:basedOn w:val="1"/>
    <w:qFormat/>
    <w:uiPriority w:val="0"/>
    <w:pPr>
      <w:spacing w:line="320" w:lineRule="exact"/>
      <w:jc w:val="center"/>
    </w:pPr>
    <w:rPr>
      <w:spacing w:val="20"/>
      <w:szCs w:val="20"/>
    </w:rPr>
  </w:style>
  <w:style w:type="paragraph" w:customStyle="1" w:styleId="512">
    <w:name w:val="(a)正文"/>
    <w:basedOn w:val="1"/>
    <w:qFormat/>
    <w:uiPriority w:val="0"/>
    <w:pPr>
      <w:widowControl/>
      <w:tabs>
        <w:tab w:val="left" w:pos="1871"/>
      </w:tabs>
      <w:spacing w:line="360" w:lineRule="exact"/>
    </w:pPr>
    <w:rPr>
      <w:szCs w:val="20"/>
    </w:rPr>
  </w:style>
  <w:style w:type="paragraph" w:customStyle="1" w:styleId="513">
    <w:name w:val="样式 样式 4 + 宋体 小三 黑色 + 左侧:  2 字符 首行缩进:  2 字符"/>
    <w:basedOn w:val="514"/>
    <w:next w:val="6"/>
    <w:qFormat/>
    <w:uiPriority w:val="0"/>
    <w:pPr>
      <w:ind w:left="420" w:firstLine="602"/>
    </w:pPr>
    <w:rPr>
      <w:rFonts w:cs="宋体"/>
      <w:szCs w:val="20"/>
    </w:rPr>
  </w:style>
  <w:style w:type="paragraph" w:customStyle="1" w:styleId="514">
    <w:name w:val="样式 4 + 宋体 小三 黑色"/>
    <w:basedOn w:val="260"/>
    <w:next w:val="6"/>
    <w:qFormat/>
    <w:uiPriority w:val="0"/>
    <w:rPr>
      <w:rFonts w:ascii="宋体" w:hAnsi="宋体"/>
      <w:color w:val="000000"/>
      <w:sz w:val="30"/>
    </w:rPr>
  </w:style>
  <w:style w:type="paragraph" w:customStyle="1" w:styleId="515">
    <w:name w:val="reader-word-layer"/>
    <w:basedOn w:val="1"/>
    <w:qFormat/>
    <w:uiPriority w:val="0"/>
    <w:pPr>
      <w:widowControl/>
      <w:spacing w:before="100" w:beforeAutospacing="1" w:after="100" w:afterAutospacing="1"/>
      <w:jc w:val="left"/>
    </w:pPr>
    <w:rPr>
      <w:rFonts w:ascii="宋体" w:hAnsi="宋体" w:cs="宋体"/>
      <w:sz w:val="24"/>
    </w:rPr>
  </w:style>
  <w:style w:type="paragraph" w:customStyle="1" w:styleId="516">
    <w:name w:val="_Style 26"/>
    <w:basedOn w:val="3"/>
    <w:next w:val="1"/>
    <w:qFormat/>
    <w:uiPriority w:val="39"/>
    <w:pPr>
      <w:widowControl/>
      <w:spacing w:before="480" w:after="0" w:line="276" w:lineRule="auto"/>
      <w:jc w:val="left"/>
      <w:outlineLvl w:val="9"/>
    </w:pPr>
    <w:rPr>
      <w:rFonts w:ascii="Cambria" w:hAnsi="Cambria"/>
      <w:color w:val="365F91"/>
      <w:sz w:val="28"/>
      <w:szCs w:val="28"/>
    </w:rPr>
  </w:style>
  <w:style w:type="paragraph" w:customStyle="1" w:styleId="517">
    <w:name w:val="xl42"/>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4"/>
    </w:rPr>
  </w:style>
  <w:style w:type="paragraph" w:customStyle="1" w:styleId="518">
    <w:name w:val="xl2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18"/>
      <w:szCs w:val="18"/>
    </w:rPr>
  </w:style>
  <w:style w:type="paragraph" w:customStyle="1" w:styleId="519">
    <w:name w:val="xl2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sz w:val="24"/>
    </w:rPr>
  </w:style>
  <w:style w:type="paragraph" w:customStyle="1" w:styleId="520">
    <w:name w:val="正文文本 21"/>
    <w:basedOn w:val="1"/>
    <w:qFormat/>
    <w:uiPriority w:val="0"/>
    <w:pPr>
      <w:spacing w:line="460" w:lineRule="exact"/>
      <w:ind w:firstLine="635"/>
      <w:jc w:val="left"/>
    </w:pPr>
    <w:rPr>
      <w:sz w:val="28"/>
      <w:szCs w:val="20"/>
    </w:rPr>
  </w:style>
  <w:style w:type="paragraph" w:customStyle="1" w:styleId="521">
    <w:name w:val="样式"/>
    <w:qFormat/>
    <w:uiPriority w:val="0"/>
    <w:pPr>
      <w:widowControl w:val="0"/>
    </w:pPr>
    <w:rPr>
      <w:rFonts w:hint="default" w:ascii="宋体" w:hAnsi="宋体" w:eastAsia="宋体" w:cs="宋体"/>
      <w:sz w:val="24"/>
      <w:szCs w:val="24"/>
      <w:lang w:val="en-US" w:eastAsia="zh-CN" w:bidi="ar-SA"/>
    </w:rPr>
  </w:style>
  <w:style w:type="paragraph" w:customStyle="1" w:styleId="522">
    <w:name w:val="样式 3 + 首行缩进:  0.31 厘米"/>
    <w:basedOn w:val="523"/>
    <w:next w:val="5"/>
    <w:qFormat/>
    <w:uiPriority w:val="0"/>
    <w:pPr>
      <w:ind w:firstLine="175"/>
    </w:pPr>
    <w:rPr>
      <w:rFonts w:cs="宋体"/>
      <w:szCs w:val="20"/>
    </w:rPr>
  </w:style>
  <w:style w:type="paragraph" w:customStyle="1" w:styleId="523">
    <w:name w:val="3"/>
    <w:basedOn w:val="5"/>
    <w:next w:val="5"/>
    <w:qFormat/>
    <w:uiPriority w:val="0"/>
    <w:pPr>
      <w:widowControl w:val="0"/>
      <w:spacing w:before="0" w:after="0" w:line="415" w:lineRule="auto"/>
    </w:pPr>
    <w:rPr>
      <w:rFonts w:ascii="黑体" w:eastAsia="黑体"/>
      <w:sz w:val="28"/>
      <w:szCs w:val="28"/>
    </w:rPr>
  </w:style>
  <w:style w:type="paragraph" w:customStyle="1" w:styleId="524">
    <w:name w:val="a"/>
    <w:basedOn w:val="525"/>
    <w:qFormat/>
    <w:uiPriority w:val="0"/>
    <w:pPr>
      <w:ind w:left="360" w:hanging="360"/>
    </w:pPr>
    <w:rPr>
      <w:rFonts w:ascii="楷体" w:eastAsia="楷体"/>
      <w:sz w:val="24"/>
    </w:rPr>
  </w:style>
  <w:style w:type="paragraph" w:customStyle="1" w:styleId="525">
    <w:name w:val="1.1"/>
    <w:basedOn w:val="1"/>
    <w:qFormat/>
    <w:uiPriority w:val="0"/>
    <w:pPr>
      <w:widowControl/>
      <w:jc w:val="left"/>
    </w:pPr>
    <w:rPr>
      <w:rFonts w:ascii="黑体" w:eastAsia="黑体"/>
      <w:b/>
      <w:spacing w:val="-20"/>
      <w:position w:val="-6"/>
      <w:sz w:val="28"/>
      <w:szCs w:val="20"/>
    </w:rPr>
  </w:style>
  <w:style w:type="paragraph" w:customStyle="1" w:styleId="526">
    <w:name w:val="样式 3 + 三号"/>
    <w:basedOn w:val="523"/>
    <w:next w:val="5"/>
    <w:qFormat/>
    <w:uiPriority w:val="0"/>
    <w:rPr>
      <w:sz w:val="32"/>
    </w:rPr>
  </w:style>
  <w:style w:type="paragraph" w:customStyle="1" w:styleId="527">
    <w:name w:val="_Style 21"/>
    <w:basedOn w:val="1"/>
    <w:next w:val="21"/>
    <w:qFormat/>
    <w:uiPriority w:val="0"/>
    <w:pPr>
      <w:spacing w:line="200" w:lineRule="exact"/>
      <w:ind w:firstLine="301"/>
    </w:pPr>
    <w:rPr>
      <w:rFonts w:ascii="宋体" w:hAnsi="Courier New"/>
      <w:spacing w:val="-4"/>
      <w:sz w:val="18"/>
      <w:szCs w:val="20"/>
    </w:rPr>
  </w:style>
  <w:style w:type="paragraph" w:customStyle="1" w:styleId="528">
    <w:name w:val="样式 标题 1 + 黑体 三号 非加粗 居中 段前: 6 磅 段后: 6 磅 行距: 固定值 20 磅"/>
    <w:basedOn w:val="3"/>
    <w:qFormat/>
    <w:uiPriority w:val="0"/>
    <w:pPr>
      <w:spacing w:before="120" w:after="120" w:line="400" w:lineRule="exact"/>
      <w:jc w:val="center"/>
    </w:pPr>
    <w:rPr>
      <w:rFonts w:ascii="黑体" w:hAnsi="黑体" w:eastAsia="黑体" w:cs="宋体"/>
      <w:b w:val="0"/>
      <w:bCs w:val="0"/>
      <w:sz w:val="32"/>
      <w:szCs w:val="20"/>
    </w:rPr>
  </w:style>
  <w:style w:type="paragraph" w:customStyle="1" w:styleId="529">
    <w:name w:val="xl4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4"/>
    </w:rPr>
  </w:style>
  <w:style w:type="paragraph" w:customStyle="1" w:styleId="530">
    <w:name w:val="Char Char Char Char Char Char Char1"/>
    <w:basedOn w:val="1"/>
    <w:qFormat/>
    <w:uiPriority w:val="0"/>
    <w:pPr>
      <w:widowControl/>
      <w:spacing w:after="160" w:line="240" w:lineRule="exact"/>
      <w:ind w:firstLine="200"/>
      <w:jc w:val="left"/>
    </w:pPr>
    <w:rPr>
      <w:rFonts w:ascii="Arial" w:hAnsi="Arial" w:eastAsia="Times New Roman" w:cs="Verdana"/>
      <w:b/>
      <w:spacing w:val="2"/>
      <w:sz w:val="24"/>
      <w:lang w:eastAsia="en-US"/>
    </w:rPr>
  </w:style>
  <w:style w:type="paragraph" w:customStyle="1" w:styleId="531">
    <w:name w:val="font8"/>
    <w:basedOn w:val="1"/>
    <w:qFormat/>
    <w:uiPriority w:val="0"/>
    <w:pPr>
      <w:widowControl/>
      <w:spacing w:before="100" w:beforeAutospacing="1" w:after="100" w:afterAutospacing="1"/>
      <w:jc w:val="left"/>
    </w:pPr>
    <w:rPr>
      <w:rFonts w:hint="eastAsia" w:ascii="宋体" w:hAnsi="宋体"/>
      <w:sz w:val="40"/>
      <w:szCs w:val="40"/>
    </w:rPr>
  </w:style>
  <w:style w:type="paragraph" w:customStyle="1" w:styleId="532">
    <w:name w:val="Revision"/>
    <w:qFormat/>
    <w:uiPriority w:val="0"/>
    <w:rPr>
      <w:rFonts w:hint="default" w:ascii="Times New Roman" w:hAnsi="Times New Roman" w:eastAsia="宋体" w:cs="Times New Roman"/>
      <w:sz w:val="21"/>
      <w:lang w:val="en-US" w:eastAsia="zh-CN" w:bidi="ar-SA"/>
    </w:rPr>
  </w:style>
  <w:style w:type="paragraph" w:customStyle="1" w:styleId="533">
    <w:name w:val="样式 宋体 小四 加粗 黑色 居中 左侧:  2 字符 首行缩进:  2 字符"/>
    <w:basedOn w:val="1"/>
    <w:next w:val="7"/>
    <w:qFormat/>
    <w:uiPriority w:val="0"/>
    <w:pPr>
      <w:spacing w:line="360" w:lineRule="exact"/>
      <w:ind w:left="420" w:firstLine="482"/>
      <w:jc w:val="center"/>
    </w:pPr>
    <w:rPr>
      <w:rFonts w:ascii="宋体" w:hAnsi="宋体" w:cs="宋体"/>
      <w:b/>
      <w:bCs/>
      <w:color w:val="000000"/>
      <w:sz w:val="24"/>
      <w:szCs w:val="20"/>
    </w:rPr>
  </w:style>
  <w:style w:type="paragraph" w:customStyle="1" w:styleId="534">
    <w:name w:val="1"/>
    <w:basedOn w:val="4"/>
    <w:next w:val="28"/>
    <w:qFormat/>
    <w:uiPriority w:val="0"/>
    <w:pPr>
      <w:spacing w:before="360" w:after="360" w:line="360" w:lineRule="exact"/>
      <w:jc w:val="center"/>
    </w:pPr>
    <w:rPr>
      <w:rFonts w:eastAsia="黑体"/>
      <w:sz w:val="72"/>
    </w:rPr>
  </w:style>
  <w:style w:type="paragraph" w:customStyle="1" w:styleId="535">
    <w:name w:val="(i)正文"/>
    <w:basedOn w:val="1"/>
    <w:qFormat/>
    <w:uiPriority w:val="0"/>
    <w:pPr>
      <w:widowControl/>
      <w:tabs>
        <w:tab w:val="left" w:pos="0"/>
        <w:tab w:val="left" w:pos="2381"/>
      </w:tabs>
      <w:spacing w:line="360" w:lineRule="exact"/>
    </w:pPr>
    <w:rPr>
      <w:szCs w:val="20"/>
    </w:rPr>
  </w:style>
  <w:style w:type="paragraph" w:customStyle="1" w:styleId="536">
    <w:name w:val="section编号"/>
    <w:basedOn w:val="1"/>
    <w:qFormat/>
    <w:uiPriority w:val="0"/>
    <w:pPr>
      <w:widowControl/>
      <w:tabs>
        <w:tab w:val="left" w:pos="0"/>
        <w:tab w:val="left" w:pos="1260"/>
      </w:tabs>
      <w:spacing w:before="200" w:after="160" w:line="420" w:lineRule="exact"/>
      <w:jc w:val="center"/>
    </w:pPr>
    <w:rPr>
      <w:rFonts w:ascii="Arial" w:hAnsi="Arial" w:eastAsia="黑体"/>
      <w:spacing w:val="40"/>
      <w:sz w:val="28"/>
      <w:szCs w:val="20"/>
    </w:rPr>
  </w:style>
  <w:style w:type="paragraph" w:customStyle="1" w:styleId="537">
    <w:name w:val="TOC 标题2"/>
    <w:basedOn w:val="3"/>
    <w:next w:val="1"/>
    <w:qFormat/>
    <w:uiPriority w:val="39"/>
    <w:pPr>
      <w:spacing w:line="240" w:lineRule="auto"/>
      <w:jc w:val="center"/>
      <w:outlineLvl w:val="9"/>
    </w:pPr>
    <w:rPr>
      <w:rFonts w:eastAsia="黑体"/>
      <w:spacing w:val="200"/>
      <w:sz w:val="72"/>
    </w:rPr>
  </w:style>
  <w:style w:type="paragraph" w:customStyle="1" w:styleId="538">
    <w:name w:val="xl4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4"/>
    </w:rPr>
  </w:style>
  <w:style w:type="paragraph" w:customStyle="1" w:styleId="539">
    <w:name w:val="Default Paragraph Font Para Char Char Char Char Char Char"/>
    <w:basedOn w:val="1"/>
    <w:qFormat/>
    <w:uiPriority w:val="0"/>
    <w:pPr>
      <w:widowControl/>
      <w:spacing w:after="160" w:line="240" w:lineRule="exact"/>
      <w:jc w:val="left"/>
    </w:pPr>
    <w:rPr>
      <w:rFonts w:ascii="Verdana" w:hAnsi="Verdana"/>
      <w:sz w:val="20"/>
      <w:szCs w:val="20"/>
      <w:lang w:eastAsia="en-US"/>
    </w:rPr>
  </w:style>
  <w:style w:type="paragraph" w:customStyle="1" w:styleId="540">
    <w:name w:val="Char Char Char Char"/>
    <w:basedOn w:val="1"/>
    <w:qFormat/>
    <w:uiPriority w:val="0"/>
    <w:pPr>
      <w:widowControl/>
      <w:spacing w:line="500" w:lineRule="exact"/>
      <w:outlineLvl w:val="2"/>
    </w:pPr>
    <w:rPr>
      <w:rFonts w:ascii="黑体" w:hAnsi="Verdana" w:eastAsia="黑体" w:cs="黑体"/>
      <w:sz w:val="28"/>
      <w:szCs w:val="28"/>
      <w:lang w:eastAsia="en-US"/>
    </w:rPr>
  </w:style>
  <w:style w:type="paragraph" w:customStyle="1" w:styleId="541">
    <w:name w:val="text"/>
    <w:basedOn w:val="1"/>
    <w:qFormat/>
    <w:uiPriority w:val="0"/>
    <w:pPr>
      <w:spacing w:before="120" w:after="120"/>
      <w:ind w:left="864"/>
    </w:pPr>
    <w:rPr>
      <w:rFonts w:ascii="宋体"/>
      <w:spacing w:val="-14"/>
      <w:sz w:val="24"/>
    </w:rPr>
  </w:style>
  <w:style w:type="paragraph" w:customStyle="1" w:styleId="542">
    <w:name w:val="样式 4 + 黑色 段前: 0 磅 段后: 0 磅 行距: 单倍行距"/>
    <w:basedOn w:val="260"/>
    <w:next w:val="6"/>
    <w:qFormat/>
    <w:uiPriority w:val="0"/>
    <w:pPr>
      <w:spacing w:before="0" w:after="0" w:line="240" w:lineRule="auto"/>
    </w:pPr>
    <w:rPr>
      <w:rFonts w:cs="宋体"/>
      <w:color w:val="000000"/>
      <w:szCs w:val="20"/>
    </w:rPr>
  </w:style>
  <w:style w:type="paragraph" w:customStyle="1" w:styleId="543">
    <w:name w:val="样式 4 + 居中"/>
    <w:basedOn w:val="260"/>
    <w:next w:val="20"/>
    <w:qFormat/>
    <w:uiPriority w:val="0"/>
    <w:pPr>
      <w:jc w:val="center"/>
    </w:pPr>
    <w:rPr>
      <w:rFonts w:cs="宋体"/>
      <w:szCs w:val="20"/>
    </w:rPr>
  </w:style>
  <w:style w:type="paragraph" w:customStyle="1" w:styleId="544">
    <w:name w:val="xl38"/>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8"/>
      <w:szCs w:val="28"/>
    </w:rPr>
  </w:style>
  <w:style w:type="paragraph" w:customStyle="1" w:styleId="545">
    <w:name w:val="样式 4 + 宋体 小三 黑色 两端对齐 段前: 0 磅 段后: 0 磅 行距: 单倍行距"/>
    <w:basedOn w:val="260"/>
    <w:next w:val="6"/>
    <w:qFormat/>
    <w:uiPriority w:val="0"/>
    <w:pPr>
      <w:spacing w:before="0" w:after="0" w:line="240" w:lineRule="auto"/>
      <w:jc w:val="both"/>
    </w:pPr>
    <w:rPr>
      <w:rFonts w:ascii="宋体" w:hAnsi="宋体" w:cs="宋体"/>
      <w:color w:val="000000"/>
      <w:sz w:val="30"/>
      <w:szCs w:val="20"/>
    </w:rPr>
  </w:style>
  <w:style w:type="paragraph" w:styleId="546">
    <w:name w:val="No Spacing"/>
    <w:qFormat/>
    <w:uiPriority w:val="0"/>
    <w:pPr>
      <w:widowControl w:val="0"/>
      <w:ind w:left="200" w:firstLine="200"/>
      <w:jc w:val="both"/>
    </w:pPr>
    <w:rPr>
      <w:rFonts w:hint="default" w:ascii="Times New Roman" w:hAnsi="Times New Roman" w:eastAsia="宋体" w:cs="Times New Roman"/>
      <w:sz w:val="21"/>
      <w:szCs w:val="24"/>
      <w:lang w:val="en-US" w:eastAsia="zh-CN" w:bidi="ar-SA"/>
    </w:rPr>
  </w:style>
  <w:style w:type="paragraph" w:customStyle="1" w:styleId="547">
    <w:name w:val="样式 3 + 段前: 0 磅 段后: 0 磅 行距: 多倍行距 1.73 字行"/>
    <w:basedOn w:val="523"/>
    <w:next w:val="5"/>
    <w:qFormat/>
    <w:uiPriority w:val="0"/>
    <w:rPr>
      <w:rFonts w:cs="宋体"/>
      <w:szCs w:val="20"/>
    </w:rPr>
  </w:style>
  <w:style w:type="paragraph" w:customStyle="1" w:styleId="548">
    <w:name w:val="List Paragraph1"/>
    <w:basedOn w:val="1"/>
    <w:qFormat/>
    <w:uiPriority w:val="0"/>
    <w:pPr>
      <w:ind w:left="424" w:firstLine="480"/>
    </w:pPr>
  </w:style>
  <w:style w:type="paragraph" w:customStyle="1" w:styleId="549">
    <w:name w:val="样式 3 + 首行缩进:  0.74 厘米"/>
    <w:basedOn w:val="523"/>
    <w:next w:val="5"/>
    <w:qFormat/>
    <w:uiPriority w:val="0"/>
    <w:pPr>
      <w:ind w:firstLine="422"/>
    </w:pPr>
    <w:rPr>
      <w:rFonts w:cs="宋体"/>
      <w:szCs w:val="20"/>
    </w:rPr>
  </w:style>
  <w:style w:type="paragraph" w:customStyle="1" w:styleId="550">
    <w:name w:val="µ"/>
    <w:basedOn w:val="1"/>
    <w:qFormat/>
    <w:uiPriority w:val="0"/>
    <w:pPr>
      <w:widowControl/>
      <w:ind w:left="360" w:hanging="360"/>
      <w:jc w:val="left"/>
    </w:pPr>
    <w:rPr>
      <w:rFonts w:ascii="宋体"/>
      <w:b/>
      <w:spacing w:val="2"/>
      <w:position w:val="-6"/>
      <w:sz w:val="24"/>
      <w:szCs w:val="20"/>
    </w:rPr>
  </w:style>
  <w:style w:type="paragraph" w:customStyle="1" w:styleId="551">
    <w:name w:val="xl33"/>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sz w:val="24"/>
    </w:rPr>
  </w:style>
  <w:style w:type="paragraph" w:customStyle="1" w:styleId="552">
    <w:name w:val="样式 3 + 两端对齐 段前: 0 磅 段后: 0 磅 行距: 单倍行距"/>
    <w:basedOn w:val="523"/>
    <w:next w:val="5"/>
    <w:qFormat/>
    <w:uiPriority w:val="0"/>
    <w:pPr>
      <w:spacing w:line="240" w:lineRule="auto"/>
    </w:pPr>
    <w:rPr>
      <w:rFonts w:eastAsia="宋体" w:cs="宋体"/>
      <w:sz w:val="32"/>
      <w:szCs w:val="20"/>
    </w:rPr>
  </w:style>
  <w:style w:type="paragraph" w:customStyle="1" w:styleId="553">
    <w:name w:val="xl32"/>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left"/>
    </w:pPr>
    <w:rPr>
      <w:rFonts w:ascii="Arial Unicode MS" w:hAnsi="Arial Unicode MS"/>
      <w:sz w:val="24"/>
    </w:rPr>
  </w:style>
  <w:style w:type="paragraph" w:customStyle="1" w:styleId="554">
    <w:name w:val="样式 样式 小四 加粗 居中 + 加粗"/>
    <w:basedOn w:val="20"/>
    <w:next w:val="1"/>
    <w:qFormat/>
    <w:uiPriority w:val="0"/>
    <w:pPr>
      <w:spacing w:line="360" w:lineRule="exact"/>
      <w:ind w:firstLine="200"/>
    </w:pPr>
    <w:rPr>
      <w:b/>
      <w:bCs/>
    </w:rPr>
  </w:style>
  <w:style w:type="paragraph" w:customStyle="1" w:styleId="555">
    <w:name w:val="font9"/>
    <w:basedOn w:val="1"/>
    <w:qFormat/>
    <w:uiPriority w:val="0"/>
    <w:pPr>
      <w:widowControl/>
      <w:spacing w:before="100" w:beforeAutospacing="1" w:after="100" w:afterAutospacing="1"/>
      <w:jc w:val="left"/>
    </w:pPr>
    <w:rPr>
      <w:sz w:val="40"/>
      <w:szCs w:val="40"/>
    </w:rPr>
  </w:style>
  <w:style w:type="paragraph" w:customStyle="1" w:styleId="556">
    <w:name w:val="p15"/>
    <w:basedOn w:val="1"/>
    <w:qFormat/>
    <w:uiPriority w:val="0"/>
    <w:pPr>
      <w:widowControl/>
      <w:jc w:val="left"/>
    </w:pPr>
    <w:rPr>
      <w:szCs w:val="21"/>
    </w:rPr>
  </w:style>
  <w:style w:type="paragraph" w:customStyle="1" w:styleId="557">
    <w:name w:val="默认段落字体 Para Char Char Char Char Char Char Char"/>
    <w:basedOn w:val="1"/>
    <w:qFormat/>
    <w:uiPriority w:val="0"/>
    <w:pPr>
      <w:spacing w:line="360" w:lineRule="auto"/>
      <w:ind w:left="200" w:hanging="200"/>
    </w:pPr>
    <w:rPr>
      <w:sz w:val="24"/>
      <w:szCs w:val="20"/>
    </w:rPr>
  </w:style>
  <w:style w:type="paragraph" w:customStyle="1" w:styleId="558">
    <w:name w:val="Char1 Char Char Char Char Char Char"/>
    <w:basedOn w:val="1"/>
    <w:qFormat/>
    <w:uiPriority w:val="0"/>
    <w:rPr>
      <w:rFonts w:ascii="Tahoma" w:hAnsi="Tahoma"/>
      <w:sz w:val="24"/>
      <w:szCs w:val="20"/>
    </w:rPr>
  </w:style>
  <w:style w:type="paragraph" w:customStyle="1" w:styleId="559">
    <w:name w:val="纯文本11"/>
    <w:basedOn w:val="1"/>
    <w:qFormat/>
    <w:uiPriority w:val="0"/>
    <w:rPr>
      <w:rFonts w:ascii="宋体" w:hAnsi="Courier New"/>
      <w:szCs w:val="20"/>
    </w:rPr>
  </w:style>
  <w:style w:type="paragraph" w:customStyle="1" w:styleId="560">
    <w:name w:val="Preformatted"/>
    <w:basedOn w:val="1"/>
    <w:qFormat/>
    <w:uiPriority w:val="0"/>
    <w:pPr>
      <w:tabs>
        <w:tab w:val="left" w:pos="0"/>
        <w:tab w:val="left" w:pos="959"/>
        <w:tab w:val="left" w:pos="1918"/>
        <w:tab w:val="left" w:pos="2877"/>
        <w:tab w:val="left" w:pos="3836"/>
        <w:tab w:val="left" w:pos="4795"/>
        <w:tab w:val="left" w:pos="5754"/>
        <w:tab w:val="left" w:pos="6713"/>
        <w:tab w:val="left" w:pos="7672"/>
        <w:tab w:val="left" w:pos="8631"/>
        <w:tab w:val="left" w:pos="9590"/>
      </w:tabs>
      <w:jc w:val="left"/>
    </w:pPr>
    <w:rPr>
      <w:rFonts w:ascii="Courier New" w:hAnsi="Courier New"/>
      <w:sz w:val="20"/>
      <w:szCs w:val="20"/>
    </w:rPr>
  </w:style>
  <w:style w:type="paragraph" w:customStyle="1" w:styleId="561">
    <w:name w:val="1.1编号"/>
    <w:basedOn w:val="1"/>
    <w:qFormat/>
    <w:uiPriority w:val="0"/>
    <w:pPr>
      <w:widowControl/>
      <w:tabs>
        <w:tab w:val="left" w:pos="1559"/>
      </w:tabs>
      <w:spacing w:before="120" w:after="80" w:line="380" w:lineRule="exact"/>
      <w:ind w:left="1559" w:hanging="1559"/>
    </w:pPr>
    <w:rPr>
      <w:b/>
      <w:spacing w:val="20"/>
      <w:szCs w:val="20"/>
    </w:rPr>
  </w:style>
  <w:style w:type="paragraph" w:customStyle="1" w:styleId="562">
    <w:name w:val="表中"/>
    <w:basedOn w:val="1"/>
    <w:qFormat/>
    <w:uiPriority w:val="0"/>
    <w:pPr>
      <w:spacing w:line="420" w:lineRule="atLeast"/>
      <w:ind w:firstLine="200"/>
      <w:jc w:val="center"/>
    </w:pPr>
    <w:rPr>
      <w:szCs w:val="20"/>
    </w:rPr>
  </w:style>
  <w:style w:type="paragraph" w:customStyle="1" w:styleId="563">
    <w:name w:val="表格"/>
    <w:basedOn w:val="1"/>
    <w:qFormat/>
    <w:uiPriority w:val="0"/>
    <w:pPr>
      <w:jc w:val="center"/>
    </w:pPr>
    <w:rPr>
      <w:rFonts w:ascii="华文细黑" w:hAnsi="华文细黑"/>
      <w:szCs w:val="20"/>
    </w:rPr>
  </w:style>
  <w:style w:type="paragraph" w:customStyle="1" w:styleId="564">
    <w:name w:val="Char Char Char Char Char Char Char Char Char Char1"/>
    <w:basedOn w:val="17"/>
    <w:qFormat/>
    <w:uiPriority w:val="0"/>
    <w:pPr>
      <w:keepNext/>
      <w:spacing w:line="240" w:lineRule="auto"/>
      <w:ind w:firstLine="0"/>
    </w:pPr>
    <w:rPr>
      <w:rFonts w:ascii="Tahoma" w:hAnsi="Tahoma"/>
      <w:sz w:val="24"/>
    </w:rPr>
  </w:style>
  <w:style w:type="paragraph" w:customStyle="1" w:styleId="565">
    <w:name w:val="Char Char Char Char Char Char Char2"/>
    <w:basedOn w:val="1"/>
    <w:qFormat/>
    <w:uiPriority w:val="0"/>
  </w:style>
  <w:style w:type="paragraph" w:customStyle="1" w:styleId="566">
    <w:name w:val="xl45"/>
    <w:basedOn w:val="1"/>
    <w:qFormat/>
    <w:uiPriority w:val="0"/>
    <w:pPr>
      <w:widowControl/>
      <w:pBdr>
        <w:bottom w:val="single" w:color="000000" w:sz="4" w:space="0"/>
      </w:pBdr>
      <w:spacing w:before="100" w:beforeAutospacing="1" w:after="100" w:afterAutospacing="1"/>
      <w:jc w:val="center"/>
    </w:pPr>
    <w:rPr>
      <w:sz w:val="40"/>
      <w:szCs w:val="40"/>
    </w:rPr>
  </w:style>
  <w:style w:type="paragraph" w:customStyle="1" w:styleId="567">
    <w:name w:val="xl47"/>
    <w:basedOn w:val="1"/>
    <w:qFormat/>
    <w:uiPriority w:val="0"/>
    <w:pPr>
      <w:widowControl/>
      <w:spacing w:before="100" w:beforeAutospacing="1" w:after="100" w:afterAutospacing="1"/>
      <w:jc w:val="center"/>
    </w:pPr>
    <w:rPr>
      <w:rFonts w:ascii="宋体" w:hAnsi="宋体"/>
      <w:sz w:val="28"/>
      <w:szCs w:val="28"/>
    </w:rPr>
  </w:style>
  <w:style w:type="paragraph" w:customStyle="1" w:styleId="568">
    <w:name w:val="xl24"/>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4"/>
    </w:rPr>
  </w:style>
  <w:style w:type="paragraph" w:customStyle="1" w:styleId="569">
    <w:name w:val="样式 2 + 段前: 0 磅 段后: 0 磅 行距: 多倍行距 1.73 字行"/>
    <w:basedOn w:val="570"/>
    <w:next w:val="4"/>
    <w:qFormat/>
    <w:uiPriority w:val="0"/>
    <w:pPr>
      <w:spacing w:before="0" w:after="0" w:line="415" w:lineRule="auto"/>
    </w:pPr>
    <w:rPr>
      <w:rFonts w:cs="宋体"/>
      <w:szCs w:val="20"/>
    </w:rPr>
  </w:style>
  <w:style w:type="paragraph" w:customStyle="1" w:styleId="570">
    <w:name w:val="2"/>
    <w:basedOn w:val="5"/>
    <w:qFormat/>
    <w:uiPriority w:val="0"/>
    <w:pPr>
      <w:widowControl w:val="0"/>
      <w:spacing w:line="240" w:lineRule="auto"/>
      <w:jc w:val="center"/>
    </w:pPr>
    <w:rPr>
      <w:rFonts w:ascii="黑体" w:eastAsia="黑体"/>
      <w:sz w:val="44"/>
      <w:szCs w:val="28"/>
    </w:rPr>
  </w:style>
  <w:style w:type="paragraph" w:customStyle="1" w:styleId="571">
    <w:name w:val="Char1 Char Char Char Char Char Char Char Char Char Char Char Char Char Char Char"/>
    <w:basedOn w:val="7"/>
    <w:qFormat/>
    <w:uiPriority w:val="0"/>
    <w:pPr>
      <w:tabs>
        <w:tab w:val="left" w:pos="0"/>
        <w:tab w:val="left" w:pos="3660"/>
      </w:tabs>
      <w:spacing w:line="240" w:lineRule="auto"/>
      <w:ind w:left="3660" w:hanging="420"/>
    </w:pPr>
    <w:rPr>
      <w:rFonts w:ascii="黑体" w:eastAsia="黑体"/>
      <w:b w:val="0"/>
    </w:rPr>
  </w:style>
  <w:style w:type="paragraph" w:customStyle="1" w:styleId="572">
    <w:name w:val="xl44"/>
    <w:basedOn w:val="1"/>
    <w:qFormat/>
    <w:uiPriority w:val="0"/>
    <w:pPr>
      <w:widowControl/>
      <w:pBdr>
        <w:bottom w:val="single" w:color="000000" w:sz="4" w:space="0"/>
      </w:pBdr>
      <w:spacing w:before="100" w:beforeAutospacing="1" w:after="100" w:afterAutospacing="1"/>
      <w:jc w:val="center"/>
    </w:pPr>
    <w:rPr>
      <w:rFonts w:ascii="Arial Unicode MS" w:hAnsi="Arial Unicode MS"/>
      <w:sz w:val="24"/>
    </w:rPr>
  </w:style>
  <w:style w:type="paragraph" w:customStyle="1" w:styleId="573">
    <w:name w:val="修订1"/>
    <w:qFormat/>
    <w:uiPriority w:val="0"/>
    <w:rPr>
      <w:rFonts w:hint="default" w:ascii="Times New Roman" w:hAnsi="Times New Roman" w:eastAsia="宋体" w:cs="Times New Roman"/>
      <w:sz w:val="21"/>
      <w:lang w:val="en-US" w:eastAsia="zh-CN" w:bidi="ar-SA"/>
    </w:rPr>
  </w:style>
  <w:style w:type="paragraph" w:customStyle="1" w:styleId="574">
    <w:name w:val="样式 4 + 宋体 小三 黑色 两端对齐 段前: 0 磅 段后: 0 磅 行距: 单倍行距1"/>
    <w:basedOn w:val="260"/>
    <w:next w:val="6"/>
    <w:qFormat/>
    <w:uiPriority w:val="0"/>
    <w:pPr>
      <w:spacing w:before="0" w:after="0" w:line="240" w:lineRule="auto"/>
      <w:ind w:firstLine="422"/>
      <w:jc w:val="both"/>
    </w:pPr>
    <w:rPr>
      <w:rFonts w:ascii="宋体" w:hAnsi="宋体" w:cs="宋体"/>
      <w:color w:val="000000"/>
      <w:sz w:val="30"/>
      <w:szCs w:val="20"/>
    </w:rPr>
  </w:style>
  <w:style w:type="paragraph" w:customStyle="1" w:styleId="575">
    <w:name w:val="段"/>
    <w:next w:val="1"/>
    <w:qFormat/>
    <w:uiPriority w:val="0"/>
    <w:pPr>
      <w:spacing w:line="360" w:lineRule="auto"/>
      <w:ind w:firstLine="200"/>
      <w:jc w:val="both"/>
    </w:pPr>
    <w:rPr>
      <w:rFonts w:hint="default" w:ascii="宋体" w:hAnsi="Times New Roman" w:eastAsia="宋体" w:cs="Times New Roman"/>
      <w:sz w:val="24"/>
      <w:szCs w:val="22"/>
      <w:lang w:val="en-US" w:eastAsia="zh-CN" w:bidi="ar-SA"/>
    </w:rPr>
  </w:style>
  <w:style w:type="paragraph" w:customStyle="1" w:styleId="576">
    <w:name w:val="font6"/>
    <w:basedOn w:val="1"/>
    <w:qFormat/>
    <w:uiPriority w:val="0"/>
    <w:pPr>
      <w:widowControl/>
      <w:spacing w:before="100" w:beforeAutospacing="1" w:after="100" w:afterAutospacing="1"/>
      <w:jc w:val="left"/>
    </w:pPr>
    <w:rPr>
      <w:sz w:val="24"/>
    </w:rPr>
  </w:style>
  <w:style w:type="paragraph" w:customStyle="1" w:styleId="577">
    <w:name w:val="Char"/>
    <w:basedOn w:val="1"/>
    <w:qFormat/>
    <w:uiPriority w:val="0"/>
    <w:rPr>
      <w:rFonts w:ascii="Tahoma" w:hAnsi="Tahoma"/>
      <w:sz w:val="24"/>
      <w:szCs w:val="20"/>
    </w:rPr>
  </w:style>
  <w:style w:type="paragraph" w:customStyle="1" w:styleId="578">
    <w:name w:val="xl35"/>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b/>
      <w:bCs/>
      <w:sz w:val="24"/>
    </w:rPr>
  </w:style>
  <w:style w:type="paragraph" w:customStyle="1" w:styleId="579">
    <w:name w:val="head1"/>
    <w:basedOn w:val="1"/>
    <w:qFormat/>
    <w:uiPriority w:val="0"/>
    <w:pPr>
      <w:widowControl/>
      <w:tabs>
        <w:tab w:val="left" w:pos="1680"/>
      </w:tabs>
      <w:spacing w:before="60" w:after="60"/>
      <w:ind w:left="1680"/>
      <w:jc w:val="left"/>
      <w:outlineLvl w:val="0"/>
    </w:pPr>
    <w:rPr>
      <w:rFonts w:ascii="黑体" w:hAnsi="¿¬Ìå" w:eastAsia="黑体"/>
      <w:sz w:val="30"/>
      <w:szCs w:val="30"/>
    </w:rPr>
  </w:style>
  <w:style w:type="paragraph" w:customStyle="1" w:styleId="580">
    <w:name w:val="PlainText"/>
    <w:basedOn w:val="1"/>
    <w:next w:val="581"/>
    <w:qFormat/>
    <w:uiPriority w:val="0"/>
    <w:rPr>
      <w:rFonts w:ascii="宋体" w:hAnsi="Courier New"/>
      <w:szCs w:val="20"/>
    </w:rPr>
  </w:style>
  <w:style w:type="paragraph" w:customStyle="1" w:styleId="581">
    <w:name w:val="Index8"/>
    <w:basedOn w:val="1"/>
    <w:next w:val="1"/>
    <w:qFormat/>
    <w:uiPriority w:val="0"/>
    <w:pPr>
      <w:ind w:left="2940"/>
    </w:pPr>
  </w:style>
  <w:style w:type="paragraph" w:customStyle="1" w:styleId="582">
    <w:name w:val="xl36"/>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4"/>
    </w:rPr>
  </w:style>
  <w:style w:type="paragraph" w:customStyle="1" w:styleId="583">
    <w:name w:val="·"/>
    <w:basedOn w:val="1"/>
    <w:qFormat/>
    <w:uiPriority w:val="0"/>
    <w:pPr>
      <w:widowControl/>
      <w:spacing w:before="120"/>
      <w:ind w:left="432" w:hanging="432"/>
    </w:pPr>
    <w:rPr>
      <w:rFonts w:ascii="楷体" w:eastAsia="楷体"/>
      <w:spacing w:val="-20"/>
      <w:position w:val="-6"/>
      <w:sz w:val="24"/>
      <w:szCs w:val="20"/>
    </w:rPr>
  </w:style>
  <w:style w:type="paragraph" w:customStyle="1" w:styleId="584">
    <w:name w:val="Char Char Char Char Char Char Char"/>
    <w:basedOn w:val="1"/>
    <w:qFormat/>
    <w:uiPriority w:val="0"/>
    <w:pPr>
      <w:widowControl/>
      <w:spacing w:after="160" w:line="240" w:lineRule="exact"/>
      <w:ind w:firstLine="200"/>
      <w:jc w:val="left"/>
    </w:pPr>
    <w:rPr>
      <w:rFonts w:ascii="Arial" w:hAnsi="Arial" w:eastAsia="Times New Roman" w:cs="Verdana"/>
      <w:b/>
      <w:spacing w:val="2"/>
      <w:sz w:val="24"/>
      <w:lang w:eastAsia="en-US"/>
    </w:rPr>
  </w:style>
  <w:style w:type="paragraph" w:customStyle="1" w:styleId="585">
    <w:name w:val="tds100"/>
    <w:basedOn w:val="47"/>
    <w:qFormat/>
    <w:uiPriority w:val="0"/>
    <w:pPr>
      <w:tabs>
        <w:tab w:val="right" w:leader="dot" w:pos="9628"/>
      </w:tabs>
      <w:ind w:left="200"/>
      <w:jc w:val="center"/>
    </w:pPr>
    <w:rPr>
      <w:b/>
      <w:sz w:val="44"/>
    </w:rPr>
  </w:style>
  <w:style w:type="paragraph" w:customStyle="1" w:styleId="586">
    <w:name w:val="xl37"/>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b/>
      <w:bCs/>
      <w:sz w:val="24"/>
    </w:rPr>
  </w:style>
  <w:style w:type="paragraph" w:customStyle="1" w:styleId="587">
    <w:name w:val="xl31"/>
    <w:basedOn w:val="1"/>
    <w:qFormat/>
    <w:uiPriority w:val="0"/>
    <w:pPr>
      <w:widowControl/>
      <w:pBdr>
        <w:bottom w:val="single" w:color="000000" w:sz="4" w:space="0"/>
      </w:pBdr>
      <w:spacing w:before="100" w:beforeAutospacing="1" w:after="100" w:afterAutospacing="1"/>
      <w:jc w:val="center"/>
    </w:pPr>
    <w:rPr>
      <w:rFonts w:ascii="宋体" w:hAnsi="宋体"/>
      <w:sz w:val="24"/>
    </w:rPr>
  </w:style>
  <w:style w:type="paragraph" w:customStyle="1" w:styleId="588">
    <w:name w:val="head4"/>
    <w:basedOn w:val="1"/>
    <w:qFormat/>
    <w:uiPriority w:val="0"/>
    <w:pPr>
      <w:widowControl/>
      <w:spacing w:before="120" w:line="360" w:lineRule="auto"/>
    </w:pPr>
    <w:rPr>
      <w:rFonts w:ascii="¿¬Ìå" w:hAnsi="¿¬Ìå"/>
      <w:sz w:val="24"/>
    </w:rPr>
  </w:style>
  <w:style w:type="paragraph" w:customStyle="1" w:styleId="589">
    <w:name w:val="Char Char Char Char Char Char Char Char Char1 Char Char Char Char Char Char Char Char Char Char Char Char Char"/>
    <w:basedOn w:val="3"/>
    <w:qFormat/>
    <w:uiPriority w:val="0"/>
    <w:pPr>
      <w:spacing w:before="240" w:after="240" w:line="348" w:lineRule="auto"/>
    </w:pPr>
    <w:rPr>
      <w:sz w:val="44"/>
    </w:rPr>
  </w:style>
  <w:style w:type="paragraph" w:customStyle="1" w:styleId="590">
    <w:name w:val="标题2"/>
    <w:basedOn w:val="4"/>
    <w:next w:val="1"/>
    <w:qFormat/>
    <w:uiPriority w:val="0"/>
    <w:pPr>
      <w:spacing w:before="120" w:after="120" w:line="240" w:lineRule="auto"/>
      <w:jc w:val="left"/>
    </w:pPr>
    <w:rPr>
      <w:rFonts w:ascii="Arial" w:hAnsi="Arial" w:eastAsia="黑体"/>
      <w:b w:val="0"/>
      <w:bCs w:val="0"/>
      <w:sz w:val="21"/>
      <w:szCs w:val="21"/>
    </w:rPr>
  </w:style>
  <w:style w:type="paragraph" w:customStyle="1" w:styleId="591">
    <w:name w:val="444"/>
    <w:basedOn w:val="1"/>
    <w:qFormat/>
    <w:uiPriority w:val="0"/>
    <w:pPr>
      <w:spacing w:line="312" w:lineRule="atLeast"/>
      <w:jc w:val="center"/>
    </w:pPr>
    <w:rPr>
      <w:b/>
      <w:sz w:val="36"/>
      <w:szCs w:val="36"/>
    </w:rPr>
  </w:style>
  <w:style w:type="paragraph" w:customStyle="1" w:styleId="592">
    <w:name w:val="样式 4 + 小三 两端对齐 段前: 0 磅 段后: 0 磅 行距: 单倍行距"/>
    <w:basedOn w:val="260"/>
    <w:qFormat/>
    <w:uiPriority w:val="0"/>
    <w:pPr>
      <w:spacing w:before="0" w:after="0" w:line="240" w:lineRule="auto"/>
      <w:jc w:val="both"/>
    </w:pPr>
    <w:rPr>
      <w:rFonts w:cs="宋体"/>
      <w:sz w:val="30"/>
      <w:szCs w:val="20"/>
    </w:rPr>
  </w:style>
  <w:style w:type="paragraph" w:customStyle="1" w:styleId="593">
    <w:name w:val="xl4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center"/>
    </w:pPr>
    <w:rPr>
      <w:rFonts w:ascii="Arial Unicode MS" w:hAnsi="Arial Unicode MS"/>
      <w:sz w:val="24"/>
    </w:rPr>
  </w:style>
  <w:style w:type="paragraph" w:customStyle="1" w:styleId="594">
    <w:name w:val="table"/>
    <w:basedOn w:val="1"/>
    <w:qFormat/>
    <w:uiPriority w:val="0"/>
    <w:pPr>
      <w:keepNext/>
      <w:widowControl/>
      <w:jc w:val="left"/>
    </w:pPr>
    <w:rPr>
      <w:rFonts w:ascii="楷体" w:eastAsia="楷体"/>
      <w:b/>
      <w:spacing w:val="2"/>
      <w:position w:val="-6"/>
      <w:sz w:val="24"/>
      <w:szCs w:val="20"/>
    </w:rPr>
  </w:style>
  <w:style w:type="paragraph" w:customStyle="1" w:styleId="595">
    <w:name w:val="批注框文本 Char Char"/>
    <w:basedOn w:val="1"/>
    <w:qFormat/>
    <w:uiPriority w:val="0"/>
    <w:rPr>
      <w:sz w:val="18"/>
      <w:szCs w:val="20"/>
    </w:rPr>
  </w:style>
  <w:style w:type="paragraph" w:customStyle="1" w:styleId="596">
    <w:name w:val="无间隔1"/>
    <w:qFormat/>
    <w:uiPriority w:val="99"/>
    <w:pPr>
      <w:widowControl w:val="0"/>
      <w:jc w:val="both"/>
    </w:pPr>
    <w:rPr>
      <w:rFonts w:hint="default" w:ascii="Times New Roman" w:hAnsi="Times New Roman" w:eastAsia="宋体" w:cs="Times New Roman"/>
      <w:sz w:val="21"/>
      <w:szCs w:val="24"/>
      <w:lang w:val="en-US" w:eastAsia="zh-CN" w:bidi="ar-SA"/>
    </w:rPr>
  </w:style>
  <w:style w:type="paragraph" w:customStyle="1" w:styleId="597">
    <w:name w:val="font0"/>
    <w:basedOn w:val="1"/>
    <w:qFormat/>
    <w:uiPriority w:val="0"/>
    <w:pPr>
      <w:widowControl/>
      <w:spacing w:before="100" w:beforeAutospacing="1" w:after="100" w:afterAutospacing="1"/>
      <w:jc w:val="left"/>
    </w:pPr>
    <w:rPr>
      <w:rFonts w:hint="eastAsia" w:ascii="宋体" w:hAnsi="宋体"/>
      <w:sz w:val="24"/>
    </w:rPr>
  </w:style>
  <w:style w:type="paragraph" w:customStyle="1" w:styleId="598">
    <w:name w:val="纯文本2"/>
    <w:basedOn w:val="1"/>
    <w:qFormat/>
    <w:uiPriority w:val="0"/>
    <w:rPr>
      <w:rFonts w:ascii="宋体" w:hAnsi="Courier New"/>
      <w:szCs w:val="20"/>
    </w:rPr>
  </w:style>
  <w:style w:type="paragraph" w:customStyle="1" w:styleId="599">
    <w:name w:val="Char11"/>
    <w:basedOn w:val="1"/>
    <w:qFormat/>
    <w:uiPriority w:val="0"/>
    <w:pPr>
      <w:widowControl/>
      <w:spacing w:after="160" w:line="240" w:lineRule="exact"/>
      <w:jc w:val="left"/>
    </w:pPr>
    <w:rPr>
      <w:rFonts w:ascii="Verdana" w:hAnsi="Verdana"/>
      <w:sz w:val="20"/>
      <w:szCs w:val="20"/>
      <w:lang w:eastAsia="en-US"/>
    </w:rPr>
  </w:style>
  <w:style w:type="paragraph" w:customStyle="1" w:styleId="600">
    <w:name w:val="+正文"/>
    <w:basedOn w:val="1"/>
    <w:qFormat/>
    <w:uiPriority w:val="0"/>
    <w:pPr>
      <w:spacing w:line="360" w:lineRule="auto"/>
      <w:ind w:firstLine="200"/>
    </w:pPr>
    <w:rPr>
      <w:sz w:val="24"/>
      <w:szCs w:val="28"/>
    </w:rPr>
  </w:style>
  <w:style w:type="paragraph" w:customStyle="1" w:styleId="601">
    <w:name w:val="1.正文"/>
    <w:basedOn w:val="1"/>
    <w:qFormat/>
    <w:uiPriority w:val="0"/>
    <w:pPr>
      <w:widowControl/>
      <w:tabs>
        <w:tab w:val="left" w:pos="840"/>
        <w:tab w:val="left" w:pos="2820"/>
      </w:tabs>
      <w:spacing w:before="40" w:after="40" w:line="300" w:lineRule="exact"/>
      <w:ind w:left="840" w:hanging="420"/>
    </w:pPr>
    <w:rPr>
      <w:szCs w:val="20"/>
    </w:rPr>
  </w:style>
  <w:style w:type="paragraph" w:customStyle="1" w:styleId="602">
    <w:name w:val="表格文字"/>
    <w:basedOn w:val="1"/>
    <w:qFormat/>
    <w:uiPriority w:val="0"/>
    <w:pPr>
      <w:spacing w:line="420" w:lineRule="atLeast"/>
      <w:ind w:firstLine="200"/>
      <w:jc w:val="left"/>
    </w:pPr>
    <w:rPr>
      <w:szCs w:val="20"/>
    </w:rPr>
  </w:style>
  <w:style w:type="paragraph" w:customStyle="1" w:styleId="603">
    <w:name w:val="Char Char Char Char Char Char Char Char Char Char"/>
    <w:basedOn w:val="1"/>
    <w:qFormat/>
    <w:uiPriority w:val="0"/>
  </w:style>
  <w:style w:type="paragraph" w:customStyle="1" w:styleId="604">
    <w:name w:val="font5"/>
    <w:basedOn w:val="1"/>
    <w:qFormat/>
    <w:uiPriority w:val="0"/>
    <w:pPr>
      <w:widowControl/>
      <w:spacing w:before="100" w:beforeAutospacing="1" w:after="100" w:afterAutospacing="1"/>
      <w:jc w:val="left"/>
    </w:pPr>
    <w:rPr>
      <w:rFonts w:ascii="宋体" w:hAnsi="宋体"/>
      <w:sz w:val="24"/>
    </w:rPr>
  </w:style>
  <w:style w:type="paragraph" w:customStyle="1" w:styleId="605">
    <w:name w:val="TOC 标题3"/>
    <w:basedOn w:val="3"/>
    <w:next w:val="1"/>
    <w:qFormat/>
    <w:uiPriority w:val="0"/>
    <w:pPr>
      <w:widowControl/>
      <w:tabs>
        <w:tab w:val="left" w:pos="4184"/>
        <w:tab w:val="left" w:pos="6406"/>
      </w:tabs>
      <w:spacing w:before="480" w:after="0" w:line="240" w:lineRule="auto"/>
      <w:jc w:val="left"/>
      <w:outlineLvl w:val="9"/>
    </w:pPr>
    <w:rPr>
      <w:rFonts w:ascii="Cambria" w:hAnsi="Cambria"/>
      <w:b w:val="0"/>
      <w:color w:val="365F91"/>
      <w:sz w:val="28"/>
      <w:szCs w:val="28"/>
    </w:rPr>
  </w:style>
  <w:style w:type="paragraph" w:customStyle="1" w:styleId="606">
    <w:name w:val="."/>
    <w:basedOn w:val="1"/>
    <w:qFormat/>
    <w:uiPriority w:val="0"/>
    <w:pPr>
      <w:widowControl/>
      <w:spacing w:before="60" w:line="264" w:lineRule="auto"/>
      <w:ind w:left="681" w:right="-57" w:hanging="227"/>
    </w:pPr>
    <w:rPr>
      <w:rFonts w:ascii="宋体"/>
      <w:sz w:val="24"/>
      <w:szCs w:val="20"/>
    </w:rPr>
  </w:style>
  <w:style w:type="paragraph" w:customStyle="1" w:styleId="607">
    <w:name w:val="5 Char Char Char Char Char Char Char Char Char Char"/>
    <w:basedOn w:val="1"/>
    <w:qFormat/>
    <w:uiPriority w:val="0"/>
  </w:style>
  <w:style w:type="paragraph" w:customStyle="1" w:styleId="608">
    <w:name w:val="p16"/>
    <w:basedOn w:val="1"/>
    <w:qFormat/>
    <w:uiPriority w:val="0"/>
    <w:pPr>
      <w:widowControl/>
    </w:pPr>
    <w:rPr>
      <w:szCs w:val="21"/>
    </w:rPr>
  </w:style>
  <w:style w:type="paragraph" w:customStyle="1" w:styleId="609">
    <w:name w:val="表格2"/>
    <w:basedOn w:val="1"/>
    <w:qFormat/>
    <w:uiPriority w:val="0"/>
    <w:pPr>
      <w:spacing w:before="60" w:after="60"/>
      <w:jc w:val="center"/>
    </w:pPr>
    <w:rPr>
      <w:rFonts w:ascii="宋体"/>
      <w:color w:val="000000"/>
      <w:sz w:val="24"/>
      <w:szCs w:val="20"/>
    </w:rPr>
  </w:style>
  <w:style w:type="paragraph" w:customStyle="1" w:styleId="610">
    <w:name w:val="**"/>
    <w:basedOn w:val="525"/>
    <w:qFormat/>
    <w:uiPriority w:val="0"/>
    <w:rPr>
      <w:rFonts w:ascii="楷体" w:eastAsia="楷体"/>
      <w:sz w:val="24"/>
    </w:rPr>
  </w:style>
  <w:style w:type="paragraph" w:customStyle="1" w:styleId="611">
    <w:name w:val="合同正文"/>
    <w:basedOn w:val="1"/>
    <w:qFormat/>
    <w:uiPriority w:val="0"/>
    <w:pPr>
      <w:spacing w:line="580" w:lineRule="exact"/>
    </w:pPr>
    <w:rPr>
      <w:b/>
      <w:sz w:val="24"/>
      <w:szCs w:val="20"/>
    </w:rPr>
  </w:style>
  <w:style w:type="paragraph" w:customStyle="1" w:styleId="612">
    <w:name w:val="xl39"/>
    <w:basedOn w:val="1"/>
    <w:qFormat/>
    <w:uiPriority w:val="0"/>
    <w:pPr>
      <w:widowControl/>
      <w:pBdr>
        <w:top w:val="single" w:color="000000" w:sz="4" w:space="0"/>
        <w:left w:val="single" w:color="000000" w:sz="4" w:space="0"/>
        <w:bottom w:val="single" w:color="000000" w:sz="4" w:space="0"/>
        <w:right w:val="single" w:color="000000" w:sz="4" w:space="0"/>
      </w:pBdr>
      <w:shd w:val="clear" w:color="auto" w:fill="FFFFFF"/>
      <w:spacing w:before="100" w:beforeAutospacing="1" w:after="100" w:afterAutospacing="1"/>
      <w:jc w:val="center"/>
    </w:pPr>
    <w:rPr>
      <w:rFonts w:ascii="Arial Unicode MS" w:hAnsi="Arial Unicode MS"/>
      <w:sz w:val="28"/>
      <w:szCs w:val="28"/>
    </w:rPr>
  </w:style>
  <w:style w:type="paragraph" w:customStyle="1" w:styleId="613">
    <w:name w:val="µ1"/>
    <w:basedOn w:val="1"/>
    <w:qFormat/>
    <w:uiPriority w:val="0"/>
    <w:pPr>
      <w:widowControl/>
      <w:spacing w:before="120"/>
      <w:ind w:left="432" w:hanging="432"/>
    </w:pPr>
    <w:rPr>
      <w:rFonts w:ascii="楷体" w:eastAsia="楷体"/>
      <w:spacing w:val="-20"/>
      <w:position w:val="-6"/>
      <w:sz w:val="24"/>
      <w:szCs w:val="20"/>
    </w:rPr>
  </w:style>
  <w:style w:type="paragraph" w:customStyle="1" w:styleId="614">
    <w:name w:val="BodyText"/>
    <w:basedOn w:val="1"/>
    <w:qFormat/>
    <w:uiPriority w:val="0"/>
    <w:pPr>
      <w:spacing w:after="60" w:line="360" w:lineRule="atLeast"/>
      <w:ind w:left="72" w:right="30"/>
      <w:jc w:val="center"/>
    </w:pPr>
    <w:rPr>
      <w:sz w:val="20"/>
      <w:szCs w:val="20"/>
    </w:rPr>
  </w:style>
  <w:style w:type="paragraph" w:customStyle="1" w:styleId="615">
    <w:name w:val="样式 小四 加粗 居中"/>
    <w:basedOn w:val="7"/>
    <w:next w:val="7"/>
    <w:qFormat/>
    <w:uiPriority w:val="0"/>
    <w:pPr>
      <w:spacing w:line="240" w:lineRule="auto"/>
      <w:jc w:val="center"/>
    </w:pPr>
    <w:rPr>
      <w:rFonts w:cs="宋体"/>
      <w:b w:val="0"/>
      <w:bCs w:val="0"/>
      <w:sz w:val="24"/>
      <w:szCs w:val="20"/>
    </w:rPr>
  </w:style>
  <w:style w:type="paragraph" w:customStyle="1" w:styleId="616">
    <w:name w:val="样式 样式 小四 加粗 居中 + 宋体 加粗 黑色"/>
    <w:basedOn w:val="615"/>
    <w:next w:val="7"/>
    <w:qFormat/>
    <w:uiPriority w:val="0"/>
    <w:rPr>
      <w:rFonts w:ascii="宋体" w:hAnsi="宋体"/>
      <w:b/>
      <w:bCs/>
      <w:color w:val="000000"/>
    </w:rPr>
  </w:style>
  <w:style w:type="paragraph" w:customStyle="1" w:styleId="617">
    <w:name w:val="TOC Heading"/>
    <w:basedOn w:val="3"/>
    <w:next w:val="1"/>
    <w:qFormat/>
    <w:uiPriority w:val="0"/>
    <w:pPr>
      <w:widowControl/>
      <w:tabs>
        <w:tab w:val="left" w:pos="4184"/>
        <w:tab w:val="left" w:pos="6406"/>
      </w:tabs>
      <w:spacing w:before="480" w:after="0" w:line="240" w:lineRule="auto"/>
      <w:jc w:val="left"/>
      <w:outlineLvl w:val="9"/>
    </w:pPr>
    <w:rPr>
      <w:rFonts w:ascii="Cambria" w:hAnsi="Cambria"/>
      <w:b w:val="0"/>
      <w:color w:val="365F91"/>
      <w:sz w:val="28"/>
      <w:szCs w:val="28"/>
    </w:rPr>
  </w:style>
  <w:style w:type="paragraph" w:customStyle="1" w:styleId="618">
    <w:name w:val="bb"/>
    <w:basedOn w:val="1"/>
    <w:qFormat/>
    <w:uiPriority w:val="0"/>
    <w:pPr>
      <w:widowControl/>
      <w:spacing w:before="100" w:beforeAutospacing="1" w:after="100" w:afterAutospacing="1"/>
      <w:jc w:val="left"/>
    </w:pPr>
    <w:rPr>
      <w:rFonts w:ascii="宋体"/>
      <w:sz w:val="24"/>
    </w:rPr>
  </w:style>
  <w:style w:type="paragraph" w:customStyle="1" w:styleId="619">
    <w:name w:val="样式 4 + 段前: 0 磅 段后: 0 磅 行距: 单倍行距"/>
    <w:basedOn w:val="260"/>
    <w:qFormat/>
    <w:uiPriority w:val="0"/>
    <w:pPr>
      <w:spacing w:before="0" w:after="0" w:line="240" w:lineRule="auto"/>
    </w:pPr>
    <w:rPr>
      <w:rFonts w:cs="宋体"/>
      <w:b w:val="0"/>
      <w:szCs w:val="20"/>
    </w:rPr>
  </w:style>
  <w:style w:type="paragraph" w:customStyle="1" w:styleId="620">
    <w:name w:val="a 正文"/>
    <w:basedOn w:val="621"/>
    <w:qFormat/>
    <w:uiPriority w:val="0"/>
    <w:pPr>
      <w:tabs>
        <w:tab w:val="left" w:pos="720"/>
        <w:tab w:val="left" w:pos="3240"/>
        <w:tab w:val="left" w:pos="3750"/>
      </w:tabs>
      <w:ind w:left="681" w:hanging="227"/>
    </w:pPr>
  </w:style>
  <w:style w:type="paragraph" w:customStyle="1" w:styleId="621">
    <w:name w:val="A.正文"/>
    <w:basedOn w:val="1"/>
    <w:qFormat/>
    <w:uiPriority w:val="0"/>
    <w:pPr>
      <w:widowControl/>
      <w:tabs>
        <w:tab w:val="left" w:pos="720"/>
        <w:tab w:val="left" w:pos="3750"/>
      </w:tabs>
      <w:spacing w:before="40" w:after="40" w:line="300" w:lineRule="exact"/>
      <w:ind w:left="720" w:firstLine="510"/>
    </w:pPr>
    <w:rPr>
      <w:szCs w:val="20"/>
    </w:rPr>
  </w:style>
  <w:style w:type="paragraph" w:customStyle="1" w:styleId="622">
    <w:name w:val="(1)"/>
    <w:basedOn w:val="525"/>
    <w:qFormat/>
    <w:uiPriority w:val="0"/>
    <w:pPr>
      <w:spacing w:before="240"/>
      <w:ind w:left="431" w:hanging="431"/>
    </w:pPr>
    <w:rPr>
      <w:b w:val="0"/>
      <w:sz w:val="24"/>
    </w:rPr>
  </w:style>
  <w:style w:type="paragraph" w:customStyle="1" w:styleId="623">
    <w:name w:val="2-2ji"/>
    <w:basedOn w:val="4"/>
    <w:qFormat/>
    <w:uiPriority w:val="0"/>
    <w:pPr>
      <w:spacing w:before="0" w:after="0" w:line="360" w:lineRule="auto"/>
      <w:jc w:val="center"/>
    </w:pPr>
    <w:rPr>
      <w:rFonts w:ascii="宋体" w:hAnsi="宋体"/>
      <w:bCs w:val="0"/>
      <w:sz w:val="36"/>
    </w:rPr>
  </w:style>
  <w:style w:type="paragraph" w:customStyle="1" w:styleId="624">
    <w:name w:val="样式 样式 4 + 宋体 小三 黑色 + 居中 左侧:  2 字符 首行缩进:  2 字符"/>
    <w:basedOn w:val="514"/>
    <w:next w:val="6"/>
    <w:qFormat/>
    <w:uiPriority w:val="0"/>
    <w:pPr>
      <w:ind w:left="420" w:firstLine="602"/>
      <w:jc w:val="center"/>
    </w:pPr>
    <w:rPr>
      <w:rFonts w:cs="宋体"/>
      <w:szCs w:val="20"/>
    </w:rPr>
  </w:style>
  <w:style w:type="paragraph" w:customStyle="1" w:styleId="625">
    <w:name w:val="Table Paragraph"/>
    <w:basedOn w:val="1"/>
    <w:qFormat/>
    <w:uiPriority w:val="0"/>
    <w:pPr>
      <w:jc w:val="left"/>
    </w:pPr>
    <w:rPr>
      <w:rFonts w:ascii="Noto Sans CJK JP Regular" w:hAnsi="Noto Sans CJK JP Regular" w:eastAsia="Noto Sans CJK JP Regular" w:cs="Noto Sans CJK JP Regular"/>
      <w:sz w:val="22"/>
      <w:szCs w:val="22"/>
      <w:lang w:val="zh-CN" w:bidi="zh-CN"/>
    </w:rPr>
  </w:style>
  <w:style w:type="paragraph" w:customStyle="1" w:styleId="626">
    <w:name w:val="_Style 5"/>
    <w:qFormat/>
    <w:uiPriority w:val="0"/>
    <w:pPr>
      <w:widowControl w:val="0"/>
      <w:jc w:val="both"/>
    </w:pPr>
    <w:rPr>
      <w:rFonts w:hint="default" w:ascii="Calibri" w:hAnsi="Calibri" w:eastAsia="宋体" w:cs="Times New Roman"/>
      <w:sz w:val="21"/>
      <w:szCs w:val="24"/>
      <w:lang w:val="en-US" w:eastAsia="zh-CN" w:bidi="ar-SA"/>
    </w:rPr>
  </w:style>
  <w:style w:type="paragraph" w:customStyle="1" w:styleId="627">
    <w:name w:val="Char Char10"/>
    <w:basedOn w:val="1"/>
    <w:qFormat/>
    <w:uiPriority w:val="0"/>
    <w:rPr>
      <w:rFonts w:ascii="仿宋_GB2312" w:eastAsia="仿宋_GB2312"/>
      <w:b/>
      <w:sz w:val="32"/>
      <w:szCs w:val="32"/>
    </w:rPr>
  </w:style>
  <w:style w:type="paragraph" w:customStyle="1" w:styleId="628">
    <w:name w:val="p0"/>
    <w:basedOn w:val="1"/>
    <w:qFormat/>
    <w:uiPriority w:val="0"/>
    <w:pPr>
      <w:widowControl/>
    </w:pPr>
    <w:rPr>
      <w:rFonts w:ascii="Calibri" w:hAnsi="Calibri" w:cs="宋体"/>
      <w:szCs w:val="21"/>
    </w:rPr>
  </w:style>
  <w:style w:type="paragraph" w:customStyle="1" w:styleId="629">
    <w:name w:val="样式 4 + 小三"/>
    <w:basedOn w:val="260"/>
    <w:next w:val="6"/>
    <w:qFormat/>
    <w:uiPriority w:val="0"/>
    <w:rPr>
      <w:sz w:val="30"/>
    </w:rPr>
  </w:style>
  <w:style w:type="paragraph" w:customStyle="1" w:styleId="630">
    <w:name w:val="xl30"/>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b/>
      <w:bCs/>
      <w:sz w:val="24"/>
    </w:rPr>
  </w:style>
  <w:style w:type="paragraph" w:customStyle="1" w:styleId="631">
    <w:name w:val="2ji"/>
    <w:basedOn w:val="4"/>
    <w:qFormat/>
    <w:uiPriority w:val="0"/>
    <w:pPr>
      <w:spacing w:before="0" w:after="0" w:line="360" w:lineRule="auto"/>
      <w:jc w:val="center"/>
    </w:pPr>
    <w:rPr>
      <w:rFonts w:ascii="宋体" w:hAnsi="宋体"/>
      <w:sz w:val="21"/>
      <w:szCs w:val="21"/>
    </w:rPr>
  </w:style>
  <w:style w:type="paragraph" w:customStyle="1" w:styleId="632">
    <w:name w:val="首行缩进"/>
    <w:basedOn w:val="1"/>
    <w:qFormat/>
    <w:uiPriority w:val="0"/>
    <w:pPr>
      <w:spacing w:line="360" w:lineRule="auto"/>
      <w:ind w:firstLine="480"/>
    </w:pPr>
    <w:rPr>
      <w:rFonts w:ascii="宋体" w:hAnsi="宋体"/>
      <w:sz w:val="24"/>
    </w:rPr>
  </w:style>
  <w:style w:type="paragraph" w:customStyle="1" w:styleId="633">
    <w:name w:val="标准正文"/>
    <w:basedOn w:val="1"/>
    <w:qFormat/>
    <w:uiPriority w:val="99"/>
    <w:pPr>
      <w:ind w:firstLine="200"/>
      <w:jc w:val="left"/>
    </w:pPr>
    <w:rPr>
      <w:sz w:val="24"/>
      <w:szCs w:val="21"/>
    </w:rPr>
  </w:style>
  <w:style w:type="paragraph" w:customStyle="1" w:styleId="634">
    <w:name w:val="标题 1_0"/>
    <w:basedOn w:val="470"/>
    <w:next w:val="470"/>
    <w:qFormat/>
    <w:uiPriority w:val="99"/>
    <w:pPr>
      <w:keepNext/>
      <w:keepLines/>
      <w:spacing w:line="360" w:lineRule="auto"/>
      <w:outlineLvl w:val="0"/>
    </w:pPr>
    <w:rPr>
      <w:rFonts w:eastAsia="黑体"/>
      <w:b/>
      <w:bCs/>
      <w:sz w:val="32"/>
      <w:szCs w:val="44"/>
    </w:rPr>
  </w:style>
  <w:style w:type="paragraph" w:customStyle="1" w:styleId="635">
    <w:name w:val="_Style 15"/>
    <w:basedOn w:val="1"/>
    <w:next w:val="28"/>
    <w:qFormat/>
    <w:uiPriority w:val="0"/>
    <w:rPr>
      <w:rFonts w:ascii="宋体" w:hAnsi="Courier New"/>
      <w:szCs w:val="20"/>
    </w:rPr>
  </w:style>
  <w:style w:type="paragraph" w:customStyle="1" w:styleId="636">
    <w:name w:val="部分编号"/>
    <w:basedOn w:val="1"/>
    <w:qFormat/>
    <w:uiPriority w:val="0"/>
    <w:pPr>
      <w:widowControl/>
      <w:tabs>
        <w:tab w:val="left" w:pos="0"/>
        <w:tab w:val="left" w:pos="1418"/>
      </w:tabs>
      <w:spacing w:before="160" w:after="120" w:line="400" w:lineRule="exact"/>
      <w:ind w:left="1418" w:hanging="1418"/>
    </w:pPr>
    <w:rPr>
      <w:rFonts w:ascii="Arial" w:hAnsi="Arial" w:eastAsia="黑体"/>
      <w:spacing w:val="30"/>
      <w:sz w:val="24"/>
      <w:szCs w:val="20"/>
    </w:rPr>
  </w:style>
  <w:style w:type="paragraph" w:customStyle="1" w:styleId="637">
    <w:name w:val="正文小标题_0"/>
    <w:basedOn w:val="634"/>
    <w:qFormat/>
    <w:uiPriority w:val="0"/>
    <w:pPr>
      <w:spacing w:line="420" w:lineRule="exact"/>
    </w:pPr>
    <w:rPr>
      <w:rFonts w:hAnsi="宋体" w:eastAsia="宋体"/>
      <w:sz w:val="21"/>
      <w:szCs w:val="21"/>
    </w:rPr>
  </w:style>
  <w:style w:type="paragraph" w:customStyle="1" w:styleId="638">
    <w:name w:val="toc 21"/>
    <w:next w:val="1"/>
    <w:qFormat/>
    <w:uiPriority w:val="0"/>
    <w:pPr>
      <w:ind w:left="425"/>
      <w:jc w:val="both"/>
    </w:pPr>
    <w:rPr>
      <w:rFonts w:hint="default" w:ascii="Times New Roman" w:hAnsi="Times New Roman" w:eastAsia="宋体" w:cs="Times New Roman"/>
      <w:sz w:val="21"/>
      <w:lang w:val="en-US" w:eastAsia="zh-CN" w:bidi="ar-SA"/>
    </w:rPr>
  </w:style>
  <w:style w:type="paragraph" w:customStyle="1" w:styleId="639">
    <w:name w:val="样式 4 + 段前: 0 磅 段后: 0 磅 行距: 单倍行距1"/>
    <w:basedOn w:val="260"/>
    <w:next w:val="6"/>
    <w:qFormat/>
    <w:uiPriority w:val="0"/>
    <w:pPr>
      <w:spacing w:before="0" w:after="0" w:line="240" w:lineRule="auto"/>
    </w:pPr>
    <w:rPr>
      <w:rFonts w:cs="宋体"/>
      <w:szCs w:val="20"/>
    </w:rPr>
  </w:style>
  <w:style w:type="paragraph" w:customStyle="1" w:styleId="640">
    <w:name w:val="**正文"/>
    <w:basedOn w:val="1"/>
    <w:qFormat/>
    <w:uiPriority w:val="0"/>
    <w:pPr>
      <w:ind w:firstLine="482"/>
    </w:pPr>
    <w:rPr>
      <w:rFonts w:ascii="宋体" w:hAnsi="宋体"/>
      <w:sz w:val="24"/>
    </w:rPr>
  </w:style>
  <w:style w:type="paragraph" w:styleId="641">
    <w:name w:val="List Paragraph"/>
    <w:basedOn w:val="1"/>
    <w:qFormat/>
    <w:uiPriority w:val="0"/>
    <w:pPr>
      <w:ind w:firstLine="420"/>
    </w:pPr>
  </w:style>
  <w:style w:type="paragraph" w:customStyle="1" w:styleId="642">
    <w:name w:val="xl49"/>
    <w:basedOn w:val="1"/>
    <w:qFormat/>
    <w:uiPriority w:val="0"/>
    <w:pPr>
      <w:widowControl/>
      <w:pBdr>
        <w:top w:val="single" w:color="000000" w:sz="4" w:space="0"/>
        <w:left w:val="single" w:color="000000" w:sz="4" w:space="0"/>
        <w:bottom w:val="single" w:color="000000" w:sz="4" w:space="0"/>
        <w:right w:val="single" w:color="000000" w:sz="4" w:space="0"/>
      </w:pBdr>
      <w:spacing w:before="100" w:beforeAutospacing="1" w:after="100" w:afterAutospacing="1"/>
      <w:jc w:val="left"/>
    </w:pPr>
    <w:rPr>
      <w:rFonts w:ascii="Arial Unicode MS" w:hAnsi="Arial Unicode MS"/>
      <w:b/>
      <w:bCs/>
      <w:sz w:val="24"/>
    </w:rPr>
  </w:style>
  <w:style w:type="paragraph" w:customStyle="1" w:styleId="643">
    <w:name w:val="F2"/>
    <w:basedOn w:val="1"/>
    <w:qFormat/>
    <w:uiPriority w:val="0"/>
    <w:pPr>
      <w:ind w:firstLine="601"/>
    </w:pPr>
    <w:rPr>
      <w:sz w:val="24"/>
      <w:szCs w:val="20"/>
    </w:rPr>
  </w:style>
  <w:style w:type="paragraph" w:customStyle="1" w:styleId="644">
    <w:name w:val="文件目录"/>
    <w:basedOn w:val="1"/>
    <w:qFormat/>
    <w:uiPriority w:val="0"/>
    <w:pPr>
      <w:spacing w:line="600" w:lineRule="exact"/>
      <w:jc w:val="left"/>
    </w:pPr>
    <w:rPr>
      <w:b/>
      <w:sz w:val="30"/>
      <w:szCs w:val="20"/>
    </w:rPr>
  </w:style>
  <w:style w:type="paragraph" w:customStyle="1" w:styleId="645">
    <w:name w:val="纯文本_0"/>
    <w:basedOn w:val="470"/>
    <w:unhideWhenUsed/>
    <w:qFormat/>
    <w:uiPriority w:val="0"/>
    <w:rPr>
      <w:rFonts w:ascii="宋体" w:hAnsi="Courier New"/>
      <w:szCs w:val="24"/>
    </w:rPr>
  </w:style>
  <w:style w:type="paragraph" w:customStyle="1" w:styleId="646">
    <w:name w:val="简单回函地址"/>
    <w:basedOn w:val="1"/>
    <w:qFormat/>
    <w:uiPriority w:val="0"/>
    <w:rPr>
      <w:rFonts w:ascii="仿宋_GB2312" w:hAnsi="宋体" w:eastAsia="仿宋_GB2312"/>
      <w:bCs/>
      <w:sz w:val="30"/>
      <w:szCs w:val="20"/>
    </w:rPr>
  </w:style>
  <w:style w:type="paragraph" w:customStyle="1" w:styleId="647">
    <w:name w:val="Char Char Char1"/>
    <w:basedOn w:val="1"/>
    <w:qFormat/>
    <w:uiPriority w:val="0"/>
    <w:pPr>
      <w:widowControl/>
      <w:spacing w:after="160" w:line="240" w:lineRule="exact"/>
      <w:jc w:val="left"/>
    </w:pPr>
    <w:rPr>
      <w:rFonts w:ascii="Arial" w:hAnsi="Arial" w:eastAsia="Times New Roman" w:cs="Verdana"/>
      <w:b/>
      <w:sz w:val="24"/>
      <w:lang w:eastAsia="en-US"/>
    </w:rPr>
  </w:style>
  <w:style w:type="paragraph" w:customStyle="1" w:styleId="648">
    <w:name w:val="Char Char Char Char Char Char Char Char Char Char Char Char Char Char Char Char"/>
    <w:basedOn w:val="1"/>
    <w:qFormat/>
    <w:uiPriority w:val="0"/>
    <w:pPr>
      <w:tabs>
        <w:tab w:val="left" w:pos="360"/>
      </w:tabs>
      <w:spacing w:line="360" w:lineRule="auto"/>
      <w:ind w:left="482" w:firstLine="200"/>
    </w:pPr>
    <w:rPr>
      <w:rFonts w:ascii="宋体"/>
      <w:sz w:val="24"/>
    </w:rPr>
  </w:style>
  <w:style w:type="paragraph" w:customStyle="1" w:styleId="649">
    <w:name w:val="Char2 Char Char Char"/>
    <w:basedOn w:val="1"/>
    <w:qFormat/>
    <w:uiPriority w:val="0"/>
  </w:style>
  <w:style w:type="paragraph" w:customStyle="1" w:styleId="650">
    <w:name w:val="列出段落1"/>
    <w:basedOn w:val="1"/>
    <w:qFormat/>
    <w:uiPriority w:val="0"/>
    <w:pPr>
      <w:ind w:left="400" w:firstLine="420"/>
      <w:jc w:val="left"/>
    </w:pPr>
    <w:rPr>
      <w:rFonts w:ascii="宋体" w:hAnsi="宋体" w:cs="宋体"/>
      <w:sz w:val="22"/>
      <w:szCs w:val="22"/>
      <w:lang w:val="zh-CN" w:bidi="zh-CN"/>
    </w:rPr>
  </w:style>
  <w:style w:type="paragraph" w:customStyle="1" w:styleId="651">
    <w:name w:val="样式 标题 2 + Times New Roman 四号 非加粗 段前: 5 磅 段后: 0 磅 行距: 固定值 20..."/>
    <w:basedOn w:val="4"/>
    <w:qFormat/>
    <w:uiPriority w:val="0"/>
    <w:pPr>
      <w:spacing w:before="100" w:after="0" w:line="400" w:lineRule="exact"/>
      <w:jc w:val="center"/>
    </w:pPr>
    <w:rPr>
      <w:rFonts w:ascii="Times New Roman" w:hAnsi="Times New Roman" w:eastAsia="黑体" w:cs="宋体"/>
      <w:b w:val="0"/>
      <w:bCs w:val="0"/>
      <w:sz w:val="28"/>
      <w:szCs w:val="20"/>
    </w:rPr>
  </w:style>
  <w:style w:type="paragraph" w:customStyle="1" w:styleId="652">
    <w:name w:val="样式 样式 样式 小四 加粗 居中 + 宋体 加粗 黑色 + 左侧:  0.74 厘米"/>
    <w:basedOn w:val="616"/>
    <w:qFormat/>
    <w:uiPriority w:val="0"/>
    <w:pPr>
      <w:ind w:left="420" w:firstLine="422"/>
    </w:pPr>
  </w:style>
  <w:style w:type="paragraph" w:customStyle="1" w:styleId="653">
    <w:name w:val="_Style 1"/>
    <w:basedOn w:val="1"/>
    <w:qFormat/>
    <w:uiPriority w:val="0"/>
    <w:rPr>
      <w:rFonts w:ascii="Times New Roman" w:hAnsi="Times New Roman"/>
      <w:szCs w:val="24"/>
    </w:rPr>
  </w:style>
  <w:style w:type="table" w:customStyle="1" w:styleId="654">
    <w:name w:val="Table Normal"/>
    <w:unhideWhenUsed/>
    <w:qFormat/>
    <w:uiPriority w:val="2"/>
    <w:pPr>
      <w:widowControl w:val="0"/>
    </w:pPr>
    <w:rPr>
      <w:rFonts w:ascii="Calibri" w:hAnsi="Calibri"/>
      <w:sz w:val="22"/>
      <w:lang w:val="en-US" w:eastAsia="en-US" w:bidi="ar-SA"/>
    </w:rPr>
    <w:tblPr>
      <w:tblCellMar>
        <w:top w:w="0" w:type="dxa"/>
        <w:left w:w="0" w:type="dxa"/>
        <w:bottom w:w="0" w:type="dxa"/>
        <w:right w:w="0" w:type="dxa"/>
      </w:tblCellMar>
    </w:tblPr>
    <w:tblStylePr w:type="firstRow"/>
    <w:tblStylePr w:type="lastRow"/>
    <w:tblStylePr w:type="firstCol"/>
    <w:tblStylePr w:type="lastCol"/>
    <w:tblStylePr w:type="band1Vert"/>
    <w:tblStylePr w:type="band2Vert"/>
    <w:tblStylePr w:type="band1Horz"/>
    <w:tblStylePr w:type="band2Horz"/>
    <w:tblStylePr w:type="neCell"/>
    <w:tblStylePr w:type="nwCell"/>
    <w:tblStylePr w:type="seCell"/>
    <w:tblStylePr w:type="swCell"/>
  </w:style>
  <w:style w:type="character" w:customStyle="1" w:styleId="655">
    <w:name w:val="Font Style17"/>
    <w:qFormat/>
    <w:uiPriority w:val="0"/>
    <w:rPr>
      <w:rFonts w:ascii="黑体" w:eastAsia="黑体" w:cs="黑体"/>
      <w:sz w:val="28"/>
      <w:szCs w:val="28"/>
    </w:rPr>
  </w:style>
</w:styles>
</file>

<file path=word/_rels/document.xml.rels><?xml version="1.0" encoding="UTF-8" standalone="yes"?>
<Relationships xmlns="http://schemas.openxmlformats.org/package/2006/relationships"><Relationship Id="rId9" Type="http://schemas.openxmlformats.org/officeDocument/2006/relationships/footer" Target="footer5.xml"/><Relationship Id="rId8" Type="http://schemas.openxmlformats.org/officeDocument/2006/relationships/footer" Target="footer4.xml"/><Relationship Id="rId7" Type="http://schemas.openxmlformats.org/officeDocument/2006/relationships/footer" Target="footer3.xml"/><Relationship Id="rId6" Type="http://schemas.openxmlformats.org/officeDocument/2006/relationships/footer" Target="footer2.xml"/><Relationship Id="rId5" Type="http://schemas.openxmlformats.org/officeDocument/2006/relationships/header" Target="header2.xml"/><Relationship Id="rId4" Type="http://schemas.openxmlformats.org/officeDocument/2006/relationships/footer" Target="footer1.xml"/><Relationship Id="rId3" Type="http://schemas.openxmlformats.org/officeDocument/2006/relationships/header" Target="header1.xml"/><Relationship Id="rId23" Type="http://schemas.openxmlformats.org/officeDocument/2006/relationships/fontTable" Target="fontTable.xml"/><Relationship Id="rId22" Type="http://schemas.openxmlformats.org/officeDocument/2006/relationships/numbering" Target="numbering.xml"/><Relationship Id="rId21" Type="http://schemas.openxmlformats.org/officeDocument/2006/relationships/customXml" Target="../customXml/item1.xml"/><Relationship Id="rId20" Type="http://schemas.openxmlformats.org/officeDocument/2006/relationships/image" Target="media/image2.jpeg"/><Relationship Id="rId2" Type="http://schemas.openxmlformats.org/officeDocument/2006/relationships/settings" Target="settings.xml"/><Relationship Id="rId19" Type="http://schemas.openxmlformats.org/officeDocument/2006/relationships/image" Target="media/image1.jpeg"/><Relationship Id="rId18" Type="http://schemas.openxmlformats.org/officeDocument/2006/relationships/theme" Target="theme/theme1.xml"/><Relationship Id="rId17" Type="http://schemas.openxmlformats.org/officeDocument/2006/relationships/footer" Target="footer11.xml"/><Relationship Id="rId16" Type="http://schemas.openxmlformats.org/officeDocument/2006/relationships/header" Target="header4.xml"/><Relationship Id="rId15" Type="http://schemas.openxmlformats.org/officeDocument/2006/relationships/footer" Target="footer10.xml"/><Relationship Id="rId14" Type="http://schemas.openxmlformats.org/officeDocument/2006/relationships/footer" Target="footer9.xml"/><Relationship Id="rId13" Type="http://schemas.openxmlformats.org/officeDocument/2006/relationships/footer" Target="footer8.xml"/><Relationship Id="rId12" Type="http://schemas.openxmlformats.org/officeDocument/2006/relationships/header" Target="header3.xml"/><Relationship Id="rId11" Type="http://schemas.openxmlformats.org/officeDocument/2006/relationships/footer" Target="footer7.xml"/><Relationship Id="rId10" Type="http://schemas.openxmlformats.org/officeDocument/2006/relationships/footer" Target="footer6.xml"/><Relationship Id="rId1" Type="http://schemas.openxmlformats.org/officeDocument/2006/relationships/styles" Target="styles.xml"/></Relationships>
</file>

<file path=word/theme/theme1.xml><?xml version="1.0" encoding="utf-8"?>
<a:theme xmlns:a="http://schemas.openxmlformats.org/drawingml/2006/main" name="Offic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Arial"/>
        <a:cs typeface="Arial"/>
      </a:majorFont>
      <a:minorFont>
        <a:latin typeface="Calibri"/>
        <a:ea typeface="Arial"/>
        <a:cs typeface="Arial"/>
      </a:minorFont>
    </a:fontScheme>
    <a:fmtScheme name="Office">
      <a:fillStyleLst>
        <a:solidFill>
          <a:schemeClr val="phClr"/>
        </a:solidFill>
        <a:gradFill>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a:gsLst>
            <a:gs pos="0">
              <a:schemeClr val="phClr">
                <a:tint val="40000"/>
                <a:satMod val="350000"/>
              </a:schemeClr>
            </a:gs>
            <a:gs pos="40000">
              <a:schemeClr val="phClr">
                <a:tint val="45000"/>
                <a:satMod val="350000"/>
                <a:shade val="99000"/>
              </a:schemeClr>
            </a:gs>
            <a:gs pos="100000">
              <a:schemeClr val="phClr">
                <a:shade val="20000"/>
                <a:satMod val="255000"/>
              </a:schemeClr>
            </a:gs>
          </a:gsLst>
          <a:path path="circle"/>
        </a:gradFill>
        <a:gradFill>
          <a:gsLst>
            <a:gs pos="0">
              <a:schemeClr val="phClr">
                <a:tint val="80000"/>
                <a:satMod val="300000"/>
              </a:schemeClr>
            </a:gs>
            <a:gs pos="100000">
              <a:schemeClr val="phClr">
                <a:shade val="30000"/>
                <a:satMod val="200000"/>
              </a:schemeClr>
            </a:gs>
          </a:gsLst>
          <a:path path="circle"/>
        </a:gradFill>
      </a:bgFillStyleLst>
    </a:fmtScheme>
  </a:themeElements>
  <a:objectDefaults/>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s:customData xmlns="http://www.wps.cn/officeDocument/2013/wpsCustomData" xmlns:s="http://www.wps.cn/officeDocument/2013/wpsCustomData">
  <customSectProps>
    <customSectPr/>
    <customSectPr/>
    <customSectPr/>
    <customSectPr/>
    <customSectPr/>
    <customSectPr/>
    <customSectPr/>
    <customSectPr/>
    <customSectPr/>
    <customSectPr/>
    <customSectPr/>
    <customSectPr/>
    <customSectPr/>
    <customSectPr/>
    <customSectPr/>
    <customSectPr/>
    <customSectPr/>
    <customSectPr/>
  </customSectProps>
  <customShpExts>
    <customShpInfo spid="_x0000_s1026" textRotate="1"/>
  </customShpExts>
</s:customData>
</file>

<file path=customXml/itemProps1.xml><?xml version="1.0" encoding="utf-8"?>
<ds:datastoreItem xmlns:ds="http://schemas.openxmlformats.org/officeDocument/2006/customXml" ds:itemID="{B1977F7D-205B-4081-913C-38D41E755F92}">
  <ds:schemaRefs>
    <ds:schemaRef ds:uri="http://www.wps.cn/officeDocument/2013/wpsCustomData"/>
  </ds:schemaRefs>
</ds:datastoreItem>
</file>

<file path=docProps/app.xml><?xml version="1.0" encoding="utf-8"?>
<Properties xmlns="http://schemas.openxmlformats.org/officeDocument/2006/extended-properties" xmlns:vt="http://schemas.openxmlformats.org/officeDocument/2006/docPropsVTypes">
  <Template>Normal</Template>
  <Company>zyz</Company>
  <Pages>139</Pages>
  <Words>8295</Words>
  <Characters>9040</Characters>
  <TotalTime>28</TotalTime>
  <ScaleCrop>false</ScaleCrop>
  <LinksUpToDate>false</LinksUpToDate>
  <CharactersWithSpaces>9296</CharactersWithSpaces>
  <Application>WPS Office_12.1.0.26895_F1E327BC-269C-435d-A152-05C5408002CA</Application>
  <DocSecurity>0</DocSecurity>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erms:created xsi:type="dcterms:W3CDTF">2024-07-24T04:44:00Z</dcterms:created>
  <dc:creator>NTKO</dc:creator>
  <cp:lastModifiedBy>LDD</cp:lastModifiedBy>
  <cp:lastPrinted>2026-07-07T01:59:00Z</cp:lastPrinted>
  <dcterms:modified xsi:type="dcterms:W3CDTF">2026-07-07T03:08:54Z</dcterms:modified>
  <cp:revision>6</cp:revision>
</cp:coreProperties>
</file>

<file path=docProps/custom.xml><?xml version="1.0" encoding="utf-8"?>
<Properties xmlns="http://schemas.openxmlformats.org/officeDocument/2006/custom-properties" xmlns:vt="http://schemas.openxmlformats.org/officeDocument/2006/docPropsVTypes">
  <property fmtid="{D5CDD505-2E9C-101B-9397-08002B2CF9AE}" pid="2" name="KSOProductBuildVer">
    <vt:lpwstr>2052-12.1.0.26895</vt:lpwstr>
  </property>
  <property fmtid="{D5CDD505-2E9C-101B-9397-08002B2CF9AE}" pid="3" name="ICV">
    <vt:lpwstr>D4058E93897D44FFBD32C3191E2DB960_13</vt:lpwstr>
  </property>
  <property fmtid="{D5CDD505-2E9C-101B-9397-08002B2CF9AE}" pid="4" name="commondata">
    <vt:lpwstr>eyJoZGlkIjoiNmI0ZWI0N2Y0ZjU5YzVjZThmOGM0OTdjZGU1NTliN2QifQ==</vt:lpwstr>
  </property>
  <property fmtid="{D5CDD505-2E9C-101B-9397-08002B2CF9AE}" pid="5" name="KSOTemplateDocerSaveRecord">
    <vt:lpwstr>eyJoZGlkIjoiYzAwZmYzN2U1MjQwYzhlOTQwMTgwNTQwNjg2ZTI0ZGYiLCJ1c2VySWQiOiI1Mjc5MDkyNzEifQ==</vt:lpwstr>
  </property>
</Properties>
</file>