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FC208">
      <w:pPr>
        <w:bidi w:val="0"/>
        <w:rPr>
          <w:rFonts w:hint="eastAsia"/>
          <w:lang w:eastAsia="zh-CN"/>
        </w:rPr>
      </w:pPr>
    </w:p>
    <w:p w14:paraId="39411442">
      <w:pPr>
        <w:ind w:firstLine="198" w:firstLineChars="41"/>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广西德元工程项目管理有限责任公司</w:t>
      </w:r>
    </w:p>
    <w:p w14:paraId="02737071">
      <w:pPr>
        <w:pStyle w:val="20"/>
        <w:ind w:left="5250" w:firstLine="400"/>
        <w:rPr>
          <w:rFonts w:ascii="宋体" w:hAnsi="宋体" w:cs="宋体"/>
          <w:color w:val="auto"/>
          <w:szCs w:val="21"/>
          <w:highlight w:val="none"/>
        </w:rPr>
      </w:pPr>
      <w:r>
        <w:rPr>
          <w:rFonts w:hint="eastAsia" w:ascii="宋体" w:hAnsi="宋体" w:cs="宋体"/>
          <w:color w:val="auto"/>
          <w:sz w:val="20"/>
          <w:highlight w:val="none"/>
          <w:u w:val="single"/>
        </w:rPr>
        <mc:AlternateContent>
          <mc:Choice Requires="wps">
            <w:drawing>
              <wp:anchor distT="0" distB="0" distL="114300" distR="114300" simplePos="0" relativeHeight="251668480" behindDoc="0" locked="0" layoutInCell="1" allowOverlap="1">
                <wp:simplePos x="0" y="0"/>
                <wp:positionH relativeFrom="column">
                  <wp:posOffset>-132715</wp:posOffset>
                </wp:positionH>
                <wp:positionV relativeFrom="paragraph">
                  <wp:posOffset>69215</wp:posOffset>
                </wp:positionV>
                <wp:extent cx="5944235" cy="8255"/>
                <wp:effectExtent l="19050" t="19050" r="18415" b="29845"/>
                <wp:wrapNone/>
                <wp:docPr id="14" name="直接连接符 1"/>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直接连接符 1" o:spid="_x0000_s1026" o:spt="20" style="position:absolute;left:0pt;flip:y;margin-left:-10.45pt;margin-top:5.45pt;height:0.65pt;width:468.05pt;z-index:251668480;mso-width-relative:page;mso-height-relative:page;" filled="f" stroked="t" coordsize="21600,21600" o:gfxdata="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eftHNcAAAAJAQAADwAAAAAAAAABACAAAAAiAAAAZHJzL2Rvd25yZXYueG1sUEsB&#10;AhQAFAAAAAgAh07iQDsIC5/2AQAA5wMAAA4AAAAAAAAAAQAgAAAAJgEAAGRycy9lMm9Eb2MueG1s&#10;UEsFBgAAAAAGAAYAWQEAAI4FAAAAAA==&#10;">
                <v:fill on="f" focussize="0,0"/>
                <v:stroke weight="2.25pt" color="#000000" joinstyle="round"/>
                <v:imagedata o:title=""/>
                <o:lock v:ext="edit" aspectratio="f"/>
              </v:line>
            </w:pict>
          </mc:Fallback>
        </mc:AlternateContent>
      </w:r>
      <w:r>
        <w:rPr>
          <w:rFonts w:hint="eastAsia" w:ascii="宋体" w:hAnsi="宋体" w:cs="宋体"/>
          <w:b/>
          <w:bCs/>
          <w:color w:val="auto"/>
          <w:sz w:val="10"/>
          <w:highlight w:val="none"/>
        </w:rPr>
        <w:t xml:space="preserve">                                                                                                </w:t>
      </w:r>
    </w:p>
    <w:p w14:paraId="0A28AEC8">
      <w:pPr>
        <w:snapToGrid w:val="0"/>
        <w:jc w:val="center"/>
        <w:rPr>
          <w:rFonts w:ascii="宋体" w:hAnsi="宋体" w:cs="宋体"/>
          <w:b/>
          <w:color w:val="auto"/>
          <w:sz w:val="52"/>
          <w:szCs w:val="52"/>
          <w:highlight w:val="none"/>
        </w:rPr>
      </w:pPr>
    </w:p>
    <w:p w14:paraId="17616B21">
      <w:pPr>
        <w:snapToGrid w:val="0"/>
        <w:jc w:val="center"/>
        <w:rPr>
          <w:rFonts w:ascii="宋体" w:hAnsi="宋体" w:cs="宋体"/>
          <w:b/>
          <w:color w:val="auto"/>
          <w:sz w:val="44"/>
          <w:szCs w:val="44"/>
          <w:highlight w:val="none"/>
        </w:rPr>
      </w:pPr>
      <w:r>
        <w:rPr>
          <w:rFonts w:hint="eastAsia" w:ascii="宋体" w:hAnsi="宋体" w:cs="宋体"/>
          <w:b/>
          <w:color w:val="auto"/>
          <w:sz w:val="72"/>
          <w:szCs w:val="72"/>
          <w:highlight w:val="none"/>
        </w:rPr>
        <w:t>竞争性磋商采购文件</w:t>
      </w:r>
    </w:p>
    <w:p w14:paraId="68A470C5">
      <w:pPr>
        <w:jc w:val="center"/>
        <w:rPr>
          <w:rFonts w:ascii="宋体" w:hAnsi="宋体" w:cs="宋体"/>
          <w:b/>
          <w:color w:val="auto"/>
          <w:sz w:val="32"/>
          <w:szCs w:val="32"/>
          <w:highlight w:val="none"/>
        </w:rPr>
      </w:pPr>
      <w:r>
        <w:rPr>
          <w:rFonts w:hint="eastAsia" w:ascii="宋体" w:hAnsi="宋体" w:cs="宋体"/>
          <w:b/>
          <w:color w:val="auto"/>
          <w:sz w:val="32"/>
          <w:szCs w:val="32"/>
          <w:highlight w:val="none"/>
        </w:rPr>
        <w:t>（服务类）</w:t>
      </w:r>
    </w:p>
    <w:p w14:paraId="4AE1D24D">
      <w:pPr>
        <w:jc w:val="center"/>
        <w:rPr>
          <w:rFonts w:ascii="宋体" w:hAnsi="宋体" w:cs="宋体"/>
          <w:b/>
          <w:color w:val="auto"/>
          <w:sz w:val="32"/>
          <w:szCs w:val="32"/>
          <w:highlight w:val="none"/>
        </w:rPr>
      </w:pPr>
      <w:r>
        <w:rPr>
          <w:rFonts w:hint="eastAsia" w:ascii="宋体" w:hAnsi="宋体" w:cs="宋体"/>
          <w:color w:val="auto"/>
          <w:highlight w:val="none"/>
        </w:rPr>
        <w:drawing>
          <wp:anchor distT="0" distB="0" distL="114300" distR="114300" simplePos="0" relativeHeight="251670528" behindDoc="0" locked="0" layoutInCell="1" allowOverlap="1">
            <wp:simplePos x="0" y="0"/>
            <wp:positionH relativeFrom="column">
              <wp:posOffset>1981835</wp:posOffset>
            </wp:positionH>
            <wp:positionV relativeFrom="paragraph">
              <wp:posOffset>110490</wp:posOffset>
            </wp:positionV>
            <wp:extent cx="1991995" cy="2016760"/>
            <wp:effectExtent l="0" t="0" r="8255" b="2540"/>
            <wp:wrapSquare wrapText="bothSides"/>
            <wp:docPr id="1" name="图片 39"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公司logo"/>
                    <pic:cNvPicPr>
                      <a:picLocks noChangeAspect="1"/>
                    </pic:cNvPicPr>
                  </pic:nvPicPr>
                  <pic:blipFill>
                    <a:blip r:embed="rId8" cstate="print"/>
                    <a:stretch>
                      <a:fillRect/>
                    </a:stretch>
                  </pic:blipFill>
                  <pic:spPr>
                    <a:xfrm>
                      <a:off x="0" y="0"/>
                      <a:ext cx="1991995" cy="2016760"/>
                    </a:xfrm>
                    <a:prstGeom prst="rect">
                      <a:avLst/>
                    </a:prstGeom>
                    <a:noFill/>
                    <a:ln>
                      <a:noFill/>
                    </a:ln>
                  </pic:spPr>
                </pic:pic>
              </a:graphicData>
            </a:graphic>
          </wp:anchor>
        </w:drawing>
      </w:r>
    </w:p>
    <w:p w14:paraId="5CBC78C2">
      <w:pPr>
        <w:jc w:val="center"/>
        <w:rPr>
          <w:rFonts w:ascii="宋体" w:hAnsi="宋体" w:cs="宋体"/>
          <w:b/>
          <w:color w:val="auto"/>
          <w:sz w:val="32"/>
          <w:szCs w:val="32"/>
          <w:highlight w:val="none"/>
        </w:rPr>
      </w:pPr>
    </w:p>
    <w:p w14:paraId="0859DB96">
      <w:pPr>
        <w:jc w:val="center"/>
        <w:rPr>
          <w:rFonts w:ascii="宋体" w:hAnsi="宋体" w:cs="宋体"/>
          <w:b/>
          <w:color w:val="auto"/>
          <w:sz w:val="32"/>
          <w:szCs w:val="32"/>
          <w:highlight w:val="none"/>
        </w:rPr>
      </w:pPr>
    </w:p>
    <w:p w14:paraId="2CA2D9CA">
      <w:pPr>
        <w:spacing w:line="360" w:lineRule="auto"/>
        <w:ind w:left="2243" w:leftChars="456" w:hanging="1285" w:hangingChars="400"/>
        <w:rPr>
          <w:rFonts w:ascii="宋体" w:hAnsi="宋体" w:cs="宋体"/>
          <w:b/>
          <w:color w:val="auto"/>
          <w:sz w:val="32"/>
          <w:szCs w:val="32"/>
          <w:highlight w:val="none"/>
        </w:rPr>
      </w:pPr>
    </w:p>
    <w:p w14:paraId="7DB912BB">
      <w:pPr>
        <w:spacing w:line="360" w:lineRule="auto"/>
        <w:ind w:left="2243" w:leftChars="456" w:hanging="1285" w:hangingChars="400"/>
        <w:rPr>
          <w:rFonts w:ascii="宋体" w:hAnsi="宋体" w:cs="宋体"/>
          <w:b/>
          <w:color w:val="auto"/>
          <w:sz w:val="32"/>
          <w:szCs w:val="32"/>
          <w:highlight w:val="none"/>
        </w:rPr>
      </w:pPr>
    </w:p>
    <w:p w14:paraId="7B658731">
      <w:pPr>
        <w:spacing w:line="360" w:lineRule="auto"/>
        <w:ind w:left="2243" w:leftChars="456" w:hanging="1285" w:hangingChars="400"/>
        <w:rPr>
          <w:rFonts w:ascii="宋体" w:hAnsi="宋体" w:cs="宋体"/>
          <w:b/>
          <w:color w:val="auto"/>
          <w:sz w:val="32"/>
          <w:szCs w:val="32"/>
          <w:highlight w:val="none"/>
        </w:rPr>
      </w:pPr>
    </w:p>
    <w:p w14:paraId="0D6EEF88">
      <w:pPr>
        <w:spacing w:line="360" w:lineRule="auto"/>
        <w:ind w:left="2243" w:leftChars="456" w:hanging="1285" w:hangingChars="400"/>
        <w:rPr>
          <w:rFonts w:ascii="宋体" w:hAnsi="宋体" w:cs="宋体"/>
          <w:b/>
          <w:color w:val="auto"/>
          <w:sz w:val="32"/>
          <w:szCs w:val="32"/>
          <w:highlight w:val="none"/>
        </w:rPr>
      </w:pPr>
    </w:p>
    <w:p w14:paraId="0D8F8F98">
      <w:pPr>
        <w:spacing w:line="360" w:lineRule="auto"/>
        <w:ind w:left="2243" w:leftChars="456" w:hanging="1285" w:hangingChars="400"/>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项目名称：</w:t>
      </w:r>
      <w:r>
        <w:rPr>
          <w:rFonts w:hint="eastAsia" w:ascii="宋体" w:hAnsi="宋体" w:cs="宋体"/>
          <w:b/>
          <w:color w:val="auto"/>
          <w:sz w:val="32"/>
          <w:szCs w:val="32"/>
          <w:highlight w:val="none"/>
          <w:lang w:eastAsia="zh-CN"/>
        </w:rPr>
        <w:t>动科院2026年课程资源建设采购项目</w:t>
      </w:r>
    </w:p>
    <w:p w14:paraId="710521B3">
      <w:pPr>
        <w:spacing w:line="360" w:lineRule="auto"/>
        <w:ind w:firstLine="964" w:firstLineChars="300"/>
        <w:rPr>
          <w:rFonts w:ascii="宋体" w:hAnsi="宋体" w:cs="宋体"/>
          <w:color w:val="auto"/>
          <w:highlight w:val="none"/>
        </w:rPr>
      </w:pPr>
      <w:r>
        <w:rPr>
          <w:rFonts w:hint="eastAsia" w:ascii="宋体" w:hAnsi="宋体" w:cs="宋体"/>
          <w:b/>
          <w:color w:val="auto"/>
          <w:sz w:val="32"/>
          <w:szCs w:val="32"/>
          <w:highlight w:val="none"/>
        </w:rPr>
        <w:t>项目编号：</w:t>
      </w:r>
      <w:r>
        <w:rPr>
          <w:rFonts w:hint="eastAsia" w:ascii="宋体" w:hAnsi="宋体" w:cs="宋体"/>
          <w:b/>
          <w:color w:val="auto"/>
          <w:sz w:val="32"/>
          <w:szCs w:val="32"/>
          <w:highlight w:val="none"/>
          <w:lang w:eastAsia="zh-CN"/>
        </w:rPr>
        <w:t>GXZC2026-C3-001040-GXDY</w:t>
      </w:r>
      <w:r>
        <w:rPr>
          <w:rFonts w:hint="eastAsia" w:ascii="宋体" w:hAnsi="宋体" w:cs="宋体"/>
          <w:b/>
          <w:color w:val="auto"/>
          <w:sz w:val="32"/>
          <w:szCs w:val="32"/>
          <w:highlight w:val="none"/>
        </w:rPr>
        <w:t xml:space="preserve"> </w:t>
      </w:r>
    </w:p>
    <w:p w14:paraId="63C53E77">
      <w:pPr>
        <w:spacing w:line="360" w:lineRule="auto"/>
        <w:ind w:firstLine="890" w:firstLineChars="445"/>
        <w:rPr>
          <w:rFonts w:ascii="宋体" w:hAnsi="宋体" w:cs="宋体"/>
          <w:b/>
          <w:color w:val="auto"/>
          <w:sz w:val="32"/>
          <w:szCs w:val="32"/>
          <w:highlight w:val="none"/>
        </w:rPr>
      </w:pPr>
      <w:r>
        <w:rPr>
          <w:rFonts w:hint="eastAsia" w:ascii="宋体" w:hAnsi="宋体" w:cs="宋体"/>
          <w:color w:val="auto"/>
          <w:sz w:val="20"/>
          <w:highlight w:val="none"/>
          <w:u w:val="single"/>
        </w:rPr>
        <mc:AlternateContent>
          <mc:Choice Requires="wps">
            <w:drawing>
              <wp:anchor distT="0" distB="0" distL="114300" distR="114300" simplePos="0" relativeHeight="251669504" behindDoc="0" locked="0" layoutInCell="1" allowOverlap="1">
                <wp:simplePos x="0" y="0"/>
                <wp:positionH relativeFrom="column">
                  <wp:posOffset>-160655</wp:posOffset>
                </wp:positionH>
                <wp:positionV relativeFrom="paragraph">
                  <wp:posOffset>167640</wp:posOffset>
                </wp:positionV>
                <wp:extent cx="5944235" cy="8255"/>
                <wp:effectExtent l="19050" t="19050" r="18415" b="29845"/>
                <wp:wrapNone/>
                <wp:docPr id="13" name="直接连接符 2"/>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直接连接符 2" o:spid="_x0000_s1026" o:spt="20" style="position:absolute;left:0pt;flip:y;margin-left:-12.65pt;margin-top:13.2pt;height:0.65pt;width:468.05pt;z-index:251669504;mso-width-relative:page;mso-height-relative:page;" filled="f" stroked="t" coordsize="21600,21600" o:gfxdata="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jpJzQ2AAAAAkBAAAPAAAAAAAAAAEAIAAAACIAAABkcnMvZG93bnJldi54bWxQ&#10;SwECFAAUAAAACACHTuJAGi7LOfcBAADnAwAADgAAAAAAAAABACAAAAAnAQAAZHJzL2Uyb0RvYy54&#10;bWxQSwUGAAAAAAYABgBZAQAAkAUAAAAA&#10;">
                <v:fill on="f" focussize="0,0"/>
                <v:stroke weight="2.25pt" color="#000000" joinstyle="round"/>
                <v:imagedata o:title=""/>
                <o:lock v:ext="edit" aspectratio="f"/>
              </v:line>
            </w:pict>
          </mc:Fallback>
        </mc:AlternateContent>
      </w:r>
    </w:p>
    <w:p w14:paraId="22CF5808">
      <w:pPr>
        <w:spacing w:line="360" w:lineRule="auto"/>
        <w:ind w:firstLine="1430" w:firstLineChars="445"/>
        <w:rPr>
          <w:rFonts w:ascii="宋体" w:hAnsi="宋体" w:cs="宋体"/>
          <w:b/>
          <w:color w:val="auto"/>
          <w:sz w:val="32"/>
          <w:szCs w:val="32"/>
          <w:highlight w:val="none"/>
        </w:rPr>
      </w:pPr>
    </w:p>
    <w:p w14:paraId="1B5E436D">
      <w:pPr>
        <w:spacing w:line="360" w:lineRule="auto"/>
        <w:ind w:firstLine="964" w:firstLineChars="300"/>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采购人：</w:t>
      </w:r>
      <w:r>
        <w:rPr>
          <w:rFonts w:hint="eastAsia" w:ascii="宋体" w:hAnsi="宋体" w:cs="宋体"/>
          <w:b/>
          <w:color w:val="auto"/>
          <w:sz w:val="32"/>
          <w:szCs w:val="32"/>
          <w:highlight w:val="none"/>
          <w:lang w:eastAsia="zh-CN"/>
        </w:rPr>
        <w:t>广西农业职业技术大学</w:t>
      </w:r>
    </w:p>
    <w:p w14:paraId="172B690E">
      <w:pPr>
        <w:spacing w:line="360" w:lineRule="auto"/>
        <w:ind w:firstLine="964" w:firstLineChars="300"/>
        <w:rPr>
          <w:rFonts w:ascii="宋体" w:hAnsi="宋体" w:cs="宋体"/>
          <w:b/>
          <w:color w:val="auto"/>
          <w:sz w:val="32"/>
          <w:szCs w:val="32"/>
          <w:highlight w:val="none"/>
        </w:rPr>
      </w:pPr>
      <w:r>
        <w:rPr>
          <w:rFonts w:hint="eastAsia" w:ascii="宋体" w:hAnsi="宋体" w:cs="宋体"/>
          <w:b/>
          <w:color w:val="auto"/>
          <w:sz w:val="32"/>
          <w:szCs w:val="32"/>
          <w:highlight w:val="none"/>
        </w:rPr>
        <w:t>采购代理机构：广西德元工程项目管理有限责任公司</w:t>
      </w:r>
    </w:p>
    <w:p w14:paraId="4B452808">
      <w:pPr>
        <w:spacing w:line="360" w:lineRule="auto"/>
        <w:rPr>
          <w:rFonts w:ascii="宋体" w:hAnsi="宋体" w:cs="宋体"/>
          <w:b/>
          <w:color w:val="auto"/>
          <w:sz w:val="32"/>
          <w:szCs w:val="32"/>
          <w:highlight w:val="none"/>
        </w:rPr>
      </w:pPr>
    </w:p>
    <w:p w14:paraId="732A8960">
      <w:pPr>
        <w:pStyle w:val="23"/>
        <w:snapToGrid w:val="0"/>
        <w:spacing w:before="120" w:after="120" w:line="440" w:lineRule="exact"/>
        <w:jc w:val="center"/>
        <w:rPr>
          <w:rFonts w:hAnsi="宋体" w:cs="宋体"/>
          <w:b/>
          <w:bCs/>
          <w:color w:val="auto"/>
          <w:w w:val="95"/>
          <w:sz w:val="32"/>
          <w:szCs w:val="32"/>
          <w:highlight w:val="none"/>
        </w:rPr>
      </w:pPr>
      <w:r>
        <w:rPr>
          <w:rFonts w:hint="eastAsia" w:hAnsi="宋体" w:cs="宋体"/>
          <w:b/>
          <w:color w:val="auto"/>
          <w:sz w:val="32"/>
          <w:szCs w:val="32"/>
          <w:highlight w:val="none"/>
        </w:rPr>
        <w:t>202</w:t>
      </w:r>
      <w:r>
        <w:rPr>
          <w:rFonts w:hint="eastAsia" w:hAnsi="宋体" w:cs="宋体"/>
          <w:b/>
          <w:color w:val="auto"/>
          <w:sz w:val="32"/>
          <w:szCs w:val="32"/>
          <w:highlight w:val="none"/>
          <w:lang w:val="en-US" w:eastAsia="zh-CN"/>
        </w:rPr>
        <w:t>6</w:t>
      </w:r>
      <w:r>
        <w:rPr>
          <w:rFonts w:hint="eastAsia" w:hAnsi="宋体" w:cs="宋体"/>
          <w:b/>
          <w:color w:val="auto"/>
          <w:sz w:val="32"/>
          <w:szCs w:val="32"/>
          <w:highlight w:val="none"/>
        </w:rPr>
        <w:t>年</w:t>
      </w:r>
      <w:r>
        <w:rPr>
          <w:rFonts w:hint="eastAsia" w:hAnsi="宋体" w:cs="宋体"/>
          <w:b/>
          <w:color w:val="auto"/>
          <w:sz w:val="32"/>
          <w:szCs w:val="32"/>
          <w:highlight w:val="none"/>
          <w:lang w:val="en-US" w:eastAsia="zh-CN"/>
        </w:rPr>
        <w:t>04</w:t>
      </w:r>
      <w:r>
        <w:rPr>
          <w:rFonts w:hint="eastAsia" w:hAnsi="宋体" w:cs="宋体"/>
          <w:b/>
          <w:color w:val="auto"/>
          <w:sz w:val="32"/>
          <w:szCs w:val="32"/>
          <w:highlight w:val="none"/>
        </w:rPr>
        <w:t>月</w:t>
      </w:r>
    </w:p>
    <w:p w14:paraId="18A1280D">
      <w:pPr>
        <w:pStyle w:val="23"/>
        <w:snapToGrid w:val="0"/>
        <w:spacing w:before="120" w:after="120" w:line="440" w:lineRule="exact"/>
        <w:jc w:val="center"/>
        <w:rPr>
          <w:rFonts w:hAnsi="宋体" w:cs="宋体"/>
          <w:b/>
          <w:bCs/>
          <w:color w:val="auto"/>
          <w:w w:val="95"/>
          <w:sz w:val="32"/>
          <w:szCs w:val="32"/>
          <w:highlight w:val="none"/>
        </w:rPr>
      </w:pPr>
    </w:p>
    <w:p w14:paraId="120736CF">
      <w:pPr>
        <w:spacing w:line="440" w:lineRule="exact"/>
        <w:jc w:val="center"/>
        <w:rPr>
          <w:rFonts w:ascii="宋体" w:hAnsi="宋体" w:cs="宋体"/>
          <w:color w:val="auto"/>
          <w:sz w:val="44"/>
          <w:szCs w:val="44"/>
          <w:highlight w:val="none"/>
        </w:rPr>
      </w:pPr>
    </w:p>
    <w:p w14:paraId="3DE0DCC2">
      <w:pPr>
        <w:spacing w:line="440" w:lineRule="exact"/>
        <w:jc w:val="center"/>
        <w:rPr>
          <w:rFonts w:ascii="宋体" w:hAnsi="宋体" w:cs="宋体"/>
          <w:color w:val="auto"/>
          <w:sz w:val="44"/>
          <w:szCs w:val="44"/>
          <w:highlight w:val="none"/>
        </w:rPr>
      </w:pPr>
    </w:p>
    <w:p w14:paraId="40C1B811">
      <w:pPr>
        <w:spacing w:line="440" w:lineRule="exact"/>
        <w:jc w:val="center"/>
        <w:rPr>
          <w:rFonts w:ascii="宋体" w:hAnsi="宋体" w:cs="宋体"/>
          <w:color w:val="auto"/>
          <w:sz w:val="44"/>
          <w:szCs w:val="44"/>
          <w:highlight w:val="none"/>
        </w:rPr>
      </w:pPr>
    </w:p>
    <w:p w14:paraId="403BE944">
      <w:pPr>
        <w:jc w:val="center"/>
        <w:rPr>
          <w:rFonts w:hint="eastAsia" w:ascii="宋体" w:hAnsi="宋体" w:cs="宋体"/>
          <w:color w:val="auto"/>
          <w:sz w:val="44"/>
          <w:szCs w:val="44"/>
          <w:highlight w:val="none"/>
        </w:rPr>
        <w:sectPr>
          <w:headerReference r:id="rId3" w:type="default"/>
          <w:pgSz w:w="11906" w:h="16838"/>
          <w:pgMar w:top="1134" w:right="1247" w:bottom="1134" w:left="1247" w:header="851" w:footer="992" w:gutter="0"/>
          <w:cols w:space="720" w:num="1"/>
          <w:docGrid w:linePitch="312" w:charSpace="0"/>
        </w:sectPr>
      </w:pPr>
    </w:p>
    <w:p w14:paraId="186E76CF">
      <w:pPr>
        <w:jc w:val="center"/>
        <w:rPr>
          <w:rFonts w:ascii="宋体" w:hAnsi="宋体" w:cs="宋体"/>
          <w:color w:val="auto"/>
          <w:sz w:val="44"/>
          <w:szCs w:val="44"/>
          <w:highlight w:val="none"/>
        </w:rPr>
      </w:pPr>
      <w:r>
        <w:rPr>
          <w:rFonts w:hint="eastAsia" w:ascii="宋体" w:hAnsi="宋体" w:cs="宋体"/>
          <w:color w:val="auto"/>
          <w:sz w:val="44"/>
          <w:szCs w:val="44"/>
          <w:highlight w:val="none"/>
        </w:rPr>
        <w:t>目       录</w:t>
      </w:r>
    </w:p>
    <w:p w14:paraId="33EDEC4E">
      <w:pPr>
        <w:spacing w:line="440" w:lineRule="exact"/>
        <w:jc w:val="left"/>
        <w:rPr>
          <w:rFonts w:ascii="宋体" w:hAnsi="宋体" w:cs="宋体"/>
          <w:color w:val="auto"/>
          <w:sz w:val="32"/>
          <w:szCs w:val="32"/>
          <w:highlight w:val="none"/>
        </w:rPr>
      </w:pPr>
    </w:p>
    <w:p w14:paraId="74027D38">
      <w:pPr>
        <w:pStyle w:val="30"/>
        <w:spacing w:line="440" w:lineRule="exact"/>
        <w:ind w:left="0" w:leftChars="0" w:firstLine="472" w:firstLineChars="147"/>
        <w:rPr>
          <w:rFonts w:cs="宋体"/>
          <w:b w:val="0"/>
          <w:bCs w:val="0"/>
          <w:caps w:val="0"/>
          <w:color w:val="auto"/>
          <w:sz w:val="21"/>
          <w:szCs w:val="22"/>
          <w:highlight w:val="none"/>
        </w:rPr>
      </w:pPr>
      <w:r>
        <w:rPr>
          <w:rFonts w:hint="eastAsia" w:cs="宋体"/>
          <w:color w:val="auto"/>
          <w:sz w:val="32"/>
          <w:szCs w:val="32"/>
          <w:highlight w:val="none"/>
        </w:rPr>
        <w:fldChar w:fldCharType="begin"/>
      </w:r>
      <w:r>
        <w:rPr>
          <w:rStyle w:val="48"/>
          <w:rFonts w:hint="eastAsia" w:cs="宋体"/>
          <w:color w:val="auto"/>
          <w:sz w:val="32"/>
          <w:szCs w:val="32"/>
          <w:highlight w:val="none"/>
        </w:rPr>
        <w:instrText xml:space="preserve"> TOC \o "1-3" \h \z </w:instrText>
      </w:r>
      <w:r>
        <w:rPr>
          <w:rFonts w:hint="eastAsia" w:cs="宋体"/>
          <w:color w:val="auto"/>
          <w:sz w:val="32"/>
          <w:szCs w:val="32"/>
          <w:highlight w:val="none"/>
        </w:rPr>
        <w:fldChar w:fldCharType="separate"/>
      </w:r>
      <w:r>
        <w:rPr>
          <w:color w:val="auto"/>
          <w:highlight w:val="none"/>
        </w:rPr>
        <w:fldChar w:fldCharType="begin"/>
      </w:r>
      <w:r>
        <w:rPr>
          <w:color w:val="auto"/>
          <w:highlight w:val="none"/>
        </w:rPr>
        <w:instrText xml:space="preserve"> HYPERLINK \l "_Toc88747291" </w:instrText>
      </w:r>
      <w:r>
        <w:rPr>
          <w:color w:val="auto"/>
          <w:highlight w:val="none"/>
        </w:rPr>
        <w:fldChar w:fldCharType="separate"/>
      </w:r>
      <w:r>
        <w:rPr>
          <w:rStyle w:val="48"/>
          <w:rFonts w:hint="eastAsia" w:cs="宋体"/>
          <w:color w:val="auto"/>
          <w:highlight w:val="none"/>
        </w:rPr>
        <w:t>第一章竞争性磋商采购公告</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_Toc88747291 \h </w:instrText>
      </w:r>
      <w:r>
        <w:rPr>
          <w:rFonts w:hint="eastAsia" w:cs="宋体"/>
          <w:color w:val="auto"/>
          <w:highlight w:val="none"/>
        </w:rPr>
        <w:fldChar w:fldCharType="separate"/>
      </w:r>
      <w:r>
        <w:rPr>
          <w:rFonts w:hint="eastAsia" w:cs="宋体"/>
          <w:color w:val="auto"/>
          <w:highlight w:val="none"/>
        </w:rPr>
        <w:t>1</w:t>
      </w:r>
      <w:r>
        <w:rPr>
          <w:rFonts w:hint="eastAsia" w:cs="宋体"/>
          <w:color w:val="auto"/>
          <w:highlight w:val="none"/>
        </w:rPr>
        <w:fldChar w:fldCharType="end"/>
      </w:r>
      <w:r>
        <w:rPr>
          <w:rFonts w:hint="eastAsia" w:cs="宋体"/>
          <w:color w:val="auto"/>
          <w:highlight w:val="none"/>
        </w:rPr>
        <w:fldChar w:fldCharType="end"/>
      </w:r>
    </w:p>
    <w:p w14:paraId="4BBCF290">
      <w:pPr>
        <w:pStyle w:val="30"/>
        <w:spacing w:line="440" w:lineRule="exact"/>
        <w:ind w:firstLine="330"/>
        <w:rPr>
          <w:rFonts w:cs="宋体"/>
          <w:b w:val="0"/>
          <w:bCs w:val="0"/>
          <w:caps w:val="0"/>
          <w:color w:val="auto"/>
          <w:sz w:val="21"/>
          <w:szCs w:val="22"/>
          <w:highlight w:val="none"/>
        </w:rPr>
      </w:pPr>
      <w:r>
        <w:rPr>
          <w:color w:val="auto"/>
          <w:highlight w:val="none"/>
        </w:rPr>
        <w:fldChar w:fldCharType="begin"/>
      </w:r>
      <w:r>
        <w:rPr>
          <w:color w:val="auto"/>
          <w:highlight w:val="none"/>
        </w:rPr>
        <w:instrText xml:space="preserve"> HYPERLINK \l "_Toc88747292" </w:instrText>
      </w:r>
      <w:r>
        <w:rPr>
          <w:color w:val="auto"/>
          <w:highlight w:val="none"/>
        </w:rPr>
        <w:fldChar w:fldCharType="separate"/>
      </w:r>
      <w:r>
        <w:rPr>
          <w:rStyle w:val="48"/>
          <w:rFonts w:hint="eastAsia" w:cs="宋体"/>
          <w:color w:val="auto"/>
          <w:highlight w:val="none"/>
        </w:rPr>
        <w:t>第二章供应商须知</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_Toc88747292 \h </w:instrText>
      </w:r>
      <w:r>
        <w:rPr>
          <w:rFonts w:hint="eastAsia" w:cs="宋体"/>
          <w:color w:val="auto"/>
          <w:highlight w:val="none"/>
        </w:rPr>
        <w:fldChar w:fldCharType="separate"/>
      </w:r>
      <w:r>
        <w:rPr>
          <w:rFonts w:hint="eastAsia" w:cs="宋体"/>
          <w:color w:val="auto"/>
          <w:highlight w:val="none"/>
        </w:rPr>
        <w:t>5</w:t>
      </w:r>
      <w:r>
        <w:rPr>
          <w:rFonts w:hint="eastAsia" w:cs="宋体"/>
          <w:color w:val="auto"/>
          <w:highlight w:val="none"/>
        </w:rPr>
        <w:fldChar w:fldCharType="end"/>
      </w:r>
      <w:r>
        <w:rPr>
          <w:rFonts w:hint="eastAsia" w:cs="宋体"/>
          <w:color w:val="auto"/>
          <w:highlight w:val="none"/>
        </w:rPr>
        <w:fldChar w:fldCharType="end"/>
      </w:r>
    </w:p>
    <w:p w14:paraId="79F639DF">
      <w:pPr>
        <w:pStyle w:val="30"/>
        <w:spacing w:line="440" w:lineRule="exact"/>
        <w:ind w:firstLine="330"/>
        <w:rPr>
          <w:rFonts w:cs="宋体"/>
          <w:b w:val="0"/>
          <w:bCs w:val="0"/>
          <w:caps w:val="0"/>
          <w:color w:val="auto"/>
          <w:sz w:val="21"/>
          <w:szCs w:val="22"/>
          <w:highlight w:val="none"/>
        </w:rPr>
      </w:pPr>
      <w:r>
        <w:rPr>
          <w:color w:val="auto"/>
          <w:highlight w:val="none"/>
        </w:rPr>
        <w:fldChar w:fldCharType="begin"/>
      </w:r>
      <w:r>
        <w:rPr>
          <w:color w:val="auto"/>
          <w:highlight w:val="none"/>
        </w:rPr>
        <w:instrText xml:space="preserve"> HYPERLINK \l "_Toc88747293" </w:instrText>
      </w:r>
      <w:r>
        <w:rPr>
          <w:color w:val="auto"/>
          <w:highlight w:val="none"/>
        </w:rPr>
        <w:fldChar w:fldCharType="separate"/>
      </w:r>
      <w:r>
        <w:rPr>
          <w:rStyle w:val="48"/>
          <w:rFonts w:hint="eastAsia" w:cs="宋体"/>
          <w:color w:val="auto"/>
          <w:highlight w:val="none"/>
        </w:rPr>
        <w:t>第三章项目采购需求</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_Toc88747293 \h </w:instrText>
      </w:r>
      <w:r>
        <w:rPr>
          <w:rFonts w:hint="eastAsia" w:cs="宋体"/>
          <w:color w:val="auto"/>
          <w:highlight w:val="none"/>
        </w:rPr>
        <w:fldChar w:fldCharType="separate"/>
      </w:r>
      <w:r>
        <w:rPr>
          <w:rFonts w:hint="eastAsia" w:cs="宋体"/>
          <w:color w:val="auto"/>
          <w:highlight w:val="none"/>
        </w:rPr>
        <w:t>33</w:t>
      </w:r>
      <w:r>
        <w:rPr>
          <w:rFonts w:hint="eastAsia" w:cs="宋体"/>
          <w:color w:val="auto"/>
          <w:highlight w:val="none"/>
        </w:rPr>
        <w:fldChar w:fldCharType="end"/>
      </w:r>
      <w:r>
        <w:rPr>
          <w:rFonts w:hint="eastAsia" w:cs="宋体"/>
          <w:color w:val="auto"/>
          <w:highlight w:val="none"/>
        </w:rPr>
        <w:fldChar w:fldCharType="end"/>
      </w:r>
    </w:p>
    <w:p w14:paraId="3E8C48D7">
      <w:pPr>
        <w:pStyle w:val="30"/>
        <w:spacing w:line="440" w:lineRule="exact"/>
        <w:ind w:firstLine="330"/>
        <w:rPr>
          <w:rFonts w:cs="宋体"/>
          <w:b w:val="0"/>
          <w:bCs w:val="0"/>
          <w:caps w:val="0"/>
          <w:color w:val="auto"/>
          <w:sz w:val="21"/>
          <w:szCs w:val="22"/>
          <w:highlight w:val="none"/>
        </w:rPr>
      </w:pPr>
      <w:r>
        <w:rPr>
          <w:color w:val="auto"/>
          <w:highlight w:val="none"/>
        </w:rPr>
        <w:fldChar w:fldCharType="begin"/>
      </w:r>
      <w:r>
        <w:rPr>
          <w:color w:val="auto"/>
          <w:highlight w:val="none"/>
        </w:rPr>
        <w:instrText xml:space="preserve"> HYPERLINK \l "_Toc88747294" </w:instrText>
      </w:r>
      <w:r>
        <w:rPr>
          <w:color w:val="auto"/>
          <w:highlight w:val="none"/>
        </w:rPr>
        <w:fldChar w:fldCharType="separate"/>
      </w:r>
      <w:r>
        <w:rPr>
          <w:rStyle w:val="48"/>
          <w:rFonts w:hint="eastAsia" w:cs="宋体"/>
          <w:color w:val="auto"/>
          <w:highlight w:val="none"/>
        </w:rPr>
        <w:t>第四章响应文件格式</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_Toc88747294 \h </w:instrText>
      </w:r>
      <w:r>
        <w:rPr>
          <w:rFonts w:hint="eastAsia" w:cs="宋体"/>
          <w:color w:val="auto"/>
          <w:highlight w:val="none"/>
        </w:rPr>
        <w:fldChar w:fldCharType="separate"/>
      </w:r>
      <w:r>
        <w:rPr>
          <w:rFonts w:hint="eastAsia" w:cs="宋体"/>
          <w:color w:val="auto"/>
          <w:highlight w:val="none"/>
        </w:rPr>
        <w:t>93</w:t>
      </w:r>
      <w:r>
        <w:rPr>
          <w:rFonts w:hint="eastAsia" w:cs="宋体"/>
          <w:color w:val="auto"/>
          <w:highlight w:val="none"/>
        </w:rPr>
        <w:fldChar w:fldCharType="end"/>
      </w:r>
      <w:r>
        <w:rPr>
          <w:rFonts w:hint="eastAsia" w:cs="宋体"/>
          <w:color w:val="auto"/>
          <w:highlight w:val="none"/>
        </w:rPr>
        <w:fldChar w:fldCharType="end"/>
      </w:r>
    </w:p>
    <w:p w14:paraId="14CA7DAC">
      <w:pPr>
        <w:pStyle w:val="30"/>
        <w:spacing w:line="440" w:lineRule="exact"/>
        <w:ind w:firstLine="330"/>
        <w:rPr>
          <w:rFonts w:cs="宋体"/>
          <w:b w:val="0"/>
          <w:bCs w:val="0"/>
          <w:caps w:val="0"/>
          <w:color w:val="auto"/>
          <w:sz w:val="21"/>
          <w:szCs w:val="22"/>
          <w:highlight w:val="none"/>
        </w:rPr>
      </w:pPr>
      <w:r>
        <w:rPr>
          <w:color w:val="auto"/>
          <w:highlight w:val="none"/>
        </w:rPr>
        <w:fldChar w:fldCharType="begin"/>
      </w:r>
      <w:r>
        <w:rPr>
          <w:color w:val="auto"/>
          <w:highlight w:val="none"/>
        </w:rPr>
        <w:instrText xml:space="preserve"> HYPERLINK \l "_Toc88747295" </w:instrText>
      </w:r>
      <w:r>
        <w:rPr>
          <w:color w:val="auto"/>
          <w:highlight w:val="none"/>
        </w:rPr>
        <w:fldChar w:fldCharType="separate"/>
      </w:r>
      <w:r>
        <w:rPr>
          <w:rStyle w:val="48"/>
          <w:rFonts w:hint="eastAsia" w:cs="宋体"/>
          <w:color w:val="auto"/>
          <w:highlight w:val="none"/>
        </w:rPr>
        <w:t>第五章合同主要条款</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_Toc88747295 \h </w:instrText>
      </w:r>
      <w:r>
        <w:rPr>
          <w:rFonts w:hint="eastAsia" w:cs="宋体"/>
          <w:color w:val="auto"/>
          <w:highlight w:val="none"/>
        </w:rPr>
        <w:fldChar w:fldCharType="separate"/>
      </w:r>
      <w:r>
        <w:rPr>
          <w:rFonts w:hint="eastAsia" w:cs="宋体"/>
          <w:color w:val="auto"/>
          <w:highlight w:val="none"/>
        </w:rPr>
        <w:t>120</w:t>
      </w:r>
      <w:r>
        <w:rPr>
          <w:rFonts w:hint="eastAsia" w:cs="宋体"/>
          <w:color w:val="auto"/>
          <w:highlight w:val="none"/>
        </w:rPr>
        <w:fldChar w:fldCharType="end"/>
      </w:r>
      <w:r>
        <w:rPr>
          <w:rFonts w:hint="eastAsia" w:cs="宋体"/>
          <w:color w:val="auto"/>
          <w:highlight w:val="none"/>
        </w:rPr>
        <w:fldChar w:fldCharType="end"/>
      </w:r>
    </w:p>
    <w:p w14:paraId="67D6E6ED">
      <w:pPr>
        <w:pStyle w:val="30"/>
        <w:spacing w:line="440" w:lineRule="exact"/>
        <w:ind w:firstLine="330"/>
        <w:rPr>
          <w:rFonts w:cs="宋体"/>
          <w:b w:val="0"/>
          <w:bCs w:val="0"/>
          <w:caps w:val="0"/>
          <w:color w:val="auto"/>
          <w:sz w:val="21"/>
          <w:szCs w:val="22"/>
          <w:highlight w:val="none"/>
        </w:rPr>
      </w:pPr>
      <w:r>
        <w:rPr>
          <w:color w:val="auto"/>
          <w:highlight w:val="none"/>
        </w:rPr>
        <w:fldChar w:fldCharType="begin"/>
      </w:r>
      <w:r>
        <w:rPr>
          <w:color w:val="auto"/>
          <w:highlight w:val="none"/>
        </w:rPr>
        <w:instrText xml:space="preserve"> HYPERLINK \l "_Toc88747296" </w:instrText>
      </w:r>
      <w:r>
        <w:rPr>
          <w:color w:val="auto"/>
          <w:highlight w:val="none"/>
        </w:rPr>
        <w:fldChar w:fldCharType="separate"/>
      </w:r>
      <w:r>
        <w:rPr>
          <w:rStyle w:val="48"/>
          <w:rFonts w:hint="eastAsia" w:cs="宋体"/>
          <w:color w:val="auto"/>
          <w:highlight w:val="none"/>
        </w:rPr>
        <w:t>第六章评审方法和评审标准</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_Toc88747296 \h </w:instrText>
      </w:r>
      <w:r>
        <w:rPr>
          <w:rFonts w:hint="eastAsia" w:cs="宋体"/>
          <w:color w:val="auto"/>
          <w:highlight w:val="none"/>
        </w:rPr>
        <w:fldChar w:fldCharType="separate"/>
      </w:r>
      <w:r>
        <w:rPr>
          <w:rFonts w:hint="eastAsia" w:cs="宋体"/>
          <w:color w:val="auto"/>
          <w:highlight w:val="none"/>
        </w:rPr>
        <w:t>126</w:t>
      </w:r>
      <w:r>
        <w:rPr>
          <w:rFonts w:hint="eastAsia" w:cs="宋体"/>
          <w:color w:val="auto"/>
          <w:highlight w:val="none"/>
        </w:rPr>
        <w:fldChar w:fldCharType="end"/>
      </w:r>
      <w:r>
        <w:rPr>
          <w:rFonts w:hint="eastAsia" w:cs="宋体"/>
          <w:color w:val="auto"/>
          <w:highlight w:val="none"/>
        </w:rPr>
        <w:fldChar w:fldCharType="end"/>
      </w:r>
    </w:p>
    <w:p w14:paraId="297C1EE1">
      <w:pPr>
        <w:spacing w:line="440" w:lineRule="exact"/>
        <w:jc w:val="left"/>
        <w:rPr>
          <w:rStyle w:val="48"/>
          <w:rFonts w:ascii="宋体" w:hAnsi="宋体" w:cs="宋体"/>
          <w:b/>
          <w:color w:val="auto"/>
          <w:sz w:val="32"/>
          <w:szCs w:val="32"/>
          <w:highlight w:val="none"/>
        </w:rPr>
      </w:pPr>
      <w:r>
        <w:rPr>
          <w:rFonts w:hint="eastAsia" w:ascii="宋体" w:hAnsi="宋体" w:cs="宋体"/>
          <w:b/>
          <w:color w:val="auto"/>
          <w:sz w:val="32"/>
          <w:szCs w:val="32"/>
          <w:highlight w:val="none"/>
        </w:rPr>
        <w:fldChar w:fldCharType="end"/>
      </w:r>
    </w:p>
    <w:p w14:paraId="675585C1">
      <w:pPr>
        <w:spacing w:line="440" w:lineRule="exact"/>
        <w:jc w:val="left"/>
        <w:rPr>
          <w:rFonts w:ascii="宋体" w:hAnsi="宋体" w:cs="宋体"/>
          <w:color w:val="auto"/>
          <w:sz w:val="32"/>
          <w:szCs w:val="32"/>
          <w:highlight w:val="none"/>
        </w:rPr>
      </w:pPr>
    </w:p>
    <w:p w14:paraId="0679313A">
      <w:pPr>
        <w:pStyle w:val="3"/>
        <w:spacing w:line="440" w:lineRule="exact"/>
        <w:jc w:val="center"/>
        <w:rPr>
          <w:rFonts w:ascii="宋体" w:hAnsi="宋体" w:cs="宋体"/>
          <w:color w:val="auto"/>
          <w:sz w:val="32"/>
          <w:szCs w:val="32"/>
          <w:highlight w:val="none"/>
        </w:rPr>
        <w:sectPr>
          <w:pgSz w:w="11906" w:h="16838"/>
          <w:pgMar w:top="1134" w:right="1247" w:bottom="1134" w:left="1247" w:header="851" w:footer="992" w:gutter="0"/>
          <w:cols w:space="720" w:num="1"/>
          <w:docGrid w:linePitch="312" w:charSpace="0"/>
        </w:sectPr>
      </w:pPr>
      <w:bookmarkStart w:id="33" w:name="_GoBack"/>
      <w:bookmarkEnd w:id="33"/>
      <w:bookmarkStart w:id="0" w:name="_Toc88747291"/>
    </w:p>
    <w:p w14:paraId="02C5F595">
      <w:pPr>
        <w:pStyle w:val="3"/>
        <w:spacing w:line="44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第一章 竞争性磋商采购公告</w:t>
      </w:r>
      <w:bookmarkEnd w:id="0"/>
    </w:p>
    <w:p w14:paraId="45B092CA">
      <w:pPr>
        <w:pBdr>
          <w:top w:val="single" w:color="000000" w:sz="4" w:space="1"/>
          <w:left w:val="single" w:color="000000" w:sz="4" w:space="4"/>
          <w:bottom w:val="single" w:color="000000" w:sz="4" w:space="1"/>
          <w:right w:val="single" w:color="000000" w:sz="4" w:space="4"/>
        </w:pBdr>
        <w:spacing w:line="360" w:lineRule="auto"/>
        <w:ind w:firstLine="420"/>
        <w:rPr>
          <w:rFonts w:hint="eastAsia" w:ascii="宋体" w:hAnsi="宋体" w:eastAsia="宋体" w:cs="宋体"/>
          <w:szCs w:val="21"/>
        </w:rPr>
      </w:pPr>
      <w:r>
        <w:rPr>
          <w:rFonts w:hint="eastAsia" w:ascii="宋体" w:hAnsi="宋体" w:eastAsia="宋体" w:cs="宋体"/>
          <w:szCs w:val="21"/>
        </w:rPr>
        <w:t>项目概况</w:t>
      </w:r>
    </w:p>
    <w:p w14:paraId="08DC9BB1">
      <w:pPr>
        <w:pBdr>
          <w:top w:val="single" w:color="000000" w:sz="4" w:space="1"/>
          <w:left w:val="single" w:color="000000" w:sz="4" w:space="4"/>
          <w:bottom w:val="single" w:color="000000" w:sz="4" w:space="1"/>
          <w:right w:val="single" w:color="000000" w:sz="4" w:space="4"/>
        </w:pBdr>
        <w:spacing w:line="360" w:lineRule="auto"/>
        <w:ind w:firstLine="420"/>
        <w:rPr>
          <w:rFonts w:hint="eastAsia" w:ascii="宋体" w:hAnsi="宋体" w:eastAsia="宋体" w:cs="宋体"/>
          <w:szCs w:val="21"/>
        </w:rPr>
      </w:pPr>
      <w:r>
        <w:rPr>
          <w:rFonts w:hint="eastAsia" w:ascii="宋体" w:hAnsi="宋体" w:eastAsia="宋体" w:cs="宋体"/>
          <w:szCs w:val="21"/>
          <w:u w:val="single"/>
        </w:rPr>
        <w:t>动科院2026年课程资源建设采购项目</w:t>
      </w:r>
      <w:r>
        <w:rPr>
          <w:rFonts w:hint="eastAsia" w:ascii="宋体" w:hAnsi="宋体" w:eastAsia="宋体" w:cs="宋体"/>
          <w:szCs w:val="21"/>
        </w:rPr>
        <w:t>采购项目的潜在供应商应在广西政府采购云平台（</w:t>
      </w:r>
      <w:r>
        <w:rPr>
          <w:rFonts w:hint="eastAsia" w:ascii="宋体" w:hAnsi="宋体" w:cs="宋体"/>
          <w:szCs w:val="21"/>
          <w:lang w:eastAsia="zh-CN"/>
        </w:rPr>
        <w:t>https://www.gcy.zfcg.gxzf.gov.cn/</w:t>
      </w:r>
      <w:r>
        <w:rPr>
          <w:rFonts w:hint="eastAsia" w:ascii="宋体" w:hAnsi="宋体" w:eastAsia="宋体" w:cs="宋体"/>
          <w:szCs w:val="21"/>
        </w:rPr>
        <w:t>）获取（下载）竞争性磋商文件，并于</w:t>
      </w:r>
      <w:r>
        <w:rPr>
          <w:rFonts w:hint="eastAsia" w:ascii="宋体" w:hAnsi="宋体" w:cs="宋体"/>
          <w:szCs w:val="21"/>
          <w:u w:val="single"/>
          <w:lang w:eastAsia="zh-CN"/>
        </w:rPr>
        <w:t>2026年05月09日</w:t>
      </w:r>
      <w:r>
        <w:rPr>
          <w:rFonts w:hint="eastAsia" w:ascii="宋体" w:hAnsi="宋体" w:eastAsia="宋体" w:cs="宋体"/>
          <w:u w:val="single"/>
        </w:rPr>
        <w:t>09时30分00秒</w:t>
      </w:r>
      <w:r>
        <w:rPr>
          <w:rFonts w:hint="eastAsia" w:ascii="宋体" w:hAnsi="宋体" w:eastAsia="宋体" w:cs="宋体"/>
          <w:bCs/>
          <w:szCs w:val="21"/>
        </w:rPr>
        <w:t>（北京时间）前提交（上传）</w:t>
      </w:r>
      <w:r>
        <w:rPr>
          <w:rFonts w:hint="eastAsia" w:ascii="宋体" w:hAnsi="宋体" w:eastAsia="宋体" w:cs="宋体"/>
          <w:szCs w:val="21"/>
        </w:rPr>
        <w:t>响应</w:t>
      </w:r>
      <w:r>
        <w:rPr>
          <w:rFonts w:hint="eastAsia" w:ascii="宋体" w:hAnsi="宋体" w:eastAsia="宋体" w:cs="宋体"/>
          <w:bCs/>
          <w:szCs w:val="21"/>
        </w:rPr>
        <w:t>文件</w:t>
      </w:r>
      <w:r>
        <w:rPr>
          <w:rFonts w:hint="eastAsia" w:ascii="宋体" w:hAnsi="宋体" w:eastAsia="宋体" w:cs="宋体"/>
          <w:szCs w:val="21"/>
        </w:rPr>
        <w:t>。</w:t>
      </w:r>
    </w:p>
    <w:p w14:paraId="1A3A43D9">
      <w:pPr>
        <w:pStyle w:val="188"/>
        <w:widowControl w:val="0"/>
        <w:spacing w:after="120" w:line="440" w:lineRule="exact"/>
        <w:ind w:firstLine="422"/>
        <w:rPr>
          <w:rFonts w:ascii="宋体" w:hAnsi="宋体" w:cs="宋体"/>
          <w:color w:val="auto"/>
          <w:sz w:val="21"/>
          <w:szCs w:val="21"/>
          <w:highlight w:val="none"/>
        </w:rPr>
      </w:pPr>
      <w:bookmarkStart w:id="1" w:name="_Toc28359002"/>
      <w:bookmarkStart w:id="2" w:name="_Toc28359079"/>
      <w:bookmarkStart w:id="3" w:name="_Toc35393621"/>
      <w:bookmarkStart w:id="4" w:name="_Toc35393790"/>
      <w:bookmarkStart w:id="5" w:name="_Hlk24379207"/>
      <w:r>
        <w:rPr>
          <w:rFonts w:hint="eastAsia" w:ascii="宋体" w:hAnsi="宋体" w:cs="宋体"/>
          <w:b/>
          <w:color w:val="auto"/>
          <w:sz w:val="21"/>
          <w:szCs w:val="21"/>
          <w:highlight w:val="none"/>
        </w:rPr>
        <w:t>一、项目基本情况</w:t>
      </w:r>
      <w:bookmarkEnd w:id="1"/>
      <w:bookmarkEnd w:id="2"/>
      <w:bookmarkEnd w:id="3"/>
      <w:bookmarkEnd w:id="4"/>
    </w:p>
    <w:p w14:paraId="0AAC167D">
      <w:pPr>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GXZC2026-C3-001040-GXDY</w:t>
      </w:r>
    </w:p>
    <w:p w14:paraId="398AE51A">
      <w:pPr>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动科院2026年课程资源建设采购项目</w:t>
      </w:r>
    </w:p>
    <w:p w14:paraId="10730B18">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采购方式：竞争性磋商</w:t>
      </w:r>
    </w:p>
    <w:bookmarkEnd w:id="5"/>
    <w:p w14:paraId="7A89632C">
      <w:pPr>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预算总金额（元）：</w:t>
      </w:r>
      <w:r>
        <w:rPr>
          <w:rFonts w:hint="eastAsia" w:ascii="宋体" w:hAnsi="宋体" w:cs="宋体"/>
          <w:color w:val="auto"/>
          <w:szCs w:val="21"/>
          <w:highlight w:val="none"/>
          <w:lang w:eastAsia="zh-CN"/>
        </w:rPr>
        <w:t>1649000</w:t>
      </w:r>
    </w:p>
    <w:p w14:paraId="68938D02">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采购需求：</w:t>
      </w:r>
    </w:p>
    <w:p w14:paraId="447371A5">
      <w:pPr>
        <w:spacing w:line="440" w:lineRule="exact"/>
        <w:ind w:firstLine="422" w:firstLineChars="200"/>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eastAsia="zh-CN"/>
        </w:rPr>
        <w:t>标项一</w:t>
      </w:r>
    </w:p>
    <w:p w14:paraId="07A6F5F7">
      <w:pPr>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标项名称：</w:t>
      </w:r>
      <w:r>
        <w:rPr>
          <w:rFonts w:hint="eastAsia" w:ascii="宋体" w:hAnsi="宋体" w:cs="宋体"/>
          <w:color w:val="auto"/>
          <w:szCs w:val="21"/>
          <w:highlight w:val="none"/>
          <w:lang w:eastAsia="zh-CN"/>
        </w:rPr>
        <w:t>动科院动物医学教学资源库、在线精品课</w:t>
      </w:r>
    </w:p>
    <w:p w14:paraId="18970124">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数量：1</w:t>
      </w:r>
    </w:p>
    <w:p w14:paraId="4F4CAC19">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预算金额（元）：</w:t>
      </w:r>
      <w:r>
        <w:rPr>
          <w:rFonts w:hint="eastAsia" w:ascii="宋体" w:hAnsi="宋体" w:cs="宋体"/>
          <w:color w:val="auto"/>
          <w:szCs w:val="21"/>
          <w:highlight w:val="none"/>
          <w:lang w:val="en-US"/>
        </w:rPr>
        <w:t>660000</w:t>
      </w:r>
    </w:p>
    <w:p w14:paraId="10DED29E">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简要规格描述或项目基本概况介绍、用途：</w:t>
      </w:r>
      <w:r>
        <w:rPr>
          <w:rFonts w:hint="eastAsia" w:ascii="宋体" w:hAnsi="宋体" w:cs="宋体"/>
          <w:color w:val="auto"/>
          <w:szCs w:val="21"/>
          <w:highlight w:val="none"/>
          <w:lang w:eastAsia="zh-CN"/>
        </w:rPr>
        <w:t>动科院动物医学教学资源库、在线精品课</w:t>
      </w:r>
      <w:r>
        <w:rPr>
          <w:rFonts w:hint="eastAsia" w:ascii="宋体" w:hAnsi="宋体" w:cs="宋体"/>
          <w:color w:val="auto"/>
          <w:szCs w:val="21"/>
          <w:highlight w:val="none"/>
        </w:rPr>
        <w:t>项目一项，具体详见项目采购需求。</w:t>
      </w:r>
    </w:p>
    <w:p w14:paraId="48452625">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最高限价（如有）：</w:t>
      </w:r>
      <w:r>
        <w:rPr>
          <w:rFonts w:hint="eastAsia" w:ascii="宋体" w:hAnsi="宋体" w:cs="宋体"/>
          <w:color w:val="auto"/>
          <w:szCs w:val="21"/>
          <w:highlight w:val="none"/>
          <w:lang w:val="en-US"/>
        </w:rPr>
        <w:t>660000</w:t>
      </w:r>
    </w:p>
    <w:p w14:paraId="62AC3B88">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合同履约期限：自签订合同之日起至2026年9月25日全部交付完成并验收合格</w:t>
      </w:r>
    </w:p>
    <w:p w14:paraId="768C04DD">
      <w:pPr>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本标项（否）接受联合体</w:t>
      </w:r>
      <w:r>
        <w:rPr>
          <w:rFonts w:hint="eastAsia" w:ascii="宋体" w:hAnsi="宋体" w:cs="宋体"/>
          <w:color w:val="auto"/>
          <w:szCs w:val="21"/>
          <w:highlight w:val="none"/>
          <w:lang w:eastAsia="zh-CN"/>
        </w:rPr>
        <w:t>竞标</w:t>
      </w:r>
    </w:p>
    <w:p w14:paraId="082B5AF7">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备注：</w:t>
      </w:r>
    </w:p>
    <w:p w14:paraId="74DF832E">
      <w:pPr>
        <w:spacing w:line="440" w:lineRule="exact"/>
        <w:ind w:firstLine="422" w:firstLineChars="200"/>
        <w:rPr>
          <w:rFonts w:ascii="宋体" w:hAnsi="宋体" w:cs="宋体"/>
          <w:b/>
          <w:color w:val="auto"/>
          <w:szCs w:val="21"/>
          <w:highlight w:val="none"/>
        </w:rPr>
      </w:pPr>
    </w:p>
    <w:p w14:paraId="2868B457">
      <w:pPr>
        <w:spacing w:line="440" w:lineRule="exact"/>
        <w:ind w:firstLine="422" w:firstLineChars="200"/>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eastAsia="zh-CN"/>
        </w:rPr>
        <w:t>标项二</w:t>
      </w:r>
    </w:p>
    <w:p w14:paraId="497489B5">
      <w:pPr>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标项名称：</w:t>
      </w:r>
      <w:r>
        <w:rPr>
          <w:rFonts w:hint="eastAsia" w:ascii="宋体" w:hAnsi="宋体" w:cs="宋体"/>
          <w:color w:val="auto"/>
          <w:szCs w:val="21"/>
          <w:highlight w:val="none"/>
          <w:lang w:eastAsia="zh-CN"/>
        </w:rPr>
        <w:t>动科院现代畜牧教学资源库</w:t>
      </w:r>
    </w:p>
    <w:p w14:paraId="59A105B7">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数量：1</w:t>
      </w:r>
    </w:p>
    <w:p w14:paraId="50A88CF2">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预算金额（元）：</w:t>
      </w:r>
      <w:r>
        <w:rPr>
          <w:rFonts w:hint="eastAsia" w:ascii="宋体" w:hAnsi="宋体" w:cs="宋体"/>
          <w:color w:val="auto"/>
          <w:szCs w:val="21"/>
          <w:highlight w:val="none"/>
          <w:lang w:val="en-US"/>
        </w:rPr>
        <w:t>580</w:t>
      </w:r>
      <w:r>
        <w:rPr>
          <w:rFonts w:hint="eastAsia" w:ascii="宋体" w:hAnsi="宋体" w:cs="宋体"/>
          <w:color w:val="auto"/>
          <w:szCs w:val="21"/>
          <w:highlight w:val="none"/>
        </w:rPr>
        <w:t>000</w:t>
      </w:r>
    </w:p>
    <w:p w14:paraId="163D4378">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简要规格描述或项目基本概况介绍、用途：</w:t>
      </w:r>
      <w:r>
        <w:rPr>
          <w:rFonts w:hint="eastAsia" w:ascii="宋体" w:hAnsi="宋体" w:cs="宋体"/>
          <w:color w:val="auto"/>
          <w:szCs w:val="21"/>
          <w:highlight w:val="none"/>
          <w:lang w:eastAsia="zh-CN"/>
        </w:rPr>
        <w:t>动科院现代畜牧教学资源库</w:t>
      </w:r>
      <w:r>
        <w:rPr>
          <w:rFonts w:hint="eastAsia" w:ascii="宋体" w:hAnsi="宋体" w:cs="宋体"/>
          <w:color w:val="auto"/>
          <w:szCs w:val="21"/>
          <w:highlight w:val="none"/>
        </w:rPr>
        <w:t>一项，具体详见项目采购需求。</w:t>
      </w:r>
    </w:p>
    <w:p w14:paraId="7B8B6D9A">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最高限价（如有）：</w:t>
      </w:r>
      <w:r>
        <w:rPr>
          <w:rFonts w:hint="eastAsia" w:ascii="宋体" w:hAnsi="宋体" w:cs="宋体"/>
          <w:color w:val="auto"/>
          <w:szCs w:val="21"/>
          <w:highlight w:val="none"/>
          <w:lang w:val="en-US"/>
        </w:rPr>
        <w:t>580</w:t>
      </w:r>
      <w:r>
        <w:rPr>
          <w:rFonts w:hint="eastAsia" w:ascii="宋体" w:hAnsi="宋体" w:cs="宋体"/>
          <w:color w:val="auto"/>
          <w:szCs w:val="21"/>
          <w:highlight w:val="none"/>
        </w:rPr>
        <w:t>000</w:t>
      </w:r>
    </w:p>
    <w:p w14:paraId="0A6ADAA7">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合同履约期限：自签订合同之日起至2026年9月25日全部交付完成并验收合格</w:t>
      </w:r>
    </w:p>
    <w:p w14:paraId="70E204C2">
      <w:pPr>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本标项（否）接受联合体</w:t>
      </w:r>
      <w:r>
        <w:rPr>
          <w:rFonts w:hint="eastAsia" w:ascii="宋体" w:hAnsi="宋体" w:cs="宋体"/>
          <w:color w:val="auto"/>
          <w:szCs w:val="21"/>
          <w:highlight w:val="none"/>
          <w:lang w:eastAsia="zh-CN"/>
        </w:rPr>
        <w:t>竞标</w:t>
      </w:r>
    </w:p>
    <w:p w14:paraId="0748EF68">
      <w:pPr>
        <w:spacing w:line="44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备注：</w:t>
      </w:r>
    </w:p>
    <w:p w14:paraId="2AAB4D9E">
      <w:pPr>
        <w:spacing w:line="440" w:lineRule="exact"/>
        <w:ind w:firstLine="422" w:firstLineChars="200"/>
        <w:rPr>
          <w:rFonts w:hint="eastAsia" w:ascii="宋体" w:hAnsi="宋体" w:cs="宋体"/>
          <w:b/>
          <w:bCs/>
          <w:color w:val="auto"/>
          <w:szCs w:val="21"/>
          <w:highlight w:val="none"/>
        </w:rPr>
      </w:pPr>
    </w:p>
    <w:p w14:paraId="24326ED7">
      <w:pPr>
        <w:spacing w:line="440" w:lineRule="exact"/>
        <w:ind w:firstLine="422" w:firstLineChars="200"/>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eastAsia="zh-CN"/>
        </w:rPr>
        <w:t>标项三</w:t>
      </w:r>
    </w:p>
    <w:p w14:paraId="142ECD0C">
      <w:pPr>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标项名称：</w:t>
      </w:r>
      <w:r>
        <w:rPr>
          <w:rFonts w:hint="eastAsia" w:ascii="宋体" w:hAnsi="宋体" w:cs="宋体"/>
          <w:color w:val="auto"/>
          <w:szCs w:val="21"/>
          <w:highlight w:val="none"/>
          <w:lang w:eastAsia="zh-CN"/>
        </w:rPr>
        <w:t>动科院国际化电子课程、培训资源包</w:t>
      </w:r>
    </w:p>
    <w:p w14:paraId="253BA58B">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数量：1</w:t>
      </w:r>
    </w:p>
    <w:p w14:paraId="36A999DC">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预算金额（元）：</w:t>
      </w:r>
      <w:r>
        <w:rPr>
          <w:rFonts w:hint="eastAsia" w:ascii="宋体" w:hAnsi="宋体" w:cs="宋体"/>
          <w:color w:val="auto"/>
          <w:szCs w:val="21"/>
          <w:highlight w:val="none"/>
          <w:lang w:val="en-US"/>
        </w:rPr>
        <w:t>21</w:t>
      </w:r>
      <w:r>
        <w:rPr>
          <w:rFonts w:hint="eastAsia" w:ascii="宋体" w:hAnsi="宋体" w:cs="宋体"/>
          <w:color w:val="auto"/>
          <w:szCs w:val="21"/>
          <w:highlight w:val="none"/>
          <w:lang w:val="en-US" w:eastAsia="zh-CN"/>
        </w:rPr>
        <w:t>0000</w:t>
      </w:r>
    </w:p>
    <w:p w14:paraId="5D456C4B">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简要规格描述或项目基本概况介绍、用途：</w:t>
      </w:r>
      <w:r>
        <w:rPr>
          <w:rFonts w:hint="eastAsia" w:ascii="宋体" w:hAnsi="宋体" w:cs="宋体"/>
          <w:color w:val="auto"/>
          <w:szCs w:val="21"/>
          <w:highlight w:val="none"/>
          <w:lang w:eastAsia="zh-CN"/>
        </w:rPr>
        <w:t>动科院国际化电子课程、培训资源包</w:t>
      </w:r>
      <w:r>
        <w:rPr>
          <w:rFonts w:hint="eastAsia" w:ascii="宋体" w:hAnsi="宋体" w:cs="宋体"/>
          <w:color w:val="auto"/>
          <w:szCs w:val="21"/>
          <w:highlight w:val="none"/>
        </w:rPr>
        <w:t>项目一项，具体详见项目采购需求。</w:t>
      </w:r>
    </w:p>
    <w:p w14:paraId="7BCBB764">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最高限价（如有）：</w:t>
      </w:r>
      <w:r>
        <w:rPr>
          <w:rFonts w:hint="eastAsia" w:ascii="宋体" w:hAnsi="宋体" w:cs="宋体"/>
          <w:color w:val="auto"/>
          <w:szCs w:val="21"/>
          <w:highlight w:val="none"/>
          <w:lang w:val="en-US"/>
        </w:rPr>
        <w:t>21</w:t>
      </w:r>
      <w:r>
        <w:rPr>
          <w:rFonts w:hint="eastAsia" w:ascii="宋体" w:hAnsi="宋体" w:cs="宋体"/>
          <w:color w:val="auto"/>
          <w:szCs w:val="21"/>
          <w:highlight w:val="none"/>
          <w:lang w:val="en-US" w:eastAsia="zh-CN"/>
        </w:rPr>
        <w:t>0000</w:t>
      </w:r>
    </w:p>
    <w:p w14:paraId="52E6C93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合同履约期限：</w:t>
      </w:r>
      <w:r>
        <w:rPr>
          <w:rFonts w:hint="eastAsia" w:ascii="宋体" w:hAnsi="宋体" w:cs="宋体"/>
          <w:color w:val="auto"/>
          <w:szCs w:val="21"/>
          <w:highlight w:val="none"/>
          <w:lang w:eastAsia="zh-CN"/>
        </w:rPr>
        <w:t>双语AI英文配音微课视频定制、双语三维动画</w:t>
      </w:r>
      <w:r>
        <w:rPr>
          <w:rFonts w:hint="eastAsia" w:ascii="宋体" w:hAnsi="宋体" w:cs="宋体"/>
          <w:color w:val="auto"/>
          <w:szCs w:val="21"/>
          <w:highlight w:val="none"/>
        </w:rPr>
        <w:t>自签订合同之日起至2026年6月25日全部交付完成并验收合格；</w:t>
      </w:r>
      <w:r>
        <w:rPr>
          <w:rFonts w:hint="eastAsia" w:ascii="宋体" w:hAnsi="宋体" w:cs="宋体"/>
          <w:color w:val="auto"/>
          <w:szCs w:val="21"/>
          <w:highlight w:val="none"/>
          <w:lang w:val="en-US" w:eastAsia="zh-CN"/>
        </w:rPr>
        <w:t>《猪生产技术》双语微课、</w:t>
      </w:r>
      <w:r>
        <w:rPr>
          <w:rFonts w:hint="eastAsia" w:ascii="宋体" w:hAnsi="宋体" w:cs="宋体"/>
          <w:color w:val="auto"/>
          <w:szCs w:val="21"/>
          <w:highlight w:val="none"/>
          <w:lang w:eastAsia="zh-CN"/>
        </w:rPr>
        <w:t>《猪生产技术》课程翻译、数字人制作</w:t>
      </w:r>
      <w:r>
        <w:rPr>
          <w:rFonts w:hint="eastAsia" w:ascii="宋体" w:hAnsi="宋体" w:cs="宋体"/>
          <w:color w:val="auto"/>
          <w:szCs w:val="21"/>
          <w:highlight w:val="none"/>
        </w:rPr>
        <w:t>自签订合同之日起至2026年9月25日全部交付完成并验收合格。</w:t>
      </w:r>
    </w:p>
    <w:p w14:paraId="7A0235CA">
      <w:pPr>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本标项（否）接受联合体</w:t>
      </w:r>
      <w:r>
        <w:rPr>
          <w:rFonts w:hint="eastAsia" w:ascii="宋体" w:hAnsi="宋体" w:cs="宋体"/>
          <w:color w:val="auto"/>
          <w:szCs w:val="21"/>
          <w:highlight w:val="none"/>
          <w:lang w:eastAsia="zh-CN"/>
        </w:rPr>
        <w:t>竞标</w:t>
      </w:r>
    </w:p>
    <w:p w14:paraId="09035653">
      <w:pPr>
        <w:spacing w:line="44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备注：</w:t>
      </w:r>
    </w:p>
    <w:p w14:paraId="6E0AB9DD">
      <w:pPr>
        <w:spacing w:line="440" w:lineRule="exact"/>
        <w:ind w:firstLine="422" w:firstLineChars="200"/>
        <w:rPr>
          <w:rFonts w:ascii="宋体" w:hAnsi="宋体" w:cs="宋体"/>
          <w:b/>
          <w:bCs/>
          <w:color w:val="auto"/>
          <w:szCs w:val="21"/>
          <w:highlight w:val="none"/>
        </w:rPr>
      </w:pPr>
    </w:p>
    <w:p w14:paraId="6E9DD87D">
      <w:pPr>
        <w:spacing w:line="440" w:lineRule="exact"/>
        <w:ind w:firstLine="422" w:firstLineChars="200"/>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eastAsia="zh-CN"/>
        </w:rPr>
        <w:t>标项四</w:t>
      </w:r>
    </w:p>
    <w:p w14:paraId="46DA8D23">
      <w:pPr>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标项名称：</w:t>
      </w:r>
      <w:r>
        <w:rPr>
          <w:rFonts w:hint="eastAsia" w:ascii="宋体" w:hAnsi="宋体" w:cs="宋体"/>
          <w:color w:val="auto"/>
          <w:szCs w:val="21"/>
          <w:highlight w:val="none"/>
          <w:lang w:eastAsia="zh-CN"/>
        </w:rPr>
        <w:t>动科院动物繁殖（育种）教学资源包</w:t>
      </w:r>
    </w:p>
    <w:p w14:paraId="5C4CE8F1">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数量：1</w:t>
      </w:r>
    </w:p>
    <w:p w14:paraId="5256D2FD">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预算金额（元）：199000</w:t>
      </w:r>
    </w:p>
    <w:p w14:paraId="769524FC">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简要规格描述或项目基本概况介绍、用途：</w:t>
      </w:r>
      <w:r>
        <w:rPr>
          <w:rFonts w:hint="eastAsia" w:ascii="宋体" w:hAnsi="宋体" w:cs="宋体"/>
          <w:color w:val="auto"/>
          <w:szCs w:val="21"/>
          <w:highlight w:val="none"/>
          <w:lang w:eastAsia="zh-CN"/>
        </w:rPr>
        <w:t>动科院动物繁殖（育种）教学资源包</w:t>
      </w:r>
      <w:r>
        <w:rPr>
          <w:rFonts w:hint="eastAsia" w:ascii="宋体" w:hAnsi="宋体" w:cs="宋体"/>
          <w:color w:val="auto"/>
          <w:szCs w:val="21"/>
          <w:highlight w:val="none"/>
        </w:rPr>
        <w:t>项目一项，具体详见项目采购需求。</w:t>
      </w:r>
    </w:p>
    <w:p w14:paraId="78899902">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最高限价（如有）：199000</w:t>
      </w:r>
    </w:p>
    <w:p w14:paraId="2171EB99">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合同履约期限：自签订合同之日起至2026年9月25日全部交付完成并验收合格</w:t>
      </w:r>
    </w:p>
    <w:p w14:paraId="12B0E99D">
      <w:pPr>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本标项（否）接受联合体</w:t>
      </w:r>
      <w:r>
        <w:rPr>
          <w:rFonts w:hint="eastAsia" w:ascii="宋体" w:hAnsi="宋体" w:cs="宋体"/>
          <w:color w:val="auto"/>
          <w:szCs w:val="21"/>
          <w:highlight w:val="none"/>
          <w:lang w:eastAsia="zh-CN"/>
        </w:rPr>
        <w:t>竞标</w:t>
      </w:r>
    </w:p>
    <w:p w14:paraId="759820C1">
      <w:pPr>
        <w:spacing w:line="44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备注：</w:t>
      </w:r>
    </w:p>
    <w:p w14:paraId="3C2F8CC7">
      <w:pPr>
        <w:spacing w:line="44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二、申请人的资格要求：</w:t>
      </w:r>
    </w:p>
    <w:p w14:paraId="5546660B">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3C5C9DA7">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2.落实政府采购政策需满足的资格要求：</w:t>
      </w:r>
      <w:r>
        <w:rPr>
          <w:rFonts w:hint="eastAsia" w:ascii="宋体" w:hAnsi="宋体" w:cs="宋体"/>
          <w:b w:val="0"/>
          <w:bCs w:val="0"/>
          <w:color w:val="auto"/>
          <w:szCs w:val="21"/>
          <w:highlight w:val="none"/>
          <w:lang w:val="en-US" w:eastAsia="zh-CN"/>
        </w:rPr>
        <w:t>无</w:t>
      </w:r>
      <w:r>
        <w:rPr>
          <w:rFonts w:hint="eastAsia" w:ascii="宋体" w:hAnsi="宋体" w:cs="宋体"/>
          <w:b w:val="0"/>
          <w:bCs w:val="0"/>
          <w:color w:val="auto"/>
          <w:szCs w:val="21"/>
          <w:highlight w:val="none"/>
        </w:rPr>
        <w:t>；</w:t>
      </w:r>
    </w:p>
    <w:p w14:paraId="3D4AB404">
      <w:pPr>
        <w:spacing w:line="440" w:lineRule="exact"/>
        <w:ind w:firstLine="420" w:firstLineChars="200"/>
        <w:rPr>
          <w:rFonts w:ascii="宋体" w:hAnsi="宋体" w:cs="宋体"/>
          <w:iCs/>
          <w:color w:val="auto"/>
          <w:szCs w:val="21"/>
          <w:highlight w:val="none"/>
          <w:u w:val="single"/>
        </w:rPr>
      </w:pPr>
      <w:r>
        <w:rPr>
          <w:rFonts w:hint="eastAsia" w:ascii="宋体" w:hAnsi="宋体" w:cs="宋体"/>
          <w:color w:val="auto"/>
          <w:szCs w:val="21"/>
          <w:highlight w:val="none"/>
        </w:rPr>
        <w:t>3.本项目的特定资格要求：</w:t>
      </w:r>
      <w:r>
        <w:rPr>
          <w:rFonts w:hint="eastAsia" w:ascii="宋体" w:hAnsi="宋体" w:cs="宋体"/>
          <w:color w:val="auto"/>
          <w:szCs w:val="21"/>
          <w:highlight w:val="none"/>
          <w:lang w:val="en-US" w:eastAsia="zh-CN"/>
        </w:rPr>
        <w:t>无</w:t>
      </w:r>
      <w:r>
        <w:rPr>
          <w:rFonts w:hint="eastAsia" w:ascii="宋体" w:hAnsi="宋体" w:cs="宋体"/>
          <w:color w:val="auto"/>
          <w:szCs w:val="21"/>
          <w:highlight w:val="none"/>
        </w:rPr>
        <w:t>；</w:t>
      </w:r>
    </w:p>
    <w:p w14:paraId="58BB7826">
      <w:pPr>
        <w:spacing w:line="440" w:lineRule="exact"/>
        <w:ind w:firstLine="422" w:firstLineChars="200"/>
        <w:rPr>
          <w:rFonts w:ascii="宋体" w:hAnsi="宋体" w:cs="宋体"/>
          <w:iCs/>
          <w:color w:val="auto"/>
          <w:szCs w:val="21"/>
          <w:highlight w:val="none"/>
          <w:u w:val="single"/>
        </w:rPr>
      </w:pPr>
      <w:r>
        <w:rPr>
          <w:rFonts w:hint="eastAsia" w:ascii="宋体" w:hAnsi="宋体" w:cs="宋体"/>
          <w:b/>
          <w:color w:val="auto"/>
          <w:szCs w:val="21"/>
          <w:highlight w:val="none"/>
        </w:rPr>
        <w:t>三、获取采购文件</w:t>
      </w:r>
    </w:p>
    <w:p w14:paraId="787C6F35">
      <w:pPr>
        <w:spacing w:line="440" w:lineRule="exact"/>
        <w:ind w:firstLine="540"/>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bCs/>
          <w:color w:val="auto"/>
          <w:szCs w:val="21"/>
          <w:highlight w:val="none"/>
        </w:rPr>
        <w:t>202</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年</w:t>
      </w:r>
      <w:r>
        <w:rPr>
          <w:rFonts w:hint="eastAsia" w:ascii="宋体" w:hAnsi="宋体" w:cs="宋体"/>
          <w:bCs/>
          <w:color w:val="auto"/>
          <w:szCs w:val="21"/>
          <w:highlight w:val="none"/>
          <w:lang w:val="en-US" w:eastAsia="zh-CN"/>
        </w:rPr>
        <w:t>04</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28</w:t>
      </w:r>
      <w:r>
        <w:rPr>
          <w:rFonts w:hint="eastAsia" w:ascii="宋体" w:hAnsi="宋体" w:cs="宋体"/>
          <w:bCs/>
          <w:color w:val="auto"/>
          <w:szCs w:val="21"/>
          <w:highlight w:val="none"/>
        </w:rPr>
        <w:t>日至202</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年</w:t>
      </w:r>
      <w:r>
        <w:rPr>
          <w:rFonts w:hint="eastAsia" w:ascii="宋体" w:hAnsi="宋体" w:cs="宋体"/>
          <w:bCs/>
          <w:color w:val="auto"/>
          <w:szCs w:val="21"/>
          <w:highlight w:val="none"/>
          <w:lang w:val="en-US" w:eastAsia="zh-CN"/>
        </w:rPr>
        <w:t>05</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08</w:t>
      </w:r>
      <w:r>
        <w:rPr>
          <w:rFonts w:hint="eastAsia" w:ascii="宋体" w:hAnsi="宋体" w:cs="宋体"/>
          <w:bCs/>
          <w:color w:val="auto"/>
          <w:szCs w:val="21"/>
          <w:highlight w:val="none"/>
        </w:rPr>
        <w:t>日，每天上午00:00至12:00，下午12:00至23:59（北京时间，法定节假日除外）</w:t>
      </w:r>
      <w:r>
        <w:rPr>
          <w:rFonts w:hint="eastAsia" w:ascii="宋体" w:hAnsi="宋体" w:cs="宋体"/>
          <w:color w:val="auto"/>
          <w:szCs w:val="21"/>
          <w:highlight w:val="none"/>
        </w:rPr>
        <w:t>。</w:t>
      </w:r>
    </w:p>
    <w:p w14:paraId="79F2C8DF">
      <w:pPr>
        <w:spacing w:line="440" w:lineRule="exact"/>
        <w:ind w:firstLine="540"/>
        <w:rPr>
          <w:rFonts w:ascii="宋体" w:hAnsi="宋体" w:cs="宋体"/>
          <w:color w:val="auto"/>
          <w:szCs w:val="21"/>
          <w:highlight w:val="none"/>
        </w:rPr>
      </w:pPr>
      <w:r>
        <w:rPr>
          <w:rFonts w:hint="eastAsia" w:ascii="宋体" w:hAnsi="宋体" w:cs="宋体"/>
          <w:color w:val="auto"/>
          <w:szCs w:val="21"/>
          <w:highlight w:val="none"/>
        </w:rPr>
        <w:t>地点（网址）：广西政府采购云平台线上获取。</w:t>
      </w:r>
    </w:p>
    <w:p w14:paraId="0630D620">
      <w:pPr>
        <w:wordWrap w:val="0"/>
        <w:spacing w:line="440" w:lineRule="exact"/>
        <w:ind w:firstLine="539"/>
        <w:rPr>
          <w:rFonts w:ascii="宋体" w:hAnsi="宋体" w:cs="宋体"/>
          <w:color w:val="auto"/>
          <w:szCs w:val="21"/>
          <w:highlight w:val="none"/>
        </w:rPr>
      </w:pPr>
      <w:r>
        <w:rPr>
          <w:rFonts w:hint="eastAsia" w:ascii="宋体" w:hAnsi="宋体" w:cs="宋体"/>
          <w:color w:val="auto"/>
          <w:szCs w:val="21"/>
          <w:highlight w:val="none"/>
        </w:rPr>
        <w:t>方式：网上下载。本项目不发放纸质文件，供应商登录广西政府采购云平台</w:t>
      </w:r>
      <w:r>
        <w:rPr>
          <w:rFonts w:hint="eastAsia" w:ascii="宋体" w:hAnsi="宋体" w:cs="宋体"/>
          <w:color w:val="auto"/>
          <w:szCs w:val="21"/>
          <w:highlight w:val="none"/>
          <w:lang w:eastAsia="zh-CN"/>
        </w:rPr>
        <w:t>https://www.gcy.zfcg.gxzf.gov.cn/</w:t>
      </w:r>
      <w:r>
        <w:rPr>
          <w:rFonts w:hint="eastAsia" w:ascii="宋体" w:hAnsi="宋体" w:cs="宋体"/>
          <w:color w:val="auto"/>
          <w:szCs w:val="21"/>
          <w:highlight w:val="none"/>
        </w:rPr>
        <w:t xml:space="preserve">在线申请获取采购文件（进入“项目采购”应用，在获取采购文件菜单中选择项目，申请获取采购文件） </w:t>
      </w:r>
    </w:p>
    <w:p w14:paraId="4B8C6CD5">
      <w:pPr>
        <w:spacing w:line="440" w:lineRule="exact"/>
        <w:ind w:firstLine="540"/>
        <w:rPr>
          <w:rFonts w:ascii="宋体" w:hAnsi="宋体" w:cs="宋体"/>
          <w:color w:val="auto"/>
          <w:szCs w:val="21"/>
          <w:highlight w:val="none"/>
        </w:rPr>
      </w:pPr>
      <w:r>
        <w:rPr>
          <w:rFonts w:hint="eastAsia" w:ascii="宋体" w:hAnsi="宋体" w:cs="宋体"/>
          <w:color w:val="auto"/>
          <w:szCs w:val="21"/>
          <w:highlight w:val="none"/>
        </w:rPr>
        <w:t>售价（元）：0</w:t>
      </w:r>
    </w:p>
    <w:p w14:paraId="5B8343D8">
      <w:pPr>
        <w:spacing w:line="440" w:lineRule="exact"/>
        <w:ind w:firstLine="540"/>
        <w:rPr>
          <w:rFonts w:ascii="宋体" w:hAnsi="宋体" w:cs="宋体"/>
          <w:color w:val="auto"/>
          <w:szCs w:val="21"/>
          <w:highlight w:val="none"/>
        </w:rPr>
      </w:pPr>
      <w:r>
        <w:rPr>
          <w:rFonts w:hint="eastAsia" w:ascii="宋体" w:hAnsi="宋体" w:cs="宋体"/>
          <w:b/>
          <w:color w:val="auto"/>
          <w:szCs w:val="21"/>
          <w:highlight w:val="none"/>
        </w:rPr>
        <w:t>四、响应文件提交</w:t>
      </w:r>
    </w:p>
    <w:p w14:paraId="2325AFE3">
      <w:pPr>
        <w:spacing w:line="440" w:lineRule="exact"/>
        <w:ind w:firstLine="540"/>
        <w:rPr>
          <w:rFonts w:ascii="宋体" w:hAnsi="宋体" w:cs="宋体"/>
          <w:color w:val="auto"/>
          <w:szCs w:val="21"/>
          <w:highlight w:val="none"/>
        </w:rPr>
      </w:pPr>
      <w:r>
        <w:rPr>
          <w:rFonts w:hint="eastAsia" w:ascii="宋体" w:hAnsi="宋体" w:cs="宋体"/>
          <w:color w:val="auto"/>
          <w:szCs w:val="21"/>
          <w:highlight w:val="none"/>
        </w:rPr>
        <w:t>截止时间：</w:t>
      </w:r>
      <w:r>
        <w:rPr>
          <w:rFonts w:hint="eastAsia" w:ascii="宋体" w:hAnsi="宋体" w:cs="宋体"/>
          <w:color w:val="auto"/>
          <w:szCs w:val="21"/>
          <w:highlight w:val="none"/>
          <w:lang w:eastAsia="zh-CN"/>
        </w:rPr>
        <w:t>2026年05月09日</w:t>
      </w:r>
      <w:r>
        <w:rPr>
          <w:rFonts w:hint="eastAsia" w:ascii="宋体" w:hAnsi="宋体" w:cs="宋体"/>
          <w:color w:val="auto"/>
          <w:szCs w:val="21"/>
          <w:highlight w:val="none"/>
        </w:rPr>
        <w:t xml:space="preserve"> 09:30（北京时间）</w:t>
      </w:r>
    </w:p>
    <w:p w14:paraId="5566B51A">
      <w:pPr>
        <w:spacing w:line="440" w:lineRule="exact"/>
        <w:ind w:firstLine="54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地点（网址）：</w:t>
      </w:r>
      <w:r>
        <w:rPr>
          <w:rFonts w:hint="eastAsia" w:ascii="宋体" w:hAnsi="宋体" w:cs="宋体"/>
          <w:color w:val="auto"/>
          <w:szCs w:val="21"/>
          <w:highlight w:val="none"/>
          <w:lang w:eastAsia="zh-CN"/>
        </w:rPr>
        <w:t>广西政府采购云平台开标大厅</w:t>
      </w:r>
    </w:p>
    <w:p w14:paraId="0E30FCDA">
      <w:pPr>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五、响应文件开启</w:t>
      </w:r>
    </w:p>
    <w:p w14:paraId="0D0B2A1C">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开启时间：</w:t>
      </w:r>
      <w:r>
        <w:rPr>
          <w:rFonts w:hint="eastAsia" w:ascii="宋体" w:hAnsi="宋体" w:cs="宋体"/>
          <w:color w:val="auto"/>
          <w:szCs w:val="21"/>
          <w:highlight w:val="none"/>
          <w:lang w:eastAsia="zh-CN"/>
        </w:rPr>
        <w:t>2026年05月09日</w:t>
      </w:r>
      <w:r>
        <w:rPr>
          <w:rFonts w:hint="eastAsia" w:ascii="宋体" w:hAnsi="宋体" w:cs="宋体"/>
          <w:color w:val="auto"/>
          <w:szCs w:val="21"/>
          <w:highlight w:val="none"/>
        </w:rPr>
        <w:t xml:space="preserve"> 09:30（北京时间）</w:t>
      </w:r>
    </w:p>
    <w:p w14:paraId="03834599">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地点：广西政府采购云平台开标大厅</w:t>
      </w:r>
    </w:p>
    <w:p w14:paraId="32518D22">
      <w:pPr>
        <w:spacing w:line="440" w:lineRule="exact"/>
        <w:ind w:firstLine="422" w:firstLineChars="200"/>
        <w:rPr>
          <w:rFonts w:ascii="宋体" w:hAnsi="宋体" w:cs="宋体"/>
          <w:bCs/>
          <w:color w:val="auto"/>
          <w:szCs w:val="21"/>
          <w:highlight w:val="none"/>
          <w:u w:val="single"/>
        </w:rPr>
      </w:pPr>
      <w:r>
        <w:rPr>
          <w:rFonts w:hint="eastAsia" w:ascii="宋体" w:hAnsi="宋体" w:cs="宋体"/>
          <w:b/>
          <w:color w:val="auto"/>
          <w:szCs w:val="21"/>
          <w:highlight w:val="none"/>
        </w:rPr>
        <w:t>六、公告期限</w:t>
      </w:r>
    </w:p>
    <w:p w14:paraId="7A866D46">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69FEF8CC">
      <w:pPr>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七、其他补充事宜</w:t>
      </w:r>
    </w:p>
    <w:p w14:paraId="149EB3D3">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1.本项目需要落实的政府采购政策：</w:t>
      </w:r>
    </w:p>
    <w:p w14:paraId="4A6B3893">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（1）政府采购促进中小企业发展。</w:t>
      </w:r>
    </w:p>
    <w:p w14:paraId="64C6BFC4">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（2）政府采购促进残疾人就业政策。</w:t>
      </w:r>
    </w:p>
    <w:p w14:paraId="7818DB6D">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（3）政府采购支持监狱企业发展。</w:t>
      </w:r>
    </w:p>
    <w:p w14:paraId="26377AD9">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（4）政府采购支持采用本国产品的政策。</w:t>
      </w:r>
    </w:p>
    <w:p w14:paraId="31021D4D">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（5）强制采购节能产品；优先采购节能产品、环境标志产品。</w:t>
      </w:r>
    </w:p>
    <w:p w14:paraId="4540E4E0">
      <w:pPr>
        <w:pStyle w:val="23"/>
        <w:spacing w:line="440" w:lineRule="exact"/>
        <w:ind w:firstLine="420" w:firstLineChars="200"/>
        <w:rPr>
          <w:rFonts w:hAnsi="宋体" w:cs="宋体"/>
          <w:color w:val="auto"/>
          <w:sz w:val="21"/>
          <w:highlight w:val="none"/>
        </w:rPr>
      </w:pPr>
      <w:r>
        <w:rPr>
          <w:rFonts w:hint="eastAsia" w:hAnsi="宋体" w:cs="宋体"/>
          <w:color w:val="auto"/>
          <w:sz w:val="21"/>
          <w:highlight w:val="none"/>
        </w:rPr>
        <w:t>2.参加政府采购活动前三年内，在经营活动中没有重大违法记录和不良信用记录，被列入失信被执行人、</w:t>
      </w:r>
      <w:r>
        <w:rPr>
          <w:rFonts w:hint="eastAsia" w:hAnsi="宋体" w:cs="宋体"/>
          <w:color w:val="auto"/>
          <w:sz w:val="21"/>
          <w:highlight w:val="none"/>
          <w:lang w:eastAsia="zh-CN"/>
        </w:rPr>
        <w:t>重大税收违法失信主体</w:t>
      </w:r>
      <w:r>
        <w:rPr>
          <w:rFonts w:hint="eastAsia" w:hAnsi="宋体" w:cs="宋体"/>
          <w:color w:val="auto"/>
          <w:sz w:val="21"/>
          <w:highlight w:val="none"/>
        </w:rPr>
        <w:t>、政府采购严重违法失信行为记录名单及其他不符合《中华人民共和国政府采购法》第二十二条规定条件的供应商，将被拒绝其参与本次政府采购活动；</w:t>
      </w:r>
    </w:p>
    <w:p w14:paraId="35604A2F">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052D2AA">
      <w:pPr>
        <w:pStyle w:val="23"/>
        <w:spacing w:line="440" w:lineRule="exact"/>
        <w:ind w:firstLine="420" w:firstLineChars="200"/>
        <w:rPr>
          <w:rFonts w:hAnsi="宋体" w:cs="宋体"/>
          <w:color w:val="auto"/>
          <w:sz w:val="21"/>
          <w:highlight w:val="none"/>
        </w:rPr>
      </w:pPr>
      <w:r>
        <w:rPr>
          <w:rFonts w:hint="eastAsia" w:hAnsi="宋体" w:cs="宋体"/>
          <w:color w:val="auto"/>
          <w:sz w:val="21"/>
          <w:highlight w:val="none"/>
        </w:rPr>
        <w:t>4.公告发布媒介：</w:t>
      </w:r>
    </w:p>
    <w:p w14:paraId="4B904E12">
      <w:pPr>
        <w:pStyle w:val="23"/>
        <w:spacing w:line="440" w:lineRule="exact"/>
        <w:ind w:firstLine="400" w:firstLineChars="200"/>
        <w:rPr>
          <w:rFonts w:hAnsi="宋体" w:cs="宋体"/>
          <w:color w:val="auto"/>
          <w:sz w:val="21"/>
          <w:highlight w:val="none"/>
        </w:rPr>
      </w:pPr>
      <w:r>
        <w:rPr>
          <w:color w:val="auto"/>
          <w:highlight w:val="none"/>
        </w:rPr>
        <w:fldChar w:fldCharType="begin"/>
      </w:r>
      <w:r>
        <w:rPr>
          <w:color w:val="auto"/>
          <w:highlight w:val="none"/>
        </w:rPr>
        <w:instrText xml:space="preserve"> HYPERLINK "http://www.ccgp.gov.cn（中国政府采购网）、http:/zfcg.gxzf.gov.cn（广西壮族自治区政府采购网）" </w:instrText>
      </w:r>
      <w:r>
        <w:rPr>
          <w:color w:val="auto"/>
          <w:highlight w:val="none"/>
        </w:rPr>
        <w:fldChar w:fldCharType="separate"/>
      </w:r>
      <w:r>
        <w:rPr>
          <w:rFonts w:hint="eastAsia" w:hAnsi="宋体" w:cs="宋体"/>
          <w:color w:val="auto"/>
          <w:sz w:val="21"/>
          <w:highlight w:val="none"/>
        </w:rPr>
        <w:t>http://www.ccgp.gov.cn（中国政府采购网）、http://zfcg.gxzf.gov.cn（广西壮族自治区政府采购网）</w:t>
      </w:r>
      <w:r>
        <w:rPr>
          <w:rFonts w:hint="eastAsia" w:hAnsi="宋体" w:cs="宋体"/>
          <w:color w:val="auto"/>
          <w:sz w:val="21"/>
          <w:highlight w:val="none"/>
        </w:rPr>
        <w:fldChar w:fldCharType="end"/>
      </w:r>
    </w:p>
    <w:p w14:paraId="0A621004">
      <w:pPr>
        <w:pStyle w:val="23"/>
        <w:spacing w:line="440" w:lineRule="exact"/>
        <w:ind w:firstLine="420" w:firstLineChars="200"/>
        <w:rPr>
          <w:rFonts w:hAnsi="宋体" w:cs="宋体"/>
          <w:color w:val="auto"/>
          <w:sz w:val="21"/>
          <w:highlight w:val="none"/>
        </w:rPr>
      </w:pPr>
      <w:r>
        <w:rPr>
          <w:rFonts w:hint="eastAsia" w:hAnsi="宋体" w:cs="宋体"/>
          <w:color w:val="auto"/>
          <w:sz w:val="21"/>
          <w:highlight w:val="none"/>
        </w:rPr>
        <w:t>5、广西政府采购云平台电子投标相关事宜：</w:t>
      </w:r>
    </w:p>
    <w:p w14:paraId="5447A87A">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（1）本项目为全流程电子化采购项目，通过“广西政府采购云平台”（</w:t>
      </w:r>
      <w:r>
        <w:rPr>
          <w:rFonts w:hint="eastAsia" w:ascii="宋体" w:hAnsi="宋体" w:cs="宋体"/>
          <w:color w:val="auto"/>
          <w:szCs w:val="21"/>
          <w:highlight w:val="none"/>
          <w:lang w:eastAsia="zh-CN"/>
        </w:rPr>
        <w:t>https://www.gcy.zfcg.gxzf.gov.cn/</w:t>
      </w:r>
      <w:r>
        <w:rPr>
          <w:rFonts w:hint="eastAsia" w:ascii="宋体" w:hAnsi="宋体" w:cs="宋体"/>
          <w:color w:val="auto"/>
          <w:szCs w:val="21"/>
          <w:highlight w:val="none"/>
        </w:rPr>
        <w:t>）实行在线电子竞标，供应商应先安装“广西政府采购云平台客户端”（请自行前往“广西政府采购网—办事服务—下载专区”进行下载），并按照本项目竞争性磋商文件和“广西政府采购云平台”的要求编制、加密后在提交响应文件截止时间前通过网络上传至 “广西政府采购云平台”，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7D1FCC5C">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广西政府采购云平台”，依次进入“服务中心-入驻与配置”中查看CA数字证书办理操作流程。如在操作过程中遇到问题或者需要技术支持，请致电广西政府采购云客服热线：95763）。</w:t>
      </w:r>
    </w:p>
    <w:p w14:paraId="6E7F0865">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102D61E7">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47E162F8">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（4）供应商需要在具备有摄像头及语音功能且互联网网络状况良好的电脑登录“广西政府采购云平台”远程开标大厅参与本次磋商，否则后果自负。</w:t>
      </w:r>
    </w:p>
    <w:p w14:paraId="5B6C6C3D">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 xml:space="preserve">  </w:t>
      </w:r>
      <w:r>
        <w:rPr>
          <w:rFonts w:hint="eastAsia" w:ascii="宋体" w:hAnsi="宋体" w:cs="宋体"/>
          <w:b/>
          <w:color w:val="auto"/>
          <w:szCs w:val="21"/>
          <w:highlight w:val="none"/>
        </w:rPr>
        <w:t>八、对本次招标提出询问，请按以下方式联系。</w:t>
      </w:r>
    </w:p>
    <w:p w14:paraId="6CE93014">
      <w:pPr>
        <w:widowControl/>
        <w:spacing w:line="440" w:lineRule="exact"/>
        <w:ind w:firstLine="465"/>
        <w:jc w:val="left"/>
        <w:rPr>
          <w:rFonts w:ascii="宋体" w:hAnsi="宋体" w:cs="宋体"/>
          <w:color w:val="auto"/>
          <w:szCs w:val="21"/>
          <w:highlight w:val="none"/>
        </w:rPr>
      </w:pPr>
      <w:r>
        <w:rPr>
          <w:rFonts w:hint="eastAsia" w:ascii="宋体" w:hAnsi="宋体" w:cs="宋体"/>
          <w:color w:val="auto"/>
          <w:szCs w:val="21"/>
          <w:highlight w:val="none"/>
        </w:rPr>
        <w:t>1.采购人信息</w:t>
      </w:r>
    </w:p>
    <w:p w14:paraId="345184F3">
      <w:pPr>
        <w:widowControl/>
        <w:spacing w:line="440" w:lineRule="exact"/>
        <w:ind w:firstLine="465"/>
        <w:jc w:val="left"/>
        <w:rPr>
          <w:rFonts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color w:val="auto"/>
          <w:szCs w:val="21"/>
          <w:highlight w:val="none"/>
          <w:u w:val="single"/>
        </w:rPr>
        <w:t>　</w:t>
      </w:r>
      <w:r>
        <w:rPr>
          <w:rFonts w:hint="eastAsia" w:ascii="宋体" w:hAnsi="宋体" w:cs="宋体"/>
          <w:color w:val="auto"/>
          <w:szCs w:val="21"/>
          <w:highlight w:val="none"/>
          <w:u w:val="single"/>
          <w:lang w:eastAsia="zh-CN"/>
        </w:rPr>
        <w:t>广西农业职业技术大学</w:t>
      </w:r>
      <w:r>
        <w:rPr>
          <w:rFonts w:hint="eastAsia" w:ascii="宋体" w:hAnsi="宋体" w:cs="宋体"/>
          <w:color w:val="auto"/>
          <w:szCs w:val="21"/>
          <w:highlight w:val="none"/>
          <w:u w:val="single"/>
        </w:rPr>
        <w:t>　</w:t>
      </w:r>
    </w:p>
    <w:p w14:paraId="06F41E42">
      <w:pPr>
        <w:widowControl/>
        <w:spacing w:line="440" w:lineRule="exact"/>
        <w:ind w:firstLine="465"/>
        <w:jc w:val="left"/>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w:t>
      </w:r>
      <w:r>
        <w:rPr>
          <w:rFonts w:hint="eastAsia" w:ascii="宋体" w:hAnsi="宋体" w:cs="宋体"/>
          <w:color w:val="auto"/>
          <w:szCs w:val="21"/>
          <w:highlight w:val="none"/>
          <w:u w:val="single"/>
          <w:lang w:eastAsia="zh-CN"/>
        </w:rPr>
        <w:t>南宁市西乡塘区大学东路176号</w:t>
      </w:r>
      <w:r>
        <w:rPr>
          <w:rFonts w:hint="eastAsia" w:ascii="宋体" w:hAnsi="宋体" w:cs="宋体"/>
          <w:color w:val="auto"/>
          <w:szCs w:val="21"/>
          <w:highlight w:val="none"/>
          <w:u w:val="single"/>
        </w:rPr>
        <w:t xml:space="preserve">　 </w:t>
      </w:r>
    </w:p>
    <w:p w14:paraId="2A22E573">
      <w:pPr>
        <w:widowControl/>
        <w:spacing w:line="440" w:lineRule="exact"/>
        <w:ind w:firstLine="465"/>
        <w:jc w:val="left"/>
        <w:rPr>
          <w:rFonts w:ascii="宋体" w:hAnsi="宋体" w:cs="宋体"/>
          <w:color w:val="auto"/>
          <w:szCs w:val="21"/>
          <w:highlight w:val="none"/>
        </w:rPr>
      </w:pPr>
      <w:r>
        <w:rPr>
          <w:rFonts w:hint="eastAsia" w:ascii="宋体" w:hAnsi="宋体" w:cs="宋体"/>
          <w:color w:val="auto"/>
          <w:szCs w:val="21"/>
          <w:highlight w:val="none"/>
        </w:rPr>
        <w:t>项目联系人：</w:t>
      </w:r>
      <w:r>
        <w:rPr>
          <w:rFonts w:hint="eastAsia" w:ascii="宋体" w:hAnsi="宋体" w:cs="宋体"/>
          <w:color w:val="auto"/>
          <w:szCs w:val="21"/>
          <w:highlight w:val="none"/>
          <w:u w:val="single"/>
          <w:lang w:val="en-US" w:eastAsia="zh-CN"/>
        </w:rPr>
        <w:t xml:space="preserve"> 张剑锋</w:t>
      </w:r>
      <w:r>
        <w:rPr>
          <w:rFonts w:hint="eastAsia" w:ascii="宋体" w:hAnsi="宋体" w:cs="宋体"/>
          <w:color w:val="auto"/>
          <w:szCs w:val="21"/>
          <w:highlight w:val="none"/>
          <w:u w:val="single"/>
        </w:rPr>
        <w:t xml:space="preserve"> </w:t>
      </w:r>
    </w:p>
    <w:p w14:paraId="6795240F">
      <w:pPr>
        <w:widowControl/>
        <w:spacing w:line="440" w:lineRule="exact"/>
        <w:ind w:firstLine="465"/>
        <w:jc w:val="left"/>
        <w:rPr>
          <w:rFonts w:ascii="宋体" w:hAnsi="宋体" w:cs="宋体"/>
          <w:color w:val="auto"/>
          <w:szCs w:val="21"/>
          <w:highlight w:val="none"/>
        </w:rPr>
      </w:pPr>
      <w:r>
        <w:rPr>
          <w:rFonts w:hint="eastAsia" w:ascii="宋体" w:hAnsi="宋体" w:cs="宋体"/>
          <w:color w:val="auto"/>
          <w:szCs w:val="21"/>
          <w:highlight w:val="none"/>
        </w:rPr>
        <w:t>项目联系方式：</w:t>
      </w:r>
      <w:r>
        <w:rPr>
          <w:rFonts w:hint="eastAsia" w:ascii="宋体" w:hAnsi="宋体" w:cs="宋体"/>
          <w:color w:val="auto"/>
          <w:szCs w:val="21"/>
          <w:highlight w:val="none"/>
          <w:u w:val="single"/>
          <w:lang w:val="en-US" w:eastAsia="zh-CN"/>
        </w:rPr>
        <w:t xml:space="preserve"> 0771-4714891</w:t>
      </w:r>
      <w:r>
        <w:rPr>
          <w:rFonts w:hint="eastAsia" w:ascii="宋体" w:hAnsi="宋体" w:cs="宋体"/>
          <w:color w:val="auto"/>
          <w:szCs w:val="21"/>
          <w:highlight w:val="none"/>
          <w:u w:val="single"/>
        </w:rPr>
        <w:t xml:space="preserve"> </w:t>
      </w:r>
    </w:p>
    <w:p w14:paraId="70F6A321">
      <w:pPr>
        <w:widowControl/>
        <w:spacing w:line="440" w:lineRule="exact"/>
        <w:ind w:firstLine="465"/>
        <w:jc w:val="left"/>
        <w:rPr>
          <w:rFonts w:ascii="宋体" w:hAnsi="宋体" w:cs="宋体"/>
          <w:color w:val="auto"/>
          <w:szCs w:val="21"/>
          <w:highlight w:val="none"/>
        </w:rPr>
      </w:pPr>
      <w:r>
        <w:rPr>
          <w:rFonts w:hint="eastAsia" w:ascii="宋体" w:hAnsi="宋体" w:cs="宋体"/>
          <w:color w:val="auto"/>
          <w:szCs w:val="21"/>
          <w:highlight w:val="none"/>
        </w:rPr>
        <w:t>2.采购代理机构信息</w:t>
      </w:r>
    </w:p>
    <w:p w14:paraId="63499A28">
      <w:pPr>
        <w:widowControl/>
        <w:spacing w:line="440" w:lineRule="exact"/>
        <w:ind w:firstLine="465"/>
        <w:jc w:val="left"/>
        <w:rPr>
          <w:rFonts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color w:val="auto"/>
          <w:szCs w:val="21"/>
          <w:highlight w:val="none"/>
          <w:u w:val="single"/>
        </w:rPr>
        <w:t>　广西德元工程项目管理有限责任公司　</w:t>
      </w:r>
    </w:p>
    <w:p w14:paraId="0BE59D11">
      <w:pPr>
        <w:widowControl/>
        <w:spacing w:line="440" w:lineRule="exact"/>
        <w:ind w:firstLine="465"/>
        <w:jc w:val="left"/>
        <w:rPr>
          <w:rFonts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南宁市良庆区凯旋路15号绿地中心7号楼8楼　</w:t>
      </w:r>
    </w:p>
    <w:p w14:paraId="7364C1DC">
      <w:pPr>
        <w:widowControl/>
        <w:spacing w:line="440" w:lineRule="exact"/>
        <w:ind w:firstLine="465"/>
        <w:jc w:val="left"/>
        <w:rPr>
          <w:rFonts w:ascii="宋体" w:hAnsi="宋体" w:cs="宋体"/>
          <w:color w:val="auto"/>
          <w:szCs w:val="21"/>
          <w:highlight w:val="none"/>
          <w:u w:val="single"/>
        </w:rPr>
      </w:pPr>
      <w:r>
        <w:rPr>
          <w:rFonts w:hint="eastAsia" w:ascii="宋体" w:hAnsi="宋体" w:cs="宋体"/>
          <w:color w:val="auto"/>
          <w:szCs w:val="21"/>
          <w:highlight w:val="none"/>
        </w:rPr>
        <w:t>项目联系人：</w:t>
      </w:r>
      <w:r>
        <w:rPr>
          <w:rFonts w:hint="eastAsia" w:ascii="宋体" w:hAnsi="宋体" w:cs="宋体"/>
          <w:color w:val="auto"/>
          <w:szCs w:val="21"/>
          <w:highlight w:val="none"/>
          <w:u w:val="single"/>
        </w:rPr>
        <w:t>　</w:t>
      </w:r>
      <w:r>
        <w:rPr>
          <w:rFonts w:hint="eastAsia" w:ascii="宋体" w:hAnsi="宋体" w:cs="宋体"/>
          <w:color w:val="auto"/>
          <w:szCs w:val="21"/>
          <w:highlight w:val="none"/>
          <w:u w:val="single"/>
          <w:lang w:eastAsia="zh-CN"/>
        </w:rPr>
        <w:t>覃喜娟、黄清霞、龙海霞</w:t>
      </w:r>
      <w:r>
        <w:rPr>
          <w:rFonts w:hint="eastAsia" w:ascii="宋体" w:hAnsi="宋体" w:cs="宋体"/>
          <w:color w:val="auto"/>
          <w:szCs w:val="21"/>
          <w:highlight w:val="none"/>
          <w:u w:val="single"/>
        </w:rPr>
        <w:t xml:space="preserve">     </w:t>
      </w:r>
    </w:p>
    <w:p w14:paraId="1DA18875">
      <w:pPr>
        <w:widowControl/>
        <w:spacing w:line="440" w:lineRule="exact"/>
        <w:ind w:firstLine="465"/>
        <w:jc w:val="left"/>
        <w:rPr>
          <w:rFonts w:ascii="宋体" w:hAnsi="宋体" w:cs="宋体"/>
          <w:color w:val="auto"/>
          <w:szCs w:val="21"/>
          <w:highlight w:val="none"/>
          <w:u w:val="single"/>
        </w:rPr>
      </w:pPr>
      <w:r>
        <w:rPr>
          <w:rFonts w:hint="eastAsia" w:ascii="宋体" w:hAnsi="宋体" w:cs="宋体"/>
          <w:color w:val="auto"/>
          <w:szCs w:val="21"/>
          <w:highlight w:val="none"/>
        </w:rPr>
        <w:t>项目联系方式：</w:t>
      </w:r>
      <w:r>
        <w:rPr>
          <w:rFonts w:hint="eastAsia" w:ascii="宋体" w:hAnsi="宋体" w:cs="宋体"/>
          <w:color w:val="auto"/>
          <w:szCs w:val="21"/>
          <w:highlight w:val="none"/>
          <w:u w:val="single"/>
        </w:rPr>
        <w:t xml:space="preserve">　0771-5084767       </w:t>
      </w:r>
      <w:bookmarkStart w:id="6" w:name="_Toc88747292"/>
    </w:p>
    <w:p w14:paraId="07D6722B">
      <w:pPr>
        <w:pStyle w:val="3"/>
        <w:spacing w:line="440" w:lineRule="exact"/>
        <w:jc w:val="center"/>
        <w:rPr>
          <w:rFonts w:ascii="宋体" w:hAnsi="宋体" w:cs="宋体"/>
          <w:color w:val="auto"/>
          <w:sz w:val="32"/>
          <w:szCs w:val="32"/>
          <w:highlight w:val="none"/>
        </w:rPr>
        <w:sectPr>
          <w:footerReference r:id="rId4" w:type="default"/>
          <w:pgSz w:w="11906" w:h="16838"/>
          <w:pgMar w:top="1134" w:right="1247" w:bottom="1134" w:left="1247" w:header="851" w:footer="992" w:gutter="0"/>
          <w:pgNumType w:fmt="decimal" w:start="1"/>
          <w:cols w:space="720" w:num="1"/>
          <w:docGrid w:linePitch="312" w:charSpace="0"/>
        </w:sectPr>
      </w:pPr>
    </w:p>
    <w:p w14:paraId="00B7E9F8">
      <w:pPr>
        <w:pStyle w:val="3"/>
        <w:spacing w:line="44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第二章 供应商须知</w:t>
      </w:r>
      <w:bookmarkEnd w:id="6"/>
    </w:p>
    <w:tbl>
      <w:tblPr>
        <w:tblStyle w:val="41"/>
        <w:tblW w:w="905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6"/>
      </w:tblGrid>
      <w:tr w14:paraId="74873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53" w:type="dxa"/>
            <w:gridSpan w:val="2"/>
          </w:tcPr>
          <w:p w14:paraId="18105D2E">
            <w:pPr>
              <w:keepNext w:val="0"/>
              <w:keepLines w:val="0"/>
              <w:pageBreakBefore w:val="0"/>
              <w:kinsoku/>
              <w:overflowPunct/>
              <w:topLinePunct w:val="0"/>
              <w:bidi w:val="0"/>
              <w:spacing w:line="440" w:lineRule="exact"/>
              <w:ind w:right="0" w:firstLine="200"/>
              <w:jc w:val="center"/>
              <w:rPr>
                <w:rFonts w:ascii="宋体" w:hAnsi="宋体" w:cs="宋体"/>
                <w:color w:val="auto"/>
                <w:sz w:val="28"/>
                <w:szCs w:val="28"/>
                <w:highlight w:val="none"/>
              </w:rPr>
            </w:pPr>
            <w:r>
              <w:rPr>
                <w:rFonts w:hint="eastAsia" w:ascii="宋体" w:hAnsi="宋体" w:cs="宋体"/>
                <w:color w:val="auto"/>
                <w:sz w:val="28"/>
                <w:szCs w:val="28"/>
                <w:highlight w:val="none"/>
              </w:rPr>
              <w:t>供应商须知前附表</w:t>
            </w:r>
          </w:p>
        </w:tc>
      </w:tr>
      <w:tr w14:paraId="468B5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1A28EBC0">
            <w:pPr>
              <w:keepNext w:val="0"/>
              <w:keepLines w:val="0"/>
              <w:pageBreakBefore w:val="0"/>
              <w:kinsoku/>
              <w:overflowPunct/>
              <w:topLinePunct w:val="0"/>
              <w:bidi w:val="0"/>
              <w:spacing w:line="440" w:lineRule="exact"/>
              <w:ind w:right="0"/>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8236" w:type="dxa"/>
          </w:tcPr>
          <w:p w14:paraId="4514496F">
            <w:pPr>
              <w:keepNext w:val="0"/>
              <w:keepLines w:val="0"/>
              <w:pageBreakBefore w:val="0"/>
              <w:kinsoku/>
              <w:overflowPunct/>
              <w:topLinePunct w:val="0"/>
              <w:bidi w:val="0"/>
              <w:spacing w:line="440" w:lineRule="exact"/>
              <w:ind w:right="0"/>
              <w:jc w:val="center"/>
              <w:rPr>
                <w:rFonts w:ascii="宋体" w:hAnsi="宋体" w:cs="宋体"/>
                <w:b/>
                <w:color w:val="auto"/>
                <w:szCs w:val="21"/>
                <w:highlight w:val="none"/>
              </w:rPr>
            </w:pPr>
            <w:r>
              <w:rPr>
                <w:rFonts w:hint="eastAsia" w:ascii="宋体" w:hAnsi="宋体" w:cs="宋体"/>
                <w:b/>
                <w:color w:val="auto"/>
                <w:szCs w:val="21"/>
                <w:highlight w:val="none"/>
              </w:rPr>
              <w:t>内容</w:t>
            </w:r>
          </w:p>
        </w:tc>
      </w:tr>
      <w:tr w14:paraId="5CBDC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351C770D">
            <w:pPr>
              <w:keepNext w:val="0"/>
              <w:keepLines w:val="0"/>
              <w:pageBreakBefore w:val="0"/>
              <w:kinsoku/>
              <w:overflowPunct/>
              <w:topLinePunct w:val="0"/>
              <w:bidi w:val="0"/>
              <w:spacing w:line="440" w:lineRule="exact"/>
              <w:ind w:right="0"/>
              <w:jc w:val="center"/>
              <w:rPr>
                <w:rFonts w:ascii="宋体" w:hAnsi="宋体" w:cs="宋体"/>
                <w:color w:val="auto"/>
                <w:szCs w:val="21"/>
                <w:highlight w:val="none"/>
              </w:rPr>
            </w:pPr>
            <w:r>
              <w:rPr>
                <w:rFonts w:hint="eastAsia" w:ascii="宋体" w:hAnsi="宋体" w:cs="宋体"/>
                <w:color w:val="auto"/>
                <w:szCs w:val="21"/>
                <w:highlight w:val="none"/>
              </w:rPr>
              <w:t>1</w:t>
            </w:r>
          </w:p>
        </w:tc>
        <w:tc>
          <w:tcPr>
            <w:tcW w:w="8236" w:type="dxa"/>
            <w:vAlign w:val="center"/>
          </w:tcPr>
          <w:p w14:paraId="65F024FF">
            <w:pPr>
              <w:keepNext w:val="0"/>
              <w:keepLines w:val="0"/>
              <w:pageBreakBefore w:val="0"/>
              <w:kinsoku/>
              <w:overflowPunct/>
              <w:topLinePunct w:val="0"/>
              <w:bidi w:val="0"/>
              <w:spacing w:line="440" w:lineRule="exact"/>
              <w:ind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动科院2026年课程资源建设采购项目</w:t>
            </w:r>
          </w:p>
        </w:tc>
      </w:tr>
      <w:tr w14:paraId="15665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124EC617">
            <w:pPr>
              <w:keepNext w:val="0"/>
              <w:keepLines w:val="0"/>
              <w:pageBreakBefore w:val="0"/>
              <w:kinsoku/>
              <w:overflowPunct/>
              <w:topLinePunct w:val="0"/>
              <w:bidi w:val="0"/>
              <w:spacing w:line="440" w:lineRule="exact"/>
              <w:ind w:right="0"/>
              <w:jc w:val="center"/>
              <w:rPr>
                <w:rFonts w:ascii="宋体" w:hAnsi="宋体" w:cs="宋体"/>
                <w:color w:val="auto"/>
                <w:szCs w:val="21"/>
                <w:highlight w:val="none"/>
              </w:rPr>
            </w:pPr>
            <w:r>
              <w:rPr>
                <w:rFonts w:hint="eastAsia" w:ascii="宋体" w:hAnsi="宋体" w:cs="宋体"/>
                <w:color w:val="auto"/>
                <w:szCs w:val="21"/>
                <w:highlight w:val="none"/>
              </w:rPr>
              <w:t>2</w:t>
            </w:r>
          </w:p>
        </w:tc>
        <w:tc>
          <w:tcPr>
            <w:tcW w:w="8236" w:type="dxa"/>
            <w:vAlign w:val="center"/>
          </w:tcPr>
          <w:p w14:paraId="0516DDB8">
            <w:pPr>
              <w:pStyle w:val="23"/>
              <w:keepNext w:val="0"/>
              <w:keepLines w:val="0"/>
              <w:pageBreakBefore w:val="0"/>
              <w:widowControl w:val="0"/>
              <w:kinsoku/>
              <w:wordWrap/>
              <w:overflowPunct/>
              <w:topLinePunct w:val="0"/>
              <w:autoSpaceDE/>
              <w:autoSpaceDN/>
              <w:bidi w:val="0"/>
              <w:adjustRightInd/>
              <w:snapToGrid/>
              <w:spacing w:line="440" w:lineRule="exact"/>
              <w:ind w:right="0" w:firstLine="0" w:firstLineChars="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1.供应商的资格条件：详见竞争性磋商公告</w:t>
            </w:r>
          </w:p>
          <w:p w14:paraId="2E472C17">
            <w:pPr>
              <w:pStyle w:val="23"/>
              <w:keepNext w:val="0"/>
              <w:keepLines w:val="0"/>
              <w:pageBreakBefore w:val="0"/>
              <w:widowControl w:val="0"/>
              <w:kinsoku/>
              <w:wordWrap/>
              <w:overflowPunct/>
              <w:topLinePunct w:val="0"/>
              <w:autoSpaceDE/>
              <w:autoSpaceDN/>
              <w:bidi w:val="0"/>
              <w:adjustRightInd/>
              <w:snapToGrid/>
              <w:spacing w:line="440" w:lineRule="exact"/>
              <w:ind w:right="0" w:firstLine="0" w:firstLineChars="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2.供应商出现下列情形之一的，不得参加政府采购活动：</w:t>
            </w:r>
          </w:p>
          <w:p w14:paraId="2E15535B">
            <w:pPr>
              <w:pStyle w:val="23"/>
              <w:keepNext w:val="0"/>
              <w:keepLines w:val="0"/>
              <w:pageBreakBefore w:val="0"/>
              <w:widowControl w:val="0"/>
              <w:kinsoku/>
              <w:wordWrap/>
              <w:overflowPunct/>
              <w:topLinePunct w:val="0"/>
              <w:autoSpaceDE/>
              <w:autoSpaceDN/>
              <w:bidi w:val="0"/>
              <w:adjustRightInd/>
              <w:snapToGrid/>
              <w:spacing w:line="440" w:lineRule="exact"/>
              <w:ind w:right="0" w:firstLine="0" w:firstLineChars="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8A47D85">
            <w:pPr>
              <w:pStyle w:val="23"/>
              <w:keepNext w:val="0"/>
              <w:keepLines w:val="0"/>
              <w:pageBreakBefore w:val="0"/>
              <w:widowControl w:val="0"/>
              <w:kinsoku/>
              <w:wordWrap w:val="0"/>
              <w:overflowPunct/>
              <w:topLinePunct w:val="0"/>
              <w:autoSpaceDE/>
              <w:autoSpaceDN/>
              <w:bidi w:val="0"/>
              <w:adjustRightInd/>
              <w:snapToGrid/>
              <w:spacing w:line="440" w:lineRule="exact"/>
              <w:ind w:right="0" w:firstLine="0" w:firstLineChars="0"/>
              <w:textAlignment w:val="auto"/>
            </w:pPr>
            <w:r>
              <w:rPr>
                <w:rFonts w:hint="eastAsia" w:ascii="宋体" w:hAnsi="宋体" w:eastAsia="宋体" w:cs="宋体"/>
                <w:color w:val="auto"/>
                <w:sz w:val="21"/>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3A6AD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817" w:type="dxa"/>
            <w:vAlign w:val="center"/>
          </w:tcPr>
          <w:p w14:paraId="730ACAC5">
            <w:pPr>
              <w:keepNext w:val="0"/>
              <w:keepLines w:val="0"/>
              <w:pageBreakBefore w:val="0"/>
              <w:kinsoku/>
              <w:overflowPunct/>
              <w:topLinePunct w:val="0"/>
              <w:bidi w:val="0"/>
              <w:spacing w:line="440" w:lineRule="exact"/>
              <w:ind w:right="0"/>
              <w:jc w:val="center"/>
              <w:rPr>
                <w:rFonts w:ascii="宋体" w:hAnsi="宋体" w:cs="宋体"/>
                <w:color w:val="auto"/>
                <w:szCs w:val="21"/>
                <w:highlight w:val="none"/>
              </w:rPr>
            </w:pPr>
            <w:r>
              <w:rPr>
                <w:rFonts w:hint="eastAsia" w:ascii="宋体" w:hAnsi="宋体" w:cs="宋体"/>
                <w:color w:val="auto"/>
                <w:szCs w:val="21"/>
                <w:highlight w:val="none"/>
              </w:rPr>
              <w:t>3</w:t>
            </w:r>
          </w:p>
        </w:tc>
        <w:tc>
          <w:tcPr>
            <w:tcW w:w="8236" w:type="dxa"/>
            <w:vAlign w:val="center"/>
          </w:tcPr>
          <w:p w14:paraId="7B2F11D1">
            <w:pPr>
              <w:pStyle w:val="23"/>
              <w:keepNext w:val="0"/>
              <w:keepLines w:val="0"/>
              <w:pageBreakBefore w:val="0"/>
              <w:kinsoku/>
              <w:overflowPunct/>
              <w:topLinePunct w:val="0"/>
              <w:bidi w:val="0"/>
              <w:spacing w:line="440" w:lineRule="exact"/>
              <w:ind w:right="0"/>
              <w:rPr>
                <w:rFonts w:hAnsi="宋体" w:cs="宋体"/>
                <w:color w:val="auto"/>
                <w:sz w:val="21"/>
                <w:highlight w:val="none"/>
              </w:rPr>
            </w:pPr>
            <w:r>
              <w:rPr>
                <w:rFonts w:hint="eastAsia" w:hAnsi="宋体" w:cs="宋体"/>
                <w:color w:val="auto"/>
                <w:sz w:val="21"/>
                <w:highlight w:val="none"/>
              </w:rPr>
              <w:t xml:space="preserve">□本项目不收取磋商保证金。 </w:t>
            </w:r>
          </w:p>
          <w:p w14:paraId="12D662F7">
            <w:pPr>
              <w:pStyle w:val="23"/>
              <w:keepNext w:val="0"/>
              <w:keepLines w:val="0"/>
              <w:pageBreakBefore w:val="0"/>
              <w:kinsoku/>
              <w:overflowPunct/>
              <w:topLinePunct w:val="0"/>
              <w:bidi w:val="0"/>
              <w:spacing w:line="440" w:lineRule="exact"/>
              <w:ind w:right="0"/>
              <w:rPr>
                <w:rFonts w:hAnsi="宋体" w:cs="宋体"/>
                <w:color w:val="auto"/>
                <w:sz w:val="21"/>
                <w:highlight w:val="none"/>
              </w:rPr>
            </w:pPr>
            <w:r>
              <w:rPr>
                <w:rFonts w:hint="eastAsia" w:hAnsi="宋体" w:cs="宋体"/>
                <w:color w:val="auto"/>
                <w:sz w:val="21"/>
                <w:highlight w:val="none"/>
              </w:rPr>
              <w:t xml:space="preserve">☑本项目收取磋商保证金，具体规定如下： </w:t>
            </w:r>
          </w:p>
          <w:p w14:paraId="2E4B7570">
            <w:pPr>
              <w:pStyle w:val="23"/>
              <w:keepNext w:val="0"/>
              <w:keepLines w:val="0"/>
              <w:pageBreakBefore w:val="0"/>
              <w:kinsoku/>
              <w:overflowPunct/>
              <w:topLinePunct w:val="0"/>
              <w:bidi w:val="0"/>
              <w:spacing w:line="440" w:lineRule="exact"/>
              <w:ind w:right="0"/>
              <w:rPr>
                <w:rFonts w:hAnsi="宋体" w:cs="宋体"/>
                <w:color w:val="auto"/>
                <w:highlight w:val="none"/>
              </w:rPr>
            </w:pPr>
            <w:r>
              <w:rPr>
                <w:rFonts w:hint="eastAsia" w:hAnsi="宋体" w:cs="宋体"/>
                <w:color w:val="auto"/>
                <w:sz w:val="21"/>
                <w:highlight w:val="none"/>
              </w:rPr>
              <w:t>磋商保证金：</w:t>
            </w:r>
            <w:r>
              <w:rPr>
                <w:rFonts w:hint="eastAsia" w:hAnsi="宋体" w:cs="宋体"/>
                <w:b/>
                <w:bCs/>
                <w:color w:val="auto"/>
                <w:sz w:val="21"/>
                <w:highlight w:val="none"/>
                <w:lang w:eastAsia="zh-CN"/>
              </w:rPr>
              <w:t>标项一</w:t>
            </w:r>
            <w:r>
              <w:rPr>
                <w:rFonts w:hint="eastAsia" w:hAnsi="宋体" w:cs="宋体"/>
                <w:color w:val="auto"/>
                <w:sz w:val="21"/>
                <w:highlight w:val="none"/>
              </w:rPr>
              <w:t>人民币</w:t>
            </w:r>
            <w:r>
              <w:rPr>
                <w:rFonts w:hint="eastAsia" w:hAnsi="宋体" w:cs="宋体"/>
                <w:color w:val="auto"/>
                <w:sz w:val="21"/>
                <w:highlight w:val="none"/>
                <w:lang w:val="en-US" w:eastAsia="zh-CN"/>
              </w:rPr>
              <w:t>陆仟元整</w:t>
            </w:r>
            <w:r>
              <w:rPr>
                <w:rFonts w:hint="eastAsia" w:hAnsi="宋体" w:cs="宋体"/>
                <w:color w:val="auto"/>
                <w:sz w:val="21"/>
                <w:highlight w:val="none"/>
              </w:rPr>
              <w:t>（￥</w:t>
            </w:r>
            <w:r>
              <w:rPr>
                <w:rFonts w:hint="eastAsia" w:hAnsi="宋体" w:cs="宋体"/>
                <w:color w:val="auto"/>
                <w:sz w:val="21"/>
                <w:highlight w:val="none"/>
                <w:lang w:val="en-US" w:eastAsia="zh-CN"/>
              </w:rPr>
              <w:t>6000</w:t>
            </w:r>
            <w:r>
              <w:rPr>
                <w:rFonts w:hint="eastAsia" w:hAnsi="宋体" w:cs="宋体"/>
                <w:color w:val="auto"/>
                <w:sz w:val="21"/>
                <w:highlight w:val="none"/>
              </w:rPr>
              <w:t>.00）</w:t>
            </w:r>
            <w:r>
              <w:rPr>
                <w:rStyle w:val="49"/>
                <w:rFonts w:hint="eastAsia" w:hAnsi="宋体" w:cs="宋体"/>
                <w:color w:val="auto"/>
                <w:highlight w:val="none"/>
              </w:rPr>
              <w:t>；</w:t>
            </w:r>
            <w:r>
              <w:rPr>
                <w:rFonts w:hint="eastAsia" w:hAnsi="宋体" w:cs="宋体"/>
                <w:b/>
                <w:bCs/>
                <w:color w:val="auto"/>
                <w:sz w:val="21"/>
                <w:highlight w:val="none"/>
                <w:lang w:eastAsia="zh-CN"/>
              </w:rPr>
              <w:t>标项二</w:t>
            </w:r>
            <w:r>
              <w:rPr>
                <w:rFonts w:hint="eastAsia" w:hAnsi="宋体" w:cs="宋体"/>
                <w:color w:val="auto"/>
                <w:sz w:val="21"/>
                <w:highlight w:val="none"/>
              </w:rPr>
              <w:t>人民币</w:t>
            </w:r>
            <w:r>
              <w:rPr>
                <w:rFonts w:hint="eastAsia" w:hAnsi="宋体" w:cs="宋体"/>
                <w:color w:val="auto"/>
                <w:sz w:val="21"/>
                <w:highlight w:val="none"/>
                <w:lang w:val="en-US" w:eastAsia="zh-CN"/>
              </w:rPr>
              <w:t>伍仟元整</w:t>
            </w:r>
            <w:r>
              <w:rPr>
                <w:rFonts w:hint="eastAsia" w:hAnsi="宋体" w:cs="宋体"/>
                <w:color w:val="auto"/>
                <w:sz w:val="21"/>
                <w:highlight w:val="none"/>
              </w:rPr>
              <w:t>（￥</w:t>
            </w:r>
            <w:r>
              <w:rPr>
                <w:rFonts w:hint="eastAsia" w:hAnsi="宋体" w:cs="宋体"/>
                <w:color w:val="auto"/>
                <w:sz w:val="21"/>
                <w:highlight w:val="none"/>
                <w:lang w:val="en-US" w:eastAsia="zh-CN"/>
              </w:rPr>
              <w:t>5000</w:t>
            </w:r>
            <w:r>
              <w:rPr>
                <w:rFonts w:hint="eastAsia" w:hAnsi="宋体" w:cs="宋体"/>
                <w:color w:val="auto"/>
                <w:sz w:val="21"/>
                <w:highlight w:val="none"/>
              </w:rPr>
              <w:t>.00）；</w:t>
            </w:r>
            <w:r>
              <w:rPr>
                <w:rFonts w:hint="eastAsia" w:hAnsi="宋体" w:cs="宋体"/>
                <w:b/>
                <w:bCs/>
                <w:color w:val="auto"/>
                <w:sz w:val="21"/>
                <w:highlight w:val="none"/>
                <w:lang w:eastAsia="zh-CN"/>
              </w:rPr>
              <w:t>标项三</w:t>
            </w:r>
            <w:r>
              <w:rPr>
                <w:rFonts w:hint="eastAsia" w:hAnsi="宋体" w:cs="宋体"/>
                <w:color w:val="auto"/>
                <w:sz w:val="21"/>
                <w:highlight w:val="none"/>
              </w:rPr>
              <w:t>人民币</w:t>
            </w:r>
            <w:r>
              <w:rPr>
                <w:rFonts w:hint="eastAsia" w:hAnsi="宋体" w:cs="宋体"/>
                <w:color w:val="auto"/>
                <w:sz w:val="21"/>
                <w:highlight w:val="none"/>
                <w:lang w:val="en-US" w:eastAsia="zh-CN"/>
              </w:rPr>
              <w:t>贰仟元整</w:t>
            </w:r>
            <w:r>
              <w:rPr>
                <w:rFonts w:hint="eastAsia" w:hAnsi="宋体" w:cs="宋体"/>
                <w:color w:val="auto"/>
                <w:sz w:val="21"/>
                <w:highlight w:val="none"/>
              </w:rPr>
              <w:t>（￥</w:t>
            </w:r>
            <w:r>
              <w:rPr>
                <w:rFonts w:hint="eastAsia" w:hAnsi="宋体" w:cs="宋体"/>
                <w:color w:val="auto"/>
                <w:sz w:val="21"/>
                <w:highlight w:val="none"/>
                <w:lang w:val="en-US" w:eastAsia="zh-CN"/>
              </w:rPr>
              <w:t>2</w:t>
            </w:r>
            <w:r>
              <w:rPr>
                <w:rFonts w:hint="eastAsia" w:hAnsi="宋体" w:cs="宋体"/>
                <w:color w:val="auto"/>
                <w:sz w:val="21"/>
                <w:highlight w:val="none"/>
              </w:rPr>
              <w:t>000.00）；</w:t>
            </w:r>
            <w:r>
              <w:rPr>
                <w:rFonts w:hint="eastAsia" w:hAnsi="宋体" w:cs="宋体"/>
                <w:b/>
                <w:bCs/>
                <w:color w:val="auto"/>
                <w:sz w:val="21"/>
                <w:highlight w:val="none"/>
                <w:lang w:eastAsia="zh-CN"/>
              </w:rPr>
              <w:t>标项四</w:t>
            </w:r>
            <w:r>
              <w:rPr>
                <w:rFonts w:hint="eastAsia" w:hAnsi="宋体" w:cs="宋体"/>
                <w:color w:val="auto"/>
                <w:sz w:val="21"/>
                <w:highlight w:val="none"/>
              </w:rPr>
              <w:t>人民币</w:t>
            </w:r>
            <w:r>
              <w:rPr>
                <w:rFonts w:hint="eastAsia" w:hAnsi="宋体" w:cs="宋体"/>
                <w:color w:val="auto"/>
                <w:sz w:val="21"/>
                <w:highlight w:val="none"/>
                <w:lang w:val="en-US" w:eastAsia="zh-CN"/>
              </w:rPr>
              <w:t>壹仟元整</w:t>
            </w:r>
            <w:r>
              <w:rPr>
                <w:rFonts w:hint="eastAsia" w:hAnsi="宋体" w:cs="宋体"/>
                <w:color w:val="auto"/>
                <w:sz w:val="21"/>
                <w:highlight w:val="none"/>
              </w:rPr>
              <w:t>（￥</w:t>
            </w:r>
            <w:r>
              <w:rPr>
                <w:rFonts w:hint="eastAsia" w:hAnsi="宋体" w:cs="宋体"/>
                <w:color w:val="auto"/>
                <w:sz w:val="21"/>
                <w:highlight w:val="none"/>
                <w:lang w:val="en-US" w:eastAsia="zh-CN"/>
              </w:rPr>
              <w:t>10</w:t>
            </w:r>
            <w:r>
              <w:rPr>
                <w:rFonts w:hint="eastAsia" w:hAnsi="宋体" w:cs="宋体"/>
                <w:color w:val="auto"/>
                <w:sz w:val="21"/>
                <w:highlight w:val="none"/>
              </w:rPr>
              <w:t>00.00）。</w:t>
            </w:r>
          </w:p>
        </w:tc>
      </w:tr>
      <w:tr w14:paraId="37657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0" w:hRule="atLeast"/>
        </w:trPr>
        <w:tc>
          <w:tcPr>
            <w:tcW w:w="817" w:type="dxa"/>
            <w:vAlign w:val="center"/>
          </w:tcPr>
          <w:p w14:paraId="0248C227">
            <w:pPr>
              <w:keepNext w:val="0"/>
              <w:keepLines w:val="0"/>
              <w:pageBreakBefore w:val="0"/>
              <w:kinsoku/>
              <w:overflowPunct/>
              <w:topLinePunct w:val="0"/>
              <w:bidi w:val="0"/>
              <w:spacing w:line="440" w:lineRule="exact"/>
              <w:ind w:right="0"/>
              <w:jc w:val="center"/>
              <w:rPr>
                <w:rFonts w:ascii="宋体" w:hAnsi="宋体" w:cs="宋体"/>
                <w:color w:val="auto"/>
                <w:szCs w:val="21"/>
                <w:highlight w:val="none"/>
              </w:rPr>
            </w:pPr>
            <w:r>
              <w:rPr>
                <w:rFonts w:hint="eastAsia" w:ascii="宋体" w:hAnsi="宋体" w:cs="宋体"/>
                <w:color w:val="auto"/>
                <w:szCs w:val="21"/>
                <w:highlight w:val="none"/>
              </w:rPr>
              <w:t>4</w:t>
            </w:r>
          </w:p>
        </w:tc>
        <w:tc>
          <w:tcPr>
            <w:tcW w:w="8236" w:type="dxa"/>
            <w:vAlign w:val="center"/>
          </w:tcPr>
          <w:p w14:paraId="12C79AF4">
            <w:pPr>
              <w:keepNext w:val="0"/>
              <w:keepLines w:val="0"/>
              <w:pageBreakBefore w:val="0"/>
              <w:kinsoku/>
              <w:overflowPunct/>
              <w:topLinePunct w:val="0"/>
              <w:bidi w:val="0"/>
              <w:spacing w:line="440" w:lineRule="exact"/>
              <w:ind w:right="0"/>
              <w:rPr>
                <w:rFonts w:ascii="宋体" w:hAnsi="宋体" w:cs="宋体"/>
                <w:color w:val="auto"/>
                <w:szCs w:val="21"/>
                <w:highlight w:val="none"/>
              </w:rPr>
            </w:pPr>
            <w:r>
              <w:rPr>
                <w:rFonts w:hint="eastAsia" w:ascii="宋体" w:hAnsi="宋体" w:cs="宋体"/>
                <w:color w:val="auto"/>
                <w:szCs w:val="21"/>
                <w:highlight w:val="none"/>
              </w:rPr>
              <w:t>现场考察或答疑会：</w:t>
            </w:r>
          </w:p>
          <w:p w14:paraId="44E52618">
            <w:pPr>
              <w:keepNext w:val="0"/>
              <w:keepLines w:val="0"/>
              <w:pageBreakBefore w:val="0"/>
              <w:kinsoku/>
              <w:overflowPunct/>
              <w:topLinePunct w:val="0"/>
              <w:bidi w:val="0"/>
              <w:spacing w:line="440" w:lineRule="exact"/>
              <w:ind w:right="0"/>
              <w:rPr>
                <w:rFonts w:ascii="宋体" w:hAnsi="宋体" w:cs="宋体"/>
                <w:color w:val="auto"/>
                <w:szCs w:val="21"/>
                <w:highlight w:val="none"/>
              </w:rPr>
            </w:pPr>
            <w:r>
              <w:rPr>
                <w:rFonts w:hint="eastAsia" w:ascii="宋体" w:hAnsi="宋体" w:cs="宋体"/>
                <w:color w:val="auto"/>
                <w:szCs w:val="21"/>
                <w:highlight w:val="none"/>
              </w:rPr>
              <w:t>□组织。集中考察时间：</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，集中考察地点：</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，联系人：</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w:t>
            </w:r>
          </w:p>
          <w:p w14:paraId="665A41C8">
            <w:pPr>
              <w:keepNext w:val="0"/>
              <w:keepLines w:val="0"/>
              <w:pageBreakBefore w:val="0"/>
              <w:kinsoku/>
              <w:overflowPunct/>
              <w:topLinePunct w:val="0"/>
              <w:bidi w:val="0"/>
              <w:spacing w:line="440" w:lineRule="exact"/>
              <w:ind w:right="0"/>
              <w:rPr>
                <w:rFonts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不组织。供应商自行考察现场。</w:t>
            </w:r>
          </w:p>
        </w:tc>
      </w:tr>
      <w:tr w14:paraId="72A4C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817" w:type="dxa"/>
            <w:vAlign w:val="center"/>
          </w:tcPr>
          <w:p w14:paraId="283E4D3A">
            <w:pPr>
              <w:keepNext w:val="0"/>
              <w:keepLines w:val="0"/>
              <w:pageBreakBefore w:val="0"/>
              <w:kinsoku/>
              <w:overflowPunct/>
              <w:topLinePunct w:val="0"/>
              <w:bidi w:val="0"/>
              <w:spacing w:line="440" w:lineRule="exact"/>
              <w:ind w:right="0"/>
              <w:jc w:val="center"/>
              <w:rPr>
                <w:rFonts w:ascii="宋体" w:hAnsi="宋体" w:cs="宋体"/>
                <w:color w:val="0000FF"/>
                <w:szCs w:val="21"/>
                <w:highlight w:val="none"/>
              </w:rPr>
            </w:pPr>
            <w:r>
              <w:rPr>
                <w:rFonts w:hint="eastAsia" w:ascii="宋体" w:hAnsi="宋体" w:eastAsia="宋体" w:cs="宋体"/>
                <w:color w:val="auto"/>
                <w:szCs w:val="21"/>
                <w:highlight w:val="none"/>
              </w:rPr>
              <w:t>5</w:t>
            </w:r>
          </w:p>
        </w:tc>
        <w:tc>
          <w:tcPr>
            <w:tcW w:w="8236" w:type="dxa"/>
            <w:vAlign w:val="center"/>
          </w:tcPr>
          <w:p w14:paraId="09DC63CF">
            <w:pPr>
              <w:keepNext w:val="0"/>
              <w:keepLines w:val="0"/>
              <w:pageBreakBefore w:val="0"/>
              <w:kinsoku/>
              <w:overflowPunct/>
              <w:topLinePunct w:val="0"/>
              <w:bidi w:val="0"/>
              <w:spacing w:line="440" w:lineRule="exact"/>
              <w:ind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是否需要演示：</w:t>
            </w:r>
          </w:p>
          <w:p w14:paraId="057E6365">
            <w:pPr>
              <w:keepNext w:val="0"/>
              <w:keepLines w:val="0"/>
              <w:pageBreakBefore w:val="0"/>
              <w:kinsoku/>
              <w:overflowPunct/>
              <w:topLinePunct w:val="0"/>
              <w:bidi w:val="0"/>
              <w:spacing w:line="440" w:lineRule="exact"/>
              <w:ind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☑不需演示。</w:t>
            </w:r>
          </w:p>
          <w:p w14:paraId="135B167C">
            <w:pPr>
              <w:keepNext w:val="0"/>
              <w:keepLines w:val="0"/>
              <w:pageBreakBefore w:val="0"/>
              <w:kinsoku/>
              <w:overflowPunct/>
              <w:topLinePunct w:val="0"/>
              <w:bidi w:val="0"/>
              <w:spacing w:line="440" w:lineRule="exact"/>
              <w:ind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□需要演示</w:t>
            </w:r>
          </w:p>
          <w:p w14:paraId="3E4AA001">
            <w:pPr>
              <w:keepNext w:val="0"/>
              <w:keepLines w:val="0"/>
              <w:pageBreakBefore w:val="0"/>
              <w:kinsoku/>
              <w:overflowPunct/>
              <w:topLinePunct w:val="0"/>
              <w:bidi w:val="0"/>
              <w:spacing w:line="440" w:lineRule="exact"/>
              <w:ind w:right="0"/>
              <w:rPr>
                <w:rFonts w:ascii="宋体" w:hAnsi="宋体" w:cs="宋体"/>
                <w:color w:val="0000FF"/>
                <w:szCs w:val="21"/>
                <w:highlight w:val="none"/>
              </w:rPr>
            </w:pPr>
            <w:r>
              <w:rPr>
                <w:rFonts w:hint="eastAsia" w:ascii="宋体" w:hAnsi="宋体" w:eastAsia="宋体" w:cs="宋体"/>
                <w:color w:val="auto"/>
                <w:szCs w:val="21"/>
                <w:highlight w:val="none"/>
              </w:rPr>
              <w:t>演示时间：</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p>
        </w:tc>
      </w:tr>
      <w:tr w14:paraId="165AD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817" w:type="dxa"/>
            <w:vAlign w:val="center"/>
          </w:tcPr>
          <w:p w14:paraId="723FF693">
            <w:pPr>
              <w:keepNext w:val="0"/>
              <w:keepLines w:val="0"/>
              <w:pageBreakBefore w:val="0"/>
              <w:kinsoku/>
              <w:overflowPunct/>
              <w:topLinePunct w:val="0"/>
              <w:bidi w:val="0"/>
              <w:spacing w:line="440" w:lineRule="exact"/>
              <w:ind w:right="0"/>
              <w:jc w:val="center"/>
              <w:rPr>
                <w:rFonts w:ascii="宋体" w:hAnsi="宋体" w:cs="宋体"/>
                <w:color w:val="auto"/>
                <w:szCs w:val="21"/>
                <w:highlight w:val="none"/>
              </w:rPr>
            </w:pPr>
            <w:r>
              <w:rPr>
                <w:rFonts w:hint="eastAsia" w:ascii="宋体" w:hAnsi="宋体" w:cs="宋体"/>
                <w:color w:val="auto"/>
                <w:szCs w:val="21"/>
                <w:highlight w:val="none"/>
              </w:rPr>
              <w:t>6</w:t>
            </w:r>
          </w:p>
        </w:tc>
        <w:tc>
          <w:tcPr>
            <w:tcW w:w="8236" w:type="dxa"/>
            <w:vAlign w:val="center"/>
          </w:tcPr>
          <w:p w14:paraId="7B6D905D">
            <w:pPr>
              <w:keepNext w:val="0"/>
              <w:keepLines w:val="0"/>
              <w:pageBreakBefore w:val="0"/>
              <w:kinsoku/>
              <w:overflowPunct/>
              <w:topLinePunct w:val="0"/>
              <w:bidi w:val="0"/>
              <w:snapToGrid w:val="0"/>
              <w:spacing w:line="440" w:lineRule="exact"/>
              <w:ind w:right="0"/>
              <w:rPr>
                <w:rFonts w:ascii="宋体" w:hAnsi="宋体" w:cs="宋体"/>
                <w:color w:val="auto"/>
                <w:kern w:val="0"/>
                <w:szCs w:val="21"/>
                <w:highlight w:val="none"/>
              </w:rPr>
            </w:pPr>
            <w:r>
              <w:rPr>
                <w:rFonts w:hint="eastAsia" w:ascii="宋体" w:hAnsi="宋体" w:cs="宋体"/>
                <w:color w:val="auto"/>
                <w:kern w:val="0"/>
                <w:szCs w:val="21"/>
                <w:highlight w:val="none"/>
              </w:rPr>
              <w:t>联合体竞标：</w:t>
            </w:r>
          </w:p>
          <w:p w14:paraId="06E1B53B">
            <w:pPr>
              <w:keepNext w:val="0"/>
              <w:keepLines w:val="0"/>
              <w:pageBreakBefore w:val="0"/>
              <w:kinsoku/>
              <w:overflowPunct/>
              <w:topLinePunct w:val="0"/>
              <w:bidi w:val="0"/>
              <w:snapToGrid w:val="0"/>
              <w:spacing w:line="440" w:lineRule="exact"/>
              <w:ind w:right="0"/>
              <w:rPr>
                <w:rFonts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接受联合体竞标。</w:t>
            </w:r>
          </w:p>
          <w:p w14:paraId="23970CF1">
            <w:pPr>
              <w:keepNext w:val="0"/>
              <w:keepLines w:val="0"/>
              <w:pageBreakBefore w:val="0"/>
              <w:kinsoku/>
              <w:overflowPunct/>
              <w:topLinePunct w:val="0"/>
              <w:bidi w:val="0"/>
              <w:snapToGrid w:val="0"/>
              <w:spacing w:line="440" w:lineRule="exact"/>
              <w:ind w:right="0"/>
              <w:rPr>
                <w:rFonts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不接受联合体竞标</w:t>
            </w:r>
          </w:p>
        </w:tc>
      </w:tr>
      <w:tr w14:paraId="674FC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817" w:type="dxa"/>
            <w:vAlign w:val="center"/>
          </w:tcPr>
          <w:p w14:paraId="5D6EAAF2">
            <w:pPr>
              <w:keepNext w:val="0"/>
              <w:keepLines w:val="0"/>
              <w:pageBreakBefore w:val="0"/>
              <w:kinsoku/>
              <w:overflowPunct/>
              <w:topLinePunct w:val="0"/>
              <w:bidi w:val="0"/>
              <w:spacing w:line="440" w:lineRule="exact"/>
              <w:ind w:right="0"/>
              <w:jc w:val="center"/>
              <w:rPr>
                <w:rFonts w:ascii="宋体" w:hAnsi="宋体" w:cs="宋体"/>
                <w:color w:val="auto"/>
                <w:szCs w:val="21"/>
                <w:highlight w:val="none"/>
              </w:rPr>
            </w:pPr>
            <w:r>
              <w:rPr>
                <w:rFonts w:hint="eastAsia" w:ascii="宋体" w:hAnsi="宋体" w:cs="宋体"/>
                <w:color w:val="auto"/>
                <w:szCs w:val="21"/>
                <w:highlight w:val="none"/>
              </w:rPr>
              <w:t>7</w:t>
            </w:r>
          </w:p>
        </w:tc>
        <w:tc>
          <w:tcPr>
            <w:tcW w:w="8236" w:type="dxa"/>
            <w:vAlign w:val="center"/>
          </w:tcPr>
          <w:p w14:paraId="78A95C38">
            <w:pPr>
              <w:keepNext w:val="0"/>
              <w:keepLines w:val="0"/>
              <w:pageBreakBefore w:val="0"/>
              <w:kinsoku/>
              <w:overflowPunct/>
              <w:topLinePunct w:val="0"/>
              <w:bidi w:val="0"/>
              <w:snapToGrid w:val="0"/>
              <w:spacing w:line="440" w:lineRule="exact"/>
              <w:ind w:right="0"/>
              <w:rPr>
                <w:rFonts w:ascii="宋体" w:hAnsi="宋体" w:cs="宋体"/>
                <w:color w:val="auto"/>
                <w:kern w:val="0"/>
                <w:szCs w:val="21"/>
                <w:highlight w:val="none"/>
              </w:rPr>
            </w:pPr>
            <w:r>
              <w:rPr>
                <w:rFonts w:hint="eastAsia" w:ascii="宋体" w:hAnsi="宋体" w:cs="宋体"/>
                <w:color w:val="auto"/>
                <w:kern w:val="0"/>
                <w:szCs w:val="21"/>
                <w:highlight w:val="none"/>
              </w:rPr>
              <w:t>是否允许分包：</w:t>
            </w:r>
          </w:p>
          <w:p w14:paraId="49D0A397">
            <w:pPr>
              <w:keepNext w:val="0"/>
              <w:keepLines w:val="0"/>
              <w:pageBreakBefore w:val="0"/>
              <w:kinsoku/>
              <w:overflowPunct/>
              <w:topLinePunct w:val="0"/>
              <w:bidi w:val="0"/>
              <w:snapToGrid w:val="0"/>
              <w:spacing w:line="440" w:lineRule="exact"/>
              <w:ind w:right="0"/>
              <w:rPr>
                <w:rFonts w:ascii="宋体" w:hAnsi="宋体" w:cs="宋体"/>
                <w:color w:val="auto"/>
                <w:kern w:val="0"/>
                <w:szCs w:val="21"/>
                <w:highlight w:val="none"/>
              </w:rPr>
            </w:pPr>
            <w:r>
              <w:rPr>
                <w:rFonts w:hint="eastAsia" w:ascii="宋体" w:hAnsi="宋体" w:cs="宋体"/>
                <w:color w:val="auto"/>
                <w:kern w:val="0"/>
                <w:szCs w:val="21"/>
                <w:highlight w:val="none"/>
              </w:rPr>
              <w:t>☑不允许分包</w:t>
            </w:r>
          </w:p>
          <w:p w14:paraId="535112B9">
            <w:pPr>
              <w:keepNext w:val="0"/>
              <w:keepLines w:val="0"/>
              <w:pageBreakBefore w:val="0"/>
              <w:kinsoku/>
              <w:overflowPunct/>
              <w:topLinePunct w:val="0"/>
              <w:bidi w:val="0"/>
              <w:snapToGrid w:val="0"/>
              <w:spacing w:line="440" w:lineRule="exact"/>
              <w:ind w:right="0"/>
              <w:rPr>
                <w:rFonts w:ascii="宋体" w:hAnsi="宋体" w:cs="宋体"/>
                <w:color w:val="auto"/>
                <w:kern w:val="0"/>
                <w:szCs w:val="21"/>
                <w:highlight w:val="none"/>
              </w:rPr>
            </w:pPr>
            <w:r>
              <w:rPr>
                <w:rFonts w:hint="eastAsia" w:ascii="宋体" w:hAnsi="宋体" w:cs="宋体"/>
                <w:color w:val="auto"/>
                <w:kern w:val="0"/>
                <w:szCs w:val="21"/>
                <w:highlight w:val="none"/>
              </w:rPr>
              <w:t>□允许分包</w:t>
            </w:r>
          </w:p>
          <w:p w14:paraId="1141B926">
            <w:pPr>
              <w:keepNext w:val="0"/>
              <w:keepLines w:val="0"/>
              <w:pageBreakBefore w:val="0"/>
              <w:kinsoku/>
              <w:overflowPunct/>
              <w:topLinePunct w:val="0"/>
              <w:bidi w:val="0"/>
              <w:snapToGrid w:val="0"/>
              <w:spacing w:line="440" w:lineRule="exact"/>
              <w:ind w:right="0"/>
              <w:rPr>
                <w:rFonts w:ascii="宋体" w:hAnsi="宋体" w:cs="宋体"/>
                <w:color w:val="auto"/>
                <w:szCs w:val="21"/>
                <w:highlight w:val="none"/>
              </w:rPr>
            </w:pPr>
            <w:r>
              <w:rPr>
                <w:rFonts w:hint="eastAsia" w:ascii="宋体" w:hAnsi="宋体" w:cs="宋体"/>
                <w:color w:val="auto"/>
                <w:kern w:val="0"/>
                <w:szCs w:val="21"/>
                <w:highlight w:val="none"/>
              </w:rPr>
              <w:t>分包内容：</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w:t>
            </w:r>
          </w:p>
        </w:tc>
      </w:tr>
      <w:tr w14:paraId="09A45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817" w:type="dxa"/>
            <w:vAlign w:val="center"/>
          </w:tcPr>
          <w:p w14:paraId="027BDE5F">
            <w:pPr>
              <w:keepNext w:val="0"/>
              <w:keepLines w:val="0"/>
              <w:pageBreakBefore w:val="0"/>
              <w:kinsoku/>
              <w:overflowPunct/>
              <w:topLinePunct w:val="0"/>
              <w:bidi w:val="0"/>
              <w:spacing w:line="440" w:lineRule="exact"/>
              <w:ind w:right="0"/>
              <w:jc w:val="center"/>
              <w:rPr>
                <w:rFonts w:ascii="宋体" w:hAnsi="宋体" w:cs="宋体"/>
                <w:color w:val="auto"/>
                <w:szCs w:val="21"/>
                <w:highlight w:val="none"/>
              </w:rPr>
            </w:pPr>
            <w:r>
              <w:rPr>
                <w:rFonts w:hint="eastAsia" w:ascii="宋体" w:hAnsi="宋体" w:cs="宋体"/>
                <w:color w:val="auto"/>
                <w:szCs w:val="21"/>
                <w:highlight w:val="none"/>
              </w:rPr>
              <w:t>8</w:t>
            </w:r>
          </w:p>
        </w:tc>
        <w:tc>
          <w:tcPr>
            <w:tcW w:w="8236" w:type="dxa"/>
            <w:vAlign w:val="center"/>
          </w:tcPr>
          <w:p w14:paraId="225E9DA6">
            <w:pPr>
              <w:keepNext w:val="0"/>
              <w:keepLines w:val="0"/>
              <w:pageBreakBefore w:val="0"/>
              <w:kinsoku/>
              <w:overflowPunct/>
              <w:topLinePunct w:val="0"/>
              <w:bidi w:val="0"/>
              <w:snapToGrid w:val="0"/>
              <w:spacing w:line="440" w:lineRule="exact"/>
              <w:ind w:right="0"/>
              <w:rPr>
                <w:rFonts w:ascii="宋体" w:hAnsi="宋体" w:cs="宋体"/>
                <w:color w:val="auto"/>
                <w:szCs w:val="21"/>
                <w:highlight w:val="none"/>
              </w:rPr>
            </w:pPr>
            <w:r>
              <w:rPr>
                <w:rFonts w:hint="eastAsia" w:ascii="宋体" w:hAnsi="宋体" w:cs="宋体"/>
                <w:color w:val="auto"/>
                <w:szCs w:val="21"/>
                <w:highlight w:val="none"/>
              </w:rPr>
              <w:t>响应文件组成：资格文件、商务和技术文件、报价文件。</w:t>
            </w:r>
          </w:p>
        </w:tc>
      </w:tr>
      <w:tr w14:paraId="1E4F4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7C386AAC">
            <w:pPr>
              <w:keepNext w:val="0"/>
              <w:keepLines w:val="0"/>
              <w:pageBreakBefore w:val="0"/>
              <w:kinsoku/>
              <w:overflowPunct/>
              <w:topLinePunct w:val="0"/>
              <w:bidi w:val="0"/>
              <w:spacing w:line="440" w:lineRule="exact"/>
              <w:ind w:right="0"/>
              <w:jc w:val="center"/>
              <w:rPr>
                <w:rFonts w:ascii="宋体" w:hAnsi="宋体" w:cs="宋体"/>
                <w:color w:val="auto"/>
                <w:szCs w:val="21"/>
                <w:highlight w:val="none"/>
              </w:rPr>
            </w:pPr>
            <w:r>
              <w:rPr>
                <w:rFonts w:hint="eastAsia" w:ascii="宋体" w:hAnsi="宋体" w:cs="宋体"/>
                <w:color w:val="auto"/>
                <w:szCs w:val="21"/>
                <w:highlight w:val="none"/>
              </w:rPr>
              <w:t>9</w:t>
            </w:r>
          </w:p>
        </w:tc>
        <w:tc>
          <w:tcPr>
            <w:tcW w:w="8236" w:type="dxa"/>
            <w:vAlign w:val="center"/>
          </w:tcPr>
          <w:p w14:paraId="15AB1311">
            <w:pPr>
              <w:keepNext w:val="0"/>
              <w:keepLines w:val="0"/>
              <w:pageBreakBefore w:val="0"/>
              <w:kinsoku/>
              <w:overflowPunct/>
              <w:topLinePunct w:val="0"/>
              <w:bidi w:val="0"/>
              <w:spacing w:line="440" w:lineRule="exact"/>
              <w:ind w:right="0"/>
              <w:rPr>
                <w:rFonts w:ascii="宋体" w:hAnsi="宋体" w:cs="宋体"/>
                <w:color w:val="auto"/>
                <w:szCs w:val="21"/>
                <w:highlight w:val="none"/>
              </w:rPr>
            </w:pPr>
            <w:r>
              <w:rPr>
                <w:rFonts w:hint="eastAsia" w:ascii="宋体" w:hAnsi="宋体" w:cs="宋体"/>
                <w:color w:val="auto"/>
                <w:szCs w:val="21"/>
                <w:highlight w:val="none"/>
              </w:rPr>
              <w:t>最高限价：详见竞争性磋商公告。</w:t>
            </w:r>
          </w:p>
        </w:tc>
      </w:tr>
      <w:tr w14:paraId="32C8F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6630F8A2">
            <w:pPr>
              <w:keepNext w:val="0"/>
              <w:keepLines w:val="0"/>
              <w:pageBreakBefore w:val="0"/>
              <w:kinsoku/>
              <w:overflowPunct/>
              <w:topLinePunct w:val="0"/>
              <w:bidi w:val="0"/>
              <w:spacing w:line="440" w:lineRule="exact"/>
              <w:ind w:right="0"/>
              <w:jc w:val="center"/>
              <w:rPr>
                <w:rFonts w:ascii="宋体" w:hAnsi="宋体" w:cs="宋体"/>
                <w:color w:val="auto"/>
                <w:szCs w:val="21"/>
                <w:highlight w:val="none"/>
              </w:rPr>
            </w:pPr>
            <w:r>
              <w:rPr>
                <w:rFonts w:hint="eastAsia" w:ascii="宋体" w:hAnsi="宋体" w:cs="宋体"/>
                <w:color w:val="auto"/>
                <w:szCs w:val="21"/>
                <w:highlight w:val="none"/>
              </w:rPr>
              <w:t>10</w:t>
            </w:r>
          </w:p>
        </w:tc>
        <w:tc>
          <w:tcPr>
            <w:tcW w:w="8236" w:type="dxa"/>
            <w:vAlign w:val="center"/>
          </w:tcPr>
          <w:p w14:paraId="3808F66C">
            <w:pPr>
              <w:keepNext w:val="0"/>
              <w:keepLines w:val="0"/>
              <w:pageBreakBefore w:val="0"/>
              <w:kinsoku/>
              <w:overflowPunct/>
              <w:topLinePunct w:val="0"/>
              <w:bidi w:val="0"/>
              <w:spacing w:line="440" w:lineRule="exact"/>
              <w:ind w:right="0"/>
              <w:rPr>
                <w:rFonts w:hint="eastAsia" w:ascii="宋体" w:hAnsi="宋体" w:cs="宋体"/>
                <w:color w:val="auto"/>
                <w:szCs w:val="21"/>
                <w:highlight w:val="none"/>
              </w:rPr>
            </w:pPr>
            <w:r>
              <w:rPr>
                <w:rFonts w:hint="eastAsia" w:ascii="宋体" w:hAnsi="宋体" w:cs="宋体"/>
                <w:color w:val="auto"/>
                <w:szCs w:val="21"/>
                <w:highlight w:val="none"/>
              </w:rPr>
              <w:t>竞标报价为采购人指定地点的现场交付价格，包括但不限于：</w:t>
            </w:r>
          </w:p>
          <w:p w14:paraId="0EE40E40">
            <w:pPr>
              <w:keepNext w:val="0"/>
              <w:keepLines w:val="0"/>
              <w:pageBreakBefore w:val="0"/>
              <w:kinsoku/>
              <w:overflowPunct/>
              <w:topLinePunct w:val="0"/>
              <w:bidi w:val="0"/>
              <w:spacing w:line="440" w:lineRule="exact"/>
              <w:ind w:right="0"/>
              <w:rPr>
                <w:rFonts w:hint="eastAsia" w:ascii="宋体" w:hAnsi="宋体" w:cs="宋体"/>
                <w:color w:val="auto"/>
                <w:szCs w:val="21"/>
                <w:highlight w:val="none"/>
              </w:rPr>
            </w:pPr>
            <w:r>
              <w:rPr>
                <w:rFonts w:hint="eastAsia" w:ascii="宋体" w:hAnsi="宋体" w:cs="宋体"/>
                <w:color w:val="auto"/>
                <w:szCs w:val="21"/>
                <w:highlight w:val="none"/>
              </w:rPr>
              <w:t>1）采购内容中所有货物和服务的价格；</w:t>
            </w:r>
          </w:p>
          <w:p w14:paraId="36AE2013">
            <w:pPr>
              <w:keepNext w:val="0"/>
              <w:keepLines w:val="0"/>
              <w:pageBreakBefore w:val="0"/>
              <w:kinsoku/>
              <w:overflowPunct/>
              <w:topLinePunct w:val="0"/>
              <w:bidi w:val="0"/>
              <w:spacing w:line="440" w:lineRule="exact"/>
              <w:ind w:right="0"/>
              <w:rPr>
                <w:rFonts w:hint="eastAsia" w:ascii="宋体" w:hAnsi="宋体" w:cs="宋体"/>
                <w:color w:val="auto"/>
                <w:szCs w:val="21"/>
                <w:highlight w:val="none"/>
              </w:rPr>
            </w:pPr>
            <w:r>
              <w:rPr>
                <w:rFonts w:hint="eastAsia" w:ascii="宋体" w:hAnsi="宋体" w:cs="宋体"/>
                <w:color w:val="auto"/>
                <w:szCs w:val="21"/>
                <w:highlight w:val="none"/>
              </w:rPr>
              <w:t>2）货物的标准附件、备品备件、专用工具的价格；</w:t>
            </w:r>
          </w:p>
          <w:p w14:paraId="10ECA638">
            <w:pPr>
              <w:keepNext w:val="0"/>
              <w:keepLines w:val="0"/>
              <w:pageBreakBefore w:val="0"/>
              <w:kinsoku/>
              <w:overflowPunct/>
              <w:topLinePunct w:val="0"/>
              <w:bidi w:val="0"/>
              <w:spacing w:line="440" w:lineRule="exact"/>
              <w:ind w:right="0"/>
              <w:rPr>
                <w:rFonts w:hint="eastAsia" w:ascii="宋体" w:hAnsi="宋体" w:cs="宋体"/>
                <w:color w:val="auto"/>
                <w:szCs w:val="21"/>
                <w:highlight w:val="none"/>
              </w:rPr>
            </w:pPr>
            <w:r>
              <w:rPr>
                <w:rFonts w:hint="eastAsia" w:ascii="宋体" w:hAnsi="宋体" w:cs="宋体"/>
                <w:color w:val="auto"/>
                <w:szCs w:val="21"/>
                <w:highlight w:val="none"/>
              </w:rPr>
              <w:t>3）运输、装卸、安装（含安装材料）、调试、培训、技术支持、售后服务的费用，质保期内免费维修、养护、软件升级等费用；</w:t>
            </w:r>
          </w:p>
          <w:p w14:paraId="11D31F96">
            <w:pPr>
              <w:keepNext w:val="0"/>
              <w:keepLines w:val="0"/>
              <w:pageBreakBefore w:val="0"/>
              <w:kinsoku/>
              <w:overflowPunct/>
              <w:topLinePunct w:val="0"/>
              <w:bidi w:val="0"/>
              <w:spacing w:line="440" w:lineRule="exact"/>
              <w:ind w:right="0"/>
              <w:rPr>
                <w:rFonts w:ascii="宋体" w:hAnsi="宋体" w:cs="宋体"/>
                <w:color w:val="auto"/>
                <w:highlight w:val="none"/>
              </w:rPr>
            </w:pPr>
            <w:r>
              <w:rPr>
                <w:rFonts w:hint="eastAsia" w:ascii="宋体" w:hAnsi="宋体" w:cs="宋体"/>
                <w:color w:val="auto"/>
                <w:szCs w:val="21"/>
                <w:highlight w:val="none"/>
              </w:rPr>
              <w:t>4）必要的保险、检测费用和各项税费等。</w:t>
            </w:r>
          </w:p>
        </w:tc>
      </w:tr>
      <w:tr w14:paraId="2DCB1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3D2DE8AE">
            <w:pPr>
              <w:keepNext w:val="0"/>
              <w:keepLines w:val="0"/>
              <w:pageBreakBefore w:val="0"/>
              <w:kinsoku/>
              <w:overflowPunct/>
              <w:topLinePunct w:val="0"/>
              <w:bidi w:val="0"/>
              <w:spacing w:line="440" w:lineRule="exact"/>
              <w:ind w:right="0"/>
              <w:jc w:val="center"/>
              <w:rPr>
                <w:rFonts w:ascii="宋体" w:hAnsi="宋体" w:cs="宋体"/>
                <w:color w:val="auto"/>
                <w:szCs w:val="21"/>
                <w:highlight w:val="none"/>
              </w:rPr>
            </w:pPr>
            <w:r>
              <w:rPr>
                <w:rFonts w:hint="eastAsia" w:ascii="宋体" w:hAnsi="宋体" w:cs="宋体"/>
                <w:color w:val="auto"/>
                <w:szCs w:val="21"/>
                <w:highlight w:val="none"/>
              </w:rPr>
              <w:t>11</w:t>
            </w:r>
          </w:p>
        </w:tc>
        <w:tc>
          <w:tcPr>
            <w:tcW w:w="8236" w:type="dxa"/>
            <w:vAlign w:val="center"/>
          </w:tcPr>
          <w:p w14:paraId="13BF8951">
            <w:pPr>
              <w:keepNext w:val="0"/>
              <w:keepLines w:val="0"/>
              <w:pageBreakBefore w:val="0"/>
              <w:kinsoku/>
              <w:overflowPunct/>
              <w:topLinePunct w:val="0"/>
              <w:bidi w:val="0"/>
              <w:spacing w:line="440" w:lineRule="exact"/>
              <w:ind w:right="0"/>
              <w:rPr>
                <w:rFonts w:ascii="宋体" w:hAnsi="宋体" w:cs="宋体"/>
                <w:color w:val="auto"/>
                <w:szCs w:val="21"/>
                <w:highlight w:val="none"/>
              </w:rPr>
            </w:pPr>
            <w:r>
              <w:rPr>
                <w:rFonts w:hint="eastAsia" w:ascii="宋体" w:hAnsi="宋体" w:cs="宋体"/>
                <w:color w:val="auto"/>
                <w:szCs w:val="21"/>
                <w:highlight w:val="none"/>
              </w:rPr>
              <w:t>提交响应文件截止时间：</w:t>
            </w:r>
            <w:r>
              <w:rPr>
                <w:rFonts w:hint="eastAsia" w:ascii="宋体" w:hAnsi="宋体" w:cs="宋体"/>
                <w:color w:val="auto"/>
                <w:szCs w:val="21"/>
                <w:highlight w:val="none"/>
                <w:lang w:eastAsia="zh-CN"/>
              </w:rPr>
              <w:t>2026年05月09日</w:t>
            </w:r>
            <w:r>
              <w:rPr>
                <w:rFonts w:hint="eastAsia" w:ascii="宋体" w:hAnsi="宋体" w:cs="宋体"/>
                <w:color w:val="auto"/>
                <w:szCs w:val="21"/>
                <w:highlight w:val="none"/>
              </w:rPr>
              <w:t>09:30（北京时间）</w:t>
            </w:r>
          </w:p>
          <w:p w14:paraId="4894C742">
            <w:pPr>
              <w:keepNext w:val="0"/>
              <w:keepLines w:val="0"/>
              <w:pageBreakBefore w:val="0"/>
              <w:kinsoku/>
              <w:overflowPunct/>
              <w:topLinePunct w:val="0"/>
              <w:bidi w:val="0"/>
              <w:spacing w:line="440" w:lineRule="exact"/>
              <w:ind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提交</w:t>
            </w:r>
            <w:r>
              <w:rPr>
                <w:rFonts w:hint="eastAsia" w:ascii="宋体" w:hAnsi="宋体" w:cs="宋体"/>
                <w:color w:val="auto"/>
                <w:szCs w:val="21"/>
                <w:highlight w:val="none"/>
              </w:rPr>
              <w:t>地点（网址）：</w:t>
            </w:r>
            <w:r>
              <w:rPr>
                <w:rFonts w:hint="eastAsia" w:ascii="宋体" w:hAnsi="宋体" w:cs="宋体"/>
                <w:color w:val="auto"/>
                <w:szCs w:val="21"/>
                <w:highlight w:val="none"/>
                <w:lang w:eastAsia="zh-CN"/>
              </w:rPr>
              <w:t>广西政府采购云平台开标大厅</w:t>
            </w:r>
          </w:p>
          <w:p w14:paraId="316FE778">
            <w:pPr>
              <w:keepNext w:val="0"/>
              <w:keepLines w:val="0"/>
              <w:pageBreakBefore w:val="0"/>
              <w:kinsoku/>
              <w:overflowPunct/>
              <w:topLinePunct w:val="0"/>
              <w:bidi w:val="0"/>
              <w:spacing w:line="440" w:lineRule="exact"/>
              <w:ind w:right="0"/>
              <w:rPr>
                <w:rFonts w:ascii="宋体" w:hAnsi="宋体" w:cs="宋体"/>
                <w:color w:val="auto"/>
                <w:szCs w:val="21"/>
                <w:highlight w:val="none"/>
              </w:rPr>
            </w:pPr>
            <w:r>
              <w:rPr>
                <w:rFonts w:hint="eastAsia" w:ascii="宋体" w:hAnsi="宋体" w:cs="宋体"/>
                <w:color w:val="auto"/>
                <w:szCs w:val="21"/>
                <w:highlight w:val="none"/>
              </w:rPr>
              <w:t>开标时间：</w:t>
            </w:r>
            <w:r>
              <w:rPr>
                <w:rFonts w:hint="eastAsia" w:ascii="宋体" w:hAnsi="宋体" w:cs="宋体"/>
                <w:color w:val="auto"/>
                <w:szCs w:val="21"/>
                <w:highlight w:val="none"/>
                <w:lang w:eastAsia="zh-CN"/>
              </w:rPr>
              <w:t>2026年05月09日</w:t>
            </w:r>
            <w:r>
              <w:rPr>
                <w:rFonts w:hint="eastAsia" w:ascii="宋体" w:hAnsi="宋体" w:cs="宋体"/>
                <w:color w:val="auto"/>
                <w:szCs w:val="21"/>
                <w:highlight w:val="none"/>
              </w:rPr>
              <w:t>09:30</w:t>
            </w:r>
          </w:p>
          <w:p w14:paraId="17BAE90C">
            <w:pPr>
              <w:keepNext w:val="0"/>
              <w:keepLines w:val="0"/>
              <w:pageBreakBefore w:val="0"/>
              <w:kinsoku/>
              <w:overflowPunct/>
              <w:topLinePunct w:val="0"/>
              <w:bidi w:val="0"/>
              <w:spacing w:line="440" w:lineRule="exact"/>
              <w:ind w:right="0"/>
              <w:rPr>
                <w:rFonts w:ascii="宋体" w:hAnsi="宋体" w:cs="宋体"/>
                <w:color w:val="auto"/>
                <w:szCs w:val="21"/>
                <w:highlight w:val="none"/>
              </w:rPr>
            </w:pPr>
            <w:r>
              <w:rPr>
                <w:rFonts w:hint="eastAsia" w:ascii="宋体" w:hAnsi="宋体" w:cs="宋体"/>
                <w:color w:val="auto"/>
                <w:szCs w:val="21"/>
                <w:highlight w:val="none"/>
              </w:rPr>
              <w:t>开标地点：本次招标在广西政府采购云平台开标大厅电子开标大厅开标。</w:t>
            </w:r>
          </w:p>
          <w:p w14:paraId="269785C6">
            <w:pPr>
              <w:keepNext w:val="0"/>
              <w:keepLines w:val="0"/>
              <w:pageBreakBefore w:val="0"/>
              <w:kinsoku/>
              <w:overflowPunct/>
              <w:topLinePunct w:val="0"/>
              <w:bidi w:val="0"/>
              <w:spacing w:line="440" w:lineRule="exact"/>
              <w:ind w:right="0"/>
              <w:rPr>
                <w:rFonts w:ascii="宋体" w:hAnsi="宋体" w:cs="宋体"/>
                <w:color w:val="auto"/>
                <w:szCs w:val="21"/>
                <w:highlight w:val="none"/>
              </w:rPr>
            </w:pPr>
            <w:r>
              <w:rPr>
                <w:rFonts w:hint="eastAsia" w:ascii="宋体" w:hAnsi="宋体" w:cs="宋体"/>
                <w:color w:val="auto"/>
                <w:szCs w:val="21"/>
                <w:highlight w:val="none"/>
              </w:rPr>
              <w:t>CA证书在线解密：供应商</w:t>
            </w:r>
            <w:r>
              <w:rPr>
                <w:rFonts w:hint="eastAsia" w:ascii="宋体" w:hAnsi="宋体" w:cs="宋体"/>
                <w:color w:val="auto"/>
                <w:szCs w:val="21"/>
                <w:highlight w:val="none"/>
                <w:lang w:eastAsia="zh-CN"/>
              </w:rPr>
              <w:t>竞标</w:t>
            </w:r>
            <w:r>
              <w:rPr>
                <w:rFonts w:hint="eastAsia" w:ascii="宋体" w:hAnsi="宋体" w:cs="宋体"/>
                <w:color w:val="auto"/>
                <w:szCs w:val="21"/>
                <w:highlight w:val="none"/>
              </w:rPr>
              <w:t>时，需携带制作响应文件时用来加密的有效数字证书（CA认证）登录广西政府采购云平台电子开标大厅现场按规定时间对加密的响应文件进行解密，否则后果自负。</w:t>
            </w:r>
          </w:p>
          <w:p w14:paraId="452FB8FF">
            <w:pPr>
              <w:keepNext w:val="0"/>
              <w:keepLines w:val="0"/>
              <w:pageBreakBefore w:val="0"/>
              <w:kinsoku/>
              <w:overflowPunct/>
              <w:topLinePunct w:val="0"/>
              <w:bidi w:val="0"/>
              <w:spacing w:line="440" w:lineRule="exact"/>
              <w:ind w:right="0"/>
              <w:rPr>
                <w:rFonts w:ascii="宋体" w:hAnsi="宋体" w:cs="宋体"/>
                <w:color w:val="auto"/>
                <w:szCs w:val="21"/>
                <w:highlight w:val="none"/>
              </w:rPr>
            </w:pPr>
            <w:r>
              <w:rPr>
                <w:rFonts w:hint="eastAsia" w:ascii="宋体" w:hAnsi="宋体" w:cs="宋体"/>
                <w:color w:val="auto"/>
                <w:szCs w:val="21"/>
                <w:highlight w:val="none"/>
              </w:rPr>
              <w:t>供应商应当在首次响应文件提交截止时间前完成电子响应文件的上传、递交，响应文件提交截止时间前可以补充、修改或者撤回响应文件。补充或者修改响应文件的，应当先行撤回原文件，补充、修改后重新上传、递交。首次响应文件提交截止时间前未完成上传、递交的，视为撤回响应文件。响应文件提交截止时间以后上传递交的响应文件的，广西政府采购云平台将予以拒收。</w:t>
            </w:r>
          </w:p>
        </w:tc>
      </w:tr>
      <w:tr w14:paraId="66B9F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1C990B19">
            <w:pPr>
              <w:keepNext w:val="0"/>
              <w:keepLines w:val="0"/>
              <w:pageBreakBefore w:val="0"/>
              <w:kinsoku/>
              <w:overflowPunct/>
              <w:topLinePunct w:val="0"/>
              <w:bidi w:val="0"/>
              <w:spacing w:line="440" w:lineRule="exact"/>
              <w:ind w:right="0"/>
              <w:jc w:val="center"/>
              <w:rPr>
                <w:rFonts w:ascii="宋体" w:hAnsi="宋体" w:cs="宋体"/>
                <w:color w:val="auto"/>
                <w:szCs w:val="21"/>
                <w:highlight w:val="none"/>
              </w:rPr>
            </w:pPr>
            <w:r>
              <w:rPr>
                <w:rFonts w:hint="eastAsia" w:ascii="宋体" w:hAnsi="宋体" w:cs="宋体"/>
                <w:color w:val="auto"/>
                <w:szCs w:val="21"/>
                <w:highlight w:val="none"/>
              </w:rPr>
              <w:t>12</w:t>
            </w:r>
          </w:p>
        </w:tc>
        <w:tc>
          <w:tcPr>
            <w:tcW w:w="8236" w:type="dxa"/>
            <w:vAlign w:val="center"/>
          </w:tcPr>
          <w:p w14:paraId="09261BA4">
            <w:pPr>
              <w:keepNext w:val="0"/>
              <w:keepLines w:val="0"/>
              <w:pageBreakBefore w:val="0"/>
              <w:kinsoku/>
              <w:overflowPunct/>
              <w:topLinePunct w:val="0"/>
              <w:bidi w:val="0"/>
              <w:snapToGrid w:val="0"/>
              <w:spacing w:line="440" w:lineRule="exact"/>
              <w:ind w:right="0"/>
              <w:rPr>
                <w:rFonts w:ascii="宋体" w:hAnsi="宋体" w:cs="宋体"/>
                <w:color w:val="auto"/>
                <w:szCs w:val="21"/>
                <w:highlight w:val="none"/>
              </w:rPr>
            </w:pPr>
            <w:r>
              <w:rPr>
                <w:rFonts w:hint="eastAsia" w:ascii="宋体" w:hAnsi="宋体" w:cs="宋体"/>
                <w:color w:val="auto"/>
                <w:szCs w:val="21"/>
                <w:highlight w:val="none"/>
              </w:rPr>
              <w:t>首次响应文件开启时间</w:t>
            </w:r>
          </w:p>
          <w:p w14:paraId="7FD74D97">
            <w:pPr>
              <w:keepNext w:val="0"/>
              <w:keepLines w:val="0"/>
              <w:pageBreakBefore w:val="0"/>
              <w:kinsoku/>
              <w:overflowPunct/>
              <w:topLinePunct w:val="0"/>
              <w:bidi w:val="0"/>
              <w:snapToGrid w:val="0"/>
              <w:spacing w:line="440" w:lineRule="exact"/>
              <w:ind w:right="0"/>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lang w:eastAsia="zh-CN"/>
              </w:rPr>
              <w:t>2026年05月09日</w:t>
            </w:r>
            <w:r>
              <w:rPr>
                <w:rFonts w:hint="eastAsia" w:ascii="宋体" w:hAnsi="宋体" w:cs="宋体"/>
                <w:color w:val="auto"/>
                <w:szCs w:val="21"/>
                <w:highlight w:val="none"/>
              </w:rPr>
              <w:t>09:30（北京时间）开标后</w:t>
            </w:r>
          </w:p>
          <w:p w14:paraId="52C476F1">
            <w:pPr>
              <w:keepNext w:val="0"/>
              <w:keepLines w:val="0"/>
              <w:pageBreakBefore w:val="0"/>
              <w:kinsoku/>
              <w:overflowPunct/>
              <w:topLinePunct w:val="0"/>
              <w:bidi w:val="0"/>
              <w:snapToGrid w:val="0"/>
              <w:spacing w:line="440" w:lineRule="exact"/>
              <w:ind w:right="0"/>
              <w:rPr>
                <w:rFonts w:ascii="宋体" w:hAnsi="宋体" w:cs="宋体"/>
                <w:color w:val="auto"/>
                <w:szCs w:val="21"/>
                <w:highlight w:val="none"/>
              </w:rPr>
            </w:pPr>
            <w:r>
              <w:rPr>
                <w:rFonts w:hint="eastAsia" w:ascii="宋体" w:hAnsi="宋体" w:cs="宋体"/>
                <w:color w:val="auto"/>
                <w:szCs w:val="21"/>
                <w:highlight w:val="none"/>
              </w:rPr>
              <w:t>地点：广西政府采购云平台开标大厅</w:t>
            </w:r>
          </w:p>
          <w:p w14:paraId="4DA62128">
            <w:pPr>
              <w:keepNext w:val="0"/>
              <w:keepLines w:val="0"/>
              <w:pageBreakBefore w:val="0"/>
              <w:kinsoku/>
              <w:overflowPunct/>
              <w:topLinePunct w:val="0"/>
              <w:bidi w:val="0"/>
              <w:snapToGrid w:val="0"/>
              <w:spacing w:line="440" w:lineRule="exact"/>
              <w:ind w:right="0"/>
              <w:rPr>
                <w:rFonts w:ascii="宋体" w:hAnsi="宋体" w:cs="宋体"/>
                <w:color w:val="auto"/>
                <w:szCs w:val="21"/>
                <w:highlight w:val="none"/>
              </w:rPr>
            </w:pPr>
            <w:r>
              <w:rPr>
                <w:rFonts w:hint="eastAsia" w:ascii="宋体" w:hAnsi="宋体" w:cs="宋体"/>
                <w:color w:val="auto"/>
                <w:szCs w:val="21"/>
                <w:highlight w:val="none"/>
              </w:rPr>
              <w:t>磋商时间及地点：</w:t>
            </w:r>
          </w:p>
          <w:p w14:paraId="77822048">
            <w:pPr>
              <w:keepNext w:val="0"/>
              <w:keepLines w:val="0"/>
              <w:pageBreakBefore w:val="0"/>
              <w:kinsoku/>
              <w:overflowPunct/>
              <w:topLinePunct w:val="0"/>
              <w:bidi w:val="0"/>
              <w:snapToGrid w:val="0"/>
              <w:spacing w:line="440" w:lineRule="exact"/>
              <w:ind w:right="0"/>
              <w:rPr>
                <w:rFonts w:ascii="宋体" w:hAnsi="宋体" w:cs="宋体"/>
                <w:color w:val="auto"/>
                <w:szCs w:val="21"/>
                <w:highlight w:val="none"/>
              </w:rPr>
            </w:pPr>
            <w:r>
              <w:rPr>
                <w:rFonts w:hint="eastAsia" w:ascii="宋体" w:hAnsi="宋体" w:cs="宋体"/>
                <w:color w:val="auto"/>
                <w:szCs w:val="21"/>
                <w:highlight w:val="none"/>
                <w:lang w:val="en-US" w:eastAsia="zh-CN"/>
              </w:rPr>
              <w:t>时间：</w:t>
            </w:r>
            <w:r>
              <w:rPr>
                <w:rFonts w:hint="eastAsia" w:ascii="宋体" w:hAnsi="宋体" w:cs="宋体"/>
                <w:color w:val="auto"/>
                <w:szCs w:val="21"/>
                <w:highlight w:val="none"/>
                <w:lang w:eastAsia="zh-CN"/>
              </w:rPr>
              <w:t>2026年05月09日</w:t>
            </w:r>
            <w:r>
              <w:rPr>
                <w:rFonts w:hint="eastAsia" w:ascii="宋体" w:hAnsi="宋体" w:cs="宋体"/>
                <w:color w:val="auto"/>
                <w:szCs w:val="21"/>
                <w:highlight w:val="none"/>
              </w:rPr>
              <w:t>09:30截标后。</w:t>
            </w:r>
          </w:p>
          <w:p w14:paraId="1F1E224A">
            <w:pPr>
              <w:keepNext w:val="0"/>
              <w:keepLines w:val="0"/>
              <w:pageBreakBefore w:val="0"/>
              <w:kinsoku/>
              <w:overflowPunct/>
              <w:topLinePunct w:val="0"/>
              <w:bidi w:val="0"/>
              <w:spacing w:line="440" w:lineRule="exact"/>
              <w:ind w:right="0"/>
              <w:rPr>
                <w:rFonts w:ascii="宋体" w:hAnsi="宋体" w:cs="宋体"/>
                <w:color w:val="auto"/>
                <w:szCs w:val="21"/>
                <w:highlight w:val="none"/>
              </w:rPr>
            </w:pPr>
            <w:r>
              <w:rPr>
                <w:rFonts w:hint="eastAsia" w:ascii="宋体" w:hAnsi="宋体" w:cs="宋体"/>
                <w:color w:val="auto"/>
                <w:szCs w:val="21"/>
                <w:highlight w:val="none"/>
              </w:rPr>
              <w:t>地点：广西政府采购云平台开标大厅。</w:t>
            </w:r>
          </w:p>
        </w:tc>
      </w:tr>
      <w:tr w14:paraId="63660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04878A50">
            <w:pPr>
              <w:keepNext w:val="0"/>
              <w:keepLines w:val="0"/>
              <w:pageBreakBefore w:val="0"/>
              <w:kinsoku/>
              <w:overflowPunct/>
              <w:topLinePunct w:val="0"/>
              <w:bidi w:val="0"/>
              <w:spacing w:line="440" w:lineRule="exact"/>
              <w:ind w:right="0"/>
              <w:jc w:val="center"/>
              <w:rPr>
                <w:rFonts w:ascii="宋体" w:hAnsi="宋体" w:cs="宋体"/>
                <w:color w:val="auto"/>
                <w:szCs w:val="21"/>
                <w:highlight w:val="none"/>
              </w:rPr>
            </w:pPr>
            <w:r>
              <w:rPr>
                <w:rFonts w:hint="eastAsia" w:ascii="宋体" w:hAnsi="宋体" w:cs="宋体"/>
                <w:color w:val="auto"/>
                <w:szCs w:val="21"/>
                <w:highlight w:val="none"/>
              </w:rPr>
              <w:t>13</w:t>
            </w:r>
          </w:p>
        </w:tc>
        <w:tc>
          <w:tcPr>
            <w:tcW w:w="8236" w:type="dxa"/>
            <w:vAlign w:val="center"/>
          </w:tcPr>
          <w:p w14:paraId="2ADA2CE3">
            <w:pPr>
              <w:keepNext w:val="0"/>
              <w:keepLines w:val="0"/>
              <w:pageBreakBefore w:val="0"/>
              <w:kinsoku/>
              <w:overflowPunct/>
              <w:topLinePunct w:val="0"/>
              <w:autoSpaceDE w:val="0"/>
              <w:autoSpaceDN w:val="0"/>
              <w:bidi w:val="0"/>
              <w:adjustRightInd w:val="0"/>
              <w:spacing w:line="440" w:lineRule="exact"/>
              <w:ind w:right="0"/>
              <w:jc w:val="left"/>
              <w:rPr>
                <w:rFonts w:ascii="宋体" w:hAnsi="宋体" w:cs="宋体"/>
                <w:color w:val="auto"/>
                <w:kern w:val="0"/>
                <w:szCs w:val="21"/>
                <w:highlight w:val="none"/>
              </w:rPr>
            </w:pPr>
            <w:r>
              <w:rPr>
                <w:rFonts w:hint="eastAsia" w:ascii="宋体" w:hAnsi="宋体" w:cs="宋体"/>
                <w:color w:val="auto"/>
                <w:kern w:val="0"/>
                <w:szCs w:val="21"/>
                <w:highlight w:val="none"/>
              </w:rPr>
              <w:t>磋商的顺序：</w:t>
            </w:r>
          </w:p>
          <w:p w14:paraId="18AFA3B3">
            <w:pPr>
              <w:keepNext w:val="0"/>
              <w:keepLines w:val="0"/>
              <w:pageBreakBefore w:val="0"/>
              <w:kinsoku/>
              <w:overflowPunct/>
              <w:topLinePunct w:val="0"/>
              <w:autoSpaceDE w:val="0"/>
              <w:autoSpaceDN w:val="0"/>
              <w:bidi w:val="0"/>
              <w:adjustRightInd w:val="0"/>
              <w:spacing w:line="440" w:lineRule="exact"/>
              <w:ind w:right="0"/>
              <w:jc w:val="left"/>
              <w:rPr>
                <w:rFonts w:ascii="宋体" w:hAnsi="宋体" w:cs="宋体"/>
                <w:color w:val="auto"/>
                <w:kern w:val="0"/>
                <w:szCs w:val="21"/>
                <w:highlight w:val="none"/>
              </w:rPr>
            </w:pPr>
            <w:r>
              <w:rPr>
                <w:rFonts w:hint="eastAsia" w:ascii="宋体" w:hAnsi="宋体" w:cs="宋体"/>
                <w:color w:val="auto"/>
                <w:kern w:val="0"/>
                <w:szCs w:val="21"/>
                <w:highlight w:val="none"/>
              </w:rPr>
              <w:t>□按照提交首次响应文件的顺序</w:t>
            </w:r>
          </w:p>
          <w:p w14:paraId="50DDBB32">
            <w:pPr>
              <w:keepNext w:val="0"/>
              <w:keepLines w:val="0"/>
              <w:pageBreakBefore w:val="0"/>
              <w:kinsoku/>
              <w:overflowPunct/>
              <w:topLinePunct w:val="0"/>
              <w:autoSpaceDE w:val="0"/>
              <w:autoSpaceDN w:val="0"/>
              <w:bidi w:val="0"/>
              <w:adjustRightInd w:val="0"/>
              <w:spacing w:line="440" w:lineRule="exact"/>
              <w:ind w:right="0"/>
              <w:jc w:val="left"/>
              <w:rPr>
                <w:rFonts w:ascii="宋体" w:hAnsi="宋体" w:cs="宋体"/>
                <w:color w:val="auto"/>
                <w:szCs w:val="21"/>
                <w:highlight w:val="none"/>
              </w:rPr>
            </w:pPr>
            <w:r>
              <w:rPr>
                <w:rFonts w:hint="eastAsia" w:ascii="宋体" w:hAnsi="宋体" w:cs="宋体"/>
                <w:color w:val="auto"/>
                <w:kern w:val="0"/>
                <w:szCs w:val="21"/>
                <w:highlight w:val="none"/>
              </w:rPr>
              <w:t>☑随机排序</w:t>
            </w:r>
          </w:p>
        </w:tc>
      </w:tr>
      <w:tr w14:paraId="2333C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5717593A">
            <w:pPr>
              <w:keepNext w:val="0"/>
              <w:keepLines w:val="0"/>
              <w:pageBreakBefore w:val="0"/>
              <w:kinsoku/>
              <w:overflowPunct/>
              <w:topLinePunct w:val="0"/>
              <w:bidi w:val="0"/>
              <w:spacing w:line="440" w:lineRule="exact"/>
              <w:ind w:right="0"/>
              <w:jc w:val="center"/>
              <w:rPr>
                <w:rFonts w:ascii="宋体" w:hAnsi="宋体" w:cs="宋体"/>
                <w:color w:val="auto"/>
                <w:szCs w:val="21"/>
                <w:highlight w:val="none"/>
              </w:rPr>
            </w:pPr>
            <w:r>
              <w:rPr>
                <w:rFonts w:hint="eastAsia" w:ascii="宋体" w:hAnsi="宋体" w:cs="宋体"/>
                <w:color w:val="auto"/>
                <w:szCs w:val="21"/>
                <w:highlight w:val="none"/>
              </w:rPr>
              <w:t>14</w:t>
            </w:r>
          </w:p>
        </w:tc>
        <w:tc>
          <w:tcPr>
            <w:tcW w:w="8236" w:type="dxa"/>
            <w:vAlign w:val="center"/>
          </w:tcPr>
          <w:p w14:paraId="2BCE1BB8">
            <w:pPr>
              <w:keepNext w:val="0"/>
              <w:keepLines w:val="0"/>
              <w:pageBreakBefore w:val="0"/>
              <w:widowControl/>
              <w:kinsoku/>
              <w:overflowPunct/>
              <w:topLinePunct w:val="0"/>
              <w:bidi w:val="0"/>
              <w:spacing w:line="440" w:lineRule="exact"/>
              <w:ind w:right="0"/>
              <w:jc w:val="left"/>
              <w:rPr>
                <w:rFonts w:ascii="宋体" w:hAnsi="宋体" w:cs="宋体"/>
                <w:color w:val="auto"/>
                <w:kern w:val="0"/>
                <w:sz w:val="24"/>
                <w:highlight w:val="none"/>
              </w:rPr>
            </w:pPr>
            <w:r>
              <w:rPr>
                <w:rFonts w:hint="eastAsia" w:ascii="宋体" w:hAnsi="宋体" w:cs="宋体"/>
                <w:color w:val="auto"/>
                <w:szCs w:val="21"/>
                <w:highlight w:val="none"/>
              </w:rPr>
              <w:t>评标办法及评分标准：综合评分法</w:t>
            </w:r>
          </w:p>
        </w:tc>
      </w:tr>
      <w:tr w14:paraId="0C7E1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817" w:type="dxa"/>
            <w:vAlign w:val="center"/>
          </w:tcPr>
          <w:p w14:paraId="76199FC8">
            <w:pPr>
              <w:keepNext w:val="0"/>
              <w:keepLines w:val="0"/>
              <w:pageBreakBefore w:val="0"/>
              <w:kinsoku/>
              <w:overflowPunct/>
              <w:topLinePunct w:val="0"/>
              <w:bidi w:val="0"/>
              <w:spacing w:line="440" w:lineRule="exact"/>
              <w:ind w:right="0"/>
              <w:jc w:val="center"/>
              <w:rPr>
                <w:rFonts w:ascii="宋体" w:hAnsi="宋体" w:cs="宋体"/>
                <w:color w:val="auto"/>
                <w:szCs w:val="21"/>
                <w:highlight w:val="none"/>
              </w:rPr>
            </w:pPr>
            <w:r>
              <w:rPr>
                <w:rFonts w:hint="eastAsia" w:ascii="宋体" w:hAnsi="宋体" w:cs="宋体"/>
                <w:color w:val="auto"/>
                <w:szCs w:val="21"/>
                <w:highlight w:val="none"/>
              </w:rPr>
              <w:t>15</w:t>
            </w:r>
          </w:p>
        </w:tc>
        <w:tc>
          <w:tcPr>
            <w:tcW w:w="8236" w:type="dxa"/>
            <w:vAlign w:val="center"/>
          </w:tcPr>
          <w:p w14:paraId="7292606D">
            <w:pPr>
              <w:keepNext w:val="0"/>
              <w:keepLines w:val="0"/>
              <w:pageBreakBefore w:val="0"/>
              <w:kinsoku/>
              <w:overflowPunct/>
              <w:topLinePunct w:val="0"/>
              <w:bidi w:val="0"/>
              <w:spacing w:line="440" w:lineRule="exact"/>
              <w:ind w:right="0"/>
              <w:rPr>
                <w:rFonts w:ascii="宋体" w:hAnsi="宋体" w:cs="宋体"/>
                <w:color w:val="auto"/>
                <w:szCs w:val="21"/>
                <w:highlight w:val="none"/>
              </w:rPr>
            </w:pPr>
            <w:r>
              <w:rPr>
                <w:rFonts w:hint="eastAsia" w:ascii="宋体" w:hAnsi="宋体" w:cs="宋体"/>
                <w:color w:val="auto"/>
                <w:szCs w:val="21"/>
                <w:highlight w:val="none"/>
              </w:rPr>
              <w:t>发布媒体：http://www.ccgp.gov.cn（中国政府采购网）、http://zfcg.gxzf.gov.cn（广西壮族自治区政府采购网）</w:t>
            </w:r>
          </w:p>
        </w:tc>
      </w:tr>
      <w:tr w14:paraId="2D6D9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817" w:type="dxa"/>
            <w:vAlign w:val="center"/>
          </w:tcPr>
          <w:p w14:paraId="3AF89969">
            <w:pPr>
              <w:keepNext w:val="0"/>
              <w:keepLines w:val="0"/>
              <w:pageBreakBefore w:val="0"/>
              <w:kinsoku/>
              <w:overflowPunct/>
              <w:topLinePunct w:val="0"/>
              <w:bidi w:val="0"/>
              <w:spacing w:line="440" w:lineRule="exact"/>
              <w:ind w:right="0"/>
              <w:jc w:val="center"/>
              <w:rPr>
                <w:rFonts w:ascii="宋体" w:hAnsi="宋体" w:cs="宋体"/>
                <w:color w:val="auto"/>
                <w:szCs w:val="21"/>
                <w:highlight w:val="none"/>
              </w:rPr>
            </w:pPr>
            <w:r>
              <w:rPr>
                <w:rFonts w:hint="eastAsia" w:ascii="宋体" w:hAnsi="宋体" w:cs="宋体"/>
                <w:color w:val="auto"/>
                <w:szCs w:val="21"/>
                <w:highlight w:val="none"/>
              </w:rPr>
              <w:t>16</w:t>
            </w:r>
          </w:p>
        </w:tc>
        <w:tc>
          <w:tcPr>
            <w:tcW w:w="8236" w:type="dxa"/>
            <w:vAlign w:val="center"/>
          </w:tcPr>
          <w:p w14:paraId="7FA7FAB8">
            <w:pPr>
              <w:keepNext w:val="0"/>
              <w:keepLines w:val="0"/>
              <w:pageBreakBefore w:val="0"/>
              <w:kinsoku/>
              <w:overflowPunct/>
              <w:topLinePunct w:val="0"/>
              <w:bidi w:val="0"/>
              <w:snapToGrid w:val="0"/>
              <w:spacing w:line="440" w:lineRule="exact"/>
              <w:ind w:right="0"/>
              <w:rPr>
                <w:rFonts w:ascii="宋体" w:hAnsi="宋体" w:cs="宋体"/>
                <w:color w:val="auto"/>
                <w:sz w:val="24"/>
                <w:highlight w:val="none"/>
              </w:rPr>
            </w:pPr>
            <w:r>
              <w:rPr>
                <w:rFonts w:hint="eastAsia" w:ascii="宋体" w:hAnsi="宋体" w:cs="宋体"/>
                <w:color w:val="auto"/>
                <w:szCs w:val="21"/>
                <w:highlight w:val="none"/>
              </w:rPr>
              <w:t>成交公告及成交通知书：成交</w:t>
            </w:r>
            <w:r>
              <w:rPr>
                <w:rFonts w:hint="eastAsia" w:ascii="宋体" w:hAnsi="宋体" w:cs="宋体"/>
                <w:color w:val="auto"/>
                <w:highlight w:val="none"/>
              </w:rPr>
              <w:t>供应商确定后，采购代理机构或采购人须在“信用中国”网站（www.creditchina.gov.cn）和中国政府采购网（http://www.ccgp.gov.cn/）查询</w:t>
            </w:r>
            <w:r>
              <w:rPr>
                <w:rFonts w:hint="eastAsia" w:ascii="宋体" w:hAnsi="宋体" w:cs="宋体"/>
                <w:color w:val="auto"/>
                <w:highlight w:val="none"/>
                <w:lang w:eastAsia="zh-CN"/>
              </w:rPr>
              <w:t>成交供应商</w:t>
            </w:r>
            <w:r>
              <w:rPr>
                <w:rFonts w:hint="eastAsia" w:ascii="宋体" w:hAnsi="宋体" w:cs="宋体"/>
                <w:color w:val="auto"/>
                <w:highlight w:val="none"/>
              </w:rPr>
              <w:t>主体信用记录，如其未被列入失信被执行人、</w:t>
            </w:r>
            <w:r>
              <w:rPr>
                <w:rFonts w:hint="eastAsia" w:ascii="宋体" w:hAnsi="宋体" w:cs="宋体"/>
                <w:color w:val="auto"/>
                <w:highlight w:val="none"/>
                <w:lang w:eastAsia="zh-CN"/>
              </w:rPr>
              <w:t>重大税收违法失信主体</w:t>
            </w:r>
            <w:r>
              <w:rPr>
                <w:rFonts w:hint="eastAsia" w:ascii="宋体" w:hAnsi="宋体" w:cs="宋体"/>
                <w:color w:val="auto"/>
                <w:highlight w:val="none"/>
              </w:rPr>
              <w:t>、政府采购严重违法失信行为记录名单，则采购代理机构在中国政府采购网、广西政府采购网发布中标公告同时向</w:t>
            </w:r>
            <w:r>
              <w:rPr>
                <w:rFonts w:hint="eastAsia" w:ascii="宋体" w:hAnsi="宋体" w:cs="宋体"/>
                <w:color w:val="auto"/>
                <w:highlight w:val="none"/>
                <w:lang w:eastAsia="zh-CN"/>
              </w:rPr>
              <w:t>成交供应商</w:t>
            </w:r>
            <w:r>
              <w:rPr>
                <w:rFonts w:hint="eastAsia" w:ascii="宋体" w:hAnsi="宋体" w:cs="宋体"/>
                <w:color w:val="auto"/>
                <w:highlight w:val="none"/>
              </w:rPr>
              <w:t>发出中标通知书；如其被列入失信被执行人、</w:t>
            </w:r>
            <w:r>
              <w:rPr>
                <w:rFonts w:hint="eastAsia" w:ascii="宋体" w:hAnsi="宋体" w:cs="宋体"/>
                <w:color w:val="auto"/>
                <w:highlight w:val="none"/>
                <w:lang w:eastAsia="zh-CN"/>
              </w:rPr>
              <w:t>重大税收违法失信主体</w:t>
            </w:r>
            <w:r>
              <w:rPr>
                <w:rFonts w:hint="eastAsia" w:ascii="宋体" w:hAnsi="宋体" w:cs="宋体"/>
                <w:color w:val="auto"/>
                <w:highlight w:val="none"/>
              </w:rPr>
              <w:t>、政府采购严重违法失信行为记录名单，则取消其中标资格，并确定排名第二的</w:t>
            </w:r>
            <w:r>
              <w:rPr>
                <w:rFonts w:hint="eastAsia" w:ascii="宋体" w:hAnsi="宋体" w:cs="宋体"/>
                <w:color w:val="auto"/>
                <w:highlight w:val="none"/>
                <w:lang w:eastAsia="zh-CN"/>
              </w:rPr>
              <w:t>成交候选供应商</w:t>
            </w:r>
            <w:r>
              <w:rPr>
                <w:rFonts w:hint="eastAsia" w:ascii="宋体" w:hAnsi="宋体" w:cs="宋体"/>
                <w:color w:val="auto"/>
                <w:highlight w:val="none"/>
              </w:rPr>
              <w:t>为</w:t>
            </w:r>
            <w:r>
              <w:rPr>
                <w:rFonts w:hint="eastAsia" w:ascii="宋体" w:hAnsi="宋体" w:cs="宋体"/>
                <w:color w:val="auto"/>
                <w:highlight w:val="none"/>
                <w:lang w:eastAsia="zh-CN"/>
              </w:rPr>
              <w:t>成交供应商</w:t>
            </w:r>
            <w:r>
              <w:rPr>
                <w:rFonts w:hint="eastAsia" w:ascii="宋体" w:hAnsi="宋体" w:cs="宋体"/>
                <w:color w:val="auto"/>
                <w:highlight w:val="none"/>
              </w:rPr>
              <w:t>。排名第二的</w:t>
            </w:r>
            <w:r>
              <w:rPr>
                <w:rFonts w:hint="eastAsia" w:ascii="宋体" w:hAnsi="宋体" w:cs="宋体"/>
                <w:color w:val="auto"/>
                <w:highlight w:val="none"/>
                <w:lang w:eastAsia="zh-CN"/>
              </w:rPr>
              <w:t>成交候选供应商</w:t>
            </w:r>
            <w:r>
              <w:rPr>
                <w:rFonts w:hint="eastAsia" w:ascii="宋体" w:hAnsi="宋体" w:cs="宋体"/>
                <w:color w:val="auto"/>
                <w:highlight w:val="none"/>
              </w:rPr>
              <w:t>因前款规定的同样原因被取消中标资格的，采购人可以确定排名第三的</w:t>
            </w:r>
            <w:r>
              <w:rPr>
                <w:rFonts w:hint="eastAsia" w:ascii="宋体" w:hAnsi="宋体" w:cs="宋体"/>
                <w:color w:val="auto"/>
                <w:highlight w:val="none"/>
                <w:lang w:eastAsia="zh-CN"/>
              </w:rPr>
              <w:t>成交候选供应商</w:t>
            </w:r>
            <w:r>
              <w:rPr>
                <w:rFonts w:hint="eastAsia" w:ascii="宋体" w:hAnsi="宋体" w:cs="宋体"/>
                <w:color w:val="auto"/>
                <w:highlight w:val="none"/>
              </w:rPr>
              <w:t>为</w:t>
            </w:r>
            <w:r>
              <w:rPr>
                <w:rFonts w:hint="eastAsia" w:ascii="宋体" w:hAnsi="宋体" w:cs="宋体"/>
                <w:color w:val="auto"/>
                <w:highlight w:val="none"/>
                <w:lang w:eastAsia="zh-CN"/>
              </w:rPr>
              <w:t>成交供应商</w:t>
            </w:r>
            <w:r>
              <w:rPr>
                <w:rFonts w:hint="eastAsia" w:ascii="宋体" w:hAnsi="宋体" w:cs="宋体"/>
                <w:color w:val="auto"/>
                <w:highlight w:val="none"/>
              </w:rPr>
              <w:t>。以上信息查询记录及相关证据与采购文件一并保存。</w:t>
            </w:r>
          </w:p>
        </w:tc>
      </w:tr>
      <w:tr w14:paraId="1FB68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14:paraId="04C097F3">
            <w:pPr>
              <w:keepNext w:val="0"/>
              <w:keepLines w:val="0"/>
              <w:pageBreakBefore w:val="0"/>
              <w:kinsoku/>
              <w:overflowPunct/>
              <w:topLinePunct w:val="0"/>
              <w:bidi w:val="0"/>
              <w:spacing w:line="440" w:lineRule="exact"/>
              <w:ind w:right="0"/>
              <w:jc w:val="center"/>
              <w:rPr>
                <w:rFonts w:ascii="宋体" w:hAnsi="宋体" w:cs="宋体"/>
                <w:color w:val="auto"/>
                <w:szCs w:val="21"/>
                <w:highlight w:val="none"/>
              </w:rPr>
            </w:pPr>
            <w:r>
              <w:rPr>
                <w:rFonts w:hint="eastAsia" w:ascii="宋体" w:hAnsi="宋体" w:cs="宋体"/>
                <w:color w:val="auto"/>
                <w:szCs w:val="21"/>
                <w:highlight w:val="none"/>
              </w:rPr>
              <w:t>17</w:t>
            </w:r>
          </w:p>
        </w:tc>
        <w:tc>
          <w:tcPr>
            <w:tcW w:w="8236" w:type="dxa"/>
            <w:vAlign w:val="center"/>
          </w:tcPr>
          <w:p w14:paraId="48E7260E">
            <w:pPr>
              <w:keepNext w:val="0"/>
              <w:keepLines w:val="0"/>
              <w:pageBreakBefore w:val="0"/>
              <w:kinsoku/>
              <w:overflowPunct/>
              <w:topLinePunct w:val="0"/>
              <w:bidi w:val="0"/>
              <w:snapToGrid w:val="0"/>
              <w:spacing w:line="440" w:lineRule="exact"/>
              <w:ind w:right="0"/>
              <w:rPr>
                <w:rFonts w:ascii="宋体" w:hAnsi="宋体" w:cs="宋体"/>
                <w:color w:val="auto"/>
                <w:highlight w:val="none"/>
              </w:rPr>
            </w:pPr>
            <w:r>
              <w:rPr>
                <w:rFonts w:hint="eastAsia" w:ascii="宋体" w:hAnsi="宋体" w:cs="宋体"/>
                <w:color w:val="auto"/>
                <w:szCs w:val="21"/>
                <w:highlight w:val="none"/>
              </w:rPr>
              <w:t>签订合同时间：成交通知书发出之日起二十五日内。</w:t>
            </w:r>
          </w:p>
        </w:tc>
      </w:tr>
      <w:tr w14:paraId="4E6D8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14:paraId="3A3FFE54">
            <w:pPr>
              <w:keepNext w:val="0"/>
              <w:keepLines w:val="0"/>
              <w:pageBreakBefore w:val="0"/>
              <w:kinsoku/>
              <w:overflowPunct/>
              <w:topLinePunct w:val="0"/>
              <w:bidi w:val="0"/>
              <w:spacing w:line="440" w:lineRule="exact"/>
              <w:ind w:right="0"/>
              <w:jc w:val="center"/>
              <w:rPr>
                <w:rFonts w:ascii="宋体" w:hAnsi="宋体" w:cs="宋体"/>
                <w:color w:val="auto"/>
                <w:szCs w:val="21"/>
                <w:highlight w:val="none"/>
              </w:rPr>
            </w:pPr>
            <w:r>
              <w:rPr>
                <w:rFonts w:hint="eastAsia" w:ascii="宋体" w:hAnsi="宋体" w:cs="宋体"/>
                <w:color w:val="auto"/>
                <w:szCs w:val="21"/>
                <w:highlight w:val="none"/>
              </w:rPr>
              <w:t>18</w:t>
            </w:r>
          </w:p>
        </w:tc>
        <w:tc>
          <w:tcPr>
            <w:tcW w:w="8236" w:type="dxa"/>
            <w:vAlign w:val="center"/>
          </w:tcPr>
          <w:p w14:paraId="69D5C090">
            <w:pPr>
              <w:keepNext w:val="0"/>
              <w:keepLines w:val="0"/>
              <w:pageBreakBefore w:val="0"/>
              <w:kinsoku/>
              <w:overflowPunct/>
              <w:topLinePunct w:val="0"/>
              <w:autoSpaceDE w:val="0"/>
              <w:autoSpaceDN w:val="0"/>
              <w:bidi w:val="0"/>
              <w:snapToGrid w:val="0"/>
              <w:spacing w:line="440" w:lineRule="exact"/>
              <w:ind w:right="0"/>
              <w:textAlignment w:val="bottom"/>
              <w:rPr>
                <w:rFonts w:hint="eastAsia" w:ascii="宋体" w:hAnsi="宋体" w:cs="宋体"/>
                <w:color w:val="auto"/>
                <w:highlight w:val="none"/>
              </w:rPr>
            </w:pPr>
            <w:r>
              <w:rPr>
                <w:rFonts w:hint="eastAsia" w:ascii="宋体" w:hAnsi="宋体" w:cs="宋体"/>
                <w:color w:val="auto"/>
                <w:highlight w:val="none"/>
              </w:rPr>
              <w:t>本项目履约保证金：</w:t>
            </w:r>
            <w:r>
              <w:rPr>
                <w:rFonts w:hint="eastAsia" w:ascii="宋体" w:hAnsi="宋体" w:cs="宋体"/>
                <w:color w:val="auto"/>
                <w:highlight w:val="none"/>
                <w:lang w:eastAsia="zh-CN"/>
              </w:rPr>
              <w:t>☑</w:t>
            </w:r>
            <w:r>
              <w:rPr>
                <w:rFonts w:hint="eastAsia" w:ascii="宋体" w:hAnsi="宋体" w:cs="宋体"/>
                <w:color w:val="auto"/>
                <w:highlight w:val="none"/>
              </w:rPr>
              <w:t xml:space="preserve">有   </w:t>
            </w:r>
            <w:r>
              <w:rPr>
                <w:rFonts w:hint="eastAsia" w:ascii="宋体" w:hAnsi="宋体" w:cs="宋体"/>
                <w:color w:val="auto"/>
                <w:highlight w:val="none"/>
                <w:lang w:eastAsia="zh-CN"/>
              </w:rPr>
              <w:t>□</w:t>
            </w:r>
            <w:r>
              <w:rPr>
                <w:rFonts w:hint="eastAsia" w:ascii="宋体" w:hAnsi="宋体" w:cs="宋体"/>
                <w:color w:val="auto"/>
                <w:highlight w:val="none"/>
              </w:rPr>
              <w:t>无</w:t>
            </w:r>
          </w:p>
          <w:p w14:paraId="75FDAA59">
            <w:pPr>
              <w:keepNext w:val="0"/>
              <w:keepLines w:val="0"/>
              <w:pageBreakBefore w:val="0"/>
              <w:kinsoku/>
              <w:overflowPunct/>
              <w:topLinePunct w:val="0"/>
              <w:autoSpaceDE w:val="0"/>
              <w:autoSpaceDN w:val="0"/>
              <w:bidi w:val="0"/>
              <w:snapToGrid w:val="0"/>
              <w:spacing w:line="440" w:lineRule="exact"/>
              <w:ind w:right="0"/>
              <w:textAlignment w:val="bottom"/>
              <w:rPr>
                <w:rFonts w:hint="eastAsia" w:ascii="宋体" w:hAnsi="宋体" w:cs="宋体"/>
                <w:color w:val="auto"/>
                <w:highlight w:val="none"/>
              </w:rPr>
            </w:pPr>
            <w:r>
              <w:rPr>
                <w:rFonts w:hint="eastAsia" w:ascii="宋体" w:hAnsi="宋体" w:cs="宋体"/>
                <w:color w:val="auto"/>
                <w:highlight w:val="none"/>
                <w:lang w:val="en-US" w:eastAsia="zh-CN"/>
              </w:rPr>
              <w:t>1.</w:t>
            </w:r>
            <w:r>
              <w:rPr>
                <w:rFonts w:hint="eastAsia" w:ascii="宋体" w:hAnsi="宋体" w:cs="宋体"/>
                <w:color w:val="auto"/>
                <w:highlight w:val="none"/>
              </w:rPr>
              <w:t>按</w:t>
            </w:r>
            <w:r>
              <w:rPr>
                <w:rFonts w:hint="eastAsia" w:ascii="宋体" w:hAnsi="宋体" w:cs="宋体"/>
                <w:color w:val="auto"/>
                <w:highlight w:val="none"/>
                <w:lang w:val="en-US" w:eastAsia="zh-CN"/>
              </w:rPr>
              <w:t>标项</w:t>
            </w:r>
            <w:r>
              <w:rPr>
                <w:rFonts w:hint="eastAsia" w:ascii="宋体" w:hAnsi="宋体" w:cs="宋体"/>
                <w:color w:val="auto"/>
                <w:highlight w:val="none"/>
              </w:rPr>
              <w:t>合同金额</w:t>
            </w:r>
            <w:r>
              <w:rPr>
                <w:rFonts w:hint="eastAsia" w:ascii="宋体" w:hAnsi="宋体" w:cs="宋体"/>
                <w:color w:val="auto"/>
                <w:highlight w:val="none"/>
                <w:lang w:val="en-US" w:eastAsia="zh-CN"/>
              </w:rPr>
              <w:t>的</w:t>
            </w:r>
            <w:r>
              <w:rPr>
                <w:rFonts w:hint="eastAsia" w:ascii="宋体" w:hAnsi="宋体" w:cs="宋体"/>
                <w:color w:val="auto"/>
                <w:highlight w:val="none"/>
                <w:u w:val="single"/>
                <w:lang w:val="en-US" w:eastAsia="zh-CN"/>
              </w:rPr>
              <w:t xml:space="preserve"> </w:t>
            </w:r>
            <w:r>
              <w:rPr>
                <w:rFonts w:hint="eastAsia" w:ascii="宋体" w:hAnsi="宋体" w:cs="宋体"/>
                <w:b/>
                <w:bCs/>
                <w:color w:val="auto"/>
                <w:highlight w:val="none"/>
                <w:u w:val="single"/>
                <w:lang w:eastAsia="zh-CN"/>
              </w:rPr>
              <w:t>2%</w:t>
            </w:r>
            <w:r>
              <w:rPr>
                <w:rFonts w:hint="eastAsia" w:ascii="宋体" w:hAnsi="宋体" w:cs="宋体"/>
                <w:b/>
                <w:bCs/>
                <w:color w:val="auto"/>
                <w:highlight w:val="none"/>
                <w:u w:val="single"/>
                <w:lang w:val="en-US" w:eastAsia="zh-CN"/>
              </w:rPr>
              <w:t xml:space="preserve"> </w:t>
            </w:r>
            <w:r>
              <w:rPr>
                <w:rFonts w:hint="eastAsia" w:ascii="宋体" w:hAnsi="宋体" w:cs="宋体"/>
                <w:color w:val="auto"/>
                <w:highlight w:val="none"/>
              </w:rPr>
              <w:t>收取。</w:t>
            </w:r>
          </w:p>
          <w:p w14:paraId="3737DC1F">
            <w:pPr>
              <w:keepNext w:val="0"/>
              <w:keepLines w:val="0"/>
              <w:pageBreakBefore w:val="0"/>
              <w:kinsoku/>
              <w:overflowPunct/>
              <w:topLinePunct w:val="0"/>
              <w:autoSpaceDE w:val="0"/>
              <w:autoSpaceDN w:val="0"/>
              <w:bidi w:val="0"/>
              <w:snapToGrid w:val="0"/>
              <w:spacing w:line="440" w:lineRule="exact"/>
              <w:ind w:right="0"/>
              <w:textAlignment w:val="bottom"/>
              <w:rPr>
                <w:rFonts w:hint="eastAsia" w:ascii="宋体" w:hAnsi="宋体" w:cs="宋体"/>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履约保证金递交方式：银行转账、支票、汇票、本票等非现金方式。</w:t>
            </w:r>
          </w:p>
          <w:p w14:paraId="106123AE">
            <w:pPr>
              <w:keepNext w:val="0"/>
              <w:keepLines w:val="0"/>
              <w:pageBreakBefore w:val="0"/>
              <w:kinsoku/>
              <w:overflowPunct/>
              <w:topLinePunct w:val="0"/>
              <w:autoSpaceDE w:val="0"/>
              <w:autoSpaceDN w:val="0"/>
              <w:bidi w:val="0"/>
              <w:snapToGrid w:val="0"/>
              <w:spacing w:line="440" w:lineRule="exact"/>
              <w:ind w:right="0"/>
              <w:textAlignment w:val="bottom"/>
              <w:rPr>
                <w:rFonts w:hint="eastAsia"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成交供应商应于合同签订后7日内足额递交履约保证金，履约保证金自项目验收合格且成交供应商履行完成合同义务，履行合同期间无违约行为后无息退还。</w:t>
            </w:r>
          </w:p>
          <w:p w14:paraId="69997EBC">
            <w:pPr>
              <w:keepNext w:val="0"/>
              <w:keepLines w:val="0"/>
              <w:pageBreakBefore w:val="0"/>
              <w:kinsoku/>
              <w:overflowPunct/>
              <w:topLinePunct w:val="0"/>
              <w:autoSpaceDE w:val="0"/>
              <w:autoSpaceDN w:val="0"/>
              <w:bidi w:val="0"/>
              <w:snapToGrid w:val="0"/>
              <w:spacing w:line="440" w:lineRule="exact"/>
              <w:ind w:right="0"/>
              <w:textAlignment w:val="bottom"/>
              <w:rPr>
                <w:rFonts w:hint="eastAsia" w:ascii="宋体" w:hAnsi="宋体" w:cs="宋体"/>
                <w:color w:val="auto"/>
                <w:highlight w:val="none"/>
              </w:rPr>
            </w:pPr>
            <w:r>
              <w:rPr>
                <w:rFonts w:hint="eastAsia" w:ascii="宋体" w:hAnsi="宋体" w:cs="宋体"/>
                <w:color w:val="auto"/>
                <w:highlight w:val="none"/>
                <w:lang w:val="en-US" w:eastAsia="zh-CN"/>
              </w:rPr>
              <w:t>4.</w:t>
            </w:r>
            <w:r>
              <w:rPr>
                <w:rFonts w:hint="eastAsia" w:ascii="宋体" w:hAnsi="宋体" w:cs="宋体"/>
                <w:color w:val="auto"/>
                <w:highlight w:val="none"/>
              </w:rPr>
              <w:t>成交供应商履行合同期间违约行为给采购人造成损失的，采购人有权选择直接从履约保证金扣除，且成交供应商应在收到采购人通知之日起5个工作日内补充因弥补采购人损失而减少的履约保证金。</w:t>
            </w:r>
          </w:p>
          <w:p w14:paraId="1E48683E">
            <w:pPr>
              <w:keepNext w:val="0"/>
              <w:keepLines w:val="0"/>
              <w:pageBreakBefore w:val="0"/>
              <w:kinsoku/>
              <w:overflowPunct/>
              <w:topLinePunct w:val="0"/>
              <w:autoSpaceDE w:val="0"/>
              <w:autoSpaceDN w:val="0"/>
              <w:bidi w:val="0"/>
              <w:snapToGrid w:val="0"/>
              <w:spacing w:line="440" w:lineRule="exact"/>
              <w:ind w:right="0"/>
              <w:textAlignment w:val="bottom"/>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在履约保证金退还日期前，若成交供应商的开户名称、开户银行、账号有变动的，请以书面形式通知采购人，否则由此产生的后果由成交供应商自行负责。</w:t>
            </w:r>
          </w:p>
          <w:p w14:paraId="005FF31F">
            <w:pPr>
              <w:keepNext w:val="0"/>
              <w:keepLines w:val="0"/>
              <w:pageBreakBefore w:val="0"/>
              <w:kinsoku/>
              <w:overflowPunct/>
              <w:topLinePunct w:val="0"/>
              <w:autoSpaceDE w:val="0"/>
              <w:autoSpaceDN w:val="0"/>
              <w:bidi w:val="0"/>
              <w:snapToGrid w:val="0"/>
              <w:spacing w:line="440" w:lineRule="exact"/>
              <w:ind w:right="0"/>
              <w:textAlignment w:val="bottom"/>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履约保证金指定账户：</w:t>
            </w:r>
          </w:p>
          <w:p w14:paraId="720BCF41">
            <w:pPr>
              <w:keepNext w:val="0"/>
              <w:keepLines w:val="0"/>
              <w:pageBreakBefore w:val="0"/>
              <w:kinsoku/>
              <w:overflowPunct/>
              <w:topLinePunct w:val="0"/>
              <w:autoSpaceDE w:val="0"/>
              <w:autoSpaceDN w:val="0"/>
              <w:bidi w:val="0"/>
              <w:snapToGrid w:val="0"/>
              <w:spacing w:line="440" w:lineRule="exact"/>
              <w:ind w:right="0"/>
              <w:textAlignment w:val="bottom"/>
              <w:rPr>
                <w:rFonts w:hint="eastAsia" w:ascii="宋体" w:hAnsi="宋体" w:cs="宋体"/>
                <w:color w:val="auto"/>
                <w:highlight w:val="none"/>
              </w:rPr>
            </w:pPr>
            <w:r>
              <w:rPr>
                <w:rFonts w:hint="eastAsia" w:ascii="宋体" w:hAnsi="宋体" w:cs="宋体"/>
                <w:color w:val="auto"/>
                <w:highlight w:val="none"/>
              </w:rPr>
              <w:t>账户名称：广西农业职业技术大学</w:t>
            </w:r>
          </w:p>
          <w:p w14:paraId="6792426A">
            <w:pPr>
              <w:keepNext w:val="0"/>
              <w:keepLines w:val="0"/>
              <w:pageBreakBefore w:val="0"/>
              <w:kinsoku/>
              <w:overflowPunct/>
              <w:topLinePunct w:val="0"/>
              <w:autoSpaceDE w:val="0"/>
              <w:autoSpaceDN w:val="0"/>
              <w:bidi w:val="0"/>
              <w:snapToGrid w:val="0"/>
              <w:spacing w:line="440" w:lineRule="exact"/>
              <w:ind w:right="0"/>
              <w:textAlignment w:val="bottom"/>
              <w:rPr>
                <w:rFonts w:hint="eastAsia" w:ascii="宋体" w:hAnsi="宋体" w:cs="宋体"/>
                <w:color w:val="auto"/>
                <w:highlight w:val="none"/>
              </w:rPr>
            </w:pPr>
            <w:r>
              <w:rPr>
                <w:rFonts w:hint="eastAsia" w:ascii="宋体" w:hAnsi="宋体" w:cs="宋体"/>
                <w:color w:val="auto"/>
                <w:highlight w:val="none"/>
              </w:rPr>
              <w:t>银行账号：20005 8010 4000 1121</w:t>
            </w:r>
          </w:p>
          <w:p w14:paraId="4FF899C8">
            <w:pPr>
              <w:keepNext w:val="0"/>
              <w:keepLines w:val="0"/>
              <w:pageBreakBefore w:val="0"/>
              <w:kinsoku/>
              <w:overflowPunct/>
              <w:topLinePunct w:val="0"/>
              <w:autoSpaceDE w:val="0"/>
              <w:autoSpaceDN w:val="0"/>
              <w:bidi w:val="0"/>
              <w:snapToGrid w:val="0"/>
              <w:spacing w:line="440" w:lineRule="exact"/>
              <w:ind w:right="0"/>
              <w:textAlignment w:val="bottom"/>
              <w:rPr>
                <w:rFonts w:ascii="宋体" w:hAnsi="宋体" w:cs="宋体"/>
                <w:color w:val="auto"/>
                <w:highlight w:val="none"/>
              </w:rPr>
            </w:pPr>
            <w:r>
              <w:rPr>
                <w:rFonts w:hint="eastAsia" w:ascii="宋体" w:hAnsi="宋体" w:cs="宋体"/>
                <w:color w:val="auto"/>
                <w:highlight w:val="none"/>
              </w:rPr>
              <w:t>开户行：中国农业银行南宁市相思湖支行</w:t>
            </w:r>
          </w:p>
        </w:tc>
      </w:tr>
      <w:tr w14:paraId="4F540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14:paraId="31821E58">
            <w:pPr>
              <w:keepNext w:val="0"/>
              <w:keepLines w:val="0"/>
              <w:pageBreakBefore w:val="0"/>
              <w:kinsoku/>
              <w:overflowPunct/>
              <w:topLinePunct w:val="0"/>
              <w:bidi w:val="0"/>
              <w:spacing w:line="440" w:lineRule="exact"/>
              <w:ind w:right="0"/>
              <w:jc w:val="center"/>
              <w:rPr>
                <w:rFonts w:ascii="宋体" w:hAnsi="宋体" w:cs="宋体"/>
                <w:color w:val="auto"/>
                <w:szCs w:val="21"/>
                <w:highlight w:val="none"/>
              </w:rPr>
            </w:pPr>
            <w:r>
              <w:rPr>
                <w:rFonts w:hint="eastAsia" w:ascii="宋体" w:hAnsi="宋体" w:cs="宋体"/>
                <w:color w:val="auto"/>
                <w:szCs w:val="21"/>
                <w:highlight w:val="none"/>
              </w:rPr>
              <w:t>19</w:t>
            </w:r>
          </w:p>
        </w:tc>
        <w:tc>
          <w:tcPr>
            <w:tcW w:w="8236" w:type="dxa"/>
            <w:vAlign w:val="center"/>
          </w:tcPr>
          <w:p w14:paraId="0D26BA8D">
            <w:pPr>
              <w:keepNext w:val="0"/>
              <w:keepLines w:val="0"/>
              <w:pageBreakBefore w:val="0"/>
              <w:kinsoku/>
              <w:overflowPunct/>
              <w:topLinePunct w:val="0"/>
              <w:bidi w:val="0"/>
              <w:snapToGrid w:val="0"/>
              <w:spacing w:line="440" w:lineRule="exact"/>
              <w:ind w:right="0"/>
              <w:rPr>
                <w:rFonts w:ascii="宋体" w:hAnsi="宋体" w:cs="宋体"/>
                <w:color w:val="auto"/>
                <w:szCs w:val="21"/>
                <w:highlight w:val="none"/>
              </w:rPr>
            </w:pPr>
            <w:r>
              <w:rPr>
                <w:rFonts w:hint="eastAsia" w:ascii="宋体" w:hAnsi="宋体" w:cs="宋体"/>
                <w:color w:val="auto"/>
                <w:highlight w:val="none"/>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供应商应在响应文件中注明</w:t>
            </w:r>
            <w:r>
              <w:rPr>
                <w:rFonts w:hint="eastAsia" w:ascii="宋体" w:hAnsi="宋体" w:cs="宋体"/>
                <w:color w:val="auto"/>
                <w:highlight w:val="none"/>
                <w:lang w:eastAsia="zh-CN"/>
              </w:rPr>
              <w:t>竞标</w:t>
            </w:r>
            <w:r>
              <w:rPr>
                <w:rFonts w:hint="eastAsia" w:ascii="宋体" w:hAnsi="宋体" w:cs="宋体"/>
                <w:color w:val="auto"/>
                <w:highlight w:val="none"/>
              </w:rPr>
              <w:t>内容中涉及商业秘密的部分，未注明的视为响应文件中不涉及商业秘密。</w:t>
            </w:r>
          </w:p>
        </w:tc>
      </w:tr>
      <w:tr w14:paraId="03DE3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14:paraId="4BD8E18F">
            <w:pPr>
              <w:keepNext w:val="0"/>
              <w:keepLines w:val="0"/>
              <w:pageBreakBefore w:val="0"/>
              <w:kinsoku/>
              <w:overflowPunct/>
              <w:topLinePunct w:val="0"/>
              <w:bidi w:val="0"/>
              <w:spacing w:line="440" w:lineRule="exact"/>
              <w:ind w:right="0"/>
              <w:jc w:val="center"/>
              <w:rPr>
                <w:rFonts w:ascii="宋体" w:hAnsi="宋体" w:cs="宋体"/>
                <w:color w:val="auto"/>
                <w:szCs w:val="21"/>
                <w:highlight w:val="none"/>
              </w:rPr>
            </w:pPr>
            <w:r>
              <w:rPr>
                <w:rFonts w:hint="eastAsia" w:ascii="宋体" w:hAnsi="宋体" w:cs="宋体"/>
                <w:color w:val="auto"/>
                <w:szCs w:val="21"/>
                <w:highlight w:val="none"/>
              </w:rPr>
              <w:t>20</w:t>
            </w:r>
          </w:p>
        </w:tc>
        <w:tc>
          <w:tcPr>
            <w:tcW w:w="8236" w:type="dxa"/>
            <w:vAlign w:val="center"/>
          </w:tcPr>
          <w:p w14:paraId="0940A712">
            <w:pPr>
              <w:keepNext w:val="0"/>
              <w:keepLines w:val="0"/>
              <w:pageBreakBefore w:val="0"/>
              <w:kinsoku/>
              <w:overflowPunct/>
              <w:topLinePunct w:val="0"/>
              <w:bidi w:val="0"/>
              <w:snapToGrid w:val="0"/>
              <w:spacing w:line="440" w:lineRule="exact"/>
              <w:ind w:right="0"/>
              <w:rPr>
                <w:rFonts w:ascii="宋体" w:hAnsi="宋体" w:cs="宋体"/>
                <w:color w:val="auto"/>
                <w:highlight w:val="none"/>
              </w:rPr>
            </w:pPr>
            <w:r>
              <w:rPr>
                <w:rFonts w:hint="eastAsia" w:ascii="宋体" w:hAnsi="宋体" w:cs="宋体"/>
                <w:color w:val="auto"/>
                <w:szCs w:val="21"/>
                <w:highlight w:val="none"/>
              </w:rPr>
              <w:t>响应文件有效期：提交首次响应文件截止之日起60天内。</w:t>
            </w:r>
          </w:p>
        </w:tc>
      </w:tr>
      <w:tr w14:paraId="37439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14:paraId="67799D0B">
            <w:pPr>
              <w:keepNext w:val="0"/>
              <w:keepLines w:val="0"/>
              <w:pageBreakBefore w:val="0"/>
              <w:kinsoku/>
              <w:overflowPunct/>
              <w:topLinePunct w:val="0"/>
              <w:bidi w:val="0"/>
              <w:spacing w:line="440" w:lineRule="exact"/>
              <w:ind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w:t>
            </w:r>
          </w:p>
        </w:tc>
        <w:tc>
          <w:tcPr>
            <w:tcW w:w="8236" w:type="dxa"/>
            <w:vAlign w:val="center"/>
          </w:tcPr>
          <w:p w14:paraId="56A116EB">
            <w:pPr>
              <w:keepNext w:val="0"/>
              <w:keepLines w:val="0"/>
              <w:pageBreakBefore w:val="0"/>
              <w:kinsoku/>
              <w:overflowPunct/>
              <w:topLinePunct w:val="0"/>
              <w:autoSpaceDE w:val="0"/>
              <w:autoSpaceDN w:val="0"/>
              <w:bidi w:val="0"/>
              <w:snapToGrid w:val="0"/>
              <w:spacing w:line="440" w:lineRule="exact"/>
              <w:ind w:right="0"/>
              <w:textAlignment w:val="bottom"/>
              <w:rPr>
                <w:rFonts w:ascii="宋体" w:hAnsi="宋体" w:cs="宋体"/>
                <w:color w:val="auto"/>
                <w:szCs w:val="21"/>
                <w:highlight w:val="none"/>
              </w:rPr>
            </w:pPr>
            <w:r>
              <w:rPr>
                <w:rFonts w:hint="eastAsia" w:ascii="宋体" w:hAnsi="宋体" w:cs="宋体"/>
                <w:color w:val="auto"/>
                <w:szCs w:val="21"/>
                <w:highlight w:val="none"/>
              </w:rPr>
              <w:t>付款方式：</w:t>
            </w:r>
            <w:r>
              <w:rPr>
                <w:rFonts w:hint="eastAsia" w:ascii="宋体" w:hAnsi="宋体" w:cs="宋体"/>
                <w:color w:val="auto"/>
                <w:highlight w:val="none"/>
              </w:rPr>
              <w:t>国库集中支付或采购专户支付、</w:t>
            </w:r>
            <w:r>
              <w:rPr>
                <w:rFonts w:hint="eastAsia" w:ascii="宋体" w:hAnsi="宋体" w:cs="宋体"/>
                <w:b/>
                <w:color w:val="auto"/>
                <w:highlight w:val="none"/>
              </w:rPr>
              <w:t>√</w:t>
            </w:r>
            <w:r>
              <w:rPr>
                <w:rFonts w:hint="eastAsia" w:ascii="宋体" w:hAnsi="宋体" w:cs="宋体"/>
                <w:color w:val="auto"/>
                <w:highlight w:val="none"/>
              </w:rPr>
              <w:t>采购人自行支付</w:t>
            </w:r>
          </w:p>
        </w:tc>
      </w:tr>
      <w:tr w14:paraId="2344B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14:paraId="374FEE4B">
            <w:pPr>
              <w:keepNext w:val="0"/>
              <w:keepLines w:val="0"/>
              <w:pageBreakBefore w:val="0"/>
              <w:kinsoku/>
              <w:overflowPunct/>
              <w:topLinePunct w:val="0"/>
              <w:bidi w:val="0"/>
              <w:spacing w:line="440" w:lineRule="exact"/>
              <w:ind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22</w:t>
            </w:r>
          </w:p>
        </w:tc>
        <w:tc>
          <w:tcPr>
            <w:tcW w:w="8236" w:type="dxa"/>
            <w:vAlign w:val="center"/>
          </w:tcPr>
          <w:p w14:paraId="47DCFD2A">
            <w:pPr>
              <w:keepNext w:val="0"/>
              <w:keepLines w:val="0"/>
              <w:pageBreakBefore w:val="0"/>
              <w:kinsoku/>
              <w:overflowPunct/>
              <w:topLinePunct w:val="0"/>
              <w:bidi w:val="0"/>
              <w:snapToGrid w:val="0"/>
              <w:spacing w:line="440" w:lineRule="exact"/>
              <w:ind w:right="0"/>
              <w:rPr>
                <w:rFonts w:ascii="宋体" w:hAnsi="宋体" w:cs="宋体"/>
                <w:color w:val="auto"/>
                <w:szCs w:val="21"/>
                <w:highlight w:val="none"/>
              </w:rPr>
            </w:pPr>
            <w:r>
              <w:rPr>
                <w:rFonts w:hint="eastAsia" w:ascii="宋体" w:hAnsi="宋体" w:cs="宋体"/>
                <w:color w:val="auto"/>
                <w:szCs w:val="21"/>
                <w:highlight w:val="none"/>
              </w:rPr>
              <w:t>解释：本</w:t>
            </w:r>
            <w:r>
              <w:rPr>
                <w:rFonts w:hint="eastAsia" w:ascii="宋体" w:hAnsi="宋体" w:cs="宋体"/>
                <w:color w:val="auto"/>
                <w:szCs w:val="21"/>
                <w:highlight w:val="none"/>
                <w:lang w:val="en-US" w:eastAsia="zh-CN"/>
              </w:rPr>
              <w:t>磋商采购</w:t>
            </w:r>
            <w:r>
              <w:rPr>
                <w:rFonts w:hint="eastAsia" w:ascii="宋体" w:hAnsi="宋体" w:cs="宋体"/>
                <w:color w:val="auto"/>
                <w:szCs w:val="21"/>
                <w:highlight w:val="none"/>
              </w:rPr>
              <w:t>文件的解释权属于采购单位。</w:t>
            </w:r>
          </w:p>
        </w:tc>
      </w:tr>
      <w:tr w14:paraId="512F6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14:paraId="0B6C80F7">
            <w:pPr>
              <w:keepNext w:val="0"/>
              <w:keepLines w:val="0"/>
              <w:pageBreakBefore w:val="0"/>
              <w:kinsoku/>
              <w:overflowPunct/>
              <w:topLinePunct w:val="0"/>
              <w:bidi w:val="0"/>
              <w:spacing w:line="440" w:lineRule="exact"/>
              <w:ind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23</w:t>
            </w:r>
          </w:p>
        </w:tc>
        <w:tc>
          <w:tcPr>
            <w:tcW w:w="8236" w:type="dxa"/>
            <w:vAlign w:val="center"/>
          </w:tcPr>
          <w:p w14:paraId="69C16FA5">
            <w:pPr>
              <w:keepNext w:val="0"/>
              <w:keepLines w:val="0"/>
              <w:pageBreakBefore w:val="0"/>
              <w:kinsoku/>
              <w:overflowPunct/>
              <w:topLinePunct w:val="0"/>
              <w:autoSpaceDE w:val="0"/>
              <w:autoSpaceDN w:val="0"/>
              <w:bidi w:val="0"/>
              <w:snapToGrid w:val="0"/>
              <w:spacing w:line="440" w:lineRule="exact"/>
              <w:ind w:right="0"/>
              <w:textAlignment w:val="bottom"/>
              <w:rPr>
                <w:rFonts w:ascii="宋体" w:hAnsi="宋体" w:cs="宋体"/>
                <w:color w:val="auto"/>
                <w:highlight w:val="none"/>
              </w:rPr>
            </w:pPr>
            <w:r>
              <w:rPr>
                <w:rFonts w:hint="eastAsia" w:ascii="宋体" w:hAnsi="宋体" w:cs="宋体"/>
                <w:color w:val="auto"/>
                <w:highlight w:val="none"/>
              </w:rPr>
              <w:t>1、参与电子</w:t>
            </w:r>
            <w:r>
              <w:rPr>
                <w:rFonts w:hint="eastAsia" w:ascii="宋体" w:hAnsi="宋体" w:cs="宋体"/>
                <w:color w:val="auto"/>
                <w:highlight w:val="none"/>
                <w:lang w:eastAsia="zh-CN"/>
              </w:rPr>
              <w:t>竞标</w:t>
            </w:r>
            <w:r>
              <w:rPr>
                <w:rFonts w:hint="eastAsia" w:ascii="宋体" w:hAnsi="宋体" w:cs="宋体"/>
                <w:color w:val="auto"/>
                <w:highlight w:val="none"/>
              </w:rPr>
              <w:t>的准备工作：</w:t>
            </w:r>
          </w:p>
          <w:p w14:paraId="055FDFF4">
            <w:pPr>
              <w:keepNext w:val="0"/>
              <w:keepLines w:val="0"/>
              <w:pageBreakBefore w:val="0"/>
              <w:kinsoku/>
              <w:wordWrap w:val="0"/>
              <w:overflowPunct/>
              <w:topLinePunct w:val="0"/>
              <w:autoSpaceDE w:val="0"/>
              <w:autoSpaceDN w:val="0"/>
              <w:bidi w:val="0"/>
              <w:snapToGrid w:val="0"/>
              <w:spacing w:line="440" w:lineRule="exact"/>
              <w:ind w:right="0"/>
              <w:textAlignment w:val="bottom"/>
              <w:rPr>
                <w:rFonts w:ascii="宋体" w:hAnsi="宋体" w:cs="宋体"/>
                <w:color w:val="auto"/>
                <w:highlight w:val="none"/>
              </w:rPr>
            </w:pPr>
            <w:r>
              <w:rPr>
                <w:rFonts w:hint="eastAsia" w:ascii="宋体" w:hAnsi="宋体" w:cs="宋体"/>
                <w:color w:val="auto"/>
                <w:highlight w:val="none"/>
              </w:rPr>
              <w:t>（1）本项目为全流程电子化采购项目，通过“广西政府采购云平台”（</w:t>
            </w:r>
            <w:r>
              <w:rPr>
                <w:rFonts w:hint="eastAsia" w:ascii="宋体" w:hAnsi="宋体" w:cs="宋体"/>
                <w:color w:val="auto"/>
                <w:highlight w:val="none"/>
                <w:lang w:eastAsia="zh-CN"/>
              </w:rPr>
              <w:t>https://www.gcy.zfcg.gxzf.gov.cn/</w:t>
            </w:r>
            <w:r>
              <w:rPr>
                <w:rFonts w:hint="eastAsia" w:ascii="宋体" w:hAnsi="宋体" w:cs="宋体"/>
                <w:color w:val="auto"/>
                <w:highlight w:val="none"/>
              </w:rPr>
              <w:t>）实行在线电子竞标，供应商应先安装“广西政府采购云平台客户端”（请自行前往“广西政府采购网—办事服务—下载专区”进行下载），并按照本项目竞争性磋商文件和“广西政府采购云平台”的要求编制、加密后在提交响应文件截止时间前通过网络上传至“广西政府采购云平台”，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0AC804F2">
            <w:pPr>
              <w:keepNext w:val="0"/>
              <w:keepLines w:val="0"/>
              <w:pageBreakBefore w:val="0"/>
              <w:kinsoku/>
              <w:overflowPunct/>
              <w:topLinePunct w:val="0"/>
              <w:autoSpaceDE w:val="0"/>
              <w:autoSpaceDN w:val="0"/>
              <w:bidi w:val="0"/>
              <w:snapToGrid w:val="0"/>
              <w:spacing w:line="440" w:lineRule="exact"/>
              <w:ind w:right="0"/>
              <w:textAlignment w:val="bottom"/>
              <w:rPr>
                <w:rFonts w:ascii="宋体" w:hAnsi="宋体" w:cs="宋体"/>
                <w:color w:val="auto"/>
                <w:highlight w:val="none"/>
              </w:rPr>
            </w:pPr>
            <w:r>
              <w:rPr>
                <w:rFonts w:hint="eastAsia" w:ascii="宋体" w:hAnsi="宋体" w:cs="宋体"/>
                <w:color w:val="auto"/>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广西政府采购云平台”，依次进入“服务中心-入驻与配置”中查看CA数字证书办理操作流程。如在操作过程中遇到问题或者需要技术支持，请致电广西政府采购云客服热线：95763）。</w:t>
            </w:r>
          </w:p>
          <w:p w14:paraId="3DF4EA17">
            <w:pPr>
              <w:keepNext w:val="0"/>
              <w:keepLines w:val="0"/>
              <w:pageBreakBefore w:val="0"/>
              <w:kinsoku/>
              <w:overflowPunct/>
              <w:topLinePunct w:val="0"/>
              <w:autoSpaceDE w:val="0"/>
              <w:autoSpaceDN w:val="0"/>
              <w:bidi w:val="0"/>
              <w:snapToGrid w:val="0"/>
              <w:spacing w:line="440" w:lineRule="exact"/>
              <w:ind w:right="0"/>
              <w:textAlignment w:val="bottom"/>
              <w:rPr>
                <w:rFonts w:ascii="宋体" w:hAnsi="宋体" w:cs="宋体"/>
                <w:color w:val="auto"/>
                <w:highlight w:val="none"/>
              </w:rPr>
            </w:pPr>
            <w:r>
              <w:rPr>
                <w:rFonts w:hint="eastAsia" w:ascii="宋体" w:hAnsi="宋体" w:cs="宋体"/>
                <w:color w:val="auto"/>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2E5B70FA">
            <w:pPr>
              <w:keepNext w:val="0"/>
              <w:keepLines w:val="0"/>
              <w:pageBreakBefore w:val="0"/>
              <w:kinsoku/>
              <w:overflowPunct/>
              <w:topLinePunct w:val="0"/>
              <w:autoSpaceDE w:val="0"/>
              <w:autoSpaceDN w:val="0"/>
              <w:bidi w:val="0"/>
              <w:snapToGrid w:val="0"/>
              <w:spacing w:line="440" w:lineRule="exact"/>
              <w:ind w:right="0"/>
              <w:textAlignment w:val="bottom"/>
              <w:rPr>
                <w:rFonts w:ascii="宋体" w:hAnsi="宋体" w:cs="宋体"/>
                <w:color w:val="auto"/>
                <w:highlight w:val="none"/>
              </w:rPr>
            </w:pPr>
            <w:r>
              <w:rPr>
                <w:rFonts w:hint="eastAsia" w:ascii="宋体" w:hAnsi="宋体" w:cs="宋体"/>
                <w:color w:val="auto"/>
                <w:highlight w:val="none"/>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5822BAB9">
            <w:pPr>
              <w:keepNext w:val="0"/>
              <w:keepLines w:val="0"/>
              <w:pageBreakBefore w:val="0"/>
              <w:kinsoku/>
              <w:overflowPunct/>
              <w:topLinePunct w:val="0"/>
              <w:autoSpaceDE w:val="0"/>
              <w:autoSpaceDN w:val="0"/>
              <w:bidi w:val="0"/>
              <w:snapToGrid w:val="0"/>
              <w:spacing w:line="440" w:lineRule="exact"/>
              <w:ind w:right="0"/>
              <w:textAlignment w:val="bottom"/>
              <w:rPr>
                <w:rFonts w:ascii="宋体" w:hAnsi="宋体" w:cs="宋体"/>
                <w:color w:val="auto"/>
                <w:highlight w:val="none"/>
              </w:rPr>
            </w:pPr>
            <w:r>
              <w:rPr>
                <w:rFonts w:hint="eastAsia" w:ascii="宋体" w:hAnsi="宋体" w:cs="宋体"/>
                <w:color w:val="auto"/>
                <w:highlight w:val="none"/>
              </w:rPr>
              <w:t>（4）供应商需要在具备有摄像头及语音功能且互联网网络状况良好的电脑登录“广西政府采购云平台”远程开标大厅参与本次磋商，否则后果自负。</w:t>
            </w:r>
          </w:p>
        </w:tc>
      </w:tr>
      <w:tr w14:paraId="11096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14:paraId="4E4F65C3">
            <w:pPr>
              <w:keepNext w:val="0"/>
              <w:keepLines w:val="0"/>
              <w:pageBreakBefore w:val="0"/>
              <w:kinsoku/>
              <w:overflowPunct/>
              <w:topLinePunct w:val="0"/>
              <w:bidi w:val="0"/>
              <w:spacing w:line="440" w:lineRule="exact"/>
              <w:ind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24</w:t>
            </w:r>
          </w:p>
        </w:tc>
        <w:tc>
          <w:tcPr>
            <w:tcW w:w="8236" w:type="dxa"/>
            <w:vAlign w:val="center"/>
          </w:tcPr>
          <w:p w14:paraId="20A09D39">
            <w:pPr>
              <w:keepNext w:val="0"/>
              <w:keepLines w:val="0"/>
              <w:pageBreakBefore w:val="0"/>
              <w:kinsoku/>
              <w:overflowPunct/>
              <w:topLinePunct w:val="0"/>
              <w:autoSpaceDE w:val="0"/>
              <w:autoSpaceDN w:val="0"/>
              <w:bidi w:val="0"/>
              <w:snapToGrid w:val="0"/>
              <w:spacing w:line="440" w:lineRule="exact"/>
              <w:ind w:right="0"/>
              <w:textAlignment w:val="bottom"/>
              <w:rPr>
                <w:rFonts w:ascii="宋体" w:hAnsi="宋体" w:cs="宋体"/>
                <w:color w:val="auto"/>
                <w:highlight w:val="none"/>
              </w:rPr>
            </w:pPr>
            <w:r>
              <w:rPr>
                <w:rFonts w:hint="eastAsia" w:ascii="宋体" w:hAnsi="宋体" w:cs="宋体"/>
                <w:color w:val="auto"/>
                <w:highlight w:val="none"/>
              </w:rPr>
              <w:t>电子响应文件的制作、加密：</w:t>
            </w:r>
          </w:p>
          <w:p w14:paraId="3D5D5E95">
            <w:pPr>
              <w:keepNext w:val="0"/>
              <w:keepLines w:val="0"/>
              <w:pageBreakBefore w:val="0"/>
              <w:kinsoku/>
              <w:overflowPunct/>
              <w:topLinePunct w:val="0"/>
              <w:autoSpaceDE w:val="0"/>
              <w:autoSpaceDN w:val="0"/>
              <w:bidi w:val="0"/>
              <w:snapToGrid w:val="0"/>
              <w:spacing w:line="440" w:lineRule="exact"/>
              <w:ind w:right="0"/>
              <w:textAlignment w:val="bottom"/>
              <w:rPr>
                <w:rFonts w:ascii="宋体" w:hAnsi="宋体" w:cs="宋体"/>
                <w:color w:val="auto"/>
                <w:highlight w:val="none"/>
              </w:rPr>
            </w:pPr>
            <w:r>
              <w:rPr>
                <w:rFonts w:hint="eastAsia" w:ascii="宋体" w:hAnsi="宋体" w:cs="宋体"/>
                <w:color w:val="auto"/>
                <w:highlight w:val="none"/>
              </w:rPr>
              <w:t>1、供应商制作电子响应文件前，应登陆广西政府采购云平台进行“申请获取采购文件”操作，否则，有可能导致无法在线编制响应文件并参与竞标，其不利后果由供应商自行承担。</w:t>
            </w:r>
          </w:p>
          <w:p w14:paraId="56F7500A">
            <w:pPr>
              <w:keepNext w:val="0"/>
              <w:keepLines w:val="0"/>
              <w:pageBreakBefore w:val="0"/>
              <w:kinsoku/>
              <w:overflowPunct/>
              <w:topLinePunct w:val="0"/>
              <w:autoSpaceDE w:val="0"/>
              <w:autoSpaceDN w:val="0"/>
              <w:bidi w:val="0"/>
              <w:snapToGrid w:val="0"/>
              <w:spacing w:line="440" w:lineRule="exact"/>
              <w:ind w:right="0"/>
              <w:textAlignment w:val="bottom"/>
              <w:rPr>
                <w:rFonts w:ascii="宋体" w:hAnsi="宋体" w:cs="宋体"/>
                <w:color w:val="auto"/>
                <w:highlight w:val="none"/>
              </w:rPr>
            </w:pPr>
            <w:r>
              <w:rPr>
                <w:rFonts w:hint="eastAsia" w:ascii="宋体" w:hAnsi="宋体" w:cs="宋体"/>
                <w:color w:val="auto"/>
                <w:highlight w:val="none"/>
              </w:rPr>
              <w:t>2、供应商下载或获取</w:t>
            </w:r>
            <w:r>
              <w:rPr>
                <w:rFonts w:hint="eastAsia" w:ascii="宋体" w:hAnsi="宋体" w:cs="宋体"/>
                <w:color w:val="auto"/>
                <w:highlight w:val="none"/>
                <w:lang w:val="en-US" w:eastAsia="zh-CN"/>
              </w:rPr>
              <w:t>磋商采购</w:t>
            </w:r>
            <w:r>
              <w:rPr>
                <w:rFonts w:hint="eastAsia" w:ascii="宋体" w:hAnsi="宋体" w:cs="宋体"/>
                <w:color w:val="auto"/>
                <w:highlight w:val="none"/>
              </w:rPr>
              <w:t>文件后，登录“广西政府采购云平台电子投标客户端”，按照本</w:t>
            </w:r>
            <w:r>
              <w:rPr>
                <w:rFonts w:hint="eastAsia" w:ascii="宋体" w:hAnsi="宋体" w:cs="宋体"/>
                <w:color w:val="auto"/>
                <w:highlight w:val="none"/>
                <w:lang w:eastAsia="zh-CN"/>
              </w:rPr>
              <w:t>磋商采购文件</w:t>
            </w:r>
            <w:r>
              <w:rPr>
                <w:rFonts w:hint="eastAsia" w:ascii="宋体" w:hAnsi="宋体" w:cs="宋体"/>
                <w:color w:val="auto"/>
                <w:highlight w:val="none"/>
              </w:rPr>
              <w:t>规定的响应文件格式、顺序以及“广西政府采购云平台”的要求，通过“广西政府采购云平台电子投标客户端”编制电子响应文件。</w:t>
            </w:r>
          </w:p>
          <w:p w14:paraId="3E48BA36">
            <w:pPr>
              <w:keepNext w:val="0"/>
              <w:keepLines w:val="0"/>
              <w:pageBreakBefore w:val="0"/>
              <w:kinsoku/>
              <w:overflowPunct/>
              <w:topLinePunct w:val="0"/>
              <w:autoSpaceDE w:val="0"/>
              <w:autoSpaceDN w:val="0"/>
              <w:bidi w:val="0"/>
              <w:snapToGrid w:val="0"/>
              <w:spacing w:line="440" w:lineRule="exact"/>
              <w:ind w:right="0"/>
              <w:textAlignment w:val="bottom"/>
              <w:rPr>
                <w:rFonts w:ascii="宋体" w:hAnsi="宋体" w:cs="宋体"/>
                <w:color w:val="auto"/>
                <w:highlight w:val="none"/>
              </w:rPr>
            </w:pPr>
            <w:r>
              <w:rPr>
                <w:rFonts w:hint="eastAsia" w:ascii="宋体" w:hAnsi="宋体" w:cs="宋体"/>
                <w:color w:val="auto"/>
                <w:highlight w:val="none"/>
              </w:rPr>
              <w:t>3、供应商应按“广西政府采购云平台电子投标客户端”载明的“标书关联”功能进行电子响应文件的关联定位，以便评标小组在评审时点击相应评审项可直接定位到该评审内容；如供应商的电子响应文件未能关联定位相应内容，或者关联定位的内容与该评审项不符，导致评标小组无法查询并做出对供应商不利的评审，相关后果由供应商自行承担。</w:t>
            </w:r>
          </w:p>
          <w:p w14:paraId="40D6F77B">
            <w:pPr>
              <w:keepNext w:val="0"/>
              <w:keepLines w:val="0"/>
              <w:pageBreakBefore w:val="0"/>
              <w:kinsoku/>
              <w:overflowPunct/>
              <w:topLinePunct w:val="0"/>
              <w:autoSpaceDE w:val="0"/>
              <w:autoSpaceDN w:val="0"/>
              <w:bidi w:val="0"/>
              <w:snapToGrid w:val="0"/>
              <w:spacing w:line="440" w:lineRule="exact"/>
              <w:ind w:right="0"/>
              <w:textAlignment w:val="bottom"/>
              <w:rPr>
                <w:rFonts w:ascii="宋体" w:hAnsi="宋体" w:cs="宋体"/>
                <w:color w:val="auto"/>
                <w:highlight w:val="none"/>
              </w:rPr>
            </w:pPr>
            <w:r>
              <w:rPr>
                <w:rFonts w:hint="eastAsia" w:ascii="宋体" w:hAnsi="宋体" w:cs="宋体"/>
                <w:color w:val="auto"/>
                <w:highlight w:val="none"/>
              </w:rPr>
              <w:t>4、电子响应文件不得涂改，若有修改错漏处，须由法定代表人（负责人、自然人）或授权委托代理人通过广西政府采购云平台电子投标客户端”采用广西政府采购云平台个人CA证书签章，没有办理广西政府采购云平台个人CA证书签章的，在响应文件中响应位置手写签字后扫描或者拍照做成PDF的格式上传。因响应文件字迹潦草、表达不清、内容不完整、编排混乱导致响应文件被误读、漏读，或者在按</w:t>
            </w:r>
            <w:r>
              <w:rPr>
                <w:rFonts w:hint="eastAsia" w:ascii="宋体" w:hAnsi="宋体" w:cs="宋体"/>
                <w:color w:val="auto"/>
                <w:highlight w:val="none"/>
                <w:lang w:eastAsia="zh-CN"/>
              </w:rPr>
              <w:t>磋商采购文件</w:t>
            </w:r>
            <w:r>
              <w:rPr>
                <w:rFonts w:hint="eastAsia" w:ascii="宋体" w:hAnsi="宋体" w:cs="宋体"/>
                <w:color w:val="auto"/>
                <w:highlight w:val="none"/>
              </w:rPr>
              <w:t>规定的部位查找不到相关内容的，其不利后果由供应商自行承担。</w:t>
            </w:r>
          </w:p>
          <w:p w14:paraId="6466889D">
            <w:pPr>
              <w:keepNext w:val="0"/>
              <w:keepLines w:val="0"/>
              <w:pageBreakBefore w:val="0"/>
              <w:kinsoku/>
              <w:overflowPunct/>
              <w:topLinePunct w:val="0"/>
              <w:autoSpaceDE w:val="0"/>
              <w:autoSpaceDN w:val="0"/>
              <w:bidi w:val="0"/>
              <w:snapToGrid w:val="0"/>
              <w:spacing w:line="440" w:lineRule="exact"/>
              <w:ind w:right="0"/>
              <w:textAlignment w:val="bottom"/>
              <w:rPr>
                <w:rFonts w:ascii="宋体" w:hAnsi="宋体" w:cs="宋体"/>
                <w:color w:val="auto"/>
                <w:highlight w:val="none"/>
              </w:rPr>
            </w:pPr>
            <w:r>
              <w:rPr>
                <w:rFonts w:hint="eastAsia" w:ascii="宋体" w:hAnsi="宋体" w:cs="宋体"/>
                <w:color w:val="auto"/>
                <w:highlight w:val="none"/>
              </w:rPr>
              <w:t>5、供应商编制、生成电子响应文件后应当加密响应文件。供应商未按规定编制并加密的响应文件，广西政府采购云平台将予以拒收。</w:t>
            </w:r>
          </w:p>
        </w:tc>
      </w:tr>
      <w:tr w14:paraId="6AD18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14:paraId="161452F4">
            <w:pPr>
              <w:keepNext w:val="0"/>
              <w:keepLines w:val="0"/>
              <w:pageBreakBefore w:val="0"/>
              <w:kinsoku/>
              <w:overflowPunct/>
              <w:topLinePunct w:val="0"/>
              <w:bidi w:val="0"/>
              <w:spacing w:line="440" w:lineRule="exact"/>
              <w:ind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25</w:t>
            </w:r>
          </w:p>
        </w:tc>
        <w:tc>
          <w:tcPr>
            <w:tcW w:w="8236" w:type="dxa"/>
            <w:vAlign w:val="center"/>
          </w:tcPr>
          <w:p w14:paraId="0AA95750">
            <w:pPr>
              <w:keepNext w:val="0"/>
              <w:keepLines w:val="0"/>
              <w:pageBreakBefore w:val="0"/>
              <w:kinsoku/>
              <w:overflowPunct/>
              <w:topLinePunct w:val="0"/>
              <w:autoSpaceDE w:val="0"/>
              <w:autoSpaceDN w:val="0"/>
              <w:bidi w:val="0"/>
              <w:snapToGrid w:val="0"/>
              <w:spacing w:line="440" w:lineRule="exact"/>
              <w:ind w:right="0"/>
              <w:textAlignment w:val="bottom"/>
              <w:rPr>
                <w:rFonts w:ascii="宋体" w:hAnsi="宋体" w:cs="宋体"/>
                <w:color w:val="auto"/>
                <w:highlight w:val="none"/>
              </w:rPr>
            </w:pPr>
            <w:r>
              <w:rPr>
                <w:rFonts w:hint="eastAsia" w:ascii="宋体" w:hAnsi="宋体" w:cs="宋体"/>
                <w:color w:val="auto"/>
                <w:highlight w:val="none"/>
              </w:rPr>
              <w:t>供应商公章及签字：</w:t>
            </w:r>
          </w:p>
          <w:p w14:paraId="0DA24BBF">
            <w:pPr>
              <w:keepNext w:val="0"/>
              <w:keepLines w:val="0"/>
              <w:pageBreakBefore w:val="0"/>
              <w:kinsoku/>
              <w:overflowPunct/>
              <w:topLinePunct w:val="0"/>
              <w:autoSpaceDE w:val="0"/>
              <w:autoSpaceDN w:val="0"/>
              <w:bidi w:val="0"/>
              <w:snapToGrid w:val="0"/>
              <w:spacing w:line="440" w:lineRule="exact"/>
              <w:ind w:right="0"/>
              <w:textAlignment w:val="bottom"/>
              <w:rPr>
                <w:rFonts w:ascii="宋体" w:hAnsi="宋体" w:cs="宋体"/>
                <w:color w:val="auto"/>
                <w:highlight w:val="none"/>
              </w:rPr>
            </w:pPr>
            <w:r>
              <w:rPr>
                <w:rFonts w:hint="eastAsia" w:ascii="宋体" w:hAnsi="宋体" w:cs="宋体"/>
                <w:color w:val="auto"/>
                <w:highlight w:val="none"/>
              </w:rPr>
              <w:t>1、本</w:t>
            </w:r>
            <w:r>
              <w:rPr>
                <w:rFonts w:hint="eastAsia" w:ascii="宋体" w:hAnsi="宋体" w:cs="宋体"/>
                <w:color w:val="auto"/>
                <w:highlight w:val="none"/>
                <w:lang w:eastAsia="zh-CN"/>
              </w:rPr>
              <w:t>磋商采购文件</w:t>
            </w:r>
            <w:r>
              <w:rPr>
                <w:rFonts w:hint="eastAsia" w:ascii="宋体" w:hAnsi="宋体" w:cs="宋体"/>
                <w:color w:val="auto"/>
                <w:highlight w:val="none"/>
              </w:rPr>
              <w:t>中描述供应商的“公章”是指供应商通过指定电子化政府采购平台办理数字证书（CA认证证书）获得的以法定主体行为名称制作的电子印章。</w:t>
            </w:r>
          </w:p>
          <w:p w14:paraId="64DA6CEA">
            <w:pPr>
              <w:keepNext w:val="0"/>
              <w:keepLines w:val="0"/>
              <w:pageBreakBefore w:val="0"/>
              <w:kinsoku/>
              <w:overflowPunct/>
              <w:topLinePunct w:val="0"/>
              <w:autoSpaceDE w:val="0"/>
              <w:autoSpaceDN w:val="0"/>
              <w:bidi w:val="0"/>
              <w:snapToGrid w:val="0"/>
              <w:spacing w:line="440" w:lineRule="exact"/>
              <w:ind w:right="0"/>
              <w:textAlignment w:val="bottom"/>
              <w:rPr>
                <w:rFonts w:ascii="宋体" w:hAnsi="宋体" w:cs="宋体"/>
                <w:color w:val="auto"/>
                <w:highlight w:val="none"/>
              </w:rPr>
            </w:pPr>
            <w:r>
              <w:rPr>
                <w:rFonts w:hint="eastAsia" w:ascii="宋体" w:hAnsi="宋体" w:cs="宋体"/>
                <w:color w:val="auto"/>
                <w:highlight w:val="none"/>
              </w:rPr>
              <w:t>2、本</w:t>
            </w:r>
            <w:r>
              <w:rPr>
                <w:rFonts w:hint="eastAsia" w:ascii="宋体" w:hAnsi="宋体" w:cs="宋体"/>
                <w:color w:val="auto"/>
                <w:highlight w:val="none"/>
                <w:lang w:eastAsia="zh-CN"/>
              </w:rPr>
              <w:t>磋商采购文件</w:t>
            </w:r>
            <w:r>
              <w:rPr>
                <w:rFonts w:hint="eastAsia" w:ascii="宋体" w:hAnsi="宋体" w:cs="宋体"/>
                <w:color w:val="auto"/>
                <w:highlight w:val="none"/>
              </w:rPr>
              <w:t>中要求供应商对其电子响应文件的相关内容加盖公章的，均指采用CA证书签章。</w:t>
            </w:r>
          </w:p>
          <w:p w14:paraId="65323FFB">
            <w:pPr>
              <w:pStyle w:val="208"/>
              <w:keepNext w:val="0"/>
              <w:keepLines w:val="0"/>
              <w:pageBreakBefore w:val="0"/>
              <w:kinsoku/>
              <w:overflowPunct/>
              <w:topLinePunct w:val="0"/>
              <w:autoSpaceDE w:val="0"/>
              <w:autoSpaceDN w:val="0"/>
              <w:bidi w:val="0"/>
              <w:spacing w:line="440" w:lineRule="exact"/>
              <w:ind w:right="0"/>
              <w:textAlignment w:val="bottom"/>
              <w:rPr>
                <w:rFonts w:ascii="宋体" w:hAnsi="宋体" w:cs="宋体"/>
                <w:color w:val="auto"/>
                <w:highlight w:val="none"/>
              </w:rPr>
            </w:pPr>
            <w:r>
              <w:rPr>
                <w:rFonts w:hint="eastAsia" w:ascii="宋体" w:hAnsi="宋体" w:cs="宋体"/>
                <w:color w:val="auto"/>
                <w:highlight w:val="none"/>
              </w:rPr>
              <w:t>3、本</w:t>
            </w:r>
            <w:r>
              <w:rPr>
                <w:rFonts w:hint="eastAsia" w:ascii="宋体" w:hAnsi="宋体" w:cs="宋体"/>
                <w:color w:val="auto"/>
                <w:highlight w:val="none"/>
                <w:lang w:eastAsia="zh-CN"/>
              </w:rPr>
              <w:t>磋商采购文件</w:t>
            </w:r>
            <w:r>
              <w:rPr>
                <w:rFonts w:hint="eastAsia" w:ascii="宋体" w:hAnsi="宋体" w:cs="宋体"/>
                <w:color w:val="auto"/>
                <w:highlight w:val="none"/>
              </w:rPr>
              <w:t>中描述供应商的“签字”是指供应商通过指定电子化政府采购平台办理数字证书（CA认证证书）获得的以供应商法定代表人（负责人、自然人）或者委托代理人姓名制作的个人电子印章或手写签字。没有办理个人CA证书的，可以为手写签字的形式。</w:t>
            </w:r>
          </w:p>
        </w:tc>
      </w:tr>
      <w:tr w14:paraId="22E02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7" w:type="dxa"/>
            <w:vAlign w:val="center"/>
          </w:tcPr>
          <w:p w14:paraId="06206B94">
            <w:pPr>
              <w:keepNext w:val="0"/>
              <w:keepLines w:val="0"/>
              <w:pageBreakBefore w:val="0"/>
              <w:kinsoku/>
              <w:overflowPunct/>
              <w:topLinePunct w:val="0"/>
              <w:bidi w:val="0"/>
              <w:spacing w:line="440" w:lineRule="exact"/>
              <w:ind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26</w:t>
            </w:r>
          </w:p>
        </w:tc>
        <w:tc>
          <w:tcPr>
            <w:tcW w:w="8236" w:type="dxa"/>
            <w:vAlign w:val="center"/>
          </w:tcPr>
          <w:p w14:paraId="0E28D6AE">
            <w:pPr>
              <w:keepNext w:val="0"/>
              <w:keepLines w:val="0"/>
              <w:pageBreakBefore w:val="0"/>
              <w:kinsoku/>
              <w:overflowPunct/>
              <w:topLinePunct w:val="0"/>
              <w:autoSpaceDE w:val="0"/>
              <w:autoSpaceDN w:val="0"/>
              <w:bidi w:val="0"/>
              <w:snapToGrid w:val="0"/>
              <w:spacing w:line="440" w:lineRule="exact"/>
              <w:ind w:right="0"/>
              <w:textAlignment w:val="bottom"/>
              <w:rPr>
                <w:rFonts w:ascii="宋体" w:hAnsi="宋体" w:cs="宋体"/>
                <w:color w:val="auto"/>
                <w:highlight w:val="none"/>
              </w:rPr>
            </w:pPr>
            <w:r>
              <w:rPr>
                <w:rFonts w:hint="eastAsia" w:ascii="宋体" w:hAnsi="宋体" w:cs="宋体"/>
                <w:color w:val="auto"/>
                <w:highlight w:val="none"/>
              </w:rPr>
              <w:t>响应文件的解密：</w:t>
            </w:r>
          </w:p>
          <w:p w14:paraId="1DF4897B">
            <w:pPr>
              <w:keepNext w:val="0"/>
              <w:keepLines w:val="0"/>
              <w:pageBreakBefore w:val="0"/>
              <w:kinsoku/>
              <w:overflowPunct/>
              <w:topLinePunct w:val="0"/>
              <w:autoSpaceDE w:val="0"/>
              <w:autoSpaceDN w:val="0"/>
              <w:bidi w:val="0"/>
              <w:snapToGrid w:val="0"/>
              <w:spacing w:line="440" w:lineRule="exact"/>
              <w:ind w:right="0"/>
              <w:textAlignment w:val="bottom"/>
              <w:rPr>
                <w:rFonts w:ascii="宋体" w:hAnsi="宋体" w:cs="宋体"/>
                <w:color w:val="auto"/>
                <w:highlight w:val="none"/>
              </w:rPr>
            </w:pPr>
            <w:r>
              <w:rPr>
                <w:rFonts w:hint="eastAsia" w:ascii="宋体" w:hAnsi="宋体" w:cs="宋体"/>
                <w:color w:val="auto"/>
                <w:highlight w:val="none"/>
              </w:rPr>
              <w:t>采购代理机构将在“招标公告”规定的时间通过电子交易平台组织响应文件开启，采购机构依托电子交易平台发起开始解密指令，供应商的法定代表人或其委托代理人须携带加密时所用的CA锁按平台提示和采购文件的规定登录到广西政府采购云平台电子开标大厅签到并在发起解密指令之时起30分钟内完成对电子响应文件在线解密。发起解密指令之时起5分钟内供应商还未进行解密的，代理机构通知供应商，供应商没预留联系方式或预留联系方式无效，非代理机构原因导致代理机构无法联系到供应商进行解密的，视为响应文件无效。(解密异常情况处理：</w:t>
            </w:r>
            <w:r>
              <w:rPr>
                <w:rFonts w:hint="eastAsia" w:ascii="宋体" w:hAnsi="宋体" w:cs="宋体"/>
                <w:bCs/>
                <w:color w:val="auto"/>
                <w:highlight w:val="none"/>
              </w:rPr>
              <w:t>详见本章30.电子交易活动的中止</w:t>
            </w:r>
            <w:r>
              <w:rPr>
                <w:rFonts w:hint="eastAsia" w:ascii="宋体" w:hAnsi="宋体" w:cs="宋体"/>
                <w:color w:val="auto"/>
                <w:highlight w:val="none"/>
              </w:rPr>
              <w:t>。)</w:t>
            </w:r>
          </w:p>
        </w:tc>
      </w:tr>
    </w:tbl>
    <w:p w14:paraId="3A42F2E3">
      <w:pPr>
        <w:spacing w:line="44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供应商须知正文</w:t>
      </w:r>
    </w:p>
    <w:p w14:paraId="1763B152">
      <w:pPr>
        <w:keepNext w:val="0"/>
        <w:keepLines w:val="0"/>
        <w:pageBreakBefore w:val="0"/>
        <w:kinsoku/>
        <w:wordWrap/>
        <w:overflowPunct/>
        <w:topLinePunct w:val="0"/>
        <w:autoSpaceDE/>
        <w:autoSpaceDN/>
        <w:bidi w:val="0"/>
        <w:adjustRightInd/>
        <w:spacing w:line="440" w:lineRule="exact"/>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一、总则</w:t>
      </w:r>
    </w:p>
    <w:p w14:paraId="25361CE9">
      <w:pPr>
        <w:keepNext w:val="0"/>
        <w:keepLines w:val="0"/>
        <w:pageBreakBefore w:val="0"/>
        <w:kinsoku/>
        <w:wordWrap/>
        <w:overflowPunct/>
        <w:topLinePunct w:val="0"/>
        <w:autoSpaceDE/>
        <w:autoSpaceDN/>
        <w:bidi w:val="0"/>
        <w:adjustRightInd/>
        <w:spacing w:line="440" w:lineRule="exact"/>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1.适用范围</w:t>
      </w:r>
    </w:p>
    <w:p w14:paraId="36D313A7">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1.1本竞争性磋商采购文件适用于本项目的竞争性磋商采购、竞争性磋商响应、评审、定标、验收、合同履约、付款等行为（法律、法规另有规定的，从其规定）。</w:t>
      </w:r>
    </w:p>
    <w:p w14:paraId="624DA469">
      <w:pPr>
        <w:keepNext w:val="0"/>
        <w:keepLines w:val="0"/>
        <w:pageBreakBefore w:val="0"/>
        <w:kinsoku/>
        <w:wordWrap/>
        <w:overflowPunct/>
        <w:topLinePunct w:val="0"/>
        <w:autoSpaceDE/>
        <w:autoSpaceDN/>
        <w:bidi w:val="0"/>
        <w:adjustRightInd/>
        <w:spacing w:line="440" w:lineRule="exact"/>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2.定义</w:t>
      </w:r>
    </w:p>
    <w:p w14:paraId="31316D02">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2.1“采购人”：详见竞争性磋商公告。</w:t>
      </w:r>
    </w:p>
    <w:p w14:paraId="06D70FB6">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2.2“采购代理机构”是指：广西德元工程项目管理有限责任公司。</w:t>
      </w:r>
    </w:p>
    <w:p w14:paraId="22375C45">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2.3“供应商”是</w:t>
      </w:r>
      <w:r>
        <w:rPr>
          <w:rFonts w:hint="eastAsia" w:ascii="宋体" w:hAnsi="宋体" w:cs="宋体"/>
          <w:color w:val="auto"/>
          <w:highlight w:val="none"/>
        </w:rPr>
        <w:t>指响应磋商文件、参加磋商竞争的法人、其他组织或者自然人</w:t>
      </w:r>
      <w:r>
        <w:rPr>
          <w:rFonts w:hint="eastAsia" w:ascii="宋体" w:hAnsi="宋体" w:cs="宋体"/>
          <w:color w:val="auto"/>
          <w:szCs w:val="21"/>
          <w:highlight w:val="none"/>
        </w:rPr>
        <w:t>。如果该供应商在本次磋商采购中成交,即成为“成交供应商”。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分支机构的，是指分支机构营业执照上的负责人；当供应商是个体工商户的，是指个体工商户营业执照上的经营者；当供应商是自然人的，是指参与本项目响应的自然人本人。</w:t>
      </w:r>
    </w:p>
    <w:p w14:paraId="6D726845">
      <w:pPr>
        <w:keepNext w:val="0"/>
        <w:keepLines w:val="0"/>
        <w:pageBreakBefore w:val="0"/>
        <w:kinsoku/>
        <w:wordWrap/>
        <w:overflowPunct/>
        <w:topLinePunct w:val="0"/>
        <w:autoSpaceDE/>
        <w:autoSpaceDN/>
        <w:bidi w:val="0"/>
        <w:adjustRightInd/>
        <w:spacing w:line="440" w:lineRule="exact"/>
        <w:ind w:left="42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2.4“货物”是指各种形态和种类的物品，包括原材料、燃料、设备、产品等。</w:t>
      </w:r>
    </w:p>
    <w:p w14:paraId="50A0971E">
      <w:pPr>
        <w:keepNext w:val="0"/>
        <w:keepLines w:val="0"/>
        <w:pageBreakBefore w:val="0"/>
        <w:kinsoku/>
        <w:wordWrap/>
        <w:overflowPunct/>
        <w:topLinePunct w:val="0"/>
        <w:autoSpaceDE/>
        <w:autoSpaceDN/>
        <w:bidi w:val="0"/>
        <w:adjustRightInd/>
        <w:spacing w:line="440" w:lineRule="exact"/>
        <w:ind w:left="42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2.5“服务”</w:t>
      </w:r>
      <w:r>
        <w:rPr>
          <w:rFonts w:hint="eastAsia" w:ascii="宋体" w:hAnsi="宋体" w:cs="宋体"/>
          <w:color w:val="auto"/>
          <w:spacing w:val="-10"/>
          <w:szCs w:val="21"/>
          <w:highlight w:val="none"/>
        </w:rPr>
        <w:t>是</w:t>
      </w:r>
      <w:r>
        <w:rPr>
          <w:rFonts w:hint="eastAsia" w:ascii="宋体" w:hAnsi="宋体" w:cs="宋体"/>
          <w:color w:val="auto"/>
          <w:szCs w:val="21"/>
          <w:highlight w:val="none"/>
        </w:rPr>
        <w:t>指除货物和工程以外的其他政府采购对象。</w:t>
      </w:r>
    </w:p>
    <w:p w14:paraId="473207EA">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2.6“书面形式”包括是指合同书、信件和数据电文（包括电报、电传、传真、电子数据交换和电子邮件）等可以有形地表现所载内容的形式。</w:t>
      </w:r>
    </w:p>
    <w:p w14:paraId="1FE85F41">
      <w:pPr>
        <w:keepNext w:val="0"/>
        <w:keepLines w:val="0"/>
        <w:pageBreakBefore w:val="0"/>
        <w:kinsoku/>
        <w:wordWrap/>
        <w:overflowPunct/>
        <w:topLinePunct w:val="0"/>
        <w:autoSpaceDE/>
        <w:autoSpaceDN/>
        <w:bidi w:val="0"/>
        <w:adjustRightInd/>
        <w:spacing w:line="440" w:lineRule="exact"/>
        <w:ind w:left="42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2.7“响应文件”是指：供应商根据本文件要求，编制包含价格、商务、技术和服务等所有内容的文件。</w:t>
      </w:r>
    </w:p>
    <w:p w14:paraId="392A4A90">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2.8“签字/签名”是指：指</w:t>
      </w:r>
      <w:r>
        <w:rPr>
          <w:rFonts w:hint="eastAsia" w:ascii="宋体" w:hAnsi="宋体" w:cs="宋体"/>
          <w:color w:val="auto"/>
          <w:highlight w:val="none"/>
        </w:rPr>
        <w:t>应商通过指定电子化政府采购平台办理数字证书（CA认证证书）获得的以供应商法定代表人（负责人、自然人）或者委托代理人姓名制作的个人电子印章或手写签字。没有办理个人CA证书的，可以为手写签字的形式。</w:t>
      </w:r>
    </w:p>
    <w:p w14:paraId="73C86D41">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2.9“公章”是指供应商通过指定电子化政府采购平台办理数字证书（CA认证证书）获得的以法定主体行为名称制作的电子印章。本</w:t>
      </w:r>
      <w:r>
        <w:rPr>
          <w:rFonts w:hint="eastAsia" w:ascii="宋体" w:hAnsi="宋体" w:cs="宋体"/>
          <w:color w:val="auto"/>
          <w:szCs w:val="21"/>
          <w:highlight w:val="none"/>
          <w:lang w:eastAsia="zh-CN"/>
        </w:rPr>
        <w:t>磋商采购文件</w:t>
      </w:r>
      <w:r>
        <w:rPr>
          <w:rFonts w:hint="eastAsia" w:ascii="宋体" w:hAnsi="宋体" w:cs="宋体"/>
          <w:color w:val="auto"/>
          <w:szCs w:val="21"/>
          <w:highlight w:val="none"/>
        </w:rPr>
        <w:t>中要求供应商对其电子响应文件的相关内容加盖公章的，均指采用CA证书签章。</w:t>
      </w:r>
    </w:p>
    <w:p w14:paraId="0556CB8B">
      <w:pPr>
        <w:keepNext w:val="0"/>
        <w:keepLines w:val="0"/>
        <w:pageBreakBefore w:val="0"/>
        <w:kinsoku/>
        <w:wordWrap/>
        <w:overflowPunct/>
        <w:topLinePunct w:val="0"/>
        <w:autoSpaceDE/>
        <w:autoSpaceDN/>
        <w:bidi w:val="0"/>
        <w:adjustRightInd/>
        <w:spacing w:line="440" w:lineRule="exact"/>
        <w:ind w:left="42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2.10“</w:t>
      </w:r>
      <w:r>
        <w:rPr>
          <w:rFonts w:hint="eastAsia" w:ascii="宋体" w:hAnsi="宋体" w:cs="宋体"/>
          <w:color w:val="auto"/>
          <w:highlight w:val="none"/>
        </w:rPr>
        <w:t>▲</w:t>
      </w:r>
      <w:r>
        <w:rPr>
          <w:rFonts w:hint="eastAsia" w:ascii="宋体" w:hAnsi="宋体" w:cs="宋体"/>
          <w:color w:val="auto"/>
          <w:szCs w:val="21"/>
          <w:highlight w:val="none"/>
        </w:rPr>
        <w:t>”是指实质性要求条款。</w:t>
      </w:r>
    </w:p>
    <w:p w14:paraId="5B2742C9">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2.11本磋商文件所称的“以上”“以下”“以内”“届满”，包括本数；所称的“不满”“超过”“以外”，不包括本数；如磋商文件另有特殊规定的从其规定。</w:t>
      </w:r>
    </w:p>
    <w:p w14:paraId="329D3FC1">
      <w:pPr>
        <w:keepNext w:val="0"/>
        <w:keepLines w:val="0"/>
        <w:pageBreakBefore w:val="0"/>
        <w:kinsoku/>
        <w:wordWrap/>
        <w:overflowPunct/>
        <w:topLinePunct w:val="0"/>
        <w:autoSpaceDE/>
        <w:autoSpaceDN/>
        <w:bidi w:val="0"/>
        <w:adjustRightInd/>
        <w:spacing w:line="440" w:lineRule="exact"/>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3.供应商的资格条件</w:t>
      </w:r>
    </w:p>
    <w:p w14:paraId="5C5441C4">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3.1供应商资格：详见</w:t>
      </w:r>
      <w:bookmarkStart w:id="7" w:name="OLE_LINK23"/>
      <w:r>
        <w:rPr>
          <w:rFonts w:hint="eastAsia" w:ascii="宋体" w:hAnsi="宋体" w:cs="宋体"/>
          <w:color w:val="auto"/>
          <w:szCs w:val="21"/>
          <w:highlight w:val="none"/>
        </w:rPr>
        <w:t>供应商须知前附表</w:t>
      </w:r>
      <w:bookmarkEnd w:id="7"/>
      <w:r>
        <w:rPr>
          <w:rFonts w:hint="eastAsia" w:ascii="宋体" w:hAnsi="宋体" w:cs="宋体"/>
          <w:color w:val="auto"/>
          <w:szCs w:val="21"/>
          <w:highlight w:val="none"/>
        </w:rPr>
        <w:t>。</w:t>
      </w:r>
    </w:p>
    <w:p w14:paraId="562CA2FC">
      <w:pPr>
        <w:keepNext w:val="0"/>
        <w:keepLines w:val="0"/>
        <w:pageBreakBefore w:val="0"/>
        <w:kinsoku/>
        <w:wordWrap/>
        <w:overflowPunct/>
        <w:topLinePunct w:val="0"/>
        <w:autoSpaceDE/>
        <w:autoSpaceDN/>
        <w:bidi w:val="0"/>
        <w:adjustRightInd/>
        <w:spacing w:line="440" w:lineRule="exact"/>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4.磋商费用</w:t>
      </w:r>
    </w:p>
    <w:p w14:paraId="4713113B">
      <w:pPr>
        <w:keepNext w:val="0"/>
        <w:keepLines w:val="0"/>
        <w:pageBreakBefore w:val="0"/>
        <w:kinsoku/>
        <w:wordWrap/>
        <w:overflowPunct/>
        <w:topLinePunct w:val="0"/>
        <w:autoSpaceDE/>
        <w:autoSpaceDN/>
        <w:bidi w:val="0"/>
        <w:adjustRightInd/>
        <w:spacing w:line="440" w:lineRule="exact"/>
        <w:ind w:left="42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4.1供应商应自行承担所有与编写和提交响应文件有关的费用，不论磋商结果如何，采购人和采购代理机构在任何情况下无义务和责任承担此类费用。</w:t>
      </w:r>
    </w:p>
    <w:p w14:paraId="57241F6E">
      <w:pPr>
        <w:keepNext w:val="0"/>
        <w:keepLines w:val="0"/>
        <w:pageBreakBefore w:val="0"/>
        <w:kinsoku/>
        <w:wordWrap/>
        <w:overflowPunct/>
        <w:topLinePunct w:val="0"/>
        <w:autoSpaceDE/>
        <w:autoSpaceDN/>
        <w:bidi w:val="0"/>
        <w:adjustRightInd/>
        <w:spacing w:line="440" w:lineRule="exact"/>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5.联合体竞标</w:t>
      </w:r>
    </w:p>
    <w:p w14:paraId="3B7261CA">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67EB39AD">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5.2联合体要求（联合体竞标时应满足下列要求）：</w:t>
      </w:r>
    </w:p>
    <w:p w14:paraId="74505DDE">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（1）两个以上供应商可以组成一个竞标联合体，以一个供应商的身份共同参加竞标，联合体供应商的名称应统一按“XXX公司与XXX公司的联合体”的规则填写。</w:t>
      </w:r>
    </w:p>
    <w:p w14:paraId="47F7D755">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（2）以联合体形式参加竞标的，联合体各方均应当符合“具有独立承担民事责任的能力”的条件。本项目有特殊要求规定供应商特定条件的，联合体各方中至少应当有一方符合</w:t>
      </w:r>
      <w:r>
        <w:rPr>
          <w:rFonts w:hint="eastAsia" w:ascii="宋体" w:hAnsi="宋体" w:cs="宋体"/>
          <w:color w:val="auto"/>
          <w:szCs w:val="21"/>
          <w:highlight w:val="none"/>
          <w:lang w:eastAsia="zh-CN"/>
        </w:rPr>
        <w:t>磋商采购文件</w:t>
      </w:r>
      <w:r>
        <w:rPr>
          <w:rFonts w:hint="eastAsia" w:ascii="宋体" w:hAnsi="宋体" w:cs="宋体"/>
          <w:color w:val="auto"/>
          <w:szCs w:val="21"/>
          <w:highlight w:val="none"/>
        </w:rPr>
        <w:t>规定的特定条件。</w:t>
      </w:r>
    </w:p>
    <w:p w14:paraId="1AC58FE6">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联合体竞标的，须提供《联合体竞标协议书》，协议书必须明确主体方（或者牵头方）并明确约定联合体各方承担的工作和相应的责任（各方承担责任与义务的分工必须符合采购需求，否则，联合体竞标无效），并将联合竞标协议放入响应文件。联合体各方必须共同与采购人签订采购合同，就采购合同约定的事项对采购人承担连带责任。</w:t>
      </w:r>
    </w:p>
    <w:p w14:paraId="3D2A54AA">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（4）以联合体形式参加政府采购活动的，联合体各方不得再单独参加或者与其他供应商另外组成联合体参加同一合同项下的政府采购活动，否则与之相关的响应文件作废。</w:t>
      </w:r>
    </w:p>
    <w:p w14:paraId="1E344C4E">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（5）联合体中有同类资质的供应商按照联合体分工承担相同工作的，应当按照资质等级较低的供应商确定资质等级。</w:t>
      </w:r>
    </w:p>
    <w:p w14:paraId="31D20E7D">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（6）联合体竞标业绩、履约能力按照联合体各方其中较高的一方认定并计算（</w:t>
      </w:r>
      <w:r>
        <w:rPr>
          <w:rFonts w:hint="eastAsia" w:ascii="宋体" w:hAnsi="宋体" w:cs="宋体"/>
          <w:color w:val="auto"/>
          <w:szCs w:val="21"/>
          <w:highlight w:val="none"/>
          <w:lang w:eastAsia="zh-CN"/>
        </w:rPr>
        <w:t>磋商采购文件</w:t>
      </w:r>
      <w:r>
        <w:rPr>
          <w:rFonts w:hint="eastAsia" w:ascii="宋体" w:hAnsi="宋体" w:cs="宋体"/>
          <w:color w:val="auto"/>
          <w:szCs w:val="21"/>
          <w:highlight w:val="none"/>
        </w:rPr>
        <w:t>另有规定的除外）。</w:t>
      </w:r>
    </w:p>
    <w:p w14:paraId="5DED1F5A">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（7）联合体各方均应按照</w:t>
      </w:r>
      <w:r>
        <w:rPr>
          <w:rFonts w:hint="eastAsia" w:ascii="宋体" w:hAnsi="宋体" w:cs="宋体"/>
          <w:color w:val="auto"/>
          <w:szCs w:val="21"/>
          <w:highlight w:val="none"/>
          <w:lang w:eastAsia="zh-CN"/>
        </w:rPr>
        <w:t>磋商采购文件</w:t>
      </w:r>
      <w:r>
        <w:rPr>
          <w:rFonts w:hint="eastAsia" w:ascii="宋体" w:hAnsi="宋体" w:cs="宋体"/>
          <w:color w:val="auto"/>
          <w:szCs w:val="21"/>
          <w:highlight w:val="none"/>
        </w:rPr>
        <w:t>的规定提交资格证明文件。</w:t>
      </w:r>
    </w:p>
    <w:p w14:paraId="03B15FDF">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5.3根据《政府采购促进中小企业发展管理办法》（财库[2020]46号）第九条规定，接受大中型企业与小微企业组成联合体的采购项目，对于联合协议约定小微企业的合同份额占到合同总金额30%以上的，采购人、采购代理机构应当对联合体的报价给予4%-6%（工程项目为1%—2%）的扣除，用扣除后的价格参加评审。组成联合体的小微企业与联合体内其他企业、分包企业之间存在直接控股、管理关系的，不享受价格扣除优惠政策。</w:t>
      </w:r>
    </w:p>
    <w:p w14:paraId="0B997990">
      <w:pPr>
        <w:keepNext w:val="0"/>
        <w:keepLines w:val="0"/>
        <w:pageBreakBefore w:val="0"/>
        <w:kinsoku/>
        <w:wordWrap/>
        <w:overflowPunct/>
        <w:topLinePunct w:val="0"/>
        <w:autoSpaceDE/>
        <w:autoSpaceDN/>
        <w:bidi w:val="0"/>
        <w:adjustRightInd/>
        <w:spacing w:line="440" w:lineRule="exact"/>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6.分包与转包</w:t>
      </w:r>
    </w:p>
    <w:p w14:paraId="03C4761E">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6.1本项目是否允许分包详见“供应商须知前附表”，本项目不允许违法分包。供应商根据</w:t>
      </w:r>
      <w:r>
        <w:rPr>
          <w:rFonts w:hint="eastAsia" w:ascii="宋体" w:hAnsi="宋体" w:cs="宋体"/>
          <w:color w:val="auto"/>
          <w:szCs w:val="21"/>
          <w:highlight w:val="none"/>
          <w:lang w:eastAsia="zh-CN"/>
        </w:rPr>
        <w:t>磋商采购文件</w:t>
      </w:r>
      <w:r>
        <w:rPr>
          <w:rFonts w:hint="eastAsia" w:ascii="宋体" w:hAnsi="宋体" w:cs="宋体"/>
          <w:color w:val="auto"/>
          <w:szCs w:val="21"/>
          <w:highlight w:val="none"/>
        </w:rPr>
        <w:t>的规定和采购项目的实际情况，拟在中标后将中标项目的非主体、非关键性工作分包的，应当在响应文件中载明分包承担主体，分包承担主体应当具备相应资质条件且不得再次分包。</w:t>
      </w:r>
    </w:p>
    <w:p w14:paraId="11687F08">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6.2根据《政府采购促进中小企业发展管理办法》（财库[2020]46号）第九条规定，允许大中型企业向一家或者多家小微企业分包的采购项目，对于分包意向协议约定小微企业的合同份额占到合同总金额30%以上的，采购人、采购代理机构应当对大中型企业的报价给予4%-6%的扣除，用扣除后的价格参加评审。接受分包的小微企业与分包企业之间存在直接控股、管理关系的，不享受价格扣除优惠政策。</w:t>
      </w:r>
    </w:p>
    <w:p w14:paraId="5CA2FE6A">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6.3本项目不允许转包。</w:t>
      </w:r>
    </w:p>
    <w:p w14:paraId="0F544F07">
      <w:pPr>
        <w:keepNext w:val="0"/>
        <w:keepLines w:val="0"/>
        <w:pageBreakBefore w:val="0"/>
        <w:kinsoku/>
        <w:wordWrap/>
        <w:overflowPunct/>
        <w:topLinePunct w:val="0"/>
        <w:autoSpaceDE/>
        <w:autoSpaceDN/>
        <w:bidi w:val="0"/>
        <w:adjustRightInd/>
        <w:spacing w:line="440" w:lineRule="exact"/>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7.特别说明</w:t>
      </w:r>
    </w:p>
    <w:p w14:paraId="3DF47BAB">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7.1出现下列情形之一的，在评审过程中，按一家供应商计算，评审后得分最高的同品牌供应商获得</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推荐资格；评审得分相同的，以报价最低的供应商获得</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推荐资格；评审得分及</w:t>
      </w:r>
      <w:r>
        <w:rPr>
          <w:rFonts w:hint="eastAsia" w:ascii="宋体" w:hAnsi="宋体" w:cs="宋体"/>
          <w:color w:val="auto"/>
          <w:szCs w:val="21"/>
          <w:highlight w:val="none"/>
          <w:lang w:eastAsia="zh-CN"/>
        </w:rPr>
        <w:t>竞标</w:t>
      </w:r>
      <w:r>
        <w:rPr>
          <w:rFonts w:hint="eastAsia" w:ascii="宋体" w:hAnsi="宋体" w:cs="宋体"/>
          <w:color w:val="auto"/>
          <w:szCs w:val="21"/>
          <w:highlight w:val="none"/>
        </w:rPr>
        <w:t>报价相同的，以技术得分最高的供应商获得</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推荐资格；其他同品牌供应商不作为</w:t>
      </w:r>
      <w:r>
        <w:rPr>
          <w:rFonts w:hint="eastAsia" w:ascii="宋体" w:hAnsi="宋体" w:cs="宋体"/>
          <w:color w:val="auto"/>
          <w:szCs w:val="21"/>
          <w:highlight w:val="none"/>
          <w:lang w:eastAsia="zh-CN"/>
        </w:rPr>
        <w:t>成交候选供应商</w:t>
      </w:r>
      <w:r>
        <w:rPr>
          <w:rFonts w:hint="eastAsia" w:ascii="宋体" w:hAnsi="宋体" w:cs="宋体"/>
          <w:color w:val="auto"/>
          <w:szCs w:val="21"/>
          <w:highlight w:val="none"/>
        </w:rPr>
        <w:t>：</w:t>
      </w:r>
    </w:p>
    <w:p w14:paraId="2FE552B6">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（1）提供相同品牌产品且通过资格审查、符合性审查的不同供应商参加单一产品的同一合同项下的政府采购活动的。</w:t>
      </w:r>
    </w:p>
    <w:p w14:paraId="2772F683">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（2）非单一产品采购项目中，多家供应商提供的核心产品品牌相同的，视为提供相同品牌产品。核心产品的名称应当在</w:t>
      </w:r>
      <w:r>
        <w:rPr>
          <w:rFonts w:hint="eastAsia" w:ascii="宋体" w:hAnsi="宋体" w:cs="宋体"/>
          <w:color w:val="auto"/>
          <w:szCs w:val="21"/>
          <w:highlight w:val="none"/>
          <w:lang w:eastAsia="zh-CN"/>
        </w:rPr>
        <w:t>磋商采购文件</w:t>
      </w:r>
      <w:r>
        <w:rPr>
          <w:rFonts w:hint="eastAsia" w:ascii="宋体" w:hAnsi="宋体" w:cs="宋体"/>
          <w:color w:val="auto"/>
          <w:szCs w:val="21"/>
          <w:highlight w:val="none"/>
        </w:rPr>
        <w:t>中载明。</w:t>
      </w:r>
    </w:p>
    <w:p w14:paraId="6D89E639">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7.2供应商</w:t>
      </w:r>
      <w:r>
        <w:rPr>
          <w:rFonts w:hint="eastAsia" w:ascii="宋体" w:hAnsi="宋体" w:cs="宋体"/>
          <w:color w:val="auto"/>
          <w:szCs w:val="21"/>
          <w:highlight w:val="none"/>
          <w:lang w:eastAsia="zh-CN"/>
        </w:rPr>
        <w:t>竞标</w:t>
      </w:r>
      <w:r>
        <w:rPr>
          <w:rFonts w:hint="eastAsia" w:ascii="宋体" w:hAnsi="宋体" w:cs="宋体"/>
          <w:color w:val="auto"/>
          <w:szCs w:val="21"/>
          <w:highlight w:val="none"/>
        </w:rPr>
        <w:t>所使用的资格、信誉、荣誉、业绩与企业认证必须为本供应商所拥有。</w:t>
      </w:r>
    </w:p>
    <w:p w14:paraId="34F60BA8">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7.3供应商应仔细阅读</w:t>
      </w:r>
      <w:r>
        <w:rPr>
          <w:rFonts w:hint="eastAsia" w:ascii="宋体" w:hAnsi="宋体" w:cs="宋体"/>
          <w:color w:val="auto"/>
          <w:szCs w:val="21"/>
          <w:highlight w:val="none"/>
          <w:lang w:eastAsia="zh-CN"/>
        </w:rPr>
        <w:t>磋商采购文件</w:t>
      </w:r>
      <w:r>
        <w:rPr>
          <w:rFonts w:hint="eastAsia" w:ascii="宋体" w:hAnsi="宋体" w:cs="宋体"/>
          <w:color w:val="auto"/>
          <w:szCs w:val="21"/>
          <w:highlight w:val="none"/>
        </w:rPr>
        <w:t>的所有内容，按照</w:t>
      </w:r>
      <w:r>
        <w:rPr>
          <w:rFonts w:hint="eastAsia" w:ascii="宋体" w:hAnsi="宋体" w:cs="宋体"/>
          <w:color w:val="auto"/>
          <w:szCs w:val="21"/>
          <w:highlight w:val="none"/>
          <w:lang w:eastAsia="zh-CN"/>
        </w:rPr>
        <w:t>磋商采购文件</w:t>
      </w:r>
      <w:r>
        <w:rPr>
          <w:rFonts w:hint="eastAsia" w:ascii="宋体" w:hAnsi="宋体" w:cs="宋体"/>
          <w:color w:val="auto"/>
          <w:szCs w:val="21"/>
          <w:highlight w:val="none"/>
        </w:rPr>
        <w:t>的要求提交响应文件，并对所提供的全部资料的真实性承担法律责任。</w:t>
      </w:r>
    </w:p>
    <w:p w14:paraId="4F774F8E">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7.4供应商在</w:t>
      </w:r>
      <w:r>
        <w:rPr>
          <w:rFonts w:hint="eastAsia" w:ascii="宋体" w:hAnsi="宋体" w:cs="宋体"/>
          <w:color w:val="auto"/>
          <w:szCs w:val="21"/>
          <w:highlight w:val="none"/>
          <w:lang w:eastAsia="zh-CN"/>
        </w:rPr>
        <w:t>竞标</w:t>
      </w:r>
      <w:r>
        <w:rPr>
          <w:rFonts w:hint="eastAsia" w:ascii="宋体" w:hAnsi="宋体" w:cs="宋体"/>
          <w:color w:val="auto"/>
          <w:szCs w:val="21"/>
          <w:highlight w:val="none"/>
        </w:rPr>
        <w:t>活动中提供任何虚假材料,其</w:t>
      </w:r>
      <w:r>
        <w:rPr>
          <w:rFonts w:hint="eastAsia" w:ascii="宋体" w:hAnsi="宋体" w:cs="宋体"/>
          <w:color w:val="auto"/>
          <w:szCs w:val="21"/>
          <w:highlight w:val="none"/>
          <w:lang w:eastAsia="zh-CN"/>
        </w:rPr>
        <w:t>竞标</w:t>
      </w:r>
      <w:r>
        <w:rPr>
          <w:rFonts w:hint="eastAsia" w:ascii="宋体" w:hAnsi="宋体" w:cs="宋体"/>
          <w:color w:val="auto"/>
          <w:szCs w:val="21"/>
          <w:highlight w:val="none"/>
        </w:rPr>
        <w:t>无效，并报监管部门查处；中标后发现的,</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须依照《中华人民共和国消费者权益保护法》规定赔偿采购人，且民事赔偿并不免除违法供应商的行政与刑事责任。</w:t>
      </w:r>
    </w:p>
    <w:p w14:paraId="2EF3AEC7">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7.5在政府采购活动中，采购人员及相关人员与供应商有下列利害关系之一的，应当回避：</w:t>
      </w:r>
    </w:p>
    <w:p w14:paraId="73E62DDA">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296C78DE">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4E38E7B4">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3C21ECBF">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1D66AD1C">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0C1471F4">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4DC20BE">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7.6有下列情形之一的视为供应商相互串通</w:t>
      </w:r>
      <w:r>
        <w:rPr>
          <w:rFonts w:hint="eastAsia" w:ascii="宋体" w:hAnsi="宋体" w:cs="宋体"/>
          <w:color w:val="auto"/>
          <w:szCs w:val="21"/>
          <w:highlight w:val="none"/>
          <w:lang w:eastAsia="zh-CN"/>
        </w:rPr>
        <w:t>竞标</w:t>
      </w:r>
      <w:r>
        <w:rPr>
          <w:rFonts w:hint="eastAsia" w:ascii="宋体" w:hAnsi="宋体" w:cs="宋体"/>
          <w:color w:val="auto"/>
          <w:szCs w:val="21"/>
          <w:highlight w:val="none"/>
        </w:rPr>
        <w:t>，其</w:t>
      </w:r>
      <w:r>
        <w:rPr>
          <w:rFonts w:hint="eastAsia" w:ascii="宋体" w:hAnsi="宋体" w:cs="宋体"/>
          <w:color w:val="auto"/>
          <w:szCs w:val="21"/>
          <w:highlight w:val="none"/>
          <w:lang w:eastAsia="zh-CN"/>
        </w:rPr>
        <w:t>竞标</w:t>
      </w:r>
      <w:r>
        <w:rPr>
          <w:rFonts w:hint="eastAsia" w:ascii="宋体" w:hAnsi="宋体" w:cs="宋体"/>
          <w:color w:val="auto"/>
          <w:szCs w:val="21"/>
          <w:highlight w:val="none"/>
        </w:rPr>
        <w:t>无效：</w:t>
      </w:r>
    </w:p>
    <w:p w14:paraId="2E6A65CB">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w:t>
      </w:r>
    </w:p>
    <w:p w14:paraId="4D65259B">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w:t>
      </w:r>
      <w:r>
        <w:rPr>
          <w:rFonts w:hint="eastAsia" w:ascii="宋体" w:hAnsi="宋体" w:cs="宋体"/>
          <w:color w:val="auto"/>
          <w:szCs w:val="21"/>
          <w:highlight w:val="none"/>
          <w:lang w:eastAsia="zh-CN"/>
        </w:rPr>
        <w:t>竞标</w:t>
      </w:r>
      <w:r>
        <w:rPr>
          <w:rFonts w:hint="eastAsia" w:ascii="宋体" w:hAnsi="宋体" w:cs="宋体"/>
          <w:color w:val="auto"/>
          <w:szCs w:val="21"/>
          <w:highlight w:val="none"/>
        </w:rPr>
        <w:t>事宜；</w:t>
      </w:r>
    </w:p>
    <w:p w14:paraId="4793086F">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（3）不同供应商的响应文件载明的项目管理成员或者联系人员为同一人；</w:t>
      </w:r>
    </w:p>
    <w:p w14:paraId="2BF4E46C">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（4）不同供应商的响应文件异常一致或</w:t>
      </w:r>
      <w:r>
        <w:rPr>
          <w:rFonts w:hint="eastAsia" w:ascii="宋体" w:hAnsi="宋体" w:cs="宋体"/>
          <w:color w:val="auto"/>
          <w:szCs w:val="21"/>
          <w:highlight w:val="none"/>
          <w:lang w:eastAsia="zh-CN"/>
        </w:rPr>
        <w:t>竞标</w:t>
      </w:r>
      <w:r>
        <w:rPr>
          <w:rFonts w:hint="eastAsia" w:ascii="宋体" w:hAnsi="宋体" w:cs="宋体"/>
          <w:color w:val="auto"/>
          <w:szCs w:val="21"/>
          <w:highlight w:val="none"/>
        </w:rPr>
        <w:t>报价呈规律性差异；</w:t>
      </w:r>
    </w:p>
    <w:p w14:paraId="11711583">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05A8B987">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（6）不同供应商的</w:t>
      </w:r>
      <w:r>
        <w:rPr>
          <w:rFonts w:hint="eastAsia" w:ascii="宋体" w:hAnsi="宋体" w:cs="宋体"/>
          <w:color w:val="auto"/>
          <w:szCs w:val="21"/>
          <w:highlight w:val="none"/>
          <w:lang w:eastAsia="zh-CN"/>
        </w:rPr>
        <w:t>竞标</w:t>
      </w:r>
      <w:r>
        <w:rPr>
          <w:rFonts w:hint="eastAsia" w:ascii="宋体" w:hAnsi="宋体" w:cs="宋体"/>
          <w:color w:val="auto"/>
          <w:szCs w:val="21"/>
          <w:highlight w:val="none"/>
        </w:rPr>
        <w:t>保证金从同一单位或者个人账户转出。</w:t>
      </w:r>
    </w:p>
    <w:p w14:paraId="63E8C44A">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7.7供应商有下列情形之一的，属于恶意串通行为：</w:t>
      </w:r>
    </w:p>
    <w:p w14:paraId="17304936">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（1）供应商直接或者间接从采购人或者采购代理机构处获得其他供应商的相关信息并修改其投标文件或者响应文件：</w:t>
      </w:r>
    </w:p>
    <w:p w14:paraId="628AD47A">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（2）供应商按照采购人或者采购代理机构的授意撤换、修改投标文件或者响应文件；</w:t>
      </w:r>
    </w:p>
    <w:p w14:paraId="4F9BB694">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（3）供应商之间协商报价、技术方案等投标文件或者响应文件的实质性内容；</w:t>
      </w:r>
    </w:p>
    <w:p w14:paraId="2C3799BD">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37D78D42">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w:t>
      </w:r>
      <w:r>
        <w:rPr>
          <w:rFonts w:hint="eastAsia" w:ascii="宋体" w:hAnsi="宋体" w:cs="宋体"/>
          <w:color w:val="auto"/>
          <w:szCs w:val="21"/>
          <w:highlight w:val="none"/>
          <w:lang w:eastAsia="zh-CN"/>
        </w:rPr>
        <w:t>竞标</w:t>
      </w:r>
      <w:r>
        <w:rPr>
          <w:rFonts w:hint="eastAsia" w:ascii="宋体" w:hAnsi="宋体" w:cs="宋体"/>
          <w:color w:val="auto"/>
          <w:szCs w:val="21"/>
          <w:highlight w:val="none"/>
        </w:rPr>
        <w:t>报价,或者在招标项目中事先约定轮流以高价位或者低价位中标,或者事先约定由某一特定供应商中标,然后再参加</w:t>
      </w:r>
      <w:r>
        <w:rPr>
          <w:rFonts w:hint="eastAsia" w:ascii="宋体" w:hAnsi="宋体" w:cs="宋体"/>
          <w:color w:val="auto"/>
          <w:szCs w:val="21"/>
          <w:highlight w:val="none"/>
          <w:lang w:eastAsia="zh-CN"/>
        </w:rPr>
        <w:t>竞标</w:t>
      </w:r>
      <w:r>
        <w:rPr>
          <w:rFonts w:hint="eastAsia" w:ascii="宋体" w:hAnsi="宋体" w:cs="宋体"/>
          <w:color w:val="auto"/>
          <w:szCs w:val="21"/>
          <w:highlight w:val="none"/>
        </w:rPr>
        <w:t>；</w:t>
      </w:r>
    </w:p>
    <w:p w14:paraId="0AAECCC8">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（6）供应商之间商定部分供应商放弃参加政府采购活动或者放弃中标；</w:t>
      </w:r>
    </w:p>
    <w:p w14:paraId="213A3B42">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（7）供应商与采购人或者采购代理机构之间、供应商相互之间，为谋求特定供应商中标或者排斥其他供应商的其他串通行为。</w:t>
      </w:r>
    </w:p>
    <w:p w14:paraId="173E6792">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7.8关联供应商不得参加同一合同项下政府采购活动，否则响应文件将被视为无效：</w:t>
      </w:r>
    </w:p>
    <w:p w14:paraId="6783F611">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（1）单位负责人为同一人或者存在直接控股、管理关系的不同的供应商，不得参加同一合同项下的政府采购活动；</w:t>
      </w:r>
    </w:p>
    <w:p w14:paraId="5B371E5D">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（2）生产厂商授权给供应商后自己不得参加同一合同项下的政府采购活动；生产厂商对同一品牌同一型号的货物，仅能委托一个代理商参加</w:t>
      </w:r>
      <w:r>
        <w:rPr>
          <w:rFonts w:hint="eastAsia" w:ascii="宋体" w:hAnsi="宋体" w:cs="宋体"/>
          <w:color w:val="auto"/>
          <w:szCs w:val="21"/>
          <w:highlight w:val="none"/>
          <w:lang w:eastAsia="zh-CN"/>
        </w:rPr>
        <w:t>竞标</w:t>
      </w:r>
      <w:r>
        <w:rPr>
          <w:rFonts w:hint="eastAsia" w:ascii="宋体" w:hAnsi="宋体" w:cs="宋体"/>
          <w:color w:val="auto"/>
          <w:szCs w:val="21"/>
          <w:highlight w:val="none"/>
        </w:rPr>
        <w:t>。</w:t>
      </w:r>
    </w:p>
    <w:p w14:paraId="5648E511">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66F567A">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7.9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E887BA7">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产品在中国境内生产的组件成本占比应当达到规定比例，计算公式为：</w:t>
      </w:r>
    </w:p>
    <w:p w14:paraId="25BEBAC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fldChar w:fldCharType="begin"/>
      </w:r>
      <w:r>
        <w:rPr>
          <w:rFonts w:hint="eastAsia" w:ascii="宋体" w:hAnsi="宋体" w:cs="宋体"/>
          <w:b w:val="0"/>
          <w:bCs/>
          <w:color w:val="auto"/>
          <w:szCs w:val="21"/>
          <w:highlight w:val="none"/>
          <w:lang w:val="en-US" w:eastAsia="zh-CN"/>
        </w:rPr>
        <w:instrText xml:space="preserve"> INCLUDEPICTURE "https://www.gov.cn/zhengce/content/202509/W020250930645245947614.png" \* MERGEFORMATINET </w:instrText>
      </w:r>
      <w:r>
        <w:rPr>
          <w:rFonts w:hint="eastAsia" w:ascii="宋体" w:hAnsi="宋体" w:cs="宋体"/>
          <w:b w:val="0"/>
          <w:bCs/>
          <w:color w:val="auto"/>
          <w:szCs w:val="21"/>
          <w:highlight w:val="none"/>
          <w:lang w:val="en-US" w:eastAsia="zh-CN"/>
        </w:rPr>
        <w:fldChar w:fldCharType="separate"/>
      </w:r>
      <w:r>
        <w:rPr>
          <w:rFonts w:hint="eastAsia" w:ascii="宋体" w:hAnsi="宋体" w:cs="宋体"/>
          <w:b w:val="0"/>
          <w:bCs/>
          <w:color w:val="auto"/>
          <w:szCs w:val="21"/>
          <w:highlight w:val="none"/>
          <w:lang w:val="en-US" w:eastAsia="zh-CN"/>
        </w:rPr>
        <mc:AlternateContent>
          <mc:Choice Requires="wps">
            <w:drawing>
              <wp:anchor distT="0" distB="0" distL="114300" distR="114300" simplePos="0" relativeHeight="25167462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9" name="自选图形 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wps:cNvSpPr>
                      <wps:spPr>
                        <a:xfrm>
                          <a:off x="0" y="0"/>
                          <a:ext cx="635000" cy="635000"/>
                        </a:xfrm>
                        <a:custGeom>
                          <a:avLst/>
                          <a:gdLst/>
                          <a:ahLst/>
                          <a:cxnLst/>
                          <a:rect l="0" t="0" r="0" b="0"/>
                          <a:pathLst/>
                        </a:custGeom>
                        <a:noFill/>
                        <a:ln>
                          <a:noFill/>
                        </a:ln>
                      </wps:spPr>
                      <wps:bodyPr upright="1"/>
                    </wps:wsp>
                  </a:graphicData>
                </a:graphic>
              </wp:anchor>
            </w:drawing>
          </mc:Choice>
          <mc:Fallback>
            <w:pict>
              <v:shape id="自选图形 5" o:spid="_x0000_s1026" o:spt="100" style="position:absolute;left:0pt;margin-left:0pt;margin-top:0pt;height:50pt;width:50pt;visibility:hidden;z-index:251674624;mso-width-relative:page;mso-height-relative:page;" filled="f" stroked="f" coordsize="635000,6350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pj916c8AAAAFAQAADwAAAAAAAAABACAAAAAiAAAAZHJz&#10;L2Rvd25yZXYueG1sUEsBAhQAFAAAAAgAh07iQJaKlbjUAQAAwAMAAA4AAAAAAAAAAQAgAAAAHgEA&#10;AGRycy9lMm9Eb2MueG1sUEsFBgAAAAAGAAYAWQEAAGQFAAAAAA==&#10;">
                <v:fill on="f" focussize="0,0"/>
                <v:stroke on="f"/>
                <v:imagedata o:title=""/>
                <o:lock v:ext="edit" selection="t" aspectratio="t"/>
              </v:shape>
            </w:pict>
          </mc:Fallback>
        </mc:AlternateContent>
      </w:r>
      <w:r>
        <w:rPr>
          <w:rFonts w:hint="eastAsia" w:ascii="宋体" w:hAnsi="宋体" w:cs="宋体"/>
          <w:b w:val="0"/>
          <w:bCs/>
          <w:color w:val="auto"/>
          <w:szCs w:val="21"/>
          <w:highlight w:val="none"/>
          <w:lang w:val="en-US" w:eastAsia="zh-CN"/>
        </w:rPr>
        <w:drawing>
          <wp:inline distT="0" distB="0" distL="114300" distR="114300">
            <wp:extent cx="4828540" cy="762000"/>
            <wp:effectExtent l="0" t="0" r="10160" b="0"/>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pic:cNvPicPr>
                      <a:picLocks noChangeAspect="1"/>
                    </pic:cNvPicPr>
                  </pic:nvPicPr>
                  <pic:blipFill>
                    <a:blip r:embed="rId9" r:link="rId10"/>
                    <a:stretch>
                      <a:fillRect/>
                    </a:stretch>
                  </pic:blipFill>
                  <pic:spPr>
                    <a:xfrm>
                      <a:off x="0" y="0"/>
                      <a:ext cx="4828540" cy="762000"/>
                    </a:xfrm>
                    <a:prstGeom prst="rect">
                      <a:avLst/>
                    </a:prstGeom>
                    <a:noFill/>
                    <a:ln>
                      <a:noFill/>
                    </a:ln>
                  </pic:spPr>
                </pic:pic>
              </a:graphicData>
            </a:graphic>
          </wp:inline>
        </w:drawing>
      </w:r>
      <w:r>
        <w:rPr>
          <w:rFonts w:hint="eastAsia" w:ascii="宋体" w:hAnsi="宋体" w:cs="宋体"/>
          <w:b w:val="0"/>
          <w:bCs/>
          <w:color w:val="auto"/>
          <w:szCs w:val="21"/>
          <w:highlight w:val="none"/>
          <w:lang w:val="en-US" w:eastAsia="zh-CN"/>
        </w:rPr>
        <w:fldChar w:fldCharType="end"/>
      </w:r>
    </w:p>
    <w:p w14:paraId="4E889230">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73CE1B08">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政府采购活动中既有本国产品又有非本国产品参与竞争的，依法对本国产品给予价格评审优惠，对本国产品的报价给予20%的价格扣除，用扣除后的价格参与评审。</w:t>
      </w:r>
    </w:p>
    <w:p w14:paraId="3C89A5D1">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default" w:ascii="宋体" w:hAnsi="宋体" w:eastAsia="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95380C5">
      <w:pPr>
        <w:keepNext w:val="0"/>
        <w:keepLines w:val="0"/>
        <w:pageBreakBefore w:val="0"/>
        <w:kinsoku/>
        <w:wordWrap/>
        <w:overflowPunct/>
        <w:topLinePunct w:val="0"/>
        <w:autoSpaceDE/>
        <w:autoSpaceDN/>
        <w:bidi w:val="0"/>
        <w:adjustRightInd/>
        <w:spacing w:line="440" w:lineRule="exact"/>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8.质疑和投诉</w:t>
      </w:r>
    </w:p>
    <w:p w14:paraId="4D551089">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8.1供应商认为</w:t>
      </w:r>
      <w:r>
        <w:rPr>
          <w:rFonts w:hint="eastAsia" w:ascii="宋体" w:hAnsi="宋体" w:cs="宋体"/>
          <w:color w:val="auto"/>
          <w:szCs w:val="21"/>
          <w:highlight w:val="none"/>
          <w:lang w:eastAsia="zh-CN"/>
        </w:rPr>
        <w:t>磋商采购文件</w:t>
      </w:r>
      <w:r>
        <w:rPr>
          <w:rFonts w:hint="eastAsia" w:ascii="宋体" w:hAnsi="宋体" w:cs="宋体"/>
          <w:color w:val="auto"/>
          <w:szCs w:val="21"/>
          <w:highlight w:val="none"/>
        </w:rPr>
        <w:t>、招标过程或中标结果使自己的合法权益受到损害的，应当在知道或者应知其权益受到损害之日起七个工作日内，以书面形式向采购人、采购代理机构提出质疑。供应商对招标采购单位的质疑答复不满意或者招标采购单位未在规定时间内作出答复的，可以在答复期满后十五个工作日内向同级采购监管部门投诉。</w:t>
      </w:r>
    </w:p>
    <w:p w14:paraId="711AB058">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8.2质疑、投诉应当采用书面形式，质疑书、投诉书均应明确阐述</w:t>
      </w:r>
      <w:r>
        <w:rPr>
          <w:rFonts w:hint="eastAsia" w:ascii="宋体" w:hAnsi="宋体" w:cs="宋体"/>
          <w:color w:val="auto"/>
          <w:szCs w:val="21"/>
          <w:highlight w:val="none"/>
          <w:lang w:eastAsia="zh-CN"/>
        </w:rPr>
        <w:t>磋商采购文件</w:t>
      </w:r>
      <w:r>
        <w:rPr>
          <w:rFonts w:hint="eastAsia" w:ascii="宋体" w:hAnsi="宋体" w:cs="宋体"/>
          <w:color w:val="auto"/>
          <w:szCs w:val="21"/>
          <w:highlight w:val="none"/>
        </w:rPr>
        <w:t>、招标过程或中标结果中使自己合法权益受到损害的实质性内容，提供相关事实、依据和证据及其来源或线索，便于有关单位调查、答复和处理。</w:t>
      </w:r>
    </w:p>
    <w:p w14:paraId="6B0B1B96">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8.3质疑和投诉书面要求</w:t>
      </w:r>
    </w:p>
    <w:p w14:paraId="40F638F0">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质疑人或投诉人提供的书面材料（如材料中有外文资料须同时附上中文译本）至少包括以下内容：</w:t>
      </w:r>
    </w:p>
    <w:p w14:paraId="6F954657">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（1）质疑人或投诉人的姓名或者名称、地址、邮编、联系人及联系电话；</w:t>
      </w:r>
    </w:p>
    <w:p w14:paraId="7851843F">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（2）质疑项目的名称、编号；</w:t>
      </w:r>
    </w:p>
    <w:p w14:paraId="09774A18">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（3）具体、明确的质疑事项和与质疑事项相关的请求；</w:t>
      </w:r>
    </w:p>
    <w:p w14:paraId="00AD3180">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（4）事实依据；</w:t>
      </w:r>
    </w:p>
    <w:p w14:paraId="74632433">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（5）必要的法律依据；</w:t>
      </w:r>
    </w:p>
    <w:p w14:paraId="1452348E">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（6）质疑人或投诉人的签章及质疑或投诉时间；</w:t>
      </w:r>
    </w:p>
    <w:p w14:paraId="3380C5FA">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（7）质疑或投诉的书面材料须提供法定代表人签名和加盖单位公章的原件。</w:t>
      </w:r>
    </w:p>
    <w:p w14:paraId="24B564B4">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（8）质疑人须一次性提出针对同一采购程序环节的质疑。</w:t>
      </w:r>
    </w:p>
    <w:p w14:paraId="40F87732">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9）如质疑或投诉委托代理人办理时，须提供质疑人的授权委托书，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5F56DD0">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未持有有效授权委托书的代理人提交的质疑函或不在法定质疑期内提交的质疑函，将不予受理。</w:t>
      </w:r>
    </w:p>
    <w:p w14:paraId="086572DF">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8.4接受质疑函的联系方式等详见磋商公告中采购人、采购代理机构的联系方式。</w:t>
      </w:r>
    </w:p>
    <w:p w14:paraId="3ECD8E42">
      <w:pPr>
        <w:keepNext w:val="0"/>
        <w:keepLines w:val="0"/>
        <w:pageBreakBefore w:val="0"/>
        <w:kinsoku/>
        <w:wordWrap/>
        <w:overflowPunct/>
        <w:topLinePunct w:val="0"/>
        <w:autoSpaceDE/>
        <w:autoSpaceDN/>
        <w:bidi w:val="0"/>
        <w:adjustRightInd/>
        <w:spacing w:line="440" w:lineRule="exact"/>
        <w:ind w:left="420"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二、磋商文件</w:t>
      </w:r>
    </w:p>
    <w:p w14:paraId="193DFC75">
      <w:pPr>
        <w:keepNext w:val="0"/>
        <w:keepLines w:val="0"/>
        <w:pageBreakBefore w:val="0"/>
        <w:kinsoku/>
        <w:wordWrap/>
        <w:overflowPunct/>
        <w:topLinePunct w:val="0"/>
        <w:autoSpaceDE/>
        <w:autoSpaceDN/>
        <w:bidi w:val="0"/>
        <w:adjustRightInd/>
        <w:spacing w:line="440" w:lineRule="exact"/>
        <w:ind w:left="420"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9.竞争性磋商采购文件的组成</w:t>
      </w:r>
    </w:p>
    <w:p w14:paraId="7E79710C">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（1）磋商公告；</w:t>
      </w:r>
    </w:p>
    <w:p w14:paraId="160BFDB3">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（2）供应商须知；</w:t>
      </w:r>
    </w:p>
    <w:p w14:paraId="36BB3DF6">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（3）项目需求；</w:t>
      </w:r>
    </w:p>
    <w:p w14:paraId="3107DDF4">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（4）评审办法和定标标准；</w:t>
      </w:r>
    </w:p>
    <w:p w14:paraId="2E1331B8">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（5）响应文件格式；</w:t>
      </w:r>
    </w:p>
    <w:p w14:paraId="4631EE4E">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（6）合同主要条款；</w:t>
      </w:r>
    </w:p>
    <w:p w14:paraId="0E3428DF">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（7）其他资料（如有）。</w:t>
      </w:r>
    </w:p>
    <w:p w14:paraId="68ED2626">
      <w:pPr>
        <w:keepNext w:val="0"/>
        <w:keepLines w:val="0"/>
        <w:pageBreakBefore w:val="0"/>
        <w:kinsoku/>
        <w:wordWrap/>
        <w:overflowPunct/>
        <w:topLinePunct w:val="0"/>
        <w:autoSpaceDE/>
        <w:autoSpaceDN/>
        <w:bidi w:val="0"/>
        <w:adjustRightInd/>
        <w:spacing w:line="440" w:lineRule="exact"/>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10.供应商的风险</w:t>
      </w:r>
    </w:p>
    <w:p w14:paraId="6813D9C2">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10.1供应商没有按照</w:t>
      </w:r>
      <w:r>
        <w:rPr>
          <w:rFonts w:hint="eastAsia" w:ascii="宋体" w:hAnsi="宋体" w:cs="宋体"/>
          <w:color w:val="auto"/>
          <w:szCs w:val="21"/>
          <w:highlight w:val="none"/>
          <w:lang w:eastAsia="zh-CN"/>
        </w:rPr>
        <w:t>磋商采购文件</w:t>
      </w:r>
      <w:r>
        <w:rPr>
          <w:rFonts w:hint="eastAsia" w:ascii="宋体" w:hAnsi="宋体" w:cs="宋体"/>
          <w:color w:val="auto"/>
          <w:szCs w:val="21"/>
          <w:highlight w:val="none"/>
        </w:rPr>
        <w:t>要求提供全部资料，或者供应商没有对</w:t>
      </w:r>
      <w:r>
        <w:rPr>
          <w:rFonts w:hint="eastAsia" w:ascii="宋体" w:hAnsi="宋体" w:cs="宋体"/>
          <w:color w:val="auto"/>
          <w:szCs w:val="21"/>
          <w:highlight w:val="none"/>
          <w:lang w:eastAsia="zh-CN"/>
        </w:rPr>
        <w:t>磋商采购文件</w:t>
      </w:r>
      <w:r>
        <w:rPr>
          <w:rFonts w:hint="eastAsia" w:ascii="宋体" w:hAnsi="宋体" w:cs="宋体"/>
          <w:color w:val="auto"/>
          <w:szCs w:val="21"/>
          <w:highlight w:val="none"/>
        </w:rPr>
        <w:t>在各方面作出实质性响应是供应商的风险，并可能导致其</w:t>
      </w:r>
      <w:r>
        <w:rPr>
          <w:rFonts w:hint="eastAsia" w:ascii="宋体" w:hAnsi="宋体" w:cs="宋体"/>
          <w:color w:val="auto"/>
          <w:szCs w:val="21"/>
          <w:highlight w:val="none"/>
          <w:lang w:eastAsia="zh-CN"/>
        </w:rPr>
        <w:t>竞标</w:t>
      </w:r>
      <w:r>
        <w:rPr>
          <w:rFonts w:hint="eastAsia" w:ascii="宋体" w:hAnsi="宋体" w:cs="宋体"/>
          <w:color w:val="auto"/>
          <w:szCs w:val="21"/>
          <w:highlight w:val="none"/>
        </w:rPr>
        <w:t>被拒绝。</w:t>
      </w:r>
    </w:p>
    <w:p w14:paraId="6C38DEB0">
      <w:pPr>
        <w:keepNext w:val="0"/>
        <w:keepLines w:val="0"/>
        <w:pageBreakBefore w:val="0"/>
        <w:kinsoku/>
        <w:wordWrap/>
        <w:overflowPunct/>
        <w:topLinePunct w:val="0"/>
        <w:autoSpaceDE/>
        <w:autoSpaceDN/>
        <w:bidi w:val="0"/>
        <w:adjustRightInd/>
        <w:spacing w:line="440" w:lineRule="exact"/>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11.磋商文件的澄清与修改</w:t>
      </w:r>
    </w:p>
    <w:p w14:paraId="07D1384A">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11.1供应商应</w:t>
      </w:r>
      <w:r>
        <w:rPr>
          <w:rFonts w:hint="eastAsia" w:ascii="宋体" w:hAnsi="宋体" w:cs="宋体"/>
          <w:bCs/>
          <w:color w:val="auto"/>
          <w:highlight w:val="none"/>
        </w:rPr>
        <w:t>认真阅读本磋商文件，发现</w:t>
      </w:r>
      <w:r>
        <w:rPr>
          <w:rFonts w:hint="eastAsia" w:ascii="宋体" w:hAnsi="宋体" w:cs="宋体"/>
          <w:color w:val="auto"/>
          <w:highlight w:val="none"/>
        </w:rPr>
        <w:t>磋商文件表述不清晰、存在歧视性、排他性或者其他违法内容的，应以书面形式要求招标采购单位作出书面解释、澄清</w:t>
      </w:r>
      <w:r>
        <w:rPr>
          <w:rFonts w:hint="eastAsia" w:ascii="宋体" w:hAnsi="宋体" w:cs="宋体"/>
          <w:color w:val="auto"/>
          <w:szCs w:val="21"/>
          <w:highlight w:val="none"/>
        </w:rPr>
        <w:t>，否则，由此产生的后果由供应商负责。</w:t>
      </w:r>
    </w:p>
    <w:p w14:paraId="5E5681F7">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11.2任何要求澄清竞争性磋商文件的供应商，均应在首次响应文件递交截止日期三日前的正常工作时间以书面形式通知采购人或采购代理机构，采购人或采购代理机构将以书面形式予以答复。</w:t>
      </w:r>
    </w:p>
    <w:p w14:paraId="571135E7">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11.3采购人或采购代理机构对已发出的磋商文件进行必要澄清或者修改的，澄清和修改对供应商编制响应文件造成实质影响的，在竞争性磋商文件要求提交竞争性磋商响应文件截止时间五日前（不足五日顺延），并将以书面形式通知（在“供应商须知前附表”规定的发布媒体上发布更正公告）所有获取磋商文件的供应商。该澄清或者修改的内容为竞争性磋商文件的组成部分。</w:t>
      </w:r>
    </w:p>
    <w:p w14:paraId="6826ECE8">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11.4采购人可视具体情况，延长响应文件递交截止时间和开标时间，并在“供应商须知前附表”规定的发布媒体上发布变更公告。</w:t>
      </w:r>
    </w:p>
    <w:p w14:paraId="799B592E">
      <w:pPr>
        <w:keepNext w:val="0"/>
        <w:keepLines w:val="0"/>
        <w:pageBreakBefore w:val="0"/>
        <w:kinsoku/>
        <w:wordWrap/>
        <w:overflowPunct/>
        <w:topLinePunct w:val="0"/>
        <w:autoSpaceDE/>
        <w:autoSpaceDN/>
        <w:bidi w:val="0"/>
        <w:adjustRightInd/>
        <w:spacing w:line="440" w:lineRule="exact"/>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12.现场考察或答疑会</w:t>
      </w:r>
    </w:p>
    <w:p w14:paraId="3F61B5A1">
      <w:pPr>
        <w:keepNext w:val="0"/>
        <w:keepLines w:val="0"/>
        <w:pageBreakBefore w:val="0"/>
        <w:kinsoku/>
        <w:wordWrap/>
        <w:overflowPunct/>
        <w:topLinePunct w:val="0"/>
        <w:autoSpaceDE/>
        <w:autoSpaceDN/>
        <w:bidi w:val="0"/>
        <w:adjustRightInd/>
        <w:spacing w:line="440" w:lineRule="exact"/>
        <w:ind w:left="2"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12.1采购人可以视采购项目的具体情况，按须知前附表的规定组织供应商进行现场考察或召开磋商前答疑会，但不得单独或分别组织只有一个供应商参加的现场考察和答疑会。</w:t>
      </w:r>
    </w:p>
    <w:p w14:paraId="2B69EEC2">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12.2供应商考察现场或参加答疑会发生的费用自理。</w:t>
      </w:r>
    </w:p>
    <w:p w14:paraId="643E586C">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12.3供应商自行负责在考察现场或参加答疑会中所发生的人员伤亡和财产损失。</w:t>
      </w:r>
    </w:p>
    <w:p w14:paraId="7DB8E92D">
      <w:pPr>
        <w:keepNext w:val="0"/>
        <w:keepLines w:val="0"/>
        <w:pageBreakBefore w:val="0"/>
        <w:kinsoku/>
        <w:wordWrap/>
        <w:overflowPunct/>
        <w:topLinePunct w:val="0"/>
        <w:autoSpaceDE/>
        <w:autoSpaceDN/>
        <w:bidi w:val="0"/>
        <w:adjustRightInd/>
        <w:spacing w:line="440" w:lineRule="exact"/>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三、响应文件的编制</w:t>
      </w:r>
    </w:p>
    <w:p w14:paraId="50D78F88">
      <w:pPr>
        <w:keepNext w:val="0"/>
        <w:keepLines w:val="0"/>
        <w:pageBreakBefore w:val="0"/>
        <w:kinsoku/>
        <w:wordWrap/>
        <w:overflowPunct/>
        <w:topLinePunct w:val="0"/>
        <w:autoSpaceDE/>
        <w:autoSpaceDN/>
        <w:bidi w:val="0"/>
        <w:adjustRightInd/>
        <w:spacing w:line="440" w:lineRule="exact"/>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13.响应文件的组成</w:t>
      </w:r>
    </w:p>
    <w:p w14:paraId="35799382">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响应文件由资格证明文件、商务和技术文件、报价文件组成。</w:t>
      </w:r>
    </w:p>
    <w:p w14:paraId="7F80BBB2">
      <w:pPr>
        <w:pStyle w:val="23"/>
        <w:keepNext w:val="0"/>
        <w:keepLines w:val="0"/>
        <w:pageBreakBefore w:val="0"/>
        <w:kinsoku/>
        <w:wordWrap/>
        <w:overflowPunct/>
        <w:topLinePunct w:val="0"/>
        <w:autoSpaceDE/>
        <w:autoSpaceDN/>
        <w:bidi w:val="0"/>
        <w:adjustRightInd/>
        <w:spacing w:line="440" w:lineRule="exact"/>
        <w:ind w:firstLine="422" w:firstLineChars="200"/>
        <w:textAlignment w:val="auto"/>
        <w:rPr>
          <w:rFonts w:hAnsi="宋体" w:cs="宋体"/>
          <w:b/>
          <w:color w:val="auto"/>
          <w:sz w:val="21"/>
          <w:highlight w:val="none"/>
        </w:rPr>
      </w:pPr>
      <w:r>
        <w:rPr>
          <w:rFonts w:hint="eastAsia" w:hAnsi="宋体" w:cs="宋体"/>
          <w:b/>
          <w:color w:val="auto"/>
          <w:sz w:val="21"/>
          <w:highlight w:val="none"/>
        </w:rPr>
        <w:t>13.1资格证明文件（以下文件标注“▲”的必须提供，否则</w:t>
      </w:r>
      <w:r>
        <w:rPr>
          <w:rFonts w:hint="eastAsia" w:hAnsi="宋体" w:cs="宋体"/>
          <w:b/>
          <w:color w:val="auto"/>
          <w:sz w:val="21"/>
          <w:highlight w:val="none"/>
          <w:lang w:eastAsia="zh-CN"/>
        </w:rPr>
        <w:t>竞标</w:t>
      </w:r>
      <w:r>
        <w:rPr>
          <w:rFonts w:hint="eastAsia" w:hAnsi="宋体" w:cs="宋体"/>
          <w:b/>
          <w:color w:val="auto"/>
          <w:sz w:val="21"/>
          <w:highlight w:val="none"/>
        </w:rPr>
        <w:t>无效，其他可根据实际情况提供）</w:t>
      </w:r>
    </w:p>
    <w:p w14:paraId="2BD0F5CF">
      <w:pPr>
        <w:pStyle w:val="23"/>
        <w:keepNext w:val="0"/>
        <w:keepLines w:val="0"/>
        <w:pageBreakBefore w:val="0"/>
        <w:kinsoku/>
        <w:wordWrap/>
        <w:overflowPunct/>
        <w:topLinePunct w:val="0"/>
        <w:autoSpaceDE/>
        <w:autoSpaceDN/>
        <w:bidi w:val="0"/>
        <w:adjustRightInd/>
        <w:spacing w:line="440" w:lineRule="exact"/>
        <w:ind w:firstLine="422" w:firstLineChars="200"/>
        <w:textAlignment w:val="auto"/>
        <w:rPr>
          <w:rFonts w:hAnsi="宋体" w:cs="宋体"/>
          <w:b/>
          <w:color w:val="auto"/>
          <w:sz w:val="21"/>
          <w:highlight w:val="none"/>
        </w:rPr>
      </w:pPr>
      <w:r>
        <w:rPr>
          <w:rFonts w:hint="eastAsia" w:hAnsi="宋体" w:cs="宋体"/>
          <w:b/>
          <w:color w:val="auto"/>
          <w:sz w:val="21"/>
          <w:highlight w:val="none"/>
        </w:rPr>
        <w:t>▲注：以下各项属于均要加盖供应商电子公章。联合体</w:t>
      </w:r>
      <w:r>
        <w:rPr>
          <w:rFonts w:hint="eastAsia" w:hAnsi="宋体" w:cs="宋体"/>
          <w:b/>
          <w:color w:val="auto"/>
          <w:sz w:val="21"/>
          <w:highlight w:val="none"/>
          <w:lang w:eastAsia="zh-CN"/>
        </w:rPr>
        <w:t>竞标</w:t>
      </w:r>
      <w:r>
        <w:rPr>
          <w:rFonts w:hint="eastAsia" w:hAnsi="宋体" w:cs="宋体"/>
          <w:b/>
          <w:color w:val="auto"/>
          <w:sz w:val="21"/>
          <w:highlight w:val="none"/>
        </w:rPr>
        <w:t>时，第2-10项资格证明文件联合体各方均必须分别提供，联合体各方分别盖章和签字，否则响应文件按无效响应处理。</w:t>
      </w:r>
    </w:p>
    <w:p w14:paraId="0B53A746">
      <w:pPr>
        <w:keepNext w:val="0"/>
        <w:keepLines w:val="0"/>
        <w:pageBreakBefore w:val="0"/>
        <w:kinsoku/>
        <w:wordWrap/>
        <w:overflowPunct/>
        <w:topLinePunct w:val="0"/>
        <w:autoSpaceDE/>
        <w:autoSpaceDN/>
        <w:bidi w:val="0"/>
        <w:adjustRightInd/>
        <w:snapToGrid w:val="0"/>
        <w:spacing w:line="440" w:lineRule="exact"/>
        <w:ind w:firstLine="422" w:firstLineChars="200"/>
        <w:jc w:val="left"/>
        <w:textAlignment w:val="auto"/>
        <w:rPr>
          <w:rFonts w:ascii="宋体" w:hAnsi="宋体" w:cs="宋体"/>
          <w:color w:val="auto"/>
          <w:szCs w:val="21"/>
          <w:highlight w:val="none"/>
        </w:rPr>
      </w:pPr>
      <w:r>
        <w:rPr>
          <w:rFonts w:hint="eastAsia" w:ascii="宋体" w:hAnsi="宋体" w:cs="宋体"/>
          <w:b/>
          <w:color w:val="auto"/>
          <w:szCs w:val="21"/>
          <w:highlight w:val="none"/>
        </w:rPr>
        <w:t>▲</w:t>
      </w:r>
      <w:r>
        <w:rPr>
          <w:rFonts w:hint="eastAsia" w:ascii="宋体" w:hAnsi="宋体" w:cs="宋体"/>
          <w:color w:val="auto"/>
          <w:szCs w:val="21"/>
          <w:highlight w:val="none"/>
        </w:rPr>
        <w:t>（</w:t>
      </w:r>
      <w:r>
        <w:rPr>
          <w:rFonts w:hint="eastAsia" w:ascii="宋体" w:hAnsi="宋体" w:cs="宋体"/>
          <w:bCs/>
          <w:color w:val="auto"/>
          <w:szCs w:val="21"/>
          <w:highlight w:val="none"/>
        </w:rPr>
        <w:t>1</w:t>
      </w:r>
      <w:r>
        <w:rPr>
          <w:rFonts w:hint="eastAsia" w:ascii="宋体" w:hAnsi="宋体" w:cs="宋体"/>
          <w:color w:val="auto"/>
          <w:szCs w:val="21"/>
          <w:highlight w:val="none"/>
        </w:rPr>
        <w:t>）磋商声明书(按第四章要求格式填写)；</w:t>
      </w:r>
    </w:p>
    <w:p w14:paraId="541BAD6E">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▲（2）响应供应商合法的主体资格证明（如营业执照、事业单位法人证书、执业许可证、个体工商户营业执照、自然人身份证等）</w:t>
      </w:r>
      <w:r>
        <w:rPr>
          <w:rFonts w:hint="eastAsia" w:ascii="宋体" w:hAnsi="宋体" w:cs="宋体"/>
          <w:color w:val="auto"/>
          <w:szCs w:val="21"/>
          <w:highlight w:val="none"/>
          <w:lang w:eastAsia="zh-CN"/>
        </w:rPr>
        <w:t>扫描件</w:t>
      </w:r>
      <w:r>
        <w:rPr>
          <w:rFonts w:hint="eastAsia" w:ascii="宋体" w:hAnsi="宋体" w:cs="宋体"/>
          <w:bCs/>
          <w:color w:val="auto"/>
          <w:szCs w:val="21"/>
          <w:highlight w:val="none"/>
        </w:rPr>
        <w:t>；</w:t>
      </w:r>
    </w:p>
    <w:p w14:paraId="45D34C83">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▲（3）响应供应商依法缴纳税收的相关材料（</w:t>
      </w:r>
      <w:r>
        <w:rPr>
          <w:rFonts w:hint="eastAsia" w:ascii="宋体" w:hAnsi="宋体" w:cs="宋体"/>
          <w:color w:val="auto"/>
          <w:szCs w:val="21"/>
          <w:highlight w:val="none"/>
          <w:lang w:eastAsia="zh-CN"/>
        </w:rPr>
        <w:t>至首次响应文件提交截止时间前半年内任意1个月</w:t>
      </w:r>
      <w:r>
        <w:rPr>
          <w:rFonts w:hint="eastAsia" w:ascii="宋体" w:hAnsi="宋体" w:cs="宋体"/>
          <w:color w:val="auto"/>
          <w:szCs w:val="21"/>
          <w:highlight w:val="none"/>
        </w:rPr>
        <w:t>的依法缴纳税收的证明材料（凭证或税务机关出具的证明）复印件（或扫描件）；依法免税的供应商，必须提供相应文件证明其依法免税。从成立之日起到</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提交截止时间止不足要求月数的，只需提供从成立之日起的依法缴纳税收相应证明文件）；</w:t>
      </w:r>
    </w:p>
    <w:p w14:paraId="59F67942">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▲（4）响应供应商依法缴纳社会保障资金的相关材料（</w:t>
      </w:r>
      <w:r>
        <w:rPr>
          <w:rFonts w:hint="eastAsia" w:ascii="宋体" w:hAnsi="宋体" w:cs="宋体"/>
          <w:color w:val="auto"/>
          <w:szCs w:val="21"/>
          <w:highlight w:val="none"/>
          <w:lang w:eastAsia="zh-CN"/>
        </w:rPr>
        <w:t>至首次响应文件提交截止时间前半年内任意1个月</w:t>
      </w:r>
      <w:r>
        <w:rPr>
          <w:rFonts w:hint="eastAsia" w:ascii="宋体" w:hAnsi="宋体" w:cs="宋体"/>
          <w:color w:val="auto"/>
          <w:szCs w:val="21"/>
          <w:highlight w:val="none"/>
        </w:rPr>
        <w:t>的依法缴纳社会保障资金的缴费凭证（专用收据或者社会保险缴纳清单或者社保部门出具的证明文件）复印件（或扫描件）；依法不需要缴纳社会保障资金的供应商，必须提供相应文件证明不需要缴纳社会保障资金；如供应商社保由上级公司缴纳的，须提供以下资料：上级公司营业执照副本</w:t>
      </w:r>
      <w:r>
        <w:rPr>
          <w:rFonts w:hint="eastAsia" w:ascii="宋体" w:hAnsi="宋体" w:cs="宋体"/>
          <w:color w:val="auto"/>
          <w:szCs w:val="21"/>
          <w:highlight w:val="none"/>
          <w:lang w:eastAsia="zh-CN"/>
        </w:rPr>
        <w:t>扫描件</w:t>
      </w:r>
      <w:r>
        <w:rPr>
          <w:rFonts w:hint="eastAsia" w:ascii="宋体" w:hAnsi="宋体" w:cs="宋体"/>
          <w:color w:val="auto"/>
          <w:szCs w:val="21"/>
          <w:highlight w:val="none"/>
        </w:rPr>
        <w:t>；上级公司出具的社保缴纳情况说明原件（附供应商拟投入人员名单）；上级公司于开标前最近一次社会保障资金的缴费凭证；上级公司于开标前最近一次缴纳社会保险的供应商拟投入人员明细；从成立之日起到</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提交截止时间止不足要求月数的只需提供从成立之日起的依法缴纳社会保障资金的相应证明文件）；</w:t>
      </w:r>
    </w:p>
    <w:p w14:paraId="6DD56220">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highlight w:val="none"/>
        </w:rPr>
        <w:t>▲（5）</w:t>
      </w:r>
      <w:r>
        <w:rPr>
          <w:rFonts w:hint="eastAsia" w:ascii="宋体" w:hAnsi="宋体" w:cs="宋体"/>
          <w:color w:val="auto"/>
          <w:szCs w:val="21"/>
          <w:highlight w:val="none"/>
        </w:rPr>
        <w:t>响应</w:t>
      </w:r>
      <w:r>
        <w:rPr>
          <w:rFonts w:hint="eastAsia" w:ascii="宋体" w:hAnsi="宋体" w:cs="宋体"/>
          <w:color w:val="auto"/>
          <w:szCs w:val="21"/>
          <w:highlight w:val="none"/>
          <w:lang w:eastAsia="zh-CN"/>
        </w:rPr>
        <w:t>供应商[2024年度</w:t>
      </w:r>
      <w:r>
        <w:rPr>
          <w:rFonts w:hint="eastAsia" w:ascii="宋体" w:hAnsi="宋体" w:cs="宋体"/>
          <w:color w:val="auto"/>
          <w:szCs w:val="21"/>
          <w:highlight w:val="none"/>
          <w:lang w:val="en-US" w:eastAsia="zh-CN"/>
        </w:rPr>
        <w:t>或2025年度</w:t>
      </w:r>
      <w:r>
        <w:rPr>
          <w:rFonts w:hint="eastAsia" w:ascii="宋体" w:hAnsi="宋体" w:cs="宋体"/>
          <w:color w:val="auto"/>
          <w:szCs w:val="21"/>
          <w:highlight w:val="none"/>
          <w:lang w:eastAsia="zh-CN"/>
        </w:rPr>
        <w:t>]财务状况报告扫描件；供应商</w:t>
      </w:r>
      <w:r>
        <w:rPr>
          <w:rFonts w:hint="eastAsia" w:ascii="宋体" w:hAnsi="宋体" w:cs="宋体"/>
          <w:color w:val="auto"/>
          <w:highlight w:val="none"/>
        </w:rPr>
        <w:t>属于成立时间在规定年度之后</w:t>
      </w:r>
      <w:r>
        <w:rPr>
          <w:rFonts w:hint="eastAsia" w:ascii="宋体" w:hAnsi="宋体" w:cs="宋体"/>
          <w:color w:val="auto"/>
          <w:szCs w:val="21"/>
          <w:highlight w:val="none"/>
          <w:lang w:eastAsia="zh-CN"/>
        </w:rPr>
        <w:t>的应提供截标之日上一个月的财务状况报告扫描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cs="宋体"/>
          <w:color w:val="auto"/>
          <w:highlight w:val="none"/>
        </w:rPr>
        <w:t>；</w:t>
      </w:r>
    </w:p>
    <w:p w14:paraId="174385C1">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▲（6）参加政府采购活动前三年内在经营活动中没有重大违法记录和不良信用记录的书面声明书（格式自拟）；</w:t>
      </w:r>
    </w:p>
    <w:p w14:paraId="06081191">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highlight w:val="none"/>
        </w:rPr>
        <w:t>▲（7）</w:t>
      </w:r>
      <w:r>
        <w:rPr>
          <w:rFonts w:hint="eastAsia" w:ascii="宋体" w:hAnsi="宋体" w:cs="宋体"/>
          <w:color w:val="auto"/>
          <w:szCs w:val="21"/>
          <w:highlight w:val="none"/>
        </w:rPr>
        <w:t>供应商如为分支机构</w:t>
      </w:r>
      <w:r>
        <w:rPr>
          <w:rFonts w:hint="eastAsia" w:ascii="宋体" w:hAnsi="宋体" w:cs="宋体"/>
          <w:color w:val="auto"/>
          <w:szCs w:val="21"/>
          <w:highlight w:val="none"/>
          <w:lang w:eastAsia="zh-CN"/>
        </w:rPr>
        <w:t>竞标</w:t>
      </w:r>
      <w:r>
        <w:rPr>
          <w:rFonts w:hint="eastAsia" w:ascii="宋体" w:hAnsi="宋体" w:cs="宋体"/>
          <w:color w:val="auto"/>
          <w:szCs w:val="21"/>
          <w:highlight w:val="none"/>
        </w:rPr>
        <w:t>的，须提供其总公司“营业执照”副本</w:t>
      </w:r>
      <w:r>
        <w:rPr>
          <w:rFonts w:hint="eastAsia" w:ascii="宋体" w:hAnsi="宋体" w:cs="宋体"/>
          <w:color w:val="auto"/>
          <w:szCs w:val="21"/>
          <w:highlight w:val="none"/>
          <w:lang w:eastAsia="zh-CN"/>
        </w:rPr>
        <w:t>扫描件</w:t>
      </w:r>
      <w:r>
        <w:rPr>
          <w:rFonts w:hint="eastAsia" w:ascii="宋体" w:hAnsi="宋体" w:cs="宋体"/>
          <w:color w:val="auto"/>
          <w:szCs w:val="21"/>
          <w:highlight w:val="none"/>
        </w:rPr>
        <w:t>和总公司对供应商参与本项目</w:t>
      </w:r>
      <w:r>
        <w:rPr>
          <w:rFonts w:hint="eastAsia" w:ascii="宋体" w:hAnsi="宋体" w:cs="宋体"/>
          <w:color w:val="auto"/>
          <w:szCs w:val="21"/>
          <w:highlight w:val="none"/>
          <w:lang w:eastAsia="zh-CN"/>
        </w:rPr>
        <w:t>竞标</w:t>
      </w:r>
      <w:r>
        <w:rPr>
          <w:rFonts w:hint="eastAsia" w:ascii="宋体" w:hAnsi="宋体" w:cs="宋体"/>
          <w:color w:val="auto"/>
          <w:szCs w:val="21"/>
          <w:highlight w:val="none"/>
        </w:rPr>
        <w:t>的授权书原件；</w:t>
      </w:r>
      <w:r>
        <w:rPr>
          <w:rFonts w:hint="eastAsia" w:ascii="宋体" w:hAnsi="宋体" w:cs="宋体"/>
          <w:color w:val="auto"/>
          <w:szCs w:val="21"/>
          <w:highlight w:val="none"/>
          <w:lang w:eastAsia="zh-CN"/>
        </w:rPr>
        <w:t>（</w:t>
      </w:r>
      <w:r>
        <w:rPr>
          <w:rFonts w:hint="eastAsia" w:ascii="宋体" w:hAnsi="宋体" w:cs="宋体"/>
          <w:color w:val="auto"/>
          <w:szCs w:val="21"/>
          <w:highlight w:val="none"/>
        </w:rPr>
        <w:t>如为分支机构</w:t>
      </w:r>
      <w:r>
        <w:rPr>
          <w:rFonts w:hint="eastAsia" w:ascii="宋体" w:hAnsi="宋体" w:cs="宋体"/>
          <w:color w:val="auto"/>
          <w:szCs w:val="21"/>
          <w:highlight w:val="none"/>
          <w:lang w:eastAsia="zh-CN"/>
        </w:rPr>
        <w:t>竞标</w:t>
      </w:r>
      <w:r>
        <w:rPr>
          <w:rFonts w:hint="eastAsia" w:ascii="宋体" w:hAnsi="宋体" w:cs="宋体"/>
          <w:color w:val="auto"/>
          <w:szCs w:val="21"/>
          <w:highlight w:val="none"/>
        </w:rPr>
        <w:t>的</w:t>
      </w:r>
      <w:r>
        <w:rPr>
          <w:rFonts w:hint="eastAsia" w:ascii="宋体" w:hAnsi="宋体" w:cs="宋体"/>
          <w:color w:val="auto"/>
          <w:szCs w:val="21"/>
          <w:highlight w:val="none"/>
          <w:lang w:val="en-US" w:eastAsia="zh-CN"/>
        </w:rPr>
        <w:t>必须提供</w:t>
      </w:r>
      <w:r>
        <w:rPr>
          <w:rFonts w:hint="eastAsia" w:ascii="宋体" w:hAnsi="宋体" w:cs="宋体"/>
          <w:color w:val="auto"/>
          <w:szCs w:val="21"/>
          <w:highlight w:val="none"/>
          <w:lang w:eastAsia="zh-CN"/>
        </w:rPr>
        <w:t>）</w:t>
      </w:r>
    </w:p>
    <w:p w14:paraId="3A87153E">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highlight w:val="none"/>
        </w:rPr>
        <w:t>▲（8）</w:t>
      </w:r>
      <w:r>
        <w:rPr>
          <w:rFonts w:hint="eastAsia" w:ascii="宋体" w:hAnsi="宋体" w:cs="宋体"/>
          <w:color w:val="auto"/>
          <w:szCs w:val="21"/>
          <w:highlight w:val="none"/>
        </w:rPr>
        <w:t>供应商直接控股、管理关系信息表(按第四章要求格式填写)；</w:t>
      </w:r>
    </w:p>
    <w:p w14:paraId="76BD5199">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（9）联合体协议书；（联合体</w:t>
      </w:r>
      <w:r>
        <w:rPr>
          <w:rFonts w:hint="eastAsia" w:ascii="宋体" w:hAnsi="宋体" w:cs="宋体"/>
          <w:color w:val="auto"/>
          <w:szCs w:val="21"/>
          <w:highlight w:val="none"/>
          <w:lang w:eastAsia="zh-CN"/>
        </w:rPr>
        <w:t>竞标</w:t>
      </w:r>
      <w:r>
        <w:rPr>
          <w:rFonts w:hint="eastAsia" w:ascii="宋体" w:hAnsi="宋体" w:cs="宋体"/>
          <w:color w:val="auto"/>
          <w:szCs w:val="21"/>
          <w:highlight w:val="none"/>
        </w:rPr>
        <w:t>时必须提供，否则响应文件按无效响应处理）</w:t>
      </w:r>
    </w:p>
    <w:p w14:paraId="251F4E9D">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bCs w:val="0"/>
          <w:color w:val="auto"/>
          <w:highlight w:val="none"/>
        </w:rPr>
        <w:t>（10）</w:t>
      </w:r>
      <w:r>
        <w:rPr>
          <w:rFonts w:hint="eastAsia" w:ascii="宋体" w:hAnsi="宋体" w:eastAsia="宋体" w:cs="宋体"/>
          <w:color w:val="auto"/>
          <w:highlight w:val="none"/>
        </w:rPr>
        <w:t>特定资格条件：（如有要求则必须提供，否则响应文件按无效响应处理）</w:t>
      </w:r>
    </w:p>
    <w:p w14:paraId="47BB308C">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（11）供应商认为需要提供的其他有关资料</w:t>
      </w:r>
      <w:r>
        <w:rPr>
          <w:rFonts w:hint="eastAsia" w:ascii="宋体" w:hAnsi="宋体" w:cs="宋体"/>
          <w:color w:val="auto"/>
          <w:szCs w:val="24"/>
          <w:highlight w:val="none"/>
          <w:lang w:eastAsia="zh-CN"/>
        </w:rPr>
        <w:t>。</w:t>
      </w:r>
    </w:p>
    <w:p w14:paraId="5ABEEEE5">
      <w:pPr>
        <w:keepNext w:val="0"/>
        <w:keepLines w:val="0"/>
        <w:pageBreakBefore w:val="0"/>
        <w:kinsoku/>
        <w:wordWrap/>
        <w:overflowPunct/>
        <w:topLinePunct w:val="0"/>
        <w:autoSpaceDE/>
        <w:autoSpaceDN/>
        <w:bidi w:val="0"/>
        <w:adjustRightInd/>
        <w:snapToGrid w:val="0"/>
        <w:spacing w:before="120" w:beforeLines="50" w:line="440" w:lineRule="exact"/>
        <w:ind w:firstLine="422" w:firstLineChars="200"/>
        <w:jc w:val="left"/>
        <w:textAlignment w:val="auto"/>
        <w:rPr>
          <w:rFonts w:ascii="宋体" w:hAnsi="宋体" w:cs="宋体"/>
          <w:color w:val="auto"/>
          <w:szCs w:val="21"/>
          <w:highlight w:val="none"/>
        </w:rPr>
      </w:pPr>
      <w:r>
        <w:rPr>
          <w:rFonts w:hint="eastAsia" w:ascii="宋体" w:hAnsi="宋体" w:cs="宋体"/>
          <w:b/>
          <w:color w:val="auto"/>
          <w:szCs w:val="21"/>
          <w:highlight w:val="none"/>
        </w:rPr>
        <w:t>13.2商务和技术文件（以下文件标注“▲”的必须提供，“招标项目采购需求”要求“必须提供”的必须提供，其他可根据实际情况提供，</w:t>
      </w:r>
      <w:r>
        <w:rPr>
          <w:rFonts w:hint="eastAsia" w:ascii="宋体" w:hAnsi="宋体" w:cs="宋体"/>
          <w:b/>
          <w:color w:val="auto"/>
          <w:highlight w:val="none"/>
        </w:rPr>
        <w:t>第</w:t>
      </w:r>
      <w:r>
        <w:rPr>
          <w:rFonts w:hint="eastAsia" w:ascii="宋体" w:hAnsi="宋体" w:cs="宋体"/>
          <w:b/>
          <w:color w:val="auto"/>
          <w:szCs w:val="21"/>
          <w:highlight w:val="none"/>
        </w:rPr>
        <w:t>（1）（2）项由法定代表人签名，否则其</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无效</w:t>
      </w:r>
      <w:r>
        <w:rPr>
          <w:rFonts w:hint="eastAsia" w:ascii="宋体" w:hAnsi="宋体" w:cs="宋体"/>
          <w:color w:val="auto"/>
          <w:szCs w:val="21"/>
          <w:highlight w:val="none"/>
        </w:rPr>
        <w:t>）</w:t>
      </w:r>
    </w:p>
    <w:p w14:paraId="1386701B">
      <w:pPr>
        <w:keepNext w:val="0"/>
        <w:keepLines w:val="0"/>
        <w:pageBreakBefore w:val="0"/>
        <w:kinsoku/>
        <w:wordWrap/>
        <w:overflowPunct/>
        <w:topLinePunct w:val="0"/>
        <w:autoSpaceDE/>
        <w:autoSpaceDN/>
        <w:bidi w:val="0"/>
        <w:adjustRightInd/>
        <w:snapToGrid w:val="0"/>
        <w:spacing w:line="440" w:lineRule="exact"/>
        <w:ind w:firstLine="422" w:firstLineChars="200"/>
        <w:jc w:val="left"/>
        <w:textAlignment w:val="auto"/>
        <w:rPr>
          <w:rFonts w:ascii="宋体" w:hAnsi="宋体" w:cs="宋体"/>
          <w:b/>
          <w:color w:val="auto"/>
          <w:highlight w:val="none"/>
        </w:rPr>
      </w:pPr>
      <w:r>
        <w:rPr>
          <w:rFonts w:hint="eastAsia" w:ascii="宋体" w:hAnsi="宋体" w:cs="宋体"/>
          <w:b/>
          <w:color w:val="auto"/>
          <w:highlight w:val="none"/>
        </w:rPr>
        <w:t>▲注：以下标注“▲”均要加盖供应商单位电子公章</w:t>
      </w:r>
      <w:r>
        <w:rPr>
          <w:rFonts w:hint="eastAsia" w:ascii="宋体" w:hAnsi="宋体" w:cs="宋体"/>
          <w:b/>
          <w:bCs/>
          <w:color w:val="auto"/>
          <w:szCs w:val="21"/>
          <w:highlight w:val="none"/>
        </w:rPr>
        <w:t>或</w:t>
      </w:r>
      <w:r>
        <w:rPr>
          <w:rFonts w:hint="eastAsia" w:ascii="宋体" w:hAnsi="宋体" w:cs="宋体"/>
          <w:b/>
          <w:color w:val="auto"/>
          <w:highlight w:val="none"/>
        </w:rPr>
        <w:t>自然人加盖手指指印，否则其</w:t>
      </w:r>
      <w:r>
        <w:rPr>
          <w:rFonts w:hint="eastAsia" w:ascii="宋体" w:hAnsi="宋体" w:cs="宋体"/>
          <w:b/>
          <w:color w:val="auto"/>
          <w:highlight w:val="none"/>
          <w:lang w:eastAsia="zh-CN"/>
        </w:rPr>
        <w:t>竞标</w:t>
      </w:r>
      <w:r>
        <w:rPr>
          <w:rFonts w:hint="eastAsia" w:ascii="宋体" w:hAnsi="宋体" w:cs="宋体"/>
          <w:b/>
          <w:color w:val="auto"/>
          <w:highlight w:val="none"/>
        </w:rPr>
        <w:t>无效。</w:t>
      </w:r>
    </w:p>
    <w:p w14:paraId="2916D5BE">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▲（1）法定代表人身份证明书(按第四章要求格式填写)；</w:t>
      </w:r>
    </w:p>
    <w:p w14:paraId="601A772A">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▲（2）法定代表人授权委托书及被授权委托人身份证</w:t>
      </w:r>
      <w:r>
        <w:rPr>
          <w:rFonts w:hint="eastAsia" w:ascii="宋体" w:hAnsi="宋体" w:cs="宋体"/>
          <w:color w:val="auto"/>
          <w:szCs w:val="21"/>
          <w:highlight w:val="none"/>
          <w:lang w:eastAsia="zh-CN"/>
        </w:rPr>
        <w:t>扫描件</w:t>
      </w:r>
      <w:r>
        <w:rPr>
          <w:rFonts w:hint="eastAsia" w:ascii="宋体" w:hAnsi="宋体" w:cs="宋体"/>
          <w:color w:val="auto"/>
          <w:szCs w:val="21"/>
          <w:highlight w:val="none"/>
        </w:rPr>
        <w:t>(委托代理时，按第四章要求格式填写)；</w:t>
      </w:r>
    </w:p>
    <w:p w14:paraId="546509E1">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（3）供应商情况介绍（格式自拟）；</w:t>
      </w:r>
    </w:p>
    <w:p w14:paraId="1752639E">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▲（4）商务响应表(按第四章要求格式填写)；</w:t>
      </w:r>
    </w:p>
    <w:p w14:paraId="73F631D4">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▲（5）技术响应表(按第四章要求格式填写，附“第三章采购需求”中要求提供的相关材料)；</w:t>
      </w:r>
    </w:p>
    <w:p w14:paraId="49B960C7">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CN"/>
        </w:rPr>
        <w:t>项目实施人员一览表</w:t>
      </w:r>
      <w:r>
        <w:rPr>
          <w:rFonts w:hint="eastAsia" w:ascii="宋体" w:hAnsi="宋体" w:eastAsia="宋体" w:cs="宋体"/>
          <w:color w:val="auto"/>
          <w:szCs w:val="21"/>
          <w:highlight w:val="none"/>
        </w:rPr>
        <w:t>（按第四章格式填写）</w:t>
      </w:r>
      <w:r>
        <w:rPr>
          <w:rFonts w:hint="eastAsia" w:ascii="宋体" w:hAnsi="宋体" w:eastAsia="宋体" w:cs="宋体"/>
          <w:color w:val="auto"/>
          <w:szCs w:val="21"/>
          <w:highlight w:val="none"/>
          <w:lang w:eastAsia="zh-CN"/>
        </w:rPr>
        <w:t>；</w:t>
      </w:r>
    </w:p>
    <w:p w14:paraId="03F572D8">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▲（7）项目实施方案；(按第四章要求格式填写)；</w:t>
      </w:r>
    </w:p>
    <w:p w14:paraId="5884080D">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▲（8）服务承诺书（按第四章格式填写）；</w:t>
      </w:r>
    </w:p>
    <w:p w14:paraId="6E5F81A5">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highlight w:val="none"/>
          <w:lang w:eastAsia="zh-CN"/>
        </w:rPr>
      </w:pPr>
      <w:r>
        <w:rPr>
          <w:rFonts w:hint="eastAsia" w:ascii="宋体" w:hAnsi="宋体" w:cs="宋体"/>
          <w:color w:val="auto"/>
          <w:szCs w:val="21"/>
          <w:highlight w:val="none"/>
        </w:rPr>
        <w:t>▲</w:t>
      </w:r>
      <w:r>
        <w:rPr>
          <w:rFonts w:hint="eastAsia" w:ascii="宋体" w:hAnsi="宋体" w:cs="宋体"/>
          <w:color w:val="auto"/>
          <w:highlight w:val="none"/>
        </w:rPr>
        <w:t>（9）</w:t>
      </w:r>
      <w:r>
        <w:rPr>
          <w:rFonts w:hint="eastAsia" w:ascii="宋体" w:hAnsi="宋体" w:cs="宋体"/>
          <w:color w:val="auto"/>
          <w:highlight w:val="none"/>
          <w:lang w:val="en-US" w:eastAsia="zh-CN"/>
        </w:rPr>
        <w:t>磋商</w:t>
      </w:r>
      <w:r>
        <w:rPr>
          <w:rFonts w:hint="eastAsia" w:ascii="宋体" w:hAnsi="宋体" w:cs="宋体"/>
          <w:color w:val="auto"/>
          <w:highlight w:val="none"/>
        </w:rPr>
        <w:t>保证金缴纳证明材料</w:t>
      </w:r>
      <w:r>
        <w:rPr>
          <w:rFonts w:hint="eastAsia" w:ascii="宋体" w:hAnsi="宋体" w:cs="宋体"/>
          <w:color w:val="auto"/>
          <w:highlight w:val="none"/>
          <w:lang w:eastAsia="zh-CN"/>
        </w:rPr>
        <w:t>扫描件</w:t>
      </w:r>
      <w:r>
        <w:rPr>
          <w:rFonts w:hint="eastAsia" w:ascii="宋体" w:hAnsi="宋体" w:cs="宋体"/>
          <w:color w:val="auto"/>
          <w:szCs w:val="21"/>
          <w:highlight w:val="none"/>
        </w:rPr>
        <w:t>（按第四章格式填写）</w:t>
      </w:r>
      <w:r>
        <w:rPr>
          <w:rFonts w:hint="eastAsia" w:ascii="宋体" w:hAnsi="宋体" w:cs="宋体"/>
          <w:color w:val="auto"/>
          <w:highlight w:val="none"/>
          <w:lang w:eastAsia="zh-CN"/>
        </w:rPr>
        <w:t>；</w:t>
      </w:r>
    </w:p>
    <w:p w14:paraId="751344AD">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10</w:t>
      </w:r>
      <w:r>
        <w:rPr>
          <w:rFonts w:hint="eastAsia" w:ascii="宋体" w:hAnsi="宋体" w:cs="宋体"/>
          <w:color w:val="auto"/>
          <w:highlight w:val="none"/>
          <w:lang w:eastAsia="zh-CN"/>
        </w:rPr>
        <w:t>）</w:t>
      </w:r>
      <w:r>
        <w:rPr>
          <w:rFonts w:hint="eastAsia" w:ascii="宋体" w:hAnsi="宋体" w:cs="宋体"/>
          <w:color w:val="auto"/>
          <w:highlight w:val="none"/>
        </w:rPr>
        <w:t>代理服务费承诺书(按第四章要求格式填写)；</w:t>
      </w:r>
    </w:p>
    <w:p w14:paraId="4A11E8EA">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）供应商对本项目的合理化建议和改进措施（格式自拟）；</w:t>
      </w:r>
    </w:p>
    <w:p w14:paraId="13EF709D">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highlight w:val="none"/>
        </w:rPr>
        <w:t>供应商认为需要提供的其他证明材料。（供应商根据“第三章项目采购需求”及“第六章评标方法及评标标准”提供有关证明材料）。</w:t>
      </w:r>
    </w:p>
    <w:p w14:paraId="74F5D479">
      <w:pPr>
        <w:keepNext w:val="0"/>
        <w:keepLines w:val="0"/>
        <w:pageBreakBefore w:val="0"/>
        <w:kinsoku/>
        <w:wordWrap/>
        <w:overflowPunct/>
        <w:topLinePunct w:val="0"/>
        <w:autoSpaceDE/>
        <w:autoSpaceDN/>
        <w:bidi w:val="0"/>
        <w:adjustRightInd/>
        <w:snapToGrid w:val="0"/>
        <w:spacing w:before="120" w:beforeLines="50" w:line="440" w:lineRule="exact"/>
        <w:ind w:firstLine="422" w:firstLineChars="200"/>
        <w:jc w:val="left"/>
        <w:textAlignment w:val="auto"/>
        <w:rPr>
          <w:rFonts w:ascii="宋体" w:hAnsi="宋体" w:cs="宋体"/>
          <w:color w:val="auto"/>
          <w:szCs w:val="21"/>
          <w:highlight w:val="none"/>
        </w:rPr>
      </w:pPr>
      <w:r>
        <w:rPr>
          <w:rFonts w:hint="eastAsia" w:ascii="宋体" w:hAnsi="宋体" w:cs="宋体"/>
          <w:b/>
          <w:color w:val="auto"/>
          <w:szCs w:val="21"/>
          <w:highlight w:val="none"/>
        </w:rPr>
        <w:t>13.3报价文件（以下文件标注“▲”的必须提供，要求“必须提供”的必须提供，其他可根据实际情况提供</w:t>
      </w:r>
      <w:r>
        <w:rPr>
          <w:rFonts w:hint="eastAsia" w:ascii="宋体" w:hAnsi="宋体" w:cs="宋体"/>
          <w:color w:val="auto"/>
          <w:szCs w:val="21"/>
          <w:highlight w:val="none"/>
        </w:rPr>
        <w:t>）</w:t>
      </w:r>
    </w:p>
    <w:p w14:paraId="4D30F011">
      <w:pPr>
        <w:keepNext w:val="0"/>
        <w:keepLines w:val="0"/>
        <w:pageBreakBefore w:val="0"/>
        <w:kinsoku/>
        <w:wordWrap/>
        <w:overflowPunct/>
        <w:topLinePunct w:val="0"/>
        <w:autoSpaceDE/>
        <w:autoSpaceDN/>
        <w:bidi w:val="0"/>
        <w:adjustRightInd/>
        <w:snapToGrid w:val="0"/>
        <w:spacing w:line="440" w:lineRule="exact"/>
        <w:ind w:firstLine="422" w:firstLineChars="200"/>
        <w:jc w:val="left"/>
        <w:textAlignment w:val="auto"/>
        <w:rPr>
          <w:rFonts w:ascii="宋体" w:hAnsi="宋体" w:cs="宋体"/>
          <w:b/>
          <w:color w:val="auto"/>
          <w:highlight w:val="none"/>
        </w:rPr>
      </w:pPr>
      <w:r>
        <w:rPr>
          <w:rFonts w:hint="eastAsia" w:ascii="宋体" w:hAnsi="宋体" w:cs="宋体"/>
          <w:b/>
          <w:color w:val="auto"/>
          <w:highlight w:val="none"/>
        </w:rPr>
        <w:t>▲注：以下标注“▲”均要加盖供应商单位电子公章</w:t>
      </w:r>
      <w:r>
        <w:rPr>
          <w:rFonts w:hint="eastAsia" w:ascii="宋体" w:hAnsi="宋体" w:cs="宋体"/>
          <w:b/>
          <w:bCs/>
          <w:color w:val="auto"/>
          <w:szCs w:val="21"/>
          <w:highlight w:val="none"/>
        </w:rPr>
        <w:t>或</w:t>
      </w:r>
      <w:r>
        <w:rPr>
          <w:rFonts w:hint="eastAsia" w:ascii="宋体" w:hAnsi="宋体" w:cs="宋体"/>
          <w:b/>
          <w:color w:val="auto"/>
          <w:highlight w:val="none"/>
        </w:rPr>
        <w:t>自然人加盖手指指印，否则其</w:t>
      </w:r>
      <w:r>
        <w:rPr>
          <w:rFonts w:hint="eastAsia" w:ascii="宋体" w:hAnsi="宋体" w:cs="宋体"/>
          <w:b/>
          <w:color w:val="auto"/>
          <w:highlight w:val="none"/>
          <w:lang w:eastAsia="zh-CN"/>
        </w:rPr>
        <w:t>竞标</w:t>
      </w:r>
      <w:r>
        <w:rPr>
          <w:rFonts w:hint="eastAsia" w:ascii="宋体" w:hAnsi="宋体" w:cs="宋体"/>
          <w:b/>
          <w:color w:val="auto"/>
          <w:highlight w:val="none"/>
        </w:rPr>
        <w:t>无效。</w:t>
      </w:r>
    </w:p>
    <w:p w14:paraId="5B2C8387">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▲（1）竞标函（按第四章要求格式填写）；</w:t>
      </w:r>
    </w:p>
    <w:p w14:paraId="75BE19CC">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▲（2）报价表(按第四章要求格式填写)；</w:t>
      </w:r>
    </w:p>
    <w:p w14:paraId="5C097867">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（3）中小企业声明函（供应商如为中小微型企业的请按第四章要求的格式提供，否则不予享受优惠政策）；</w:t>
      </w:r>
    </w:p>
    <w:p w14:paraId="4AF39B37">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（4）监狱企业由省级以上监狱管理局、戒毒管理局（含新疆生产建设兵团）出具的属于监狱企业的证明文件；</w:t>
      </w:r>
    </w:p>
    <w:p w14:paraId="515761FB">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（5）残疾人福利性单位声明函（供应商如为残疾人福利性单位的请按第四章要求的格式提供，否则不予享受优惠政策）；</w:t>
      </w:r>
    </w:p>
    <w:p w14:paraId="1BAA6DBF">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highlight w:val="none"/>
        </w:rPr>
        <w:t>《关于符合本国产品标准的声明函》或者财政部会同有关部门规定的有关证明文件；（供应商根据自身响应情况出具）</w:t>
      </w:r>
    </w:p>
    <w:p w14:paraId="09FAB5D5">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lang w:eastAsia="zh-CN"/>
        </w:rPr>
        <w:t>）</w:t>
      </w:r>
      <w:r>
        <w:rPr>
          <w:rFonts w:hint="eastAsia" w:ascii="宋体" w:hAnsi="宋体" w:cs="宋体"/>
          <w:color w:val="auto"/>
          <w:szCs w:val="21"/>
          <w:highlight w:val="none"/>
        </w:rPr>
        <w:t>供应商针对报价需要说明的其他文件和说明（如有，格式自拟）</w:t>
      </w:r>
    </w:p>
    <w:p w14:paraId="6E7F2F69">
      <w:pPr>
        <w:keepNext w:val="0"/>
        <w:keepLines w:val="0"/>
        <w:pageBreakBefore w:val="0"/>
        <w:kinsoku/>
        <w:wordWrap/>
        <w:overflowPunct/>
        <w:topLinePunct w:val="0"/>
        <w:autoSpaceDE/>
        <w:autoSpaceDN/>
        <w:bidi w:val="0"/>
        <w:adjustRightInd/>
        <w:snapToGrid w:val="0"/>
        <w:spacing w:line="440" w:lineRule="exact"/>
        <w:ind w:firstLine="422" w:firstLineChars="200"/>
        <w:jc w:val="left"/>
        <w:textAlignment w:val="auto"/>
        <w:rPr>
          <w:rFonts w:ascii="宋体" w:hAnsi="宋体" w:cs="宋体"/>
          <w:color w:val="auto"/>
          <w:szCs w:val="21"/>
          <w:highlight w:val="none"/>
        </w:rPr>
      </w:pPr>
      <w:r>
        <w:rPr>
          <w:rFonts w:hint="eastAsia" w:ascii="宋体" w:hAnsi="宋体" w:cs="宋体"/>
          <w:b/>
          <w:bCs/>
          <w:color w:val="auto"/>
          <w:szCs w:val="21"/>
          <w:highlight w:val="none"/>
        </w:rPr>
        <w:t>注：若</w:t>
      </w:r>
      <w:r>
        <w:rPr>
          <w:rFonts w:hint="eastAsia" w:ascii="宋体" w:hAnsi="宋体" w:cs="宋体"/>
          <w:b/>
          <w:bCs/>
          <w:color w:val="auto"/>
          <w:highlight w:val="none"/>
        </w:rPr>
        <w:t>竞争性磋商</w:t>
      </w:r>
      <w:r>
        <w:rPr>
          <w:rFonts w:hint="eastAsia" w:ascii="宋体" w:hAnsi="宋体" w:cs="宋体"/>
          <w:b/>
          <w:bCs/>
          <w:color w:val="auto"/>
          <w:szCs w:val="21"/>
          <w:highlight w:val="none"/>
        </w:rPr>
        <w:t>文件中有专门标注的某关联点，并要求供应商在电子</w:t>
      </w:r>
      <w:r>
        <w:rPr>
          <w:rFonts w:hint="eastAsia" w:ascii="宋体" w:hAnsi="宋体" w:cs="宋体"/>
          <w:b/>
          <w:bCs/>
          <w:color w:val="auto"/>
          <w:szCs w:val="21"/>
          <w:highlight w:val="none"/>
          <w:lang w:eastAsia="zh-CN"/>
        </w:rPr>
        <w:t>竞标</w:t>
      </w:r>
      <w:r>
        <w:rPr>
          <w:rFonts w:hint="eastAsia" w:ascii="宋体" w:hAnsi="宋体" w:cs="宋体"/>
          <w:b/>
          <w:bCs/>
          <w:color w:val="auto"/>
          <w:szCs w:val="21"/>
          <w:highlight w:val="none"/>
        </w:rPr>
        <w:t>系统中作出响应的，如供应商未对关联点进行响应或者在响应文件其它内容进行描述，造成电子评审不能查询的责任由供应商自行承担。</w:t>
      </w:r>
    </w:p>
    <w:p w14:paraId="359C247D">
      <w:pPr>
        <w:keepNext w:val="0"/>
        <w:keepLines w:val="0"/>
        <w:pageBreakBefore w:val="0"/>
        <w:kinsoku/>
        <w:wordWrap/>
        <w:overflowPunct/>
        <w:topLinePunct w:val="0"/>
        <w:autoSpaceDE/>
        <w:autoSpaceDN/>
        <w:bidi w:val="0"/>
        <w:adjustRightInd/>
        <w:spacing w:line="440" w:lineRule="exact"/>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14.响应文件的语言及计量</w:t>
      </w:r>
    </w:p>
    <w:p w14:paraId="5BC7F790">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14.1响应文件以及竞标方与招标方就有关竞标事宜的所有来往函电，均应以中文汉语书写。除签名、盖章、专用名称等特殊情形外，以中文汉语以外的文字表述的响应文件视同未提供。</w:t>
      </w:r>
    </w:p>
    <w:p w14:paraId="3C2F79F1">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14.2竞标计量单位，磋商文件已有明确规定的，使用磋商文件规定的计量单位；磋商文件没有规定的，应采用中华人民共和国法定计量单位（货币单位：人民币元），否则视同未响应。</w:t>
      </w:r>
    </w:p>
    <w:p w14:paraId="1B45EF17">
      <w:pPr>
        <w:keepNext w:val="0"/>
        <w:keepLines w:val="0"/>
        <w:pageBreakBefore w:val="0"/>
        <w:kinsoku/>
        <w:wordWrap/>
        <w:overflowPunct/>
        <w:topLinePunct w:val="0"/>
        <w:autoSpaceDE/>
        <w:autoSpaceDN/>
        <w:bidi w:val="0"/>
        <w:adjustRightInd/>
        <w:spacing w:line="440" w:lineRule="exact"/>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15、响应文件报价要求</w:t>
      </w:r>
    </w:p>
    <w:p w14:paraId="5EFE28EB">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15.1本项目最高限价详见须知前附表。响应文件</w:t>
      </w:r>
      <w:r>
        <w:rPr>
          <w:rFonts w:hint="eastAsia" w:ascii="宋体" w:hAnsi="宋体" w:cs="宋体"/>
          <w:color w:val="auto"/>
          <w:highlight w:val="none"/>
        </w:rPr>
        <w:t>报价须小于等于最高限价，否则响应无效。</w:t>
      </w:r>
    </w:p>
    <w:p w14:paraId="4449666A">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15.2对于本磋商采购文件中未列明，而供应商认为必需的费用也需列入总报价。在合同实施时，采购人将不予支付成交供应商没有列入的项目费用，并认为此项目的费用已包括在总报价中。</w:t>
      </w:r>
    </w:p>
    <w:p w14:paraId="51CFA0D3">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rPr>
        <w:t>15.3成交供应商负责本项目</w:t>
      </w:r>
      <w:r>
        <w:rPr>
          <w:rFonts w:hint="eastAsia" w:ascii="宋体" w:hAnsi="宋体" w:eastAsia="宋体" w:cs="宋体"/>
          <w:color w:val="auto"/>
          <w:szCs w:val="21"/>
          <w:highlight w:val="none"/>
        </w:rPr>
        <w:t>所需服务的全部工作，</w:t>
      </w:r>
      <w:r>
        <w:rPr>
          <w:rFonts w:hint="eastAsia" w:ascii="宋体" w:hAnsi="宋体" w:eastAsia="宋体" w:cs="宋体"/>
          <w:color w:val="auto"/>
          <w:szCs w:val="21"/>
          <w:highlight w:val="none"/>
          <w:lang w:val="en-US" w:eastAsia="zh-CN"/>
        </w:rPr>
        <w:t>报价</w:t>
      </w:r>
      <w:r>
        <w:rPr>
          <w:rFonts w:hint="eastAsia" w:ascii="宋体" w:hAnsi="宋体" w:eastAsia="宋体" w:cs="宋体"/>
          <w:color w:val="auto"/>
          <w:szCs w:val="21"/>
          <w:highlight w:val="none"/>
        </w:rPr>
        <w:t>包含</w:t>
      </w:r>
      <w:r>
        <w:rPr>
          <w:rFonts w:hint="eastAsia" w:ascii="宋体" w:hAnsi="宋体" w:eastAsia="宋体" w:cs="宋体"/>
          <w:color w:val="auto"/>
          <w:szCs w:val="21"/>
          <w:highlight w:val="none"/>
          <w:lang w:val="en-US" w:eastAsia="zh-CN"/>
        </w:rPr>
        <w:t>但不限于：</w:t>
      </w:r>
      <w:r>
        <w:rPr>
          <w:rFonts w:hint="eastAsia" w:ascii="宋体" w:hAnsi="宋体" w:eastAsia="宋体" w:cs="宋体"/>
          <w:color w:val="auto"/>
          <w:szCs w:val="21"/>
          <w:highlight w:val="none"/>
        </w:rPr>
        <w:t>1）采购内容中所有货物和服务的价格；2）货物的标准附件、备品备件、专用工具的价格；3）运输、装卸、安装（含安装材料）、调试、培训、技术支持、售后服务的费用，质保期内免费维修、养护、软件升级等费用；4）必要的保险、检测费用和各项税费等。</w:t>
      </w:r>
    </w:p>
    <w:p w14:paraId="4B2674AD">
      <w:pPr>
        <w:keepNext w:val="0"/>
        <w:keepLines w:val="0"/>
        <w:pageBreakBefore w:val="0"/>
        <w:kinsoku/>
        <w:wordWrap/>
        <w:overflowPunct/>
        <w:topLinePunct w:val="0"/>
        <w:autoSpaceDE/>
        <w:autoSpaceDN/>
        <w:bidi w:val="0"/>
        <w:adjustRightInd/>
        <w:spacing w:line="440" w:lineRule="exact"/>
        <w:ind w:left="42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15.4供应商应就第三章《项目采购需求》中的全部服务内容作完整唯一报价。</w:t>
      </w:r>
    </w:p>
    <w:p w14:paraId="7AB3564A">
      <w:pPr>
        <w:keepNext w:val="0"/>
        <w:keepLines w:val="0"/>
        <w:pageBreakBefore w:val="0"/>
        <w:kinsoku/>
        <w:wordWrap/>
        <w:overflowPunct/>
        <w:topLinePunct w:val="0"/>
        <w:autoSpaceDE/>
        <w:autoSpaceDN/>
        <w:bidi w:val="0"/>
        <w:adjustRightInd/>
        <w:spacing w:line="440" w:lineRule="exact"/>
        <w:ind w:left="42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15.5响应文件只允许有一个报价，有选择的或有条件的报价将不予接受（磋商文件另有规定的除外）。</w:t>
      </w:r>
    </w:p>
    <w:p w14:paraId="373CE32F">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highlight w:val="none"/>
        </w:rPr>
      </w:pPr>
      <w:r>
        <w:rPr>
          <w:rFonts w:hint="eastAsia" w:ascii="宋体" w:hAnsi="宋体" w:cs="宋体"/>
          <w:color w:val="auto"/>
          <w:szCs w:val="21"/>
          <w:highlight w:val="none"/>
        </w:rPr>
        <w:t>15.6</w:t>
      </w:r>
      <w:r>
        <w:rPr>
          <w:rFonts w:hint="eastAsia" w:ascii="宋体" w:hAnsi="宋体" w:cs="宋体"/>
          <w:color w:val="auto"/>
          <w:highlight w:val="none"/>
        </w:rPr>
        <w:t>供应商应在响应文件报价表上标明单价和总价。响应文件的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供应商原因引起的报价失误，并在磋商时被接受，其后果由供应商自负。</w:t>
      </w:r>
    </w:p>
    <w:p w14:paraId="29D184A2">
      <w:pPr>
        <w:keepNext w:val="0"/>
        <w:keepLines w:val="0"/>
        <w:pageBreakBefore w:val="0"/>
        <w:kinsoku/>
        <w:wordWrap/>
        <w:overflowPunct/>
        <w:topLinePunct w:val="0"/>
        <w:autoSpaceDE/>
        <w:autoSpaceDN/>
        <w:bidi w:val="0"/>
        <w:adjustRightInd/>
        <w:spacing w:line="440" w:lineRule="exact"/>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16、响应文件有效期</w:t>
      </w:r>
    </w:p>
    <w:p w14:paraId="53CE2E3C">
      <w:pPr>
        <w:keepNext w:val="0"/>
        <w:keepLines w:val="0"/>
        <w:pageBreakBefore w:val="0"/>
        <w:kinsoku/>
        <w:wordWrap/>
        <w:overflowPunct/>
        <w:topLinePunct w:val="0"/>
        <w:autoSpaceDE/>
        <w:autoSpaceDN/>
        <w:bidi w:val="0"/>
        <w:adjustRightInd/>
        <w:spacing w:line="440" w:lineRule="exact"/>
        <w:ind w:left="420" w:firstLine="420" w:firstLineChars="200"/>
        <w:textAlignment w:val="auto"/>
        <w:rPr>
          <w:rFonts w:ascii="宋体" w:hAnsi="宋体" w:cs="宋体"/>
          <w:color w:val="auto"/>
          <w:highlight w:val="none"/>
        </w:rPr>
      </w:pPr>
      <w:r>
        <w:rPr>
          <w:rFonts w:hint="eastAsia" w:ascii="宋体" w:hAnsi="宋体" w:cs="宋体"/>
          <w:color w:val="auto"/>
          <w:highlight w:val="none"/>
        </w:rPr>
        <w:t>16.1响应文件有效期：详见供应商须知前附表。有效期不足的响应文件将被拒绝。</w:t>
      </w:r>
    </w:p>
    <w:p w14:paraId="04298FFD">
      <w:pPr>
        <w:pStyle w:val="23"/>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hAnsi="宋体" w:cs="宋体"/>
          <w:color w:val="auto"/>
          <w:kern w:val="2"/>
          <w:sz w:val="21"/>
          <w:szCs w:val="24"/>
          <w:highlight w:val="none"/>
        </w:rPr>
      </w:pPr>
      <w:r>
        <w:rPr>
          <w:rFonts w:hint="eastAsia" w:hAnsi="宋体" w:cs="宋体"/>
          <w:color w:val="auto"/>
          <w:kern w:val="2"/>
          <w:sz w:val="21"/>
          <w:szCs w:val="24"/>
          <w:highlight w:val="none"/>
        </w:rPr>
        <w:t>16.2在特殊情况下，采购人可与供应商协商延长响应文件的有效期，这种要求和答复均以书面形式进行。</w:t>
      </w:r>
    </w:p>
    <w:p w14:paraId="6F5368ED">
      <w:pPr>
        <w:pStyle w:val="23"/>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hAnsi="宋体" w:cs="宋体"/>
          <w:color w:val="auto"/>
          <w:kern w:val="2"/>
          <w:sz w:val="21"/>
          <w:szCs w:val="24"/>
          <w:highlight w:val="none"/>
        </w:rPr>
      </w:pPr>
      <w:r>
        <w:rPr>
          <w:rFonts w:hint="eastAsia" w:hAnsi="宋体" w:cs="宋体"/>
          <w:color w:val="auto"/>
          <w:kern w:val="2"/>
          <w:sz w:val="21"/>
          <w:szCs w:val="24"/>
          <w:highlight w:val="none"/>
        </w:rPr>
        <w:t>16.3供应商可拒绝接受延长有效期要求而不会导致磋商保证金被没收。同意延长有效期的供应商需要相应延长磋商保证金的有效期，但不能修改响应文件其它内容。</w:t>
      </w:r>
    </w:p>
    <w:p w14:paraId="2518030C">
      <w:pPr>
        <w:keepNext w:val="0"/>
        <w:keepLines w:val="0"/>
        <w:pageBreakBefore w:val="0"/>
        <w:kinsoku/>
        <w:wordWrap/>
        <w:overflowPunct/>
        <w:topLinePunct w:val="0"/>
        <w:autoSpaceDE/>
        <w:autoSpaceDN/>
        <w:bidi w:val="0"/>
        <w:adjustRightInd/>
        <w:spacing w:line="440" w:lineRule="exact"/>
        <w:ind w:left="420" w:firstLine="420" w:firstLineChars="200"/>
        <w:textAlignment w:val="auto"/>
        <w:rPr>
          <w:rFonts w:ascii="宋体" w:hAnsi="宋体" w:cs="宋体"/>
          <w:color w:val="auto"/>
          <w:highlight w:val="none"/>
        </w:rPr>
      </w:pPr>
      <w:r>
        <w:rPr>
          <w:rFonts w:hint="eastAsia" w:ascii="宋体" w:hAnsi="宋体" w:cs="宋体"/>
          <w:color w:val="auto"/>
          <w:szCs w:val="21"/>
          <w:highlight w:val="none"/>
        </w:rPr>
        <w:t>16.4</w:t>
      </w:r>
      <w:r>
        <w:rPr>
          <w:rFonts w:hint="eastAsia" w:ascii="宋体" w:hAnsi="宋体" w:cs="宋体"/>
          <w:color w:val="auto"/>
          <w:highlight w:val="none"/>
        </w:rPr>
        <w:t>供应商的响应文件自开标之日起至合同履行完毕止均应保持有效。</w:t>
      </w:r>
    </w:p>
    <w:p w14:paraId="2BF1C280">
      <w:pPr>
        <w:keepNext w:val="0"/>
        <w:keepLines w:val="0"/>
        <w:pageBreakBefore w:val="0"/>
        <w:kinsoku/>
        <w:wordWrap/>
        <w:overflowPunct/>
        <w:topLinePunct w:val="0"/>
        <w:autoSpaceDE/>
        <w:autoSpaceDN/>
        <w:bidi w:val="0"/>
        <w:adjustRightInd/>
        <w:spacing w:line="440" w:lineRule="exact"/>
        <w:ind w:left="420"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17、磋商保证金</w:t>
      </w:r>
    </w:p>
    <w:p w14:paraId="3A0D5F64">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17.1磋商保证金金额：详见供应商须知前附表。磋商保证金应在响应文件有效期内保持有效。</w:t>
      </w:r>
    </w:p>
    <w:p w14:paraId="73A4D3A2">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17.2供应商须按规定于竞标截止前足额提交磋商保证金，</w:t>
      </w:r>
      <w:r>
        <w:rPr>
          <w:rFonts w:hint="eastAsia" w:ascii="宋体" w:hAnsi="宋体" w:cs="宋体"/>
          <w:b/>
          <w:color w:val="auto"/>
          <w:kern w:val="0"/>
          <w:szCs w:val="21"/>
          <w:highlight w:val="none"/>
        </w:rPr>
        <w:t>否则，其响应无效。</w:t>
      </w:r>
    </w:p>
    <w:p w14:paraId="3ECFEC2F">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17.3磋商保证金交纳形式：</w:t>
      </w:r>
      <w:r>
        <w:rPr>
          <w:rFonts w:hint="eastAsia" w:ascii="宋体" w:hAnsi="宋体" w:cs="宋体"/>
          <w:color w:val="auto"/>
          <w:highlight w:val="none"/>
        </w:rPr>
        <w:t>转账、电汇、网上银行、支票、汇票、本票或者银行、保险机构出具的保函，禁止采用现钞方式。</w:t>
      </w:r>
    </w:p>
    <w:p w14:paraId="61C7EC07">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kern w:val="0"/>
          <w:szCs w:val="21"/>
          <w:highlight w:val="none"/>
        </w:rPr>
      </w:pPr>
      <w:r>
        <w:rPr>
          <w:rFonts w:hint="eastAsia" w:ascii="宋体" w:hAnsi="宋体" w:cs="宋体"/>
          <w:color w:val="auto"/>
          <w:highlight w:val="none"/>
        </w:rPr>
        <w:t>采用转账、电汇、网上银行方式的，在首次提交响应文件截止时间前交至</w:t>
      </w:r>
      <w:r>
        <w:rPr>
          <w:rFonts w:hint="eastAsia" w:ascii="宋体" w:hAnsi="宋体" w:cs="宋体"/>
          <w:b/>
          <w:bCs/>
          <w:color w:val="auto"/>
          <w:kern w:val="0"/>
          <w:szCs w:val="21"/>
          <w:highlight w:val="none"/>
        </w:rPr>
        <w:t>开户银行：</w:t>
      </w:r>
      <w:r>
        <w:rPr>
          <w:rFonts w:hint="eastAsia" w:ascii="宋体" w:hAnsi="宋体" w:cs="宋体"/>
          <w:b/>
          <w:bCs/>
          <w:color w:val="auto"/>
          <w:kern w:val="0"/>
          <w:szCs w:val="21"/>
          <w:highlight w:val="none"/>
          <w:u w:val="single"/>
        </w:rPr>
        <w:t>中国银行柳州市八一支行</w:t>
      </w:r>
      <w:r>
        <w:rPr>
          <w:rFonts w:hint="eastAsia" w:ascii="宋体" w:hAnsi="宋体" w:cs="宋体"/>
          <w:b/>
          <w:bCs/>
          <w:color w:val="auto"/>
          <w:kern w:val="0"/>
          <w:szCs w:val="21"/>
          <w:highlight w:val="none"/>
        </w:rPr>
        <w:t>，开户名称：</w:t>
      </w:r>
      <w:r>
        <w:rPr>
          <w:rFonts w:hint="eastAsia" w:ascii="宋体" w:hAnsi="宋体" w:cs="宋体"/>
          <w:b/>
          <w:bCs/>
          <w:color w:val="auto"/>
          <w:kern w:val="0"/>
          <w:szCs w:val="21"/>
          <w:highlight w:val="none"/>
          <w:u w:val="single"/>
        </w:rPr>
        <w:t>广西德元工程项目管理有限责任公司，银行账号：6158 6557 4841</w:t>
      </w:r>
      <w:r>
        <w:rPr>
          <w:rFonts w:hint="eastAsia" w:ascii="宋体" w:hAnsi="宋体" w:cs="宋体"/>
          <w:color w:val="auto"/>
          <w:kern w:val="0"/>
          <w:szCs w:val="21"/>
          <w:highlight w:val="none"/>
        </w:rPr>
        <w:t>。</w:t>
      </w:r>
    </w:p>
    <w:p w14:paraId="088A3CBA">
      <w:pPr>
        <w:pStyle w:val="23"/>
        <w:keepNext w:val="0"/>
        <w:keepLines w:val="0"/>
        <w:pageBreakBefore w:val="0"/>
        <w:kinsoku/>
        <w:wordWrap/>
        <w:overflowPunct/>
        <w:topLinePunct w:val="0"/>
        <w:autoSpaceDE/>
        <w:autoSpaceDN/>
        <w:bidi w:val="0"/>
        <w:adjustRightInd/>
        <w:spacing w:line="440" w:lineRule="exact"/>
        <w:ind w:firstLine="420" w:firstLineChars="200"/>
        <w:textAlignment w:val="auto"/>
        <w:rPr>
          <w:rFonts w:hAnsi="宋体" w:cs="宋体"/>
          <w:color w:val="auto"/>
          <w:sz w:val="21"/>
          <w:highlight w:val="none"/>
        </w:rPr>
      </w:pPr>
      <w:r>
        <w:rPr>
          <w:rFonts w:hint="eastAsia" w:hAnsi="宋体" w:cs="宋体"/>
          <w:color w:val="auto"/>
          <w:sz w:val="21"/>
          <w:highlight w:val="none"/>
        </w:rPr>
        <w:t>采用转账、电汇、网上银行方式的，由供应商按上条中明确的全称、帐号、开户行，在保证金规定递交时间内转入（汇入）广西德元工程项目管理有限责任公司保证金专户上，并将银行转账底单的</w:t>
      </w:r>
      <w:r>
        <w:rPr>
          <w:rFonts w:hint="eastAsia" w:hAnsi="宋体" w:cs="宋体"/>
          <w:color w:val="auto"/>
          <w:sz w:val="21"/>
          <w:highlight w:val="none"/>
          <w:lang w:eastAsia="zh-CN"/>
        </w:rPr>
        <w:t>扫描件</w:t>
      </w:r>
      <w:r>
        <w:rPr>
          <w:rFonts w:hint="eastAsia" w:hAnsi="宋体" w:cs="宋体"/>
          <w:color w:val="auto"/>
          <w:sz w:val="21"/>
          <w:highlight w:val="none"/>
        </w:rPr>
        <w:t>作为磋商保证金提交凭证，放置于响应文件中，</w:t>
      </w:r>
      <w:r>
        <w:rPr>
          <w:rFonts w:hint="eastAsia" w:hAnsi="宋体" w:cs="宋体"/>
          <w:b/>
          <w:color w:val="auto"/>
          <w:sz w:val="21"/>
          <w:highlight w:val="none"/>
        </w:rPr>
        <w:t>否则其响应无效</w:t>
      </w:r>
      <w:r>
        <w:rPr>
          <w:rFonts w:hint="eastAsia" w:hAnsi="宋体" w:cs="宋体"/>
          <w:color w:val="auto"/>
          <w:sz w:val="21"/>
          <w:highlight w:val="none"/>
        </w:rPr>
        <w:t>。若广西德元工程项目管理有限责任公司保证金专户在保证金规定递交时间内没有收到供应商足额交纳的磋商保证金，</w:t>
      </w:r>
      <w:r>
        <w:rPr>
          <w:rFonts w:hint="eastAsia" w:hAnsi="宋体" w:cs="宋体"/>
          <w:b/>
          <w:color w:val="auto"/>
          <w:sz w:val="21"/>
          <w:highlight w:val="none"/>
        </w:rPr>
        <w:t>其响应无效</w:t>
      </w:r>
      <w:r>
        <w:rPr>
          <w:rFonts w:hint="eastAsia" w:hAnsi="宋体" w:cs="宋体"/>
          <w:color w:val="auto"/>
          <w:sz w:val="21"/>
          <w:highlight w:val="none"/>
        </w:rPr>
        <w:t>；因此供应商在缴纳磋商保证金时应充分考虑保证金到达本公司保证金专户上的时间，以免影响竞标。办理磋商保证金手续时，</w:t>
      </w:r>
      <w:r>
        <w:rPr>
          <w:rFonts w:hint="eastAsia" w:hAnsi="宋体" w:cs="宋体"/>
          <w:b w:val="0"/>
          <w:bCs w:val="0"/>
          <w:color w:val="auto"/>
          <w:sz w:val="21"/>
          <w:highlight w:val="none"/>
        </w:rPr>
        <w:t>请务必在银行进帐单的用途或空白栏上</w:t>
      </w:r>
      <w:r>
        <w:rPr>
          <w:rFonts w:hint="eastAsia" w:hAnsi="宋体" w:cs="宋体"/>
          <w:b/>
          <w:bCs/>
          <w:color w:val="auto"/>
          <w:sz w:val="21"/>
          <w:highlight w:val="none"/>
        </w:rPr>
        <w:t>注明招标项目名称</w:t>
      </w:r>
      <w:r>
        <w:rPr>
          <w:rFonts w:hint="eastAsia" w:hAnsi="宋体" w:cs="宋体"/>
          <w:b/>
          <w:bCs/>
          <w:color w:val="auto"/>
          <w:sz w:val="21"/>
          <w:highlight w:val="none"/>
          <w:lang w:val="en-US" w:eastAsia="zh-CN"/>
        </w:rPr>
        <w:t>/项目</w:t>
      </w:r>
      <w:r>
        <w:rPr>
          <w:rFonts w:hint="eastAsia" w:hAnsi="宋体" w:cs="宋体"/>
          <w:b/>
          <w:bCs/>
          <w:color w:val="auto"/>
          <w:sz w:val="21"/>
          <w:highlight w:val="none"/>
        </w:rPr>
        <w:t>编号</w:t>
      </w:r>
      <w:r>
        <w:rPr>
          <w:rFonts w:hint="eastAsia" w:hAnsi="宋体" w:cs="宋体"/>
          <w:b w:val="0"/>
          <w:bCs/>
          <w:color w:val="auto"/>
          <w:sz w:val="21"/>
          <w:highlight w:val="none"/>
        </w:rPr>
        <w:t>，如遇受字符限制的情况，可简写</w:t>
      </w:r>
      <w:r>
        <w:rPr>
          <w:rFonts w:hint="eastAsia" w:hAnsi="宋体" w:cs="宋体"/>
          <w:b/>
          <w:color w:val="auto"/>
          <w:sz w:val="21"/>
          <w:highlight w:val="none"/>
        </w:rPr>
        <w:t>。</w:t>
      </w:r>
    </w:p>
    <w:p w14:paraId="652F9824">
      <w:pPr>
        <w:pStyle w:val="23"/>
        <w:keepNext w:val="0"/>
        <w:keepLines w:val="0"/>
        <w:pageBreakBefore w:val="0"/>
        <w:kinsoku/>
        <w:wordWrap/>
        <w:overflowPunct/>
        <w:topLinePunct w:val="0"/>
        <w:autoSpaceDE/>
        <w:autoSpaceDN/>
        <w:bidi w:val="0"/>
        <w:adjustRightInd/>
        <w:spacing w:line="440" w:lineRule="exact"/>
        <w:ind w:firstLine="420" w:firstLineChars="200"/>
        <w:textAlignment w:val="auto"/>
        <w:rPr>
          <w:rFonts w:hAnsi="宋体" w:cs="宋体"/>
          <w:color w:val="auto"/>
          <w:sz w:val="21"/>
          <w:highlight w:val="none"/>
        </w:rPr>
      </w:pPr>
      <w:r>
        <w:rPr>
          <w:rFonts w:hint="eastAsia" w:hAnsi="宋体" w:cs="宋体"/>
          <w:color w:val="auto"/>
          <w:sz w:val="21"/>
          <w:highlight w:val="none"/>
        </w:rPr>
        <w:t>采用支票、汇票、本票或银行、保险机构出具的保函交纳方式的，供应商应将支票、汇票、本票或银行、保险机构出具的保函的</w:t>
      </w:r>
      <w:r>
        <w:rPr>
          <w:rFonts w:hint="eastAsia" w:hAnsi="宋体" w:cs="宋体"/>
          <w:color w:val="auto"/>
          <w:sz w:val="21"/>
          <w:highlight w:val="none"/>
          <w:lang w:eastAsia="zh-CN"/>
        </w:rPr>
        <w:t>扫描件</w:t>
      </w:r>
      <w:r>
        <w:rPr>
          <w:rFonts w:hint="eastAsia" w:hAnsi="宋体" w:cs="宋体"/>
          <w:color w:val="auto"/>
          <w:sz w:val="21"/>
          <w:highlight w:val="none"/>
        </w:rPr>
        <w:t>作为磋商保证金提交凭证，放置于响应文件中</w:t>
      </w:r>
      <w:r>
        <w:rPr>
          <w:rFonts w:hint="eastAsia" w:hAnsi="宋体" w:cs="宋体"/>
          <w:b/>
          <w:color w:val="auto"/>
          <w:sz w:val="21"/>
          <w:highlight w:val="none"/>
        </w:rPr>
        <w:t>，否则其响应无效</w:t>
      </w:r>
      <w:r>
        <w:rPr>
          <w:rFonts w:hint="eastAsia" w:hAnsi="宋体" w:cs="宋体"/>
          <w:color w:val="auto"/>
          <w:sz w:val="21"/>
          <w:highlight w:val="none"/>
        </w:rPr>
        <w:t>。并于首次提交响应文件截止时间前，递交支票、汇票、本票或银行、保险机构出具的保函原件；原件递交的形式可以是在线下开标现场递交密封好的原件（原件放入一个密封袋中，并在封口处加盖供应商公章或委托代理人签字，以示密封，在封套上标记“项目名称（项目编号）磋商保证金”字样），也可以以邮寄方式递交原件（邮寄地址及收件人详见磋商公告采购代理机构信息）；若广西德元工程项目管理有限责任公司在保证金规定递交时间内没有收到上述原件的，</w:t>
      </w:r>
      <w:r>
        <w:rPr>
          <w:rFonts w:hint="eastAsia" w:hAnsi="宋体" w:cs="宋体"/>
          <w:b/>
          <w:color w:val="auto"/>
          <w:sz w:val="21"/>
          <w:highlight w:val="none"/>
        </w:rPr>
        <w:t>其响应无效</w:t>
      </w:r>
      <w:r>
        <w:rPr>
          <w:rFonts w:hint="eastAsia" w:hAnsi="宋体" w:cs="宋体"/>
          <w:color w:val="auto"/>
          <w:sz w:val="21"/>
          <w:highlight w:val="none"/>
        </w:rPr>
        <w:t>；因此供应商无论采用现场或者是邮寄递交上述原件时应充分考虑到达时间，以免影响竞标。</w:t>
      </w:r>
    </w:p>
    <w:p w14:paraId="2563A58F">
      <w:pPr>
        <w:pStyle w:val="23"/>
        <w:keepNext w:val="0"/>
        <w:keepLines w:val="0"/>
        <w:pageBreakBefore w:val="0"/>
        <w:kinsoku/>
        <w:wordWrap/>
        <w:overflowPunct/>
        <w:topLinePunct w:val="0"/>
        <w:autoSpaceDE/>
        <w:autoSpaceDN/>
        <w:bidi w:val="0"/>
        <w:adjustRightInd/>
        <w:spacing w:line="440" w:lineRule="exact"/>
        <w:ind w:firstLine="420" w:firstLineChars="200"/>
        <w:textAlignment w:val="auto"/>
        <w:rPr>
          <w:rFonts w:hAnsi="宋体" w:cs="宋体"/>
          <w:color w:val="auto"/>
          <w:sz w:val="21"/>
          <w:highlight w:val="none"/>
        </w:rPr>
      </w:pPr>
      <w:r>
        <w:rPr>
          <w:rFonts w:hint="eastAsia" w:hAnsi="宋体" w:cs="宋体"/>
          <w:color w:val="auto"/>
          <w:sz w:val="21"/>
          <w:highlight w:val="none"/>
        </w:rPr>
        <w:t>17.4</w:t>
      </w:r>
      <w:r>
        <w:rPr>
          <w:rFonts w:hint="eastAsia" w:hAnsi="宋体" w:cs="宋体"/>
          <w:b/>
          <w:color w:val="auto"/>
          <w:spacing w:val="-2"/>
          <w:sz w:val="21"/>
          <w:highlight w:val="none"/>
        </w:rPr>
        <w:t>首次提交响应文件截止时间后提交的，或未足额交纳的，或保函额度不足的，视为无效磋商保证金</w:t>
      </w:r>
      <w:r>
        <w:rPr>
          <w:rFonts w:hint="eastAsia" w:hAnsi="宋体" w:cs="宋体"/>
          <w:b/>
          <w:color w:val="auto"/>
          <w:sz w:val="21"/>
          <w:highlight w:val="none"/>
        </w:rPr>
        <w:t>。</w:t>
      </w:r>
    </w:p>
    <w:p w14:paraId="56311649">
      <w:pPr>
        <w:pStyle w:val="23"/>
        <w:keepNext w:val="0"/>
        <w:keepLines w:val="0"/>
        <w:pageBreakBefore w:val="0"/>
        <w:kinsoku/>
        <w:wordWrap/>
        <w:overflowPunct/>
        <w:topLinePunct w:val="0"/>
        <w:autoSpaceDE/>
        <w:autoSpaceDN/>
        <w:bidi w:val="0"/>
        <w:adjustRightInd/>
        <w:spacing w:line="440" w:lineRule="exact"/>
        <w:ind w:firstLine="420" w:firstLineChars="200"/>
        <w:textAlignment w:val="auto"/>
        <w:rPr>
          <w:rFonts w:hAnsi="宋体" w:cs="宋体"/>
          <w:color w:val="auto"/>
          <w:sz w:val="21"/>
          <w:highlight w:val="none"/>
        </w:rPr>
      </w:pPr>
      <w:r>
        <w:rPr>
          <w:rFonts w:hint="eastAsia" w:hAnsi="宋体" w:cs="宋体"/>
          <w:color w:val="auto"/>
          <w:sz w:val="21"/>
          <w:highlight w:val="none"/>
        </w:rPr>
        <w:t>17.5</w:t>
      </w:r>
      <w:r>
        <w:rPr>
          <w:rFonts w:hint="eastAsia" w:hAnsi="宋体" w:cs="宋体"/>
          <w:b/>
          <w:color w:val="auto"/>
          <w:sz w:val="21"/>
          <w:highlight w:val="none"/>
        </w:rPr>
        <w:t>供应商采用现钞方式或从个人账户（个体工商户及自然人竞标除外）转出的磋商保证金，视为无效磋商保证金。</w:t>
      </w:r>
    </w:p>
    <w:p w14:paraId="6B966E62">
      <w:pPr>
        <w:pStyle w:val="23"/>
        <w:keepNext w:val="0"/>
        <w:keepLines w:val="0"/>
        <w:pageBreakBefore w:val="0"/>
        <w:kinsoku/>
        <w:wordWrap/>
        <w:overflowPunct/>
        <w:topLinePunct w:val="0"/>
        <w:autoSpaceDE/>
        <w:autoSpaceDN/>
        <w:bidi w:val="0"/>
        <w:adjustRightInd/>
        <w:spacing w:line="440" w:lineRule="exact"/>
        <w:ind w:firstLine="420" w:firstLineChars="200"/>
        <w:textAlignment w:val="auto"/>
        <w:rPr>
          <w:rFonts w:hAnsi="宋体" w:cs="宋体"/>
          <w:color w:val="auto"/>
          <w:sz w:val="21"/>
          <w:highlight w:val="none"/>
        </w:rPr>
      </w:pPr>
      <w:r>
        <w:rPr>
          <w:rFonts w:hint="eastAsia" w:hAnsi="宋体" w:cs="宋体"/>
          <w:color w:val="auto"/>
          <w:sz w:val="21"/>
          <w:highlight w:val="none"/>
        </w:rPr>
        <w:t>17.6</w:t>
      </w:r>
      <w:r>
        <w:rPr>
          <w:rFonts w:hint="eastAsia" w:hAnsi="宋体" w:cs="宋体"/>
          <w:b/>
          <w:color w:val="auto"/>
          <w:sz w:val="21"/>
          <w:highlight w:val="none"/>
        </w:rPr>
        <w:t>支票、汇票、本票出现背书情形，或者有条件支付的，或者支票、汇票、本票无效的，视为无效磋商保证金。</w:t>
      </w:r>
    </w:p>
    <w:p w14:paraId="49598093">
      <w:pPr>
        <w:pStyle w:val="23"/>
        <w:keepNext w:val="0"/>
        <w:keepLines w:val="0"/>
        <w:pageBreakBefore w:val="0"/>
        <w:kinsoku/>
        <w:wordWrap/>
        <w:overflowPunct/>
        <w:topLinePunct w:val="0"/>
        <w:autoSpaceDE/>
        <w:autoSpaceDN/>
        <w:bidi w:val="0"/>
        <w:adjustRightInd/>
        <w:spacing w:line="440" w:lineRule="exact"/>
        <w:ind w:firstLine="420" w:firstLineChars="200"/>
        <w:textAlignment w:val="auto"/>
        <w:rPr>
          <w:rFonts w:hAnsi="宋体" w:cs="宋体"/>
          <w:color w:val="auto"/>
          <w:sz w:val="21"/>
          <w:highlight w:val="none"/>
        </w:rPr>
      </w:pPr>
      <w:r>
        <w:rPr>
          <w:rFonts w:hint="eastAsia" w:hAnsi="宋体" w:cs="宋体"/>
          <w:color w:val="auto"/>
          <w:sz w:val="21"/>
          <w:highlight w:val="none"/>
        </w:rPr>
        <w:t>17.7</w:t>
      </w:r>
      <w:r>
        <w:rPr>
          <w:rFonts w:hint="eastAsia" w:hAnsi="宋体" w:cs="宋体"/>
          <w:b/>
          <w:color w:val="auto"/>
          <w:sz w:val="21"/>
          <w:highlight w:val="none"/>
        </w:rPr>
        <w:t>保函有效期低于响应文件有效期的，视为无效磋商保证金。</w:t>
      </w:r>
    </w:p>
    <w:p w14:paraId="10796C32">
      <w:pPr>
        <w:pStyle w:val="23"/>
        <w:keepNext w:val="0"/>
        <w:keepLines w:val="0"/>
        <w:pageBreakBefore w:val="0"/>
        <w:kinsoku/>
        <w:wordWrap/>
        <w:overflowPunct/>
        <w:topLinePunct w:val="0"/>
        <w:autoSpaceDE/>
        <w:autoSpaceDN/>
        <w:bidi w:val="0"/>
        <w:adjustRightInd/>
        <w:spacing w:line="440" w:lineRule="exact"/>
        <w:ind w:firstLine="420" w:firstLineChars="200"/>
        <w:textAlignment w:val="auto"/>
        <w:rPr>
          <w:rFonts w:hAnsi="宋体" w:cs="宋体"/>
          <w:b/>
          <w:color w:val="auto"/>
          <w:kern w:val="2"/>
          <w:sz w:val="21"/>
          <w:highlight w:val="none"/>
        </w:rPr>
      </w:pPr>
      <w:r>
        <w:rPr>
          <w:rFonts w:hint="eastAsia" w:hAnsi="宋体" w:cs="宋体"/>
          <w:color w:val="auto"/>
          <w:sz w:val="21"/>
          <w:highlight w:val="none"/>
        </w:rPr>
        <w:t>17.8</w:t>
      </w:r>
      <w:r>
        <w:rPr>
          <w:rFonts w:hint="eastAsia" w:hAnsi="宋体" w:cs="宋体"/>
          <w:b/>
          <w:color w:val="auto"/>
          <w:sz w:val="21"/>
          <w:highlight w:val="none"/>
        </w:rPr>
        <w:t>磋商保证金采用金融机构、担保机构出具的保函为有条件保函的，视为无效磋商保证金。</w:t>
      </w:r>
    </w:p>
    <w:p w14:paraId="75460F33">
      <w:pPr>
        <w:pStyle w:val="23"/>
        <w:keepNext w:val="0"/>
        <w:keepLines w:val="0"/>
        <w:pageBreakBefore w:val="0"/>
        <w:kinsoku/>
        <w:wordWrap/>
        <w:overflowPunct/>
        <w:topLinePunct w:val="0"/>
        <w:autoSpaceDE/>
        <w:autoSpaceDN/>
        <w:bidi w:val="0"/>
        <w:adjustRightInd/>
        <w:spacing w:line="440" w:lineRule="exact"/>
        <w:ind w:firstLine="420" w:firstLineChars="200"/>
        <w:textAlignment w:val="auto"/>
        <w:rPr>
          <w:rFonts w:hAnsi="宋体" w:cs="宋体"/>
          <w:color w:val="auto"/>
          <w:sz w:val="21"/>
          <w:highlight w:val="none"/>
        </w:rPr>
      </w:pPr>
      <w:r>
        <w:rPr>
          <w:rFonts w:hint="eastAsia" w:hAnsi="宋体" w:cs="宋体"/>
          <w:color w:val="auto"/>
          <w:sz w:val="21"/>
          <w:highlight w:val="none"/>
        </w:rPr>
        <w:t>17.9磋商保证金的退还</w:t>
      </w:r>
    </w:p>
    <w:p w14:paraId="0B01C5EE">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（1）未成交人的磋商保证金自成交通知书发出之日起</w:t>
      </w:r>
      <w:r>
        <w:rPr>
          <w:rFonts w:hint="eastAsia" w:ascii="宋体" w:hAnsi="宋体" w:cs="宋体"/>
          <w:color w:val="auto"/>
          <w:highlight w:val="none"/>
          <w:lang w:eastAsia="zh-CN"/>
        </w:rPr>
        <w:t>5个工作日内</w:t>
      </w:r>
      <w:r>
        <w:rPr>
          <w:rFonts w:hint="eastAsia" w:ascii="宋体" w:hAnsi="宋体" w:cs="宋体"/>
          <w:color w:val="auto"/>
          <w:highlight w:val="none"/>
        </w:rPr>
        <w:t>退还，退还方式如下：</w:t>
      </w:r>
    </w:p>
    <w:p w14:paraId="6495A214">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①采用银行转账方式的，以转账方式退回到供应商银行账户。</w:t>
      </w:r>
    </w:p>
    <w:p w14:paraId="6A22CD53">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②采用支票、汇票或本票方式的，以转账方式退回到供应商银行账户或由供应商代表持相关授权证明材料至采购人或采购代理机构办理支票、汇票或本票原件退还手续。</w:t>
      </w:r>
    </w:p>
    <w:p w14:paraId="56B3D8A7">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③采用银行、保险机构出具的保函方式的，由供应商代表持相关授权证明材料在采购结果公告公布之日起五个工作日内至采购人或采购代理机构办理保函原件退还手续，供应商逾期领取所造成的后果由供应商自行承担。</w:t>
      </w:r>
    </w:p>
    <w:p w14:paraId="28DBCEF4">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（2）成交人应在合同签订之日起2个工作日内向采购代理机构提供</w:t>
      </w:r>
      <w:r>
        <w:rPr>
          <w:rFonts w:hint="eastAsia" w:ascii="宋体" w:hAnsi="宋体" w:cs="宋体"/>
          <w:color w:val="auto"/>
          <w:highlight w:val="none"/>
          <w:u w:val="single"/>
        </w:rPr>
        <w:t>壹</w:t>
      </w:r>
      <w:r>
        <w:rPr>
          <w:rFonts w:hint="eastAsia" w:ascii="宋体" w:hAnsi="宋体" w:cs="宋体"/>
          <w:color w:val="auto"/>
          <w:highlight w:val="none"/>
        </w:rPr>
        <w:t>份合同副本备案。以配合采购代理机构按《关于进一步做好政府采购信息公开有关工作的通知》（桂财采【2016】7号文件第八条）的要求，在财政部门指定媒体上公告合同的主要内容。采购代理机构在合同签订之日起</w:t>
      </w:r>
      <w:r>
        <w:rPr>
          <w:rFonts w:hint="eastAsia" w:ascii="宋体" w:hAnsi="宋体" w:cs="宋体"/>
          <w:color w:val="auto"/>
          <w:highlight w:val="none"/>
          <w:lang w:val="en-US" w:eastAsia="zh-CN"/>
        </w:rPr>
        <w:t>5</w:t>
      </w:r>
      <w:r>
        <w:rPr>
          <w:rFonts w:hint="eastAsia" w:ascii="宋体" w:hAnsi="宋体" w:cs="宋体"/>
          <w:color w:val="auto"/>
          <w:highlight w:val="none"/>
        </w:rPr>
        <w:t>个工作日退还成交人的</w:t>
      </w:r>
      <w:r>
        <w:rPr>
          <w:rFonts w:hint="eastAsia" w:ascii="宋体" w:hAnsi="宋体" w:cs="宋体"/>
          <w:color w:val="auto"/>
          <w:highlight w:val="none"/>
          <w:lang w:eastAsia="zh-CN"/>
        </w:rPr>
        <w:t>竞标</w:t>
      </w:r>
      <w:r>
        <w:rPr>
          <w:rFonts w:hint="eastAsia" w:ascii="宋体" w:hAnsi="宋体" w:cs="宋体"/>
          <w:color w:val="auto"/>
          <w:highlight w:val="none"/>
        </w:rPr>
        <w:t>保证金。对无法在上述要求期限内将合同送达采购代理机构的成交人，采购代理机构须凭成交人出具加盖公章的情况说明才能退还其</w:t>
      </w:r>
      <w:r>
        <w:rPr>
          <w:rFonts w:hint="eastAsia" w:ascii="宋体" w:hAnsi="宋体" w:cs="宋体"/>
          <w:color w:val="auto"/>
          <w:highlight w:val="none"/>
          <w:lang w:eastAsia="zh-CN"/>
        </w:rPr>
        <w:t>竞标</w:t>
      </w:r>
      <w:r>
        <w:rPr>
          <w:rFonts w:hint="eastAsia" w:ascii="宋体" w:hAnsi="宋体" w:cs="宋体"/>
          <w:color w:val="auto"/>
          <w:highlight w:val="none"/>
        </w:rPr>
        <w:t>保证金。</w:t>
      </w:r>
      <w:r>
        <w:rPr>
          <w:rFonts w:hint="eastAsia" w:ascii="宋体" w:hAnsi="宋体" w:cs="宋体"/>
          <w:color w:val="auto"/>
          <w:highlight w:val="none"/>
          <w:lang w:eastAsia="zh-CN"/>
        </w:rPr>
        <w:t>竞标</w:t>
      </w:r>
      <w:r>
        <w:rPr>
          <w:rFonts w:hint="eastAsia" w:ascii="宋体" w:hAnsi="宋体" w:cs="宋体"/>
          <w:color w:val="auto"/>
          <w:highlight w:val="none"/>
        </w:rPr>
        <w:t>保证金退还方式同未成交人的</w:t>
      </w:r>
      <w:r>
        <w:rPr>
          <w:rFonts w:hint="eastAsia" w:ascii="宋体" w:hAnsi="宋体" w:cs="宋体"/>
          <w:color w:val="auto"/>
          <w:highlight w:val="none"/>
          <w:lang w:eastAsia="zh-CN"/>
        </w:rPr>
        <w:t>竞标</w:t>
      </w:r>
      <w:r>
        <w:rPr>
          <w:rFonts w:hint="eastAsia" w:ascii="宋体" w:hAnsi="宋体" w:cs="宋体"/>
          <w:color w:val="auto"/>
          <w:highlight w:val="none"/>
        </w:rPr>
        <w:t>保证金的退还方式。</w:t>
      </w:r>
    </w:p>
    <w:p w14:paraId="5411954A">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（3）磋商保证金不计息。</w:t>
      </w:r>
    </w:p>
    <w:p w14:paraId="55F27B28">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17.10供应商有下列情形之一的，磋商保证金将不予退还：</w:t>
      </w:r>
    </w:p>
    <w:p w14:paraId="6326AF1C">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（1）供应商在响应文件有效期内撤回响应文件的；</w:t>
      </w:r>
    </w:p>
    <w:p w14:paraId="468E9191">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（2）未按规定提交履约保证金的；</w:t>
      </w:r>
    </w:p>
    <w:p w14:paraId="679CAF08">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（3）供应商在竞标过程中弄虚作假，提供虚假材料的；</w:t>
      </w:r>
    </w:p>
    <w:p w14:paraId="24904216">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（4）成交人无正当理由不与采购人签订合同的；</w:t>
      </w:r>
    </w:p>
    <w:p w14:paraId="544D6974">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（5）将成交项目转让给他人或者在响应文件中未说明且未经招标采购单位同意，将成交项目分包给他人的；</w:t>
      </w:r>
    </w:p>
    <w:p w14:paraId="127A4536">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（6）拒绝履行合同义务的；</w:t>
      </w:r>
    </w:p>
    <w:p w14:paraId="3DBB4626">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（7）其他严重扰乱招竞标程序的；</w:t>
      </w:r>
    </w:p>
    <w:p w14:paraId="7BD4618C">
      <w:pPr>
        <w:keepNext w:val="0"/>
        <w:keepLines w:val="0"/>
        <w:pageBreakBefore w:val="0"/>
        <w:kinsoku/>
        <w:wordWrap/>
        <w:overflowPunct/>
        <w:topLinePunct w:val="0"/>
        <w:autoSpaceDE/>
        <w:autoSpaceDN/>
        <w:bidi w:val="0"/>
        <w:adjustRightInd/>
        <w:spacing w:line="440" w:lineRule="exact"/>
        <w:ind w:left="420"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18、</w:t>
      </w:r>
      <w:bookmarkStart w:id="8" w:name="_Toc254970542"/>
      <w:bookmarkStart w:id="9" w:name="_Toc254970683"/>
      <w:r>
        <w:rPr>
          <w:rFonts w:hint="eastAsia" w:ascii="宋体" w:hAnsi="宋体" w:cs="宋体"/>
          <w:b/>
          <w:color w:val="auto"/>
          <w:szCs w:val="21"/>
          <w:highlight w:val="none"/>
        </w:rPr>
        <w:t>响应文件的</w:t>
      </w:r>
      <w:bookmarkEnd w:id="8"/>
      <w:bookmarkEnd w:id="9"/>
      <w:r>
        <w:rPr>
          <w:rFonts w:hint="eastAsia" w:ascii="宋体" w:hAnsi="宋体" w:cs="宋体"/>
          <w:b/>
          <w:color w:val="auto"/>
          <w:szCs w:val="21"/>
          <w:highlight w:val="none"/>
        </w:rPr>
        <w:t>编制</w:t>
      </w:r>
    </w:p>
    <w:p w14:paraId="2E0D5990">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18.1供应商应按本竞争性磋商采购文件规定的格式和顺序编制、装订响应文件并标注页码，响应文件内容不完整、编排混乱导致响应文件被误读、漏读或者查找不到相关内容的，所引起的后果由供应商负责。</w:t>
      </w:r>
    </w:p>
    <w:p w14:paraId="48B8772B">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18.2响应文件应按资格证明、报价分别编制，商务技术文件合并编制，本磋商只接受电子版响应文件。</w:t>
      </w:r>
    </w:p>
    <w:p w14:paraId="0207C2CE">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18.3响应文件电子版要求：按照本采购文件“第四章响应文件格式”编写（第四章未附格式的，由供应商自行拟定），并在规定加盖公章处加盖电子公章，否则响应文件按无效响应处理。</w:t>
      </w:r>
      <w:r>
        <w:rPr>
          <w:rFonts w:hint="eastAsia" w:ascii="宋体" w:hAnsi="宋体" w:cs="宋体"/>
          <w:color w:val="auto"/>
          <w:kern w:val="0"/>
          <w:szCs w:val="21"/>
          <w:highlight w:val="none"/>
        </w:rPr>
        <w:t>骑缝盖</w:t>
      </w:r>
      <w:r>
        <w:rPr>
          <w:rFonts w:hint="eastAsia" w:ascii="宋体" w:hAnsi="宋体" w:cs="宋体"/>
          <w:color w:val="auto"/>
          <w:highlight w:val="none"/>
        </w:rPr>
        <w:t>公章不视为在规定位置盖章。</w:t>
      </w:r>
    </w:p>
    <w:p w14:paraId="3653D626">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18.4响应文件中标注的供应商名称应与营业执照（事业单位法人证书、执业许可证、自然人身份证）及电子公章一致，否则其响应文件按无效响应处理。</w:t>
      </w:r>
    </w:p>
    <w:p w14:paraId="7EDF50CA">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18.5</w:t>
      </w:r>
      <w:r>
        <w:rPr>
          <w:rFonts w:hint="eastAsia" w:ascii="宋体" w:hAnsi="宋体" w:cs="宋体"/>
          <w:color w:val="auto"/>
          <w:kern w:val="0"/>
          <w:szCs w:val="21"/>
          <w:highlight w:val="none"/>
        </w:rPr>
        <w:t>响应文件应避免涂改、行间插字或者删除，否则其响应文件按无效响应处理。</w:t>
      </w:r>
    </w:p>
    <w:p w14:paraId="2EC8CEF3">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18.6供应商进行电子交易应安装客户端软件—“广西政府采购云平台电子交易客户端”，并按照磋商文件和电子交易平台的要求编制并加密响应文件。供应商未按规定加密的响应文件，电子交易平台将拒收并提示。</w:t>
      </w:r>
    </w:p>
    <w:p w14:paraId="612E3FE1">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18.7使用“广西政府采购云平台电子交易客户端”需要提前申领CA数字证书，申领流程见该项目采购公告附件。</w:t>
      </w:r>
    </w:p>
    <w:p w14:paraId="4416D869">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18.8为确保网上操作合法、有效和安全，供应商应当在响应文件提交截止时间前完成在“政府采购云平台”的身份认证，确保在电子交易过程中能够对相关数据电文进行加密和使用电子签名。</w:t>
      </w:r>
    </w:p>
    <w:p w14:paraId="0C664553">
      <w:pPr>
        <w:keepNext w:val="0"/>
        <w:keepLines w:val="0"/>
        <w:pageBreakBefore w:val="0"/>
        <w:kinsoku/>
        <w:wordWrap/>
        <w:overflowPunct/>
        <w:topLinePunct w:val="0"/>
        <w:autoSpaceDE/>
        <w:autoSpaceDN/>
        <w:bidi w:val="0"/>
        <w:adjustRightInd/>
        <w:spacing w:line="440" w:lineRule="exact"/>
        <w:ind w:firstLine="422" w:firstLineChars="200"/>
        <w:textAlignment w:val="auto"/>
        <w:rPr>
          <w:rFonts w:ascii="宋体" w:hAnsi="宋体" w:cs="宋体"/>
          <w:b/>
          <w:color w:val="auto"/>
          <w:szCs w:val="21"/>
          <w:highlight w:val="none"/>
        </w:rPr>
      </w:pPr>
      <w:r>
        <w:rPr>
          <w:rFonts w:hint="eastAsia" w:ascii="宋体" w:hAnsi="宋体" w:cs="宋体"/>
          <w:b/>
          <w:color w:val="auto"/>
          <w:highlight w:val="none"/>
        </w:rPr>
        <w:t>19.</w:t>
      </w:r>
      <w:r>
        <w:rPr>
          <w:rFonts w:hint="eastAsia" w:ascii="宋体" w:hAnsi="宋体" w:cs="宋体"/>
          <w:b/>
          <w:color w:val="auto"/>
          <w:szCs w:val="21"/>
          <w:highlight w:val="none"/>
        </w:rPr>
        <w:t>响应文件的递交</w:t>
      </w:r>
    </w:p>
    <w:p w14:paraId="2FAF38D7">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19.1供应商必须在“供应商须知前附表”规定的响应文件接收时间和地点提交电子版响应文件。电子响应文件应在制作完成后，在提交截止时间前通过有效数字证书（CA认证锁）进行电子签章、加密，然后通过网络将加密的电子响应文件递交至“广西政府采购云平台”。</w:t>
      </w:r>
    </w:p>
    <w:p w14:paraId="5B47959E">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19.2未在规定时间内提交或者未按照磋商文件要求密封或者标记的电子响应文件，广西政府采购云平台将拒收。</w:t>
      </w:r>
    </w:p>
    <w:p w14:paraId="251D9CAD">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19.3电子版响应文件提交方式见“磋商公告”中“四、提交响应文件截止时间、开标时间和地点”。</w:t>
      </w:r>
    </w:p>
    <w:p w14:paraId="59C700A6">
      <w:pPr>
        <w:keepNext w:val="0"/>
        <w:keepLines w:val="0"/>
        <w:pageBreakBefore w:val="0"/>
        <w:kinsoku/>
        <w:wordWrap/>
        <w:overflowPunct/>
        <w:topLinePunct w:val="0"/>
        <w:autoSpaceDE/>
        <w:autoSpaceDN/>
        <w:bidi w:val="0"/>
        <w:adjustRightInd/>
        <w:snapToGrid w:val="0"/>
        <w:spacing w:line="440" w:lineRule="exact"/>
        <w:ind w:firstLine="422" w:firstLineChars="200"/>
        <w:jc w:val="left"/>
        <w:textAlignment w:val="auto"/>
        <w:rPr>
          <w:rFonts w:ascii="宋体" w:hAnsi="宋体" w:cs="宋体"/>
          <w:b/>
          <w:color w:val="auto"/>
          <w:szCs w:val="21"/>
          <w:highlight w:val="none"/>
        </w:rPr>
      </w:pPr>
      <w:r>
        <w:rPr>
          <w:rFonts w:hint="eastAsia" w:ascii="宋体" w:hAnsi="宋体" w:cs="宋体"/>
          <w:b/>
          <w:color w:val="auto"/>
          <w:szCs w:val="21"/>
          <w:highlight w:val="none"/>
        </w:rPr>
        <w:t>20.响应文件的补充、修改、撤回与退回</w:t>
      </w:r>
    </w:p>
    <w:p w14:paraId="38583EF5">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20.1供应商应当在首次提交响应文件截止时间前完成响应文件的传输递交，并可以补充、修改或者撤回响应文件。补充或者修改响应文件的，应当先行撤回原文件，补充、修改后重新传输递交。提交响应文件截止时间前未完成传输的，视为撤回响应文件。提交响应文件截止时间后递交的响应文件，广西政府采购云平台平台将拒收。</w:t>
      </w:r>
    </w:p>
    <w:p w14:paraId="46C58BB9">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20.2广西政府采购云平台收到响应文件，将妥善保存并即时向供应商发出确认回执通知。在提交响应文件截止时间前，除供应商补充、修改或者撤回响应文件外，任何单位和个人不得解密或提取响应文件。</w:t>
      </w:r>
    </w:p>
    <w:p w14:paraId="5DB1A12A">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20.3在提交响应文件截止时间止提交电子版响应文件的供应商不足3家时，电子版响应文件由代理机构在广西政府采购云平台操作退回，除此之外采购人和采购代理机构对已提交的响应文件概不退回。</w:t>
      </w:r>
    </w:p>
    <w:p w14:paraId="2211A64C">
      <w:pPr>
        <w:keepNext w:val="0"/>
        <w:keepLines w:val="0"/>
        <w:pageBreakBefore w:val="0"/>
        <w:tabs>
          <w:tab w:val="left" w:pos="3600"/>
        </w:tabs>
        <w:kinsoku/>
        <w:wordWrap/>
        <w:overflowPunct/>
        <w:topLinePunct w:val="0"/>
        <w:autoSpaceDE/>
        <w:autoSpaceDN/>
        <w:bidi w:val="0"/>
        <w:adjustRightInd/>
        <w:spacing w:line="440" w:lineRule="exact"/>
        <w:ind w:firstLine="422" w:firstLineChars="200"/>
        <w:textAlignment w:val="auto"/>
        <w:rPr>
          <w:rFonts w:ascii="宋体" w:hAnsi="宋体" w:cs="宋体"/>
          <w:b/>
          <w:color w:val="auto"/>
          <w:szCs w:val="21"/>
          <w:highlight w:val="none"/>
        </w:rPr>
      </w:pPr>
      <w:bookmarkStart w:id="10" w:name="_Toc482865322"/>
      <w:bookmarkStart w:id="11" w:name="_Toc445223680"/>
      <w:bookmarkStart w:id="12" w:name="_Toc483327811"/>
      <w:bookmarkStart w:id="13" w:name="_Toc448421142"/>
      <w:bookmarkStart w:id="14" w:name="_Toc293863053"/>
      <w:bookmarkStart w:id="15" w:name="_Toc495351941"/>
      <w:bookmarkStart w:id="16" w:name="_Toc495388768"/>
      <w:bookmarkStart w:id="17" w:name="_Toc495388445"/>
      <w:bookmarkStart w:id="18" w:name="_Toc254970544"/>
      <w:bookmarkStart w:id="19" w:name="_Toc482864551"/>
      <w:bookmarkStart w:id="20" w:name="_Toc482865152"/>
      <w:bookmarkStart w:id="21" w:name="_Toc400465713"/>
      <w:bookmarkStart w:id="22" w:name="_Toc308018677"/>
      <w:bookmarkStart w:id="23" w:name="_Toc293863320"/>
      <w:bookmarkStart w:id="24" w:name="_Toc254970685"/>
      <w:r>
        <w:rPr>
          <w:rFonts w:hint="eastAsia" w:ascii="宋体" w:hAnsi="宋体" w:cs="宋体"/>
          <w:b/>
          <w:color w:val="auto"/>
          <w:szCs w:val="21"/>
          <w:highlight w:val="none"/>
        </w:rPr>
        <w:t>四、</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Pr>
          <w:rFonts w:hint="eastAsia" w:ascii="宋体" w:hAnsi="宋体" w:cs="宋体"/>
          <w:b/>
          <w:color w:val="auto"/>
          <w:szCs w:val="21"/>
          <w:highlight w:val="none"/>
        </w:rPr>
        <w:t>评审及磋商</w:t>
      </w:r>
    </w:p>
    <w:p w14:paraId="240BAFA1">
      <w:pPr>
        <w:keepNext w:val="0"/>
        <w:keepLines w:val="0"/>
        <w:pageBreakBefore w:val="0"/>
        <w:kinsoku/>
        <w:wordWrap/>
        <w:overflowPunct/>
        <w:topLinePunct w:val="0"/>
        <w:autoSpaceDE/>
        <w:autoSpaceDN/>
        <w:bidi w:val="0"/>
        <w:adjustRightInd/>
        <w:snapToGrid w:val="0"/>
        <w:spacing w:line="440" w:lineRule="exact"/>
        <w:ind w:firstLine="422" w:firstLineChars="200"/>
        <w:jc w:val="left"/>
        <w:textAlignment w:val="auto"/>
        <w:rPr>
          <w:rFonts w:ascii="宋体" w:hAnsi="宋体" w:cs="宋体"/>
          <w:b/>
          <w:color w:val="auto"/>
          <w:highlight w:val="none"/>
        </w:rPr>
      </w:pPr>
      <w:r>
        <w:rPr>
          <w:rFonts w:hint="eastAsia" w:ascii="宋体" w:hAnsi="宋体" w:cs="宋体"/>
          <w:b/>
          <w:color w:val="auto"/>
          <w:highlight w:val="none"/>
        </w:rPr>
        <w:t>21.磋商小组成立</w:t>
      </w:r>
    </w:p>
    <w:p w14:paraId="117EC9D1">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21.1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0CBAAE87">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21.2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70D8EF50">
      <w:pPr>
        <w:keepNext w:val="0"/>
        <w:keepLines w:val="0"/>
        <w:pageBreakBefore w:val="0"/>
        <w:kinsoku/>
        <w:wordWrap/>
        <w:overflowPunct/>
        <w:topLinePunct w:val="0"/>
        <w:autoSpaceDE/>
        <w:autoSpaceDN/>
        <w:bidi w:val="0"/>
        <w:adjustRightInd/>
        <w:snapToGrid w:val="0"/>
        <w:spacing w:line="440" w:lineRule="exact"/>
        <w:ind w:firstLine="422" w:firstLineChars="200"/>
        <w:jc w:val="left"/>
        <w:textAlignment w:val="auto"/>
        <w:rPr>
          <w:rFonts w:ascii="宋体" w:hAnsi="宋体" w:cs="宋体"/>
          <w:b/>
          <w:color w:val="auto"/>
          <w:highlight w:val="none"/>
        </w:rPr>
      </w:pPr>
      <w:r>
        <w:rPr>
          <w:rFonts w:hint="eastAsia" w:ascii="宋体" w:hAnsi="宋体" w:cs="宋体"/>
          <w:b/>
          <w:color w:val="auto"/>
          <w:highlight w:val="none"/>
        </w:rPr>
        <w:t>22.首次响应文件的开启</w:t>
      </w:r>
    </w:p>
    <w:p w14:paraId="2695541D">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22.1首次响应文件由磋商小组或者采购代理机构在“供应商须知前附表”规定的时间开启。</w:t>
      </w:r>
    </w:p>
    <w:p w14:paraId="668DFBF8">
      <w:pPr>
        <w:keepNext w:val="0"/>
        <w:keepLines w:val="0"/>
        <w:pageBreakBefore w:val="0"/>
        <w:kinsoku/>
        <w:wordWrap/>
        <w:overflowPunct/>
        <w:topLinePunct w:val="0"/>
        <w:autoSpaceDE/>
        <w:autoSpaceDN/>
        <w:bidi w:val="0"/>
        <w:adjustRightInd/>
        <w:snapToGrid w:val="0"/>
        <w:spacing w:line="440" w:lineRule="exact"/>
        <w:ind w:firstLine="422" w:firstLineChars="200"/>
        <w:jc w:val="left"/>
        <w:textAlignment w:val="auto"/>
        <w:rPr>
          <w:rFonts w:ascii="宋体" w:hAnsi="宋体" w:cs="宋体"/>
          <w:b/>
          <w:color w:val="auto"/>
          <w:highlight w:val="none"/>
        </w:rPr>
      </w:pPr>
      <w:r>
        <w:rPr>
          <w:rFonts w:hint="eastAsia" w:ascii="宋体" w:hAnsi="宋体" w:cs="宋体"/>
          <w:b/>
          <w:color w:val="auto"/>
          <w:highlight w:val="none"/>
        </w:rPr>
        <w:t>23.响应文件解密</w:t>
      </w:r>
    </w:p>
    <w:p w14:paraId="37656F5F">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bCs/>
          <w:color w:val="auto"/>
          <w:highlight w:val="none"/>
        </w:rPr>
      </w:pPr>
      <w:r>
        <w:rPr>
          <w:rFonts w:hint="eastAsia" w:ascii="宋体" w:hAnsi="宋体" w:cs="宋体"/>
          <w:color w:val="auto"/>
          <w:highlight w:val="none"/>
        </w:rPr>
        <w:t>23.1采购代理机构将在“供应商须知前附表”规定的时间通过电子交易平台组织响应文件开启采购机构依托电子交易平台发起开始解密指令，供应商的法定代表人或其委托代理人须携带加密时所用的CA锁按平台提示和采购文件的规定登录到广西政府采购云平台电子开标大厅签到并在发起解密指令之时起30分钟内完成对电子响应文件在线解密。发起解密指令之时起5分钟内供应商还未进行解密的，代理机构通知供应商，</w:t>
      </w:r>
      <w:r>
        <w:rPr>
          <w:rFonts w:hint="eastAsia" w:ascii="宋体" w:hAnsi="宋体" w:cs="宋体"/>
          <w:bCs/>
          <w:color w:val="auto"/>
          <w:highlight w:val="none"/>
        </w:rPr>
        <w:t>通知后，</w:t>
      </w:r>
      <w:r>
        <w:rPr>
          <w:rFonts w:hint="eastAsia" w:ascii="宋体" w:hAnsi="宋体" w:cs="宋体"/>
          <w:color w:val="auto"/>
          <w:highlight w:val="none"/>
        </w:rPr>
        <w:t>响应</w:t>
      </w:r>
      <w:r>
        <w:rPr>
          <w:rFonts w:hint="eastAsia" w:ascii="宋体" w:hAnsi="宋体" w:cs="宋体"/>
          <w:bCs/>
          <w:color w:val="auto"/>
          <w:highlight w:val="none"/>
        </w:rPr>
        <w:t>文件仍未按时解密，或者</w:t>
      </w:r>
      <w:r>
        <w:rPr>
          <w:rFonts w:hint="eastAsia" w:ascii="宋体" w:hAnsi="宋体" w:cs="宋体"/>
          <w:color w:val="auto"/>
          <w:highlight w:val="none"/>
        </w:rPr>
        <w:t>供应商</w:t>
      </w:r>
      <w:r>
        <w:rPr>
          <w:rFonts w:hint="eastAsia" w:ascii="宋体" w:hAnsi="宋体" w:cs="宋体"/>
          <w:bCs/>
          <w:color w:val="auto"/>
          <w:highlight w:val="none"/>
        </w:rPr>
        <w:t>没预留联系方式或预留联系方式无效，</w:t>
      </w:r>
      <w:r>
        <w:rPr>
          <w:rFonts w:hint="eastAsia" w:ascii="宋体" w:hAnsi="宋体" w:cs="宋体"/>
          <w:color w:val="auto"/>
          <w:highlight w:val="none"/>
        </w:rPr>
        <w:t>非代理机构原因导致代理机构无法联系到供应商进行解密的</w:t>
      </w:r>
      <w:r>
        <w:rPr>
          <w:rFonts w:hint="eastAsia" w:ascii="宋体" w:hAnsi="宋体" w:cs="宋体"/>
          <w:bCs/>
          <w:color w:val="auto"/>
          <w:highlight w:val="none"/>
        </w:rPr>
        <w:t>，</w:t>
      </w:r>
      <w:r>
        <w:rPr>
          <w:rFonts w:hint="eastAsia" w:ascii="宋体" w:hAnsi="宋体" w:cs="宋体"/>
          <w:color w:val="auto"/>
          <w:highlight w:val="none"/>
        </w:rPr>
        <w:t>视为响应文件无效</w:t>
      </w:r>
      <w:r>
        <w:rPr>
          <w:rFonts w:hint="eastAsia" w:ascii="宋体" w:hAnsi="宋体" w:cs="宋体"/>
          <w:bCs/>
          <w:color w:val="auto"/>
          <w:highlight w:val="none"/>
        </w:rPr>
        <w:t>。</w:t>
      </w:r>
      <w:r>
        <w:rPr>
          <w:rFonts w:hint="eastAsia" w:ascii="宋体" w:hAnsi="宋体" w:cs="宋体"/>
          <w:color w:val="auto"/>
          <w:highlight w:val="none"/>
        </w:rPr>
        <w:t>（解密异常情况处理：详见本章30.电子交易活动的中止。）</w:t>
      </w:r>
    </w:p>
    <w:p w14:paraId="02B5679A">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23.2如供应商成功解密响应文件，但未在“广西政府采购云平台”电子开标大厅参加谈判的，视同认可谈判过程和结果，由此产生的后果由供应商自行负责。参与谈判的供应商不足3家的，不得谈判。</w:t>
      </w:r>
    </w:p>
    <w:p w14:paraId="249A4CFD">
      <w:pPr>
        <w:keepNext w:val="0"/>
        <w:keepLines w:val="0"/>
        <w:pageBreakBefore w:val="0"/>
        <w:kinsoku/>
        <w:wordWrap/>
        <w:overflowPunct/>
        <w:topLinePunct w:val="0"/>
        <w:autoSpaceDE/>
        <w:autoSpaceDN/>
        <w:bidi w:val="0"/>
        <w:adjustRightInd/>
        <w:snapToGrid w:val="0"/>
        <w:spacing w:line="440" w:lineRule="exact"/>
        <w:ind w:firstLine="422" w:firstLineChars="200"/>
        <w:jc w:val="left"/>
        <w:textAlignment w:val="auto"/>
        <w:rPr>
          <w:rFonts w:ascii="宋体" w:hAnsi="宋体" w:cs="宋体"/>
          <w:b/>
          <w:color w:val="auto"/>
          <w:highlight w:val="none"/>
        </w:rPr>
      </w:pPr>
      <w:r>
        <w:rPr>
          <w:rFonts w:hint="eastAsia" w:ascii="宋体" w:hAnsi="宋体" w:cs="宋体"/>
          <w:b/>
          <w:color w:val="auto"/>
          <w:highlight w:val="none"/>
        </w:rPr>
        <w:t>24.评审程序</w:t>
      </w:r>
    </w:p>
    <w:p w14:paraId="5DF2EE31">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24.1磋商小组按照“第六章评审方法和评审标准”规定的方法、评审因素、标准和程序对响应文件进行评审。</w:t>
      </w:r>
    </w:p>
    <w:p w14:paraId="3DAF695F">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24.2</w:t>
      </w:r>
      <w:r>
        <w:rPr>
          <w:rFonts w:hint="eastAsia" w:ascii="宋体" w:hAnsi="宋体" w:cs="宋体"/>
          <w:bCs/>
          <w:color w:val="auto"/>
          <w:szCs w:val="21"/>
          <w:highlight w:val="none"/>
        </w:rPr>
        <w:t>资格审查</w:t>
      </w:r>
    </w:p>
    <w:p w14:paraId="56ED0431">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cs="宋体"/>
          <w:b/>
          <w:bCs/>
          <w:color w:val="auto"/>
          <w:szCs w:val="21"/>
          <w:highlight w:val="none"/>
        </w:rPr>
      </w:pPr>
      <w:r>
        <w:rPr>
          <w:rFonts w:hint="eastAsia" w:ascii="宋体" w:hAnsi="宋体" w:cs="宋体"/>
          <w:color w:val="auto"/>
          <w:szCs w:val="21"/>
          <w:highlight w:val="none"/>
        </w:rPr>
        <w:t>响应文件开启后，磋商小组依法对供应商的资格文件进行审查</w:t>
      </w:r>
      <w:r>
        <w:rPr>
          <w:rFonts w:hint="eastAsia" w:ascii="宋体" w:hAnsi="宋体" w:cs="宋体"/>
          <w:color w:val="auto"/>
          <w:spacing w:val="-2"/>
          <w:szCs w:val="21"/>
          <w:highlight w:val="none"/>
        </w:rPr>
        <w:t>。</w:t>
      </w:r>
      <w:r>
        <w:rPr>
          <w:rFonts w:hint="eastAsia" w:ascii="宋体" w:hAnsi="宋体" w:cs="宋体"/>
          <w:b/>
          <w:bCs/>
          <w:color w:val="auto"/>
          <w:szCs w:val="21"/>
          <w:highlight w:val="none"/>
        </w:rPr>
        <w:t>在资格审查时，如发现下列情形之一的，响应文件将被视为无效：</w:t>
      </w:r>
    </w:p>
    <w:p w14:paraId="05B799FB">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（1）不具备</w:t>
      </w:r>
      <w:r>
        <w:rPr>
          <w:rFonts w:hint="eastAsia" w:ascii="宋体" w:hAnsi="宋体" w:cs="宋体"/>
          <w:bCs/>
          <w:color w:val="auto"/>
          <w:szCs w:val="21"/>
          <w:highlight w:val="none"/>
          <w:lang w:eastAsia="zh-CN"/>
        </w:rPr>
        <w:t>磋商采购文件</w:t>
      </w:r>
      <w:r>
        <w:rPr>
          <w:rFonts w:hint="eastAsia" w:ascii="宋体" w:hAnsi="宋体" w:cs="宋体"/>
          <w:bCs/>
          <w:color w:val="auto"/>
          <w:szCs w:val="21"/>
          <w:highlight w:val="none"/>
        </w:rPr>
        <w:t>中规定的资格要求的；（注：其中信用查询由采购人或采购代理机构于资格审查时</w:t>
      </w:r>
      <w:r>
        <w:rPr>
          <w:rFonts w:hint="eastAsia" w:ascii="宋体" w:hAnsi="宋体" w:cs="宋体"/>
          <w:color w:val="auto"/>
          <w:szCs w:val="21"/>
          <w:highlight w:val="none"/>
        </w:rPr>
        <w:t>在“信用中国”网站和“中国政府采购网”</w:t>
      </w:r>
      <w:r>
        <w:rPr>
          <w:rFonts w:hint="eastAsia" w:ascii="宋体" w:hAnsi="宋体" w:cs="宋体"/>
          <w:bCs/>
          <w:color w:val="auto"/>
          <w:szCs w:val="21"/>
          <w:highlight w:val="none"/>
        </w:rPr>
        <w:t>对供应商进行信用查询，联合体成员存在不良信用记录的视同联合体存在不良信用记录。）</w:t>
      </w:r>
    </w:p>
    <w:p w14:paraId="5B12D0DA">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ascii="宋体" w:hAnsi="宋体" w:cs="宋体"/>
          <w:bCs/>
          <w:color w:val="auto"/>
          <w:szCs w:val="21"/>
          <w:highlight w:val="none"/>
        </w:rPr>
      </w:pPr>
      <w:r>
        <w:rPr>
          <w:rFonts w:hint="eastAsia" w:ascii="宋体" w:hAnsi="宋体" w:cs="宋体"/>
          <w:bCs/>
          <w:color w:val="auto"/>
          <w:szCs w:val="21"/>
          <w:highlight w:val="none"/>
        </w:rPr>
        <w:t>（2）未提供</w:t>
      </w:r>
      <w:r>
        <w:rPr>
          <w:rFonts w:hint="eastAsia" w:ascii="宋体" w:hAnsi="宋体" w:cs="宋体"/>
          <w:bCs/>
          <w:color w:val="auto"/>
          <w:szCs w:val="21"/>
          <w:highlight w:val="none"/>
          <w:lang w:eastAsia="zh-CN"/>
        </w:rPr>
        <w:t>磋商采购文件</w:t>
      </w:r>
      <w:r>
        <w:rPr>
          <w:rFonts w:hint="eastAsia" w:ascii="宋体" w:hAnsi="宋体" w:cs="宋体"/>
          <w:bCs/>
          <w:color w:val="auto"/>
          <w:szCs w:val="21"/>
          <w:highlight w:val="none"/>
        </w:rPr>
        <w:t>中“（一）响应文件的组成1.资格证明文件”要求必须提供的资料的；</w:t>
      </w:r>
    </w:p>
    <w:p w14:paraId="3B14CD89">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（3）法律、法规和</w:t>
      </w:r>
      <w:r>
        <w:rPr>
          <w:rFonts w:hint="eastAsia" w:ascii="宋体" w:hAnsi="宋体" w:cs="宋体"/>
          <w:color w:val="auto"/>
          <w:szCs w:val="21"/>
          <w:highlight w:val="none"/>
          <w:lang w:eastAsia="zh-CN"/>
        </w:rPr>
        <w:t>磋商采购文件</w:t>
      </w:r>
      <w:r>
        <w:rPr>
          <w:rFonts w:hint="eastAsia" w:ascii="宋体" w:hAnsi="宋体" w:cs="宋体"/>
          <w:color w:val="auto"/>
          <w:szCs w:val="21"/>
          <w:highlight w:val="none"/>
        </w:rPr>
        <w:t>规定的其他无效情形。</w:t>
      </w:r>
    </w:p>
    <w:p w14:paraId="4EB8A6D2">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通过资格审查的合格供应商不足3家的，不得进入符合性审查环节，采购人或者采购代理机构应当重新开展采购活动。</w:t>
      </w:r>
    </w:p>
    <w:p w14:paraId="57C43F7E">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ascii="宋体" w:hAnsi="宋体" w:cs="宋体"/>
          <w:bCs/>
          <w:color w:val="auto"/>
          <w:szCs w:val="21"/>
          <w:highlight w:val="none"/>
        </w:rPr>
      </w:pPr>
      <w:r>
        <w:rPr>
          <w:rFonts w:hint="eastAsia" w:ascii="宋体" w:hAnsi="宋体" w:cs="宋体"/>
          <w:bCs/>
          <w:color w:val="auto"/>
          <w:szCs w:val="21"/>
          <w:highlight w:val="none"/>
        </w:rPr>
        <w:t>24.3符合性审查</w:t>
      </w:r>
    </w:p>
    <w:p w14:paraId="6B4FF7D5">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ascii="宋体" w:hAnsi="宋体" w:cs="宋体"/>
          <w:b/>
          <w:bCs/>
          <w:color w:val="auto"/>
          <w:szCs w:val="21"/>
          <w:highlight w:val="none"/>
        </w:rPr>
      </w:pPr>
      <w:r>
        <w:rPr>
          <w:rFonts w:hint="eastAsia" w:ascii="宋体" w:hAnsi="宋体" w:cs="宋体"/>
          <w:color w:val="auto"/>
          <w:szCs w:val="21"/>
          <w:highlight w:val="none"/>
        </w:rPr>
        <w:t>磋商小组依法对供应商的符合性进行审查</w:t>
      </w:r>
      <w:r>
        <w:rPr>
          <w:rFonts w:hint="eastAsia" w:ascii="宋体" w:hAnsi="宋体" w:cs="宋体"/>
          <w:color w:val="auto"/>
          <w:spacing w:val="-2"/>
          <w:szCs w:val="21"/>
          <w:highlight w:val="none"/>
        </w:rPr>
        <w:t>。</w:t>
      </w:r>
      <w:r>
        <w:rPr>
          <w:rFonts w:hint="eastAsia" w:ascii="宋体" w:hAnsi="宋体" w:cs="宋体"/>
          <w:b/>
          <w:bCs/>
          <w:color w:val="auto"/>
          <w:szCs w:val="21"/>
          <w:highlight w:val="none"/>
        </w:rPr>
        <w:t>在符合性审查时，如发现下列情形之一的，响应文件将被视为无效：</w:t>
      </w:r>
    </w:p>
    <w:p w14:paraId="2B03E79C">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rPr>
        <w:t>（1）未按照</w:t>
      </w:r>
      <w:r>
        <w:rPr>
          <w:rFonts w:hint="eastAsia" w:ascii="宋体" w:hAnsi="宋体" w:cs="宋体"/>
          <w:bCs/>
          <w:color w:val="auto"/>
          <w:szCs w:val="21"/>
          <w:highlight w:val="none"/>
          <w:lang w:eastAsia="zh-CN"/>
        </w:rPr>
        <w:t>磋商采购文件</w:t>
      </w:r>
      <w:r>
        <w:rPr>
          <w:rFonts w:hint="eastAsia" w:ascii="宋体" w:hAnsi="宋体" w:cs="宋体"/>
          <w:bCs/>
          <w:color w:val="auto"/>
          <w:szCs w:val="21"/>
          <w:highlight w:val="none"/>
        </w:rPr>
        <w:t>的规定提交磋商保证金的；</w:t>
      </w:r>
    </w:p>
    <w:p w14:paraId="6455E4D4">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ascii="宋体" w:hAnsi="宋体" w:cs="宋体"/>
          <w:bCs/>
          <w:color w:val="auto"/>
          <w:szCs w:val="21"/>
          <w:highlight w:val="none"/>
        </w:rPr>
      </w:pPr>
      <w:r>
        <w:rPr>
          <w:rFonts w:hint="eastAsia" w:ascii="宋体" w:hAnsi="宋体" w:cs="宋体"/>
          <w:bCs/>
          <w:color w:val="auto"/>
          <w:szCs w:val="21"/>
          <w:highlight w:val="none"/>
        </w:rPr>
        <w:t>（2）响应文件未按磋商文件要求签署、盖章的；</w:t>
      </w:r>
    </w:p>
    <w:p w14:paraId="5F73A4DC">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竞标</w:t>
      </w:r>
      <w:r>
        <w:rPr>
          <w:rFonts w:hint="eastAsia" w:ascii="宋体" w:hAnsi="宋体" w:cs="宋体"/>
          <w:color w:val="auto"/>
          <w:szCs w:val="21"/>
          <w:highlight w:val="none"/>
        </w:rPr>
        <w:t>代表人未能出具身份证明或与法定代表人授权委托人身份不符的；</w:t>
      </w:r>
    </w:p>
    <w:p w14:paraId="11632FAD">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（4）响应文件的实质性内容未使用中文表述、意思表述不明确、前后矛盾或者使用计量单位不符合</w:t>
      </w:r>
      <w:r>
        <w:rPr>
          <w:rFonts w:hint="eastAsia" w:ascii="宋体" w:hAnsi="宋体" w:cs="宋体"/>
          <w:color w:val="auto"/>
          <w:szCs w:val="21"/>
          <w:highlight w:val="none"/>
          <w:lang w:eastAsia="zh-CN"/>
        </w:rPr>
        <w:t>磋商采购文件</w:t>
      </w:r>
      <w:r>
        <w:rPr>
          <w:rFonts w:hint="eastAsia" w:ascii="宋体" w:hAnsi="宋体" w:cs="宋体"/>
          <w:color w:val="auto"/>
          <w:szCs w:val="21"/>
          <w:highlight w:val="none"/>
        </w:rPr>
        <w:t>要求的（经评标委员会认定并允许其当场更正的笔误除外）</w:t>
      </w:r>
    </w:p>
    <w:p w14:paraId="5B1C0896">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（5）磋商有效期、服务期或交货期、质保期等商务条款不能满足</w:t>
      </w:r>
      <w:r>
        <w:rPr>
          <w:rFonts w:hint="eastAsia" w:ascii="宋体" w:hAnsi="宋体" w:cs="宋体"/>
          <w:color w:val="auto"/>
          <w:szCs w:val="21"/>
          <w:highlight w:val="none"/>
          <w:lang w:eastAsia="zh-CN"/>
        </w:rPr>
        <w:t>磋商采购文件</w:t>
      </w:r>
      <w:r>
        <w:rPr>
          <w:rFonts w:hint="eastAsia" w:ascii="宋体" w:hAnsi="宋体" w:cs="宋体"/>
          <w:color w:val="auto"/>
          <w:szCs w:val="21"/>
          <w:highlight w:val="none"/>
        </w:rPr>
        <w:t>要求的；</w:t>
      </w:r>
    </w:p>
    <w:p w14:paraId="35C4F56F">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（6）未实质性响应</w:t>
      </w:r>
      <w:r>
        <w:rPr>
          <w:rFonts w:hint="eastAsia" w:ascii="宋体" w:hAnsi="宋体" w:cs="宋体"/>
          <w:color w:val="auto"/>
          <w:szCs w:val="21"/>
          <w:highlight w:val="none"/>
          <w:lang w:eastAsia="zh-CN"/>
        </w:rPr>
        <w:t>磋商采购文件</w:t>
      </w:r>
      <w:r>
        <w:rPr>
          <w:rFonts w:hint="eastAsia" w:ascii="宋体" w:hAnsi="宋体" w:cs="宋体"/>
          <w:color w:val="auto"/>
          <w:szCs w:val="21"/>
          <w:highlight w:val="none"/>
        </w:rPr>
        <w:t>要求或者响应文件有招标方不能接受的附加条件的。</w:t>
      </w:r>
    </w:p>
    <w:p w14:paraId="6876F543">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ascii="宋体" w:hAnsi="宋体" w:cs="宋体"/>
          <w:bCs/>
          <w:color w:val="auto"/>
          <w:szCs w:val="21"/>
          <w:highlight w:val="none"/>
        </w:rPr>
      </w:pPr>
      <w:r>
        <w:rPr>
          <w:rFonts w:hint="eastAsia" w:ascii="宋体" w:hAnsi="宋体" w:cs="宋体"/>
          <w:color w:val="auto"/>
          <w:szCs w:val="21"/>
          <w:highlight w:val="none"/>
        </w:rPr>
        <w:t>（7）</w:t>
      </w:r>
      <w:r>
        <w:rPr>
          <w:rFonts w:hint="eastAsia" w:ascii="宋体" w:hAnsi="宋体" w:cs="宋体"/>
          <w:bCs/>
          <w:color w:val="auto"/>
          <w:szCs w:val="21"/>
          <w:highlight w:val="none"/>
        </w:rPr>
        <w:t>未提供</w:t>
      </w:r>
      <w:r>
        <w:rPr>
          <w:rFonts w:hint="eastAsia" w:ascii="宋体" w:hAnsi="宋体" w:cs="宋体"/>
          <w:bCs/>
          <w:color w:val="auto"/>
          <w:szCs w:val="21"/>
          <w:highlight w:val="none"/>
          <w:lang w:eastAsia="zh-CN"/>
        </w:rPr>
        <w:t>磋商采购文件</w:t>
      </w:r>
      <w:r>
        <w:rPr>
          <w:rFonts w:hint="eastAsia" w:ascii="宋体" w:hAnsi="宋体" w:cs="宋体"/>
          <w:bCs/>
          <w:color w:val="auto"/>
          <w:szCs w:val="21"/>
          <w:highlight w:val="none"/>
        </w:rPr>
        <w:t>中“（一）响应文件的组成2.商务和技术文件”要求必须提供的资料的；</w:t>
      </w:r>
    </w:p>
    <w:p w14:paraId="0C6D0831">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（8）响应文件标明的响应或偏离与事实不符或虚假竞标的；</w:t>
      </w:r>
    </w:p>
    <w:p w14:paraId="6DBFB753">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（9）明显不符合</w:t>
      </w:r>
      <w:r>
        <w:rPr>
          <w:rFonts w:hint="eastAsia" w:ascii="宋体" w:hAnsi="宋体" w:cs="宋体"/>
          <w:bCs/>
          <w:color w:val="auto"/>
          <w:szCs w:val="21"/>
          <w:highlight w:val="none"/>
        </w:rPr>
        <w:t>竞争性磋商文件</w:t>
      </w:r>
      <w:r>
        <w:rPr>
          <w:rFonts w:hint="eastAsia" w:ascii="宋体" w:hAnsi="宋体" w:cs="宋体"/>
          <w:color w:val="auto"/>
          <w:szCs w:val="21"/>
          <w:highlight w:val="none"/>
        </w:rPr>
        <w:t>要求的质量标准、采购需求，或者与竞争性磋商文件中标“▲”的技术指标、服务需求发生实质性偏离的；</w:t>
      </w:r>
    </w:p>
    <w:p w14:paraId="40DCE856">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（10）技术方案不明确，存在一个或一个以上备选（替代）竞标方案的。</w:t>
      </w:r>
    </w:p>
    <w:p w14:paraId="29608128">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ascii="宋体" w:hAnsi="宋体" w:cs="宋体"/>
          <w:bCs/>
          <w:color w:val="auto"/>
          <w:szCs w:val="21"/>
          <w:highlight w:val="none"/>
        </w:rPr>
      </w:pPr>
      <w:r>
        <w:rPr>
          <w:rFonts w:hint="eastAsia" w:ascii="宋体" w:hAnsi="宋体" w:cs="宋体"/>
          <w:color w:val="auto"/>
          <w:szCs w:val="21"/>
          <w:highlight w:val="none"/>
        </w:rPr>
        <w:t>（11）</w:t>
      </w:r>
      <w:r>
        <w:rPr>
          <w:rFonts w:hint="eastAsia" w:ascii="宋体" w:hAnsi="宋体" w:cs="宋体"/>
          <w:bCs/>
          <w:color w:val="auto"/>
          <w:szCs w:val="21"/>
          <w:highlight w:val="none"/>
        </w:rPr>
        <w:t>未提供</w:t>
      </w:r>
      <w:r>
        <w:rPr>
          <w:rFonts w:hint="eastAsia" w:ascii="宋体" w:hAnsi="宋体" w:cs="宋体"/>
          <w:bCs/>
          <w:color w:val="auto"/>
          <w:szCs w:val="21"/>
          <w:highlight w:val="none"/>
          <w:lang w:eastAsia="zh-CN"/>
        </w:rPr>
        <w:t>磋商采购文件</w:t>
      </w:r>
      <w:r>
        <w:rPr>
          <w:rFonts w:hint="eastAsia" w:ascii="宋体" w:hAnsi="宋体" w:cs="宋体"/>
          <w:bCs/>
          <w:color w:val="auto"/>
          <w:szCs w:val="21"/>
          <w:highlight w:val="none"/>
        </w:rPr>
        <w:t>中“（一）响应文件的组成..报价文件”要求必须提供的资料的；</w:t>
      </w:r>
    </w:p>
    <w:p w14:paraId="24D64B8C">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（12）报价超过</w:t>
      </w:r>
      <w:r>
        <w:rPr>
          <w:rFonts w:hint="eastAsia" w:ascii="宋体" w:hAnsi="宋体" w:cs="宋体"/>
          <w:bCs/>
          <w:color w:val="auto"/>
          <w:szCs w:val="21"/>
          <w:highlight w:val="none"/>
          <w:lang w:eastAsia="zh-CN"/>
        </w:rPr>
        <w:t>磋商采购文件</w:t>
      </w:r>
      <w:r>
        <w:rPr>
          <w:rFonts w:hint="eastAsia" w:ascii="宋体" w:hAnsi="宋体" w:cs="宋体"/>
          <w:bCs/>
          <w:color w:val="auto"/>
          <w:szCs w:val="21"/>
          <w:highlight w:val="none"/>
        </w:rPr>
        <w:t>中规定的预算金额或者最高限价的；</w:t>
      </w:r>
    </w:p>
    <w:p w14:paraId="3311B4C2">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（13）未采用人民币报价或者未按照</w:t>
      </w:r>
      <w:r>
        <w:rPr>
          <w:rFonts w:hint="eastAsia" w:ascii="宋体" w:hAnsi="宋体" w:cs="宋体"/>
          <w:color w:val="auto"/>
          <w:szCs w:val="21"/>
          <w:highlight w:val="none"/>
          <w:lang w:eastAsia="zh-CN"/>
        </w:rPr>
        <w:t>磋商采购文件</w:t>
      </w:r>
      <w:r>
        <w:rPr>
          <w:rFonts w:hint="eastAsia" w:ascii="宋体" w:hAnsi="宋体" w:cs="宋体"/>
          <w:color w:val="auto"/>
          <w:szCs w:val="21"/>
          <w:highlight w:val="none"/>
        </w:rPr>
        <w:t>标明的币种报价的；</w:t>
      </w:r>
    </w:p>
    <w:p w14:paraId="55DEBF72">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（14）竞标报价具有选择性，或者开标价格与响应文件承诺的优惠（折扣）价格不一致的；</w:t>
      </w:r>
    </w:p>
    <w:p w14:paraId="1814846E">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（15）商务、技术要求允许负偏离的条款数超过规定项数的</w:t>
      </w:r>
      <w:r>
        <w:rPr>
          <w:rFonts w:hint="eastAsia" w:ascii="宋体" w:hAnsi="宋体" w:cs="宋体"/>
          <w:color w:val="auto"/>
          <w:szCs w:val="21"/>
          <w:highlight w:val="none"/>
          <w:lang w:eastAsia="zh-CN"/>
        </w:rPr>
        <w:t>；</w:t>
      </w:r>
    </w:p>
    <w:p w14:paraId="7439394A">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ascii="宋体" w:hAnsi="宋体" w:cs="宋体"/>
          <w:bCs/>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16</w:t>
      </w:r>
      <w:r>
        <w:rPr>
          <w:rFonts w:hint="eastAsia" w:ascii="宋体" w:hAnsi="宋体" w:cs="宋体"/>
          <w:color w:val="auto"/>
          <w:szCs w:val="21"/>
          <w:highlight w:val="none"/>
          <w:lang w:eastAsia="zh-CN"/>
        </w:rPr>
        <w:t>）</w:t>
      </w:r>
      <w:r>
        <w:rPr>
          <w:rFonts w:hint="eastAsia" w:ascii="宋体" w:hAnsi="宋体" w:cs="宋体"/>
          <w:color w:val="auto"/>
          <w:szCs w:val="21"/>
          <w:highlight w:val="none"/>
        </w:rPr>
        <w:t>法律、法规和</w:t>
      </w:r>
      <w:r>
        <w:rPr>
          <w:rFonts w:hint="eastAsia" w:ascii="宋体" w:hAnsi="宋体" w:cs="宋体"/>
          <w:color w:val="auto"/>
          <w:szCs w:val="21"/>
          <w:highlight w:val="none"/>
          <w:lang w:eastAsia="zh-CN"/>
        </w:rPr>
        <w:t>磋商采购文件</w:t>
      </w:r>
      <w:r>
        <w:rPr>
          <w:rFonts w:hint="eastAsia" w:ascii="宋体" w:hAnsi="宋体" w:cs="宋体"/>
          <w:color w:val="auto"/>
          <w:szCs w:val="21"/>
          <w:highlight w:val="none"/>
        </w:rPr>
        <w:t>规定的其他无效情形。</w:t>
      </w:r>
    </w:p>
    <w:p w14:paraId="0D29DF44">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41F441C">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29F2637C">
      <w:pPr>
        <w:keepNext w:val="0"/>
        <w:keepLines w:val="0"/>
        <w:pageBreakBefore w:val="0"/>
        <w:kinsoku/>
        <w:wordWrap/>
        <w:overflowPunct/>
        <w:topLinePunct w:val="0"/>
        <w:autoSpaceDE/>
        <w:autoSpaceDN/>
        <w:bidi w:val="0"/>
        <w:adjustRightInd/>
        <w:snapToGrid w:val="0"/>
        <w:spacing w:line="440" w:lineRule="exact"/>
        <w:ind w:firstLine="422" w:firstLineChars="200"/>
        <w:jc w:val="left"/>
        <w:textAlignment w:val="auto"/>
        <w:rPr>
          <w:rFonts w:ascii="宋体" w:hAnsi="宋体" w:cs="宋体"/>
          <w:b/>
          <w:color w:val="auto"/>
          <w:highlight w:val="none"/>
        </w:rPr>
      </w:pPr>
      <w:r>
        <w:rPr>
          <w:rFonts w:hint="eastAsia" w:ascii="宋体" w:hAnsi="宋体" w:cs="宋体"/>
          <w:b/>
          <w:color w:val="auto"/>
          <w:highlight w:val="none"/>
        </w:rPr>
        <w:t>25.磋商程序</w:t>
      </w:r>
    </w:p>
    <w:p w14:paraId="273957BA">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25.1磋商小组按照“供应商须知前附表”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3F1A50FE">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25.2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4A0FFD0">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25.3对磋商文件作出的实质性变动是磋商文件的有效组成部分，由磋商小组及时以电子澄清函形式同时通知所有参加磋商的供应商。</w:t>
      </w:r>
    </w:p>
    <w:p w14:paraId="39CB881D">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25.4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5BF2634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25.5磋商中，磋商的任何一方不得透露与磋商有关的其他供应商的技术资料、价格和其他信息。</w:t>
      </w:r>
    </w:p>
    <w:p w14:paraId="199E4A13">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25.6磋商小组应对磋商过程和重要磋商内容进行记录，作为评标报告一部分，磋商小组在记录上签字确认。</w:t>
      </w:r>
    </w:p>
    <w:p w14:paraId="32769A4A">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25.7磋商过程中重新提交的响应文件，供应商可以在开启前补充、修改。</w:t>
      </w:r>
    </w:p>
    <w:p w14:paraId="4F415A0A">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25.8对磋商过程提交的响应文件进行有效性、完整性和响应程度审查，通过审查的合格供应商不足3家的，采购人或者采购代理机构应当重新开展采购活动。</w:t>
      </w:r>
    </w:p>
    <w:p w14:paraId="1375A886">
      <w:pPr>
        <w:keepNext w:val="0"/>
        <w:keepLines w:val="0"/>
        <w:pageBreakBefore w:val="0"/>
        <w:kinsoku/>
        <w:wordWrap/>
        <w:overflowPunct/>
        <w:topLinePunct w:val="0"/>
        <w:autoSpaceDE/>
        <w:autoSpaceDN/>
        <w:bidi w:val="0"/>
        <w:adjustRightInd/>
        <w:snapToGrid w:val="0"/>
        <w:spacing w:line="440" w:lineRule="exact"/>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26.最后报价</w:t>
      </w:r>
    </w:p>
    <w:p w14:paraId="2DFE088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26.1磋商文件能够详细列明采购标的的技术、服务要求的，磋商结束后，由磋商小组要求所有继续参加磋商的供应商在规定时间内密封提交最后报价，除本章第26.3条</w:t>
      </w:r>
      <w:r>
        <w:rPr>
          <w:rFonts w:hint="eastAsia" w:ascii="宋体" w:hAnsi="宋体" w:cs="宋体"/>
          <w:color w:val="auto"/>
          <w:highlight w:val="none"/>
        </w:rPr>
        <w:t>以及</w:t>
      </w:r>
      <w:r>
        <w:rPr>
          <w:rFonts w:hint="eastAsia" w:ascii="宋体" w:hAnsi="宋体" w:cs="宋体"/>
          <w:color w:val="auto"/>
          <w:szCs w:val="21"/>
          <w:highlight w:val="none"/>
        </w:rPr>
        <w:t>《财政部关于政府采购竞争性磋商采购方式管理暂行办法有关问题的补充通知》（财库〔2015〕124号）规定外，提交最后报价的供应商不得少于3家，否则必须重新采购。</w:t>
      </w:r>
      <w:r>
        <w:rPr>
          <w:rFonts w:hint="eastAsia" w:ascii="宋体" w:hAnsi="宋体" w:cs="宋体"/>
          <w:b/>
          <w:bCs/>
          <w:color w:val="auto"/>
          <w:kern w:val="0"/>
          <w:sz w:val="28"/>
          <w:szCs w:val="28"/>
          <w:highlight w:val="none"/>
        </w:rPr>
        <w:t>继续参加磋商的</w:t>
      </w:r>
      <w:r>
        <w:rPr>
          <w:rFonts w:hint="eastAsia" w:ascii="宋体" w:hAnsi="宋体" w:eastAsia="宋体" w:cs="宋体"/>
          <w:b/>
          <w:bCs/>
          <w:color w:val="auto"/>
          <w:kern w:val="0"/>
          <w:sz w:val="28"/>
          <w:szCs w:val="28"/>
          <w:highlight w:val="none"/>
        </w:rPr>
        <w:t>供应商作最后报价并附相应的最后报价明细表（报价明细表按第四章要求格式填写），最后报价和相应的最后报价明细表须由其法定代表人或授权代表签字或者加盖电子公章后递交</w:t>
      </w:r>
      <w:r>
        <w:rPr>
          <w:rFonts w:hint="eastAsia" w:ascii="宋体" w:hAnsi="宋体" w:eastAsia="宋体" w:cs="宋体"/>
          <w:b/>
          <w:bCs/>
          <w:color w:val="auto"/>
          <w:kern w:val="0"/>
          <w:szCs w:val="21"/>
          <w:highlight w:val="none"/>
        </w:rPr>
        <w:t>。</w:t>
      </w:r>
    </w:p>
    <w:p w14:paraId="271AEEE7">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26.2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5846C95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26.3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79CD39DA">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26.4已经提交响应文件的供应商，在提交最后报价之前，可以根据磋商情况退出磋商，退出磋商的供应商的响应文件按无效响应处理。</w:t>
      </w:r>
    </w:p>
    <w:p w14:paraId="7EFFE8A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26.5供应商未在规定时间内提交最后报价的，视同退出磋商。</w:t>
      </w:r>
    </w:p>
    <w:p w14:paraId="3F41CAE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26.6磋商小组收齐项目或某一</w:t>
      </w:r>
      <w:r>
        <w:rPr>
          <w:rFonts w:hint="eastAsia" w:ascii="宋体" w:hAnsi="宋体" w:cs="宋体"/>
          <w:color w:val="auto"/>
          <w:szCs w:val="21"/>
          <w:highlight w:val="none"/>
          <w:lang w:eastAsia="zh-CN"/>
        </w:rPr>
        <w:t>标项</w:t>
      </w:r>
      <w:r>
        <w:rPr>
          <w:rFonts w:hint="eastAsia" w:ascii="宋体" w:hAnsi="宋体" w:cs="宋体"/>
          <w:color w:val="auto"/>
          <w:szCs w:val="21"/>
          <w:highlight w:val="none"/>
        </w:rPr>
        <w:t>最后报价后统一开启，磋商小组对最后报价进行有效性、完整性和响应程度的审查。</w:t>
      </w:r>
    </w:p>
    <w:p w14:paraId="2279D87A">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26.7最终响应文件的报价出现前后不一致的，按照本章第29.1条的规定修正。</w:t>
      </w:r>
    </w:p>
    <w:p w14:paraId="533CBEE1">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26.8修正后的最终报价出现下列情形的，按无效响应处理：</w:t>
      </w:r>
    </w:p>
    <w:p w14:paraId="28282A41">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2CF0E6C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w:t>
      </w:r>
      <w:r>
        <w:rPr>
          <w:rFonts w:hint="eastAsia" w:ascii="宋体" w:hAnsi="宋体" w:cs="宋体"/>
          <w:color w:val="auto"/>
          <w:szCs w:val="21"/>
          <w:highlight w:val="none"/>
          <w:lang w:eastAsia="zh-CN"/>
        </w:rPr>
        <w:t>标项</w:t>
      </w:r>
      <w:r>
        <w:rPr>
          <w:rFonts w:hint="eastAsia" w:ascii="宋体" w:hAnsi="宋体" w:cs="宋体"/>
          <w:color w:val="auto"/>
          <w:szCs w:val="21"/>
          <w:highlight w:val="none"/>
        </w:rPr>
        <w:t>规定的采购预算金额或者最高限价的（如本项目公布了最高限价）；</w:t>
      </w:r>
    </w:p>
    <w:p w14:paraId="0DE36D54">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14:paraId="228785C6">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26.9经供应商确认修正后的最后报价作为评审及签订合同的依据。</w:t>
      </w:r>
    </w:p>
    <w:p w14:paraId="5EA91A2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26</w:t>
      </w:r>
      <w:r>
        <w:rPr>
          <w:rFonts w:hint="eastAsia" w:ascii="宋体" w:hAnsi="宋体" w:cs="宋体"/>
          <w:color w:val="auto"/>
          <w:szCs w:val="21"/>
          <w:highlight w:val="none"/>
        </w:rPr>
        <w:t>.10异常低价响应审查</w:t>
      </w:r>
    </w:p>
    <w:p w14:paraId="4504AEA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（1）磋商小组在评审中发现下列情形之一的，应当启动异常低价响应审查程序：</w:t>
      </w:r>
    </w:p>
    <w:p w14:paraId="7131959E">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①响应报价低于全部通过符合性审查供应商响应报价平均值 65% 的，即响应报价＜全部通过符合性审查供应商响应报价平均值× 65% ；（范围为50%-65%）</w:t>
      </w:r>
    </w:p>
    <w:p w14:paraId="075F371A">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②响应报价低于通过符合性审查的次低报价供应商响应报价 65% 的，即响应报价＜通过符合性审查的次低报价供应商响应报价× 65% ；（范围为50%-65%）</w:t>
      </w:r>
    </w:p>
    <w:p w14:paraId="442B1ED4">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③响应报价低于采购项目最高限价 65% 的，即响应报价＜采购项目最高限价× 65% ；（范围为45%-65%）</w:t>
      </w:r>
    </w:p>
    <w:p w14:paraId="1EB4DF64">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④磋商小组基于专业判断，认为供应商报价过低，有可能影响产品质量或者不能诚信履约的其他情形。</w:t>
      </w:r>
    </w:p>
    <w:p w14:paraId="5523752D">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5116D9C6">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磋商小组依据专业经验，参考同类项目中标（成交）价格、类似产品市场价格水平、行业人工费用标准、国家有关部门指导行业协会发布的行业平均成本等情况，对报价合理性进行判断。相关供应商不能提供书面说明、证明材料，或者提供的书面说明、证明材料不能证明其报价合理性的，磋商小组应当将其作为无效响应处理。</w:t>
      </w:r>
    </w:p>
    <w:p w14:paraId="4975E95E">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62A46E26">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异常低价响应审查的启动原因、审查意见和审查结果应当在评审报告中记录，并随供应商提供的相关书面说明及证明材料，以及磋商小组有关互联网浏览、查询历史一并归档。</w:t>
      </w:r>
    </w:p>
    <w:p w14:paraId="12F80A07">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26.1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供应商出现最后报价按无效响应处理或者响应文件按无效处理时，磋商小组应当告知有关供应商。</w:t>
      </w:r>
    </w:p>
    <w:p w14:paraId="10F1ADEE">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26.1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最后报价结束后，磋商小组不得再与供应商进行任何形式的商谈。</w:t>
      </w:r>
    </w:p>
    <w:p w14:paraId="76E10689">
      <w:pPr>
        <w:keepNext w:val="0"/>
        <w:keepLines w:val="0"/>
        <w:pageBreakBefore w:val="0"/>
        <w:kinsoku/>
        <w:wordWrap/>
        <w:overflowPunct/>
        <w:topLinePunct w:val="0"/>
        <w:autoSpaceDE/>
        <w:autoSpaceDN/>
        <w:bidi w:val="0"/>
        <w:adjustRightInd/>
        <w:snapToGrid w:val="0"/>
        <w:spacing w:line="440" w:lineRule="exact"/>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27.比较与评价</w:t>
      </w:r>
    </w:p>
    <w:p w14:paraId="7A6F83EC">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27.1评审方法：综合评分法。</w:t>
      </w:r>
    </w:p>
    <w:p w14:paraId="2973F71A">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27.2经磋商确定最终采购需求和提交最后报价的供应商后，由磋商小组采用综合评分法对提交最后报价的供应商的响应文件和最后报价进行综合评分。</w:t>
      </w:r>
    </w:p>
    <w:p w14:paraId="1208C012">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27.3评审时，磋商小组各成员应当独立对每个有效响应的文件进行评价、打分，然后汇总每个供应商每项评分因素的得分。</w:t>
      </w:r>
    </w:p>
    <w:p w14:paraId="0869948A">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33CD4E5A">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6ED44E13">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27.4评审价为供应商的最后报价进行政策性扣除后的价格，评审价只是作为评审时使用。最终成交供应商的成交金额等于最后报价（如有修正，以确认修正后的最后报价为准）。</w:t>
      </w:r>
    </w:p>
    <w:p w14:paraId="50739455">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27.5由磋商小组根据综合评分情况，按照评审得分由高到低顺序推荐3名以上成交候选供应商，并编写评审报告。符合本章第26.3条情形的，可以推荐2家成交候选供应商。评审得分相同的，按照最后报价由低到高的顺序推荐。评审得分且最后报价相同的，按照技术指标优劣顺序推荐。</w:t>
      </w:r>
    </w:p>
    <w:p w14:paraId="1B89187D">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27.6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718BA46">
      <w:pPr>
        <w:keepNext w:val="0"/>
        <w:keepLines w:val="0"/>
        <w:pageBreakBefore w:val="0"/>
        <w:kinsoku/>
        <w:wordWrap/>
        <w:overflowPunct/>
        <w:topLinePunct w:val="0"/>
        <w:autoSpaceDE/>
        <w:autoSpaceDN/>
        <w:bidi w:val="0"/>
        <w:adjustRightInd/>
        <w:snapToGrid w:val="0"/>
        <w:spacing w:line="440" w:lineRule="exact"/>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28.澄清问题的形式</w:t>
      </w:r>
    </w:p>
    <w:p w14:paraId="2B312D2D">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28.1对于响应文件中含义不明确、同类问题表述不一致或者有明显文字和计算错误的内容，评标委员会应在</w:t>
      </w:r>
      <w:r>
        <w:rPr>
          <w:rFonts w:hint="eastAsia" w:ascii="宋体" w:hAnsi="宋体" w:cs="宋体"/>
          <w:color w:val="auto"/>
          <w:highlight w:val="none"/>
        </w:rPr>
        <w:t>广西政府采购云平台</w:t>
      </w:r>
      <w:r>
        <w:rPr>
          <w:rFonts w:hint="eastAsia" w:ascii="宋体" w:hAnsi="宋体" w:cs="宋体"/>
          <w:color w:val="auto"/>
          <w:szCs w:val="21"/>
          <w:highlight w:val="none"/>
        </w:rPr>
        <w:t>发布电子澄清函，要求供应商在规定时间内作出必要的澄清、说明或者补正。供应商在</w:t>
      </w:r>
      <w:r>
        <w:rPr>
          <w:rFonts w:hint="eastAsia" w:ascii="宋体" w:hAnsi="宋体" w:cs="宋体"/>
          <w:color w:val="auto"/>
          <w:highlight w:val="none"/>
        </w:rPr>
        <w:t>广西政府采购云平台</w:t>
      </w:r>
      <w:r>
        <w:rPr>
          <w:rFonts w:hint="eastAsia" w:ascii="宋体" w:hAnsi="宋体" w:cs="宋体"/>
          <w:color w:val="auto"/>
          <w:szCs w:val="21"/>
          <w:highlight w:val="none"/>
        </w:rPr>
        <w:t>接收到电子澄清函后根据澄清函内容上传PDF格式回函，电子澄清答复函使用CA证书加盖单位公章后在线上传至评标委员会。供应商的澄清、说明或者补正不得超出响应文件的范围或者改变响应文件的实质性内容。供应商未在规定时间内进行澄清、说明或者补正的，按无效竞标处理。</w:t>
      </w:r>
    </w:p>
    <w:p w14:paraId="6A2CC7F0">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28.2异常情况处理：如遇无法正常使用线上发送澄清函的情况，将启动书面形式办理。启动书面形式办理的情况下，评标委员会以书面形式要求供应商在规定时间内作出必要的澄清、说明或者补正。供应商的澄清、说明或者补正必须采用书面形式，并加盖公章，或者由法定代表人或者其授权的代表签字。</w:t>
      </w:r>
    </w:p>
    <w:p w14:paraId="7CBC8DE7">
      <w:pPr>
        <w:keepNext w:val="0"/>
        <w:keepLines w:val="0"/>
        <w:pageBreakBefore w:val="0"/>
        <w:widowControl/>
        <w:tabs>
          <w:tab w:val="left" w:pos="540"/>
        </w:tabs>
        <w:kinsoku/>
        <w:wordWrap/>
        <w:overflowPunct/>
        <w:topLinePunct w:val="0"/>
        <w:autoSpaceDE/>
        <w:autoSpaceDN/>
        <w:bidi w:val="0"/>
        <w:adjustRightInd/>
        <w:spacing w:line="440" w:lineRule="exact"/>
        <w:ind w:firstLine="422" w:firstLineChars="200"/>
        <w:jc w:val="left"/>
        <w:textAlignment w:val="auto"/>
        <w:rPr>
          <w:rFonts w:ascii="宋体" w:hAnsi="宋体" w:cs="宋体"/>
          <w:b/>
          <w:color w:val="auto"/>
          <w:szCs w:val="21"/>
          <w:highlight w:val="none"/>
        </w:rPr>
      </w:pPr>
      <w:r>
        <w:rPr>
          <w:rFonts w:hint="eastAsia" w:ascii="宋体" w:hAnsi="宋体" w:cs="宋体"/>
          <w:b/>
          <w:color w:val="auto"/>
          <w:szCs w:val="21"/>
          <w:highlight w:val="none"/>
        </w:rPr>
        <w:t>29.错误修正</w:t>
      </w:r>
    </w:p>
    <w:p w14:paraId="0358F46D">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29.1竞争性磋商响应文件如果出现计算或表达上的错误，修正错误的原则如下：</w:t>
      </w:r>
    </w:p>
    <w:p w14:paraId="152D5ABB">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（1）响应文件中开标一览表（报价表）内容与响应文件中相应内容不一致的，以开标一览表（报价表）为准；</w:t>
      </w:r>
    </w:p>
    <w:p w14:paraId="5C1B70FC">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17E72AC3">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（3）单价金额小数点或者百分比有明显错位的，以开标一览表的总价为准，并修改单价；</w:t>
      </w:r>
    </w:p>
    <w:p w14:paraId="35993846">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59F3C2DA">
      <w:pPr>
        <w:keepNext w:val="0"/>
        <w:keepLines w:val="0"/>
        <w:pageBreakBefore w:val="0"/>
        <w:widowControl/>
        <w:tabs>
          <w:tab w:val="left" w:pos="540"/>
        </w:tabs>
        <w:kinsoku/>
        <w:wordWrap/>
        <w:overflowPunct/>
        <w:topLinePunct w:val="0"/>
        <w:autoSpaceDE/>
        <w:autoSpaceDN/>
        <w:bidi w:val="0"/>
        <w:adjustRightInd/>
        <w:spacing w:line="440" w:lineRule="exact"/>
        <w:ind w:firstLine="422" w:firstLineChars="200"/>
        <w:jc w:val="left"/>
        <w:textAlignment w:val="auto"/>
        <w:rPr>
          <w:rFonts w:ascii="宋体" w:hAnsi="宋体" w:cs="宋体"/>
          <w:b/>
          <w:color w:val="auto"/>
          <w:szCs w:val="21"/>
          <w:highlight w:val="none"/>
        </w:rPr>
      </w:pPr>
      <w:r>
        <w:rPr>
          <w:rFonts w:hint="eastAsia" w:ascii="宋体" w:hAnsi="宋体" w:cs="宋体"/>
          <w:b/>
          <w:color w:val="auto"/>
          <w:highlight w:val="none"/>
        </w:rPr>
        <w:t>同时出现两种以上不一致的，按照前款规定的顺序修正。修正后的报价经供应商确认并加盖公章或者由法定代表人或其授权的代表签字后产生约束力，供应商不确认的，其竞标无效。</w:t>
      </w:r>
    </w:p>
    <w:p w14:paraId="39547D92">
      <w:pPr>
        <w:keepNext w:val="0"/>
        <w:keepLines w:val="0"/>
        <w:pageBreakBefore w:val="0"/>
        <w:widowControl/>
        <w:tabs>
          <w:tab w:val="left" w:pos="540"/>
        </w:tabs>
        <w:kinsoku/>
        <w:wordWrap/>
        <w:overflowPunct/>
        <w:topLinePunct w:val="0"/>
        <w:autoSpaceDE/>
        <w:autoSpaceDN/>
        <w:bidi w:val="0"/>
        <w:adjustRightInd/>
        <w:spacing w:line="440" w:lineRule="exact"/>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29.2经供应商确认修正后的首次及最后报价若超过采购预算金额，供应商的响应文件作无效处理。</w:t>
      </w:r>
    </w:p>
    <w:p w14:paraId="0347D7C6">
      <w:pPr>
        <w:keepNext w:val="0"/>
        <w:keepLines w:val="0"/>
        <w:pageBreakBefore w:val="0"/>
        <w:widowControl/>
        <w:tabs>
          <w:tab w:val="left" w:pos="540"/>
        </w:tabs>
        <w:kinsoku/>
        <w:wordWrap/>
        <w:overflowPunct/>
        <w:topLinePunct w:val="0"/>
        <w:autoSpaceDE/>
        <w:autoSpaceDN/>
        <w:bidi w:val="0"/>
        <w:adjustRightInd/>
        <w:spacing w:line="440" w:lineRule="exact"/>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29.3经供应商确认修正后的最后报价作为评审及签订合同的依据。</w:t>
      </w:r>
    </w:p>
    <w:p w14:paraId="3B830BBD">
      <w:pPr>
        <w:keepNext w:val="0"/>
        <w:keepLines w:val="0"/>
        <w:pageBreakBefore w:val="0"/>
        <w:widowControl/>
        <w:kinsoku/>
        <w:wordWrap/>
        <w:overflowPunct/>
        <w:topLinePunct w:val="0"/>
        <w:autoSpaceDE/>
        <w:autoSpaceDN/>
        <w:bidi w:val="0"/>
        <w:adjustRightInd/>
        <w:spacing w:line="440" w:lineRule="exact"/>
        <w:ind w:firstLine="422" w:firstLineChars="200"/>
        <w:jc w:val="left"/>
        <w:textAlignment w:val="auto"/>
        <w:rPr>
          <w:rFonts w:ascii="宋体" w:hAnsi="宋体" w:cs="宋体"/>
          <w:b/>
          <w:color w:val="auto"/>
          <w:szCs w:val="21"/>
          <w:highlight w:val="none"/>
        </w:rPr>
      </w:pPr>
      <w:r>
        <w:rPr>
          <w:rFonts w:hint="eastAsia" w:ascii="宋体" w:hAnsi="宋体" w:cs="宋体"/>
          <w:b/>
          <w:color w:val="auto"/>
          <w:szCs w:val="21"/>
          <w:highlight w:val="none"/>
        </w:rPr>
        <w:t>30.电子交易活动的中止</w:t>
      </w:r>
    </w:p>
    <w:p w14:paraId="31B21C84">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30.1采购过程中出现以下情形，导致电子交易平台无法正常运行，或者无法保证电子交易的公平、公正和安全时，采购机构可中止电子交易活动：</w:t>
      </w:r>
    </w:p>
    <w:p w14:paraId="4E67C7E0">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（1）电子交易平台发生故障而无法登录访问的；</w:t>
      </w:r>
    </w:p>
    <w:p w14:paraId="27BBBC67">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（2）电子交易平台应用或数据库出现错误，不能进行正常操作的；</w:t>
      </w:r>
    </w:p>
    <w:p w14:paraId="2E5E9849">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（3）电子交易平台发现严重安全漏洞，有潜在泄密危险的；</w:t>
      </w:r>
    </w:p>
    <w:p w14:paraId="0550A414">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（4）病毒发作导致不能进行正常操作的；</w:t>
      </w:r>
    </w:p>
    <w:p w14:paraId="0B00E82A">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（4）其他无法保证电子交易的公平、公正和安全的情况。</w:t>
      </w:r>
    </w:p>
    <w:p w14:paraId="4A909445">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30.2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38DA99E">
      <w:pPr>
        <w:keepNext w:val="0"/>
        <w:keepLines w:val="0"/>
        <w:pageBreakBefore w:val="0"/>
        <w:widowControl/>
        <w:tabs>
          <w:tab w:val="left" w:pos="540"/>
        </w:tabs>
        <w:kinsoku/>
        <w:wordWrap/>
        <w:overflowPunct/>
        <w:topLinePunct w:val="0"/>
        <w:autoSpaceDE/>
        <w:autoSpaceDN/>
        <w:bidi w:val="0"/>
        <w:adjustRightInd/>
        <w:spacing w:line="440" w:lineRule="exact"/>
        <w:ind w:firstLine="422" w:firstLineChars="200"/>
        <w:jc w:val="left"/>
        <w:textAlignment w:val="auto"/>
        <w:rPr>
          <w:rFonts w:ascii="宋体" w:hAnsi="宋体" w:cs="宋体"/>
          <w:b/>
          <w:color w:val="auto"/>
          <w:szCs w:val="21"/>
          <w:highlight w:val="none"/>
        </w:rPr>
      </w:pPr>
      <w:r>
        <w:rPr>
          <w:rFonts w:hint="eastAsia" w:ascii="宋体" w:hAnsi="宋体" w:cs="宋体"/>
          <w:b/>
          <w:color w:val="auto"/>
          <w:szCs w:val="21"/>
          <w:highlight w:val="none"/>
        </w:rPr>
        <w:t>31.评委表决</w:t>
      </w:r>
    </w:p>
    <w:p w14:paraId="7E1D36D3">
      <w:pPr>
        <w:keepNext w:val="0"/>
        <w:keepLines w:val="0"/>
        <w:pageBreakBefore w:val="0"/>
        <w:widowControl/>
        <w:tabs>
          <w:tab w:val="left" w:pos="540"/>
        </w:tabs>
        <w:kinsoku/>
        <w:wordWrap/>
        <w:overflowPunct/>
        <w:topLinePunct w:val="0"/>
        <w:autoSpaceDE/>
        <w:autoSpaceDN/>
        <w:bidi w:val="0"/>
        <w:adjustRightIn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31.1在评标过程中出现法律法规和竞争性磋商文件均没有明确规定的情形时，由磋商小组现场协商解决，协商不一致的，由全体评委投票表决，以得票率二分之一以上专家的意见为准。</w:t>
      </w:r>
    </w:p>
    <w:p w14:paraId="4CA0DE0F">
      <w:pPr>
        <w:keepNext w:val="0"/>
        <w:keepLines w:val="0"/>
        <w:pageBreakBefore w:val="0"/>
        <w:widowControl/>
        <w:tabs>
          <w:tab w:val="left" w:pos="540"/>
        </w:tabs>
        <w:kinsoku/>
        <w:wordWrap/>
        <w:overflowPunct/>
        <w:topLinePunct w:val="0"/>
        <w:autoSpaceDE/>
        <w:autoSpaceDN/>
        <w:bidi w:val="0"/>
        <w:adjustRightInd/>
        <w:spacing w:line="440" w:lineRule="exact"/>
        <w:ind w:firstLine="422" w:firstLineChars="200"/>
        <w:jc w:val="left"/>
        <w:textAlignment w:val="auto"/>
        <w:rPr>
          <w:rFonts w:ascii="宋体" w:hAnsi="宋体" w:cs="宋体"/>
          <w:b/>
          <w:color w:val="auto"/>
          <w:szCs w:val="21"/>
          <w:highlight w:val="none"/>
        </w:rPr>
      </w:pPr>
      <w:r>
        <w:rPr>
          <w:rFonts w:hint="eastAsia" w:ascii="宋体" w:hAnsi="宋体" w:cs="宋体"/>
          <w:b/>
          <w:color w:val="auto"/>
          <w:szCs w:val="21"/>
          <w:highlight w:val="none"/>
        </w:rPr>
        <w:t>32.评审过程的监控</w:t>
      </w:r>
    </w:p>
    <w:p w14:paraId="634DE0ED">
      <w:pPr>
        <w:keepNext w:val="0"/>
        <w:keepLines w:val="0"/>
        <w:pageBreakBefore w:val="0"/>
        <w:widowControl/>
        <w:tabs>
          <w:tab w:val="left" w:pos="540"/>
        </w:tabs>
        <w:kinsoku/>
        <w:wordWrap/>
        <w:overflowPunct/>
        <w:topLinePunct w:val="0"/>
        <w:autoSpaceDE/>
        <w:autoSpaceDN/>
        <w:bidi w:val="0"/>
        <w:adjustRightIn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highlight w:val="none"/>
        </w:rPr>
        <w:t>32.1本项目电子评标过程实行网上留痕、全程录音、录像监控，，供应商在评审过程中所进行的试图影响评审结果的不公正活动，可能导致其竞争性磋商被拒绝。</w:t>
      </w:r>
    </w:p>
    <w:p w14:paraId="6D2998D5">
      <w:pPr>
        <w:keepNext w:val="0"/>
        <w:keepLines w:val="0"/>
        <w:pageBreakBefore w:val="0"/>
        <w:kinsoku/>
        <w:wordWrap/>
        <w:overflowPunct/>
        <w:topLinePunct w:val="0"/>
        <w:autoSpaceDE/>
        <w:autoSpaceDN/>
        <w:bidi w:val="0"/>
        <w:adjustRightInd/>
        <w:spacing w:line="440" w:lineRule="exact"/>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五、成交及合同</w:t>
      </w:r>
    </w:p>
    <w:p w14:paraId="203D5478">
      <w:pPr>
        <w:keepNext w:val="0"/>
        <w:keepLines w:val="0"/>
        <w:pageBreakBefore w:val="0"/>
        <w:kinsoku/>
        <w:wordWrap/>
        <w:overflowPunct/>
        <w:topLinePunct w:val="0"/>
        <w:autoSpaceDE/>
        <w:autoSpaceDN/>
        <w:bidi w:val="0"/>
        <w:adjustRightInd/>
        <w:spacing w:line="440" w:lineRule="exact"/>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33.确定成交供应商</w:t>
      </w:r>
    </w:p>
    <w:p w14:paraId="5A1DA090">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33.1</w:t>
      </w:r>
      <w:r>
        <w:rPr>
          <w:rFonts w:hint="eastAsia" w:ascii="宋体" w:hAnsi="宋体" w:cs="宋体"/>
          <w:color w:val="auto"/>
          <w:kern w:val="0"/>
          <w:szCs w:val="21"/>
          <w:highlight w:val="none"/>
        </w:rPr>
        <w:t>根据以下原则确定成交供应商：</w:t>
      </w:r>
      <w:r>
        <w:rPr>
          <w:rFonts w:hint="eastAsia" w:ascii="宋体" w:hAnsi="宋体" w:cs="宋体"/>
          <w:color w:val="auto"/>
          <w:kern w:val="0"/>
          <w:highlight w:val="none"/>
        </w:rPr>
        <w:t>响应文件满足磋商文件全部实质性要求且按评审因素的量化指标评审得分最高的供应商为成交供应商。</w:t>
      </w:r>
    </w:p>
    <w:p w14:paraId="6B1B5D46">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33.2采购代理机构将在评标结束后两个工作日内将评标报告送采购人，采购人在五个工作日内按照评标报告中推荐的成交候选人顺序确定成交人。采购人也可以事先授权磋商小组直接确定成交人。</w:t>
      </w:r>
    </w:p>
    <w:p w14:paraId="239C5149">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33.3成交供应商确定后二个工作日内，</w:t>
      </w:r>
      <w:r>
        <w:rPr>
          <w:rFonts w:hint="eastAsia" w:ascii="宋体" w:hAnsi="宋体" w:cs="宋体"/>
          <w:color w:val="auto"/>
          <w:highlight w:val="none"/>
        </w:rPr>
        <w:t>采购代理机构或采购人</w:t>
      </w:r>
      <w:r>
        <w:rPr>
          <w:rFonts w:hint="eastAsia" w:ascii="宋体" w:hAnsi="宋体" w:cs="宋体"/>
          <w:color w:val="auto"/>
          <w:kern w:val="0"/>
          <w:highlight w:val="none"/>
        </w:rPr>
        <w:t>应当对成交人信用进行核实</w:t>
      </w:r>
      <w:r>
        <w:rPr>
          <w:rFonts w:hint="eastAsia" w:ascii="宋体" w:hAnsi="宋体" w:cs="宋体"/>
          <w:color w:val="auto"/>
          <w:highlight w:val="none"/>
        </w:rPr>
        <w:t>，如其未被列入失信被执行人、</w:t>
      </w:r>
      <w:r>
        <w:rPr>
          <w:rFonts w:hint="eastAsia" w:ascii="宋体" w:hAnsi="宋体" w:cs="宋体"/>
          <w:color w:val="auto"/>
          <w:highlight w:val="none"/>
          <w:lang w:eastAsia="zh-CN"/>
        </w:rPr>
        <w:t>重大税收违法失信主体</w:t>
      </w:r>
      <w:r>
        <w:rPr>
          <w:rFonts w:hint="eastAsia" w:ascii="宋体" w:hAnsi="宋体" w:cs="宋体"/>
          <w:color w:val="auto"/>
          <w:highlight w:val="none"/>
        </w:rPr>
        <w:t>、政府采购严重违法失信行为记录名单，则采购代理机构在公告发布媒体中标公告；如其被列入失信被执行人、</w:t>
      </w:r>
      <w:r>
        <w:rPr>
          <w:rFonts w:hint="eastAsia" w:ascii="宋体" w:hAnsi="宋体" w:cs="宋体"/>
          <w:color w:val="auto"/>
          <w:highlight w:val="none"/>
          <w:lang w:eastAsia="zh-CN"/>
        </w:rPr>
        <w:t>重大税收违法失信主体</w:t>
      </w:r>
      <w:r>
        <w:rPr>
          <w:rFonts w:hint="eastAsia" w:ascii="宋体" w:hAnsi="宋体" w:cs="宋体"/>
          <w:color w:val="auto"/>
          <w:highlight w:val="none"/>
        </w:rPr>
        <w:t>、政府采购严重违法失信行为记录名单，则取消其中标资格，</w:t>
      </w:r>
      <w:r>
        <w:rPr>
          <w:rFonts w:hint="eastAsia" w:ascii="宋体" w:hAnsi="宋体" w:cs="宋体"/>
          <w:color w:val="auto"/>
          <w:spacing w:val="-3"/>
          <w:highlight w:val="none"/>
        </w:rPr>
        <w:t>并确定排名第二的</w:t>
      </w:r>
      <w:r>
        <w:rPr>
          <w:rFonts w:hint="eastAsia" w:ascii="宋体" w:hAnsi="宋体" w:cs="宋体"/>
          <w:color w:val="auto"/>
          <w:spacing w:val="-3"/>
          <w:highlight w:val="none"/>
          <w:lang w:eastAsia="zh-CN"/>
        </w:rPr>
        <w:t>成交候选供应商</w:t>
      </w:r>
      <w:r>
        <w:rPr>
          <w:rFonts w:hint="eastAsia" w:ascii="宋体" w:hAnsi="宋体" w:cs="宋体"/>
          <w:color w:val="auto"/>
          <w:spacing w:val="-3"/>
          <w:highlight w:val="none"/>
        </w:rPr>
        <w:t>为</w:t>
      </w:r>
      <w:r>
        <w:rPr>
          <w:rFonts w:hint="eastAsia" w:ascii="宋体" w:hAnsi="宋体" w:cs="宋体"/>
          <w:color w:val="auto"/>
          <w:spacing w:val="-3"/>
          <w:highlight w:val="none"/>
          <w:lang w:eastAsia="zh-CN"/>
        </w:rPr>
        <w:t>成交供应商</w:t>
      </w:r>
      <w:r>
        <w:rPr>
          <w:rFonts w:hint="eastAsia" w:ascii="宋体" w:hAnsi="宋体" w:cs="宋体"/>
          <w:color w:val="auto"/>
          <w:spacing w:val="-3"/>
          <w:highlight w:val="none"/>
        </w:rPr>
        <w:t>。排名第二的</w:t>
      </w:r>
      <w:r>
        <w:rPr>
          <w:rFonts w:hint="eastAsia" w:ascii="宋体" w:hAnsi="宋体" w:cs="宋体"/>
          <w:color w:val="auto"/>
          <w:spacing w:val="-3"/>
          <w:highlight w:val="none"/>
          <w:lang w:eastAsia="zh-CN"/>
        </w:rPr>
        <w:t>成交候选供应商</w:t>
      </w:r>
      <w:r>
        <w:rPr>
          <w:rFonts w:hint="eastAsia" w:ascii="宋体" w:hAnsi="宋体" w:cs="宋体"/>
          <w:color w:val="auto"/>
          <w:spacing w:val="-3"/>
          <w:highlight w:val="none"/>
        </w:rPr>
        <w:t>因前款规定的同样原因被取消中标资格的，采购人可以确定排名第三的</w:t>
      </w:r>
      <w:r>
        <w:rPr>
          <w:rFonts w:hint="eastAsia" w:ascii="宋体" w:hAnsi="宋体" w:cs="宋体"/>
          <w:color w:val="auto"/>
          <w:spacing w:val="-3"/>
          <w:highlight w:val="none"/>
          <w:lang w:eastAsia="zh-CN"/>
        </w:rPr>
        <w:t>成交候选供应商</w:t>
      </w:r>
      <w:r>
        <w:rPr>
          <w:rFonts w:hint="eastAsia" w:ascii="宋体" w:hAnsi="宋体" w:cs="宋体"/>
          <w:color w:val="auto"/>
          <w:spacing w:val="-3"/>
          <w:highlight w:val="none"/>
        </w:rPr>
        <w:t>为</w:t>
      </w:r>
      <w:r>
        <w:rPr>
          <w:rFonts w:hint="eastAsia" w:ascii="宋体" w:hAnsi="宋体" w:cs="宋体"/>
          <w:color w:val="auto"/>
          <w:spacing w:val="-3"/>
          <w:highlight w:val="none"/>
          <w:lang w:eastAsia="zh-CN"/>
        </w:rPr>
        <w:t>成交供应商</w:t>
      </w:r>
      <w:r>
        <w:rPr>
          <w:rFonts w:hint="eastAsia" w:ascii="宋体" w:hAnsi="宋体" w:cs="宋体"/>
          <w:color w:val="auto"/>
          <w:spacing w:val="-3"/>
          <w:highlight w:val="none"/>
        </w:rPr>
        <w:t>。以上信息查询记录</w:t>
      </w:r>
      <w:r>
        <w:rPr>
          <w:rFonts w:hint="eastAsia" w:ascii="宋体" w:hAnsi="宋体" w:cs="宋体"/>
          <w:color w:val="auto"/>
          <w:highlight w:val="none"/>
        </w:rPr>
        <w:t>及相关证据与采购文件一并保存。</w:t>
      </w:r>
    </w:p>
    <w:p w14:paraId="61A76BA9">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33.4</w:t>
      </w:r>
      <w:r>
        <w:rPr>
          <w:rFonts w:hint="eastAsia" w:ascii="宋体" w:hAnsi="宋体" w:cs="宋体"/>
          <w:color w:val="auto"/>
          <w:highlight w:val="none"/>
        </w:rPr>
        <w:t>在发布成交公告的同时，采购代理机构向成交供应商</w:t>
      </w:r>
      <w:r>
        <w:rPr>
          <w:rFonts w:hint="eastAsia" w:ascii="宋体" w:hAnsi="宋体" w:cs="宋体"/>
          <w:color w:val="auto"/>
          <w:kern w:val="0"/>
          <w:highlight w:val="none"/>
        </w:rPr>
        <w:t>通过</w:t>
      </w:r>
      <w:r>
        <w:rPr>
          <w:rFonts w:hint="eastAsia" w:ascii="宋体" w:hAnsi="宋体" w:cs="宋体"/>
          <w:color w:val="auto"/>
          <w:highlight w:val="none"/>
        </w:rPr>
        <w:t>广西政府采购云平台</w:t>
      </w:r>
      <w:r>
        <w:rPr>
          <w:rFonts w:hint="eastAsia" w:ascii="宋体" w:hAnsi="宋体" w:cs="宋体"/>
          <w:color w:val="auto"/>
          <w:kern w:val="0"/>
          <w:highlight w:val="none"/>
        </w:rPr>
        <w:t>发出电子</w:t>
      </w:r>
      <w:r>
        <w:rPr>
          <w:rFonts w:hint="eastAsia" w:ascii="宋体" w:hAnsi="宋体" w:cs="宋体"/>
          <w:color w:val="auto"/>
          <w:highlight w:val="none"/>
        </w:rPr>
        <w:t>成交通知书。</w:t>
      </w:r>
    </w:p>
    <w:p w14:paraId="4C4F62F1">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33.5供应商认为竞争性磋商采购文件、招标过程和成交结果使自己的权益受到损害的，可以在知道或者应知其权益受到损害之日起七个工作日内，以书面形式向招标采购单位提出质疑，并及时索要书面回执。</w:t>
      </w:r>
    </w:p>
    <w:p w14:paraId="31D08D68">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33.6采购代理机构应当按照有关规定就采购人委托授权范围内的事项在收到供应商的书面质疑后七个工作日内做出答复，但答复的内容不得涉及商业秘密。</w:t>
      </w:r>
    </w:p>
    <w:p w14:paraId="18ABCDD7">
      <w:pPr>
        <w:keepNext w:val="0"/>
        <w:keepLines w:val="0"/>
        <w:pageBreakBefore w:val="0"/>
        <w:kinsoku/>
        <w:wordWrap/>
        <w:overflowPunct/>
        <w:topLinePunct w:val="0"/>
        <w:autoSpaceDE/>
        <w:autoSpaceDN/>
        <w:bidi w:val="0"/>
        <w:adjustRightInd/>
        <w:spacing w:line="440" w:lineRule="exact"/>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34.签订合同</w:t>
      </w:r>
    </w:p>
    <w:p w14:paraId="344F1983">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34.1成交供应商应在成交通知书发出之日起二十五日内，按磋商文件确定的合同文本及采购标的、规格型号、采购金额、采购数量、技术和服务要求等事项与采购人签订政府采购合同。如成交供应商为联合体的，由联合体成员各方法定代表人或其授权代表与采购人代表签订合同。</w:t>
      </w:r>
      <w:r>
        <w:rPr>
          <w:rFonts w:hint="eastAsia" w:ascii="宋体" w:hAnsi="宋体" w:cs="宋体"/>
          <w:color w:val="auto"/>
          <w:kern w:val="0"/>
          <w:highlight w:val="none"/>
        </w:rPr>
        <w:t>电子采购合同需要供应商通过有效CA证书进行电子签名与签章。</w:t>
      </w:r>
    </w:p>
    <w:p w14:paraId="4A17BBF9">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34.2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000D62FE">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34.3如成交人不按成交通知书的规定签订合同，则按成交人违约处理，采购代理机构将没收成交人</w:t>
      </w:r>
      <w:r>
        <w:rPr>
          <w:rFonts w:hint="eastAsia" w:ascii="宋体" w:hAnsi="宋体" w:cs="宋体"/>
          <w:color w:val="auto"/>
          <w:szCs w:val="21"/>
          <w:highlight w:val="none"/>
          <w:lang w:eastAsia="zh-CN"/>
        </w:rPr>
        <w:t>竞标</w:t>
      </w:r>
      <w:r>
        <w:rPr>
          <w:rFonts w:hint="eastAsia" w:ascii="宋体" w:hAnsi="宋体" w:cs="宋体"/>
          <w:color w:val="auto"/>
          <w:szCs w:val="21"/>
          <w:highlight w:val="none"/>
        </w:rPr>
        <w:t>的全部磋商保证金并上缴同级财政国库。</w:t>
      </w:r>
    </w:p>
    <w:p w14:paraId="1529D185">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34.4成交人拒绝签订政府采购合同或者因不可抗力或自身原因不能履行采购合同的，采购人可以按照评审报告推荐的成交候选人名单排序，确定下一候选人为成交供应商，也可以重新开展采购活动。拒绝签订政府采购合同的成交供应商不得参加对该项目重新开展的采购活动。</w:t>
      </w:r>
    </w:p>
    <w:p w14:paraId="4E34F979">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highlight w:val="none"/>
        </w:rPr>
      </w:pPr>
      <w:r>
        <w:rPr>
          <w:rFonts w:hint="eastAsia" w:ascii="宋体" w:hAnsi="宋体" w:cs="宋体"/>
          <w:color w:val="auto"/>
          <w:szCs w:val="21"/>
          <w:highlight w:val="none"/>
        </w:rPr>
        <w:t>34.5政府采</w:t>
      </w:r>
      <w:r>
        <w:rPr>
          <w:rFonts w:hint="eastAsia" w:ascii="宋体" w:hAnsi="宋体" w:cs="宋体"/>
          <w:color w:val="auto"/>
          <w:highlight w:val="none"/>
        </w:rPr>
        <w:t>购合同公告：采购人或者受托采购代理机构应当自政府采购合同签订之日起2个工作日内，将政府采购合同在“广西政府采购网”（http://zfcg.gxzf.gov.cn）上发布公告，但政府采购合同中涉及国家秘密、商业秘密的内容除外。因此请各供应商应在响应文件中注明</w:t>
      </w:r>
      <w:r>
        <w:rPr>
          <w:rFonts w:hint="eastAsia" w:ascii="宋体" w:hAnsi="宋体" w:cs="宋体"/>
          <w:color w:val="auto"/>
          <w:highlight w:val="none"/>
          <w:lang w:eastAsia="zh-CN"/>
        </w:rPr>
        <w:t>竞标</w:t>
      </w:r>
      <w:r>
        <w:rPr>
          <w:rFonts w:hint="eastAsia" w:ascii="宋体" w:hAnsi="宋体" w:cs="宋体"/>
          <w:color w:val="auto"/>
          <w:highlight w:val="none"/>
        </w:rPr>
        <w:t>内容中涉及商业秘密的部分，未注明的视为响应文件中不涉及商业秘密。</w:t>
      </w:r>
    </w:p>
    <w:p w14:paraId="35A1DE06">
      <w:pPr>
        <w:pStyle w:val="23"/>
        <w:keepNext w:val="0"/>
        <w:keepLines w:val="0"/>
        <w:pageBreakBefore w:val="0"/>
        <w:kinsoku/>
        <w:wordWrap/>
        <w:overflowPunct/>
        <w:topLinePunct w:val="0"/>
        <w:autoSpaceDE/>
        <w:autoSpaceDN/>
        <w:bidi w:val="0"/>
        <w:adjustRightInd/>
        <w:snapToGrid w:val="0"/>
        <w:spacing w:line="440" w:lineRule="exact"/>
        <w:ind w:firstLine="402" w:firstLineChars="200"/>
        <w:textAlignment w:val="auto"/>
        <w:rPr>
          <w:rFonts w:hAnsi="宋体" w:cs="宋体"/>
          <w:b/>
          <w:color w:val="auto"/>
          <w:highlight w:val="none"/>
        </w:rPr>
      </w:pPr>
      <w:r>
        <w:rPr>
          <w:rFonts w:hint="eastAsia" w:hAnsi="宋体" w:cs="宋体"/>
          <w:b/>
          <w:color w:val="auto"/>
          <w:highlight w:val="none"/>
        </w:rPr>
        <w:t>34.6履约保证金</w:t>
      </w:r>
    </w:p>
    <w:p w14:paraId="75D85080">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34.6.1履约保证金金额：详见供应商须知前附</w:t>
      </w:r>
      <w:r>
        <w:rPr>
          <w:rFonts w:hint="eastAsia" w:ascii="宋体" w:hAnsi="宋体" w:cs="宋体"/>
          <w:color w:val="auto"/>
          <w:szCs w:val="21"/>
          <w:highlight w:val="none"/>
        </w:rPr>
        <w:t>表</w:t>
      </w:r>
      <w:r>
        <w:rPr>
          <w:rFonts w:hint="eastAsia" w:ascii="宋体" w:hAnsi="宋体" w:cs="宋体"/>
          <w:color w:val="auto"/>
          <w:kern w:val="0"/>
          <w:szCs w:val="21"/>
          <w:highlight w:val="none"/>
        </w:rPr>
        <w:t>。</w:t>
      </w:r>
    </w:p>
    <w:p w14:paraId="76B27EB1">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34.6.2履约保证金递交时间：详见供应商须知前附</w:t>
      </w:r>
      <w:r>
        <w:rPr>
          <w:rFonts w:hint="eastAsia" w:ascii="宋体" w:hAnsi="宋体" w:cs="宋体"/>
          <w:color w:val="auto"/>
          <w:szCs w:val="21"/>
          <w:highlight w:val="none"/>
        </w:rPr>
        <w:t>表，未在规定时间内足额缴纳履约保证金的，不予签订合同</w:t>
      </w:r>
      <w:r>
        <w:rPr>
          <w:rFonts w:hint="eastAsia" w:ascii="宋体" w:hAnsi="宋体" w:cs="宋体"/>
          <w:color w:val="auto"/>
          <w:kern w:val="0"/>
          <w:szCs w:val="21"/>
          <w:highlight w:val="none"/>
        </w:rPr>
        <w:t>。</w:t>
      </w:r>
    </w:p>
    <w:p w14:paraId="56025438">
      <w:pPr>
        <w:pStyle w:val="23"/>
        <w:keepNext w:val="0"/>
        <w:keepLines w:val="0"/>
        <w:pageBreakBefore w:val="0"/>
        <w:kinsoku/>
        <w:wordWrap/>
        <w:overflowPunct/>
        <w:topLinePunct w:val="0"/>
        <w:autoSpaceDE/>
        <w:autoSpaceDN/>
        <w:bidi w:val="0"/>
        <w:adjustRightInd/>
        <w:snapToGrid w:val="0"/>
        <w:spacing w:line="440" w:lineRule="exact"/>
        <w:ind w:firstLine="400" w:firstLineChars="200"/>
        <w:textAlignment w:val="auto"/>
        <w:rPr>
          <w:rFonts w:hAnsi="宋体" w:cs="宋体"/>
          <w:color w:val="auto"/>
          <w:highlight w:val="none"/>
        </w:rPr>
      </w:pPr>
      <w:r>
        <w:rPr>
          <w:rFonts w:hint="eastAsia" w:hAnsi="宋体" w:cs="宋体"/>
          <w:color w:val="auto"/>
          <w:highlight w:val="none"/>
        </w:rPr>
        <w:t>34.6.3</w:t>
      </w:r>
      <w:r>
        <w:rPr>
          <w:rFonts w:hint="eastAsia" w:hAnsi="宋体" w:cs="宋体"/>
          <w:color w:val="auto"/>
          <w:sz w:val="21"/>
          <w:highlight w:val="none"/>
        </w:rPr>
        <w:t>在履约保证金</w:t>
      </w:r>
      <w:r>
        <w:rPr>
          <w:rFonts w:hint="eastAsia" w:hAnsi="宋体" w:cs="宋体"/>
          <w:color w:val="auto"/>
          <w:sz w:val="21"/>
          <w:szCs w:val="21"/>
          <w:highlight w:val="none"/>
        </w:rPr>
        <w:t>退还日期前，若</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的开户名称、开户银行、帐号有变动的，请以书面形式通知保证金收取单位，否则由此产生的后果由</w:t>
      </w:r>
      <w:r>
        <w:rPr>
          <w:rFonts w:hint="eastAsia" w:hAnsi="宋体" w:cs="宋体"/>
          <w:color w:val="auto"/>
          <w:sz w:val="21"/>
          <w:szCs w:val="21"/>
          <w:highlight w:val="none"/>
          <w:lang w:eastAsia="zh-CN"/>
        </w:rPr>
        <w:t>成交供应商</w:t>
      </w:r>
      <w:r>
        <w:rPr>
          <w:rFonts w:hint="eastAsia" w:hAnsi="宋体" w:cs="宋体"/>
          <w:color w:val="auto"/>
          <w:sz w:val="21"/>
          <w:szCs w:val="21"/>
          <w:highlight w:val="none"/>
        </w:rPr>
        <w:t>自负。</w:t>
      </w:r>
    </w:p>
    <w:p w14:paraId="14482775">
      <w:pPr>
        <w:keepNext w:val="0"/>
        <w:keepLines w:val="0"/>
        <w:pageBreakBefore w:val="0"/>
        <w:kinsoku/>
        <w:wordWrap/>
        <w:overflowPunct/>
        <w:topLinePunct w:val="0"/>
        <w:autoSpaceDE/>
        <w:autoSpaceDN/>
        <w:bidi w:val="0"/>
        <w:adjustRightInd/>
        <w:spacing w:line="440" w:lineRule="exact"/>
        <w:ind w:firstLine="422" w:firstLineChars="200"/>
        <w:textAlignment w:val="auto"/>
        <w:rPr>
          <w:rFonts w:ascii="宋体" w:hAnsi="宋体" w:cs="宋体"/>
          <w:b/>
          <w:bCs/>
          <w:color w:val="auto"/>
          <w:highlight w:val="none"/>
        </w:rPr>
      </w:pPr>
      <w:r>
        <w:rPr>
          <w:rFonts w:hint="eastAsia" w:ascii="宋体" w:hAnsi="宋体" w:cs="宋体"/>
          <w:b/>
          <w:bCs/>
          <w:color w:val="auto"/>
          <w:highlight w:val="none"/>
        </w:rPr>
        <w:t>六、验收</w:t>
      </w:r>
    </w:p>
    <w:p w14:paraId="4658FCAD">
      <w:pPr>
        <w:keepNext w:val="0"/>
        <w:keepLines w:val="0"/>
        <w:pageBreakBefore w:val="0"/>
        <w:kinsoku/>
        <w:wordWrap/>
        <w:overflowPunct/>
        <w:topLinePunct w:val="0"/>
        <w:autoSpaceDE/>
        <w:autoSpaceDN/>
        <w:bidi w:val="0"/>
        <w:adjustRightInd/>
        <w:spacing w:line="440" w:lineRule="exact"/>
        <w:ind w:firstLine="422" w:firstLineChars="200"/>
        <w:textAlignment w:val="auto"/>
        <w:rPr>
          <w:rFonts w:ascii="宋体" w:hAnsi="宋体" w:cs="宋体"/>
          <w:b/>
          <w:bCs/>
          <w:color w:val="auto"/>
          <w:highlight w:val="none"/>
        </w:rPr>
      </w:pPr>
      <w:r>
        <w:rPr>
          <w:rFonts w:hint="eastAsia" w:ascii="宋体" w:hAnsi="宋体" w:cs="宋体"/>
          <w:b/>
          <w:bCs/>
          <w:color w:val="auto"/>
          <w:highlight w:val="none"/>
        </w:rPr>
        <w:t>35.验收</w:t>
      </w:r>
    </w:p>
    <w:p w14:paraId="619E77DF">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bCs/>
          <w:color w:val="auto"/>
          <w:highlight w:val="none"/>
        </w:rPr>
      </w:pPr>
      <w:r>
        <w:rPr>
          <w:rFonts w:hint="eastAsia" w:ascii="宋体" w:hAnsi="宋体" w:cs="宋体"/>
          <w:bCs/>
          <w:color w:val="auto"/>
          <w:highlight w:val="none"/>
        </w:rPr>
        <w:t>35.1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E6E9612">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bCs/>
          <w:color w:val="auto"/>
          <w:highlight w:val="none"/>
        </w:rPr>
      </w:pPr>
      <w:r>
        <w:rPr>
          <w:rFonts w:hint="eastAsia" w:ascii="宋体" w:hAnsi="宋体" w:cs="宋体"/>
          <w:bCs/>
          <w:color w:val="auto"/>
          <w:highlight w:val="none"/>
        </w:rPr>
        <w:t>35.2采购人可以邀请参加本项目的其他供应商或者第三方机构参与验收。参与验收的供应商或者第三方机构的意见作为验收书的参考资料一并存档。</w:t>
      </w:r>
    </w:p>
    <w:p w14:paraId="100EDA01">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bCs/>
          <w:color w:val="auto"/>
          <w:highlight w:val="none"/>
        </w:rPr>
      </w:pPr>
      <w:r>
        <w:rPr>
          <w:rFonts w:hint="eastAsia" w:ascii="宋体" w:hAnsi="宋体" w:cs="宋体"/>
          <w:bCs/>
          <w:color w:val="auto"/>
          <w:highlight w:val="none"/>
        </w:rPr>
        <w:t>35.3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118D2AA">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bCs/>
          <w:color w:val="auto"/>
          <w:highlight w:val="none"/>
        </w:rPr>
      </w:pPr>
      <w:r>
        <w:rPr>
          <w:rFonts w:hint="eastAsia" w:ascii="宋体" w:hAnsi="宋体" w:cs="宋体"/>
          <w:bCs/>
          <w:color w:val="auto"/>
          <w:highlight w:val="none"/>
        </w:rPr>
        <w:t>35.4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D8D3917">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bCs/>
          <w:color w:val="auto"/>
          <w:highlight w:val="none"/>
        </w:rPr>
      </w:pPr>
      <w:r>
        <w:rPr>
          <w:rFonts w:hint="eastAsia" w:ascii="宋体" w:hAnsi="宋体" w:cs="宋体"/>
          <w:bCs/>
          <w:color w:val="auto"/>
          <w:highlight w:val="none"/>
        </w:rPr>
        <w:t>35.5项目验收完毕，成交供应商将壹份《广西壮族自治区政府采购项目合同验收书》（格式详见附件）送采购代理机构存档。</w:t>
      </w:r>
    </w:p>
    <w:p w14:paraId="2AB8404A">
      <w:pPr>
        <w:keepNext w:val="0"/>
        <w:keepLines w:val="0"/>
        <w:pageBreakBefore w:val="0"/>
        <w:kinsoku/>
        <w:wordWrap/>
        <w:overflowPunct/>
        <w:topLinePunct w:val="0"/>
        <w:autoSpaceDE/>
        <w:autoSpaceDN/>
        <w:bidi w:val="0"/>
        <w:adjustRightInd/>
        <w:spacing w:line="440" w:lineRule="exact"/>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七、其他事项</w:t>
      </w:r>
    </w:p>
    <w:p w14:paraId="06A60314">
      <w:pPr>
        <w:keepNext w:val="0"/>
        <w:keepLines w:val="0"/>
        <w:pageBreakBefore w:val="0"/>
        <w:kinsoku/>
        <w:wordWrap/>
        <w:overflowPunct/>
        <w:topLinePunct w:val="0"/>
        <w:autoSpaceDE/>
        <w:autoSpaceDN/>
        <w:bidi w:val="0"/>
        <w:adjustRightInd/>
        <w:spacing w:line="440" w:lineRule="exact"/>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36.需要补充的其他内容</w:t>
      </w:r>
    </w:p>
    <w:p w14:paraId="17F5F06B">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36.1本</w:t>
      </w:r>
      <w:r>
        <w:rPr>
          <w:rFonts w:hint="eastAsia" w:ascii="宋体" w:hAnsi="宋体" w:cs="宋体"/>
          <w:color w:val="auto"/>
          <w:szCs w:val="21"/>
          <w:highlight w:val="none"/>
          <w:lang w:eastAsia="zh-CN"/>
        </w:rPr>
        <w:t>磋商采购文件</w:t>
      </w:r>
      <w:r>
        <w:rPr>
          <w:rFonts w:hint="eastAsia" w:ascii="宋体" w:hAnsi="宋体" w:cs="宋体"/>
          <w:color w:val="auto"/>
          <w:szCs w:val="21"/>
          <w:highlight w:val="none"/>
        </w:rPr>
        <w:t>解释规则详见“供应商须知前附表”。</w:t>
      </w:r>
    </w:p>
    <w:p w14:paraId="022CD194">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37.2其他事项详见“供应商须知前附表”。</w:t>
      </w:r>
    </w:p>
    <w:p w14:paraId="64EFDD0A">
      <w:pPr>
        <w:keepNext w:val="0"/>
        <w:keepLines w:val="0"/>
        <w:pageBreakBefore w:val="0"/>
        <w:kinsoku/>
        <w:wordWrap/>
        <w:overflowPunct/>
        <w:topLinePunct w:val="0"/>
        <w:autoSpaceDE/>
        <w:autoSpaceDN/>
        <w:bidi w:val="0"/>
        <w:adjustRightInd/>
        <w:spacing w:line="440" w:lineRule="exact"/>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37.成交服务费</w:t>
      </w:r>
    </w:p>
    <w:p w14:paraId="1CC8CB72">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37.1成交服务</w:t>
      </w:r>
      <w:r>
        <w:rPr>
          <w:rFonts w:hint="eastAsia" w:ascii="宋体" w:hAnsi="宋体" w:eastAsia="宋体" w:cs="宋体"/>
          <w:color w:val="auto"/>
          <w:szCs w:val="21"/>
          <w:highlight w:val="none"/>
        </w:rPr>
        <w:t>费：本项目成交服务费</w:t>
      </w:r>
      <w:r>
        <w:rPr>
          <w:rFonts w:hint="eastAsia" w:ascii="宋体" w:hAnsi="宋体" w:eastAsia="宋体" w:cs="宋体"/>
          <w:color w:val="auto"/>
          <w:szCs w:val="21"/>
          <w:highlight w:val="none"/>
          <w:lang w:val="en-US" w:eastAsia="zh-CN"/>
        </w:rPr>
        <w:t>按国家发改委关于招标代理服务费收费标准相关规定的（服务类）标准采用差额定率累进法计算出收费基准价格，</w:t>
      </w:r>
      <w:r>
        <w:rPr>
          <w:rFonts w:hint="eastAsia" w:ascii="宋体" w:hAnsi="宋体" w:eastAsia="宋体" w:cs="宋体"/>
          <w:color w:val="auto"/>
          <w:szCs w:val="21"/>
          <w:highlight w:val="none"/>
        </w:rPr>
        <w:t>向</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收取。领取成交通知书时，成交人应向采购代理机构一次付清成交服务费。</w:t>
      </w:r>
    </w:p>
    <w:p w14:paraId="4ACF9509">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37.2成交服务费收费标准：</w:t>
      </w:r>
    </w:p>
    <w:tbl>
      <w:tblPr>
        <w:tblStyle w:val="41"/>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7"/>
        <w:gridCol w:w="1808"/>
        <w:gridCol w:w="2061"/>
        <w:gridCol w:w="1871"/>
      </w:tblGrid>
      <w:tr w14:paraId="6436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3617" w:type="dxa"/>
            <w:tcBorders>
              <w:top w:val="single" w:color="auto" w:sz="4" w:space="0"/>
              <w:left w:val="single" w:color="auto" w:sz="4" w:space="0"/>
              <w:bottom w:val="single" w:color="auto" w:sz="4" w:space="0"/>
              <w:right w:val="single" w:color="auto" w:sz="4" w:space="0"/>
            </w:tcBorders>
          </w:tcPr>
          <w:p w14:paraId="2ADC4B25">
            <w:pPr>
              <w:spacing w:line="440" w:lineRule="exact"/>
              <w:ind w:firstLine="1640" w:firstLineChars="781"/>
              <w:rPr>
                <w:rFonts w:ascii="宋体" w:hAnsi="宋体" w:cs="宋体"/>
                <w:b/>
                <w:bCs/>
                <w:color w:val="auto"/>
                <w:szCs w:val="21"/>
                <w:highlight w:val="none"/>
              </w:rPr>
            </w:pPr>
            <w:r>
              <w:rPr>
                <w:rFonts w:hint="eastAsia" w:ascii="宋体" w:hAnsi="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372110</wp:posOffset>
                      </wp:positionH>
                      <wp:positionV relativeFrom="paragraph">
                        <wp:posOffset>-635</wp:posOffset>
                      </wp:positionV>
                      <wp:extent cx="1849120" cy="1120140"/>
                      <wp:effectExtent l="0" t="0" r="17780" b="22860"/>
                      <wp:wrapNone/>
                      <wp:docPr id="12" name="直接连接符 3"/>
                      <wp:cNvGraphicFramePr/>
                      <a:graphic xmlns:a="http://schemas.openxmlformats.org/drawingml/2006/main">
                        <a:graphicData uri="http://schemas.microsoft.com/office/word/2010/wordprocessingShape">
                          <wps:wsp>
                            <wps:cNvCnPr>
                              <a:cxnSpLocks noChangeShapeType="1"/>
                            </wps:cNvCnPr>
                            <wps:spPr bwMode="auto">
                              <a:xfrm flipH="1" flipV="1">
                                <a:off x="0" y="0"/>
                                <a:ext cx="1849120" cy="1120140"/>
                              </a:xfrm>
                              <a:prstGeom prst="line">
                                <a:avLst/>
                              </a:prstGeom>
                              <a:noFill/>
                              <a:ln w="9525">
                                <a:solidFill>
                                  <a:srgbClr val="000000"/>
                                </a:solidFill>
                                <a:round/>
                              </a:ln>
                              <a:effectLst/>
                            </wps:spPr>
                            <wps:bodyPr/>
                          </wps:wsp>
                        </a:graphicData>
                      </a:graphic>
                    </wp:anchor>
                  </w:drawing>
                </mc:Choice>
                <mc:Fallback>
                  <w:pict>
                    <v:line id="直接连接符 3" o:spid="_x0000_s1026" o:spt="20" style="position:absolute;left:0pt;flip:x y;margin-left:29.3pt;margin-top:-0.05pt;height:88.2pt;width:145.6pt;z-index:251665408;mso-width-relative:page;mso-height-relative:page;" filled="f" stroked="t" coordsize="21600,21600" o:gfxdata="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hzmajUAAAACAEAAA8AAAAAAAAAAQAgAAAAIgAAAGRycy9kb3ducmV2LnhtbFBL&#10;AQIUABQAAAAIAIdO4kDqjHrk+gEAANMDAAAOAAAAAAAAAAEAIAAAACMBAABkcnMvZTJvRG9jLnht&#10;bFBLBQYAAAAABgAGAFkBAACPBQAAAAA=&#10;">
                      <v:fill on="f" focussize="0,0"/>
                      <v:stroke color="#000000" joinstyle="round"/>
                      <v:imagedata o:title=""/>
                      <o:lock v:ext="edit" aspectratio="f"/>
                    </v:line>
                  </w:pict>
                </mc:Fallback>
              </mc:AlternateContent>
            </w:r>
            <w:r>
              <w:rPr>
                <w:rFonts w:hint="eastAsia" w:ascii="宋体" w:hAnsi="宋体" w:cs="宋体"/>
                <w:color w:val="auto"/>
                <w:szCs w:val="21"/>
                <w:highlight w:val="none"/>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-6350</wp:posOffset>
                      </wp:positionV>
                      <wp:extent cx="635" cy="0"/>
                      <wp:effectExtent l="0" t="0" r="0" b="0"/>
                      <wp:wrapNone/>
                      <wp:docPr id="11"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a:effectLst/>
                            </wps:spPr>
                            <wps:bodyPr/>
                          </wps:wsp>
                        </a:graphicData>
                      </a:graphic>
                    </wp:anchor>
                  </w:drawing>
                </mc:Choice>
                <mc:Fallback>
                  <w:pict>
                    <v:line id="直接连接符 2" o:spid="_x0000_s1026" o:spt="20" style="position:absolute;left:0pt;margin-left:-9pt;margin-top:-0.5pt;height:0pt;width:0.05pt;z-index:251666432;mso-width-relative:page;mso-height-relative:page;" filled="f" stroked="t" coordsize="21600,21600"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5HTftUAAAAJ&#10;AQAADwAAAAAAAAABACAAAAAiAAAAZHJzL2Rvd25yZXYueG1sUEsBAhQAFAAAAAgAh07iQMQqwlbm&#10;AQAAtQMAAA4AAAAAAAAAAQAgAAAAJAEAAGRycy9lMm9Eb2MueG1sUEsFBgAAAAAGAAYAWQEAAHwF&#10;AAAAAA==&#10;">
                      <v:fill on="f" focussize="0,0"/>
                      <v:stroke color="#000000" joinstyle="round"/>
                      <v:imagedata o:title=""/>
                      <o:lock v:ext="edit" aspectratio="f"/>
                    </v:line>
                  </w:pict>
                </mc:Fallback>
              </mc:AlternateContent>
            </w:r>
            <w:r>
              <w:rPr>
                <w:rFonts w:hint="eastAsia" w:ascii="宋体" w:hAnsi="宋体" w:cs="宋体"/>
                <w:b/>
                <w:bCs/>
                <w:color w:val="auto"/>
                <w:szCs w:val="21"/>
                <w:highlight w:val="none"/>
              </w:rPr>
              <w:t>服务类型</w:t>
            </w:r>
          </w:p>
          <w:p w14:paraId="262E6B5B">
            <w:pPr>
              <w:spacing w:line="440" w:lineRule="exact"/>
              <w:ind w:firstLine="211" w:firstLineChars="100"/>
              <w:rPr>
                <w:rFonts w:ascii="宋体" w:hAnsi="宋体" w:cs="宋体"/>
                <w:b/>
                <w:bCs/>
                <w:color w:val="auto"/>
                <w:szCs w:val="21"/>
                <w:highlight w:val="none"/>
              </w:rPr>
            </w:pPr>
            <w:r>
              <w:rPr>
                <w:rFonts w:hint="eastAsia" w:ascii="宋体" w:hAnsi="宋体" w:cs="宋体"/>
                <w:b/>
                <w:bCs/>
                <w:color w:val="auto"/>
                <w:szCs w:val="21"/>
                <w:highlight w:val="none"/>
              </w:rPr>
              <w:t>费率　　　　　　　　</w:t>
            </w:r>
          </w:p>
          <w:p w14:paraId="5F46AB7C">
            <w:pPr>
              <w:spacing w:line="440" w:lineRule="exact"/>
              <w:rPr>
                <w:rFonts w:ascii="宋体" w:hAnsi="宋体" w:cs="宋体"/>
                <w:b/>
                <w:bCs/>
                <w:color w:val="auto"/>
                <w:szCs w:val="21"/>
                <w:highlight w:val="none"/>
              </w:rPr>
            </w:pPr>
            <w:r>
              <w:rPr>
                <w:rFonts w:hint="eastAsia" w:ascii="宋体" w:hAnsi="宋体" w:cs="宋体"/>
                <w:color w:val="auto"/>
                <w:szCs w:val="21"/>
                <w:highlight w:val="none"/>
              </w:rPr>
              <mc:AlternateContent>
                <mc:Choice Requires="wps">
                  <w:drawing>
                    <wp:anchor distT="0" distB="0" distL="114300" distR="114300" simplePos="0" relativeHeight="251667456" behindDoc="0" locked="0" layoutInCell="1" allowOverlap="1">
                      <wp:simplePos x="0" y="0"/>
                      <wp:positionH relativeFrom="column">
                        <wp:posOffset>-71755</wp:posOffset>
                      </wp:positionH>
                      <wp:positionV relativeFrom="paragraph">
                        <wp:posOffset>67945</wp:posOffset>
                      </wp:positionV>
                      <wp:extent cx="2316480" cy="491490"/>
                      <wp:effectExtent l="0" t="0" r="26670" b="22860"/>
                      <wp:wrapNone/>
                      <wp:docPr id="10" name="直接连接符 1"/>
                      <wp:cNvGraphicFramePr/>
                      <a:graphic xmlns:a="http://schemas.openxmlformats.org/drawingml/2006/main">
                        <a:graphicData uri="http://schemas.microsoft.com/office/word/2010/wordprocessingShape">
                          <wps:wsp>
                            <wps:cNvCnPr>
                              <a:cxnSpLocks noChangeShapeType="1"/>
                            </wps:cNvCnPr>
                            <wps:spPr bwMode="auto">
                              <a:xfrm flipH="1" flipV="1">
                                <a:off x="0" y="0"/>
                                <a:ext cx="2316480" cy="491490"/>
                              </a:xfrm>
                              <a:prstGeom prst="line">
                                <a:avLst/>
                              </a:prstGeom>
                              <a:noFill/>
                              <a:ln w="9525">
                                <a:solidFill>
                                  <a:srgbClr val="000000"/>
                                </a:solidFill>
                                <a:round/>
                              </a:ln>
                              <a:effectLst/>
                            </wps:spPr>
                            <wps:bodyPr/>
                          </wps:wsp>
                        </a:graphicData>
                      </a:graphic>
                    </wp:anchor>
                  </w:drawing>
                </mc:Choice>
                <mc:Fallback>
                  <w:pict>
                    <v:line id="直接连接符 1" o:spid="_x0000_s1026" o:spt="20" style="position:absolute;left:0pt;flip:x y;margin-left:-5.65pt;margin-top:5.35pt;height:38.7pt;width:182.4pt;z-index:251667456;mso-width-relative:page;mso-height-relative:page;" filled="f" stroked="t" coordsize="21600,21600" o:gfxdata="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CBWDI1AAAAAkBAAAPAAAAAAAAAAEAIAAAACIAAABkcnMvZG93bnJldi54bWxQ&#10;SwECFAAUAAAACACHTuJANIG4gPsBAADSAwAADgAAAAAAAAABACAAAAAjAQAAZHJzL2Uyb0RvYy54&#10;bWxQSwUGAAAAAAYABgBZAQAAkAUAAAAA&#10;">
                      <v:fill on="f" focussize="0,0"/>
                      <v:stroke color="#000000" joinstyle="round"/>
                      <v:imagedata o:title=""/>
                      <o:lock v:ext="edit" aspectratio="f"/>
                    </v:line>
                  </w:pict>
                </mc:Fallback>
              </mc:AlternateContent>
            </w:r>
            <w:r>
              <w:rPr>
                <w:rFonts w:hint="eastAsia" w:ascii="宋体" w:hAnsi="宋体" w:cs="宋体"/>
                <w:b/>
                <w:bCs/>
                <w:color w:val="auto"/>
                <w:szCs w:val="21"/>
                <w:highlight w:val="none"/>
              </w:rPr>
              <w:t>　　　</w:t>
            </w:r>
          </w:p>
          <w:p w14:paraId="5C89C3B9">
            <w:pPr>
              <w:spacing w:line="440" w:lineRule="exact"/>
              <w:rPr>
                <w:rFonts w:ascii="宋体" w:hAnsi="宋体" w:cs="宋体"/>
                <w:b/>
                <w:bCs/>
                <w:color w:val="auto"/>
                <w:szCs w:val="21"/>
                <w:highlight w:val="none"/>
              </w:rPr>
            </w:pPr>
            <w:r>
              <w:rPr>
                <w:rFonts w:hint="eastAsia" w:ascii="宋体" w:hAnsi="宋体" w:cs="宋体"/>
                <w:b/>
                <w:bCs/>
                <w:color w:val="auto"/>
                <w:szCs w:val="21"/>
                <w:highlight w:val="none"/>
              </w:rPr>
              <w:t>成交金额（万元）</w:t>
            </w:r>
          </w:p>
        </w:tc>
        <w:tc>
          <w:tcPr>
            <w:tcW w:w="1808" w:type="dxa"/>
            <w:tcBorders>
              <w:top w:val="single" w:color="auto" w:sz="4" w:space="0"/>
              <w:left w:val="single" w:color="auto" w:sz="4" w:space="0"/>
              <w:bottom w:val="single" w:color="auto" w:sz="4" w:space="0"/>
              <w:right w:val="single" w:color="auto" w:sz="4" w:space="0"/>
            </w:tcBorders>
            <w:vAlign w:val="center"/>
          </w:tcPr>
          <w:p w14:paraId="7F1F902D">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货物采购</w:t>
            </w:r>
          </w:p>
        </w:tc>
        <w:tc>
          <w:tcPr>
            <w:tcW w:w="2061" w:type="dxa"/>
            <w:tcBorders>
              <w:top w:val="single" w:color="auto" w:sz="4" w:space="0"/>
              <w:left w:val="single" w:color="auto" w:sz="4" w:space="0"/>
              <w:bottom w:val="single" w:color="auto" w:sz="4" w:space="0"/>
              <w:right w:val="single" w:color="auto" w:sz="4" w:space="0"/>
            </w:tcBorders>
            <w:vAlign w:val="center"/>
          </w:tcPr>
          <w:p w14:paraId="1CAD93F4">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服务采购</w:t>
            </w:r>
          </w:p>
        </w:tc>
        <w:tc>
          <w:tcPr>
            <w:tcW w:w="1871" w:type="dxa"/>
            <w:tcBorders>
              <w:top w:val="single" w:color="auto" w:sz="4" w:space="0"/>
              <w:left w:val="single" w:color="auto" w:sz="4" w:space="0"/>
              <w:bottom w:val="single" w:color="auto" w:sz="4" w:space="0"/>
              <w:right w:val="single" w:color="auto" w:sz="4" w:space="0"/>
            </w:tcBorders>
            <w:vAlign w:val="center"/>
          </w:tcPr>
          <w:p w14:paraId="120EF843">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工程采购</w:t>
            </w:r>
          </w:p>
        </w:tc>
      </w:tr>
      <w:tr w14:paraId="5D9C5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3617" w:type="dxa"/>
            <w:tcBorders>
              <w:top w:val="single" w:color="auto" w:sz="4" w:space="0"/>
              <w:left w:val="single" w:color="auto" w:sz="4" w:space="0"/>
              <w:bottom w:val="single" w:color="auto" w:sz="4" w:space="0"/>
              <w:right w:val="single" w:color="auto" w:sz="4" w:space="0"/>
            </w:tcBorders>
            <w:vAlign w:val="center"/>
          </w:tcPr>
          <w:p w14:paraId="42DFDCA5">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100以下</w:t>
            </w:r>
          </w:p>
        </w:tc>
        <w:tc>
          <w:tcPr>
            <w:tcW w:w="1808" w:type="dxa"/>
            <w:tcBorders>
              <w:top w:val="single" w:color="auto" w:sz="4" w:space="0"/>
              <w:left w:val="single" w:color="auto" w:sz="4" w:space="0"/>
              <w:bottom w:val="single" w:color="auto" w:sz="4" w:space="0"/>
              <w:right w:val="single" w:color="auto" w:sz="4" w:space="0"/>
            </w:tcBorders>
            <w:vAlign w:val="center"/>
          </w:tcPr>
          <w:p w14:paraId="0548B0A1">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1.5％</w:t>
            </w:r>
          </w:p>
        </w:tc>
        <w:tc>
          <w:tcPr>
            <w:tcW w:w="2061" w:type="dxa"/>
            <w:tcBorders>
              <w:top w:val="single" w:color="auto" w:sz="4" w:space="0"/>
              <w:left w:val="single" w:color="auto" w:sz="4" w:space="0"/>
              <w:bottom w:val="single" w:color="auto" w:sz="4" w:space="0"/>
              <w:right w:val="single" w:color="auto" w:sz="4" w:space="0"/>
            </w:tcBorders>
            <w:vAlign w:val="center"/>
          </w:tcPr>
          <w:p w14:paraId="114CBCE5">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1.5％</w:t>
            </w:r>
          </w:p>
        </w:tc>
        <w:tc>
          <w:tcPr>
            <w:tcW w:w="1871" w:type="dxa"/>
            <w:tcBorders>
              <w:top w:val="single" w:color="auto" w:sz="4" w:space="0"/>
              <w:left w:val="single" w:color="auto" w:sz="4" w:space="0"/>
              <w:bottom w:val="single" w:color="auto" w:sz="4" w:space="0"/>
              <w:right w:val="single" w:color="auto" w:sz="4" w:space="0"/>
            </w:tcBorders>
            <w:vAlign w:val="center"/>
          </w:tcPr>
          <w:p w14:paraId="56B18E66">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w:t>
            </w:r>
          </w:p>
        </w:tc>
      </w:tr>
      <w:tr w14:paraId="2BD5E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617" w:type="dxa"/>
            <w:tcBorders>
              <w:top w:val="single" w:color="auto" w:sz="4" w:space="0"/>
              <w:left w:val="single" w:color="auto" w:sz="4" w:space="0"/>
              <w:bottom w:val="single" w:color="auto" w:sz="4" w:space="0"/>
              <w:right w:val="single" w:color="auto" w:sz="4" w:space="0"/>
            </w:tcBorders>
            <w:vAlign w:val="center"/>
          </w:tcPr>
          <w:p w14:paraId="7DE1F051">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100-500</w:t>
            </w:r>
          </w:p>
        </w:tc>
        <w:tc>
          <w:tcPr>
            <w:tcW w:w="1808" w:type="dxa"/>
            <w:tcBorders>
              <w:top w:val="single" w:color="auto" w:sz="4" w:space="0"/>
              <w:left w:val="single" w:color="auto" w:sz="4" w:space="0"/>
              <w:bottom w:val="single" w:color="auto" w:sz="4" w:space="0"/>
              <w:right w:val="single" w:color="auto" w:sz="4" w:space="0"/>
            </w:tcBorders>
            <w:vAlign w:val="center"/>
          </w:tcPr>
          <w:p w14:paraId="18001AC9">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1.1％</w:t>
            </w:r>
          </w:p>
        </w:tc>
        <w:tc>
          <w:tcPr>
            <w:tcW w:w="2061" w:type="dxa"/>
            <w:tcBorders>
              <w:top w:val="single" w:color="auto" w:sz="4" w:space="0"/>
              <w:left w:val="single" w:color="auto" w:sz="4" w:space="0"/>
              <w:bottom w:val="single" w:color="auto" w:sz="4" w:space="0"/>
              <w:right w:val="single" w:color="auto" w:sz="4" w:space="0"/>
            </w:tcBorders>
            <w:vAlign w:val="center"/>
          </w:tcPr>
          <w:p w14:paraId="7C94945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0.8％</w:t>
            </w:r>
          </w:p>
        </w:tc>
        <w:tc>
          <w:tcPr>
            <w:tcW w:w="1871" w:type="dxa"/>
            <w:tcBorders>
              <w:top w:val="single" w:color="auto" w:sz="4" w:space="0"/>
              <w:left w:val="single" w:color="auto" w:sz="4" w:space="0"/>
              <w:bottom w:val="single" w:color="auto" w:sz="4" w:space="0"/>
              <w:right w:val="single" w:color="auto" w:sz="4" w:space="0"/>
            </w:tcBorders>
            <w:vAlign w:val="center"/>
          </w:tcPr>
          <w:p w14:paraId="462021A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0.7％</w:t>
            </w:r>
          </w:p>
        </w:tc>
      </w:tr>
      <w:tr w14:paraId="5A5A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617" w:type="dxa"/>
            <w:tcBorders>
              <w:top w:val="single" w:color="auto" w:sz="4" w:space="0"/>
              <w:left w:val="single" w:color="auto" w:sz="4" w:space="0"/>
              <w:bottom w:val="single" w:color="auto" w:sz="4" w:space="0"/>
              <w:right w:val="single" w:color="auto" w:sz="4" w:space="0"/>
            </w:tcBorders>
            <w:vAlign w:val="center"/>
          </w:tcPr>
          <w:p w14:paraId="1AA47A74">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500-1000</w:t>
            </w:r>
          </w:p>
        </w:tc>
        <w:tc>
          <w:tcPr>
            <w:tcW w:w="1808" w:type="dxa"/>
            <w:tcBorders>
              <w:top w:val="single" w:color="auto" w:sz="4" w:space="0"/>
              <w:left w:val="single" w:color="auto" w:sz="4" w:space="0"/>
              <w:bottom w:val="single" w:color="auto" w:sz="4" w:space="0"/>
              <w:right w:val="single" w:color="auto" w:sz="4" w:space="0"/>
            </w:tcBorders>
            <w:vAlign w:val="center"/>
          </w:tcPr>
          <w:p w14:paraId="292F644B">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0.8％</w:t>
            </w:r>
          </w:p>
        </w:tc>
        <w:tc>
          <w:tcPr>
            <w:tcW w:w="2061" w:type="dxa"/>
            <w:tcBorders>
              <w:top w:val="single" w:color="auto" w:sz="4" w:space="0"/>
              <w:left w:val="single" w:color="auto" w:sz="4" w:space="0"/>
              <w:bottom w:val="single" w:color="auto" w:sz="4" w:space="0"/>
              <w:right w:val="single" w:color="auto" w:sz="4" w:space="0"/>
            </w:tcBorders>
            <w:vAlign w:val="center"/>
          </w:tcPr>
          <w:p w14:paraId="646C795B">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0.45％</w:t>
            </w:r>
          </w:p>
        </w:tc>
        <w:tc>
          <w:tcPr>
            <w:tcW w:w="1871" w:type="dxa"/>
            <w:tcBorders>
              <w:top w:val="single" w:color="auto" w:sz="4" w:space="0"/>
              <w:left w:val="single" w:color="auto" w:sz="4" w:space="0"/>
              <w:bottom w:val="single" w:color="auto" w:sz="4" w:space="0"/>
              <w:right w:val="single" w:color="auto" w:sz="4" w:space="0"/>
            </w:tcBorders>
            <w:vAlign w:val="center"/>
          </w:tcPr>
          <w:p w14:paraId="7BB3C85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0.55％</w:t>
            </w:r>
          </w:p>
        </w:tc>
      </w:tr>
      <w:tr w14:paraId="03BD3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3617" w:type="dxa"/>
            <w:tcBorders>
              <w:top w:val="single" w:color="auto" w:sz="4" w:space="0"/>
              <w:left w:val="single" w:color="auto" w:sz="4" w:space="0"/>
              <w:bottom w:val="single" w:color="auto" w:sz="4" w:space="0"/>
              <w:right w:val="single" w:color="auto" w:sz="4" w:space="0"/>
            </w:tcBorders>
            <w:vAlign w:val="center"/>
          </w:tcPr>
          <w:p w14:paraId="42E17AEE">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1000-5000</w:t>
            </w:r>
          </w:p>
        </w:tc>
        <w:tc>
          <w:tcPr>
            <w:tcW w:w="1808" w:type="dxa"/>
            <w:tcBorders>
              <w:top w:val="single" w:color="auto" w:sz="4" w:space="0"/>
              <w:left w:val="single" w:color="auto" w:sz="4" w:space="0"/>
              <w:bottom w:val="single" w:color="auto" w:sz="4" w:space="0"/>
              <w:right w:val="single" w:color="auto" w:sz="4" w:space="0"/>
            </w:tcBorders>
            <w:vAlign w:val="center"/>
          </w:tcPr>
          <w:p w14:paraId="72C75FDF">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0.5％</w:t>
            </w:r>
          </w:p>
        </w:tc>
        <w:tc>
          <w:tcPr>
            <w:tcW w:w="2061" w:type="dxa"/>
            <w:tcBorders>
              <w:top w:val="single" w:color="auto" w:sz="4" w:space="0"/>
              <w:left w:val="single" w:color="auto" w:sz="4" w:space="0"/>
              <w:bottom w:val="single" w:color="auto" w:sz="4" w:space="0"/>
              <w:right w:val="single" w:color="auto" w:sz="4" w:space="0"/>
            </w:tcBorders>
            <w:vAlign w:val="center"/>
          </w:tcPr>
          <w:p w14:paraId="720CD3B8">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0.25％</w:t>
            </w:r>
          </w:p>
        </w:tc>
        <w:tc>
          <w:tcPr>
            <w:tcW w:w="1871" w:type="dxa"/>
            <w:tcBorders>
              <w:top w:val="single" w:color="auto" w:sz="4" w:space="0"/>
              <w:left w:val="single" w:color="auto" w:sz="4" w:space="0"/>
              <w:bottom w:val="single" w:color="auto" w:sz="4" w:space="0"/>
              <w:right w:val="single" w:color="auto" w:sz="4" w:space="0"/>
            </w:tcBorders>
            <w:vAlign w:val="center"/>
          </w:tcPr>
          <w:p w14:paraId="04E5207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0.35％</w:t>
            </w:r>
          </w:p>
        </w:tc>
      </w:tr>
      <w:tr w14:paraId="098FC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3617" w:type="dxa"/>
            <w:tcBorders>
              <w:top w:val="single" w:color="auto" w:sz="4" w:space="0"/>
              <w:left w:val="single" w:color="auto" w:sz="4" w:space="0"/>
              <w:bottom w:val="single" w:color="auto" w:sz="4" w:space="0"/>
              <w:right w:val="single" w:color="auto" w:sz="4" w:space="0"/>
            </w:tcBorders>
            <w:vAlign w:val="center"/>
          </w:tcPr>
          <w:p w14:paraId="7A611E9A">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5000-10000</w:t>
            </w:r>
          </w:p>
        </w:tc>
        <w:tc>
          <w:tcPr>
            <w:tcW w:w="1808" w:type="dxa"/>
            <w:tcBorders>
              <w:top w:val="single" w:color="auto" w:sz="4" w:space="0"/>
              <w:left w:val="single" w:color="auto" w:sz="4" w:space="0"/>
              <w:bottom w:val="single" w:color="auto" w:sz="4" w:space="0"/>
              <w:right w:val="single" w:color="auto" w:sz="4" w:space="0"/>
            </w:tcBorders>
            <w:vAlign w:val="center"/>
          </w:tcPr>
          <w:p w14:paraId="79CAF2CB">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0.25％</w:t>
            </w:r>
          </w:p>
        </w:tc>
        <w:tc>
          <w:tcPr>
            <w:tcW w:w="2061" w:type="dxa"/>
            <w:tcBorders>
              <w:top w:val="single" w:color="auto" w:sz="4" w:space="0"/>
              <w:left w:val="single" w:color="auto" w:sz="4" w:space="0"/>
              <w:bottom w:val="single" w:color="auto" w:sz="4" w:space="0"/>
              <w:right w:val="single" w:color="auto" w:sz="4" w:space="0"/>
            </w:tcBorders>
            <w:vAlign w:val="center"/>
          </w:tcPr>
          <w:p w14:paraId="5204A058">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0.1％</w:t>
            </w:r>
          </w:p>
        </w:tc>
        <w:tc>
          <w:tcPr>
            <w:tcW w:w="1871" w:type="dxa"/>
            <w:tcBorders>
              <w:top w:val="single" w:color="auto" w:sz="4" w:space="0"/>
              <w:left w:val="single" w:color="auto" w:sz="4" w:space="0"/>
              <w:bottom w:val="single" w:color="auto" w:sz="4" w:space="0"/>
              <w:right w:val="single" w:color="auto" w:sz="4" w:space="0"/>
            </w:tcBorders>
            <w:vAlign w:val="center"/>
          </w:tcPr>
          <w:p w14:paraId="6F573BD9">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0.2％</w:t>
            </w:r>
          </w:p>
        </w:tc>
      </w:tr>
      <w:tr w14:paraId="40D62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3617" w:type="dxa"/>
            <w:tcBorders>
              <w:top w:val="single" w:color="auto" w:sz="4" w:space="0"/>
              <w:left w:val="single" w:color="auto" w:sz="4" w:space="0"/>
              <w:bottom w:val="single" w:color="auto" w:sz="4" w:space="0"/>
              <w:right w:val="single" w:color="auto" w:sz="4" w:space="0"/>
            </w:tcBorders>
            <w:vAlign w:val="center"/>
          </w:tcPr>
          <w:p w14:paraId="18A8B158">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10000-100000</w:t>
            </w:r>
          </w:p>
        </w:tc>
        <w:tc>
          <w:tcPr>
            <w:tcW w:w="1808" w:type="dxa"/>
            <w:tcBorders>
              <w:top w:val="single" w:color="auto" w:sz="4" w:space="0"/>
              <w:left w:val="single" w:color="auto" w:sz="4" w:space="0"/>
              <w:bottom w:val="single" w:color="auto" w:sz="4" w:space="0"/>
              <w:right w:val="single" w:color="auto" w:sz="4" w:space="0"/>
            </w:tcBorders>
            <w:vAlign w:val="center"/>
          </w:tcPr>
          <w:p w14:paraId="2A4CA31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0.05％</w:t>
            </w:r>
          </w:p>
        </w:tc>
        <w:tc>
          <w:tcPr>
            <w:tcW w:w="2061" w:type="dxa"/>
            <w:tcBorders>
              <w:top w:val="single" w:color="auto" w:sz="4" w:space="0"/>
              <w:left w:val="single" w:color="auto" w:sz="4" w:space="0"/>
              <w:bottom w:val="single" w:color="auto" w:sz="4" w:space="0"/>
              <w:right w:val="single" w:color="auto" w:sz="4" w:space="0"/>
            </w:tcBorders>
            <w:vAlign w:val="center"/>
          </w:tcPr>
          <w:p w14:paraId="19B6B38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0.05％</w:t>
            </w:r>
          </w:p>
        </w:tc>
        <w:tc>
          <w:tcPr>
            <w:tcW w:w="1871" w:type="dxa"/>
            <w:tcBorders>
              <w:top w:val="single" w:color="auto" w:sz="4" w:space="0"/>
              <w:left w:val="single" w:color="auto" w:sz="4" w:space="0"/>
              <w:bottom w:val="single" w:color="auto" w:sz="4" w:space="0"/>
              <w:right w:val="single" w:color="auto" w:sz="4" w:space="0"/>
            </w:tcBorders>
            <w:vAlign w:val="center"/>
          </w:tcPr>
          <w:p w14:paraId="646C4098">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0.05％</w:t>
            </w:r>
          </w:p>
        </w:tc>
      </w:tr>
    </w:tbl>
    <w:p w14:paraId="3F58B2D7">
      <w:pPr>
        <w:pStyle w:val="23"/>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Ansi="宋体" w:cs="宋体"/>
          <w:color w:val="auto"/>
          <w:kern w:val="2"/>
          <w:sz w:val="21"/>
          <w:highlight w:val="none"/>
        </w:rPr>
      </w:pPr>
      <w:r>
        <w:rPr>
          <w:rFonts w:hint="eastAsia" w:hAnsi="宋体" w:cs="宋体"/>
          <w:color w:val="auto"/>
          <w:kern w:val="2"/>
          <w:sz w:val="21"/>
          <w:highlight w:val="none"/>
        </w:rPr>
        <w:t>注：招标代理服务费收费按差额定率累进法计算。</w:t>
      </w:r>
    </w:p>
    <w:p w14:paraId="3D51ED93">
      <w:pPr>
        <w:keepNext w:val="0"/>
        <w:keepLines w:val="0"/>
        <w:pageBreakBefore w:val="0"/>
        <w:widowControl w:val="0"/>
        <w:kinsoku/>
        <w:wordWrap/>
        <w:overflowPunct/>
        <w:topLinePunct w:val="0"/>
        <w:autoSpaceDE/>
        <w:autoSpaceDN/>
        <w:bidi w:val="0"/>
        <w:adjustRightInd/>
        <w:spacing w:line="440" w:lineRule="exact"/>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38.供应商信用查询相关规定</w:t>
      </w:r>
    </w:p>
    <w:p w14:paraId="0E14F460">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38.1信用查询渠道：“信用中国”网站（www.creditchina.gov.cn）、中国政府采购网（www.ccgp.gov.cn）；</w:t>
      </w:r>
    </w:p>
    <w:p w14:paraId="1160E8E9">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38.2信用查询截止时点：资格审查时。</w:t>
      </w:r>
    </w:p>
    <w:p w14:paraId="714F1D14">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38.3信用信息查询记录：“列入失信被执行人”、“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w:t>
      </w:r>
    </w:p>
    <w:p w14:paraId="2B4F261C">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38.4信用信息的使用规则：如供应商被列入“列入失信被执行人”、“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”、“政府采购严重违法失信行为记录名单”等名单内的，将按照信用信息使用规则处理。</w:t>
      </w:r>
    </w:p>
    <w:p w14:paraId="7940AF16">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color w:val="auto"/>
          <w:highlight w:val="none"/>
        </w:rPr>
      </w:pPr>
      <w:r>
        <w:rPr>
          <w:rFonts w:hint="eastAsia" w:ascii="宋体" w:hAnsi="宋体" w:cs="宋体"/>
          <w:color w:val="auto"/>
          <w:szCs w:val="21"/>
          <w:highlight w:val="none"/>
        </w:rPr>
        <w:t>38.5证据留存方式：</w:t>
      </w:r>
      <w:r>
        <w:rPr>
          <w:rFonts w:hint="eastAsia" w:ascii="宋体" w:hAnsi="宋体" w:cs="宋体"/>
          <w:color w:val="auto"/>
          <w:highlight w:val="none"/>
        </w:rPr>
        <w:t>在查询网站中直接截图查询记录，截图作为在广西政府采购云平台作为附件上传保存。</w:t>
      </w:r>
    </w:p>
    <w:p w14:paraId="1B7C724F">
      <w:pPr>
        <w:keepNext w:val="0"/>
        <w:keepLines w:val="0"/>
        <w:pageBreakBefore w:val="0"/>
        <w:widowControl w:val="0"/>
        <w:kinsoku/>
        <w:wordWrap/>
        <w:overflowPunct/>
        <w:topLinePunct w:val="0"/>
        <w:autoSpaceDE/>
        <w:autoSpaceDN/>
        <w:bidi w:val="0"/>
        <w:adjustRightInd/>
        <w:spacing w:line="440" w:lineRule="exact"/>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39.关于中小企业的相关规定</w:t>
      </w:r>
    </w:p>
    <w:p w14:paraId="1BCB6DB0">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39.1根据《政府采购促进中小企业发展管理办法》（财库[2020]46号），本</w:t>
      </w:r>
      <w:r>
        <w:rPr>
          <w:rFonts w:hint="eastAsia" w:ascii="宋体" w:hAnsi="宋体" w:cs="宋体"/>
          <w:color w:val="auto"/>
          <w:szCs w:val="21"/>
          <w:highlight w:val="none"/>
          <w:lang w:eastAsia="zh-CN"/>
        </w:rPr>
        <w:t>磋商采购文件</w:t>
      </w:r>
      <w:r>
        <w:rPr>
          <w:rFonts w:hint="eastAsia" w:ascii="宋体" w:hAnsi="宋体" w:cs="宋体"/>
          <w:color w:val="auto"/>
          <w:szCs w:val="21"/>
          <w:highlight w:val="none"/>
        </w:rPr>
        <w:t>中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5B976869">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39.2供应商提供的货物、工程或者服务符合下列情形的，享受中小企业扶持政策：①在货物采购项目中，货物由中小企业制造，即货物由中小企业生产且使用该中小企业商号或者注册商标；②在工程采购项目中，工程由中小企业承建，即工程施工单位为中小企业；③在服务采购项目中，服务由中小企业承接，即提供服务的人员为中小企业依照《中华人民共和国劳动合同法》订立劳动合同的从业人员。</w:t>
      </w:r>
    </w:p>
    <w:p w14:paraId="657D8969">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39.3在货物采购项目中，供应商提供的货物既有中小企业制造货物，也有大型企业制造货物的，不享受中小企业扶持政策。</w:t>
      </w:r>
    </w:p>
    <w:p w14:paraId="3FFD8053">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39.4以联合体形式参加政府采购活动，联合体各方均为中小企业的，联合体视同中小企业。其中，联合体各方均为小微企业的，联合体视同小微企业。</w:t>
      </w:r>
    </w:p>
    <w:p w14:paraId="7F3FCE7D">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联合体参与政府采购项目的，联合体各方所提供货物、工程、服务均为中小企业制造、承建、承接的，联合体视同中小企业，享受对中小企业的预留份额政策；联合体各方提供货物、工程、服务均为小微企业制造、承建、承接的，联合体视同小微企业，享受对小微企业的预留份额政策。</w:t>
      </w:r>
    </w:p>
    <w:p w14:paraId="3920D0CE">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39.5享受中小企业扶持政策获得政府采购合同的，小微企业不得将合同分包给大中型企业，中型企业不得将合同分包给大型企业。</w:t>
      </w:r>
    </w:p>
    <w:p w14:paraId="38984695">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39.6供应商（货物项目时为</w:t>
      </w:r>
      <w:r>
        <w:rPr>
          <w:rFonts w:hint="eastAsia" w:ascii="宋体" w:hAnsi="宋体" w:cs="宋体"/>
          <w:color w:val="auto"/>
          <w:szCs w:val="21"/>
          <w:highlight w:val="none"/>
          <w:lang w:eastAsia="zh-CN"/>
        </w:rPr>
        <w:t>竞标</w:t>
      </w:r>
      <w:r>
        <w:rPr>
          <w:rFonts w:hint="eastAsia" w:ascii="宋体" w:hAnsi="宋体" w:cs="宋体"/>
          <w:color w:val="auto"/>
          <w:szCs w:val="21"/>
          <w:highlight w:val="none"/>
        </w:rPr>
        <w:t>产品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7FE2F96E">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39.7供应商（货物项目时为</w:t>
      </w:r>
      <w:r>
        <w:rPr>
          <w:rFonts w:hint="eastAsia" w:ascii="宋体" w:hAnsi="宋体" w:cs="宋体"/>
          <w:color w:val="auto"/>
          <w:szCs w:val="21"/>
          <w:highlight w:val="none"/>
          <w:lang w:eastAsia="zh-CN"/>
        </w:rPr>
        <w:t>竞标</w:t>
      </w:r>
      <w:r>
        <w:rPr>
          <w:rFonts w:hint="eastAsia" w:ascii="宋体" w:hAnsi="宋体" w:cs="宋体"/>
          <w:color w:val="auto"/>
          <w:szCs w:val="21"/>
          <w:highlight w:val="none"/>
        </w:rPr>
        <w:t>产品提供企业）按《三部门联合发布关于促进残疾人就业政府采购政策的通知》（财库[2017]141号）认定为残疾人福利性单位的，视同小型、微型企业；残疾人福利性单位参加政府采购活动时，应当提供《残疾人福利性单位声明函》。残疾人福利性单位属于小型、微型企业的，不重复享受政策。</w:t>
      </w:r>
    </w:p>
    <w:p w14:paraId="366898DE">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cs="宋体"/>
          <w:color w:val="auto"/>
          <w:highlight w:val="none"/>
        </w:rPr>
      </w:pPr>
      <w:r>
        <w:rPr>
          <w:rFonts w:hint="eastAsia" w:ascii="宋体" w:hAnsi="宋体" w:cs="宋体"/>
          <w:color w:val="auto"/>
          <w:szCs w:val="21"/>
          <w:highlight w:val="none"/>
        </w:rPr>
        <w:t>39.8对于专门面向中小企业采购的采购项目或者采购包，通过发布公告方式邀请供应商后，符合资格条件的中小企业数量不足3家的，应当中止采购活动，视同非专门面向中小企业采购的采购项目或者采购包，按照《政府采购促进中小企业发展管理办法》（财库[2020]46号）第九条有关规定重新组织采购活动。</w:t>
      </w:r>
      <w:r>
        <w:rPr>
          <w:rFonts w:hint="eastAsia" w:ascii="宋体" w:hAnsi="宋体" w:cs="宋体"/>
          <w:color w:val="auto"/>
          <w:sz w:val="32"/>
          <w:szCs w:val="32"/>
          <w:highlight w:val="none"/>
        </w:rPr>
        <w:br w:type="page"/>
      </w:r>
      <w:r>
        <w:rPr>
          <w:rFonts w:hint="eastAsia" w:ascii="宋体" w:hAnsi="宋体" w:cs="宋体"/>
          <w:color w:val="auto"/>
          <w:highlight w:val="none"/>
        </w:rPr>
        <w:t>附件1：</w:t>
      </w:r>
    </w:p>
    <w:p w14:paraId="692FD3F8">
      <w:pPr>
        <w:widowControl/>
        <w:shd w:val="clear" w:color="auto" w:fill="FFFFFF"/>
        <w:spacing w:line="240" w:lineRule="atLeast"/>
        <w:jc w:val="center"/>
        <w:rPr>
          <w:rFonts w:ascii="宋体" w:hAnsi="宋体" w:cs="宋体"/>
          <w:color w:val="auto"/>
          <w:kern w:val="0"/>
          <w:szCs w:val="21"/>
          <w:highlight w:val="none"/>
        </w:rPr>
      </w:pPr>
      <w:r>
        <w:rPr>
          <w:rFonts w:hint="eastAsia" w:ascii="宋体" w:hAnsi="宋体" w:cs="宋体"/>
          <w:b/>
          <w:bCs/>
          <w:color w:val="auto"/>
          <w:kern w:val="0"/>
          <w:szCs w:val="21"/>
          <w:highlight w:val="none"/>
        </w:rPr>
        <w:t>广西壮族自治区政府采购项目</w:t>
      </w:r>
      <w:r>
        <w:rPr>
          <w:rFonts w:hint="eastAsia" w:ascii="宋体" w:hAnsi="宋体" w:cs="宋体"/>
          <w:b/>
          <w:color w:val="auto"/>
          <w:kern w:val="0"/>
          <w:szCs w:val="21"/>
          <w:highlight w:val="none"/>
        </w:rPr>
        <w:t>合同验收书（格式）</w:t>
      </w:r>
    </w:p>
    <w:p w14:paraId="69A84030">
      <w:pPr>
        <w:widowControl/>
        <w:shd w:val="clear" w:color="auto" w:fill="FFFFFF"/>
        <w:snapToGrid w:val="0"/>
        <w:spacing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项目名称  </w:t>
      </w:r>
      <w:r>
        <w:rPr>
          <w:rFonts w:hint="eastAsia" w:ascii="宋体" w:hAnsi="宋体" w:cs="宋体"/>
          <w:color w:val="auto"/>
          <w:kern w:val="0"/>
          <w:szCs w:val="21"/>
          <w:highlight w:val="none"/>
        </w:rPr>
        <w:t>）政府采购项目中标（或成交）供应商（</w:t>
      </w:r>
      <w:r>
        <w:rPr>
          <w:rFonts w:hint="eastAsia" w:ascii="宋体" w:hAnsi="宋体" w:cs="宋体"/>
          <w:color w:val="auto"/>
          <w:kern w:val="0"/>
          <w:szCs w:val="21"/>
          <w:highlight w:val="none"/>
          <w:u w:val="single"/>
        </w:rPr>
        <w:t>           公司名称             </w:t>
      </w:r>
      <w:r>
        <w:rPr>
          <w:rFonts w:hint="eastAsia" w:ascii="宋体" w:hAnsi="宋体" w:cs="宋体"/>
          <w:color w:val="auto"/>
          <w:kern w:val="0"/>
          <w:szCs w:val="21"/>
          <w:highlight w:val="none"/>
        </w:rPr>
        <w:t>）提供的货物（或工程、服务）进行了验收，验收情况如下：</w:t>
      </w:r>
    </w:p>
    <w:tbl>
      <w:tblPr>
        <w:tblStyle w:val="41"/>
        <w:tblW w:w="9457" w:type="dxa"/>
        <w:jc w:val="center"/>
        <w:tblLayout w:type="fixed"/>
        <w:tblCellMar>
          <w:top w:w="0" w:type="dxa"/>
          <w:left w:w="0" w:type="dxa"/>
          <w:bottom w:w="0" w:type="dxa"/>
          <w:right w:w="0" w:type="dxa"/>
        </w:tblCellMar>
      </w:tblPr>
      <w:tblGrid>
        <w:gridCol w:w="1037"/>
        <w:gridCol w:w="2163"/>
        <w:gridCol w:w="891"/>
        <w:gridCol w:w="2648"/>
        <w:gridCol w:w="219"/>
        <w:gridCol w:w="843"/>
        <w:gridCol w:w="1656"/>
      </w:tblGrid>
      <w:tr w14:paraId="59548BD8">
        <w:tblPrEx>
          <w:tblCellMar>
            <w:top w:w="0" w:type="dxa"/>
            <w:left w:w="0" w:type="dxa"/>
            <w:bottom w:w="0" w:type="dxa"/>
            <w:right w:w="0" w:type="dxa"/>
          </w:tblCellMar>
        </w:tblPrEx>
        <w:trPr>
          <w:trHeight w:val="497" w:hRule="atLeast"/>
          <w:jc w:val="center"/>
        </w:trPr>
        <w:tc>
          <w:tcPr>
            <w:tcW w:w="3200" w:type="dxa"/>
            <w:gridSpan w:val="2"/>
            <w:tcBorders>
              <w:top w:val="single" w:color="auto" w:sz="8" w:space="0"/>
              <w:left w:val="single" w:color="auto" w:sz="8" w:space="0"/>
              <w:bottom w:val="single" w:color="auto" w:sz="8" w:space="0"/>
              <w:right w:val="single" w:color="auto" w:sz="8" w:space="0"/>
            </w:tcBorders>
            <w:vAlign w:val="center"/>
          </w:tcPr>
          <w:p w14:paraId="556FC6C5">
            <w:pPr>
              <w:widowControl/>
              <w:snapToGrid w:val="0"/>
              <w:spacing w:before="100" w:beforeAutospacing="1" w:after="100" w:afterAutospacing="1" w:line="24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6257" w:type="dxa"/>
            <w:gridSpan w:val="5"/>
            <w:tcBorders>
              <w:top w:val="single" w:color="auto" w:sz="8" w:space="0"/>
              <w:left w:val="nil"/>
              <w:bottom w:val="single" w:color="auto" w:sz="8" w:space="0"/>
              <w:right w:val="single" w:color="auto" w:sz="8" w:space="0"/>
            </w:tcBorders>
            <w:vAlign w:val="center"/>
          </w:tcPr>
          <w:p w14:paraId="44DBEB2F">
            <w:pPr>
              <w:widowControl/>
              <w:snapToGrid w:val="0"/>
              <w:spacing w:before="100" w:beforeAutospacing="1" w:after="100" w:afterAutospacing="1" w:line="240" w:lineRule="atLeast"/>
              <w:ind w:firstLine="480"/>
              <w:jc w:val="center"/>
              <w:rPr>
                <w:rFonts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14:paraId="3918EE84">
        <w:tblPrEx>
          <w:tblCellMar>
            <w:top w:w="0" w:type="dxa"/>
            <w:left w:w="0" w:type="dxa"/>
            <w:bottom w:w="0" w:type="dxa"/>
            <w:right w:w="0" w:type="dxa"/>
          </w:tblCellMar>
        </w:tblPrEx>
        <w:trPr>
          <w:trHeight w:val="622" w:hRule="atLeast"/>
          <w:jc w:val="center"/>
        </w:trPr>
        <w:tc>
          <w:tcPr>
            <w:tcW w:w="1037" w:type="dxa"/>
            <w:tcBorders>
              <w:top w:val="nil"/>
              <w:left w:val="single" w:color="auto" w:sz="8" w:space="0"/>
              <w:bottom w:val="single" w:color="auto" w:sz="8" w:space="0"/>
              <w:right w:val="single" w:color="auto" w:sz="8" w:space="0"/>
            </w:tcBorders>
            <w:vAlign w:val="center"/>
          </w:tcPr>
          <w:p w14:paraId="296B42BB">
            <w:pPr>
              <w:widowControl/>
              <w:snapToGrid w:val="0"/>
              <w:spacing w:before="100" w:beforeAutospacing="1" w:after="100" w:afterAutospacing="1" w:line="24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2163" w:type="dxa"/>
            <w:tcBorders>
              <w:top w:val="nil"/>
              <w:left w:val="nil"/>
              <w:bottom w:val="single" w:color="auto" w:sz="8" w:space="0"/>
              <w:right w:val="single" w:color="auto" w:sz="8" w:space="0"/>
            </w:tcBorders>
            <w:vAlign w:val="center"/>
          </w:tcPr>
          <w:p w14:paraId="58AE676E">
            <w:pPr>
              <w:widowControl/>
              <w:snapToGrid w:val="0"/>
              <w:spacing w:before="100" w:beforeAutospacing="1" w:after="100" w:afterAutospacing="1" w:line="24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名 称</w:t>
            </w:r>
          </w:p>
        </w:tc>
        <w:tc>
          <w:tcPr>
            <w:tcW w:w="3539" w:type="dxa"/>
            <w:gridSpan w:val="2"/>
            <w:tcBorders>
              <w:top w:val="nil"/>
              <w:left w:val="nil"/>
              <w:bottom w:val="single" w:color="auto" w:sz="8" w:space="0"/>
              <w:right w:val="single" w:color="auto" w:sz="8" w:space="0"/>
            </w:tcBorders>
            <w:vAlign w:val="center"/>
          </w:tcPr>
          <w:p w14:paraId="67ABDDF8">
            <w:pPr>
              <w:widowControl/>
              <w:snapToGrid w:val="0"/>
              <w:spacing w:before="100" w:beforeAutospacing="1" w:after="100" w:afterAutospacing="1" w:line="24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货物型号规格、标准及配置等（或服务内容、标准）</w:t>
            </w:r>
          </w:p>
        </w:tc>
        <w:tc>
          <w:tcPr>
            <w:tcW w:w="1062" w:type="dxa"/>
            <w:gridSpan w:val="2"/>
            <w:tcBorders>
              <w:top w:val="nil"/>
              <w:left w:val="nil"/>
              <w:bottom w:val="single" w:color="auto" w:sz="8" w:space="0"/>
              <w:right w:val="single" w:color="auto" w:sz="8" w:space="0"/>
            </w:tcBorders>
            <w:vAlign w:val="center"/>
          </w:tcPr>
          <w:p w14:paraId="3DDE0694">
            <w:pPr>
              <w:widowControl/>
              <w:snapToGrid w:val="0"/>
              <w:spacing w:before="100" w:beforeAutospacing="1" w:after="100" w:afterAutospacing="1"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1656" w:type="dxa"/>
            <w:tcBorders>
              <w:top w:val="nil"/>
              <w:left w:val="nil"/>
              <w:bottom w:val="single" w:color="auto" w:sz="8" w:space="0"/>
              <w:right w:val="single" w:color="auto" w:sz="8" w:space="0"/>
            </w:tcBorders>
            <w:vAlign w:val="center"/>
          </w:tcPr>
          <w:p w14:paraId="1718C9F9">
            <w:pPr>
              <w:widowControl/>
              <w:snapToGrid w:val="0"/>
              <w:spacing w:before="100" w:beforeAutospacing="1" w:after="100" w:afterAutospacing="1" w:line="24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金 额</w:t>
            </w:r>
          </w:p>
        </w:tc>
      </w:tr>
      <w:tr w14:paraId="054CDB2C">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1DEC87FA">
            <w:pPr>
              <w:widowControl/>
              <w:snapToGrid w:val="0"/>
              <w:spacing w:before="100" w:beforeAutospacing="1" w:after="100" w:afterAutospacing="1" w:line="240" w:lineRule="atLeast"/>
              <w:ind w:firstLine="5"/>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14:paraId="5CB741CE">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14:paraId="47703AEE">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14:paraId="135592B0">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197C32C2">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30C96E3C">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14F384BE">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14:paraId="1AD97E1A">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14:paraId="7182736B">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14:paraId="4897B0F2">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610337F3">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718DAF8C">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6F501DAC">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14:paraId="1AEF1A4C">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14:paraId="0795A375">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14:paraId="5452ABBD">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43DB00A7">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6264936D">
        <w:tblPrEx>
          <w:tblCellMar>
            <w:top w:w="0" w:type="dxa"/>
            <w:left w:w="0" w:type="dxa"/>
            <w:bottom w:w="0" w:type="dxa"/>
            <w:right w:w="0" w:type="dxa"/>
          </w:tblCellMar>
        </w:tblPrEx>
        <w:trPr>
          <w:trHeight w:val="487" w:hRule="atLeast"/>
          <w:jc w:val="center"/>
        </w:trPr>
        <w:tc>
          <w:tcPr>
            <w:tcW w:w="6739" w:type="dxa"/>
            <w:gridSpan w:val="4"/>
            <w:tcBorders>
              <w:top w:val="nil"/>
              <w:left w:val="single" w:color="auto" w:sz="8" w:space="0"/>
              <w:bottom w:val="single" w:color="auto" w:sz="8" w:space="0"/>
              <w:right w:val="single" w:color="auto" w:sz="8" w:space="0"/>
            </w:tcBorders>
            <w:vAlign w:val="center"/>
          </w:tcPr>
          <w:p w14:paraId="5F05BD79">
            <w:pPr>
              <w:widowControl/>
              <w:snapToGrid w:val="0"/>
              <w:spacing w:before="100" w:beforeAutospacing="1" w:after="100" w:afterAutospacing="1" w:line="24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合       计</w:t>
            </w:r>
          </w:p>
        </w:tc>
        <w:tc>
          <w:tcPr>
            <w:tcW w:w="1062" w:type="dxa"/>
            <w:gridSpan w:val="2"/>
            <w:tcBorders>
              <w:top w:val="nil"/>
              <w:left w:val="nil"/>
              <w:bottom w:val="single" w:color="auto" w:sz="8" w:space="0"/>
              <w:right w:val="single" w:color="auto" w:sz="8" w:space="0"/>
            </w:tcBorders>
            <w:vAlign w:val="center"/>
          </w:tcPr>
          <w:p w14:paraId="77E23023">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4550005D">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0EF411E1">
        <w:tblPrEx>
          <w:tblCellMar>
            <w:top w:w="0" w:type="dxa"/>
            <w:left w:w="0" w:type="dxa"/>
            <w:bottom w:w="0" w:type="dxa"/>
            <w:right w:w="0" w:type="dxa"/>
          </w:tblCellMar>
        </w:tblPrEx>
        <w:trPr>
          <w:trHeight w:val="641" w:hRule="atLeast"/>
          <w:jc w:val="center"/>
        </w:trPr>
        <w:tc>
          <w:tcPr>
            <w:tcW w:w="9457" w:type="dxa"/>
            <w:gridSpan w:val="7"/>
            <w:tcBorders>
              <w:top w:val="nil"/>
              <w:left w:val="single" w:color="auto" w:sz="8" w:space="0"/>
              <w:bottom w:val="single" w:color="auto" w:sz="8" w:space="0"/>
              <w:right w:val="single" w:color="auto" w:sz="8" w:space="0"/>
            </w:tcBorders>
            <w:vAlign w:val="center"/>
          </w:tcPr>
          <w:p w14:paraId="105EB717">
            <w:pPr>
              <w:widowControl/>
              <w:snapToGrid w:val="0"/>
              <w:spacing w:before="100" w:beforeAutospacing="1" w:after="100" w:afterAutospacing="1" w:line="240" w:lineRule="atLeast"/>
              <w:ind w:firstLine="2"/>
              <w:jc w:val="left"/>
              <w:rPr>
                <w:rFonts w:ascii="宋体" w:hAnsi="宋体" w:cs="宋体"/>
                <w:color w:val="auto"/>
                <w:kern w:val="0"/>
                <w:szCs w:val="21"/>
                <w:highlight w:val="none"/>
              </w:rPr>
            </w:pPr>
            <w:r>
              <w:rPr>
                <w:rFonts w:hint="eastAsia" w:ascii="宋体" w:hAnsi="宋体" w:cs="宋体"/>
                <w:color w:val="auto"/>
                <w:kern w:val="0"/>
                <w:szCs w:val="21"/>
                <w:highlight w:val="none"/>
              </w:rPr>
              <w:t>合计大写金额：  仟   佰   拾   万   仟   佰   拾   元</w:t>
            </w:r>
          </w:p>
        </w:tc>
      </w:tr>
      <w:tr w14:paraId="6FFFD611">
        <w:tblPrEx>
          <w:tblCellMar>
            <w:top w:w="0" w:type="dxa"/>
            <w:left w:w="0" w:type="dxa"/>
            <w:bottom w:w="0" w:type="dxa"/>
            <w:right w:w="0" w:type="dxa"/>
          </w:tblCellMar>
        </w:tblPrEx>
        <w:trPr>
          <w:trHeight w:val="641" w:hRule="atLeast"/>
          <w:jc w:val="center"/>
        </w:trPr>
        <w:tc>
          <w:tcPr>
            <w:tcW w:w="1037" w:type="dxa"/>
            <w:tcBorders>
              <w:top w:val="nil"/>
              <w:left w:val="single" w:color="auto" w:sz="8" w:space="0"/>
              <w:bottom w:val="single" w:color="auto" w:sz="8" w:space="0"/>
              <w:right w:val="single" w:color="auto" w:sz="8" w:space="0"/>
            </w:tcBorders>
            <w:vAlign w:val="center"/>
          </w:tcPr>
          <w:p w14:paraId="2CD533BD">
            <w:pPr>
              <w:widowControl/>
              <w:snapToGrid w:val="0"/>
              <w:spacing w:before="100" w:beforeAutospacing="1" w:after="100" w:afterAutospacing="1" w:line="240" w:lineRule="atLeast"/>
              <w:ind w:firstLine="2"/>
              <w:jc w:val="left"/>
              <w:rPr>
                <w:rFonts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3054" w:type="dxa"/>
            <w:gridSpan w:val="2"/>
            <w:tcBorders>
              <w:top w:val="nil"/>
              <w:left w:val="nil"/>
              <w:bottom w:val="single" w:color="auto" w:sz="8" w:space="0"/>
              <w:right w:val="single" w:color="auto" w:sz="8" w:space="0"/>
            </w:tcBorders>
            <w:vAlign w:val="center"/>
          </w:tcPr>
          <w:p w14:paraId="05654054">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867" w:type="dxa"/>
            <w:gridSpan w:val="2"/>
            <w:tcBorders>
              <w:top w:val="nil"/>
              <w:left w:val="nil"/>
              <w:bottom w:val="single" w:color="auto" w:sz="8" w:space="0"/>
              <w:right w:val="single" w:color="auto" w:sz="8" w:space="0"/>
            </w:tcBorders>
            <w:vAlign w:val="center"/>
          </w:tcPr>
          <w:p w14:paraId="726160B6">
            <w:pPr>
              <w:widowControl/>
              <w:snapToGrid w:val="0"/>
              <w:spacing w:before="100" w:beforeAutospacing="1" w:after="100" w:afterAutospacing="1" w:line="240" w:lineRule="atLeast"/>
              <w:ind w:firstLine="46"/>
              <w:jc w:val="center"/>
              <w:rPr>
                <w:rFonts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499" w:type="dxa"/>
            <w:gridSpan w:val="2"/>
            <w:tcBorders>
              <w:top w:val="nil"/>
              <w:left w:val="nil"/>
              <w:bottom w:val="single" w:color="auto" w:sz="8" w:space="0"/>
              <w:right w:val="single" w:color="auto" w:sz="8" w:space="0"/>
            </w:tcBorders>
            <w:vAlign w:val="center"/>
          </w:tcPr>
          <w:p w14:paraId="3941EF0D">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4D946FDB">
        <w:tblPrEx>
          <w:tblCellMar>
            <w:top w:w="0" w:type="dxa"/>
            <w:left w:w="0" w:type="dxa"/>
            <w:bottom w:w="0" w:type="dxa"/>
            <w:right w:w="0" w:type="dxa"/>
          </w:tblCellMar>
        </w:tblPrEx>
        <w:trPr>
          <w:trHeight w:val="394" w:hRule="atLeast"/>
          <w:jc w:val="center"/>
        </w:trPr>
        <w:tc>
          <w:tcPr>
            <w:tcW w:w="1037" w:type="dxa"/>
            <w:tcBorders>
              <w:top w:val="nil"/>
              <w:left w:val="single" w:color="auto" w:sz="8" w:space="0"/>
              <w:bottom w:val="single" w:color="auto" w:sz="8" w:space="0"/>
              <w:right w:val="single" w:color="auto" w:sz="8" w:space="0"/>
            </w:tcBorders>
            <w:vAlign w:val="center"/>
          </w:tcPr>
          <w:p w14:paraId="064E5729">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054" w:type="dxa"/>
            <w:gridSpan w:val="2"/>
            <w:tcBorders>
              <w:top w:val="nil"/>
              <w:left w:val="nil"/>
              <w:bottom w:val="single" w:color="auto" w:sz="8" w:space="0"/>
              <w:right w:val="single" w:color="auto" w:sz="8" w:space="0"/>
            </w:tcBorders>
            <w:vAlign w:val="center"/>
          </w:tcPr>
          <w:p w14:paraId="4A93E53F">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867" w:type="dxa"/>
            <w:gridSpan w:val="2"/>
            <w:tcBorders>
              <w:top w:val="nil"/>
              <w:left w:val="nil"/>
              <w:bottom w:val="single" w:color="auto" w:sz="8" w:space="0"/>
              <w:right w:val="single" w:color="auto" w:sz="8" w:space="0"/>
            </w:tcBorders>
            <w:vAlign w:val="center"/>
          </w:tcPr>
          <w:p w14:paraId="5BE7F7C5">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499" w:type="dxa"/>
            <w:gridSpan w:val="2"/>
            <w:tcBorders>
              <w:top w:val="nil"/>
              <w:left w:val="nil"/>
              <w:bottom w:val="single" w:color="auto" w:sz="8" w:space="0"/>
              <w:right w:val="single" w:color="auto" w:sz="8" w:space="0"/>
            </w:tcBorders>
            <w:vAlign w:val="center"/>
          </w:tcPr>
          <w:p w14:paraId="48ABEE0F">
            <w:pPr>
              <w:widowControl/>
              <w:snapToGrid w:val="0"/>
              <w:spacing w:before="100" w:beforeAutospacing="1" w:after="100" w:afterAutospacing="1" w:line="24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47B4149B">
        <w:tblPrEx>
          <w:tblCellMar>
            <w:top w:w="0" w:type="dxa"/>
            <w:left w:w="0" w:type="dxa"/>
            <w:bottom w:w="0" w:type="dxa"/>
            <w:right w:w="0" w:type="dxa"/>
          </w:tblCellMar>
        </w:tblPrEx>
        <w:trPr>
          <w:trHeight w:val="693" w:hRule="atLeast"/>
          <w:jc w:val="center"/>
        </w:trPr>
        <w:tc>
          <w:tcPr>
            <w:tcW w:w="103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43A38D2">
            <w:pPr>
              <w:widowControl/>
              <w:snapToGrid w:val="0"/>
              <w:spacing w:before="100" w:beforeAutospacing="1" w:after="100" w:afterAutospacing="1" w:line="2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420" w:type="dxa"/>
            <w:gridSpan w:val="6"/>
            <w:tcBorders>
              <w:top w:val="nil"/>
              <w:left w:val="nil"/>
              <w:bottom w:val="single" w:color="auto" w:sz="8" w:space="0"/>
              <w:right w:val="single" w:color="auto" w:sz="8" w:space="0"/>
            </w:tcBorders>
            <w:tcMar>
              <w:top w:w="0" w:type="dxa"/>
              <w:left w:w="108" w:type="dxa"/>
              <w:bottom w:w="0" w:type="dxa"/>
              <w:right w:w="108" w:type="dxa"/>
            </w:tcMar>
            <w:vAlign w:val="center"/>
          </w:tcPr>
          <w:p w14:paraId="21018DAC">
            <w:pPr>
              <w:widowControl/>
              <w:snapToGrid w:val="0"/>
              <w:spacing w:before="100" w:beforeAutospacing="1" w:after="100" w:afterAutospacing="1" w:line="2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4BD74ACA">
        <w:tblPrEx>
          <w:tblCellMar>
            <w:top w:w="0" w:type="dxa"/>
            <w:left w:w="0" w:type="dxa"/>
            <w:bottom w:w="0" w:type="dxa"/>
            <w:right w:w="0" w:type="dxa"/>
          </w:tblCellMar>
        </w:tblPrEx>
        <w:trPr>
          <w:trHeight w:val="1281" w:hRule="atLeast"/>
          <w:jc w:val="center"/>
        </w:trPr>
        <w:tc>
          <w:tcPr>
            <w:tcW w:w="103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19AC192">
            <w:pPr>
              <w:widowControl/>
              <w:spacing w:before="100" w:beforeAutospacing="1" w:after="100" w:afterAutospacing="1" w:line="2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420" w:type="dxa"/>
            <w:gridSpan w:val="6"/>
            <w:tcBorders>
              <w:top w:val="nil"/>
              <w:left w:val="nil"/>
              <w:bottom w:val="single" w:color="auto" w:sz="8" w:space="0"/>
              <w:right w:val="single" w:color="auto" w:sz="8" w:space="0"/>
            </w:tcBorders>
            <w:vAlign w:val="center"/>
          </w:tcPr>
          <w:p w14:paraId="3CCBACD8">
            <w:pPr>
              <w:widowControl/>
              <w:spacing w:before="100" w:beforeAutospacing="1" w:after="100" w:afterAutospacing="1" w:line="2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 验收结论性意见：</w:t>
            </w:r>
          </w:p>
          <w:p w14:paraId="6B3FEA11">
            <w:pPr>
              <w:widowControl/>
              <w:spacing w:before="100" w:beforeAutospacing="1" w:after="100" w:afterAutospacing="1" w:line="2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205FF91E">
        <w:tblPrEx>
          <w:tblCellMar>
            <w:top w:w="0" w:type="dxa"/>
            <w:left w:w="0" w:type="dxa"/>
            <w:bottom w:w="0" w:type="dxa"/>
            <w:right w:w="0" w:type="dxa"/>
          </w:tblCellMar>
        </w:tblPrEx>
        <w:trPr>
          <w:trHeight w:val="607" w:hRule="atLeast"/>
          <w:jc w:val="center"/>
        </w:trPr>
        <w:tc>
          <w:tcPr>
            <w:tcW w:w="1037" w:type="dxa"/>
            <w:vMerge w:val="continue"/>
            <w:tcBorders>
              <w:top w:val="nil"/>
              <w:left w:val="single" w:color="auto" w:sz="8" w:space="0"/>
              <w:bottom w:val="single" w:color="auto" w:sz="8" w:space="0"/>
              <w:right w:val="single" w:color="auto" w:sz="8" w:space="0"/>
            </w:tcBorders>
            <w:vAlign w:val="center"/>
          </w:tcPr>
          <w:p w14:paraId="05CEC3CA">
            <w:pPr>
              <w:widowControl/>
              <w:spacing w:line="240" w:lineRule="atLeast"/>
              <w:jc w:val="left"/>
              <w:rPr>
                <w:rFonts w:ascii="宋体" w:hAnsi="宋体" w:cs="宋体"/>
                <w:color w:val="auto"/>
                <w:kern w:val="0"/>
                <w:szCs w:val="21"/>
                <w:highlight w:val="none"/>
              </w:rPr>
            </w:pPr>
          </w:p>
        </w:tc>
        <w:tc>
          <w:tcPr>
            <w:tcW w:w="8420" w:type="dxa"/>
            <w:gridSpan w:val="6"/>
            <w:tcBorders>
              <w:top w:val="nil"/>
              <w:left w:val="nil"/>
              <w:bottom w:val="single" w:color="auto" w:sz="8" w:space="0"/>
              <w:right w:val="single" w:color="auto" w:sz="8" w:space="0"/>
            </w:tcBorders>
            <w:vAlign w:val="center"/>
          </w:tcPr>
          <w:p w14:paraId="74562166">
            <w:pPr>
              <w:widowControl/>
              <w:spacing w:before="100" w:beforeAutospacing="1" w:after="100" w:afterAutospacing="1" w:line="240" w:lineRule="atLeast"/>
              <w:ind w:firstLine="96"/>
              <w:jc w:val="left"/>
              <w:rPr>
                <w:rFonts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67E7DC95">
            <w:pPr>
              <w:widowControl/>
              <w:spacing w:before="100" w:beforeAutospacing="1" w:after="100" w:afterAutospacing="1" w:line="2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                                      签字：</w:t>
            </w:r>
          </w:p>
        </w:tc>
      </w:tr>
      <w:tr w14:paraId="7B409677">
        <w:tblPrEx>
          <w:tblCellMar>
            <w:top w:w="0" w:type="dxa"/>
            <w:left w:w="0" w:type="dxa"/>
            <w:bottom w:w="0" w:type="dxa"/>
            <w:right w:w="0" w:type="dxa"/>
          </w:tblCellMar>
        </w:tblPrEx>
        <w:trPr>
          <w:trHeight w:val="507" w:hRule="atLeast"/>
          <w:jc w:val="center"/>
        </w:trPr>
        <w:tc>
          <w:tcPr>
            <w:tcW w:w="9457"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2D4E76B">
            <w:pPr>
              <w:widowControl/>
              <w:spacing w:before="100" w:beforeAutospacing="1" w:after="100" w:afterAutospacing="1" w:line="2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62280C3A">
        <w:tblPrEx>
          <w:tblCellMar>
            <w:top w:w="0" w:type="dxa"/>
            <w:left w:w="0" w:type="dxa"/>
            <w:bottom w:w="0" w:type="dxa"/>
            <w:right w:w="0" w:type="dxa"/>
          </w:tblCellMar>
        </w:tblPrEx>
        <w:trPr>
          <w:trHeight w:val="736" w:hRule="atLeast"/>
          <w:jc w:val="center"/>
        </w:trPr>
        <w:tc>
          <w:tcPr>
            <w:tcW w:w="9457" w:type="dxa"/>
            <w:gridSpan w:val="7"/>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62201903">
            <w:pPr>
              <w:widowControl/>
              <w:spacing w:before="100" w:beforeAutospacing="1" w:after="100" w:afterAutospacing="1" w:line="2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监督人员或其他相关人员签字：</w:t>
            </w:r>
          </w:p>
          <w:p w14:paraId="2A299BA8">
            <w:pPr>
              <w:widowControl/>
              <w:spacing w:before="100" w:beforeAutospacing="1" w:after="100" w:afterAutospacing="1" w:line="240" w:lineRule="atLeast"/>
              <w:ind w:firstLine="74"/>
              <w:jc w:val="left"/>
              <w:rPr>
                <w:rFonts w:ascii="宋体" w:hAnsi="宋体" w:cs="宋体"/>
                <w:color w:val="auto"/>
                <w:kern w:val="0"/>
                <w:szCs w:val="21"/>
                <w:highlight w:val="none"/>
              </w:rPr>
            </w:pPr>
            <w:r>
              <w:rPr>
                <w:rFonts w:hint="eastAsia" w:ascii="宋体" w:hAnsi="宋体" w:cs="宋体"/>
                <w:color w:val="auto"/>
                <w:kern w:val="0"/>
                <w:szCs w:val="21"/>
                <w:highlight w:val="none"/>
              </w:rPr>
              <w:t>或受邀机构的意见（盖章）：</w:t>
            </w:r>
          </w:p>
        </w:tc>
      </w:tr>
      <w:tr w14:paraId="073BEECD">
        <w:tblPrEx>
          <w:tblCellMar>
            <w:top w:w="0" w:type="dxa"/>
            <w:left w:w="0" w:type="dxa"/>
            <w:bottom w:w="0" w:type="dxa"/>
            <w:right w:w="0" w:type="dxa"/>
          </w:tblCellMar>
        </w:tblPrEx>
        <w:trPr>
          <w:trHeight w:val="1485" w:hRule="atLeast"/>
          <w:jc w:val="center"/>
        </w:trPr>
        <w:tc>
          <w:tcPr>
            <w:tcW w:w="4091"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51C3612">
            <w:pPr>
              <w:widowControl/>
              <w:spacing w:before="100" w:beforeAutospacing="1" w:after="100" w:afterAutospacing="1" w:line="2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中标或者成交供应商负责人签字或盖章：</w:t>
            </w:r>
          </w:p>
          <w:p w14:paraId="54F48D71">
            <w:pPr>
              <w:widowControl/>
              <w:spacing w:before="100" w:beforeAutospacing="1" w:after="100" w:afterAutospacing="1" w:line="2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5366" w:type="dxa"/>
            <w:gridSpan w:val="4"/>
            <w:tcBorders>
              <w:top w:val="single" w:color="auto" w:sz="4" w:space="0"/>
              <w:left w:val="single" w:color="auto" w:sz="4" w:space="0"/>
              <w:bottom w:val="single" w:color="auto" w:sz="4" w:space="0"/>
              <w:right w:val="single" w:color="auto" w:sz="4" w:space="0"/>
            </w:tcBorders>
            <w:vAlign w:val="center"/>
          </w:tcPr>
          <w:p w14:paraId="534EBDD7">
            <w:pPr>
              <w:widowControl/>
              <w:spacing w:before="100" w:beforeAutospacing="1" w:after="100" w:afterAutospacing="1" w:line="2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采购人或受托机构的意见（盖章）：</w:t>
            </w:r>
          </w:p>
          <w:p w14:paraId="7AE5E0A9">
            <w:pPr>
              <w:widowControl/>
              <w:spacing w:before="100" w:beforeAutospacing="1" w:after="100" w:afterAutospacing="1" w:line="24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14:paraId="76C559E1">
      <w:pPr>
        <w:pStyle w:val="23"/>
        <w:snapToGrid w:val="0"/>
        <w:spacing w:line="440" w:lineRule="exact"/>
        <w:rPr>
          <w:rFonts w:hAnsi="宋体" w:cs="宋体"/>
          <w:color w:val="auto"/>
          <w:highlight w:val="none"/>
        </w:rPr>
      </w:pPr>
    </w:p>
    <w:p w14:paraId="408ADC67">
      <w:pPr>
        <w:pStyle w:val="23"/>
        <w:snapToGrid w:val="0"/>
        <w:spacing w:line="440" w:lineRule="exact"/>
        <w:rPr>
          <w:rFonts w:hAnsi="宋体" w:cs="宋体"/>
          <w:color w:val="auto"/>
          <w:highlight w:val="none"/>
        </w:rPr>
      </w:pPr>
    </w:p>
    <w:p w14:paraId="6D801529">
      <w:pPr>
        <w:pStyle w:val="23"/>
        <w:snapToGrid w:val="0"/>
        <w:spacing w:line="440" w:lineRule="exact"/>
        <w:rPr>
          <w:rFonts w:hAnsi="宋体" w:cs="宋体"/>
          <w:color w:val="auto"/>
          <w:highlight w:val="none"/>
        </w:rPr>
      </w:pPr>
    </w:p>
    <w:p w14:paraId="7220E3C4">
      <w:pPr>
        <w:pStyle w:val="3"/>
        <w:spacing w:line="440" w:lineRule="exact"/>
        <w:jc w:val="center"/>
        <w:rPr>
          <w:rFonts w:ascii="宋体" w:hAnsi="宋体" w:cs="宋体"/>
          <w:color w:val="auto"/>
          <w:sz w:val="32"/>
          <w:szCs w:val="32"/>
          <w:highlight w:val="none"/>
        </w:rPr>
      </w:pPr>
      <w:bookmarkStart w:id="25" w:name="_Toc88747293"/>
      <w:r>
        <w:rPr>
          <w:rFonts w:hint="eastAsia" w:ascii="宋体" w:hAnsi="宋体" w:cs="宋体"/>
          <w:color w:val="auto"/>
          <w:sz w:val="32"/>
          <w:szCs w:val="32"/>
          <w:highlight w:val="none"/>
        </w:rPr>
        <w:t>第三章 项目采购需求</w:t>
      </w:r>
      <w:bookmarkEnd w:id="25"/>
    </w:p>
    <w:p w14:paraId="6C8FFDC7">
      <w:pPr>
        <w:keepNext w:val="0"/>
        <w:keepLines w:val="0"/>
        <w:pageBreakBefore w:val="0"/>
        <w:widowControl/>
        <w:kinsoku/>
        <w:wordWrap/>
        <w:overflowPunct/>
        <w:topLinePunct w:val="0"/>
        <w:autoSpaceDE/>
        <w:autoSpaceDN/>
        <w:bidi w:val="0"/>
        <w:adjustRightInd/>
        <w:snapToGrid/>
        <w:spacing w:line="440" w:lineRule="exact"/>
        <w:ind w:firstLine="422" w:firstLineChars="200"/>
        <w:textAlignment w:val="auto"/>
        <w:outlineLvl w:val="0"/>
        <w:rPr>
          <w:rFonts w:ascii="宋体" w:hAnsi="宋体" w:cs="宋体"/>
          <w:color w:val="auto"/>
          <w:highlight w:val="none"/>
        </w:rPr>
      </w:pPr>
      <w:r>
        <w:rPr>
          <w:rFonts w:hint="eastAsia" w:ascii="宋体" w:hAnsi="宋体" w:cs="宋体"/>
          <w:b/>
          <w:color w:val="auto"/>
          <w:szCs w:val="21"/>
          <w:highlight w:val="none"/>
        </w:rPr>
        <w:t>说明：</w:t>
      </w:r>
      <w:r>
        <w:rPr>
          <w:rFonts w:hint="eastAsia" w:ascii="宋体" w:hAnsi="宋体" w:cs="宋体"/>
          <w:b/>
          <w:color w:val="auto"/>
          <w:szCs w:val="21"/>
          <w:highlight w:val="none"/>
        </w:rPr>
        <w:br w:type="textWrapping"/>
      </w:r>
      <w:r>
        <w:rPr>
          <w:rFonts w:hint="eastAsia" w:ascii="宋体" w:hAnsi="宋体" w:cs="宋体"/>
          <w:b/>
          <w:color w:val="auto"/>
          <w:highlight w:val="none"/>
        </w:rPr>
        <w:t>一、</w:t>
      </w:r>
      <w:r>
        <w:rPr>
          <w:rFonts w:hint="eastAsia" w:ascii="宋体" w:hAnsi="宋体" w:cs="宋体"/>
          <w:color w:val="auto"/>
          <w:highlight w:val="none"/>
        </w:rPr>
        <w:t>本需求表中标注“▲”的条款均为实质性要求或条件，供应商必须作出满足或者优于该要求和条件的承诺（另有要求的除外），否则</w:t>
      </w:r>
      <w:r>
        <w:rPr>
          <w:rFonts w:hint="eastAsia" w:ascii="宋体" w:hAnsi="宋体" w:cs="宋体"/>
          <w:color w:val="auto"/>
          <w:highlight w:val="none"/>
          <w:lang w:eastAsia="zh-CN"/>
        </w:rPr>
        <w:t>竞标</w:t>
      </w:r>
      <w:r>
        <w:rPr>
          <w:rFonts w:hint="eastAsia" w:ascii="宋体" w:hAnsi="宋体" w:cs="宋体"/>
          <w:color w:val="auto"/>
          <w:highlight w:val="none"/>
        </w:rPr>
        <w:t>无效。未标注“▲”的</w:t>
      </w:r>
      <w:bookmarkStart w:id="26" w:name="OLE_LINK2"/>
      <w:r>
        <w:rPr>
          <w:rFonts w:hint="eastAsia" w:ascii="宋体" w:hAnsi="宋体" w:cs="宋体"/>
          <w:color w:val="auto"/>
          <w:highlight w:val="none"/>
        </w:rPr>
        <w:t>条款发生负偏离或不响应</w:t>
      </w:r>
      <w:bookmarkEnd w:id="26"/>
      <w:r>
        <w:rPr>
          <w:rFonts w:hint="eastAsia" w:ascii="宋体" w:hAnsi="宋体" w:cs="宋体"/>
          <w:color w:val="auto"/>
          <w:highlight w:val="none"/>
        </w:rPr>
        <w:t>达</w:t>
      </w:r>
      <w:r>
        <w:rPr>
          <w:rFonts w:hint="eastAsia" w:ascii="宋体" w:hAnsi="宋体" w:cs="宋体"/>
          <w:color w:val="auto"/>
          <w:highlight w:val="none"/>
          <w:lang w:val="en-US" w:eastAsia="zh-CN"/>
        </w:rPr>
        <w:t xml:space="preserve"> </w:t>
      </w:r>
      <w:r>
        <w:rPr>
          <w:rFonts w:hint="eastAsia" w:ascii="宋体" w:hAnsi="宋体" w:cs="宋体"/>
          <w:color w:val="auto"/>
          <w:highlight w:val="none"/>
          <w:u w:val="single"/>
          <w:lang w:val="en-US" w:eastAsia="zh-CN"/>
        </w:rPr>
        <w:t>3</w:t>
      </w:r>
      <w:r>
        <w:rPr>
          <w:rFonts w:hint="eastAsia" w:ascii="宋体" w:hAnsi="宋体" w:cs="宋体"/>
          <w:color w:val="auto"/>
          <w:highlight w:val="none"/>
          <w:u w:val="single"/>
        </w:rPr>
        <w:t xml:space="preserve"> </w:t>
      </w:r>
      <w:r>
        <w:rPr>
          <w:rFonts w:hint="eastAsia" w:ascii="宋体" w:hAnsi="宋体" w:cs="宋体"/>
          <w:color w:val="auto"/>
          <w:highlight w:val="none"/>
        </w:rPr>
        <w:t>项（含）以上的，</w:t>
      </w:r>
      <w:r>
        <w:rPr>
          <w:rFonts w:hint="eastAsia" w:ascii="宋体" w:hAnsi="宋体" w:cs="宋体"/>
          <w:b/>
          <w:bCs/>
          <w:color w:val="auto"/>
          <w:szCs w:val="21"/>
          <w:highlight w:val="none"/>
        </w:rPr>
        <w:t>响应文件按无效处理</w:t>
      </w:r>
      <w:r>
        <w:rPr>
          <w:rFonts w:hint="eastAsia" w:ascii="宋体" w:hAnsi="宋体" w:cs="宋体"/>
          <w:color w:val="auto"/>
          <w:highlight w:val="none"/>
        </w:rPr>
        <w:t>。</w:t>
      </w:r>
    </w:p>
    <w:p w14:paraId="0BDFFE9F">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color w:val="auto"/>
          <w:szCs w:val="21"/>
          <w:highlight w:val="none"/>
        </w:rPr>
      </w:pPr>
      <w:r>
        <w:rPr>
          <w:rFonts w:hint="eastAsia" w:ascii="宋体" w:hAnsi="宋体" w:cs="宋体"/>
          <w:b/>
          <w:color w:val="auto"/>
          <w:highlight w:val="none"/>
        </w:rPr>
        <w:t>二、</w:t>
      </w:r>
      <w:r>
        <w:rPr>
          <w:rFonts w:hint="eastAsia" w:ascii="宋体" w:hAnsi="宋体" w:cs="宋体"/>
          <w:color w:val="auto"/>
          <w:szCs w:val="21"/>
          <w:highlight w:val="none"/>
        </w:rPr>
        <w:t>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电子签章），</w:t>
      </w:r>
      <w:r>
        <w:rPr>
          <w:rFonts w:hint="eastAsia" w:ascii="宋体" w:hAnsi="宋体" w:cs="宋体"/>
          <w:b/>
          <w:bCs/>
          <w:color w:val="auto"/>
          <w:szCs w:val="21"/>
          <w:highlight w:val="none"/>
        </w:rPr>
        <w:t>否则响应文件按无效处理</w:t>
      </w:r>
      <w:r>
        <w:rPr>
          <w:rFonts w:hint="eastAsia" w:ascii="宋体" w:hAnsi="宋体" w:cs="宋体"/>
          <w:color w:val="auto"/>
          <w:szCs w:val="21"/>
          <w:highlight w:val="none"/>
        </w:rPr>
        <w:t>。如本项目包含的货物属于品目清单内非标注“★”的产品时，应优先采购，具体详见“第</w:t>
      </w: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章 评审</w:t>
      </w:r>
      <w:r>
        <w:rPr>
          <w:rFonts w:hint="eastAsia" w:ascii="宋体" w:hAnsi="宋体" w:cs="宋体"/>
          <w:color w:val="auto"/>
          <w:szCs w:val="21"/>
          <w:highlight w:val="none"/>
          <w:lang w:val="en-US" w:eastAsia="zh-CN"/>
        </w:rPr>
        <w:t>方法和评审标准</w:t>
      </w:r>
      <w:r>
        <w:rPr>
          <w:rFonts w:hint="eastAsia" w:ascii="宋体" w:hAnsi="宋体" w:cs="宋体"/>
          <w:color w:val="auto"/>
          <w:szCs w:val="21"/>
          <w:highlight w:val="none"/>
        </w:rPr>
        <w:t>”。本项目为服务项目，不涉及强制采购节能产品。</w:t>
      </w:r>
    </w:p>
    <w:p w14:paraId="05F15E15">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三、服务项目中包含货物的，根据《关于调整网络安全专用产品安全管理有关事项的公告》（2023年第1号）规定，本项目采购需求中的产品如果包括《网络关键设备和网络安全专用产品目录》中的网络安全专用产品，供应商在响应文件中应主动列明供货范围中属于网络安全专用产品的响应产品，并在响应文件（商务及技术文件）中提供由中国网信网（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w:t>
      </w:r>
      <w:r>
        <w:rPr>
          <w:rFonts w:hint="eastAsia" w:ascii="宋体" w:hAnsi="宋体" w:cs="宋体"/>
          <w:b/>
          <w:bCs/>
          <w:color w:val="auto"/>
          <w:highlight w:val="none"/>
        </w:rPr>
        <w:t>响应文件按无效处理</w:t>
      </w:r>
      <w:r>
        <w:rPr>
          <w:rFonts w:hint="eastAsia" w:ascii="宋体" w:hAnsi="宋体" w:cs="宋体"/>
          <w:color w:val="auto"/>
          <w:highlight w:val="none"/>
        </w:rPr>
        <w:t>。如属于《网络关键设备和网络安全专用产品目录》中“二、网络安全专用产品”内“产品类别”中所描述的产品，但不属于所列“产品描述”情形的，应提供相应的说明及证明材料。</w:t>
      </w:r>
    </w:p>
    <w:p w14:paraId="30E7878F">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highlight w:val="none"/>
          <w:lang w:eastAsia="zh-CN"/>
        </w:rPr>
      </w:pPr>
      <w:r>
        <w:rPr>
          <w:rFonts w:hint="eastAsia" w:ascii="宋体" w:hAnsi="宋体" w:cs="宋体"/>
          <w:color w:val="auto"/>
          <w:highlight w:val="none"/>
          <w:lang w:val="en-US" w:eastAsia="zh-CN"/>
        </w:rPr>
        <w:t>四、</w:t>
      </w:r>
      <w:r>
        <w:rPr>
          <w:rFonts w:hint="eastAsia" w:ascii="宋体" w:hAnsi="宋体" w:cs="宋体"/>
          <w:color w:val="auto"/>
          <w:highlight w:val="none"/>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hint="eastAsia" w:ascii="宋体" w:hAnsi="宋体" w:cs="宋体"/>
          <w:color w:val="auto"/>
          <w:highlight w:val="none"/>
          <w:lang w:eastAsia="zh-CN"/>
        </w:rPr>
        <w:t>。</w:t>
      </w:r>
    </w:p>
    <w:p w14:paraId="6E826A0C">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hint="default" w:ascii="宋体" w:hAnsi="宋体" w:cs="宋体"/>
          <w:b/>
          <w:bCs/>
          <w:color w:val="auto"/>
          <w:highlight w:val="none"/>
          <w:lang w:val="en-US" w:eastAsia="zh-CN"/>
        </w:rPr>
      </w:pPr>
      <w:r>
        <w:rPr>
          <w:rFonts w:hint="eastAsia" w:ascii="宋体" w:hAnsi="宋体" w:cs="宋体"/>
          <w:b/>
          <w:bCs/>
          <w:color w:val="auto"/>
          <w:highlight w:val="none"/>
          <w:lang w:val="en-US" w:eastAsia="zh-CN"/>
        </w:rPr>
        <w:t>五、采购需求的中小企业划分标准所属行业名称：其他未列明行业。【见本章附件2】</w:t>
      </w:r>
    </w:p>
    <w:p w14:paraId="2E90F87A">
      <w:pPr>
        <w:widowControl/>
        <w:spacing w:line="440" w:lineRule="exact"/>
        <w:jc w:val="left"/>
        <w:rPr>
          <w:rFonts w:ascii="宋体" w:hAnsi="宋体" w:cs="宋体"/>
          <w:color w:val="auto"/>
          <w:kern w:val="0"/>
          <w:sz w:val="24"/>
          <w:highlight w:val="none"/>
        </w:rPr>
      </w:pPr>
    </w:p>
    <w:p w14:paraId="777FDC9A">
      <w:pPr>
        <w:widowControl/>
        <w:spacing w:line="440" w:lineRule="exact"/>
        <w:jc w:val="left"/>
        <w:rPr>
          <w:rFonts w:ascii="宋体" w:hAnsi="宋体" w:cs="宋体"/>
          <w:color w:val="auto"/>
          <w:kern w:val="0"/>
          <w:sz w:val="24"/>
          <w:highlight w:val="none"/>
        </w:rPr>
      </w:pPr>
    </w:p>
    <w:p w14:paraId="25085916">
      <w:pPr>
        <w:rPr>
          <w:rFonts w:ascii="宋体" w:hAnsi="宋体" w:cs="宋体"/>
          <w:color w:val="auto"/>
          <w:highlight w:val="none"/>
        </w:rPr>
      </w:pPr>
      <w:r>
        <w:rPr>
          <w:rFonts w:hint="eastAsia" w:ascii="宋体" w:hAnsi="宋体" w:cs="宋体"/>
          <w:color w:val="auto"/>
          <w:kern w:val="0"/>
          <w:sz w:val="24"/>
          <w:highlight w:val="none"/>
        </w:rPr>
        <w:br w:type="page"/>
      </w:r>
    </w:p>
    <w:p w14:paraId="1DA1980C">
      <w:pPr>
        <w:pStyle w:val="4"/>
        <w:spacing w:before="0" w:after="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标项一：</w:t>
      </w:r>
      <w:r>
        <w:rPr>
          <w:rFonts w:hint="eastAsia" w:ascii="宋体" w:hAnsi="宋体" w:eastAsia="宋体" w:cs="宋体"/>
          <w:color w:val="auto"/>
          <w:sz w:val="24"/>
          <w:szCs w:val="24"/>
          <w:highlight w:val="none"/>
          <w:lang w:val="en-US" w:eastAsia="zh-CN"/>
        </w:rPr>
        <w:t>动科院2026年课程资源建设采购项目</w:t>
      </w:r>
    </w:p>
    <w:tbl>
      <w:tblPr>
        <w:tblStyle w:val="41"/>
        <w:tblW w:w="10208" w:type="dxa"/>
        <w:jc w:val="center"/>
        <w:tblLayout w:type="fixed"/>
        <w:tblCellMar>
          <w:top w:w="0" w:type="dxa"/>
          <w:left w:w="0" w:type="dxa"/>
          <w:bottom w:w="0" w:type="dxa"/>
          <w:right w:w="0" w:type="dxa"/>
        </w:tblCellMar>
      </w:tblPr>
      <w:tblGrid>
        <w:gridCol w:w="443"/>
        <w:gridCol w:w="656"/>
        <w:gridCol w:w="638"/>
        <w:gridCol w:w="4767"/>
        <w:gridCol w:w="562"/>
        <w:gridCol w:w="450"/>
        <w:gridCol w:w="788"/>
        <w:gridCol w:w="858"/>
        <w:gridCol w:w="1046"/>
      </w:tblGrid>
      <w:tr w14:paraId="272BFCEA">
        <w:tblPrEx>
          <w:tblCellMar>
            <w:top w:w="0" w:type="dxa"/>
            <w:left w:w="0" w:type="dxa"/>
            <w:bottom w:w="0" w:type="dxa"/>
            <w:right w:w="0" w:type="dxa"/>
          </w:tblCellMar>
        </w:tblPrEx>
        <w:trPr>
          <w:trHeight w:val="0" w:hRule="atLeast"/>
          <w:jc w:val="center"/>
        </w:trPr>
        <w:tc>
          <w:tcPr>
            <w:tcW w:w="10208" w:type="dxa"/>
            <w:gridSpan w:val="9"/>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1ABBE7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rPr>
                <w:rFonts w:hint="eastAsia" w:ascii="宋体" w:hAnsi="宋体" w:eastAsia="宋体"/>
                <w:b/>
                <w:bCs/>
                <w:color w:val="000000"/>
                <w:sz w:val="21"/>
                <w:szCs w:val="21"/>
                <w:highlight w:val="none"/>
              </w:rPr>
            </w:pPr>
            <w:r>
              <w:rPr>
                <w:rFonts w:hint="default" w:ascii="Times New Roman" w:hAnsi="Times New Roman" w:eastAsia="宋体" w:cs="Times New Roman"/>
                <w:b/>
                <w:bCs/>
                <w:color w:val="000000"/>
                <w:sz w:val="21"/>
                <w:szCs w:val="21"/>
              </w:rPr>
              <w:t>一、技术要求</w:t>
            </w:r>
          </w:p>
        </w:tc>
      </w:tr>
      <w:tr w14:paraId="3439D969">
        <w:tblPrEx>
          <w:tblCellMar>
            <w:top w:w="0" w:type="dxa"/>
            <w:left w:w="0" w:type="dxa"/>
            <w:bottom w:w="0" w:type="dxa"/>
            <w:right w:w="0" w:type="dxa"/>
          </w:tblCellMar>
        </w:tblPrEx>
        <w:trPr>
          <w:trHeight w:val="0" w:hRule="atLeast"/>
          <w:jc w:val="center"/>
        </w:trPr>
        <w:tc>
          <w:tcPr>
            <w:tcW w:w="443"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455962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rPr>
                <w:rFonts w:hint="default" w:ascii="宋体" w:hAnsi="宋体" w:eastAsia="宋体"/>
                <w:b/>
                <w:bCs/>
                <w:color w:val="000000"/>
                <w:kern w:val="0"/>
                <w:sz w:val="21"/>
                <w:szCs w:val="21"/>
                <w:highlight w:val="none"/>
              </w:rPr>
            </w:pPr>
            <w:r>
              <w:rPr>
                <w:rFonts w:hint="eastAsia" w:ascii="宋体" w:hAnsi="宋体" w:eastAsia="宋体"/>
                <w:b/>
                <w:bCs/>
                <w:color w:val="000000"/>
                <w:kern w:val="0"/>
                <w:sz w:val="21"/>
                <w:szCs w:val="21"/>
                <w:highlight w:val="none"/>
              </w:rPr>
              <w:t>序号</w:t>
            </w:r>
          </w:p>
        </w:tc>
        <w:tc>
          <w:tcPr>
            <w:tcW w:w="656"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0A3E4F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rPr>
                <w:rFonts w:hint="default" w:ascii="宋体" w:hAnsi="宋体" w:eastAsia="宋体"/>
                <w:b/>
                <w:bCs/>
                <w:color w:val="000000"/>
                <w:sz w:val="21"/>
                <w:szCs w:val="21"/>
                <w:highlight w:val="none"/>
              </w:rPr>
            </w:pPr>
            <w:r>
              <w:rPr>
                <w:rFonts w:hint="eastAsia" w:ascii="宋体" w:hAnsi="宋体" w:eastAsia="宋体"/>
                <w:b/>
                <w:bCs/>
                <w:color w:val="000000"/>
                <w:sz w:val="21"/>
                <w:szCs w:val="21"/>
                <w:highlight w:val="none"/>
              </w:rPr>
              <w:t>采购内容</w:t>
            </w:r>
          </w:p>
        </w:tc>
        <w:tc>
          <w:tcPr>
            <w:tcW w:w="638"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391200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rPr>
                <w:rFonts w:hint="default" w:ascii="宋体" w:hAnsi="宋体" w:eastAsia="宋体"/>
                <w:b/>
                <w:bCs/>
                <w:color w:val="000000"/>
                <w:kern w:val="0"/>
                <w:sz w:val="21"/>
                <w:szCs w:val="21"/>
                <w:highlight w:val="none"/>
              </w:rPr>
            </w:pPr>
            <w:r>
              <w:rPr>
                <w:rFonts w:hint="eastAsia" w:ascii="宋体" w:hAnsi="宋体" w:eastAsia="宋体"/>
                <w:b/>
                <w:bCs/>
                <w:color w:val="000000"/>
                <w:sz w:val="21"/>
                <w:szCs w:val="21"/>
                <w:highlight w:val="none"/>
              </w:rPr>
              <w:t>参考品牌型号</w:t>
            </w:r>
          </w:p>
        </w:tc>
        <w:tc>
          <w:tcPr>
            <w:tcW w:w="476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D97005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rPr>
                <w:rFonts w:hint="default" w:ascii="宋体" w:hAnsi="宋体" w:eastAsia="宋体"/>
                <w:b/>
                <w:bCs/>
                <w:color w:val="000000"/>
                <w:sz w:val="21"/>
                <w:szCs w:val="21"/>
                <w:highlight w:val="none"/>
              </w:rPr>
            </w:pPr>
            <w:r>
              <w:rPr>
                <w:rFonts w:hint="eastAsia" w:ascii="宋体" w:hAnsi="宋体" w:eastAsia="宋体" w:cs="仿宋_GB2312"/>
                <w:b/>
                <w:bCs/>
                <w:color w:val="000000"/>
                <w:kern w:val="0"/>
                <w:sz w:val="21"/>
                <w:szCs w:val="21"/>
                <w:highlight w:val="none"/>
              </w:rPr>
              <w:t>技术参数</w:t>
            </w:r>
          </w:p>
        </w:tc>
        <w:tc>
          <w:tcPr>
            <w:tcW w:w="562"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8A4895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rPr>
                <w:rFonts w:hint="eastAsia" w:ascii="宋体" w:hAnsi="宋体" w:eastAsia="宋体" w:cs="仿宋_GB2312"/>
                <w:b/>
                <w:bCs/>
                <w:color w:val="000000"/>
                <w:kern w:val="0"/>
                <w:sz w:val="21"/>
                <w:szCs w:val="21"/>
                <w:highlight w:val="none"/>
              </w:rPr>
            </w:pPr>
            <w:r>
              <w:rPr>
                <w:rFonts w:hint="eastAsia" w:ascii="宋体" w:hAnsi="宋体" w:eastAsia="宋体" w:cs="仿宋_GB2312"/>
                <w:b/>
                <w:bCs/>
                <w:color w:val="000000"/>
                <w:kern w:val="0"/>
                <w:sz w:val="21"/>
                <w:szCs w:val="21"/>
                <w:highlight w:val="none"/>
              </w:rPr>
              <w:t>计量单位</w:t>
            </w:r>
          </w:p>
        </w:tc>
        <w:tc>
          <w:tcPr>
            <w:tcW w:w="450"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8CD1E2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rPr>
                <w:rFonts w:hint="eastAsia" w:ascii="宋体" w:hAnsi="宋体" w:eastAsia="宋体" w:cs="仿宋_GB2312"/>
                <w:b/>
                <w:bCs/>
                <w:color w:val="000000"/>
                <w:kern w:val="0"/>
                <w:sz w:val="21"/>
                <w:szCs w:val="21"/>
                <w:highlight w:val="none"/>
              </w:rPr>
            </w:pPr>
            <w:r>
              <w:rPr>
                <w:rFonts w:hint="eastAsia" w:ascii="宋体" w:hAnsi="宋体" w:eastAsia="宋体" w:cs="仿宋_GB2312"/>
                <w:b/>
                <w:bCs/>
                <w:color w:val="000000"/>
                <w:kern w:val="0"/>
                <w:sz w:val="21"/>
                <w:szCs w:val="21"/>
                <w:highlight w:val="none"/>
              </w:rPr>
              <w:t>数量</w:t>
            </w:r>
          </w:p>
        </w:tc>
        <w:tc>
          <w:tcPr>
            <w:tcW w:w="788"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DCE986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rPr>
                <w:rFonts w:hint="eastAsia" w:ascii="宋体" w:hAnsi="宋体" w:eastAsia="宋体"/>
                <w:b/>
                <w:bCs/>
                <w:color w:val="000000"/>
                <w:sz w:val="21"/>
                <w:szCs w:val="21"/>
                <w:highlight w:val="none"/>
              </w:rPr>
            </w:pPr>
            <w:r>
              <w:rPr>
                <w:rFonts w:hint="eastAsia" w:ascii="宋体" w:hAnsi="宋体" w:eastAsia="宋体"/>
                <w:b/>
                <w:bCs/>
                <w:color w:val="000000"/>
                <w:sz w:val="21"/>
                <w:szCs w:val="21"/>
                <w:highlight w:val="none"/>
              </w:rPr>
              <w:t>单价</w:t>
            </w:r>
          </w:p>
          <w:p w14:paraId="1353F71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rPr>
                <w:rFonts w:hint="eastAsia" w:ascii="宋体" w:hAnsi="宋体" w:eastAsia="宋体" w:cs="仿宋_GB2312"/>
                <w:b/>
                <w:bCs/>
                <w:color w:val="000000"/>
                <w:kern w:val="0"/>
                <w:sz w:val="21"/>
                <w:szCs w:val="21"/>
                <w:highlight w:val="none"/>
              </w:rPr>
            </w:pPr>
            <w:r>
              <w:rPr>
                <w:rFonts w:hint="eastAsia" w:ascii="宋体" w:hAnsi="宋体" w:eastAsia="宋体"/>
                <w:b/>
                <w:bCs/>
                <w:color w:val="000000"/>
                <w:sz w:val="21"/>
                <w:szCs w:val="21"/>
                <w:highlight w:val="none"/>
              </w:rPr>
              <w:t>（元）</w:t>
            </w:r>
          </w:p>
        </w:tc>
        <w:tc>
          <w:tcPr>
            <w:tcW w:w="858"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9273F1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rPr>
                <w:rFonts w:hint="eastAsia" w:ascii="宋体" w:hAnsi="宋体" w:eastAsia="宋体"/>
                <w:b/>
                <w:bCs/>
                <w:color w:val="000000"/>
                <w:sz w:val="21"/>
                <w:szCs w:val="21"/>
                <w:highlight w:val="none"/>
              </w:rPr>
            </w:pPr>
            <w:r>
              <w:rPr>
                <w:rFonts w:hint="eastAsia" w:ascii="宋体" w:hAnsi="宋体" w:eastAsia="宋体"/>
                <w:b/>
                <w:bCs/>
                <w:color w:val="000000"/>
                <w:sz w:val="21"/>
                <w:szCs w:val="21"/>
                <w:highlight w:val="none"/>
              </w:rPr>
              <w:t>小计</w:t>
            </w:r>
          </w:p>
          <w:p w14:paraId="3423FC5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rPr>
                <w:rFonts w:hint="eastAsia" w:ascii="宋体" w:hAnsi="宋体" w:eastAsia="宋体" w:cs="仿宋_GB2312"/>
                <w:b/>
                <w:bCs/>
                <w:color w:val="000000"/>
                <w:kern w:val="0"/>
                <w:sz w:val="21"/>
                <w:szCs w:val="21"/>
                <w:highlight w:val="none"/>
              </w:rPr>
            </w:pPr>
            <w:r>
              <w:rPr>
                <w:rFonts w:hint="eastAsia" w:ascii="宋体" w:hAnsi="宋体" w:eastAsia="宋体"/>
                <w:b/>
                <w:bCs/>
                <w:color w:val="000000"/>
                <w:sz w:val="21"/>
                <w:szCs w:val="21"/>
                <w:highlight w:val="none"/>
              </w:rPr>
              <w:t>（元）</w:t>
            </w:r>
          </w:p>
        </w:tc>
        <w:tc>
          <w:tcPr>
            <w:tcW w:w="1046"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F52030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rPr>
                <w:rFonts w:hint="eastAsia" w:ascii="宋体" w:hAnsi="宋体" w:eastAsia="宋体" w:cs="仿宋_GB2312"/>
                <w:b/>
                <w:bCs/>
                <w:color w:val="000000"/>
                <w:kern w:val="0"/>
                <w:sz w:val="21"/>
                <w:szCs w:val="21"/>
                <w:highlight w:val="none"/>
              </w:rPr>
            </w:pPr>
            <w:r>
              <w:rPr>
                <w:rFonts w:hint="eastAsia" w:ascii="宋体" w:hAnsi="宋体" w:eastAsia="宋体"/>
                <w:b/>
                <w:bCs/>
                <w:color w:val="000000"/>
                <w:sz w:val="21"/>
                <w:szCs w:val="21"/>
                <w:highlight w:val="none"/>
              </w:rPr>
              <w:t>说明（必要性、用途、存放地点等）</w:t>
            </w:r>
          </w:p>
        </w:tc>
      </w:tr>
      <w:tr w14:paraId="1BCDBB08">
        <w:tblPrEx>
          <w:tblCellMar>
            <w:top w:w="0" w:type="dxa"/>
            <w:left w:w="0" w:type="dxa"/>
            <w:bottom w:w="0" w:type="dxa"/>
            <w:right w:w="0" w:type="dxa"/>
          </w:tblCellMar>
        </w:tblPrEx>
        <w:trPr>
          <w:trHeight w:val="0" w:hRule="atLeast"/>
          <w:jc w:val="center"/>
        </w:trPr>
        <w:tc>
          <w:tcPr>
            <w:tcW w:w="443"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691556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1</w:t>
            </w:r>
          </w:p>
        </w:tc>
        <w:tc>
          <w:tcPr>
            <w:tcW w:w="656"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57B6A1A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bCs/>
                <w:color w:val="auto"/>
                <w:kern w:val="0"/>
                <w:sz w:val="21"/>
                <w:szCs w:val="21"/>
              </w:rPr>
              <w:t>动物医学教学资源库</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bidi="ar"/>
              </w:rPr>
              <w:t>课程宣传片定制</w:t>
            </w:r>
          </w:p>
        </w:tc>
        <w:tc>
          <w:tcPr>
            <w:tcW w:w="638"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3F1807F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textAlignment w:val="center"/>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定制</w:t>
            </w:r>
          </w:p>
        </w:tc>
        <w:tc>
          <w:tcPr>
            <w:tcW w:w="4767"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7921C2D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1.制作内容：课程宣传片</w:t>
            </w:r>
            <w:r>
              <w:rPr>
                <w:rFonts w:hint="eastAsia" w:ascii="宋体" w:hAnsi="宋体" w:cs="宋体"/>
                <w:color w:val="auto"/>
                <w:sz w:val="21"/>
                <w:szCs w:val="21"/>
                <w:highlight w:val="none"/>
                <w:lang w:val="en-US" w:eastAsia="zh-CN" w:bidi="ar"/>
              </w:rPr>
              <w:t>1</w:t>
            </w:r>
            <w:r>
              <w:rPr>
                <w:rFonts w:hint="eastAsia" w:ascii="宋体" w:hAnsi="宋体" w:eastAsia="宋体" w:cs="宋体"/>
                <w:color w:val="auto"/>
                <w:sz w:val="21"/>
                <w:szCs w:val="21"/>
                <w:highlight w:val="none"/>
                <w:lang w:bidi="ar"/>
              </w:rPr>
              <w:t>个，每个时长</w:t>
            </w: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分钟。</w:t>
            </w:r>
          </w:p>
          <w:p w14:paraId="7BC0AEE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lang w:bidi="ar"/>
              </w:rPr>
              <w:t>2.以</w:t>
            </w:r>
            <w:r>
              <w:rPr>
                <w:rFonts w:hint="eastAsia" w:ascii="宋体" w:hAnsi="宋体" w:eastAsia="宋体" w:cs="宋体"/>
                <w:color w:val="auto"/>
                <w:sz w:val="21"/>
                <w:szCs w:val="21"/>
                <w:lang w:bidi="ar"/>
              </w:rPr>
              <w:t>视频为主要载体，体现学校及学院名称、课程主题、团队成员、课程特点等内容，加动画效果和配乐包装；</w:t>
            </w:r>
          </w:p>
          <w:p w14:paraId="32DEB33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3.课程导学中可采用虚拟录播、二维动画、实景拍摄等多种制作形式，全片使用AE特效软件针对相关图片、数据、图表、标题等进行精细特效包装，表现出生动活泼的视频呈现效果，从而吸引观看者的注意力；</w:t>
            </w:r>
          </w:p>
          <w:p w14:paraId="7367F34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4.使用专业的视频拍摄设备，配备足够录音设备，视频色彩鲜明、曝光合理；</w:t>
            </w:r>
          </w:p>
          <w:p w14:paraId="3906911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5.人物抠像部分可以在校方微课录制室拍摄，配置专业灯光，提供提词器以及配备编导人员作为拍摄现场指导；</w:t>
            </w:r>
          </w:p>
          <w:p w14:paraId="091A868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6.实景拍摄在符合专业特性的场地，配置专业灯光设备和实现1-2机位拍摄，配备编导人员作为拍摄现场指导，场地由校方提供；</w:t>
            </w:r>
          </w:p>
          <w:p w14:paraId="5771E36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7.不含航拍、高空拍摄、潜拍等特殊拍摄方式；</w:t>
            </w:r>
          </w:p>
          <w:p w14:paraId="702541D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8.校方老师或学生配音，也可以采用专业配音员配音，配适合背景音乐；</w:t>
            </w:r>
          </w:p>
          <w:p w14:paraId="5B34ED0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9.根据课程导学脚本设计对拍摄的视频素材进行剪辑，对相关课程资料图片文件等素材以突出课程特点为方向使用AE特效软件进行包装加工美化，配合辅助文字、辅助线和重点提示等条充分展示课程知识点内容。结合处理好的老师抠像、配音按照脚本设计制作成课程宣传片；</w:t>
            </w:r>
          </w:p>
          <w:p w14:paraId="79985E1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10.字幕要使用符合国家标准的规范字，不出现繁体字、异体字(国家规定的除外)、错别字；字幕的字体、大小、色彩搭配、摆放位置、停留时间、出入屏方式力求与其他要素（画面、解说词、音乐）配合适当，不能破坏原有画面；</w:t>
            </w:r>
          </w:p>
          <w:p w14:paraId="6524D3C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11.根据课程内容提供片头、片尾，时长不少于3秒；</w:t>
            </w:r>
          </w:p>
          <w:p w14:paraId="5A57F3D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12.存储格式采用mp4存储格式；</w:t>
            </w:r>
          </w:p>
          <w:p w14:paraId="173FCA8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13.采用H.264/AVC（MPEG-4 Part10）编码格式压缩；分辨率不低于1920x1080（16:9），音频采用AAC（MPEG4 Part3）格式压缩。</w:t>
            </w:r>
          </w:p>
          <w:p w14:paraId="6421774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14.所有制作的教学资源版权归属采购人所有。</w:t>
            </w:r>
          </w:p>
          <w:p w14:paraId="6581C2C4">
            <w:pPr>
              <w:pStyle w:val="20"/>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▲15.项目实施团队成员至少包含是动画、摄影摄像、广播电视编导等相关专业人员。</w:t>
            </w:r>
            <w:r>
              <w:rPr>
                <w:rFonts w:hint="eastAsia" w:ascii="宋体" w:hAnsi="宋体" w:eastAsia="宋体" w:cs="宋体"/>
                <w:b/>
                <w:bCs/>
                <w:color w:val="auto"/>
                <w:sz w:val="21"/>
                <w:szCs w:val="21"/>
                <w:lang w:val="en-US" w:eastAsia="zh-CN" w:bidi="ar"/>
              </w:rPr>
              <w:t>（提供相关职业或职称证书</w:t>
            </w:r>
            <w:r>
              <w:rPr>
                <w:rFonts w:hint="eastAsia" w:ascii="宋体" w:hAnsi="宋体" w:eastAsia="宋体" w:cs="宋体"/>
                <w:b/>
                <w:bCs/>
                <w:color w:val="auto"/>
                <w:kern w:val="2"/>
                <w:sz w:val="21"/>
                <w:szCs w:val="21"/>
                <w:lang w:val="en-US" w:eastAsia="zh-CN" w:bidi="ar"/>
              </w:rPr>
              <w:t>扫描件</w:t>
            </w:r>
            <w:r>
              <w:rPr>
                <w:rFonts w:hint="eastAsia" w:ascii="宋体" w:hAnsi="宋体" w:eastAsia="宋体" w:cs="宋体"/>
                <w:b/>
                <w:bCs/>
                <w:color w:val="auto"/>
                <w:sz w:val="21"/>
                <w:szCs w:val="21"/>
                <w:lang w:val="en-US" w:eastAsia="zh-CN" w:bidi="ar"/>
              </w:rPr>
              <w:t>）</w:t>
            </w:r>
          </w:p>
          <w:p w14:paraId="2F341A9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▲16.项目总负责人必须为供应商正式员工，且</w:t>
            </w:r>
            <w:r>
              <w:rPr>
                <w:rFonts w:hint="eastAsia" w:ascii="宋体" w:hAnsi="宋体" w:eastAsia="宋体" w:cs="宋体"/>
                <w:color w:val="auto"/>
                <w:sz w:val="21"/>
                <w:szCs w:val="21"/>
                <w:lang w:val="en-US" w:eastAsia="zh-CN" w:bidi="ar"/>
              </w:rPr>
              <w:t>承诺</w:t>
            </w:r>
            <w:r>
              <w:rPr>
                <w:rFonts w:hint="eastAsia" w:ascii="宋体" w:hAnsi="宋体" w:eastAsia="宋体" w:cs="宋体"/>
                <w:color w:val="auto"/>
                <w:sz w:val="21"/>
                <w:szCs w:val="21"/>
                <w:lang w:bidi="ar"/>
              </w:rPr>
              <w:t>具备相关类型项目的统筹管理经验,熟悉相关制作流程以及制作流程的各个注意事项，能够指导教师在各个环节进行统筹跟进，因项目经理无经验或经验不足，导致教师无法按时完成任务的，由供应商负责赔偿。</w:t>
            </w:r>
            <w:r>
              <w:rPr>
                <w:rFonts w:hint="eastAsia" w:ascii="宋体" w:hAnsi="宋体" w:eastAsia="宋体" w:cs="宋体"/>
                <w:b/>
                <w:bCs/>
                <w:color w:val="auto"/>
                <w:sz w:val="21"/>
                <w:szCs w:val="21"/>
                <w:lang w:bidi="ar"/>
              </w:rPr>
              <w:t>（提供项目总负责人劳动合同或社保证明材料复印件加盖公章）</w:t>
            </w:r>
          </w:p>
          <w:p w14:paraId="0CA703B8">
            <w:pPr>
              <w:pStyle w:val="20"/>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rPr>
                <w:rFonts w:hint="eastAsia" w:ascii="宋体" w:hAnsi="宋体" w:eastAsia="宋体" w:cs="宋体"/>
                <w:b/>
                <w:bCs/>
                <w:color w:val="auto"/>
                <w:sz w:val="21"/>
                <w:szCs w:val="21"/>
                <w:lang w:bidi="ar"/>
              </w:rPr>
            </w:pPr>
            <w:r>
              <w:rPr>
                <w:rFonts w:hint="eastAsia" w:ascii="宋体" w:hAnsi="宋体" w:eastAsia="宋体" w:cs="宋体"/>
                <w:color w:val="auto"/>
                <w:sz w:val="21"/>
                <w:szCs w:val="21"/>
                <w:lang w:bidi="ar"/>
              </w:rPr>
              <w:t>▲17.供应商应根据采购人教师课程制作的需要，提供虚拟录播拍摄室，为了进行虚拟录播拍摄及保证拍摄工作进度，虚拟录播室在隔音、设备符合拍摄要求。</w:t>
            </w:r>
            <w:r>
              <w:rPr>
                <w:rFonts w:hint="eastAsia" w:ascii="宋体" w:hAnsi="宋体" w:eastAsia="宋体" w:cs="宋体"/>
                <w:b/>
                <w:bCs/>
                <w:color w:val="auto"/>
                <w:sz w:val="21"/>
                <w:szCs w:val="21"/>
                <w:lang w:bidi="ar"/>
              </w:rPr>
              <w:t>（响应文件需提供录播室场景图照片）</w:t>
            </w:r>
          </w:p>
          <w:p w14:paraId="00C60041">
            <w:pPr>
              <w:pStyle w:val="16"/>
              <w:spacing w:line="360" w:lineRule="exac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▲18.供应商制作团队需聘请或配备行业相关专业且具有高级职称的工程师</w:t>
            </w:r>
            <w:r>
              <w:rPr>
                <w:rFonts w:hint="eastAsia" w:ascii="宋体" w:hAnsi="宋体" w:eastAsia="宋体" w:cs="宋体"/>
                <w:b/>
                <w:bCs/>
                <w:color w:val="auto"/>
                <w:sz w:val="21"/>
                <w:szCs w:val="21"/>
                <w:lang w:bidi="ar"/>
              </w:rPr>
              <w:t>（至少2名）</w:t>
            </w:r>
            <w:r>
              <w:rPr>
                <w:rFonts w:hint="eastAsia" w:ascii="宋体" w:hAnsi="宋体" w:eastAsia="宋体" w:cs="宋体"/>
                <w:color w:val="auto"/>
                <w:sz w:val="21"/>
                <w:szCs w:val="21"/>
                <w:lang w:bidi="ar"/>
              </w:rPr>
              <w:t>，专家对脚本内容及视频成品进行审核，以保证视频成品的正确性和严谨性，相关聘请费用由供应商承担。</w:t>
            </w:r>
            <w:r>
              <w:rPr>
                <w:rFonts w:hint="eastAsia" w:ascii="宋体" w:hAnsi="宋体" w:cs="宋体"/>
                <w:b/>
                <w:bCs/>
                <w:color w:val="auto"/>
                <w:sz w:val="21"/>
                <w:szCs w:val="21"/>
                <w:lang w:eastAsia="zh-CN" w:bidi="ar"/>
              </w:rPr>
              <w:t>（</w:t>
            </w:r>
            <w:r>
              <w:rPr>
                <w:rFonts w:hint="eastAsia" w:ascii="宋体" w:hAnsi="宋体" w:eastAsia="宋体" w:cs="宋体"/>
                <w:b/>
                <w:bCs/>
                <w:color w:val="auto"/>
                <w:sz w:val="21"/>
                <w:szCs w:val="21"/>
                <w:lang w:bidi="ar"/>
              </w:rPr>
              <w:t>响应文件中提供专家职称</w:t>
            </w:r>
            <w:r>
              <w:rPr>
                <w:rFonts w:hint="eastAsia" w:ascii="宋体" w:hAnsi="宋体" w:cs="宋体"/>
                <w:b/>
                <w:bCs/>
                <w:color w:val="auto"/>
                <w:sz w:val="21"/>
                <w:szCs w:val="21"/>
                <w:lang w:val="en-US" w:eastAsia="zh-CN" w:bidi="ar"/>
              </w:rPr>
              <w:t>扫描件</w:t>
            </w:r>
            <w:r>
              <w:rPr>
                <w:rFonts w:hint="eastAsia" w:ascii="宋体" w:hAnsi="宋体" w:eastAsia="宋体" w:cs="宋体"/>
                <w:b/>
                <w:bCs/>
                <w:color w:val="auto"/>
                <w:sz w:val="21"/>
                <w:szCs w:val="21"/>
                <w:lang w:val="en-US" w:eastAsia="zh-CN" w:bidi="ar"/>
              </w:rPr>
              <w:t>或</w:t>
            </w:r>
            <w:r>
              <w:rPr>
                <w:rFonts w:hint="eastAsia" w:ascii="宋体" w:hAnsi="宋体" w:cs="宋体"/>
                <w:b/>
                <w:bCs/>
                <w:color w:val="auto"/>
                <w:sz w:val="21"/>
                <w:szCs w:val="21"/>
                <w:lang w:val="en-US" w:eastAsia="zh-CN" w:bidi="ar"/>
              </w:rPr>
              <w:t>在响应文件中提供</w:t>
            </w:r>
            <w:r>
              <w:rPr>
                <w:rFonts w:hint="eastAsia" w:ascii="宋体" w:hAnsi="宋体" w:eastAsia="宋体" w:cs="宋体"/>
                <w:b/>
                <w:bCs/>
                <w:color w:val="auto"/>
                <w:sz w:val="21"/>
                <w:szCs w:val="21"/>
                <w:lang w:val="en-US" w:eastAsia="zh-CN" w:bidi="ar"/>
              </w:rPr>
              <w:t>承诺</w:t>
            </w:r>
            <w:r>
              <w:rPr>
                <w:rFonts w:hint="eastAsia" w:ascii="宋体" w:hAnsi="宋体" w:cs="宋体"/>
                <w:b/>
                <w:bCs/>
                <w:color w:val="auto"/>
                <w:sz w:val="21"/>
                <w:szCs w:val="21"/>
                <w:lang w:val="en-US" w:eastAsia="zh-CN" w:bidi="ar"/>
              </w:rPr>
              <w:t>函（承诺</w:t>
            </w:r>
            <w:r>
              <w:rPr>
                <w:rFonts w:hint="eastAsia" w:ascii="宋体" w:hAnsi="宋体" w:eastAsia="宋体" w:cs="宋体"/>
                <w:b/>
                <w:bCs/>
                <w:color w:val="auto"/>
                <w:sz w:val="21"/>
                <w:szCs w:val="21"/>
                <w:lang w:val="en-US" w:eastAsia="zh-CN" w:bidi="ar"/>
              </w:rPr>
              <w:t>中标后聘请专家并向采购人提供</w:t>
            </w:r>
            <w:r>
              <w:rPr>
                <w:rFonts w:hint="eastAsia" w:ascii="宋体" w:hAnsi="宋体" w:eastAsia="宋体" w:cs="宋体"/>
                <w:b/>
                <w:bCs/>
                <w:color w:val="auto"/>
                <w:sz w:val="21"/>
                <w:szCs w:val="21"/>
                <w:lang w:bidi="ar"/>
              </w:rPr>
              <w:t>专家职称复印件</w:t>
            </w:r>
            <w:r>
              <w:rPr>
                <w:rFonts w:hint="eastAsia" w:ascii="宋体" w:hAnsi="宋体" w:eastAsia="宋体" w:cs="宋体"/>
                <w:b/>
                <w:bCs/>
                <w:color w:val="auto"/>
                <w:sz w:val="21"/>
                <w:szCs w:val="21"/>
                <w:lang w:val="en-US" w:eastAsia="zh-CN" w:bidi="ar"/>
              </w:rPr>
              <w:t>材料</w:t>
            </w:r>
            <w:r>
              <w:rPr>
                <w:rFonts w:hint="eastAsia" w:ascii="宋体" w:hAnsi="宋体" w:cs="宋体"/>
                <w:b/>
                <w:bCs/>
                <w:color w:val="auto"/>
                <w:sz w:val="21"/>
                <w:szCs w:val="21"/>
                <w:lang w:val="en-US" w:eastAsia="zh-CN" w:bidi="ar"/>
              </w:rPr>
              <w:t>）并加盖电子公章</w:t>
            </w:r>
            <w:r>
              <w:rPr>
                <w:rFonts w:hint="eastAsia" w:ascii="宋体" w:hAnsi="宋体" w:eastAsia="宋体" w:cs="宋体"/>
                <w:b/>
                <w:bCs/>
                <w:color w:val="auto"/>
                <w:sz w:val="21"/>
                <w:szCs w:val="21"/>
                <w:lang w:val="en-US" w:eastAsia="zh-CN" w:bidi="ar"/>
              </w:rPr>
              <w:t>。</w:t>
            </w:r>
            <w:r>
              <w:rPr>
                <w:rFonts w:hint="eastAsia" w:ascii="宋体" w:hAnsi="宋体" w:cs="宋体"/>
                <w:b/>
                <w:bCs/>
                <w:color w:val="auto"/>
                <w:sz w:val="21"/>
                <w:szCs w:val="21"/>
                <w:lang w:eastAsia="zh-CN" w:bidi="ar"/>
              </w:rPr>
              <w:t>）</w:t>
            </w:r>
          </w:p>
          <w:p w14:paraId="0089DD2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auto"/>
                <w:sz w:val="21"/>
                <w:szCs w:val="21"/>
                <w:lang w:bidi="ar"/>
              </w:rPr>
              <w:t>▲19.供应商必须有相关课程宣传片制作经验，能保证视频的整体质量。</w:t>
            </w:r>
            <w:r>
              <w:rPr>
                <w:rFonts w:hint="eastAsia" w:ascii="宋体" w:hAnsi="宋体" w:eastAsia="宋体" w:cs="宋体"/>
                <w:b/>
                <w:bCs/>
                <w:color w:val="auto"/>
                <w:sz w:val="21"/>
                <w:szCs w:val="21"/>
                <w:lang w:bidi="ar"/>
              </w:rPr>
              <w:t>（响应文件中提供相关课程宣传片的视频工程文件截图，不少于三个案例，每个案例截图不少于三张。）</w:t>
            </w:r>
          </w:p>
        </w:tc>
        <w:tc>
          <w:tcPr>
            <w:tcW w:w="562"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522D50E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kern w:val="0"/>
                <w:sz w:val="21"/>
                <w:szCs w:val="21"/>
                <w:highlight w:val="none"/>
                <w:lang w:bidi="ar"/>
              </w:rPr>
              <w:t>个</w:t>
            </w:r>
          </w:p>
        </w:tc>
        <w:tc>
          <w:tcPr>
            <w:tcW w:w="450"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0476FF7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kern w:val="0"/>
                <w:sz w:val="21"/>
                <w:szCs w:val="21"/>
                <w:highlight w:val="none"/>
                <w:lang w:val="en-US" w:eastAsia="zh-CN" w:bidi="ar"/>
              </w:rPr>
              <w:t>7</w:t>
            </w:r>
          </w:p>
        </w:tc>
        <w:tc>
          <w:tcPr>
            <w:tcW w:w="788"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076864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color w:val="auto"/>
                <w:sz w:val="21"/>
                <w:szCs w:val="21"/>
                <w:lang w:bidi="ar"/>
              </w:rPr>
            </w:pPr>
            <w:r>
              <w:rPr>
                <w:rFonts w:hint="eastAsia" w:ascii="宋体" w:hAnsi="宋体" w:eastAsia="宋体" w:cs="宋体"/>
                <w:color w:val="auto"/>
                <w:kern w:val="0"/>
                <w:sz w:val="21"/>
                <w:szCs w:val="21"/>
                <w:lang w:val="en-US" w:eastAsia="zh-CN" w:bidi="ar"/>
              </w:rPr>
              <w:t>25</w:t>
            </w:r>
            <w:r>
              <w:rPr>
                <w:rFonts w:hint="eastAsia" w:ascii="宋体" w:hAnsi="宋体" w:eastAsia="宋体" w:cs="宋体"/>
                <w:color w:val="auto"/>
                <w:kern w:val="0"/>
                <w:sz w:val="21"/>
                <w:szCs w:val="21"/>
                <w:lang w:bidi="ar"/>
              </w:rPr>
              <w:t>00</w:t>
            </w:r>
          </w:p>
        </w:tc>
        <w:tc>
          <w:tcPr>
            <w:tcW w:w="858"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437FCB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color w:val="auto"/>
                <w:sz w:val="21"/>
                <w:szCs w:val="21"/>
                <w:lang w:bidi="ar"/>
              </w:rPr>
            </w:pPr>
            <w:r>
              <w:rPr>
                <w:rFonts w:hint="eastAsia" w:ascii="宋体" w:hAnsi="宋体" w:eastAsia="宋体" w:cs="宋体"/>
                <w:color w:val="auto"/>
                <w:kern w:val="0"/>
                <w:sz w:val="21"/>
                <w:szCs w:val="21"/>
                <w:lang w:bidi="ar"/>
              </w:rPr>
              <w:t>1</w:t>
            </w:r>
            <w:r>
              <w:rPr>
                <w:rFonts w:hint="eastAsia" w:ascii="宋体" w:hAnsi="宋体" w:eastAsia="宋体" w:cs="宋体"/>
                <w:color w:val="auto"/>
                <w:kern w:val="0"/>
                <w:sz w:val="21"/>
                <w:szCs w:val="21"/>
                <w:lang w:val="en-US" w:eastAsia="zh-CN" w:bidi="ar"/>
              </w:rPr>
              <w:t>75</w:t>
            </w:r>
            <w:r>
              <w:rPr>
                <w:rFonts w:hint="eastAsia" w:ascii="宋体" w:hAnsi="宋体" w:eastAsia="宋体" w:cs="宋体"/>
                <w:color w:val="auto"/>
                <w:kern w:val="0"/>
                <w:sz w:val="21"/>
                <w:szCs w:val="21"/>
                <w:lang w:bidi="ar"/>
              </w:rPr>
              <w:t>00</w:t>
            </w:r>
          </w:p>
        </w:tc>
        <w:tc>
          <w:tcPr>
            <w:tcW w:w="1046"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46E51E4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textAlignment w:val="center"/>
              <w:rPr>
                <w:rFonts w:hint="eastAsia" w:ascii="宋体" w:hAnsi="宋体" w:eastAsia="宋体" w:cs="宋体"/>
                <w:color w:val="auto"/>
                <w:sz w:val="21"/>
                <w:szCs w:val="21"/>
                <w:lang w:bidi="ar"/>
              </w:rPr>
            </w:pPr>
            <w:r>
              <w:rPr>
                <w:rFonts w:hint="eastAsia" w:ascii="宋体" w:hAnsi="宋体" w:eastAsia="宋体" w:cs="宋体"/>
                <w:color w:val="auto"/>
                <w:kern w:val="0"/>
                <w:sz w:val="21"/>
                <w:szCs w:val="21"/>
                <w:highlight w:val="none"/>
                <w:lang w:val="en-US" w:bidi="zh-CN"/>
              </w:rPr>
              <w:t>完善动物医学专业教学资源库，建设精品课程</w:t>
            </w:r>
          </w:p>
        </w:tc>
      </w:tr>
      <w:tr w14:paraId="0A43E44F">
        <w:tblPrEx>
          <w:tblCellMar>
            <w:top w:w="0" w:type="dxa"/>
            <w:left w:w="0" w:type="dxa"/>
            <w:bottom w:w="0" w:type="dxa"/>
            <w:right w:w="0" w:type="dxa"/>
          </w:tblCellMar>
        </w:tblPrEx>
        <w:trPr>
          <w:trHeight w:val="0" w:hRule="atLeast"/>
          <w:jc w:val="center"/>
        </w:trPr>
        <w:tc>
          <w:tcPr>
            <w:tcW w:w="443"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0B9FC33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656"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765015C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bCs/>
                <w:color w:val="auto"/>
                <w:kern w:val="0"/>
                <w:sz w:val="21"/>
                <w:szCs w:val="21"/>
              </w:rPr>
              <w:t>动物医学教学资源库-</w:t>
            </w:r>
            <w:r>
              <w:rPr>
                <w:rFonts w:hint="eastAsia" w:ascii="宋体" w:hAnsi="宋体" w:eastAsia="宋体" w:cs="宋体"/>
                <w:color w:val="auto"/>
                <w:kern w:val="0"/>
                <w:sz w:val="21"/>
                <w:szCs w:val="21"/>
                <w:lang w:bidi="ar"/>
              </w:rPr>
              <w:t>微课程视频定制</w:t>
            </w:r>
          </w:p>
        </w:tc>
        <w:tc>
          <w:tcPr>
            <w:tcW w:w="638"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35FED4D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定制</w:t>
            </w:r>
          </w:p>
        </w:tc>
        <w:tc>
          <w:tcPr>
            <w:tcW w:w="4767"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52A4C6B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1.每个时长5-10分钟。</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2.微课程视频内容应符合我国法律法规，尊重各民族的风俗习惯，版权不存在争议。</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3.微课程要求以视频为主要载体，围绕某个知识点内容展开、基于教学设计的学习资源。含片头、片尾、教师出镜拍摄、教师录制配音、PPT穿插、使用添加PPT内置动画效果包装，使用添加PPT内置平滑切换效果包装，制作所用的软件版本Microsoft Office 2016或同等及以上档次；</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4.根据课程需要，协助教学团队完成多种拍摄场地的教学场景设计及布景。根据课程性质，课程制作团队与教师一起确定课程最合理的拍摄方式。提供以下4种的拍摄模式供老师选择，特殊课程可根据老师课程框架设计更多拍摄模式，一门课程可以采用多种拍摄模式：</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（1）真人抠像+PPT模式：在摄影棚内拍摄教师出镜和配音，全程PPT演示。</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2）数字人采集+PPT模式：对出镜教师进行1套服装和妆容造型数字教师训练模型视频采集服务，对教师真人形象进行AI合成与训练，训练数字人的嘴型、面部表情和肢体动作。通过音频驱动数字教师做出和语音完全匹配的嘴型面部表情和肢体动作。数字教师是固定的形象，和提供的教师真人的视频，一样的发型，妆容，服饰，1:1还原，克隆好的数字教师不支持更换衣服和妆容配饰等等。生成视频要求图像清晰，声音和画面同步，播放时没有明显的噪点，播放流畅；</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（3）室内场景实操模式：根据老师课程需求，选择在特定拍摄场地，多机位拍摄。</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（4）随堂拍摄模式：随堂拍摄，多机位拍摄，记录老师讲课现场风采。</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（5）访谈式：在摄影棚内或与课程风格贴近的实景场地拍摄，根据访谈人数，设定机位数，教学过程由多位老师交流讨论完成。适合启发性的、思维拓展和发散的学科课程。</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5.使用专业的影视拍摄设备，配备广播级专业录音设备，视频画质高清、色彩鲜明、曝光合理、音质清晰；</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6.实操场景拍摄，在符合专业特性的室内场地，配置专业灯光设备和实现1-2机位拍摄，配备编导人员作为拍摄现场指导，场地由校方提供；</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7.不含航拍、高空拍摄、潜拍等特殊拍摄方式；后期包装不含二维动画、三维动画制作。</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8.人物抠像部分可以在校方微课录制室拍摄，配置专业灯光，提供提词器以及配备编导人员作为拍摄现场指导；人物抠像模板工程使用AE软件进行设计，要求人物抠像边缘清晰无闪烁，无噪点，无发绿或发蓝现象，文件制作所用的软件版本在Adobe CC 2018或同等及以上档次；</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9.模板应用：在老师提供PPT初稿的基础上重新进行符合课程内容特点的PPT美化设计，包含不同板块的背景、教师出镜背景、人名条、章节页、画中画框、关键字美化框等元素。模板朴素、大方，颜色适宜，便于长时间观看；在模板的适当位置标明课程名称、模块（章或节）序号与模块（章或节）的名称，多个页面均有的相同元素。课程中使用到的课程专业图片由教师提供且无版权争议；</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10.视频采用MP4格式封装。</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11.字幕要使用符合国家标准的规范字，不出现繁体字、异体字(国家规定的除外)、错别字；字幕的字体、大小、色彩搭配、摆放位置、停留时间、出入屏方式力求与其他要素（画面、解说词、音乐）配合适当，不能破坏原有画面</w:t>
            </w:r>
            <w:r>
              <w:rPr>
                <w:rFonts w:hint="eastAsia" w:ascii="宋体" w:hAnsi="宋体" w:cs="宋体"/>
                <w:color w:val="auto"/>
                <w:sz w:val="21"/>
                <w:szCs w:val="21"/>
                <w:lang w:eastAsia="zh-CN" w:bidi="ar"/>
              </w:rPr>
              <w:t>；</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12.视频要求图像清晰，声音和画面同步，播放时没有明显的噪点，播放流畅；</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13.资源审读服务</w:t>
            </w:r>
            <w:r>
              <w:rPr>
                <w:rFonts w:hint="eastAsia" w:ascii="宋体" w:hAnsi="宋体" w:eastAsia="宋体" w:cs="宋体"/>
                <w:color w:val="auto"/>
                <w:sz w:val="21"/>
                <w:szCs w:val="21"/>
                <w:lang w:bidi="ar"/>
              </w:rPr>
              <w:br w:type="textWrapping"/>
            </w:r>
            <w:r>
              <w:rPr>
                <w:rFonts w:hint="eastAsia" w:ascii="宋体" w:hAnsi="宋体" w:eastAsia="宋体" w:cs="宋体"/>
                <w:color w:val="auto"/>
                <w:sz w:val="21"/>
                <w:szCs w:val="21"/>
                <w:lang w:bidi="ar"/>
              </w:rPr>
              <w:t>本项目建设完成的资源，要求依据相关法律法规和政策文件，按照教育部办公厅印发的对数字资源内容的要求，对本次项目建设资源的内容的政治性、科学性、适用性、规范性进行审核，确保资源政治导向、价值取向、审美导向正确，内容真实、客观科学。</w:t>
            </w:r>
          </w:p>
          <w:p w14:paraId="03D816E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w:t>
            </w:r>
            <w:r>
              <w:rPr>
                <w:rFonts w:hint="eastAsia" w:ascii="宋体" w:hAnsi="宋体" w:eastAsia="宋体" w:cs="宋体"/>
                <w:color w:val="auto"/>
                <w:sz w:val="21"/>
                <w:szCs w:val="21"/>
                <w:lang w:val="en-US" w:eastAsia="zh-CN" w:bidi="ar"/>
              </w:rPr>
              <w:t>4</w:t>
            </w:r>
            <w:r>
              <w:rPr>
                <w:rFonts w:hint="eastAsia" w:ascii="宋体" w:hAnsi="宋体" w:eastAsia="宋体" w:cs="宋体"/>
                <w:color w:val="auto"/>
                <w:sz w:val="21"/>
                <w:szCs w:val="21"/>
                <w:lang w:bidi="ar"/>
              </w:rPr>
              <w:t>.所有制作的教学资源版权归属采购人所有。</w:t>
            </w:r>
          </w:p>
          <w:p w14:paraId="315C306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w:t>
            </w:r>
            <w:r>
              <w:rPr>
                <w:rFonts w:hint="eastAsia" w:ascii="宋体" w:hAnsi="宋体" w:eastAsia="宋体" w:cs="宋体"/>
                <w:color w:val="auto"/>
                <w:sz w:val="21"/>
                <w:szCs w:val="21"/>
                <w:lang w:val="en-US" w:eastAsia="zh-CN" w:bidi="ar"/>
              </w:rPr>
              <w:t>5</w:t>
            </w:r>
            <w:r>
              <w:rPr>
                <w:rFonts w:hint="eastAsia" w:ascii="宋体" w:hAnsi="宋体" w:eastAsia="宋体" w:cs="宋体"/>
                <w:color w:val="auto"/>
                <w:sz w:val="21"/>
                <w:szCs w:val="21"/>
                <w:lang w:bidi="ar"/>
              </w:rPr>
              <w:t>.在线课程运行平台服务</w:t>
            </w:r>
          </w:p>
          <w:p w14:paraId="675E10E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本项目要求为建设的课程资源提供专业教学资源库运行平台、MOOC运行平台、混合式教学平台服务。提供的运行平台需为公共运行平台，该平台须符合教育部2023年发布的《国家专业教学资源库职业教育建设指南》中公布的职业教育专业教学资源库运行平台技术要求，资源库标准化课程公共运行平台需主动配合采购人资源库的建设工作和运行监测。在资源库公共运行平台上能运行专业教学资源库，资源可调用供教师开展SPOC教学。MOOC运行平台符合《教育部办公厅关于开展2023年职业教育国家在线精品课程遴选工作的通知》要求，提供课程内容AI智能审核服务及人工审核服务，确保课程运行安全。专业教学资源库、MOOC平台、混合式教学平台实现资源和数据的互通，避免重复建设和数据丢失。保证采购人在申报相关项目时能提供符合申报要求的数据材料。提供的平台要求已接入国家智慧教育公共服务平台，根据公共服务平台的工作部署，课程满足上线要求时能够及时实现接入服务。</w:t>
            </w:r>
          </w:p>
          <w:p w14:paraId="3932595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w:t>
            </w:r>
            <w:r>
              <w:rPr>
                <w:rFonts w:hint="eastAsia" w:ascii="宋体" w:hAnsi="宋体" w:eastAsia="宋体" w:cs="宋体"/>
                <w:color w:val="auto"/>
                <w:sz w:val="21"/>
                <w:szCs w:val="21"/>
                <w:lang w:val="en-US" w:eastAsia="zh-CN" w:bidi="ar"/>
              </w:rPr>
              <w:t>6</w:t>
            </w:r>
            <w:r>
              <w:rPr>
                <w:rFonts w:hint="eastAsia" w:ascii="宋体" w:hAnsi="宋体" w:eastAsia="宋体" w:cs="宋体"/>
                <w:color w:val="auto"/>
                <w:sz w:val="21"/>
                <w:szCs w:val="21"/>
                <w:lang w:bidi="ar"/>
              </w:rPr>
              <w:t>.课程上线运行服务</w:t>
            </w:r>
          </w:p>
          <w:p w14:paraId="0051914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（1）课程资源制作全部完成后，编辑团队负责将课程资源上线至课程运行所需的公共运行平台，并提供在线课程运营服务，每学期提供课程运行数据分析及改进建议。</w:t>
            </w:r>
          </w:p>
          <w:p w14:paraId="6CFD5EF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（2）指导课程团队教师熟练使用课程平台开展混合式教学，提升教师信息化教学能力。</w:t>
            </w:r>
          </w:p>
          <w:p w14:paraId="78DF2750">
            <w:pPr>
              <w:pStyle w:val="20"/>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w:t>
            </w:r>
            <w:r>
              <w:rPr>
                <w:rFonts w:hint="eastAsia" w:ascii="宋体" w:eastAsia="宋体" w:cs="宋体"/>
                <w:color w:val="auto"/>
                <w:sz w:val="21"/>
                <w:szCs w:val="21"/>
                <w:lang w:val="en-US" w:eastAsia="zh-CN" w:bidi="ar"/>
              </w:rPr>
              <w:t>7</w:t>
            </w:r>
            <w:r>
              <w:rPr>
                <w:rFonts w:hint="eastAsia" w:ascii="宋体" w:hAnsi="宋体" w:eastAsia="宋体" w:cs="宋体"/>
                <w:color w:val="auto"/>
                <w:sz w:val="21"/>
                <w:szCs w:val="21"/>
                <w:lang w:bidi="ar"/>
              </w:rPr>
              <w:t>.项目实施团队成员至少包含是动画、摄影摄像、广播电视编导等相关专业人员。</w:t>
            </w:r>
            <w:r>
              <w:rPr>
                <w:rFonts w:hint="eastAsia" w:ascii="宋体" w:eastAsia="宋体" w:cs="宋体"/>
                <w:b/>
                <w:bCs/>
                <w:color w:val="auto"/>
                <w:sz w:val="21"/>
                <w:szCs w:val="21"/>
                <w:lang w:val="en-US" w:eastAsia="zh-CN" w:bidi="ar"/>
              </w:rPr>
              <w:t>（</w:t>
            </w:r>
            <w:r>
              <w:rPr>
                <w:rFonts w:hint="eastAsia" w:ascii="宋体" w:hAnsi="宋体" w:eastAsia="宋体" w:cs="宋体"/>
                <w:b/>
                <w:bCs/>
                <w:color w:val="auto"/>
                <w:sz w:val="21"/>
                <w:szCs w:val="21"/>
                <w:lang w:val="en-US" w:eastAsia="zh-CN" w:bidi="ar"/>
              </w:rPr>
              <w:t>提供相关职业</w:t>
            </w:r>
            <w:r>
              <w:rPr>
                <w:rFonts w:hint="eastAsia" w:ascii="宋体" w:eastAsia="宋体" w:cs="宋体"/>
                <w:b/>
                <w:bCs/>
                <w:color w:val="auto"/>
                <w:sz w:val="21"/>
                <w:szCs w:val="21"/>
                <w:lang w:val="en-US" w:eastAsia="zh-CN" w:bidi="ar"/>
              </w:rPr>
              <w:t>或职称</w:t>
            </w:r>
            <w:r>
              <w:rPr>
                <w:rFonts w:hint="eastAsia" w:ascii="宋体" w:hAnsi="宋体" w:eastAsia="宋体" w:cs="宋体"/>
                <w:b/>
                <w:bCs/>
                <w:color w:val="auto"/>
                <w:sz w:val="21"/>
                <w:szCs w:val="21"/>
                <w:lang w:val="en-US" w:eastAsia="zh-CN" w:bidi="ar"/>
              </w:rPr>
              <w:t>证书</w:t>
            </w:r>
            <w:r>
              <w:rPr>
                <w:rFonts w:hint="eastAsia" w:ascii="宋体" w:hAnsi="宋体" w:cs="宋体"/>
                <w:b/>
                <w:bCs/>
                <w:color w:val="auto"/>
                <w:sz w:val="21"/>
                <w:szCs w:val="21"/>
                <w:lang w:val="en-US" w:eastAsia="zh-CN" w:bidi="ar"/>
              </w:rPr>
              <w:t>扫描件</w:t>
            </w:r>
            <w:r>
              <w:rPr>
                <w:rFonts w:hint="eastAsia" w:ascii="宋体" w:eastAsia="宋体" w:cs="宋体"/>
                <w:b/>
                <w:bCs/>
                <w:color w:val="auto"/>
                <w:sz w:val="21"/>
                <w:szCs w:val="21"/>
                <w:lang w:val="en-US" w:eastAsia="zh-CN" w:bidi="ar"/>
              </w:rPr>
              <w:t>）</w:t>
            </w:r>
          </w:p>
          <w:p w14:paraId="49C61FE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w:t>
            </w:r>
            <w:r>
              <w:rPr>
                <w:rFonts w:hint="eastAsia" w:ascii="宋体" w:hAnsi="宋体" w:eastAsia="宋体" w:cs="宋体"/>
                <w:color w:val="auto"/>
                <w:sz w:val="21"/>
                <w:szCs w:val="21"/>
                <w:lang w:val="en-US" w:eastAsia="zh-CN" w:bidi="ar"/>
              </w:rPr>
              <w:t>8</w:t>
            </w:r>
            <w:r>
              <w:rPr>
                <w:rFonts w:hint="eastAsia" w:ascii="宋体" w:hAnsi="宋体" w:eastAsia="宋体" w:cs="宋体"/>
                <w:color w:val="auto"/>
                <w:sz w:val="21"/>
                <w:szCs w:val="21"/>
                <w:lang w:bidi="ar"/>
              </w:rPr>
              <w:t>.项目总负责人必须为供应商正式员工，且</w:t>
            </w:r>
            <w:r>
              <w:rPr>
                <w:rFonts w:hint="eastAsia" w:ascii="宋体" w:hAnsi="宋体" w:eastAsia="宋体" w:cs="宋体"/>
                <w:color w:val="auto"/>
                <w:sz w:val="21"/>
                <w:szCs w:val="21"/>
                <w:lang w:val="en-US" w:eastAsia="zh-CN" w:bidi="ar"/>
              </w:rPr>
              <w:t>承诺</w:t>
            </w:r>
            <w:r>
              <w:rPr>
                <w:rFonts w:hint="eastAsia" w:ascii="宋体" w:hAnsi="宋体" w:eastAsia="宋体" w:cs="宋体"/>
                <w:color w:val="auto"/>
                <w:sz w:val="21"/>
                <w:szCs w:val="21"/>
                <w:lang w:bidi="ar"/>
              </w:rPr>
              <w:t>具备相关类型项目的统筹管理经验,熟悉相关制作流程以及制作流程的各个注意事项，能够指导教师在各个环节进行统筹跟进，因项目经理无经验或经验不足，导致教师无法按时完成任务的，由供应商负责赔偿。</w:t>
            </w:r>
            <w:r>
              <w:rPr>
                <w:rFonts w:hint="eastAsia" w:ascii="宋体" w:hAnsi="宋体" w:eastAsia="宋体" w:cs="宋体"/>
                <w:b/>
                <w:bCs/>
                <w:color w:val="auto"/>
                <w:sz w:val="21"/>
                <w:szCs w:val="21"/>
                <w:lang w:bidi="ar"/>
              </w:rPr>
              <w:t>（提供项目总负责人劳动合同或社保证明材料复印件加盖公章）</w:t>
            </w:r>
          </w:p>
          <w:p w14:paraId="7C597800">
            <w:pPr>
              <w:pStyle w:val="20"/>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rPr>
                <w:rFonts w:hint="eastAsia" w:ascii="宋体" w:hAnsi="宋体" w:eastAsia="宋体" w:cs="宋体"/>
                <w:b/>
                <w:bCs/>
                <w:color w:val="auto"/>
                <w:sz w:val="21"/>
                <w:szCs w:val="21"/>
                <w:lang w:bidi="ar"/>
              </w:rPr>
            </w:pPr>
            <w:r>
              <w:rPr>
                <w:rFonts w:hint="eastAsia" w:ascii="宋体" w:hAnsi="宋体" w:eastAsia="宋体" w:cs="宋体"/>
                <w:color w:val="auto"/>
                <w:sz w:val="21"/>
                <w:szCs w:val="21"/>
                <w:lang w:bidi="ar"/>
              </w:rPr>
              <w:t>▲</w:t>
            </w:r>
            <w:r>
              <w:rPr>
                <w:rFonts w:hint="eastAsia" w:ascii="宋体" w:eastAsia="宋体" w:cs="宋体"/>
                <w:color w:val="auto"/>
                <w:sz w:val="21"/>
                <w:szCs w:val="21"/>
                <w:lang w:val="en-US" w:eastAsia="zh-CN" w:bidi="ar"/>
              </w:rPr>
              <w:t>19</w:t>
            </w:r>
            <w:r>
              <w:rPr>
                <w:rFonts w:hint="eastAsia" w:ascii="宋体" w:hAnsi="宋体" w:eastAsia="宋体" w:cs="宋体"/>
                <w:color w:val="auto"/>
                <w:sz w:val="21"/>
                <w:szCs w:val="21"/>
                <w:lang w:bidi="ar"/>
              </w:rPr>
              <w:t>.供应商应根据采购人教师课程制作的需要，提供虚拟录播拍摄室，为了进行虚拟录播拍摄及保证拍摄工作进度，虚拟录播室在隔音、设备符合拍摄要求。</w:t>
            </w:r>
            <w:r>
              <w:rPr>
                <w:rFonts w:hint="eastAsia" w:ascii="宋体" w:hAnsi="宋体" w:eastAsia="宋体" w:cs="宋体"/>
                <w:b/>
                <w:bCs/>
                <w:color w:val="auto"/>
                <w:sz w:val="21"/>
                <w:szCs w:val="21"/>
                <w:lang w:bidi="ar"/>
              </w:rPr>
              <w:t>（响应文件需提供录播室场景图照片）</w:t>
            </w:r>
          </w:p>
          <w:p w14:paraId="66A8580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w:t>
            </w:r>
            <w:r>
              <w:rPr>
                <w:rFonts w:hint="eastAsia" w:ascii="宋体" w:hAnsi="宋体" w:eastAsia="宋体" w:cs="宋体"/>
                <w:color w:val="auto"/>
                <w:sz w:val="21"/>
                <w:szCs w:val="21"/>
                <w:lang w:val="en-US" w:eastAsia="zh-CN" w:bidi="ar"/>
              </w:rPr>
              <w:t>20</w:t>
            </w:r>
            <w:r>
              <w:rPr>
                <w:rFonts w:hint="eastAsia" w:ascii="宋体" w:hAnsi="宋体" w:eastAsia="宋体" w:cs="宋体"/>
                <w:color w:val="auto"/>
                <w:sz w:val="21"/>
                <w:szCs w:val="21"/>
                <w:lang w:bidi="ar"/>
              </w:rPr>
              <w:t>.供应商制作团队需聘请或配备行业相关专业且具有高级职称的工程师</w:t>
            </w:r>
            <w:r>
              <w:rPr>
                <w:rFonts w:hint="eastAsia" w:ascii="宋体" w:hAnsi="宋体" w:eastAsia="宋体" w:cs="宋体"/>
                <w:b/>
                <w:bCs/>
                <w:color w:val="auto"/>
                <w:sz w:val="21"/>
                <w:szCs w:val="21"/>
                <w:lang w:bidi="ar"/>
              </w:rPr>
              <w:t>（至少2名）</w:t>
            </w:r>
            <w:r>
              <w:rPr>
                <w:rFonts w:hint="eastAsia" w:ascii="宋体" w:hAnsi="宋体" w:eastAsia="宋体" w:cs="宋体"/>
                <w:color w:val="auto"/>
                <w:sz w:val="21"/>
                <w:szCs w:val="21"/>
                <w:lang w:bidi="ar"/>
              </w:rPr>
              <w:t>，专家对脚本内容及视频成品进行审核，以保证视频成品的正确性和严谨性，相关聘请费用由供应商承担。</w:t>
            </w:r>
            <w:r>
              <w:rPr>
                <w:rFonts w:hint="eastAsia" w:ascii="宋体" w:hAnsi="宋体" w:eastAsia="宋体" w:cs="宋体"/>
                <w:b/>
                <w:bCs/>
                <w:color w:val="auto"/>
                <w:sz w:val="21"/>
                <w:szCs w:val="21"/>
                <w:lang w:bidi="ar"/>
              </w:rPr>
              <w:t>响应文件中提供专家职称</w:t>
            </w:r>
            <w:r>
              <w:rPr>
                <w:rFonts w:hint="eastAsia" w:ascii="宋体" w:hAnsi="宋体" w:cs="宋体"/>
                <w:b/>
                <w:bCs/>
                <w:color w:val="auto"/>
                <w:sz w:val="21"/>
                <w:szCs w:val="21"/>
                <w:lang w:val="en-US" w:eastAsia="zh-CN" w:bidi="ar"/>
              </w:rPr>
              <w:t>扫描件</w:t>
            </w:r>
            <w:r>
              <w:rPr>
                <w:rFonts w:hint="eastAsia" w:ascii="宋体" w:hAnsi="宋体" w:eastAsia="宋体" w:cs="宋体"/>
                <w:b/>
                <w:bCs/>
                <w:color w:val="auto"/>
                <w:sz w:val="21"/>
                <w:szCs w:val="21"/>
                <w:lang w:val="en-US" w:eastAsia="zh-CN" w:bidi="ar"/>
              </w:rPr>
              <w:t>或</w:t>
            </w:r>
            <w:r>
              <w:rPr>
                <w:rFonts w:hint="eastAsia" w:ascii="宋体" w:hAnsi="宋体" w:cs="宋体"/>
                <w:b/>
                <w:bCs/>
                <w:color w:val="auto"/>
                <w:sz w:val="21"/>
                <w:szCs w:val="21"/>
                <w:lang w:val="en-US" w:eastAsia="zh-CN" w:bidi="ar"/>
              </w:rPr>
              <w:t>在响应文件中提供</w:t>
            </w:r>
            <w:r>
              <w:rPr>
                <w:rFonts w:hint="eastAsia" w:ascii="宋体" w:hAnsi="宋体" w:eastAsia="宋体" w:cs="宋体"/>
                <w:b/>
                <w:bCs/>
                <w:color w:val="auto"/>
                <w:sz w:val="21"/>
                <w:szCs w:val="21"/>
                <w:lang w:val="en-US" w:eastAsia="zh-CN" w:bidi="ar"/>
              </w:rPr>
              <w:t>承诺</w:t>
            </w:r>
            <w:r>
              <w:rPr>
                <w:rFonts w:hint="eastAsia" w:ascii="宋体" w:hAnsi="宋体" w:cs="宋体"/>
                <w:b/>
                <w:bCs/>
                <w:color w:val="auto"/>
                <w:sz w:val="21"/>
                <w:szCs w:val="21"/>
                <w:lang w:val="en-US" w:eastAsia="zh-CN" w:bidi="ar"/>
              </w:rPr>
              <w:t>函（承诺</w:t>
            </w:r>
            <w:r>
              <w:rPr>
                <w:rFonts w:hint="eastAsia" w:ascii="宋体" w:hAnsi="宋体" w:eastAsia="宋体" w:cs="宋体"/>
                <w:b/>
                <w:bCs/>
                <w:color w:val="auto"/>
                <w:sz w:val="21"/>
                <w:szCs w:val="21"/>
                <w:lang w:val="en-US" w:eastAsia="zh-CN" w:bidi="ar"/>
              </w:rPr>
              <w:t>中标后聘请专家并向采购人提供</w:t>
            </w:r>
            <w:r>
              <w:rPr>
                <w:rFonts w:hint="eastAsia" w:ascii="宋体" w:hAnsi="宋体" w:eastAsia="宋体" w:cs="宋体"/>
                <w:b/>
                <w:bCs/>
                <w:color w:val="auto"/>
                <w:sz w:val="21"/>
                <w:szCs w:val="21"/>
                <w:lang w:bidi="ar"/>
              </w:rPr>
              <w:t>专家职称复印件</w:t>
            </w:r>
            <w:r>
              <w:rPr>
                <w:rFonts w:hint="eastAsia" w:ascii="宋体" w:hAnsi="宋体" w:eastAsia="宋体" w:cs="宋体"/>
                <w:b/>
                <w:bCs/>
                <w:color w:val="auto"/>
                <w:sz w:val="21"/>
                <w:szCs w:val="21"/>
                <w:lang w:val="en-US" w:eastAsia="zh-CN" w:bidi="ar"/>
              </w:rPr>
              <w:t>材料</w:t>
            </w:r>
            <w:r>
              <w:rPr>
                <w:rFonts w:hint="eastAsia" w:ascii="宋体" w:hAnsi="宋体" w:cs="宋体"/>
                <w:b/>
                <w:bCs/>
                <w:color w:val="auto"/>
                <w:sz w:val="21"/>
                <w:szCs w:val="21"/>
                <w:lang w:val="en-US" w:eastAsia="zh-CN" w:bidi="ar"/>
              </w:rPr>
              <w:t>）并加盖电子公章</w:t>
            </w:r>
            <w:r>
              <w:rPr>
                <w:rFonts w:hint="eastAsia" w:ascii="宋体" w:hAnsi="宋体" w:eastAsia="宋体" w:cs="宋体"/>
                <w:b/>
                <w:bCs/>
                <w:color w:val="auto"/>
                <w:sz w:val="21"/>
                <w:szCs w:val="21"/>
                <w:lang w:val="en-US" w:eastAsia="zh-CN" w:bidi="ar"/>
              </w:rPr>
              <w:t>。</w:t>
            </w:r>
          </w:p>
          <w:p w14:paraId="5A9C96A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供应商必须有动物科学等课程相关课程制作经验，能保证微课视频的整体质量。</w:t>
            </w:r>
            <w:r>
              <w:rPr>
                <w:rFonts w:hint="eastAsia" w:ascii="宋体" w:hAnsi="宋体" w:eastAsia="宋体" w:cs="宋体"/>
                <w:b/>
                <w:bCs/>
                <w:color w:val="auto"/>
                <w:sz w:val="21"/>
                <w:szCs w:val="21"/>
              </w:rPr>
              <w:t>（响应文件中提供相关专业相关等视频工程文件截图，不少于三个案例，每个案例截图不少于三张。）</w:t>
            </w:r>
          </w:p>
        </w:tc>
        <w:tc>
          <w:tcPr>
            <w:tcW w:w="562"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3CC74B6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个</w:t>
            </w:r>
          </w:p>
        </w:tc>
        <w:tc>
          <w:tcPr>
            <w:tcW w:w="450"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4C3DA38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145</w:t>
            </w:r>
          </w:p>
        </w:tc>
        <w:tc>
          <w:tcPr>
            <w:tcW w:w="788"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7012C8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2800</w:t>
            </w:r>
          </w:p>
        </w:tc>
        <w:tc>
          <w:tcPr>
            <w:tcW w:w="858"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65B68E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406000</w:t>
            </w:r>
          </w:p>
        </w:tc>
        <w:tc>
          <w:tcPr>
            <w:tcW w:w="1046"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524C443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right"/>
              <w:rPr>
                <w:rFonts w:hint="eastAsia" w:ascii="宋体" w:hAnsi="宋体" w:eastAsia="宋体" w:cs="宋体"/>
                <w:color w:val="auto"/>
                <w:sz w:val="21"/>
                <w:szCs w:val="21"/>
              </w:rPr>
            </w:pPr>
          </w:p>
        </w:tc>
      </w:tr>
      <w:tr w14:paraId="78DE975A">
        <w:tblPrEx>
          <w:tblCellMar>
            <w:top w:w="0" w:type="dxa"/>
            <w:left w:w="0" w:type="dxa"/>
            <w:bottom w:w="0" w:type="dxa"/>
            <w:right w:w="0" w:type="dxa"/>
          </w:tblCellMar>
        </w:tblPrEx>
        <w:trPr>
          <w:trHeight w:val="0" w:hRule="atLeast"/>
          <w:jc w:val="center"/>
        </w:trPr>
        <w:tc>
          <w:tcPr>
            <w:tcW w:w="443"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8B1253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w:t>
            </w:r>
          </w:p>
        </w:tc>
        <w:tc>
          <w:tcPr>
            <w:tcW w:w="656"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369899C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bCs/>
                <w:color w:val="auto"/>
                <w:kern w:val="0"/>
                <w:sz w:val="21"/>
                <w:szCs w:val="21"/>
              </w:rPr>
              <w:t>动物医学教学资源库-</w:t>
            </w:r>
            <w:r>
              <w:rPr>
                <w:rFonts w:hint="eastAsia" w:ascii="宋体" w:hAnsi="宋体" w:eastAsia="宋体" w:cs="宋体"/>
                <w:color w:val="auto"/>
                <w:kern w:val="0"/>
                <w:sz w:val="21"/>
                <w:szCs w:val="21"/>
                <w:lang w:val="en-US" w:eastAsia="zh-CN" w:bidi="ar"/>
              </w:rPr>
              <w:t>课堂实录视频</w:t>
            </w:r>
          </w:p>
        </w:tc>
        <w:tc>
          <w:tcPr>
            <w:tcW w:w="638"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5B7D474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定制</w:t>
            </w:r>
          </w:p>
        </w:tc>
        <w:tc>
          <w:tcPr>
            <w:tcW w:w="4767"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1765438B">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45分钟课堂实录</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15分钟说课。</w:t>
            </w:r>
          </w:p>
          <w:p w14:paraId="07F22792">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课堂实录拍摄三机位拍摄，有大景、中景和人物特写。</w:t>
            </w:r>
          </w:p>
          <w:p w14:paraId="0EF280C2">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15分钟说课为PPT录屏的制作形式，供应商提供演播室供出镜老师录制。</w:t>
            </w:r>
          </w:p>
          <w:p w14:paraId="2CA49C27">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提供出镜老师化妆服务，打造合适的出镜妆容。</w:t>
            </w:r>
          </w:p>
          <w:p w14:paraId="3383A448">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5.二</w:t>
            </w:r>
            <w:r>
              <w:rPr>
                <w:rFonts w:hint="eastAsia" w:ascii="宋体" w:hAnsi="宋体" w:eastAsia="宋体" w:cs="宋体"/>
                <w:color w:val="auto"/>
                <w:sz w:val="21"/>
                <w:szCs w:val="21"/>
              </w:rPr>
              <w:t>个视频配有字幕,字幕与音轨要同步</w:t>
            </w:r>
            <w:r>
              <w:rPr>
                <w:rFonts w:hint="eastAsia" w:ascii="宋体" w:hAnsi="宋体" w:eastAsia="宋体" w:cs="宋体"/>
                <w:color w:val="auto"/>
                <w:sz w:val="21"/>
                <w:szCs w:val="21"/>
                <w:lang w:eastAsia="zh-CN"/>
              </w:rPr>
              <w:t>。</w:t>
            </w:r>
          </w:p>
          <w:p w14:paraId="0B4F8C43">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视频成品为MP4格式</w:t>
            </w:r>
            <w:r>
              <w:rPr>
                <w:rFonts w:hint="eastAsia" w:ascii="宋体" w:hAnsi="宋体" w:eastAsia="宋体" w:cs="宋体"/>
                <w:color w:val="auto"/>
                <w:sz w:val="21"/>
                <w:szCs w:val="21"/>
                <w:lang w:eastAsia="zh-CN"/>
              </w:rPr>
              <w:t>。</w:t>
            </w:r>
          </w:p>
          <w:p w14:paraId="2C78E82B">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录课使用的PPT和15分钟说课的PPT由供应商提供美化服务。</w:t>
            </w:r>
          </w:p>
        </w:tc>
        <w:tc>
          <w:tcPr>
            <w:tcW w:w="562"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57A5017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bidi="ar"/>
              </w:rPr>
              <w:t>个</w:t>
            </w:r>
          </w:p>
        </w:tc>
        <w:tc>
          <w:tcPr>
            <w:tcW w:w="450"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12390FB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bidi="ar"/>
              </w:rPr>
              <w:t>5</w:t>
            </w:r>
          </w:p>
        </w:tc>
        <w:tc>
          <w:tcPr>
            <w:tcW w:w="788"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739696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bidi="zh-CN"/>
              </w:rPr>
              <w:t>10200</w:t>
            </w:r>
          </w:p>
        </w:tc>
        <w:tc>
          <w:tcPr>
            <w:tcW w:w="858"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5A82A5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bidi="zh-CN"/>
              </w:rPr>
              <w:t>51000</w:t>
            </w:r>
          </w:p>
        </w:tc>
        <w:tc>
          <w:tcPr>
            <w:tcW w:w="1046"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21661F37">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right"/>
              <w:rPr>
                <w:rFonts w:hint="eastAsia" w:ascii="宋体" w:hAnsi="宋体" w:eastAsia="宋体" w:cs="宋体"/>
                <w:color w:val="auto"/>
                <w:sz w:val="21"/>
                <w:szCs w:val="21"/>
                <w:lang w:val="en-US" w:eastAsia="zh-CN"/>
              </w:rPr>
            </w:pPr>
          </w:p>
        </w:tc>
      </w:tr>
      <w:tr w14:paraId="02FB3C3F">
        <w:tblPrEx>
          <w:tblCellMar>
            <w:top w:w="0" w:type="dxa"/>
            <w:left w:w="0" w:type="dxa"/>
            <w:bottom w:w="0" w:type="dxa"/>
            <w:right w:w="0" w:type="dxa"/>
          </w:tblCellMar>
        </w:tblPrEx>
        <w:trPr>
          <w:trHeight w:val="0" w:hRule="atLeast"/>
          <w:jc w:val="center"/>
        </w:trPr>
        <w:tc>
          <w:tcPr>
            <w:tcW w:w="443"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04B9BE0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656"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21401AE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bCs/>
                <w:color w:val="auto"/>
                <w:kern w:val="0"/>
                <w:sz w:val="21"/>
                <w:szCs w:val="21"/>
              </w:rPr>
              <w:t>动物医学教学资源库-</w:t>
            </w:r>
            <w:r>
              <w:rPr>
                <w:rFonts w:hint="eastAsia" w:ascii="宋体" w:hAnsi="宋体" w:eastAsia="宋体" w:cs="宋体"/>
                <w:color w:val="auto"/>
                <w:kern w:val="0"/>
                <w:sz w:val="21"/>
                <w:szCs w:val="21"/>
                <w:lang w:bidi="ar"/>
              </w:rPr>
              <w:t>二维动画定制</w:t>
            </w:r>
          </w:p>
        </w:tc>
        <w:tc>
          <w:tcPr>
            <w:tcW w:w="638"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57F74E6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定制</w:t>
            </w:r>
          </w:p>
        </w:tc>
        <w:tc>
          <w:tcPr>
            <w:tcW w:w="4767"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7C4FEE4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1.制作内容：二维动画总时长</w:t>
            </w:r>
            <w:r>
              <w:rPr>
                <w:rFonts w:hint="eastAsia" w:ascii="宋体" w:hAnsi="宋体" w:eastAsia="宋体" w:cs="宋体"/>
                <w:color w:val="auto"/>
                <w:sz w:val="21"/>
                <w:szCs w:val="21"/>
                <w:lang w:val="en-US" w:eastAsia="zh-CN" w:bidi="ar"/>
              </w:rPr>
              <w:t>35</w:t>
            </w:r>
            <w:r>
              <w:rPr>
                <w:rFonts w:hint="eastAsia" w:ascii="宋体" w:hAnsi="宋体" w:eastAsia="宋体" w:cs="宋体"/>
                <w:color w:val="auto"/>
                <w:sz w:val="21"/>
                <w:szCs w:val="21"/>
                <w:lang w:bidi="ar"/>
              </w:rPr>
              <w:t>分钟。</w:t>
            </w:r>
          </w:p>
          <w:p w14:paraId="743C4E9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2.动画内容应符合我国法律法规，尊重各民族的风俗习惯，版权不存在争议；</w:t>
            </w:r>
          </w:p>
          <w:p w14:paraId="5522F4F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3.动画既可以作为微课程插入素材，又可以作为独立素材呈现；</w:t>
            </w:r>
          </w:p>
          <w:p w14:paraId="1D21C29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4.动画要求画面简洁清晰，界面友好，动画演播过程流畅，节奏合适；</w:t>
            </w:r>
          </w:p>
          <w:p w14:paraId="23E9C2F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5.根据动画脚本适配动画时长，数量上不低于6个，总时长不低于360秒。</w:t>
            </w:r>
          </w:p>
          <w:p w14:paraId="02DA080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6.文件格式</w:t>
            </w:r>
          </w:p>
          <w:p w14:paraId="3D0CA15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（1）媒体类型：动画；</w:t>
            </w:r>
          </w:p>
          <w:p w14:paraId="01A1BF8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（2）扩展名：*.mp4；</w:t>
            </w:r>
          </w:p>
          <w:p w14:paraId="4B1D2DD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（3）说明：使用mp4格式。</w:t>
            </w:r>
          </w:p>
          <w:p w14:paraId="3B52C6F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7.动画主要技术标准要求</w:t>
            </w:r>
          </w:p>
          <w:p w14:paraId="65BBBBB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品质要求：动画的开始要有醒目的标题，标题要能够体现动画所表现的内容；动画中如果有文字，文字要醒目，文字的字体、字号与内容协调，字体颜色避免与背景色相近；动画色彩造型应和谐，要求画面简洁清晰，界面友好；动画连续，节奏合适，帧和帧之间的关联性强；如果有解说，教师录制配音，配音应标准，无噪音，声音悦耳，音量适当，快慢适度；动画如果有背景音乐，背景音乐音量不宜过大，音乐与内容相符；动画演播过程要流畅，静止画面时间不超过5秒钟；转化为视频的动画，视频压缩采用H.264(MPEG-4Part10：profile=main,level=1.0)编码方式，码流率3Mbps以上，帧率不低于25fps，分辨率不低于1920×1080（16:9）声音和画面要求同步，无交流声或其他杂音等缺陷，无明显失真、放音过冲、过弱；</w:t>
            </w:r>
          </w:p>
          <w:p w14:paraId="1252041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2）内容要求：动画内容符合我国现行法律法规，尊重各民族的风俗习惯，版权不存在争议；若其中包含少数民族或外国语言文字信息，应遵循其原内容完整性，使用原语言进行处理；有明确的版权标识信息，所呈现或使用素材不涉及版权问题；</w:t>
            </w:r>
          </w:p>
          <w:p w14:paraId="7C6E4D3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（3）存储格式：采用mp4存储格式。</w:t>
            </w:r>
          </w:p>
          <w:p w14:paraId="69549FA4">
            <w:pPr>
              <w:pStyle w:val="20"/>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w:t>
            </w:r>
            <w:r>
              <w:rPr>
                <w:rFonts w:hint="eastAsia" w:ascii="宋体" w:eastAsia="宋体" w:cs="宋体"/>
                <w:color w:val="auto"/>
                <w:sz w:val="21"/>
                <w:szCs w:val="21"/>
                <w:lang w:val="en-US" w:eastAsia="zh-CN" w:bidi="ar"/>
              </w:rPr>
              <w:t>8</w:t>
            </w:r>
            <w:r>
              <w:rPr>
                <w:rFonts w:hint="eastAsia" w:ascii="宋体" w:hAnsi="宋体" w:eastAsia="宋体" w:cs="宋体"/>
                <w:color w:val="auto"/>
                <w:sz w:val="21"/>
                <w:szCs w:val="21"/>
                <w:lang w:bidi="ar"/>
              </w:rPr>
              <w:t>.</w:t>
            </w:r>
            <w:r>
              <w:rPr>
                <w:rFonts w:hint="eastAsia" w:ascii="宋体" w:hAnsi="宋体" w:eastAsia="宋体" w:cs="宋体"/>
                <w:color w:val="auto"/>
                <w:kern w:val="2"/>
                <w:sz w:val="21"/>
                <w:szCs w:val="21"/>
                <w:lang w:val="en-US" w:eastAsia="zh-CN" w:bidi="ar"/>
              </w:rPr>
              <w:t>响应供应商二维动画设计师具有三年以上二维动画制作经验，能跟教师进行一对一服务。</w:t>
            </w:r>
            <w:r>
              <w:rPr>
                <w:rFonts w:hint="eastAsia" w:ascii="宋体" w:hAnsi="宋体" w:eastAsia="宋体" w:cs="宋体"/>
                <w:b/>
                <w:bCs/>
                <w:color w:val="auto"/>
                <w:kern w:val="2"/>
                <w:sz w:val="21"/>
                <w:szCs w:val="21"/>
                <w:highlight w:val="none"/>
                <w:lang w:val="en-US" w:eastAsia="zh-CN" w:bidi="ar"/>
              </w:rPr>
              <w:t>（提供三维动画设计师</w:t>
            </w:r>
            <w:r>
              <w:rPr>
                <w:rFonts w:hint="eastAsia" w:ascii="宋体" w:hAnsi="宋体" w:cs="宋体"/>
                <w:b/>
                <w:bCs/>
                <w:color w:val="auto"/>
                <w:kern w:val="2"/>
                <w:sz w:val="21"/>
                <w:szCs w:val="21"/>
                <w:highlight w:val="none"/>
                <w:lang w:val="en-US" w:eastAsia="zh-CN" w:bidi="ar"/>
              </w:rPr>
              <w:t>具备</w:t>
            </w:r>
            <w:r>
              <w:rPr>
                <w:rFonts w:hint="eastAsia" w:ascii="宋体" w:hAnsi="宋体" w:eastAsia="宋体" w:cs="宋体"/>
                <w:b/>
                <w:bCs/>
                <w:color w:val="auto"/>
                <w:kern w:val="2"/>
                <w:sz w:val="21"/>
                <w:szCs w:val="21"/>
                <w:highlight w:val="none"/>
                <w:lang w:val="en-US" w:eastAsia="zh-CN" w:bidi="ar"/>
              </w:rPr>
              <w:t>三年以上三维动画制作经验相关证明材料</w:t>
            </w:r>
            <w:r>
              <w:rPr>
                <w:rFonts w:hint="eastAsia" w:ascii="宋体" w:hAnsi="宋体" w:cs="宋体"/>
                <w:b/>
                <w:bCs/>
                <w:color w:val="auto"/>
                <w:kern w:val="2"/>
                <w:sz w:val="21"/>
                <w:szCs w:val="21"/>
                <w:highlight w:val="none"/>
                <w:lang w:val="en-US" w:eastAsia="zh-CN" w:bidi="ar"/>
              </w:rPr>
              <w:t>。如，三年及以上项目设计合同、业主证明或设计成果文件等</w:t>
            </w:r>
            <w:r>
              <w:rPr>
                <w:rFonts w:hint="eastAsia" w:ascii="宋体" w:hAnsi="宋体" w:eastAsia="宋体" w:cs="宋体"/>
                <w:b/>
                <w:bCs/>
                <w:color w:val="auto"/>
                <w:kern w:val="2"/>
                <w:sz w:val="21"/>
                <w:szCs w:val="21"/>
                <w:highlight w:val="none"/>
                <w:lang w:val="en-US" w:eastAsia="zh-CN" w:bidi="ar"/>
              </w:rPr>
              <w:t>）</w:t>
            </w:r>
          </w:p>
          <w:p w14:paraId="6920C3A2">
            <w:pPr>
              <w:pStyle w:val="20"/>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lang w:bidi="ar"/>
              </w:rPr>
              <w:t>▲</w:t>
            </w:r>
            <w:r>
              <w:rPr>
                <w:rFonts w:hint="eastAsia" w:ascii="宋体" w:eastAsia="宋体" w:cs="宋体"/>
                <w:color w:val="auto"/>
                <w:sz w:val="21"/>
                <w:szCs w:val="21"/>
                <w:lang w:val="en-US" w:eastAsia="zh-CN" w:bidi="ar"/>
              </w:rPr>
              <w:t>9</w:t>
            </w:r>
            <w:r>
              <w:rPr>
                <w:rFonts w:hint="eastAsia" w:ascii="宋体" w:hAnsi="宋体" w:eastAsia="宋体" w:cs="宋体"/>
                <w:color w:val="auto"/>
                <w:sz w:val="21"/>
                <w:szCs w:val="21"/>
                <w:lang w:bidi="ar"/>
              </w:rPr>
              <w:t>.项目实施团队成员至少包含是动画、摄影摄像、广播电视编导等相关专业人员。</w:t>
            </w:r>
            <w:r>
              <w:rPr>
                <w:rFonts w:hint="eastAsia" w:ascii="宋体" w:eastAsia="宋体" w:cs="宋体"/>
                <w:b/>
                <w:bCs/>
                <w:color w:val="auto"/>
                <w:sz w:val="21"/>
                <w:szCs w:val="21"/>
                <w:lang w:val="en-US" w:eastAsia="zh-CN" w:bidi="ar"/>
              </w:rPr>
              <w:t>（</w:t>
            </w:r>
            <w:r>
              <w:rPr>
                <w:rFonts w:hint="eastAsia" w:ascii="宋体" w:hAnsi="宋体" w:eastAsia="宋体" w:cs="宋体"/>
                <w:b/>
                <w:bCs/>
                <w:color w:val="auto"/>
                <w:sz w:val="21"/>
                <w:szCs w:val="21"/>
                <w:lang w:val="en-US" w:eastAsia="zh-CN" w:bidi="ar"/>
              </w:rPr>
              <w:t>提供相关职业</w:t>
            </w:r>
            <w:r>
              <w:rPr>
                <w:rFonts w:hint="eastAsia" w:ascii="宋体" w:eastAsia="宋体" w:cs="宋体"/>
                <w:b/>
                <w:bCs/>
                <w:color w:val="auto"/>
                <w:sz w:val="21"/>
                <w:szCs w:val="21"/>
                <w:lang w:val="en-US" w:eastAsia="zh-CN" w:bidi="ar"/>
              </w:rPr>
              <w:t>或职称</w:t>
            </w:r>
            <w:r>
              <w:rPr>
                <w:rFonts w:hint="eastAsia" w:ascii="宋体" w:hAnsi="宋体" w:eastAsia="宋体" w:cs="宋体"/>
                <w:b/>
                <w:bCs/>
                <w:color w:val="auto"/>
                <w:sz w:val="21"/>
                <w:szCs w:val="21"/>
                <w:lang w:val="en-US" w:eastAsia="zh-CN" w:bidi="ar"/>
              </w:rPr>
              <w:t>证</w:t>
            </w:r>
            <w:r>
              <w:rPr>
                <w:rFonts w:hint="eastAsia" w:ascii="宋体" w:hAnsi="宋体" w:eastAsia="宋体" w:cs="宋体"/>
                <w:b/>
                <w:bCs/>
                <w:color w:val="auto"/>
                <w:sz w:val="21"/>
                <w:szCs w:val="21"/>
                <w:highlight w:val="none"/>
                <w:lang w:val="en-US" w:eastAsia="zh-CN" w:bidi="ar"/>
              </w:rPr>
              <w:t>书</w:t>
            </w:r>
            <w:r>
              <w:rPr>
                <w:rFonts w:hint="eastAsia" w:ascii="宋体" w:hAnsi="宋体" w:cs="宋体"/>
                <w:b/>
                <w:bCs/>
                <w:color w:val="auto"/>
                <w:sz w:val="21"/>
                <w:szCs w:val="21"/>
                <w:highlight w:val="none"/>
                <w:lang w:val="en-US" w:eastAsia="zh-CN" w:bidi="ar"/>
              </w:rPr>
              <w:t>扫描件</w:t>
            </w:r>
            <w:r>
              <w:rPr>
                <w:rFonts w:hint="eastAsia" w:ascii="宋体" w:eastAsia="宋体" w:cs="宋体"/>
                <w:b/>
                <w:bCs/>
                <w:color w:val="auto"/>
                <w:sz w:val="21"/>
                <w:szCs w:val="21"/>
                <w:highlight w:val="none"/>
                <w:lang w:val="en-US" w:eastAsia="zh-CN" w:bidi="ar"/>
              </w:rPr>
              <w:t>）</w:t>
            </w:r>
          </w:p>
          <w:p w14:paraId="58D8EF0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10</w:t>
            </w:r>
            <w:r>
              <w:rPr>
                <w:rFonts w:hint="eastAsia" w:ascii="宋体" w:hAnsi="宋体" w:eastAsia="宋体" w:cs="宋体"/>
                <w:color w:val="auto"/>
                <w:sz w:val="21"/>
                <w:szCs w:val="21"/>
                <w:highlight w:val="none"/>
                <w:lang w:bidi="ar"/>
              </w:rPr>
              <w:t>.项目总负责人必须为供应商正式员工，且</w:t>
            </w:r>
            <w:r>
              <w:rPr>
                <w:rFonts w:hint="eastAsia" w:ascii="宋体" w:hAnsi="宋体" w:eastAsia="宋体" w:cs="宋体"/>
                <w:color w:val="auto"/>
                <w:sz w:val="21"/>
                <w:szCs w:val="21"/>
                <w:highlight w:val="none"/>
                <w:lang w:val="en-US" w:eastAsia="zh-CN" w:bidi="ar"/>
              </w:rPr>
              <w:t>承诺</w:t>
            </w:r>
            <w:r>
              <w:rPr>
                <w:rFonts w:hint="eastAsia" w:ascii="宋体" w:hAnsi="宋体" w:eastAsia="宋体" w:cs="宋体"/>
                <w:color w:val="auto"/>
                <w:sz w:val="21"/>
                <w:szCs w:val="21"/>
                <w:highlight w:val="none"/>
                <w:lang w:bidi="ar"/>
              </w:rPr>
              <w:t>具备相关类型项目的统筹管理经验,熟悉相关制作流程以及制作流程的各个注意事项，能够指导教师在各个环节进行统筹跟进，因项目经理无经验或经验不足，导致教师无法按时完成任务的，由供应商负责赔偿。</w:t>
            </w:r>
            <w:r>
              <w:rPr>
                <w:rFonts w:hint="eastAsia" w:ascii="宋体" w:hAnsi="宋体" w:eastAsia="宋体" w:cs="宋体"/>
                <w:b/>
                <w:bCs/>
                <w:color w:val="auto"/>
                <w:sz w:val="21"/>
                <w:szCs w:val="21"/>
                <w:highlight w:val="none"/>
                <w:lang w:bidi="ar"/>
              </w:rPr>
              <w:t>（提供项目总负责人劳动合同或社保证明材料复印件加盖公章）</w:t>
            </w:r>
          </w:p>
          <w:p w14:paraId="5536FFD0">
            <w:pPr>
              <w:pStyle w:val="20"/>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rPr>
                <w:rFonts w:hint="eastAsia" w:ascii="宋体" w:hAnsi="宋体" w:eastAsia="宋体" w:cs="宋体"/>
                <w:b/>
                <w:bCs/>
                <w:color w:val="auto"/>
                <w:sz w:val="21"/>
                <w:szCs w:val="21"/>
                <w:lang w:bidi="ar"/>
              </w:rPr>
            </w:pPr>
            <w:r>
              <w:rPr>
                <w:rFonts w:hint="eastAsia" w:ascii="宋体" w:hAnsi="宋体" w:eastAsia="宋体" w:cs="宋体"/>
                <w:color w:val="auto"/>
                <w:sz w:val="21"/>
                <w:szCs w:val="21"/>
                <w:highlight w:val="none"/>
                <w:lang w:bidi="ar"/>
              </w:rPr>
              <w:t>▲1</w:t>
            </w:r>
            <w:r>
              <w:rPr>
                <w:rFonts w:hint="eastAsia" w:asci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lang w:bidi="ar"/>
              </w:rPr>
              <w:t>.供应商应根据采购人教师课程制作的需要，提供虚拟录播拍摄室，为了进行虚拟录播拍摄及保证拍摄工作进度，虚拟录播室在</w:t>
            </w:r>
            <w:r>
              <w:rPr>
                <w:rFonts w:hint="eastAsia" w:ascii="宋体" w:hAnsi="宋体" w:eastAsia="宋体" w:cs="宋体"/>
                <w:color w:val="auto"/>
                <w:sz w:val="21"/>
                <w:szCs w:val="21"/>
                <w:lang w:bidi="ar"/>
              </w:rPr>
              <w:t>隔音、设备符合拍摄要求。</w:t>
            </w:r>
            <w:r>
              <w:rPr>
                <w:rFonts w:hint="eastAsia" w:ascii="宋体" w:hAnsi="宋体" w:eastAsia="宋体" w:cs="宋体"/>
                <w:b/>
                <w:bCs/>
                <w:color w:val="auto"/>
                <w:sz w:val="21"/>
                <w:szCs w:val="21"/>
                <w:lang w:bidi="ar"/>
              </w:rPr>
              <w:t>（响应文件需提供录播室场景图照片）</w:t>
            </w:r>
          </w:p>
          <w:p w14:paraId="772D334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auto"/>
                <w:sz w:val="21"/>
                <w:szCs w:val="21"/>
                <w:lang w:bidi="ar"/>
              </w:rPr>
              <w:t>▲1</w:t>
            </w:r>
            <w:r>
              <w:rPr>
                <w:rFonts w:hint="eastAsia" w:ascii="宋体" w:hAnsi="宋体" w:eastAsia="宋体" w:cs="宋体"/>
                <w:color w:val="auto"/>
                <w:sz w:val="21"/>
                <w:szCs w:val="21"/>
                <w:lang w:val="en-US" w:eastAsia="zh-CN" w:bidi="ar"/>
              </w:rPr>
              <w:t>2</w:t>
            </w:r>
            <w:r>
              <w:rPr>
                <w:rFonts w:hint="eastAsia" w:ascii="宋体" w:hAnsi="宋体" w:eastAsia="宋体" w:cs="宋体"/>
                <w:color w:val="auto"/>
                <w:sz w:val="21"/>
                <w:szCs w:val="21"/>
                <w:lang w:bidi="ar"/>
              </w:rPr>
              <w:t>.供应商制作团队需聘请或配备行业相关专业且具有高级职称的工程师</w:t>
            </w:r>
            <w:r>
              <w:rPr>
                <w:rFonts w:hint="eastAsia" w:ascii="宋体" w:hAnsi="宋体" w:eastAsia="宋体" w:cs="宋体"/>
                <w:b/>
                <w:bCs/>
                <w:color w:val="auto"/>
                <w:sz w:val="21"/>
                <w:szCs w:val="21"/>
                <w:lang w:bidi="ar"/>
              </w:rPr>
              <w:t>（至少2名）</w:t>
            </w:r>
            <w:r>
              <w:rPr>
                <w:rFonts w:hint="eastAsia" w:ascii="宋体" w:hAnsi="宋体" w:eastAsia="宋体" w:cs="宋体"/>
                <w:color w:val="auto"/>
                <w:sz w:val="21"/>
                <w:szCs w:val="21"/>
                <w:lang w:bidi="ar"/>
              </w:rPr>
              <w:t>，专家对脚本内容及视频成品进行审核，以保证视频成品的正确性和严谨性，相关聘请费用由供应商承担。</w:t>
            </w:r>
            <w:r>
              <w:rPr>
                <w:rFonts w:hint="eastAsia" w:ascii="宋体" w:hAnsi="宋体" w:cs="宋体"/>
                <w:color w:val="auto"/>
                <w:sz w:val="21"/>
                <w:szCs w:val="21"/>
                <w:lang w:eastAsia="zh-CN" w:bidi="ar"/>
              </w:rPr>
              <w:t>（</w:t>
            </w:r>
            <w:r>
              <w:rPr>
                <w:rFonts w:hint="eastAsia" w:ascii="宋体" w:hAnsi="宋体" w:eastAsia="宋体" w:cs="宋体"/>
                <w:b/>
                <w:bCs/>
                <w:color w:val="auto"/>
                <w:sz w:val="21"/>
                <w:szCs w:val="21"/>
                <w:lang w:bidi="ar"/>
              </w:rPr>
              <w:t>响应文件中提供专家职称</w:t>
            </w:r>
            <w:r>
              <w:rPr>
                <w:rFonts w:hint="eastAsia" w:ascii="宋体" w:hAnsi="宋体" w:cs="宋体"/>
                <w:b/>
                <w:bCs/>
                <w:color w:val="auto"/>
                <w:sz w:val="21"/>
                <w:szCs w:val="21"/>
                <w:lang w:val="en-US" w:eastAsia="zh-CN" w:bidi="ar"/>
              </w:rPr>
              <w:t>扫描件</w:t>
            </w:r>
            <w:r>
              <w:rPr>
                <w:rFonts w:hint="eastAsia" w:ascii="宋体" w:hAnsi="宋体" w:eastAsia="宋体" w:cs="宋体"/>
                <w:b/>
                <w:bCs/>
                <w:color w:val="auto"/>
                <w:sz w:val="21"/>
                <w:szCs w:val="21"/>
                <w:lang w:val="en-US" w:eastAsia="zh-CN" w:bidi="ar"/>
              </w:rPr>
              <w:t>或</w:t>
            </w:r>
            <w:r>
              <w:rPr>
                <w:rFonts w:hint="eastAsia" w:ascii="宋体" w:hAnsi="宋体" w:cs="宋体"/>
                <w:b/>
                <w:bCs/>
                <w:color w:val="auto"/>
                <w:sz w:val="21"/>
                <w:szCs w:val="21"/>
                <w:lang w:val="en-US" w:eastAsia="zh-CN" w:bidi="ar"/>
              </w:rPr>
              <w:t>在响应文件中提供</w:t>
            </w:r>
            <w:r>
              <w:rPr>
                <w:rFonts w:hint="eastAsia" w:ascii="宋体" w:hAnsi="宋体" w:eastAsia="宋体" w:cs="宋体"/>
                <w:b/>
                <w:bCs/>
                <w:color w:val="auto"/>
                <w:sz w:val="21"/>
                <w:szCs w:val="21"/>
                <w:lang w:val="en-US" w:eastAsia="zh-CN" w:bidi="ar"/>
              </w:rPr>
              <w:t>承诺</w:t>
            </w:r>
            <w:r>
              <w:rPr>
                <w:rFonts w:hint="eastAsia" w:ascii="宋体" w:hAnsi="宋体" w:cs="宋体"/>
                <w:b/>
                <w:bCs/>
                <w:color w:val="auto"/>
                <w:sz w:val="21"/>
                <w:szCs w:val="21"/>
                <w:lang w:val="en-US" w:eastAsia="zh-CN" w:bidi="ar"/>
              </w:rPr>
              <w:t>函（承诺</w:t>
            </w:r>
            <w:r>
              <w:rPr>
                <w:rFonts w:hint="eastAsia" w:ascii="宋体" w:hAnsi="宋体" w:eastAsia="宋体" w:cs="宋体"/>
                <w:b/>
                <w:bCs/>
                <w:color w:val="auto"/>
                <w:sz w:val="21"/>
                <w:szCs w:val="21"/>
                <w:lang w:val="en-US" w:eastAsia="zh-CN" w:bidi="ar"/>
              </w:rPr>
              <w:t>中标后聘请专家并向采购人提供</w:t>
            </w:r>
            <w:r>
              <w:rPr>
                <w:rFonts w:hint="eastAsia" w:ascii="宋体" w:hAnsi="宋体" w:eastAsia="宋体" w:cs="宋体"/>
                <w:b/>
                <w:bCs/>
                <w:color w:val="auto"/>
                <w:sz w:val="21"/>
                <w:szCs w:val="21"/>
                <w:lang w:bidi="ar"/>
              </w:rPr>
              <w:t>专家职称复印件</w:t>
            </w:r>
            <w:r>
              <w:rPr>
                <w:rFonts w:hint="eastAsia" w:ascii="宋体" w:hAnsi="宋体" w:eastAsia="宋体" w:cs="宋体"/>
                <w:b/>
                <w:bCs/>
                <w:color w:val="auto"/>
                <w:sz w:val="21"/>
                <w:szCs w:val="21"/>
                <w:lang w:val="en-US" w:eastAsia="zh-CN" w:bidi="ar"/>
              </w:rPr>
              <w:t>材料</w:t>
            </w:r>
            <w:r>
              <w:rPr>
                <w:rFonts w:hint="eastAsia" w:ascii="宋体" w:hAnsi="宋体" w:cs="宋体"/>
                <w:b/>
                <w:bCs/>
                <w:color w:val="auto"/>
                <w:sz w:val="21"/>
                <w:szCs w:val="21"/>
                <w:lang w:val="en-US" w:eastAsia="zh-CN" w:bidi="ar"/>
              </w:rPr>
              <w:t>）并加盖电子公章</w:t>
            </w:r>
            <w:r>
              <w:rPr>
                <w:rFonts w:hint="eastAsia" w:ascii="宋体" w:hAnsi="宋体" w:eastAsia="宋体" w:cs="宋体"/>
                <w:b/>
                <w:bCs/>
                <w:color w:val="auto"/>
                <w:sz w:val="21"/>
                <w:szCs w:val="21"/>
                <w:lang w:val="en-US" w:eastAsia="zh-CN" w:bidi="ar"/>
              </w:rPr>
              <w:t>。</w:t>
            </w:r>
            <w:r>
              <w:rPr>
                <w:rFonts w:hint="eastAsia" w:ascii="宋体" w:hAnsi="宋体" w:cs="宋体"/>
                <w:color w:val="auto"/>
                <w:sz w:val="21"/>
                <w:szCs w:val="21"/>
                <w:lang w:eastAsia="zh-CN" w:bidi="ar"/>
              </w:rPr>
              <w:t>）</w:t>
            </w:r>
          </w:p>
        </w:tc>
        <w:tc>
          <w:tcPr>
            <w:tcW w:w="562"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7248C35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kern w:val="0"/>
                <w:sz w:val="21"/>
                <w:szCs w:val="21"/>
                <w:lang w:bidi="ar"/>
              </w:rPr>
              <w:t>分钟</w:t>
            </w:r>
          </w:p>
        </w:tc>
        <w:tc>
          <w:tcPr>
            <w:tcW w:w="450"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4DF5836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textAlignment w:val="center"/>
              <w:rPr>
                <w:rFonts w:hint="eastAsia" w:ascii="宋体" w:hAnsi="宋体" w:eastAsia="宋体" w:cs="宋体"/>
                <w:color w:val="auto"/>
                <w:sz w:val="21"/>
                <w:szCs w:val="21"/>
                <w:lang w:bidi="ar"/>
              </w:rPr>
            </w:pPr>
            <w:r>
              <w:rPr>
                <w:rFonts w:hint="eastAsia" w:ascii="宋体" w:hAnsi="宋体" w:eastAsia="宋体" w:cs="宋体"/>
                <w:color w:val="auto"/>
                <w:kern w:val="0"/>
                <w:sz w:val="21"/>
                <w:szCs w:val="21"/>
                <w:lang w:val="en-US" w:eastAsia="zh-CN" w:bidi="ar"/>
              </w:rPr>
              <w:t>35</w:t>
            </w:r>
          </w:p>
        </w:tc>
        <w:tc>
          <w:tcPr>
            <w:tcW w:w="788"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0582A9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color w:val="auto"/>
                <w:sz w:val="21"/>
                <w:szCs w:val="21"/>
                <w:lang w:bidi="ar"/>
              </w:rPr>
            </w:pPr>
            <w:r>
              <w:rPr>
                <w:rFonts w:hint="eastAsia" w:ascii="宋体" w:hAnsi="宋体" w:eastAsia="宋体" w:cs="宋体"/>
                <w:color w:val="auto"/>
                <w:kern w:val="0"/>
                <w:sz w:val="21"/>
                <w:szCs w:val="21"/>
                <w:lang w:bidi="ar"/>
              </w:rPr>
              <w:t>2500</w:t>
            </w:r>
          </w:p>
        </w:tc>
        <w:tc>
          <w:tcPr>
            <w:tcW w:w="858"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5C3FC3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color w:val="auto"/>
                <w:sz w:val="21"/>
                <w:szCs w:val="21"/>
                <w:lang w:bidi="ar"/>
              </w:rPr>
            </w:pPr>
            <w:r>
              <w:rPr>
                <w:rFonts w:hint="eastAsia" w:ascii="宋体" w:hAnsi="宋体" w:eastAsia="宋体" w:cs="宋体"/>
                <w:color w:val="auto"/>
                <w:kern w:val="0"/>
                <w:sz w:val="21"/>
                <w:szCs w:val="21"/>
                <w:highlight w:val="none"/>
                <w:lang w:val="en-US" w:eastAsia="zh-CN" w:bidi="ar"/>
              </w:rPr>
              <w:t>87500</w:t>
            </w:r>
          </w:p>
        </w:tc>
        <w:tc>
          <w:tcPr>
            <w:tcW w:w="1046"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2B4A4D0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right"/>
              <w:rPr>
                <w:rFonts w:hint="eastAsia" w:ascii="宋体" w:hAnsi="宋体" w:eastAsia="宋体" w:cs="宋体"/>
                <w:color w:val="auto"/>
                <w:sz w:val="21"/>
                <w:szCs w:val="21"/>
                <w:lang w:bidi="ar"/>
              </w:rPr>
            </w:pPr>
          </w:p>
        </w:tc>
      </w:tr>
      <w:tr w14:paraId="77F61A86">
        <w:tblPrEx>
          <w:tblCellMar>
            <w:top w:w="0" w:type="dxa"/>
            <w:left w:w="0" w:type="dxa"/>
            <w:bottom w:w="0" w:type="dxa"/>
            <w:right w:w="0" w:type="dxa"/>
          </w:tblCellMar>
        </w:tblPrEx>
        <w:trPr>
          <w:trHeight w:val="0" w:hRule="atLeast"/>
          <w:jc w:val="center"/>
        </w:trPr>
        <w:tc>
          <w:tcPr>
            <w:tcW w:w="443"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0B44DC2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w:t>
            </w:r>
          </w:p>
        </w:tc>
        <w:tc>
          <w:tcPr>
            <w:tcW w:w="656"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036172D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bCs/>
                <w:color w:val="auto"/>
                <w:kern w:val="0"/>
                <w:sz w:val="21"/>
                <w:szCs w:val="21"/>
              </w:rPr>
              <w:t>动物医学教学资源库-</w:t>
            </w:r>
            <w:r>
              <w:rPr>
                <w:rFonts w:hint="eastAsia" w:ascii="宋体" w:hAnsi="宋体" w:eastAsia="宋体" w:cs="宋体"/>
                <w:color w:val="auto"/>
                <w:kern w:val="0"/>
                <w:sz w:val="21"/>
                <w:szCs w:val="21"/>
                <w:lang w:bidi="ar"/>
              </w:rPr>
              <w:t>三维动画定制</w:t>
            </w:r>
          </w:p>
        </w:tc>
        <w:tc>
          <w:tcPr>
            <w:tcW w:w="638"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0931786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定制</w:t>
            </w:r>
          </w:p>
        </w:tc>
        <w:tc>
          <w:tcPr>
            <w:tcW w:w="4767"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49A1049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1.制作内容：三维动画总时长12分钟。</w:t>
            </w:r>
          </w:p>
          <w:p w14:paraId="536E21D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2.动画内容应符合我国法律法规，尊重各民族的风俗习惯，版权不存在争议；</w:t>
            </w:r>
          </w:p>
          <w:p w14:paraId="7DCBEE7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3.动画既可以作为微课程插入素材，又可以作为独立素材呈现；</w:t>
            </w:r>
          </w:p>
          <w:p w14:paraId="4863325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4.使用3Dmaya、C4D等三维动画软件制作，采用常见存储格式1920×1080（16:9）的mp4格式、mov格式。</w:t>
            </w:r>
          </w:p>
          <w:p w14:paraId="5AB89EF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5.动画色彩造型应和谐，画面流畅，动画节奏连续，节奏合适，帧和帧之间的关联性要强。</w:t>
            </w:r>
          </w:p>
          <w:p w14:paraId="48D6499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6.动画如果有背景音乐，背景音乐音量不宜过大，音乐与内容相符。</w:t>
            </w:r>
          </w:p>
          <w:p w14:paraId="5E495CF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7.动画演播过程要流畅，静止画面时间不超过3秒钟。动画内容版权不存在争议，有明确的版权标识信息。</w:t>
            </w:r>
          </w:p>
          <w:p w14:paraId="36139A3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8.根据动画脚本适配动画时长，数量上不低于10个，总时长（即累计时长）不超过12分钟。</w:t>
            </w:r>
          </w:p>
          <w:p w14:paraId="71DF906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9.动画的开始要有醒目的标题，标题要能够体现动画所表现的内容。</w:t>
            </w:r>
          </w:p>
          <w:p w14:paraId="48735F4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10.如果有解说，教师录制配音，配音应标准，无噪音，声音悦耳，音量适当，快慢适度。</w:t>
            </w:r>
          </w:p>
          <w:p w14:paraId="6CEEF40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11.动画演播过程要流畅，静止画面时间不超过3秒钟，视频压缩采用H.264(MPEG-4Part10：profile=main,level=1.0)编码方式，码流率3Mbps以上，帧率不低于25fps，分辨率不低于1920×1080（16:9）声音和画面要求同步，无交流声或其他杂音等缺陷，无明显失真、放音过冲、过弱。</w:t>
            </w:r>
          </w:p>
          <w:p w14:paraId="691BA20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12.动画内容符合我国法律法规，尊重各民族的风俗习惯，版权不存在争议。若其中包含少数民族或外国语言文字信息，应遵循其原内容完整性，使用原语言进行处理。有明确的版权标识信息，版权不得存在争议。</w:t>
            </w:r>
          </w:p>
          <w:p w14:paraId="6DD2949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13.存储格式采用mp4存储格式。</w:t>
            </w:r>
          </w:p>
          <w:p w14:paraId="4871216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14.渲染输出规格不低于1920×1080（16:9）。</w:t>
            </w:r>
          </w:p>
          <w:p w14:paraId="2C147203">
            <w:pPr>
              <w:pStyle w:val="20"/>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rPr>
                <w:rFonts w:hint="default" w:ascii="宋体" w:hAnsi="宋体" w:eastAsia="宋体" w:cs="宋体"/>
                <w:color w:val="auto"/>
                <w:sz w:val="21"/>
                <w:szCs w:val="21"/>
                <w:lang w:val="en-US" w:eastAsia="zh-CN" w:bidi="ar"/>
              </w:rPr>
            </w:pPr>
            <w:r>
              <w:rPr>
                <w:rFonts w:hint="eastAsia" w:ascii="宋体" w:hAnsi="宋体" w:eastAsia="宋体" w:cs="宋体"/>
                <w:color w:val="auto"/>
                <w:sz w:val="21"/>
                <w:szCs w:val="21"/>
                <w:lang w:bidi="ar"/>
              </w:rPr>
              <w:t>▲15.响应供应商三维动画设计师具有三年以上三维动画制作经验，能跟教师进行一对一服务。</w:t>
            </w:r>
            <w:r>
              <w:rPr>
                <w:rFonts w:hint="eastAsia" w:ascii="宋体" w:hAnsi="宋体" w:eastAsia="宋体" w:cs="宋体"/>
                <w:b/>
                <w:bCs/>
                <w:color w:val="auto"/>
                <w:kern w:val="2"/>
                <w:sz w:val="21"/>
                <w:szCs w:val="21"/>
                <w:highlight w:val="none"/>
                <w:lang w:val="en-US" w:eastAsia="zh-CN" w:bidi="ar"/>
              </w:rPr>
              <w:t>（提供三维动画设计师</w:t>
            </w:r>
            <w:r>
              <w:rPr>
                <w:rFonts w:hint="eastAsia" w:ascii="宋体" w:hAnsi="宋体" w:cs="宋体"/>
                <w:b/>
                <w:bCs/>
                <w:color w:val="auto"/>
                <w:kern w:val="2"/>
                <w:sz w:val="21"/>
                <w:szCs w:val="21"/>
                <w:highlight w:val="none"/>
                <w:lang w:val="en-US" w:eastAsia="zh-CN" w:bidi="ar"/>
              </w:rPr>
              <w:t>具备</w:t>
            </w:r>
            <w:r>
              <w:rPr>
                <w:rFonts w:hint="eastAsia" w:ascii="宋体" w:hAnsi="宋体" w:eastAsia="宋体" w:cs="宋体"/>
                <w:b/>
                <w:bCs/>
                <w:color w:val="auto"/>
                <w:kern w:val="2"/>
                <w:sz w:val="21"/>
                <w:szCs w:val="21"/>
                <w:highlight w:val="none"/>
                <w:lang w:val="en-US" w:eastAsia="zh-CN" w:bidi="ar"/>
              </w:rPr>
              <w:t>三年以上三维动画制作经验相关证明材料</w:t>
            </w:r>
            <w:r>
              <w:rPr>
                <w:rFonts w:hint="eastAsia" w:ascii="宋体" w:hAnsi="宋体" w:cs="宋体"/>
                <w:b/>
                <w:bCs/>
                <w:color w:val="auto"/>
                <w:kern w:val="2"/>
                <w:sz w:val="21"/>
                <w:szCs w:val="21"/>
                <w:highlight w:val="none"/>
                <w:lang w:val="en-US" w:eastAsia="zh-CN" w:bidi="ar"/>
              </w:rPr>
              <w:t>。如，三年及以上项目设计合同、业主证明或设计成果文件等</w:t>
            </w:r>
            <w:r>
              <w:rPr>
                <w:rFonts w:hint="eastAsia" w:ascii="宋体" w:hAnsi="宋体" w:eastAsia="宋体" w:cs="宋体"/>
                <w:b/>
                <w:bCs/>
                <w:color w:val="auto"/>
                <w:kern w:val="2"/>
                <w:sz w:val="21"/>
                <w:szCs w:val="21"/>
                <w:highlight w:val="none"/>
                <w:lang w:val="en-US" w:eastAsia="zh-CN" w:bidi="ar"/>
              </w:rPr>
              <w:t>）</w:t>
            </w:r>
          </w:p>
          <w:p w14:paraId="3E51BDFA">
            <w:pPr>
              <w:pStyle w:val="20"/>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▲16.项目实施团队成员至少包含是动画、摄影摄像、广播电视编导等相关专业人员。</w:t>
            </w:r>
            <w:r>
              <w:rPr>
                <w:rFonts w:hint="eastAsia" w:ascii="宋体" w:eastAsia="宋体" w:cs="宋体"/>
                <w:b/>
                <w:bCs/>
                <w:color w:val="auto"/>
                <w:sz w:val="21"/>
                <w:szCs w:val="21"/>
                <w:lang w:val="en-US" w:eastAsia="zh-CN" w:bidi="ar"/>
              </w:rPr>
              <w:t>（</w:t>
            </w:r>
            <w:r>
              <w:rPr>
                <w:rFonts w:hint="eastAsia" w:ascii="宋体" w:hAnsi="宋体" w:eastAsia="宋体" w:cs="宋体"/>
                <w:b/>
                <w:bCs/>
                <w:color w:val="auto"/>
                <w:sz w:val="21"/>
                <w:szCs w:val="21"/>
                <w:lang w:val="en-US" w:eastAsia="zh-CN" w:bidi="ar"/>
              </w:rPr>
              <w:t>提供相关职业</w:t>
            </w:r>
            <w:r>
              <w:rPr>
                <w:rFonts w:hint="eastAsia" w:ascii="宋体" w:eastAsia="宋体" w:cs="宋体"/>
                <w:b/>
                <w:bCs/>
                <w:color w:val="auto"/>
                <w:sz w:val="21"/>
                <w:szCs w:val="21"/>
                <w:lang w:val="en-US" w:eastAsia="zh-CN" w:bidi="ar"/>
              </w:rPr>
              <w:t>或职称</w:t>
            </w:r>
            <w:r>
              <w:rPr>
                <w:rFonts w:hint="eastAsia" w:ascii="宋体" w:hAnsi="宋体" w:eastAsia="宋体" w:cs="宋体"/>
                <w:b/>
                <w:bCs/>
                <w:color w:val="auto"/>
                <w:sz w:val="21"/>
                <w:szCs w:val="21"/>
                <w:lang w:val="en-US" w:eastAsia="zh-CN" w:bidi="ar"/>
              </w:rPr>
              <w:t>证书</w:t>
            </w:r>
            <w:r>
              <w:rPr>
                <w:rFonts w:hint="eastAsia" w:ascii="宋体" w:hAnsi="宋体" w:cs="宋体"/>
                <w:b/>
                <w:bCs/>
                <w:color w:val="auto"/>
                <w:sz w:val="21"/>
                <w:szCs w:val="21"/>
                <w:lang w:val="en-US" w:eastAsia="zh-CN" w:bidi="ar"/>
              </w:rPr>
              <w:t>扫描件</w:t>
            </w:r>
            <w:r>
              <w:rPr>
                <w:rFonts w:hint="eastAsia" w:ascii="宋体" w:eastAsia="宋体" w:cs="宋体"/>
                <w:b/>
                <w:bCs/>
                <w:color w:val="auto"/>
                <w:sz w:val="21"/>
                <w:szCs w:val="21"/>
                <w:lang w:val="en-US" w:eastAsia="zh-CN" w:bidi="ar"/>
              </w:rPr>
              <w:t>）</w:t>
            </w:r>
          </w:p>
          <w:p w14:paraId="51AD250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▲17.项目总负责人必须为供应商正式员工，且</w:t>
            </w:r>
            <w:r>
              <w:rPr>
                <w:rFonts w:hint="eastAsia" w:ascii="宋体" w:hAnsi="宋体" w:eastAsia="宋体" w:cs="宋体"/>
                <w:color w:val="auto"/>
                <w:sz w:val="21"/>
                <w:szCs w:val="21"/>
                <w:lang w:val="en-US" w:eastAsia="zh-CN" w:bidi="ar"/>
              </w:rPr>
              <w:t>承诺</w:t>
            </w:r>
            <w:r>
              <w:rPr>
                <w:rFonts w:hint="eastAsia" w:ascii="宋体" w:hAnsi="宋体" w:eastAsia="宋体" w:cs="宋体"/>
                <w:color w:val="auto"/>
                <w:sz w:val="21"/>
                <w:szCs w:val="21"/>
                <w:lang w:bidi="ar"/>
              </w:rPr>
              <w:t>具备相关类型项目的统筹管理经验,熟悉相关制作流程以及制作流程的各个注意事项，能够指导教师在各个环节进行统筹跟进，因项目经理无经验或经验不足，导致教师无法按时完成任务的，由供应商负责赔偿。</w:t>
            </w:r>
            <w:r>
              <w:rPr>
                <w:rFonts w:hint="eastAsia" w:ascii="宋体" w:hAnsi="宋体" w:eastAsia="宋体" w:cs="宋体"/>
                <w:b/>
                <w:bCs/>
                <w:color w:val="auto"/>
                <w:sz w:val="21"/>
                <w:szCs w:val="21"/>
                <w:lang w:bidi="ar"/>
              </w:rPr>
              <w:t>（提供项目总负责人劳动合同或社保证明材料复印件加盖公章）</w:t>
            </w:r>
          </w:p>
          <w:p w14:paraId="3064D952">
            <w:pPr>
              <w:pStyle w:val="20"/>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rPr>
                <w:rFonts w:hint="eastAsia" w:ascii="宋体" w:hAnsi="宋体" w:eastAsia="宋体" w:cs="宋体"/>
                <w:b/>
                <w:bCs/>
                <w:color w:val="auto"/>
                <w:sz w:val="21"/>
                <w:szCs w:val="21"/>
                <w:lang w:bidi="ar"/>
              </w:rPr>
            </w:pPr>
            <w:r>
              <w:rPr>
                <w:rFonts w:hint="eastAsia" w:ascii="宋体" w:hAnsi="宋体" w:eastAsia="宋体" w:cs="宋体"/>
                <w:color w:val="auto"/>
                <w:sz w:val="21"/>
                <w:szCs w:val="21"/>
                <w:lang w:bidi="ar"/>
              </w:rPr>
              <w:t>▲18.供应商应根据采购人教师课程制作的需要，提供虚拟录播拍摄室，为了进行虚拟录播拍摄及保证拍摄工作进度，虚拟录播室在隔音、设备符合拍摄要求。</w:t>
            </w:r>
            <w:r>
              <w:rPr>
                <w:rFonts w:hint="eastAsia" w:ascii="宋体" w:hAnsi="宋体" w:eastAsia="宋体" w:cs="宋体"/>
                <w:b/>
                <w:bCs/>
                <w:color w:val="auto"/>
                <w:sz w:val="21"/>
                <w:szCs w:val="21"/>
                <w:lang w:bidi="ar"/>
              </w:rPr>
              <w:t>（响应文件需提供录播室场景图照片）</w:t>
            </w:r>
          </w:p>
          <w:p w14:paraId="648C91EB">
            <w:pPr>
              <w:spacing w:beforeLines="0" w:afterLines="0" w:line="400" w:lineRule="exact"/>
              <w:ind w:firstLine="480"/>
            </w:pPr>
            <w:r>
              <w:rPr>
                <w:rFonts w:hint="eastAsia" w:ascii="宋体" w:hAnsi="宋体" w:eastAsia="宋体" w:cs="宋体"/>
                <w:color w:val="auto"/>
                <w:sz w:val="21"/>
                <w:szCs w:val="21"/>
                <w:lang w:bidi="ar"/>
              </w:rPr>
              <w:t>▲19.供应商制作团队需聘请或配备行业相关专业且具有高级职称的工程师</w:t>
            </w:r>
            <w:r>
              <w:rPr>
                <w:rFonts w:hint="eastAsia" w:ascii="宋体" w:hAnsi="宋体" w:eastAsia="宋体" w:cs="宋体"/>
                <w:b/>
                <w:bCs/>
                <w:color w:val="auto"/>
                <w:sz w:val="21"/>
                <w:szCs w:val="21"/>
                <w:lang w:bidi="ar"/>
              </w:rPr>
              <w:t>（至少2名）</w:t>
            </w:r>
            <w:r>
              <w:rPr>
                <w:rFonts w:hint="eastAsia" w:ascii="宋体" w:hAnsi="宋体" w:eastAsia="宋体" w:cs="宋体"/>
                <w:color w:val="auto"/>
                <w:sz w:val="21"/>
                <w:szCs w:val="21"/>
                <w:lang w:bidi="ar"/>
              </w:rPr>
              <w:t>，专家对脚本内容及视频成品进行审核，以保证视频成品的正确性和严谨性，相关聘请费用由供应商承担。</w:t>
            </w:r>
            <w:r>
              <w:rPr>
                <w:rFonts w:hint="eastAsia" w:ascii="宋体" w:hAnsi="宋体" w:cs="宋体"/>
                <w:color w:val="auto"/>
                <w:sz w:val="21"/>
                <w:szCs w:val="21"/>
                <w:lang w:eastAsia="zh-CN" w:bidi="ar"/>
              </w:rPr>
              <w:t>（</w:t>
            </w:r>
            <w:r>
              <w:rPr>
                <w:rFonts w:hint="eastAsia" w:ascii="宋体" w:hAnsi="宋体" w:eastAsia="宋体" w:cs="宋体"/>
                <w:b/>
                <w:bCs/>
                <w:color w:val="auto"/>
                <w:sz w:val="21"/>
                <w:szCs w:val="21"/>
                <w:lang w:val="en-US" w:bidi="ar"/>
              </w:rPr>
              <w:t>响应文件中提供专家职称扫描件或在响应文件中提供承诺函（承诺中标后聘请专家并向采购人提供专家职称复印件材料）并加盖电子公章。</w:t>
            </w:r>
            <w:r>
              <w:rPr>
                <w:rFonts w:hint="eastAsia" w:ascii="宋体" w:hAnsi="宋体" w:cs="宋体"/>
                <w:color w:val="auto"/>
                <w:sz w:val="21"/>
                <w:szCs w:val="21"/>
                <w:lang w:eastAsia="zh-CN" w:bidi="ar"/>
              </w:rPr>
              <w:t>）</w:t>
            </w:r>
          </w:p>
          <w:p w14:paraId="0055F69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rPr>
                <w:rFonts w:hint="eastAsia" w:ascii="宋体" w:hAnsi="宋体" w:eastAsia="宋体" w:cs="宋体"/>
                <w:color w:val="auto"/>
                <w:sz w:val="21"/>
                <w:szCs w:val="21"/>
                <w:lang w:bidi="ar"/>
              </w:rPr>
            </w:pPr>
          </w:p>
          <w:p w14:paraId="5724A43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auto"/>
                <w:sz w:val="21"/>
                <w:szCs w:val="21"/>
                <w:lang w:bidi="ar"/>
              </w:rPr>
              <w:t>▲20.供应商有往年三维模型建模的经验，提供案例图片作为证明材料。</w:t>
            </w:r>
            <w:r>
              <w:rPr>
                <w:rFonts w:hint="eastAsia" w:ascii="宋体" w:hAnsi="宋体" w:eastAsia="宋体" w:cs="宋体"/>
                <w:b/>
                <w:bCs/>
                <w:color w:val="auto"/>
                <w:sz w:val="21"/>
                <w:szCs w:val="21"/>
                <w:lang w:bidi="ar"/>
              </w:rPr>
              <w:t>（响应文件中提供</w:t>
            </w:r>
            <w:r>
              <w:rPr>
                <w:rFonts w:hint="eastAsia" w:ascii="宋体" w:hAnsi="宋体" w:eastAsia="宋体" w:cs="宋体"/>
                <w:b/>
                <w:bCs/>
                <w:color w:val="auto"/>
                <w:sz w:val="21"/>
                <w:szCs w:val="21"/>
                <w:lang w:val="en-US" w:eastAsia="zh-CN" w:bidi="ar"/>
              </w:rPr>
              <w:t>视频案例</w:t>
            </w:r>
            <w:r>
              <w:rPr>
                <w:rFonts w:hint="eastAsia" w:ascii="宋体" w:hAnsi="宋体" w:eastAsia="宋体" w:cs="宋体"/>
                <w:b/>
                <w:bCs/>
                <w:color w:val="auto"/>
                <w:sz w:val="21"/>
                <w:szCs w:val="21"/>
                <w:lang w:bidi="ar"/>
              </w:rPr>
              <w:t>）</w:t>
            </w:r>
          </w:p>
        </w:tc>
        <w:tc>
          <w:tcPr>
            <w:tcW w:w="562"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56C3E0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color w:val="auto"/>
                <w:sz w:val="21"/>
                <w:szCs w:val="21"/>
                <w:lang w:bidi="ar"/>
              </w:rPr>
            </w:pPr>
            <w:r>
              <w:rPr>
                <w:rFonts w:hint="eastAsia" w:ascii="宋体" w:hAnsi="宋体" w:eastAsia="宋体" w:cs="宋体"/>
                <w:color w:val="auto"/>
                <w:kern w:val="0"/>
                <w:sz w:val="18"/>
                <w:szCs w:val="18"/>
                <w:lang w:bidi="ar"/>
              </w:rPr>
              <w:t>分钟</w:t>
            </w:r>
          </w:p>
        </w:tc>
        <w:tc>
          <w:tcPr>
            <w:tcW w:w="450"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11C6DD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color w:val="auto"/>
                <w:sz w:val="21"/>
                <w:szCs w:val="21"/>
                <w:lang w:bidi="ar"/>
              </w:rPr>
            </w:pPr>
            <w:r>
              <w:rPr>
                <w:rFonts w:hint="eastAsia" w:ascii="宋体" w:hAnsi="宋体" w:eastAsia="宋体" w:cs="宋体"/>
                <w:color w:val="auto"/>
                <w:kern w:val="0"/>
                <w:sz w:val="18"/>
                <w:szCs w:val="18"/>
                <w:lang w:bidi="ar"/>
              </w:rPr>
              <w:t>1</w:t>
            </w:r>
            <w:r>
              <w:rPr>
                <w:rFonts w:hint="eastAsia" w:ascii="宋体" w:hAnsi="宋体" w:eastAsia="宋体" w:cs="宋体"/>
                <w:color w:val="auto"/>
                <w:kern w:val="0"/>
                <w:sz w:val="18"/>
                <w:szCs w:val="18"/>
                <w:lang w:val="en-US" w:eastAsia="zh-CN" w:bidi="ar"/>
              </w:rPr>
              <w:t>3</w:t>
            </w:r>
          </w:p>
        </w:tc>
        <w:tc>
          <w:tcPr>
            <w:tcW w:w="788"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479ACA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color w:val="auto"/>
                <w:sz w:val="21"/>
                <w:szCs w:val="21"/>
                <w:lang w:bidi="ar"/>
              </w:rPr>
            </w:pPr>
            <w:r>
              <w:rPr>
                <w:rFonts w:hint="eastAsia" w:ascii="宋体" w:hAnsi="宋体" w:eastAsia="宋体" w:cs="宋体"/>
                <w:color w:val="auto"/>
                <w:kern w:val="0"/>
                <w:sz w:val="21"/>
                <w:szCs w:val="21"/>
                <w:lang w:bidi="ar"/>
              </w:rPr>
              <w:t>6000</w:t>
            </w:r>
          </w:p>
        </w:tc>
        <w:tc>
          <w:tcPr>
            <w:tcW w:w="858"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2E7F94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color w:val="auto"/>
                <w:sz w:val="21"/>
                <w:szCs w:val="21"/>
                <w:lang w:bidi="ar"/>
              </w:rPr>
            </w:pPr>
            <w:r>
              <w:rPr>
                <w:rFonts w:hint="eastAsia" w:ascii="宋体" w:hAnsi="宋体" w:eastAsia="宋体" w:cs="宋体"/>
                <w:color w:val="auto"/>
                <w:kern w:val="0"/>
                <w:sz w:val="21"/>
                <w:szCs w:val="21"/>
                <w:lang w:bidi="ar"/>
              </w:rPr>
              <w:t>7</w:t>
            </w:r>
            <w:r>
              <w:rPr>
                <w:rFonts w:hint="eastAsia" w:ascii="宋体" w:hAnsi="宋体" w:eastAsia="宋体" w:cs="宋体"/>
                <w:color w:val="auto"/>
                <w:kern w:val="0"/>
                <w:sz w:val="21"/>
                <w:szCs w:val="21"/>
                <w:lang w:val="en-US" w:eastAsia="zh-CN" w:bidi="ar"/>
              </w:rPr>
              <w:t>8</w:t>
            </w:r>
            <w:r>
              <w:rPr>
                <w:rFonts w:hint="eastAsia" w:ascii="宋体" w:hAnsi="宋体" w:eastAsia="宋体" w:cs="宋体"/>
                <w:color w:val="auto"/>
                <w:kern w:val="0"/>
                <w:sz w:val="21"/>
                <w:szCs w:val="21"/>
                <w:lang w:bidi="ar"/>
              </w:rPr>
              <w:t>000</w:t>
            </w:r>
          </w:p>
        </w:tc>
        <w:tc>
          <w:tcPr>
            <w:tcW w:w="1046"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43D7BF7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right"/>
              <w:rPr>
                <w:rFonts w:hint="eastAsia" w:ascii="宋体" w:hAnsi="宋体" w:eastAsia="宋体" w:cs="宋体"/>
                <w:color w:val="auto"/>
                <w:sz w:val="21"/>
                <w:szCs w:val="21"/>
                <w:lang w:bidi="ar"/>
              </w:rPr>
            </w:pPr>
          </w:p>
        </w:tc>
      </w:tr>
      <w:tr w14:paraId="20965924">
        <w:tblPrEx>
          <w:tblCellMar>
            <w:top w:w="0" w:type="dxa"/>
            <w:left w:w="0" w:type="dxa"/>
            <w:bottom w:w="0" w:type="dxa"/>
            <w:right w:w="0" w:type="dxa"/>
          </w:tblCellMar>
        </w:tblPrEx>
        <w:trPr>
          <w:trHeight w:val="0" w:hRule="atLeast"/>
          <w:jc w:val="center"/>
        </w:trPr>
        <w:tc>
          <w:tcPr>
            <w:tcW w:w="443"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230476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w:t>
            </w:r>
          </w:p>
        </w:tc>
        <w:tc>
          <w:tcPr>
            <w:tcW w:w="656"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36FA5A4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bCs/>
                <w:color w:val="auto"/>
                <w:kern w:val="0"/>
                <w:sz w:val="21"/>
                <w:szCs w:val="21"/>
              </w:rPr>
              <w:t>在线精品课-</w:t>
            </w:r>
            <w:r>
              <w:rPr>
                <w:rFonts w:hint="eastAsia" w:ascii="宋体" w:hAnsi="宋体" w:eastAsia="宋体" w:cs="宋体"/>
                <w:color w:val="auto"/>
                <w:kern w:val="0"/>
                <w:sz w:val="21"/>
                <w:szCs w:val="21"/>
                <w:lang w:bidi="ar"/>
              </w:rPr>
              <w:t>AI课程改造</w:t>
            </w:r>
          </w:p>
        </w:tc>
        <w:tc>
          <w:tcPr>
            <w:tcW w:w="638"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5EB3FA1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定制</w:t>
            </w:r>
          </w:p>
        </w:tc>
        <w:tc>
          <w:tcPr>
            <w:tcW w:w="4767"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151F16C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（一）为一门在线课程提供一年的AI课程平台运行服务。</w:t>
            </w:r>
          </w:p>
          <w:p w14:paraId="302BD92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（二）教师建课空间</w:t>
            </w:r>
          </w:p>
          <w:p w14:paraId="4F9100B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1.新建课程，支持将现有运行在平台中的在线精品课程和资源库课程，同步至</w:t>
            </w:r>
            <w:r>
              <w:rPr>
                <w:rFonts w:hint="eastAsia" w:ascii="宋体" w:hAnsi="宋体" w:eastAsia="宋体" w:cs="宋体"/>
                <w:color w:val="auto"/>
                <w:sz w:val="21"/>
                <w:szCs w:val="21"/>
                <w:lang w:val="en-US" w:eastAsia="zh-CN" w:bidi="ar"/>
              </w:rPr>
              <w:t>课程平台</w:t>
            </w:r>
            <w:r>
              <w:rPr>
                <w:rFonts w:hint="eastAsia" w:ascii="宋体" w:hAnsi="宋体" w:eastAsia="宋体" w:cs="宋体"/>
                <w:color w:val="auto"/>
                <w:sz w:val="21"/>
                <w:szCs w:val="21"/>
                <w:lang w:bidi="ar"/>
              </w:rPr>
              <w:t>。</w:t>
            </w:r>
          </w:p>
          <w:p w14:paraId="275B185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2.课程维护</w:t>
            </w:r>
          </w:p>
          <w:p w14:paraId="2D4075F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（1）支持对课程信息进行编辑，包括课程封面、课程介绍视频、课程介绍、关键词、教材等信息；</w:t>
            </w:r>
          </w:p>
          <w:p w14:paraId="588E0AC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（2）支持对章、节、讲名称进行编辑；支持对节点进行删除、重新排序等操作；</w:t>
            </w:r>
          </w:p>
          <w:p w14:paraId="267D15A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（3）教学团队维护，支持添加、删除教学团队成员，实现教师团队成员的展示；支持教学团队成员修改简介等个人信息；</w:t>
            </w:r>
          </w:p>
          <w:p w14:paraId="34BE646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（4）学员管理，支持根据姓名、学校、选课时间等内容搜索查询学员，支持导出课程学员。</w:t>
            </w:r>
          </w:p>
          <w:p w14:paraId="1963BBF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3.课程教学</w:t>
            </w:r>
          </w:p>
          <w:p w14:paraId="5529E82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（1）课程公告，支持新建、编辑、删除公告，支持根据关键词查询课程公告；</w:t>
            </w:r>
          </w:p>
          <w:p w14:paraId="5410853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（2）主题讨论，支持创建、编辑、删除主题讨论，支持对具体讨论进行点赞、回复、设置精华等操作；（3）课程答疑，支持针对学生提的问题进行回答，支持教师自主回答或AI回答；</w:t>
            </w:r>
          </w:p>
          <w:p w14:paraId="59B568C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（4）课程笔记，支持根据章节筛选查询学生笔记内容，支持对笔记进行点赞等操作；</w:t>
            </w:r>
          </w:p>
          <w:p w14:paraId="0A76019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（5）课程评价，支持教师对课程评价内容进行查询、删除等。</w:t>
            </w:r>
          </w:p>
          <w:p w14:paraId="3609064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4.考核与证书</w:t>
            </w:r>
          </w:p>
          <w:p w14:paraId="0EA8A5D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（1）支持拖拽成绩区间按钮，设置成绩的不合格、合格、优秀三级的成绩区间范围；</w:t>
            </w:r>
          </w:p>
          <w:p w14:paraId="06A756B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2）学生成绩由资源完成率、考试、在线作业、测验、主题讨论五项组成，教师可根据课程特点分别设置五项权重，最终由权重得分生成最终成绩，提高最终统计客观合理性，支持设置通过标准；其中考试、在线作业、测验、主题讨论支持教师配置具体明细，选择参与考核的具体内容；</w:t>
            </w:r>
          </w:p>
          <w:p w14:paraId="3B11ABC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（3）证书设置，支持教师选择不开启证书、合格证书、合格及优秀证书；支持对合格证书和优秀证书设置分数，分数达到要求的同学可以申请对应证书。</w:t>
            </w:r>
          </w:p>
          <w:p w14:paraId="01B68C7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5.题库管理（1）支持从课程原始平台的其他课期导入题目；</w:t>
            </w:r>
          </w:p>
          <w:p w14:paraId="41B396E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（2）支持通过题型、题目难度以及题目来源进行题目筛选，支持按照关键词搜索查询题目；（3）支持删除题库中的题目，支持修改题目难度，支持批量导出题目。</w:t>
            </w:r>
          </w:p>
          <w:p w14:paraId="1C7CE68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6.作业分为在线作业和附件作业。</w:t>
            </w:r>
          </w:p>
          <w:p w14:paraId="54C024B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在线作业题目来自课程题库，支持设置答题时长、要求完成时间、作答次数等基本设置；对于同一套在线作业，可设置题目乱序、选项乱序等，具有防作弊功能；多选题可设置多种计分方式；支持设置成绩认定方式、答案公布时间、成绩公布时间等；支持随机出题和手动出题两种模式，手动出题是教师从题库中选择确定题目组成作业，随机出题在确定题型和确定数目的前提下随机选择题目组成作业，保证学生收到的作业有差异；</w:t>
            </w:r>
          </w:p>
          <w:p w14:paraId="562632F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2）附件作业，支持教师创建、编辑、删除附件作业。创建附件作业时，支持编辑作业名称、答题时长、要求完成时间、答题次数等；支持设置答案公布时间和成绩公布时间；支持上传作业说明和参考答案，作业说明和参考答案支持上传附件；</w:t>
            </w:r>
          </w:p>
          <w:p w14:paraId="62F6836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（3）支持教师在线查看学生作业作答情况，客观题系统自动批阅，主观题支持AI智能批阅。</w:t>
            </w:r>
          </w:p>
          <w:p w14:paraId="14FB288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7.测验和考试，支持教师创建、编辑、删除测验和考试。测验和考试与在线作业基本一致。</w:t>
            </w:r>
          </w:p>
          <w:p w14:paraId="7E08A74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8.数据统计</w:t>
            </w:r>
          </w:p>
          <w:p w14:paraId="6B6F524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成果统计，支持对课程数据进行展示及分析，包括本期选课人数、学员所属单位、本期互动次数、本期日志总数、教学团队统计、知识图谱及专项图谱建设数据展示、教学资源统计、教学活动统计等，并根据课程内容变化实时更新；</w:t>
            </w:r>
          </w:p>
          <w:p w14:paraId="078D1C4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（2）教学大屏，包括学习数据统计展示、教学活动数据统计展示、成绩统计展示，并提供课程大数据分析，包括学习趋势、学习进度、成绩趋势、考评完成度、观看视频时长等内容。</w:t>
            </w:r>
          </w:p>
          <w:p w14:paraId="083ADAD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9.消息通知，支持查看发送的信息及收到的信息。</w:t>
            </w:r>
          </w:p>
          <w:p w14:paraId="7BA23FC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（三）知识图谱建设</w:t>
            </w:r>
          </w:p>
          <w:p w14:paraId="492F163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依托平台的知识图谱构建功能，支持建设本课程知识图谱，并支持实时在教师建课后台、前端门户展示。</w:t>
            </w:r>
          </w:p>
          <w:p w14:paraId="457675B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1.图谱创建与导出</w:t>
            </w:r>
          </w:p>
          <w:p w14:paraId="11089BA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（1）创建课程后自动创建对应图谱，若课程为导入课程，支持根据现有课程结构，自动生成与章节对应的图谱；</w:t>
            </w:r>
          </w:p>
          <w:p w14:paraId="79C0DF5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（2）支持依据导入模板格式一键导入，自动生成图谱；</w:t>
            </w:r>
          </w:p>
          <w:p w14:paraId="09A713F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（3）支持引用该课程上一期的图谱，自动将上一期的节点资源、节点标签等同步到新一期；</w:t>
            </w:r>
          </w:p>
          <w:p w14:paraId="126981E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（4）支持课程名称、封面、专业大类信息等自动同步至对应图谱；</w:t>
            </w:r>
          </w:p>
          <w:p w14:paraId="5BFA2F8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（5）支持将图谱内容一键导出。</w:t>
            </w:r>
          </w:p>
          <w:p w14:paraId="11EBF45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2.图谱编辑</w:t>
            </w:r>
          </w:p>
          <w:p w14:paraId="5A9B1E5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（1）提供预览、编辑两种模式，满足老师在不同场景的使用需求；</w:t>
            </w:r>
          </w:p>
          <w:p w14:paraId="19CD17D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（2）提供知识技能导图、知识技能树、知识技能图谱三种图谱编辑方式；</w:t>
            </w:r>
          </w:p>
          <w:p w14:paraId="66B2012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（3）在知识技能树编辑模式下，支持拖拽调整章、节、讲、资源等的顺序，与课程结构一致的排版，便利老师操作；</w:t>
            </w:r>
          </w:p>
          <w:p w14:paraId="7BBA5FA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（4）根据布鲁姆认知学习领域目标中的记忆、理解、应用、分析、评价、创造，搭建知识图谱标签体系；</w:t>
            </w:r>
          </w:p>
          <w:p w14:paraId="0C18780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（5）支持完善图谱的节点名称、节点描述、节点目标、节点属性等基础信息；支持标记是否关联岗位、是否关联证书、是否为赛点、是否为课程思政点等；支持设置、自定义添加节点标签；</w:t>
            </w:r>
          </w:p>
          <w:p w14:paraId="4E120E4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（6）提供AI助写功能，支持智能生成图谱的节点描述、知识节点目标等；</w:t>
            </w:r>
          </w:p>
          <w:p w14:paraId="24C1CC1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（7）支持添加节点关系，如包含、并列、先后关系；</w:t>
            </w:r>
          </w:p>
          <w:p w14:paraId="33F932E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（8）支持将图谱节点与该教师统一资源中心、专业资源库、本地的资源相关联，建立课程知识点与资源的绑定关系，对应资源可同步至课程下；</w:t>
            </w:r>
          </w:p>
          <w:p w14:paraId="0C9D01E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（9）支持将图谱节点与课程的作业、测验、考试等相关联，建立课程知识点与作业、考试、测验的绑定关系，对应作业、测验、考试等可同步至课程下。</w:t>
            </w:r>
          </w:p>
          <w:p w14:paraId="7EAB7CC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3.图谱协作</w:t>
            </w:r>
          </w:p>
          <w:p w14:paraId="57E9D87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（1）支持课程的教学团队成员参与图谱协作，课程负责人可为其分配协作节点，设置任务截止时间等；</w:t>
            </w:r>
          </w:p>
          <w:p w14:paraId="373BDC3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（2）课程负责人拥有全部课程节点的编辑权限；</w:t>
            </w:r>
          </w:p>
          <w:p w14:paraId="4D956A5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（3）支持课程负责人修改、撤销相关任务；</w:t>
            </w:r>
          </w:p>
          <w:p w14:paraId="37BA540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（4）支持团队成员编辑完成提交后到课程主持人进行审核。</w:t>
            </w:r>
          </w:p>
          <w:p w14:paraId="1902822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4.图谱统计</w:t>
            </w:r>
          </w:p>
          <w:p w14:paraId="4C7D528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（1）提供各级节点数、关联岗位、关联证书、关联赛项等的统计数量；</w:t>
            </w:r>
          </w:p>
          <w:p w14:paraId="5D380F2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（2）提供关联资源数、关联作业测验考试的数量总和、团队成员数、点击次数和访问次数等。</w:t>
            </w:r>
          </w:p>
          <w:p w14:paraId="3B9977A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（四）课程智能体建设</w:t>
            </w:r>
          </w:p>
          <w:p w14:paraId="43FB459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基于大模型核心能力，训练解析基于本课程的课程级智能体，提供课程级别的智能问答助手。</w:t>
            </w:r>
          </w:p>
          <w:p w14:paraId="0B1871D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（五）AI工具集</w:t>
            </w:r>
          </w:p>
          <w:p w14:paraId="7F39789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1.AI批阅，依托大模型与智能体技术，结合评分标准，深入剖析答案内容，高效批改作业与考试，自动打分并提供智能批语。</w:t>
            </w:r>
          </w:p>
          <w:p w14:paraId="28C72E8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（1）支持自动分析学生的回答，提供总结性评价，智能批阅简答题目，产出评语、评分等；</w:t>
            </w:r>
          </w:p>
          <w:p w14:paraId="2A86103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（2）针对内容提供细致评价，提供更为细致的智能批阅结果，如逐句评价等；</w:t>
            </w:r>
          </w:p>
          <w:p w14:paraId="4F43D85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（3）提供其他维度评阅结果，如针对某道题目产出其在学习态度、认知能力、表达能力等方面进行评价。</w:t>
            </w:r>
          </w:p>
          <w:p w14:paraId="5A2E623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2.AI课程教学报告，针对课程中产生的教学行为过程数据，提供课程教学报告，报告在提供基础教学数据的基础上，推出更为新颖的评价指标和维度。</w:t>
            </w:r>
          </w:p>
          <w:p w14:paraId="3A4A30A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根据学习用户量、成绩分布、进度分布、课程建设内容等指标形成课程的评价；总结课程最需要关注的数据，包括表现最突出的学生、最受欢迎的问题、整体分数最好的一场考试、最需要关注的知识点等；来生成AI课程教学评价，包括知识点掌握程度评价、学生考测评排行榜等；</w:t>
            </w:r>
          </w:p>
          <w:p w14:paraId="457D444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（2）根据课程突出数据，生成课程风格，如以视频资源为主、题库丰富、讨论气氛热烈等；</w:t>
            </w:r>
          </w:p>
          <w:p w14:paraId="372B58C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3）教学详情部分智能分析学生的参与情况、课程设计情况、智能工具使用情况、知识图谱建设情况、考测评情况等数据，汇聚展示老师需要关注的重点内容，如登录时间分布、学生讨论关键词、视频解析及错题关键词、热门对话问题TOP5、班级薄弱知识图谱等；</w:t>
            </w:r>
          </w:p>
          <w:p w14:paraId="76994BF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（4）根据整体教学过程数据智能生成课程建设参考，为老师在资源建设、内容建设、实践与理论结合方面提供参考。</w:t>
            </w:r>
          </w:p>
          <w:p w14:paraId="0B0B5BF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3.AI学习助手</w:t>
            </w:r>
          </w:p>
          <w:p w14:paraId="474F178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（1）课程学习，配套展示在对应课程学习的页面，支持学生随时调用，进行基于课程内容学习的过程性问答；</w:t>
            </w:r>
          </w:p>
          <w:p w14:paraId="049B836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（2）讨论支持，在讨论区自动解答学生发起的讨论问题；</w:t>
            </w:r>
          </w:p>
          <w:p w14:paraId="490F78E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（3）答疑支持，在答疑区自动解答学生发起的提问。</w:t>
            </w:r>
          </w:p>
          <w:p w14:paraId="704AAE1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4.AI视频理解，对课程视频资源提供章节速览、视频总结、字幕提取、实时翻译、热词解析等智能功能，帮助学生提升学习效率。</w:t>
            </w:r>
          </w:p>
          <w:p w14:paraId="6A7C067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（1）AI视频速览，使用多模态技术对视频进行切片，梳理视频资源的知识点，并可更根据知识点点击跳转对应视频片段；</w:t>
            </w:r>
          </w:p>
          <w:p w14:paraId="08CAB5B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（2）AI视频字幕及实时翻译，自动生成视频字幕，支持；</w:t>
            </w:r>
          </w:p>
          <w:p w14:paraId="28CCF93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（3）AI视频总结，基于视频内容自动提取生成视频概要总结；</w:t>
            </w:r>
          </w:p>
          <w:p w14:paraId="123EC1E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（4）AI热词解析，自动生成热词词云，点击词云，即可支持基于词云的对话。</w:t>
            </w:r>
          </w:p>
          <w:p w14:paraId="7211BDC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全平台智能回复接入“绿网”功能，运用前沿的语义分析与内容识别技术，构建起多层级内容过滤机制，对平台上所有智能生成的回复内容进行实时、精准审查，能够迅速识别各类不良或敏感信息，包括但不限于低俗内容、错误价值观导向言论、不实知识信息等。</w:t>
            </w:r>
          </w:p>
          <w:p w14:paraId="2D03148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6.AI文档解析</w:t>
            </w:r>
          </w:p>
          <w:p w14:paraId="5E1E6E0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（1）支持Word、PDF等文档格式上传，可基于文档进行问答对话；</w:t>
            </w:r>
          </w:p>
          <w:p w14:paraId="5464B2E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（2）支持基于文档的分层级总结，并可对重点内容特殊标记。</w:t>
            </w:r>
          </w:p>
          <w:p w14:paraId="3246100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7.AI错题解析，为学生设计的一项智能化服务，当学生在学习过程中遇到错题且没有解析时，AI错题解析将可智能解析错因并同时提供相关知识点资源展示。</w:t>
            </w:r>
          </w:p>
          <w:p w14:paraId="1C0A88B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8.AI学习报告，根据学生参与度、成绩、学习风格和偏好、学习路径和薄弱点知识点分析生成AI学习报告。</w:t>
            </w:r>
          </w:p>
          <w:p w14:paraId="44B2B77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（1）根据登录频率、学习时长、课程资源内容学习情况、讨论答疑数据、测验和作业完成情况分析学生的参与度，将数据给到大模型，生成总结性评语，提供智能学习评价；</w:t>
            </w:r>
          </w:p>
          <w:p w14:paraId="3A80135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（2）将学习材料类型偏好、学习时间分布散点图、学习成绩趋势、难点掌握情况数据给到大模型，生成学生的学习习惯类型，提升学生学习内驱力，生成学习建议；</w:t>
            </w:r>
          </w:p>
          <w:p w14:paraId="412C41B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3）展示学习详情，提供学习参与度情况，如登录情况、资源学习情况、作测考完成情况、参与讨论情况等；提供智能工具使用情况，如错题解析情况、视频解析情况、智能体对话情况、图谱使用情况等；提供学习成果情况，根据作测考数据生成学习成果智能评价。</w:t>
            </w:r>
          </w:p>
          <w:p w14:paraId="4303381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（六）个性化学习空间</w:t>
            </w:r>
          </w:p>
          <w:p w14:paraId="4661B09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1.课程学习</w:t>
            </w:r>
          </w:p>
          <w:p w14:paraId="3FB070B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（1）内容学习，支持学习课程资源内容，包括视频、图片、文档、富媒体、音频等课程资源的在线学习，并记录学习过程数据；</w:t>
            </w:r>
          </w:p>
          <w:p w14:paraId="4DB8407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（2）课程公告查看，支持展示并查看教师发布的课程公告；</w:t>
            </w:r>
          </w:p>
          <w:p w14:paraId="239BFE3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（3）作业、测验、考试，支持学生进行课程中的作业、测验、考试的作答，可实现在线答题、提交、查看等；</w:t>
            </w:r>
          </w:p>
          <w:p w14:paraId="3EC87D3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（4）个人成绩，支持查看成绩展示模块，包括综合成绩、分项得分等内容；</w:t>
            </w:r>
          </w:p>
          <w:p w14:paraId="235A587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（5）课程讨论，支持学生参与课程讨论，包括话题评论、回复、点赞等；</w:t>
            </w:r>
          </w:p>
          <w:p w14:paraId="4BB5C69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（6）课程答疑，支持学生在答疑区发起问题，教师可对问题进行解答；</w:t>
            </w:r>
          </w:p>
          <w:p w14:paraId="118A2FF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（7）课程笔记，支持学生学习时，创建课程笔记。</w:t>
            </w:r>
          </w:p>
          <w:p w14:paraId="59D1559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2.消息通知，支持学生查看收到的课程相关通知。</w:t>
            </w:r>
          </w:p>
          <w:p w14:paraId="1DFD418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3.收藏夹，支持学生收藏课程，收藏的课程可在收藏夹中进行查看。</w:t>
            </w:r>
          </w:p>
          <w:p w14:paraId="080083D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4.学习计划，支持学生制定学习计划，系统根据学生制定的学习计划进行消息提示与督促，实时更新展示学习计划的完成程度。</w:t>
            </w:r>
          </w:p>
          <w:p w14:paraId="3BDE285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5.我的证书，支持申请已学习通过的课程证书，支持展示、下载课程证书。</w:t>
            </w:r>
          </w:p>
          <w:p w14:paraId="1F96305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6.课程图谱以自由分布和有序呈现两种方式展示课程结构，主要用于辅助用户以图谱化的形式学习课程，直观查看节点之间的层级关系。课程图谱包含知识点图谱和技能点图谱，支持以图谱形式呈现整体的课程内容，支持用户查看并学习每个节点下包含的资源、作业、测验、考试。资源学习进度与课程内容学习进度实时同步。</w:t>
            </w:r>
          </w:p>
          <w:p w14:paraId="6146AA2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7.学情图谱以图谱形式展示出学生的学习进度、测评分数、薄弱知识点，主要用于学生更加直观的查看个人学习情况。</w:t>
            </w:r>
          </w:p>
          <w:p w14:paraId="4F00569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进度图谱，支持以图谱形式直观呈现课程、每个节点的学习进度；支持用户查看每个节点下包含的学习资源列表，以及各资源的学习进度；支持显示当前节点中所有的资源以及每个资源的学习进度；支持直接点击弹窗中的资源进行学习；</w:t>
            </w:r>
          </w:p>
          <w:p w14:paraId="716C0DD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（2）测评图谱，支持以图谱形式直观呈现课程每个节点的作业、测验、考试的列表及作答成绩；可以进入弹窗中的试卷进行作答；</w:t>
            </w:r>
          </w:p>
          <w:p w14:paraId="000D8C2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（3）薄弱知识点图谱，支持以图谱形式直观呈现每个节点的资源、作业、测验、考试的整体掌握程度；支持显示掌握程度、学习进度及测评得分率的相关数据。</w:t>
            </w:r>
          </w:p>
          <w:p w14:paraId="129E6F4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8.职业图谱呈现出课程内容与岗赛证之间的关系，主要用于辅助学生根据岗位准备、证书及比赛备考等需求来进行课程学习。</w:t>
            </w:r>
          </w:p>
          <w:p w14:paraId="64AD813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1）岗位图谱，支持以图谱形式直观呈现课程、每个节点关联的岗位信息；支持用户查看各个岗位的工作领域、工作任务、技能描述与课程节点的关联关系，支持查看节点设置的岗位、证书等相关信息，支持查看具体资源；</w:t>
            </w:r>
          </w:p>
          <w:p w14:paraId="572557A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（2）比赛图谱，支持以图谱形式直观呈现课程、每个节点关联的比赛及赛项信息；支持用户查看各个比赛的赛项、赛点与课程节点的关联关系，支持查看节点设置的岗位、证书等相关信息，支持查看具体资源；</w:t>
            </w:r>
          </w:p>
          <w:p w14:paraId="46A36EB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（3）证书图谱，支持以图谱形式直观呈现课程、每个节点关联的证书信息；支持用户查看各个证书及证书考点与课程节点的关联关系，支持查看节点设置的岗位、证书等相关信息，支持查看具体资源。</w:t>
            </w:r>
          </w:p>
          <w:p w14:paraId="747A616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auto"/>
                <w:sz w:val="21"/>
                <w:szCs w:val="21"/>
                <w:lang w:bidi="ar"/>
              </w:rPr>
              <w:t>9.学情统计，支持查看了解学习过程中各项学习数据的统计情况。包括综合成绩、讨论数据、访问数据、学习进度、章节学习次数、学习时长等数据。</w:t>
            </w:r>
          </w:p>
        </w:tc>
        <w:tc>
          <w:tcPr>
            <w:tcW w:w="562"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5BC5B33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kern w:val="0"/>
                <w:sz w:val="21"/>
                <w:szCs w:val="21"/>
                <w:lang w:bidi="ar"/>
              </w:rPr>
              <w:t>项</w:t>
            </w:r>
          </w:p>
        </w:tc>
        <w:tc>
          <w:tcPr>
            <w:tcW w:w="450"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63A0172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textAlignment w:val="center"/>
              <w:rPr>
                <w:rFonts w:hint="eastAsia" w:ascii="宋体" w:hAnsi="宋体" w:eastAsia="宋体" w:cs="宋体"/>
                <w:color w:val="auto"/>
                <w:sz w:val="21"/>
                <w:szCs w:val="21"/>
                <w:lang w:bidi="ar"/>
              </w:rPr>
            </w:pPr>
            <w:r>
              <w:rPr>
                <w:rFonts w:hint="eastAsia" w:ascii="宋体" w:hAnsi="宋体" w:eastAsia="宋体" w:cs="宋体"/>
                <w:color w:val="auto"/>
                <w:kern w:val="0"/>
                <w:sz w:val="21"/>
                <w:szCs w:val="21"/>
                <w:lang w:bidi="ar"/>
              </w:rPr>
              <w:t>1</w:t>
            </w:r>
          </w:p>
        </w:tc>
        <w:tc>
          <w:tcPr>
            <w:tcW w:w="788"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5D2759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color w:val="auto"/>
                <w:sz w:val="21"/>
                <w:szCs w:val="21"/>
                <w:lang w:bidi="ar"/>
              </w:rPr>
            </w:pPr>
            <w:r>
              <w:rPr>
                <w:rFonts w:hint="eastAsia" w:ascii="宋体" w:hAnsi="宋体" w:eastAsia="宋体" w:cs="宋体"/>
                <w:color w:val="auto"/>
                <w:kern w:val="0"/>
                <w:sz w:val="21"/>
                <w:szCs w:val="21"/>
                <w:lang w:val="en-US" w:eastAsia="zh-CN" w:bidi="ar"/>
              </w:rPr>
              <w:t>20</w:t>
            </w:r>
            <w:r>
              <w:rPr>
                <w:rFonts w:hint="eastAsia" w:ascii="宋体" w:hAnsi="宋体" w:eastAsia="宋体" w:cs="宋体"/>
                <w:color w:val="auto"/>
                <w:kern w:val="0"/>
                <w:sz w:val="21"/>
                <w:szCs w:val="21"/>
                <w:lang w:bidi="ar"/>
              </w:rPr>
              <w:t>000</w:t>
            </w:r>
          </w:p>
        </w:tc>
        <w:tc>
          <w:tcPr>
            <w:tcW w:w="858"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09743D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color w:val="auto"/>
                <w:sz w:val="21"/>
                <w:szCs w:val="21"/>
                <w:lang w:bidi="ar"/>
              </w:rPr>
            </w:pPr>
            <w:r>
              <w:rPr>
                <w:rFonts w:hint="eastAsia" w:ascii="宋体" w:hAnsi="宋体" w:eastAsia="宋体" w:cs="宋体"/>
                <w:color w:val="auto"/>
                <w:kern w:val="0"/>
                <w:sz w:val="21"/>
                <w:szCs w:val="21"/>
                <w:lang w:val="en-US" w:eastAsia="zh-CN" w:bidi="ar"/>
              </w:rPr>
              <w:t>20</w:t>
            </w:r>
            <w:r>
              <w:rPr>
                <w:rFonts w:hint="eastAsia" w:ascii="宋体" w:hAnsi="宋体" w:eastAsia="宋体" w:cs="宋体"/>
                <w:color w:val="auto"/>
                <w:kern w:val="0"/>
                <w:sz w:val="21"/>
                <w:szCs w:val="21"/>
                <w:lang w:bidi="ar"/>
              </w:rPr>
              <w:t>000</w:t>
            </w:r>
          </w:p>
        </w:tc>
        <w:tc>
          <w:tcPr>
            <w:tcW w:w="1046"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02F7720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right"/>
              <w:textAlignment w:val="center"/>
              <w:rPr>
                <w:rFonts w:hint="eastAsia" w:ascii="宋体" w:hAnsi="宋体" w:eastAsia="宋体" w:cs="宋体"/>
                <w:color w:val="auto"/>
                <w:sz w:val="21"/>
                <w:szCs w:val="21"/>
                <w:lang w:bidi="ar"/>
              </w:rPr>
            </w:pPr>
          </w:p>
        </w:tc>
      </w:tr>
      <w:tr w14:paraId="2ECD79EA">
        <w:tblPrEx>
          <w:tblCellMar>
            <w:top w:w="0" w:type="dxa"/>
            <w:left w:w="0" w:type="dxa"/>
            <w:bottom w:w="0" w:type="dxa"/>
            <w:right w:w="0" w:type="dxa"/>
          </w:tblCellMar>
        </w:tblPrEx>
        <w:trPr>
          <w:trHeight w:val="0" w:hRule="atLeast"/>
          <w:jc w:val="center"/>
        </w:trPr>
        <w:tc>
          <w:tcPr>
            <w:tcW w:w="7516" w:type="dxa"/>
            <w:gridSpan w:val="6"/>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4F1540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textAlignment w:val="center"/>
              <w:rPr>
                <w:rFonts w:hint="eastAsia" w:ascii="宋体" w:hAnsi="宋体" w:eastAsia="宋体" w:cs="宋体"/>
                <w:color w:val="auto"/>
                <w:sz w:val="21"/>
                <w:szCs w:val="21"/>
                <w:lang w:bidi="ar"/>
              </w:rPr>
            </w:pPr>
            <w:r>
              <w:rPr>
                <w:rFonts w:hint="eastAsia" w:ascii="宋体" w:hAnsi="宋体" w:cs="宋体"/>
                <w:b/>
                <w:bCs/>
                <w:color w:val="auto"/>
                <w:sz w:val="21"/>
                <w:szCs w:val="21"/>
                <w:lang w:val="en-US" w:eastAsia="zh-CN" w:bidi="ar"/>
              </w:rPr>
              <w:t>标项一</w:t>
            </w:r>
            <w:r>
              <w:rPr>
                <w:rFonts w:hint="eastAsia" w:ascii="宋体" w:hAnsi="宋体" w:eastAsia="宋体" w:cs="宋体"/>
                <w:b/>
                <w:bCs/>
                <w:color w:val="auto"/>
                <w:sz w:val="21"/>
                <w:szCs w:val="21"/>
                <w:lang w:bidi="ar"/>
              </w:rPr>
              <w:t>合计金额：（大写）人民币</w:t>
            </w:r>
            <w:r>
              <w:rPr>
                <w:rFonts w:hint="eastAsia" w:ascii="宋体" w:hAnsi="宋体" w:eastAsia="宋体" w:cs="宋体"/>
                <w:b/>
                <w:bCs/>
                <w:color w:val="auto"/>
                <w:sz w:val="21"/>
                <w:szCs w:val="21"/>
                <w:u w:val="single"/>
                <w:lang w:val="en-US" w:bidi="ar"/>
              </w:rPr>
              <w:t xml:space="preserve"> </w:t>
            </w:r>
            <w:r>
              <w:rPr>
                <w:rFonts w:hint="eastAsia" w:ascii="宋体" w:hAnsi="宋体" w:eastAsia="宋体" w:cs="宋体"/>
                <w:b/>
                <w:bCs/>
                <w:color w:val="auto"/>
                <w:sz w:val="21"/>
                <w:szCs w:val="21"/>
                <w:u w:val="single"/>
                <w:lang w:val="en-US" w:eastAsia="zh-CN" w:bidi="ar"/>
              </w:rPr>
              <w:t>陆拾陆万</w:t>
            </w:r>
            <w:r>
              <w:rPr>
                <w:rFonts w:hint="eastAsia" w:ascii="宋体" w:hAnsi="宋体" w:eastAsia="宋体" w:cs="宋体"/>
                <w:b/>
                <w:bCs/>
                <w:color w:val="auto"/>
                <w:sz w:val="21"/>
                <w:szCs w:val="21"/>
                <w:u w:val="single"/>
                <w:lang w:val="en-US" w:bidi="ar"/>
              </w:rPr>
              <w:t xml:space="preserve"> </w:t>
            </w:r>
            <w:r>
              <w:rPr>
                <w:rFonts w:hint="eastAsia" w:ascii="宋体" w:hAnsi="宋体" w:eastAsia="宋体" w:cs="宋体"/>
                <w:b/>
                <w:bCs/>
                <w:color w:val="auto"/>
                <w:sz w:val="21"/>
                <w:szCs w:val="21"/>
                <w:lang w:bidi="ar"/>
              </w:rPr>
              <w:t>元整</w:t>
            </w:r>
          </w:p>
        </w:tc>
        <w:tc>
          <w:tcPr>
            <w:tcW w:w="2692" w:type="dxa"/>
            <w:gridSpan w:val="3"/>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B9C28F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b/>
                <w:bCs/>
                <w:color w:val="auto"/>
                <w:sz w:val="21"/>
                <w:szCs w:val="21"/>
                <w:lang w:val="en-US" w:eastAsia="zh-CN" w:bidi="ar"/>
              </w:rPr>
            </w:pPr>
            <w:r>
              <w:rPr>
                <w:rFonts w:hint="eastAsia" w:ascii="宋体" w:hAnsi="宋体" w:eastAsia="宋体" w:cs="宋体"/>
                <w:b/>
                <w:bCs/>
                <w:color w:val="auto"/>
                <w:sz w:val="21"/>
                <w:szCs w:val="21"/>
                <w:lang w:val="en-US" w:eastAsia="zh-CN" w:bidi="ar"/>
              </w:rPr>
              <w:t>（小写）¥</w:t>
            </w:r>
            <w:r>
              <w:rPr>
                <w:rFonts w:hint="eastAsia" w:ascii="宋体" w:hAnsi="宋体" w:eastAsia="宋体" w:cs="宋体"/>
                <w:b/>
                <w:bCs/>
                <w:color w:val="auto"/>
                <w:sz w:val="21"/>
                <w:szCs w:val="21"/>
                <w:u w:val="single"/>
                <w:lang w:val="en-US" w:eastAsia="zh-CN" w:bidi="ar"/>
              </w:rPr>
              <w:t xml:space="preserve"> 660000.00</w:t>
            </w:r>
            <w:r>
              <w:rPr>
                <w:rFonts w:hint="eastAsia" w:ascii="宋体" w:hAnsi="宋体" w:eastAsia="宋体" w:cs="宋体"/>
                <w:b/>
                <w:bCs/>
                <w:color w:val="auto"/>
                <w:sz w:val="21"/>
                <w:szCs w:val="21"/>
                <w:lang w:val="en-US" w:eastAsia="zh-CN" w:bidi="ar"/>
              </w:rPr>
              <w:t xml:space="preserve">元     </w:t>
            </w:r>
          </w:p>
        </w:tc>
      </w:tr>
      <w:tr w14:paraId="302E231B">
        <w:tblPrEx>
          <w:tblCellMar>
            <w:top w:w="0" w:type="dxa"/>
            <w:left w:w="0" w:type="dxa"/>
            <w:bottom w:w="0" w:type="dxa"/>
            <w:right w:w="0" w:type="dxa"/>
          </w:tblCellMar>
        </w:tblPrEx>
        <w:trPr>
          <w:trHeight w:val="0" w:hRule="atLeast"/>
          <w:jc w:val="center"/>
        </w:trPr>
        <w:tc>
          <w:tcPr>
            <w:tcW w:w="10208" w:type="dxa"/>
            <w:gridSpan w:val="9"/>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109EE4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lang w:bidi="ar"/>
              </w:rPr>
            </w:pPr>
            <w:r>
              <w:rPr>
                <w:rFonts w:hint="eastAsia" w:ascii="宋体" w:hAnsi="宋体" w:eastAsia="宋体" w:cs="宋体"/>
                <w:b/>
                <w:bCs/>
                <w:color w:val="auto"/>
                <w:sz w:val="21"/>
                <w:szCs w:val="21"/>
                <w:lang w:bidi="ar"/>
              </w:rPr>
              <w:t>▲二、商务要求</w:t>
            </w:r>
          </w:p>
        </w:tc>
      </w:tr>
      <w:tr w14:paraId="217DECA9">
        <w:tblPrEx>
          <w:tblCellMar>
            <w:top w:w="0" w:type="dxa"/>
            <w:left w:w="0" w:type="dxa"/>
            <w:bottom w:w="0" w:type="dxa"/>
            <w:right w:w="0" w:type="dxa"/>
          </w:tblCellMar>
        </w:tblPrEx>
        <w:trPr>
          <w:trHeight w:val="0" w:hRule="atLeast"/>
          <w:jc w:val="center"/>
        </w:trPr>
        <w:tc>
          <w:tcPr>
            <w:tcW w:w="1737" w:type="dxa"/>
            <w:gridSpan w:val="3"/>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C66D0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bCs/>
                <w:sz w:val="21"/>
                <w:szCs w:val="21"/>
                <w:highlight w:val="none"/>
              </w:rPr>
              <w:t>报价要求</w:t>
            </w:r>
          </w:p>
        </w:tc>
        <w:tc>
          <w:tcPr>
            <w:tcW w:w="8471" w:type="dxa"/>
            <w:gridSpan w:val="6"/>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518FBC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宋体" w:hAnsi="宋体" w:eastAsia="宋体" w:cs="宋体"/>
                <w:sz w:val="21"/>
                <w:szCs w:val="21"/>
              </w:rPr>
            </w:pPr>
            <w:r>
              <w:rPr>
                <w:rFonts w:hint="eastAsia" w:ascii="宋体" w:hAnsi="宋体" w:eastAsia="宋体" w:cs="宋体"/>
                <w:sz w:val="21"/>
                <w:szCs w:val="21"/>
              </w:rPr>
              <w:t>报</w:t>
            </w:r>
            <w:r>
              <w:rPr>
                <w:rFonts w:hint="default" w:ascii="宋体" w:hAnsi="宋体" w:eastAsia="宋体" w:cs="宋体"/>
                <w:sz w:val="21"/>
                <w:szCs w:val="21"/>
              </w:rPr>
              <w:t>价为采购人指定地点的现场</w:t>
            </w:r>
            <w:r>
              <w:rPr>
                <w:rFonts w:hint="eastAsia" w:ascii="宋体" w:hAnsi="宋体" w:eastAsia="宋体" w:cs="宋体"/>
                <w:sz w:val="21"/>
                <w:szCs w:val="21"/>
              </w:rPr>
              <w:t>交付价格</w:t>
            </w:r>
            <w:r>
              <w:rPr>
                <w:rFonts w:hint="default" w:ascii="宋体" w:hAnsi="宋体" w:eastAsia="宋体" w:cs="宋体"/>
                <w:sz w:val="21"/>
                <w:szCs w:val="21"/>
              </w:rPr>
              <w:t>，包括但不限于：</w:t>
            </w:r>
          </w:p>
          <w:p w14:paraId="724383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宋体" w:hAnsi="宋体" w:eastAsia="宋体" w:cs="宋体"/>
                <w:sz w:val="21"/>
                <w:szCs w:val="21"/>
              </w:rPr>
            </w:pPr>
            <w:r>
              <w:rPr>
                <w:rFonts w:hint="default" w:ascii="宋体" w:hAnsi="宋体" w:eastAsia="宋体" w:cs="宋体"/>
                <w:sz w:val="21"/>
                <w:szCs w:val="21"/>
              </w:rPr>
              <w:t>1）</w:t>
            </w:r>
            <w:r>
              <w:rPr>
                <w:rFonts w:hint="eastAsia" w:ascii="宋体" w:hAnsi="宋体" w:eastAsia="宋体" w:cs="宋体"/>
                <w:sz w:val="21"/>
                <w:szCs w:val="21"/>
              </w:rPr>
              <w:t>采购内容中所有</w:t>
            </w:r>
            <w:r>
              <w:rPr>
                <w:rFonts w:hint="default" w:ascii="宋体" w:hAnsi="宋体" w:eastAsia="宋体" w:cs="宋体"/>
                <w:sz w:val="21"/>
                <w:szCs w:val="21"/>
              </w:rPr>
              <w:t>货物</w:t>
            </w:r>
            <w:r>
              <w:rPr>
                <w:rFonts w:hint="eastAsia" w:ascii="宋体" w:hAnsi="宋体" w:eastAsia="宋体" w:cs="宋体"/>
                <w:sz w:val="21"/>
                <w:szCs w:val="21"/>
              </w:rPr>
              <w:t>和</w:t>
            </w:r>
            <w:r>
              <w:rPr>
                <w:rFonts w:hint="default" w:ascii="宋体" w:hAnsi="宋体" w:eastAsia="宋体" w:cs="宋体"/>
                <w:sz w:val="21"/>
                <w:szCs w:val="21"/>
              </w:rPr>
              <w:t>服务的价格；</w:t>
            </w:r>
          </w:p>
          <w:p w14:paraId="56030A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宋体" w:hAnsi="宋体" w:eastAsia="宋体" w:cs="宋体"/>
                <w:sz w:val="21"/>
                <w:szCs w:val="21"/>
              </w:rPr>
            </w:pPr>
            <w:r>
              <w:rPr>
                <w:rFonts w:hint="default" w:ascii="宋体" w:hAnsi="宋体" w:eastAsia="宋体" w:cs="宋体"/>
                <w:sz w:val="21"/>
                <w:szCs w:val="21"/>
              </w:rPr>
              <w:t>2）货物的标准附件、备品备件、专用工具的价格；</w:t>
            </w:r>
          </w:p>
          <w:p w14:paraId="3DC1F4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宋体" w:hAnsi="宋体" w:eastAsia="宋体" w:cs="宋体"/>
                <w:sz w:val="21"/>
                <w:szCs w:val="21"/>
              </w:rPr>
            </w:pPr>
            <w:r>
              <w:rPr>
                <w:rFonts w:hint="default" w:ascii="宋体" w:hAnsi="宋体" w:eastAsia="宋体" w:cs="宋体"/>
                <w:sz w:val="21"/>
                <w:szCs w:val="21"/>
              </w:rPr>
              <w:t>3）运输、装卸、</w:t>
            </w:r>
            <w:r>
              <w:rPr>
                <w:rFonts w:hint="eastAsia" w:ascii="宋体" w:hAnsi="宋体" w:eastAsia="宋体" w:cs="宋体"/>
                <w:sz w:val="21"/>
                <w:szCs w:val="21"/>
              </w:rPr>
              <w:t>安装（含安装材料）、</w:t>
            </w:r>
            <w:r>
              <w:rPr>
                <w:rFonts w:hint="default" w:ascii="宋体" w:hAnsi="宋体" w:eastAsia="宋体" w:cs="宋体"/>
                <w:sz w:val="21"/>
                <w:szCs w:val="21"/>
              </w:rPr>
              <w:t>调试、培训、技术支持、售后服务</w:t>
            </w:r>
            <w:r>
              <w:rPr>
                <w:rFonts w:hint="eastAsia" w:ascii="宋体" w:hAnsi="宋体" w:eastAsia="宋体" w:cs="宋体"/>
                <w:sz w:val="21"/>
                <w:szCs w:val="21"/>
              </w:rPr>
              <w:t>的费用，</w:t>
            </w:r>
            <w:r>
              <w:rPr>
                <w:rFonts w:hint="default" w:ascii="宋体" w:hAnsi="宋体" w:eastAsia="宋体" w:cs="宋体"/>
                <w:sz w:val="21"/>
                <w:szCs w:val="21"/>
              </w:rPr>
              <w:t>质保期内免费</w:t>
            </w:r>
            <w:r>
              <w:rPr>
                <w:rFonts w:hint="eastAsia" w:ascii="宋体" w:hAnsi="宋体" w:eastAsia="宋体" w:cs="宋体"/>
                <w:sz w:val="21"/>
                <w:szCs w:val="21"/>
              </w:rPr>
              <w:t>维修、养</w:t>
            </w:r>
            <w:r>
              <w:rPr>
                <w:rFonts w:hint="default" w:ascii="宋体" w:hAnsi="宋体" w:eastAsia="宋体" w:cs="宋体"/>
                <w:sz w:val="21"/>
                <w:szCs w:val="21"/>
              </w:rPr>
              <w:t>护</w:t>
            </w:r>
            <w:r>
              <w:rPr>
                <w:rFonts w:hint="eastAsia" w:ascii="宋体" w:hAnsi="宋体" w:eastAsia="宋体" w:cs="宋体"/>
                <w:sz w:val="21"/>
                <w:szCs w:val="21"/>
              </w:rPr>
              <w:t>、软件升级</w:t>
            </w:r>
            <w:r>
              <w:rPr>
                <w:rFonts w:hint="default" w:ascii="宋体" w:hAnsi="宋体" w:eastAsia="宋体" w:cs="宋体"/>
                <w:sz w:val="21"/>
                <w:szCs w:val="21"/>
              </w:rPr>
              <w:t>等费用；</w:t>
            </w:r>
          </w:p>
          <w:p w14:paraId="47DA27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1"/>
                <w:szCs w:val="21"/>
                <w:lang w:bidi="ar"/>
              </w:rPr>
            </w:pPr>
            <w:r>
              <w:rPr>
                <w:rFonts w:hint="default" w:ascii="宋体" w:hAnsi="宋体" w:eastAsia="宋体" w:cs="宋体"/>
                <w:sz w:val="21"/>
                <w:szCs w:val="21"/>
              </w:rPr>
              <w:t>4）必要的保险</w:t>
            </w:r>
            <w:r>
              <w:rPr>
                <w:rFonts w:hint="eastAsia" w:ascii="宋体" w:hAnsi="宋体" w:eastAsia="宋体" w:cs="宋体"/>
                <w:sz w:val="21"/>
                <w:szCs w:val="21"/>
              </w:rPr>
              <w:t>、检测</w:t>
            </w:r>
            <w:r>
              <w:rPr>
                <w:rFonts w:hint="default" w:ascii="宋体" w:hAnsi="宋体" w:eastAsia="宋体" w:cs="宋体"/>
                <w:sz w:val="21"/>
                <w:szCs w:val="21"/>
              </w:rPr>
              <w:t>费用和各项税费</w:t>
            </w:r>
            <w:r>
              <w:rPr>
                <w:rFonts w:hint="eastAsia" w:ascii="宋体" w:hAnsi="宋体" w:eastAsia="宋体" w:cs="宋体"/>
                <w:sz w:val="21"/>
                <w:szCs w:val="21"/>
              </w:rPr>
              <w:t>等。</w:t>
            </w:r>
          </w:p>
        </w:tc>
      </w:tr>
      <w:tr w14:paraId="72092FF6">
        <w:tblPrEx>
          <w:tblCellMar>
            <w:top w:w="0" w:type="dxa"/>
            <w:left w:w="0" w:type="dxa"/>
            <w:bottom w:w="0" w:type="dxa"/>
            <w:right w:w="0" w:type="dxa"/>
          </w:tblCellMar>
        </w:tblPrEx>
        <w:trPr>
          <w:trHeight w:val="0" w:hRule="atLeast"/>
          <w:jc w:val="center"/>
        </w:trPr>
        <w:tc>
          <w:tcPr>
            <w:tcW w:w="1737" w:type="dxa"/>
            <w:gridSpan w:val="3"/>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4DC26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bCs/>
                <w:sz w:val="21"/>
                <w:szCs w:val="21"/>
                <w:highlight w:val="none"/>
              </w:rPr>
              <w:t>质保期</w:t>
            </w:r>
          </w:p>
        </w:tc>
        <w:tc>
          <w:tcPr>
            <w:tcW w:w="8471" w:type="dxa"/>
            <w:gridSpan w:val="6"/>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1F0AD4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宋体" w:hAnsi="宋体" w:eastAsia="宋体" w:cs="宋体"/>
                <w:sz w:val="21"/>
                <w:szCs w:val="21"/>
              </w:rPr>
            </w:pPr>
            <w:r>
              <w:rPr>
                <w:rFonts w:hint="default" w:ascii="宋体" w:hAnsi="宋体" w:eastAsia="宋体" w:cs="宋体"/>
                <w:b/>
                <w:sz w:val="21"/>
                <w:szCs w:val="21"/>
              </w:rPr>
              <w:t>1.</w:t>
            </w:r>
            <w:r>
              <w:rPr>
                <w:rFonts w:hint="eastAsia" w:ascii="宋体" w:hAnsi="宋体" w:eastAsia="宋体" w:cs="宋体"/>
                <w:b/>
                <w:sz w:val="21"/>
                <w:szCs w:val="21"/>
              </w:rPr>
              <w:t>质保期</w:t>
            </w:r>
            <w:r>
              <w:rPr>
                <w:rFonts w:hint="eastAsia" w:ascii="宋体" w:hAnsi="宋体" w:eastAsia="宋体" w:cs="宋体"/>
                <w:b/>
                <w:sz w:val="21"/>
                <w:szCs w:val="21"/>
                <w:highlight w:val="none"/>
                <w:lang w:eastAsia="zh-CN"/>
              </w:rPr>
              <w:t>：</w:t>
            </w:r>
            <w:r>
              <w:rPr>
                <w:rFonts w:hint="eastAsia" w:ascii="宋体" w:hAnsi="宋体" w:eastAsia="宋体" w:cs="宋体"/>
                <w:b/>
                <w:sz w:val="21"/>
                <w:szCs w:val="21"/>
                <w:highlight w:val="none"/>
                <w:u w:val="single"/>
                <w:lang w:val="en-US" w:eastAsia="zh-CN"/>
              </w:rPr>
              <w:t>3年</w:t>
            </w:r>
            <w:r>
              <w:rPr>
                <w:rFonts w:hint="eastAsia" w:ascii="宋体" w:hAnsi="宋体" w:eastAsia="宋体" w:cs="宋体"/>
                <w:b/>
                <w:sz w:val="21"/>
                <w:szCs w:val="21"/>
                <w:highlight w:val="none"/>
              </w:rPr>
              <w:t>。</w:t>
            </w:r>
            <w:r>
              <w:rPr>
                <w:rFonts w:hint="eastAsia" w:ascii="宋体" w:hAnsi="宋体" w:eastAsia="宋体" w:cs="宋体"/>
                <w:sz w:val="21"/>
                <w:szCs w:val="21"/>
              </w:rPr>
              <w:t>（分项货物服务要求中有特别注明的，按特别注明的执行）</w:t>
            </w:r>
          </w:p>
          <w:p w14:paraId="343905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1"/>
                <w:szCs w:val="21"/>
                <w:lang w:bidi="ar"/>
              </w:rPr>
            </w:pPr>
            <w:r>
              <w:rPr>
                <w:rFonts w:hint="eastAsia" w:ascii="宋体" w:hAnsi="宋体" w:eastAsia="宋体" w:cs="宋体"/>
                <w:sz w:val="21"/>
                <w:szCs w:val="21"/>
              </w:rPr>
              <w:t>2.所有货物服务</w:t>
            </w:r>
            <w:r>
              <w:rPr>
                <w:rFonts w:hint="default" w:ascii="宋体" w:hAnsi="宋体" w:eastAsia="宋体" w:cs="宋体"/>
                <w:sz w:val="21"/>
                <w:szCs w:val="21"/>
              </w:rPr>
              <w:t>按</w:t>
            </w:r>
            <w:r>
              <w:rPr>
                <w:rFonts w:hint="eastAsia" w:ascii="宋体" w:hAnsi="宋体" w:eastAsia="宋体" w:cs="宋体"/>
                <w:sz w:val="21"/>
                <w:szCs w:val="21"/>
              </w:rPr>
              <w:t>国家</w:t>
            </w:r>
            <w:r>
              <w:rPr>
                <w:rFonts w:hint="default" w:ascii="宋体" w:hAnsi="宋体" w:eastAsia="宋体" w:cs="宋体"/>
                <w:sz w:val="21"/>
                <w:szCs w:val="21"/>
              </w:rPr>
              <w:t>“三包”</w:t>
            </w:r>
            <w:r>
              <w:rPr>
                <w:rFonts w:hint="eastAsia" w:ascii="宋体" w:hAnsi="宋体" w:eastAsia="宋体" w:cs="宋体"/>
                <w:sz w:val="21"/>
                <w:szCs w:val="21"/>
              </w:rPr>
              <w:t>有关</w:t>
            </w:r>
            <w:r>
              <w:rPr>
                <w:rFonts w:hint="default" w:ascii="宋体" w:hAnsi="宋体" w:eastAsia="宋体" w:cs="宋体"/>
                <w:sz w:val="21"/>
                <w:szCs w:val="21"/>
              </w:rPr>
              <w:t>规定执行“三包”</w:t>
            </w:r>
            <w:r>
              <w:rPr>
                <w:rFonts w:hint="eastAsia" w:ascii="宋体" w:hAnsi="宋体" w:eastAsia="宋体" w:cs="宋体"/>
                <w:sz w:val="21"/>
                <w:szCs w:val="21"/>
              </w:rPr>
              <w:t>。质保期自交付验收合格之日起计算，质保期内提供上门维修、更换和软件升级服务；质保期结束后，提供终身维护，并优惠提供相关零配件。</w:t>
            </w:r>
          </w:p>
        </w:tc>
      </w:tr>
      <w:tr w14:paraId="13A3E58D">
        <w:tblPrEx>
          <w:tblCellMar>
            <w:top w:w="0" w:type="dxa"/>
            <w:left w:w="0" w:type="dxa"/>
            <w:bottom w:w="0" w:type="dxa"/>
            <w:right w:w="0" w:type="dxa"/>
          </w:tblCellMar>
        </w:tblPrEx>
        <w:trPr>
          <w:trHeight w:val="0" w:hRule="atLeast"/>
          <w:jc w:val="center"/>
        </w:trPr>
        <w:tc>
          <w:tcPr>
            <w:tcW w:w="1737" w:type="dxa"/>
            <w:gridSpan w:val="3"/>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2DA09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bCs/>
                <w:sz w:val="21"/>
                <w:szCs w:val="21"/>
                <w:highlight w:val="none"/>
              </w:rPr>
              <w:t>产品及售后服务要求</w:t>
            </w:r>
          </w:p>
        </w:tc>
        <w:tc>
          <w:tcPr>
            <w:tcW w:w="8471" w:type="dxa"/>
            <w:gridSpan w:val="6"/>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3EC506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1.成交供应商应对课程资源制作内容及其版权负责，由此产生的一切后果由成交供应商承担。</w:t>
            </w:r>
          </w:p>
          <w:p w14:paraId="41786B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2.成交供应商负责向采购人提供网络、电话及EMAIL支持服务，响应时间不超过1小时，以保证教学资源库的正常使用；若远程支持无法解决问题的，成交供应商须24小时内上门服务，3天内解决。</w:t>
            </w:r>
          </w:p>
          <w:p w14:paraId="681360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3.成交供应商应保障采购人所购课程资源在使用期内的完整性。成交供应商未经采购人许可，不得擅自改变采购人所购数据的服务模式。</w:t>
            </w:r>
          </w:p>
          <w:p w14:paraId="3887C9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1"/>
                <w:szCs w:val="21"/>
                <w:lang w:bidi="ar"/>
              </w:rPr>
            </w:pPr>
            <w:r>
              <w:rPr>
                <w:rFonts w:hint="eastAsia" w:ascii="宋体" w:hAnsi="宋体" w:eastAsia="宋体" w:cs="宋体"/>
                <w:b w:val="0"/>
                <w:bCs w:val="0"/>
                <w:color w:val="000000"/>
                <w:sz w:val="21"/>
                <w:szCs w:val="21"/>
                <w:lang w:val="en-US" w:eastAsia="zh-CN"/>
              </w:rPr>
              <w:t>4.成交供应商须定期向采购人通报课程资源拍摄进展情况和资料。</w:t>
            </w:r>
          </w:p>
        </w:tc>
      </w:tr>
      <w:tr w14:paraId="0322F925">
        <w:tblPrEx>
          <w:tblCellMar>
            <w:top w:w="0" w:type="dxa"/>
            <w:left w:w="0" w:type="dxa"/>
            <w:bottom w:w="0" w:type="dxa"/>
            <w:right w:w="0" w:type="dxa"/>
          </w:tblCellMar>
        </w:tblPrEx>
        <w:trPr>
          <w:trHeight w:val="0" w:hRule="atLeast"/>
          <w:jc w:val="center"/>
        </w:trPr>
        <w:tc>
          <w:tcPr>
            <w:tcW w:w="1737" w:type="dxa"/>
            <w:gridSpan w:val="3"/>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09777F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bCs/>
                <w:sz w:val="21"/>
                <w:szCs w:val="21"/>
                <w:highlight w:val="none"/>
              </w:rPr>
              <w:t>交付时间、交付地点</w:t>
            </w:r>
          </w:p>
        </w:tc>
        <w:tc>
          <w:tcPr>
            <w:tcW w:w="8471" w:type="dxa"/>
            <w:gridSpan w:val="6"/>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0DD7E3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宋体" w:hAnsi="宋体" w:eastAsia="宋体" w:cs="宋体"/>
                <w:spacing w:val="-2"/>
                <w:sz w:val="21"/>
                <w:szCs w:val="21"/>
              </w:rPr>
            </w:pPr>
            <w:r>
              <w:rPr>
                <w:rFonts w:hint="default" w:ascii="宋体" w:hAnsi="宋体" w:eastAsia="宋体" w:cs="宋体"/>
                <w:spacing w:val="-2"/>
                <w:sz w:val="21"/>
                <w:szCs w:val="21"/>
              </w:rPr>
              <w:t>1.交</w:t>
            </w:r>
            <w:r>
              <w:rPr>
                <w:rFonts w:hint="eastAsia" w:ascii="宋体" w:hAnsi="宋体" w:eastAsia="宋体" w:cs="宋体"/>
                <w:spacing w:val="-2"/>
                <w:sz w:val="21"/>
                <w:szCs w:val="21"/>
              </w:rPr>
              <w:t>付</w:t>
            </w:r>
            <w:r>
              <w:rPr>
                <w:rFonts w:hint="default" w:ascii="宋体" w:hAnsi="宋体" w:eastAsia="宋体" w:cs="宋体"/>
                <w:spacing w:val="-2"/>
                <w:sz w:val="21"/>
                <w:szCs w:val="21"/>
              </w:rPr>
              <w:t>时间：</w:t>
            </w:r>
          </w:p>
          <w:p w14:paraId="34E208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宋体" w:hAnsi="宋体" w:eastAsia="宋体" w:cs="宋体"/>
                <w:spacing w:val="-2"/>
                <w:sz w:val="21"/>
                <w:szCs w:val="21"/>
              </w:rPr>
            </w:pPr>
            <w:r>
              <w:rPr>
                <w:rFonts w:hint="default" w:ascii="宋体" w:hAnsi="宋体" w:eastAsia="宋体" w:cs="宋体"/>
                <w:spacing w:val="-2"/>
                <w:sz w:val="21"/>
                <w:szCs w:val="21"/>
              </w:rPr>
              <w:t>（1）</w:t>
            </w:r>
            <w:r>
              <w:rPr>
                <w:rFonts w:hint="default" w:ascii="宋体" w:hAnsi="宋体" w:eastAsia="宋体" w:cs="宋体"/>
                <w:spacing w:val="-2"/>
                <w:sz w:val="21"/>
                <w:szCs w:val="21"/>
                <w:highlight w:val="none"/>
              </w:rPr>
              <w:t>自</w:t>
            </w:r>
            <w:r>
              <w:rPr>
                <w:rFonts w:hint="default" w:ascii="宋体" w:hAnsi="宋体" w:eastAsia="宋体" w:cs="宋体"/>
                <w:spacing w:val="-2"/>
                <w:sz w:val="21"/>
                <w:szCs w:val="21"/>
              </w:rPr>
              <w:t>签订合同之日起至2026年9月25日全部交付完成并验收合格。</w:t>
            </w:r>
          </w:p>
          <w:p w14:paraId="62465A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1"/>
                <w:szCs w:val="21"/>
                <w:lang w:bidi="ar"/>
              </w:rPr>
            </w:pPr>
            <w:r>
              <w:rPr>
                <w:rFonts w:hint="default" w:ascii="宋体" w:hAnsi="宋体" w:eastAsia="宋体" w:cs="宋体"/>
                <w:sz w:val="21"/>
                <w:szCs w:val="21"/>
              </w:rPr>
              <w:t>2.交</w:t>
            </w:r>
            <w:r>
              <w:rPr>
                <w:rFonts w:hint="eastAsia" w:ascii="宋体" w:hAnsi="宋体" w:eastAsia="宋体" w:cs="宋体"/>
                <w:sz w:val="21"/>
                <w:szCs w:val="21"/>
              </w:rPr>
              <w:t>付</w:t>
            </w:r>
            <w:r>
              <w:rPr>
                <w:rFonts w:hint="default" w:ascii="宋体" w:hAnsi="宋体" w:eastAsia="宋体" w:cs="宋体"/>
                <w:sz w:val="21"/>
                <w:szCs w:val="21"/>
              </w:rPr>
              <w:t>地点：广西农业职业技术</w:t>
            </w:r>
            <w:r>
              <w:rPr>
                <w:rFonts w:hint="eastAsia" w:ascii="宋体" w:hAnsi="宋体" w:eastAsia="宋体" w:cs="宋体"/>
                <w:sz w:val="21"/>
                <w:szCs w:val="21"/>
              </w:rPr>
              <w:t>大学</w:t>
            </w:r>
            <w:r>
              <w:rPr>
                <w:rFonts w:hint="default" w:ascii="宋体" w:hAnsi="宋体" w:eastAsia="宋体" w:cs="宋体"/>
                <w:sz w:val="21"/>
                <w:szCs w:val="21"/>
              </w:rPr>
              <w:t>。</w:t>
            </w:r>
          </w:p>
        </w:tc>
      </w:tr>
      <w:tr w14:paraId="268E5A17">
        <w:tblPrEx>
          <w:tblCellMar>
            <w:top w:w="0" w:type="dxa"/>
            <w:left w:w="0" w:type="dxa"/>
            <w:bottom w:w="0" w:type="dxa"/>
            <w:right w:w="0" w:type="dxa"/>
          </w:tblCellMar>
        </w:tblPrEx>
        <w:trPr>
          <w:trHeight w:val="0" w:hRule="atLeast"/>
          <w:jc w:val="center"/>
        </w:trPr>
        <w:tc>
          <w:tcPr>
            <w:tcW w:w="1737" w:type="dxa"/>
            <w:gridSpan w:val="3"/>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7CFE4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bCs/>
                <w:sz w:val="21"/>
                <w:szCs w:val="21"/>
                <w:highlight w:val="none"/>
              </w:rPr>
              <w:t>付款条件</w:t>
            </w:r>
          </w:p>
        </w:tc>
        <w:tc>
          <w:tcPr>
            <w:tcW w:w="8471" w:type="dxa"/>
            <w:gridSpan w:val="6"/>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6250C2CC">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Cs/>
                <w:sz w:val="21"/>
                <w:szCs w:val="21"/>
              </w:rPr>
            </w:pPr>
            <w:r>
              <w:rPr>
                <w:rFonts w:hint="eastAsia" w:ascii="宋体" w:hAnsi="宋体" w:eastAsia="宋体" w:cs="宋体"/>
                <w:bCs/>
                <w:sz w:val="21"/>
                <w:szCs w:val="21"/>
                <w:lang w:val="en-US" w:eastAsia="zh-CN"/>
              </w:rPr>
              <w:t>1.</w:t>
            </w:r>
            <w:r>
              <w:rPr>
                <w:rFonts w:hint="eastAsia" w:ascii="宋体" w:hAnsi="宋体" w:eastAsia="宋体" w:cs="宋体"/>
                <w:bCs/>
                <w:sz w:val="21"/>
                <w:szCs w:val="21"/>
              </w:rPr>
              <w:t>合同签订且项目具备实施条件后</w:t>
            </w:r>
            <w:r>
              <w:rPr>
                <w:rFonts w:hint="eastAsia" w:ascii="宋体" w:hAnsi="宋体" w:cs="宋体"/>
                <w:bCs/>
                <w:sz w:val="21"/>
                <w:szCs w:val="21"/>
                <w:lang w:val="en-US" w:eastAsia="zh-CN"/>
              </w:rPr>
              <w:t>15</w:t>
            </w:r>
            <w:r>
              <w:rPr>
                <w:rFonts w:hint="eastAsia" w:ascii="宋体" w:hAnsi="宋体" w:eastAsia="宋体" w:cs="宋体"/>
                <w:bCs/>
                <w:sz w:val="21"/>
                <w:szCs w:val="21"/>
              </w:rPr>
              <w:t>个工作日内，</w:t>
            </w:r>
            <w:r>
              <w:rPr>
                <w:rFonts w:hint="eastAsia" w:ascii="宋体" w:hAnsi="宋体" w:eastAsia="宋体" w:cs="宋体"/>
                <w:bCs/>
                <w:sz w:val="21"/>
                <w:szCs w:val="21"/>
                <w:lang w:eastAsia="zh-CN"/>
              </w:rPr>
              <w:t>采</w:t>
            </w:r>
            <w:r>
              <w:rPr>
                <w:rFonts w:hint="eastAsia" w:ascii="宋体" w:hAnsi="宋体" w:eastAsia="宋体" w:cs="宋体"/>
                <w:bCs/>
                <w:sz w:val="21"/>
                <w:szCs w:val="21"/>
                <w:highlight w:val="none"/>
                <w:lang w:eastAsia="zh-CN"/>
              </w:rPr>
              <w:t>购人</w:t>
            </w:r>
            <w:r>
              <w:rPr>
                <w:rFonts w:hint="eastAsia" w:ascii="宋体" w:hAnsi="宋体" w:eastAsia="宋体" w:cs="宋体"/>
                <w:bCs/>
                <w:sz w:val="21"/>
                <w:szCs w:val="21"/>
                <w:highlight w:val="none"/>
              </w:rPr>
              <w:t>可预付合同价</w:t>
            </w:r>
            <w:r>
              <w:rPr>
                <w:rFonts w:hint="eastAsia" w:ascii="宋体" w:hAnsi="宋体" w:eastAsia="宋体" w:cs="宋体"/>
                <w:bCs/>
                <w:sz w:val="21"/>
                <w:szCs w:val="21"/>
                <w:highlight w:val="none"/>
                <w:lang w:val="en-US" w:eastAsia="zh-CN"/>
              </w:rPr>
              <w:t>4</w:t>
            </w:r>
            <w:r>
              <w:rPr>
                <w:rFonts w:hint="eastAsia" w:ascii="宋体" w:hAnsi="宋体" w:eastAsia="宋体" w:cs="宋体"/>
                <w:bCs/>
                <w:sz w:val="21"/>
                <w:szCs w:val="21"/>
                <w:highlight w:val="none"/>
              </w:rPr>
              <w:t>0%的预付款。剩余款项</w:t>
            </w:r>
            <w:r>
              <w:rPr>
                <w:rFonts w:hint="eastAsia" w:ascii="宋体" w:hAnsi="宋体" w:eastAsia="宋体" w:cs="宋体"/>
                <w:bCs/>
                <w:sz w:val="21"/>
                <w:szCs w:val="21"/>
                <w:highlight w:val="none"/>
                <w:lang w:val="en-US" w:eastAsia="zh-CN"/>
              </w:rPr>
              <w:t>在成交人</w:t>
            </w:r>
            <w:r>
              <w:rPr>
                <w:rFonts w:hint="eastAsia" w:ascii="宋体" w:hAnsi="宋体" w:eastAsia="宋体" w:cs="宋体"/>
                <w:bCs/>
                <w:sz w:val="21"/>
                <w:szCs w:val="21"/>
                <w:highlight w:val="none"/>
              </w:rPr>
              <w:t>交货完毕并验收合格后，</w:t>
            </w:r>
            <w:r>
              <w:rPr>
                <w:rFonts w:hint="eastAsia" w:ascii="宋体" w:hAnsi="宋体" w:eastAsia="宋体" w:cs="宋体"/>
                <w:bCs/>
                <w:sz w:val="21"/>
                <w:szCs w:val="21"/>
                <w:highlight w:val="none"/>
                <w:lang w:val="en-US" w:eastAsia="zh-CN"/>
              </w:rPr>
              <w:t>采购人一次性</w:t>
            </w:r>
            <w:r>
              <w:rPr>
                <w:rFonts w:hint="eastAsia" w:ascii="宋体" w:hAnsi="宋体" w:eastAsia="宋体" w:cs="宋体"/>
                <w:bCs/>
                <w:sz w:val="21"/>
                <w:szCs w:val="21"/>
                <w:highlight w:val="none"/>
              </w:rPr>
              <w:t>向</w:t>
            </w:r>
            <w:r>
              <w:rPr>
                <w:rFonts w:hint="eastAsia" w:ascii="宋体" w:hAnsi="宋体" w:eastAsia="宋体" w:cs="宋体"/>
                <w:bCs/>
                <w:sz w:val="21"/>
                <w:szCs w:val="21"/>
                <w:highlight w:val="none"/>
                <w:lang w:val="en-US" w:eastAsia="zh-CN"/>
              </w:rPr>
              <w:t>成交人</w:t>
            </w:r>
            <w:r>
              <w:rPr>
                <w:rFonts w:hint="eastAsia" w:ascii="宋体" w:hAnsi="宋体" w:eastAsia="宋体" w:cs="宋体"/>
                <w:bCs/>
                <w:sz w:val="21"/>
                <w:szCs w:val="21"/>
                <w:highlight w:val="none"/>
              </w:rPr>
              <w:t>支付合同总价的</w:t>
            </w:r>
            <w:r>
              <w:rPr>
                <w:rFonts w:hint="eastAsia" w:ascii="宋体" w:hAnsi="宋体" w:eastAsia="宋体" w:cs="宋体"/>
                <w:bCs/>
                <w:sz w:val="21"/>
                <w:szCs w:val="21"/>
                <w:highlight w:val="none"/>
                <w:lang w:val="en-US" w:eastAsia="zh-CN"/>
              </w:rPr>
              <w:t>6</w:t>
            </w:r>
            <w:r>
              <w:rPr>
                <w:rFonts w:hint="eastAsia" w:ascii="宋体" w:hAnsi="宋体" w:eastAsia="宋体" w:cs="宋体"/>
                <w:bCs/>
                <w:sz w:val="21"/>
                <w:szCs w:val="21"/>
                <w:highlight w:val="none"/>
              </w:rPr>
              <w:t>0%，支付</w:t>
            </w:r>
            <w:r>
              <w:rPr>
                <w:rFonts w:hint="eastAsia" w:ascii="宋体" w:hAnsi="宋体" w:eastAsia="宋体" w:cs="宋体"/>
                <w:bCs/>
                <w:sz w:val="21"/>
                <w:szCs w:val="21"/>
              </w:rPr>
              <w:t>前</w:t>
            </w:r>
            <w:r>
              <w:rPr>
                <w:rFonts w:hint="eastAsia" w:ascii="宋体" w:hAnsi="宋体" w:eastAsia="宋体" w:cs="宋体"/>
                <w:bCs/>
                <w:sz w:val="21"/>
                <w:szCs w:val="21"/>
                <w:lang w:eastAsia="zh-CN"/>
              </w:rPr>
              <w:t>成交人</w:t>
            </w:r>
            <w:r>
              <w:rPr>
                <w:rFonts w:hint="eastAsia" w:ascii="宋体" w:hAnsi="宋体" w:eastAsia="宋体" w:cs="宋体"/>
                <w:bCs/>
                <w:sz w:val="21"/>
                <w:szCs w:val="21"/>
              </w:rPr>
              <w:t>须先按照已交付并验收合格的金额开具发票给</w:t>
            </w:r>
            <w:r>
              <w:rPr>
                <w:rFonts w:hint="eastAsia" w:ascii="宋体" w:hAnsi="宋体" w:eastAsia="宋体" w:cs="宋体"/>
                <w:bCs/>
                <w:sz w:val="21"/>
                <w:szCs w:val="21"/>
                <w:lang w:eastAsia="zh-CN"/>
              </w:rPr>
              <w:t>采购人</w:t>
            </w:r>
            <w:r>
              <w:rPr>
                <w:rFonts w:hint="eastAsia" w:ascii="宋体" w:hAnsi="宋体" w:eastAsia="宋体" w:cs="宋体"/>
                <w:bCs/>
                <w:sz w:val="21"/>
                <w:szCs w:val="21"/>
              </w:rPr>
              <w:t>，</w:t>
            </w:r>
            <w:r>
              <w:rPr>
                <w:rFonts w:hint="eastAsia" w:ascii="宋体" w:hAnsi="宋体" w:eastAsia="宋体" w:cs="宋体"/>
                <w:bCs/>
                <w:sz w:val="21"/>
                <w:szCs w:val="21"/>
                <w:lang w:eastAsia="zh-CN"/>
              </w:rPr>
              <w:t>采购人</w:t>
            </w:r>
            <w:r>
              <w:rPr>
                <w:rFonts w:hint="eastAsia" w:ascii="宋体" w:hAnsi="宋体" w:eastAsia="宋体" w:cs="宋体"/>
                <w:bCs/>
                <w:sz w:val="21"/>
                <w:szCs w:val="21"/>
              </w:rPr>
              <w:t>在收到发票后30日历日内按发票面额付款。如</w:t>
            </w:r>
            <w:r>
              <w:rPr>
                <w:rFonts w:hint="eastAsia" w:ascii="宋体" w:hAnsi="宋体" w:eastAsia="宋体" w:cs="宋体"/>
                <w:bCs/>
                <w:sz w:val="21"/>
                <w:szCs w:val="21"/>
                <w:lang w:eastAsia="zh-CN"/>
              </w:rPr>
              <w:t>成交人</w:t>
            </w:r>
            <w:r>
              <w:rPr>
                <w:rFonts w:hint="eastAsia" w:ascii="宋体" w:hAnsi="宋体" w:eastAsia="宋体" w:cs="宋体"/>
                <w:bCs/>
                <w:sz w:val="21"/>
                <w:szCs w:val="21"/>
              </w:rPr>
              <w:t>未按国家要求开具发票，或未按合同履约的，视为违约，</w:t>
            </w:r>
            <w:r>
              <w:rPr>
                <w:rFonts w:hint="eastAsia" w:ascii="宋体" w:hAnsi="宋体" w:eastAsia="宋体" w:cs="宋体"/>
                <w:bCs/>
                <w:sz w:val="21"/>
                <w:szCs w:val="21"/>
                <w:lang w:eastAsia="zh-CN"/>
              </w:rPr>
              <w:t>采购人</w:t>
            </w:r>
            <w:r>
              <w:rPr>
                <w:rFonts w:hint="eastAsia" w:ascii="宋体" w:hAnsi="宋体" w:eastAsia="宋体" w:cs="宋体"/>
                <w:bCs/>
                <w:sz w:val="21"/>
                <w:szCs w:val="21"/>
              </w:rPr>
              <w:t>有权扣除履约保证金，或要求解除合同，并追究</w:t>
            </w:r>
            <w:r>
              <w:rPr>
                <w:rFonts w:hint="eastAsia" w:ascii="宋体" w:hAnsi="宋体" w:eastAsia="宋体" w:cs="宋体"/>
                <w:bCs/>
                <w:sz w:val="21"/>
                <w:szCs w:val="21"/>
                <w:lang w:eastAsia="zh-CN"/>
              </w:rPr>
              <w:t>成交人</w:t>
            </w:r>
            <w:r>
              <w:rPr>
                <w:rFonts w:hint="eastAsia" w:ascii="宋体" w:hAnsi="宋体" w:eastAsia="宋体" w:cs="宋体"/>
                <w:bCs/>
                <w:sz w:val="21"/>
                <w:szCs w:val="21"/>
              </w:rPr>
              <w:t>法律责任。</w:t>
            </w:r>
          </w:p>
          <w:p w14:paraId="734F10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bCs/>
                <w:sz w:val="21"/>
                <w:szCs w:val="21"/>
              </w:rPr>
            </w:pPr>
            <w:r>
              <w:rPr>
                <w:rFonts w:hint="eastAsia" w:ascii="宋体" w:hAnsi="宋体" w:eastAsia="宋体" w:cs="宋体"/>
                <w:bCs/>
                <w:sz w:val="21"/>
                <w:szCs w:val="21"/>
              </w:rPr>
              <w:t>2.本项目收取履约保证金：</w:t>
            </w:r>
            <w:r>
              <w:rPr>
                <w:rFonts w:hint="eastAsia" w:ascii="宋体" w:hAnsi="宋体" w:eastAsia="宋体" w:cs="宋体"/>
                <w:color w:val="000000"/>
                <w:sz w:val="21"/>
                <w:szCs w:val="21"/>
                <w:lang w:eastAsia="zh-CN"/>
              </w:rPr>
              <w:t>□</w:t>
            </w:r>
            <w:r>
              <w:rPr>
                <w:rFonts w:hint="eastAsia" w:ascii="宋体" w:hAnsi="宋体" w:eastAsia="宋体" w:cs="宋体"/>
                <w:bCs/>
                <w:sz w:val="21"/>
                <w:szCs w:val="21"/>
              </w:rPr>
              <w:t>无</w:t>
            </w:r>
            <w:r>
              <w:rPr>
                <w:rFonts w:hint="eastAsia" w:ascii="宋体" w:hAnsi="宋体" w:eastAsia="宋体" w:cs="宋体"/>
                <w:color w:val="000000"/>
                <w:sz w:val="21"/>
                <w:szCs w:val="21"/>
                <w:lang w:eastAsia="zh-CN"/>
              </w:rPr>
              <w:t>☑</w:t>
            </w:r>
            <w:r>
              <w:rPr>
                <w:rFonts w:hint="eastAsia" w:ascii="宋体" w:hAnsi="宋体" w:eastAsia="宋体" w:cs="宋体"/>
                <w:bCs/>
                <w:sz w:val="21"/>
                <w:szCs w:val="21"/>
              </w:rPr>
              <w:t>有。</w:t>
            </w:r>
          </w:p>
          <w:p w14:paraId="45945D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auto"/>
                <w:sz w:val="21"/>
                <w:szCs w:val="21"/>
                <w:lang w:bidi="ar"/>
              </w:rPr>
            </w:pPr>
            <w:r>
              <w:rPr>
                <w:rFonts w:hint="eastAsia" w:ascii="宋体" w:hAnsi="宋体" w:eastAsia="宋体" w:cs="宋体"/>
                <w:bCs/>
                <w:sz w:val="21"/>
                <w:szCs w:val="21"/>
              </w:rPr>
              <w:t>3.项目收取履约保证金的，成交人须在合同签订前向采购人账户转</w:t>
            </w:r>
            <w:r>
              <w:rPr>
                <w:rFonts w:hint="eastAsia" w:ascii="宋体" w:hAnsi="宋体" w:eastAsia="宋体" w:cs="宋体"/>
                <w:bCs/>
                <w:color w:val="auto"/>
                <w:sz w:val="21"/>
                <w:szCs w:val="21"/>
              </w:rPr>
              <w:t>付</w:t>
            </w:r>
            <w:r>
              <w:rPr>
                <w:rFonts w:hint="eastAsia" w:ascii="宋体" w:hAnsi="宋体" w:eastAsia="宋体" w:cs="宋体"/>
                <w:bCs/>
                <w:color w:val="auto"/>
                <w:sz w:val="21"/>
                <w:szCs w:val="21"/>
                <w:lang w:val="en-US" w:eastAsia="zh-CN"/>
              </w:rPr>
              <w:t>标项</w:t>
            </w:r>
            <w:r>
              <w:rPr>
                <w:rFonts w:hint="eastAsia" w:ascii="宋体" w:hAnsi="宋体" w:eastAsia="宋体" w:cs="宋体"/>
                <w:bCs/>
                <w:sz w:val="21"/>
                <w:szCs w:val="21"/>
              </w:rPr>
              <w:t>合同金额2%的履约保证金，否则不予签订合同。履约保证金在采购内容全部交付验收完成之后（或服务期满后）无息退付。</w:t>
            </w:r>
          </w:p>
        </w:tc>
      </w:tr>
    </w:tbl>
    <w:p w14:paraId="40482EF2">
      <w:pPr>
        <w:pStyle w:val="20"/>
        <w:spacing w:line="440" w:lineRule="exact"/>
        <w:rPr>
          <w:rFonts w:hint="eastAsia" w:ascii="宋体" w:hAnsi="宋体" w:eastAsia="宋体" w:cs="宋体"/>
          <w:b/>
          <w:color w:val="auto"/>
          <w:sz w:val="24"/>
          <w:highlight w:val="none"/>
          <w:lang w:eastAsia="zh-CN"/>
        </w:rPr>
      </w:pPr>
    </w:p>
    <w:p w14:paraId="6A7988B5">
      <w:pPr>
        <w:pStyle w:val="4"/>
        <w:spacing w:before="0" w:after="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标项二：</w:t>
      </w:r>
      <w:r>
        <w:rPr>
          <w:rFonts w:hint="eastAsia" w:ascii="宋体" w:hAnsi="宋体" w:eastAsia="宋体" w:cs="宋体"/>
          <w:color w:val="auto"/>
          <w:sz w:val="24"/>
          <w:szCs w:val="24"/>
          <w:highlight w:val="none"/>
          <w:lang w:val="en-US" w:eastAsia="zh-CN"/>
        </w:rPr>
        <w:t>动科院现代畜牧教学资源库</w:t>
      </w:r>
    </w:p>
    <w:tbl>
      <w:tblPr>
        <w:tblStyle w:val="41"/>
        <w:tblW w:w="10208" w:type="dxa"/>
        <w:jc w:val="center"/>
        <w:tblLayout w:type="fixed"/>
        <w:tblCellMar>
          <w:top w:w="0" w:type="dxa"/>
          <w:left w:w="0" w:type="dxa"/>
          <w:bottom w:w="0" w:type="dxa"/>
          <w:right w:w="0" w:type="dxa"/>
        </w:tblCellMar>
      </w:tblPr>
      <w:tblGrid>
        <w:gridCol w:w="443"/>
        <w:gridCol w:w="656"/>
        <w:gridCol w:w="638"/>
        <w:gridCol w:w="4767"/>
        <w:gridCol w:w="562"/>
        <w:gridCol w:w="450"/>
        <w:gridCol w:w="166"/>
        <w:gridCol w:w="622"/>
        <w:gridCol w:w="858"/>
        <w:gridCol w:w="1046"/>
      </w:tblGrid>
      <w:tr w14:paraId="6AF7D522">
        <w:tblPrEx>
          <w:tblCellMar>
            <w:top w:w="0" w:type="dxa"/>
            <w:left w:w="0" w:type="dxa"/>
            <w:bottom w:w="0" w:type="dxa"/>
            <w:right w:w="0" w:type="dxa"/>
          </w:tblCellMar>
        </w:tblPrEx>
        <w:trPr>
          <w:trHeight w:val="0" w:hRule="atLeast"/>
          <w:jc w:val="center"/>
        </w:trPr>
        <w:tc>
          <w:tcPr>
            <w:tcW w:w="10208" w:type="dxa"/>
            <w:gridSpan w:val="10"/>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2DF23C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rPr>
              <w:t>一、技术要求</w:t>
            </w:r>
          </w:p>
        </w:tc>
      </w:tr>
      <w:tr w14:paraId="6A4DBF1C">
        <w:tblPrEx>
          <w:tblCellMar>
            <w:top w:w="0" w:type="dxa"/>
            <w:left w:w="0" w:type="dxa"/>
            <w:bottom w:w="0" w:type="dxa"/>
            <w:right w:w="0" w:type="dxa"/>
          </w:tblCellMar>
        </w:tblPrEx>
        <w:trPr>
          <w:trHeight w:val="0" w:hRule="atLeast"/>
          <w:jc w:val="center"/>
        </w:trPr>
        <w:tc>
          <w:tcPr>
            <w:tcW w:w="443"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AAFE89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序号</w:t>
            </w:r>
          </w:p>
        </w:tc>
        <w:tc>
          <w:tcPr>
            <w:tcW w:w="656"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1198BF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采购内容</w:t>
            </w:r>
          </w:p>
        </w:tc>
        <w:tc>
          <w:tcPr>
            <w:tcW w:w="638"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E12B35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sz w:val="21"/>
                <w:szCs w:val="21"/>
                <w:highlight w:val="none"/>
              </w:rPr>
              <w:t>参考品牌型号</w:t>
            </w:r>
          </w:p>
        </w:tc>
        <w:tc>
          <w:tcPr>
            <w:tcW w:w="476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C20605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技术参数</w:t>
            </w:r>
          </w:p>
        </w:tc>
        <w:tc>
          <w:tcPr>
            <w:tcW w:w="562"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6E8261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计量单位</w:t>
            </w:r>
          </w:p>
        </w:tc>
        <w:tc>
          <w:tcPr>
            <w:tcW w:w="450"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A8AC5B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数量</w:t>
            </w:r>
          </w:p>
        </w:tc>
        <w:tc>
          <w:tcPr>
            <w:tcW w:w="788"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8F298E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单价</w:t>
            </w:r>
          </w:p>
          <w:p w14:paraId="40DC650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sz w:val="21"/>
                <w:szCs w:val="21"/>
                <w:highlight w:val="none"/>
              </w:rPr>
              <w:t>（元）</w:t>
            </w:r>
          </w:p>
        </w:tc>
        <w:tc>
          <w:tcPr>
            <w:tcW w:w="858"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DA98C3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小计</w:t>
            </w:r>
          </w:p>
          <w:p w14:paraId="60E145D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sz w:val="21"/>
                <w:szCs w:val="21"/>
                <w:highlight w:val="none"/>
              </w:rPr>
              <w:t>（元）</w:t>
            </w:r>
          </w:p>
        </w:tc>
        <w:tc>
          <w:tcPr>
            <w:tcW w:w="1046"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60FBE5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sz w:val="21"/>
                <w:szCs w:val="21"/>
                <w:highlight w:val="none"/>
              </w:rPr>
              <w:t>说明（必要性、用途、存放地点等）</w:t>
            </w:r>
          </w:p>
        </w:tc>
      </w:tr>
      <w:tr w14:paraId="2F84F229">
        <w:tblPrEx>
          <w:tblCellMar>
            <w:top w:w="0" w:type="dxa"/>
            <w:left w:w="0" w:type="dxa"/>
            <w:bottom w:w="0" w:type="dxa"/>
            <w:right w:w="0" w:type="dxa"/>
          </w:tblCellMar>
        </w:tblPrEx>
        <w:trPr>
          <w:trHeight w:val="0" w:hRule="atLeast"/>
          <w:jc w:val="center"/>
        </w:trPr>
        <w:tc>
          <w:tcPr>
            <w:tcW w:w="443"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0E7F87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w:t>
            </w:r>
          </w:p>
        </w:tc>
        <w:tc>
          <w:tcPr>
            <w:tcW w:w="656"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655A6C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2"/>
                <w:sz w:val="21"/>
                <w:szCs w:val="21"/>
                <w:lang w:val="en-US" w:eastAsia="zh-CN" w:bidi="ar"/>
              </w:rPr>
              <w:t>课程宣传片</w:t>
            </w:r>
          </w:p>
        </w:tc>
        <w:tc>
          <w:tcPr>
            <w:tcW w:w="638"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616EAA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定制</w:t>
            </w:r>
          </w:p>
        </w:tc>
        <w:tc>
          <w:tcPr>
            <w:tcW w:w="4767"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3B9F70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auto"/>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1.协助教师完成课程宣传片脚本主题创意构思，策划拍摄形式</w:t>
            </w:r>
            <w:r>
              <w:rPr>
                <w:rFonts w:hint="eastAsia" w:ascii="宋体" w:hAnsi="宋体" w:eastAsia="宋体" w:cs="宋体"/>
                <w:i w:val="0"/>
                <w:iCs w:val="0"/>
                <w:color w:val="auto"/>
                <w:kern w:val="2"/>
                <w:sz w:val="21"/>
                <w:szCs w:val="21"/>
                <w:lang w:val="en-US" w:eastAsia="zh-CN" w:bidi="ar"/>
              </w:rPr>
              <w:t>；</w:t>
            </w:r>
          </w:p>
          <w:p w14:paraId="256394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cs="宋体"/>
                <w:i w:val="0"/>
                <w:iCs w:val="0"/>
                <w:color w:val="auto"/>
                <w:kern w:val="2"/>
                <w:sz w:val="21"/>
                <w:szCs w:val="21"/>
                <w:lang w:val="en-US" w:eastAsia="zh-CN" w:bidi="ar"/>
              </w:rPr>
            </w:pPr>
            <w:r>
              <w:rPr>
                <w:rFonts w:hint="eastAsia" w:ascii="宋体" w:hAnsi="宋体" w:cs="宋体"/>
                <w:i w:val="0"/>
                <w:iCs w:val="0"/>
                <w:color w:val="auto"/>
                <w:kern w:val="2"/>
                <w:sz w:val="21"/>
                <w:szCs w:val="21"/>
                <w:lang w:val="en-US" w:eastAsia="zh-CN" w:bidi="ar"/>
              </w:rPr>
              <w:t>2</w:t>
            </w:r>
            <w:r>
              <w:rPr>
                <w:rFonts w:hint="eastAsia" w:ascii="宋体" w:hAnsi="宋体" w:eastAsia="宋体" w:cs="宋体"/>
                <w:i w:val="0"/>
                <w:iCs w:val="0"/>
                <w:color w:val="auto"/>
                <w:kern w:val="2"/>
                <w:sz w:val="21"/>
                <w:szCs w:val="21"/>
                <w:lang w:val="en-US" w:eastAsia="zh-CN" w:bidi="ar"/>
              </w:rPr>
              <w:t>.为脚本内容提供三审三校服务，从内容架构、呈现方式、意识形态、价值导向等方面对脚本内容进行审读修改</w:t>
            </w:r>
            <w:r>
              <w:rPr>
                <w:rFonts w:hint="eastAsia" w:ascii="宋体" w:hAnsi="宋体" w:cs="宋体"/>
                <w:i w:val="0"/>
                <w:iCs w:val="0"/>
                <w:color w:val="auto"/>
                <w:kern w:val="2"/>
                <w:sz w:val="21"/>
                <w:szCs w:val="21"/>
                <w:lang w:val="en-US" w:eastAsia="zh-CN" w:bidi="ar"/>
              </w:rPr>
              <w:t>；</w:t>
            </w:r>
          </w:p>
          <w:p w14:paraId="662B22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cs="宋体"/>
                <w:i w:val="0"/>
                <w:iCs w:val="0"/>
                <w:color w:val="auto"/>
                <w:kern w:val="2"/>
                <w:sz w:val="21"/>
                <w:szCs w:val="21"/>
                <w:lang w:val="en-US" w:eastAsia="zh-CN" w:bidi="ar"/>
              </w:rPr>
              <w:t>3</w:t>
            </w:r>
            <w:r>
              <w:rPr>
                <w:rFonts w:hint="eastAsia" w:ascii="宋体" w:hAnsi="宋体" w:eastAsia="宋体" w:cs="宋体"/>
                <w:i w:val="0"/>
                <w:iCs w:val="0"/>
                <w:color w:val="auto"/>
                <w:kern w:val="2"/>
                <w:sz w:val="21"/>
                <w:szCs w:val="21"/>
                <w:lang w:val="en-US" w:eastAsia="zh-CN" w:bidi="ar"/>
              </w:rPr>
              <w:t>.基于教师完成的宣传片</w:t>
            </w:r>
            <w:r>
              <w:rPr>
                <w:rFonts w:hint="eastAsia" w:ascii="宋体" w:hAnsi="宋体" w:eastAsia="宋体" w:cs="宋体"/>
                <w:i w:val="0"/>
                <w:iCs w:val="0"/>
                <w:color w:val="000000"/>
                <w:kern w:val="2"/>
                <w:sz w:val="21"/>
                <w:szCs w:val="21"/>
                <w:lang w:val="en-US" w:eastAsia="zh-CN" w:bidi="ar"/>
              </w:rPr>
              <w:t>脚本初稿进行二次创作，突出课程的特色、优势、创新点，并完成分镜头脚本的设计制作，完成宣传片画面镜头设计</w:t>
            </w:r>
            <w:r>
              <w:rPr>
                <w:rFonts w:hint="eastAsia" w:ascii="宋体" w:hAnsi="宋体" w:cs="宋体"/>
                <w:i w:val="0"/>
                <w:iCs w:val="0"/>
                <w:color w:val="000000"/>
                <w:kern w:val="2"/>
                <w:sz w:val="21"/>
                <w:szCs w:val="21"/>
                <w:lang w:val="en-US" w:eastAsia="zh-CN" w:bidi="ar"/>
              </w:rPr>
              <w:t>。</w:t>
            </w:r>
          </w:p>
          <w:p w14:paraId="761BD9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（一）人员配备</w:t>
            </w:r>
          </w:p>
          <w:p w14:paraId="1B8E10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1.配备资深课程编辑1人，拥有三年以上数字课程项目执行经验，熟悉省级、国家级专业教学资源库、在线课程、教师教学能力比赛等教学成果项目孵化、申报认定的要求及流程，参与过职业教育国家在线精品课程的建设；</w:t>
            </w:r>
          </w:p>
          <w:p w14:paraId="046151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2.配备课程编辑助理1人，拥有一年以上数字课程项目执行经验，熟悉精品在线课程的建设流程及要求，熟悉教育部办公厅关于印发的《国家智慧教育平台数字教育资源内容审核规范》的要求，能够对脚本内容的政治性、科学性、适用性、规范性进行深度修改。</w:t>
            </w:r>
          </w:p>
          <w:p w14:paraId="06C852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（二）录制方式：</w:t>
            </w:r>
          </w:p>
          <w:p w14:paraId="2C7812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1.拍摄方式：根据课程内容，采用多机位拍摄（1-2机位以上），机位设置应满足课程完整记录的要求。</w:t>
            </w:r>
          </w:p>
          <w:p w14:paraId="500871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2.不含航拍、高空拍摄、潜拍等特殊拍摄方式。</w:t>
            </w:r>
          </w:p>
          <w:p w14:paraId="4D3E60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（三）录制设备：</w:t>
            </w:r>
          </w:p>
          <w:p w14:paraId="43ADF5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1.录像设备：摄像机要求不低于专业级数字设备，在同一门课程中标清和高清设备不得混用，配备专业广播级高清摄像机可拍4K影像，摄像机内自带无级可调ND滤镜，满足室外强光拍摄需求。配置3组单反镜头；16mm-35mm广角镜头，24mm-70mm常规镜头，70mm-200mm变焦镜头。实景拍摄在符合专业特性的场地，配置专业灯光设备和实现1-2机位拍摄，配备专业编导人员作为拍摄现场指导，场地由校方提供。</w:t>
            </w:r>
          </w:p>
          <w:p w14:paraId="61302F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2.灯光设备：采用LED柔光灯进行拍摄，适用于任何课程拍摄场景，光线均匀稳定，不受限于拍摄空间和环境，LED柔光灯可自由调节色温，结合课程需求营造不同拍摄氛围感。</w:t>
            </w:r>
          </w:p>
          <w:p w14:paraId="5BC754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3.录音设备：采用专业无线麦克风，对课程进行实时录制。具有可变输出电平的便携式接收器，拥有±12dB的可变输出电平控制，全频段扫描模式。保证教师和学生发言的录音质量。</w:t>
            </w:r>
          </w:p>
          <w:p w14:paraId="54DD45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4.监听设备：专业监听头戴式耳机2-3副。</w:t>
            </w:r>
          </w:p>
          <w:p w14:paraId="7AF9E4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5.提供专业提词器1套。</w:t>
            </w:r>
          </w:p>
          <w:p w14:paraId="7D451E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6.采用便携式可升降绿布背景，轻松实现场景切换。</w:t>
            </w:r>
          </w:p>
          <w:p w14:paraId="533082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7.提供拍摄化妆及服装造型服务。</w:t>
            </w:r>
          </w:p>
          <w:p w14:paraId="31DADB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（四）技术参数</w:t>
            </w:r>
          </w:p>
          <w:p w14:paraId="06B622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1.拍摄视频信号源：</w:t>
            </w:r>
          </w:p>
          <w:p w14:paraId="176977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(1)稳定性：全片拍摄图像同步性能稳定，无失步现象，CTL同步控制信号必须连续：图像无抖动跳跃。</w:t>
            </w:r>
          </w:p>
          <w:p w14:paraId="658FFC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(2)信噪比：图像信噪比不低于55dB，无明显杂波。</w:t>
            </w:r>
          </w:p>
          <w:p w14:paraId="05F477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(3)色调：白平衡正确，无明显偏色，每帧图像颜色数不低于256色或灰度级不低于128级，多机拍摄镜头衔接处无明显色差。</w:t>
            </w:r>
          </w:p>
          <w:p w14:paraId="4D909C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(4)视频电平：视频全讯号幅度为1Ⅴp-p，最大不超过1.1Ⅴ p-p。其中，消隐电平为0V时，白电平幅度0.7Ⅴp-p，同步信号-0.3V，色同步信号幅度0.3V p-p (以消隐线上下对称)，全片一致。</w:t>
            </w:r>
          </w:p>
          <w:p w14:paraId="679847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2.拍摄音频信号源：</w:t>
            </w:r>
          </w:p>
          <w:p w14:paraId="6C0995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(1)电平指标：-2db — -8db声音应无明显失真、放音过冲、过弱。</w:t>
            </w:r>
          </w:p>
          <w:p w14:paraId="02BE21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(2)音频信噪比不低于48db。</w:t>
            </w:r>
          </w:p>
          <w:p w14:paraId="4B1533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(3)声音和画面要求同步，无交流声或其他杂音等缺陷。</w:t>
            </w:r>
          </w:p>
          <w:p w14:paraId="6BED38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(4)配音清晰、饱满、圆润，无失真、噪声杂音干扰、音量忽大忽小现象。"</w:t>
            </w:r>
          </w:p>
          <w:p w14:paraId="69E1E9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（五）后期剪辑</w:t>
            </w:r>
          </w:p>
          <w:p w14:paraId="222477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配备资深课程编辑1人，助理编辑一人、平面设计师1人、后期剪辑师1人、动画师1人。</w:t>
            </w:r>
          </w:p>
          <w:p w14:paraId="1EF6F1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1.配备资深课程编辑1人，拥有三年以上数字课程项目执行经验，熟悉省级、国家级专业教学资源库、在线课程、教师教学能力比赛等教学成果项目孵化、申报认定的要求及流程，参与过职业教育国家在线精品课程的建设；</w:t>
            </w:r>
          </w:p>
          <w:p w14:paraId="4E17D2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2.配备</w:t>
            </w:r>
            <w:r>
              <w:rPr>
                <w:rFonts w:hint="eastAsia" w:ascii="宋体" w:hAnsi="宋体" w:eastAsia="宋体" w:cs="宋体"/>
                <w:i w:val="0"/>
                <w:iCs w:val="0"/>
                <w:color w:val="auto"/>
                <w:kern w:val="2"/>
                <w:sz w:val="21"/>
                <w:szCs w:val="21"/>
                <w:lang w:val="en-US" w:eastAsia="zh-CN" w:bidi="ar"/>
              </w:rPr>
              <w:t>资源审核</w:t>
            </w:r>
            <w:r>
              <w:rPr>
                <w:rFonts w:hint="eastAsia" w:ascii="宋体" w:hAnsi="宋体" w:eastAsia="宋体" w:cs="宋体"/>
                <w:i w:val="0"/>
                <w:iCs w:val="0"/>
                <w:color w:val="000000"/>
                <w:kern w:val="2"/>
                <w:sz w:val="21"/>
                <w:szCs w:val="21"/>
                <w:lang w:val="en-US" w:eastAsia="zh-CN" w:bidi="ar"/>
              </w:rPr>
              <w:t>团队，负责对课程资源进行审核，熟悉精品在线课程的建设流程及要求，熟悉教育部办公厅关于印发的《国家智慧教育平台数字教育资源内容审核规范（试行）》的要求，能够对脚本内容的政治性、科学性、适用性、规范性进行深度修改。</w:t>
            </w:r>
          </w:p>
          <w:p w14:paraId="18AE4B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3.平面设计师具有2年以上从业经验，能够熟练使用专业设计软件，对课程包装设计有清晰理解和丰富的经验，能够独立完成宣传片视频包装设计。</w:t>
            </w:r>
          </w:p>
          <w:p w14:paraId="66B858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4.后期剪辑师具有5年以上工作经验，能够熟练使用专业非编软件，拥有丰富的课程视频剪辑经验，熟知镜头剪辑逻辑、课程平台视频上传参数要求等。</w:t>
            </w:r>
          </w:p>
          <w:p w14:paraId="72A57C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设备配置：</w:t>
            </w:r>
          </w:p>
          <w:p w14:paraId="6CCC42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（1）配备专业编辑电脑及专业调色显示器；</w:t>
            </w:r>
          </w:p>
          <w:p w14:paraId="3D1192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（2）配备专业非编软件，Adobe Photoshop、Adobe After Effects、Premiere Pro、Animate CC、万彩动画大师、3DMAX、C4D等，可以满足各类宣传片视觉效果要求。</w:t>
            </w:r>
          </w:p>
          <w:p w14:paraId="3FD639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▲（3）提供商用版权素材库，使用版权素材，规避版权争议。</w:t>
            </w:r>
          </w:p>
          <w:p w14:paraId="2314FC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技术参数：</w:t>
            </w:r>
          </w:p>
          <w:p w14:paraId="269A1D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1）时长：约10分钟。</w:t>
            </w:r>
          </w:p>
          <w:p w14:paraId="6A8165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2）根据宣传片脚本设计对拍摄的视频素材进行剪辑，对相关课程资料图片文件等素材以突出课程特点为方向使用AE特效软件进行包装加工美化，配合辅助文字、辅助线和重点提示等条充分展示课程知识点内容，物抠像模板工程使用AE软件进行设计，要求人物抠像边缘清晰无闪烁，无噪点，无发绿或发蓝现象，文件制作所用的软件版本在Adobe CC 2018或同等及以上档次。</w:t>
            </w:r>
          </w:p>
          <w:p w14:paraId="6B2470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3）字幕要使用符合国家标准的规范字，不出现繁体字、异体字(国家规定的除外)、错别字；字幕的字体、大小、色彩搭配、摆放位置、停留时间、出入屏方式力求与其他要素（画面、解说词、音乐）配合适当，不能破坏原有画面。</w:t>
            </w:r>
          </w:p>
          <w:p w14:paraId="031352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4）根据课程内容提供片头、片尾，时长不少于3秒。</w:t>
            </w:r>
          </w:p>
          <w:p w14:paraId="73DD99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5）存储格式采用mp4存储格式。</w:t>
            </w:r>
          </w:p>
          <w:p w14:paraId="43D7A4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6）采用H.264/AVC（MPEG-4 Part10）编码格式压缩；分辨率不低于1920x1080（16:9），音频采用AAC（MPEG4 Part3）格式压缩。</w:t>
            </w:r>
          </w:p>
          <w:p w14:paraId="38A2D0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1.提供广播级专业配音服务，可以由教师或学生录音，也可提供专业配音演员配音。</w:t>
            </w:r>
          </w:p>
          <w:p w14:paraId="068AB9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2"/>
                <w:sz w:val="21"/>
                <w:szCs w:val="21"/>
                <w:lang w:val="en-US" w:eastAsia="zh-CN" w:bidi="ar"/>
              </w:rPr>
              <w:t>2.时长：约10分钟。</w:t>
            </w:r>
          </w:p>
        </w:tc>
        <w:tc>
          <w:tcPr>
            <w:tcW w:w="562"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6AB89B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auto"/>
                <w:sz w:val="21"/>
                <w:szCs w:val="21"/>
                <w:lang w:bidi="ar"/>
              </w:rPr>
            </w:pPr>
            <w:r>
              <w:rPr>
                <w:rFonts w:hint="eastAsia" w:ascii="宋体" w:hAnsi="宋体" w:eastAsia="宋体" w:cs="宋体"/>
                <w:i w:val="0"/>
                <w:iCs w:val="0"/>
                <w:color w:val="000000"/>
                <w:kern w:val="2"/>
                <w:sz w:val="21"/>
                <w:szCs w:val="21"/>
                <w:lang w:val="en-US" w:eastAsia="zh-CN" w:bidi="ar"/>
              </w:rPr>
              <w:t>个</w:t>
            </w:r>
          </w:p>
        </w:tc>
        <w:tc>
          <w:tcPr>
            <w:tcW w:w="450"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7F670F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auto"/>
                <w:sz w:val="21"/>
                <w:szCs w:val="21"/>
                <w:lang w:bidi="ar"/>
              </w:rPr>
            </w:pPr>
            <w:r>
              <w:rPr>
                <w:rFonts w:hint="eastAsia" w:ascii="宋体" w:hAnsi="宋体" w:eastAsia="宋体" w:cs="宋体"/>
                <w:i w:val="0"/>
                <w:iCs w:val="0"/>
                <w:color w:val="000000"/>
                <w:kern w:val="0"/>
                <w:sz w:val="21"/>
                <w:szCs w:val="21"/>
                <w:lang w:val="en-US" w:eastAsia="zh-CN" w:bidi="ar"/>
              </w:rPr>
              <w:t>3</w:t>
            </w:r>
          </w:p>
        </w:tc>
        <w:tc>
          <w:tcPr>
            <w:tcW w:w="788" w:type="dxa"/>
            <w:gridSpan w:val="2"/>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75B53B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auto"/>
                <w:sz w:val="21"/>
                <w:szCs w:val="21"/>
                <w:lang w:bidi="ar"/>
              </w:rPr>
            </w:pPr>
            <w:r>
              <w:rPr>
                <w:rFonts w:hint="eastAsia" w:ascii="宋体" w:hAnsi="宋体" w:eastAsia="宋体" w:cs="宋体"/>
                <w:i w:val="0"/>
                <w:iCs w:val="0"/>
                <w:color w:val="auto"/>
                <w:kern w:val="0"/>
                <w:sz w:val="21"/>
                <w:szCs w:val="21"/>
                <w:lang w:val="en-US" w:eastAsia="zh-CN" w:bidi="ar"/>
              </w:rPr>
              <w:t>5000</w:t>
            </w:r>
          </w:p>
        </w:tc>
        <w:tc>
          <w:tcPr>
            <w:tcW w:w="858"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557528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auto"/>
                <w:sz w:val="21"/>
                <w:szCs w:val="21"/>
                <w:lang w:bidi="ar"/>
              </w:rPr>
            </w:pPr>
            <w:r>
              <w:rPr>
                <w:rFonts w:hint="eastAsia" w:ascii="宋体" w:hAnsi="宋体" w:eastAsia="宋体" w:cs="宋体"/>
                <w:i w:val="0"/>
                <w:iCs w:val="0"/>
                <w:color w:val="auto"/>
                <w:kern w:val="0"/>
                <w:sz w:val="21"/>
                <w:szCs w:val="21"/>
                <w:lang w:val="en-US" w:eastAsia="zh-CN" w:bidi="ar"/>
              </w:rPr>
              <w:t>15000</w:t>
            </w:r>
          </w:p>
        </w:tc>
        <w:tc>
          <w:tcPr>
            <w:tcW w:w="1046"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528DDF8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leftChars="0" w:right="0" w:rightChars="0"/>
              <w:jc w:val="center"/>
              <w:textAlignment w:val="center"/>
              <w:rPr>
                <w:rFonts w:hint="eastAsia" w:ascii="宋体" w:hAnsi="宋体" w:eastAsia="宋体" w:cs="宋体"/>
                <w:color w:val="auto"/>
                <w:sz w:val="21"/>
                <w:szCs w:val="21"/>
                <w:lang w:bidi="ar"/>
              </w:rPr>
            </w:pPr>
            <w:r>
              <w:rPr>
                <w:rFonts w:hint="eastAsia" w:ascii="宋体" w:hAnsi="宋体" w:eastAsia="宋体" w:cs="宋体"/>
                <w:color w:val="auto"/>
                <w:kern w:val="0"/>
                <w:sz w:val="21"/>
                <w:szCs w:val="21"/>
                <w:lang w:val="en-US" w:bidi="zh-CN"/>
              </w:rPr>
              <w:t>用于现代畜牧本科生教学</w:t>
            </w:r>
          </w:p>
        </w:tc>
      </w:tr>
      <w:tr w14:paraId="224DA5CE">
        <w:tblPrEx>
          <w:tblCellMar>
            <w:top w:w="0" w:type="dxa"/>
            <w:left w:w="0" w:type="dxa"/>
            <w:bottom w:w="0" w:type="dxa"/>
            <w:right w:w="0" w:type="dxa"/>
          </w:tblCellMar>
        </w:tblPrEx>
        <w:trPr>
          <w:trHeight w:val="0" w:hRule="atLeast"/>
          <w:jc w:val="center"/>
        </w:trPr>
        <w:tc>
          <w:tcPr>
            <w:tcW w:w="443"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5C160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656"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232F77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2"/>
                <w:sz w:val="21"/>
                <w:szCs w:val="21"/>
                <w:lang w:val="en-US" w:eastAsia="zh-CN" w:bidi="ar"/>
              </w:rPr>
              <w:t>教学微课程视频</w:t>
            </w:r>
          </w:p>
        </w:tc>
        <w:tc>
          <w:tcPr>
            <w:tcW w:w="638"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3CDE8C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定制</w:t>
            </w:r>
          </w:p>
        </w:tc>
        <w:tc>
          <w:tcPr>
            <w:tcW w:w="4767"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00ABF2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（一）人员配置</w:t>
            </w:r>
          </w:p>
          <w:p w14:paraId="2032E8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1.配备资深课程编辑团队，拥有三年以上数字课程项目执行经验，熟悉省级、国家级专业教学资源库、在线课程、教师教学能力比赛等教学成果项目孵化、申报认定的要求及流程，参与过职业教育国家在线精品课程的建设；</w:t>
            </w:r>
          </w:p>
          <w:p w14:paraId="36AC28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2.配备</w:t>
            </w:r>
            <w:r>
              <w:rPr>
                <w:rFonts w:hint="eastAsia" w:ascii="宋体" w:hAnsi="宋体" w:eastAsia="宋体" w:cs="宋体"/>
                <w:i w:val="0"/>
                <w:iCs w:val="0"/>
                <w:color w:val="auto"/>
                <w:kern w:val="2"/>
                <w:sz w:val="21"/>
                <w:szCs w:val="21"/>
                <w:lang w:val="en-US" w:eastAsia="zh-CN" w:bidi="ar"/>
              </w:rPr>
              <w:t>资源审核</w:t>
            </w:r>
            <w:r>
              <w:rPr>
                <w:rFonts w:hint="eastAsia" w:ascii="宋体" w:hAnsi="宋体" w:eastAsia="宋体" w:cs="宋体"/>
                <w:i w:val="0"/>
                <w:iCs w:val="0"/>
                <w:color w:val="000000"/>
                <w:kern w:val="2"/>
                <w:sz w:val="21"/>
                <w:szCs w:val="21"/>
                <w:lang w:val="en-US" w:eastAsia="zh-CN" w:bidi="ar"/>
              </w:rPr>
              <w:t>团队，负责对课程资源进行审核，熟悉精品在线课程的建设流程及要求，熟悉育部办公厅关于印发的《国家智慧教育平台数字教育资源内容审核规范（试行）》的要求，能够对脚本内容的政治性、科学性、适用性、规范性进行深度修改。</w:t>
            </w:r>
          </w:p>
          <w:p w14:paraId="7830CA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3.平面设计师具有2年以上从业经验，能够熟练使用专业设计软件，对课程包装设计有清晰理解和丰富的经验，能够独立完成课程原创课程包装。</w:t>
            </w:r>
          </w:p>
          <w:p w14:paraId="7B0C76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4.资深摄像师2人，摄像师需具备5年以上从业经验，具有丰富的专业教学资源库、在线课程、教师教学能力比赛拍摄经验，参与过国家在线精品课程的建设。</w:t>
            </w:r>
          </w:p>
          <w:p w14:paraId="177D31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auto"/>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5.后期剪辑师具有5年以上工作经验，能够熟练使用专业非编软件，拥有丰富的课程视频剪辑经验，熟知镜头剪辑逻辑、课</w:t>
            </w:r>
            <w:r>
              <w:rPr>
                <w:rFonts w:hint="eastAsia" w:ascii="宋体" w:hAnsi="宋体" w:eastAsia="宋体" w:cs="宋体"/>
                <w:i w:val="0"/>
                <w:iCs w:val="0"/>
                <w:color w:val="auto"/>
                <w:kern w:val="2"/>
                <w:sz w:val="21"/>
                <w:szCs w:val="21"/>
                <w:lang w:val="en-US" w:eastAsia="zh-CN" w:bidi="ar"/>
              </w:rPr>
              <w:t>程平台视频上传参数要求等。</w:t>
            </w:r>
          </w:p>
          <w:p w14:paraId="37DE452A">
            <w:pPr>
              <w:widowControl/>
              <w:spacing w:after="0" w:line="360" w:lineRule="exact"/>
              <w:textAlignment w:val="center"/>
              <w:rPr>
                <w:rFonts w:hint="eastAsia"/>
                <w:color w:val="auto"/>
                <w:lang w:val="en-US" w:eastAsia="zh-CN"/>
              </w:rPr>
            </w:pPr>
            <w:r>
              <w:rPr>
                <w:rFonts w:hint="eastAsia" w:ascii="宋体" w:hAnsi="宋体" w:cs="宋体"/>
                <w:i w:val="0"/>
                <w:iCs w:val="0"/>
                <w:color w:val="auto"/>
                <w:kern w:val="2"/>
                <w:sz w:val="21"/>
                <w:szCs w:val="21"/>
                <w:lang w:val="en-US" w:eastAsia="zh-CN" w:bidi="ar"/>
              </w:rPr>
              <w:t>6</w:t>
            </w:r>
            <w:r>
              <w:rPr>
                <w:rFonts w:hint="eastAsia" w:ascii="宋体" w:hAnsi="宋体" w:eastAsia="宋体" w:cs="宋体"/>
                <w:i w:val="0"/>
                <w:iCs w:val="0"/>
                <w:color w:val="auto"/>
                <w:kern w:val="2"/>
                <w:sz w:val="21"/>
                <w:szCs w:val="21"/>
                <w:lang w:val="en-US" w:eastAsia="zh-CN" w:bidi="ar"/>
              </w:rPr>
              <w:t>.基于教师完成的微课脚本初稿提供三审三校脚本审读服务，从内容架构、呈现方式、案例结合、思政融入、意识形态、价值导向等方面对脚本内容进行审读修改，提供优化建议。</w:t>
            </w:r>
          </w:p>
          <w:p w14:paraId="6DE5C3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auto"/>
                <w:kern w:val="2"/>
                <w:sz w:val="21"/>
                <w:szCs w:val="21"/>
                <w:lang w:val="en-US" w:eastAsia="zh-CN" w:bidi="ar"/>
              </w:rPr>
            </w:pPr>
            <w:r>
              <w:rPr>
                <w:rFonts w:hint="eastAsia" w:ascii="宋体" w:hAnsi="宋体" w:eastAsia="宋体" w:cs="宋体"/>
                <w:i w:val="0"/>
                <w:iCs w:val="0"/>
                <w:color w:val="auto"/>
                <w:kern w:val="2"/>
                <w:sz w:val="21"/>
                <w:szCs w:val="21"/>
                <w:lang w:val="en-US" w:eastAsia="zh-CN" w:bidi="ar"/>
              </w:rPr>
              <w:t>（二）录制方式：</w:t>
            </w:r>
          </w:p>
          <w:p w14:paraId="728DD3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auto"/>
                <w:kern w:val="2"/>
                <w:sz w:val="21"/>
                <w:szCs w:val="21"/>
                <w:lang w:val="en-US" w:eastAsia="zh-CN" w:bidi="ar"/>
              </w:rPr>
              <w:t>1.拍摄方式：根据课程</w:t>
            </w:r>
            <w:r>
              <w:rPr>
                <w:rFonts w:hint="eastAsia" w:ascii="宋体" w:hAnsi="宋体" w:eastAsia="宋体" w:cs="宋体"/>
                <w:i w:val="0"/>
                <w:iCs w:val="0"/>
                <w:color w:val="000000"/>
                <w:kern w:val="2"/>
                <w:sz w:val="21"/>
                <w:szCs w:val="21"/>
                <w:lang w:val="en-US" w:eastAsia="zh-CN" w:bidi="ar"/>
              </w:rPr>
              <w:t>内容，采用多机位拍摄（1-2机位以上），机位设置应满足课程完整记录的要求。</w:t>
            </w:r>
          </w:p>
          <w:p w14:paraId="00BA86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2.课程配音由校方老师或学生配音，配适合背景音乐。</w:t>
            </w:r>
          </w:p>
          <w:p w14:paraId="632B1F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3.提供以下4种的录制方式供老师选择：</w:t>
            </w:r>
            <w:r>
              <w:rPr>
                <w:rFonts w:hint="eastAsia" w:ascii="宋体" w:hAnsi="宋体" w:eastAsia="宋体" w:cs="宋体"/>
                <w:i w:val="0"/>
                <w:iCs w:val="0"/>
                <w:color w:val="000000"/>
                <w:kern w:val="2"/>
                <w:sz w:val="21"/>
                <w:szCs w:val="21"/>
                <w:lang w:val="en-US" w:eastAsia="zh-CN" w:bidi="ar"/>
              </w:rPr>
              <w:br w:type="textWrapping"/>
            </w:r>
            <w:r>
              <w:rPr>
                <w:rFonts w:hint="eastAsia" w:ascii="宋体" w:hAnsi="宋体" w:eastAsia="宋体" w:cs="宋体"/>
                <w:i w:val="0"/>
                <w:iCs w:val="0"/>
                <w:color w:val="000000"/>
                <w:kern w:val="2"/>
                <w:sz w:val="21"/>
                <w:szCs w:val="21"/>
                <w:lang w:val="en-US" w:eastAsia="zh-CN" w:bidi="ar"/>
              </w:rPr>
              <w:t>（1）真人抠像+PPT模式 ：在摄影棚内拍摄教师出镜和配音，全程PPT演示。</w:t>
            </w:r>
            <w:r>
              <w:rPr>
                <w:rFonts w:hint="eastAsia" w:ascii="宋体" w:hAnsi="宋体" w:eastAsia="宋体" w:cs="宋体"/>
                <w:i w:val="0"/>
                <w:iCs w:val="0"/>
                <w:color w:val="000000"/>
                <w:kern w:val="2"/>
                <w:sz w:val="21"/>
                <w:szCs w:val="21"/>
                <w:lang w:val="en-US" w:eastAsia="zh-CN" w:bidi="ar"/>
              </w:rPr>
              <w:br w:type="textWrapping"/>
            </w:r>
            <w:r>
              <w:rPr>
                <w:rFonts w:hint="eastAsia" w:ascii="宋体" w:hAnsi="宋体" w:eastAsia="宋体" w:cs="宋体"/>
                <w:i w:val="0"/>
                <w:iCs w:val="0"/>
                <w:color w:val="000000"/>
                <w:kern w:val="2"/>
                <w:sz w:val="21"/>
                <w:szCs w:val="21"/>
                <w:lang w:val="en-US" w:eastAsia="zh-CN" w:bidi="ar"/>
              </w:rPr>
              <w:t>（2）数字人采集+PPT模式：对出镜教师进行1套服装和妆容造型数字教师训练模型视频采集服务，对教师真人形象进行AI合成与训练，训练数字人的嘴型、面部表情和肢体动作。通过音频驱动数字教师做出和语音完全匹配的嘴型面部表情和肢体动作。数字教师是固定的形象，和提供的教师真人的视频，一样的发型，妆容，服饰，1:1还原，克隆好的数字教师不支持更换衣服和妆容配饰等等。生成视频要求图像清晰，声音和画面同步，播放时没有明显的噪点，播放流畅；</w:t>
            </w:r>
            <w:r>
              <w:rPr>
                <w:rFonts w:hint="eastAsia" w:ascii="宋体" w:hAnsi="宋体" w:eastAsia="宋体" w:cs="宋体"/>
                <w:i w:val="0"/>
                <w:iCs w:val="0"/>
                <w:color w:val="000000"/>
                <w:kern w:val="2"/>
                <w:sz w:val="21"/>
                <w:szCs w:val="21"/>
                <w:lang w:val="en-US" w:eastAsia="zh-CN" w:bidi="ar"/>
              </w:rPr>
              <w:br w:type="textWrapping"/>
            </w:r>
            <w:r>
              <w:rPr>
                <w:rFonts w:hint="eastAsia" w:ascii="宋体" w:hAnsi="宋体" w:eastAsia="宋体" w:cs="宋体"/>
                <w:i w:val="0"/>
                <w:iCs w:val="0"/>
                <w:color w:val="000000"/>
                <w:kern w:val="2"/>
                <w:sz w:val="21"/>
                <w:szCs w:val="21"/>
                <w:lang w:val="en-US" w:eastAsia="zh-CN" w:bidi="ar"/>
              </w:rPr>
              <w:t>（3）室内场景实操模式 ：根据老师课程需求，选择在特定拍摄场地，多机位拍摄。</w:t>
            </w:r>
            <w:r>
              <w:rPr>
                <w:rFonts w:hint="eastAsia" w:ascii="宋体" w:hAnsi="宋体" w:eastAsia="宋体" w:cs="宋体"/>
                <w:i w:val="0"/>
                <w:iCs w:val="0"/>
                <w:color w:val="000000"/>
                <w:kern w:val="2"/>
                <w:sz w:val="21"/>
                <w:szCs w:val="21"/>
                <w:lang w:val="en-US" w:eastAsia="zh-CN" w:bidi="ar"/>
              </w:rPr>
              <w:br w:type="textWrapping"/>
            </w:r>
            <w:r>
              <w:rPr>
                <w:rFonts w:hint="eastAsia" w:ascii="宋体" w:hAnsi="宋体" w:eastAsia="宋体" w:cs="宋体"/>
                <w:i w:val="0"/>
                <w:iCs w:val="0"/>
                <w:color w:val="000000"/>
                <w:kern w:val="2"/>
                <w:sz w:val="21"/>
                <w:szCs w:val="21"/>
                <w:lang w:val="en-US" w:eastAsia="zh-CN" w:bidi="ar"/>
              </w:rPr>
              <w:t>（4）随堂拍摄模式：随堂拍摄，多机位拍摄，记录老师讲课现场风采。</w:t>
            </w:r>
          </w:p>
          <w:p w14:paraId="0CE42C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（三）录制设备：</w:t>
            </w:r>
          </w:p>
          <w:p w14:paraId="70BDED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1.录像设备：摄像机要求不低于专业级数字设备，在同一门课程中标清和高清设备不得混用，配备专业广播级高清摄像机可拍4K影像，摄像机内自带无级可调ND滤镜，满足室外强光拍摄需求。配置3组单反镜头；16mm-35mm广角镜头，24mm-70mm常规镜头，70mm-200mm变焦镜头。实景拍摄在符合专业特性的场地，配置专业灯光设备和实现1-2机位拍摄，配备编导人员作为拍摄现场指导，场地由校方提供。</w:t>
            </w:r>
          </w:p>
          <w:p w14:paraId="040F92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2.灯光设备：采用LED柔光灯进行拍摄，适用于任何课程拍摄场景，光线均匀稳定，不受限于拍摄空间和环境，LED柔光灯可自由调节色温，结合课程需求营造不同拍摄氛围感。</w:t>
            </w:r>
          </w:p>
          <w:p w14:paraId="16E300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3.录音设备：采用专业无线麦克风，对课程进行实时录制。具有可变输出电平的便携式接收器，拥有±12dB的可变输出电平控制，全频段扫描模式。保证教师和学生发言的录音质量。</w:t>
            </w:r>
          </w:p>
          <w:p w14:paraId="359BBD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4.监听设备：专业监听头戴式耳机2-3副。</w:t>
            </w:r>
          </w:p>
          <w:p w14:paraId="702893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5.提供专业提词器1套。</w:t>
            </w:r>
          </w:p>
          <w:p w14:paraId="1D9FA4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6.采用便携式可升降绿布背景，轻松实现场景切换。</w:t>
            </w:r>
          </w:p>
          <w:p w14:paraId="5B167D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7.提供拍摄化妆及服装造型服务。</w:t>
            </w:r>
          </w:p>
          <w:p w14:paraId="2697CC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8.配备专业编辑电脑及专业调色显示器；</w:t>
            </w:r>
          </w:p>
          <w:p w14:paraId="32D68C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9.配备专业非编软件，Adobe Photoshop、Microsoft Office PowerPoint、WPS Office等，可以满足各类课件视觉效果要求</w:t>
            </w:r>
          </w:p>
          <w:p w14:paraId="686CF8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▲10.提供商用版权素材库，使用版权素材，规避版权争议。</w:t>
            </w:r>
          </w:p>
          <w:p w14:paraId="00AC83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▲11.所有制作的教学资源版权归属采购人所有。</w:t>
            </w:r>
          </w:p>
          <w:p w14:paraId="1227BF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（四）技术参数</w:t>
            </w:r>
          </w:p>
          <w:p w14:paraId="0CC183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1.每个微课程视频时长为5-10分钟，为每门课程设计一套PPT模板，并完成微课程视频配套课件美化，每个PPT课件15-20屏；</w:t>
            </w:r>
          </w:p>
          <w:p w14:paraId="2CFFE2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2.软件版本：文件制作所用的软件版本Microsoft Office 2016或同等及以上档次；</w:t>
            </w:r>
          </w:p>
          <w:p w14:paraId="521D47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3.模板应用：在教师提供PPT初稿的基础上重新进行符合课程内容特点的PPT美化设计，包含不同板块的背景、教师出镜背景、人名条、章节页、画中画框、关键字美化框等元素。模板朴素、大方，颜色适宜，便于长时间观看；在模板的适当位置标明课程名称、模块（章或节）序号与模块（章或节）的名称，多个页面均有的相同元素，如背景、按钮、标题、页码等，可以使用幻灯片母版来实现；</w:t>
            </w:r>
          </w:p>
          <w:p w14:paraId="587987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4.版式设计：每页版面的字数不宜太多；正文字号应不小于 24 磅字，使用 Windows 系统默认字体不要使用仿宋、细圆等过细字体，不使用特殊字体。如有特殊字体，应转化为图形文件，文字要醒目，避免使用与背景色相近的字体颜色，页面行距建议为 1.2 倍，可适当增大，左右边距均匀、适当，页面设计的原则是版面内容的分布美观大方，恰当使用组合：某些插图中位置相对固定的文本框、数学公式以及图片等应采用组合方式，避免产生相对位移，尽量避免不必要的组合，不同对象、文本的动作需要同时出现时，可确定彼此之间的时间间隔为 0 秒，各级标题采用不同的字体和颜色，一张幻灯片上文字颜色限定在 4 种以内，注意文字与背景色的反差；</w:t>
            </w:r>
          </w:p>
          <w:p w14:paraId="1E9F80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5.对PPT初稿中的图片进行美化，包含优化图片亮度、对比度、饱和度、照片的比例、形状和水平等，使每个元素尽量可视化，易于学习观看；如原图过于模糊而达不到课程教学要求，将对图片进行二次绘制加工，使其达到课程使用要求；</w:t>
            </w:r>
          </w:p>
          <w:p w14:paraId="7311D1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6.优化PPT中的思维导图，使其与美化后的PPT风格一致，并符合线上观看学习特点；</w:t>
            </w:r>
          </w:p>
          <w:p w14:paraId="5E2DEF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7.PPT内置动画方案：根据课程讲述的顺序给PPT里对应的图文元素添加PPT内置动态效果，重难点的地方添加强调效果，使其符合线上循序渐进的学习特点，降低学习成本；不宜出现不必要的PPT内置动画效果，不使用随机效果，PPT内置动画要求连续，节奏合适；</w:t>
            </w:r>
          </w:p>
          <w:p w14:paraId="3E394C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8.画幅宽高比统一调整为16：9；</w:t>
            </w:r>
          </w:p>
          <w:p w14:paraId="4474DC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9.格式要求：*.ppt、*.pptx。</w:t>
            </w:r>
          </w:p>
          <w:p w14:paraId="203783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10.拍摄视频信号源：</w:t>
            </w:r>
          </w:p>
          <w:p w14:paraId="29EA97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(1)稳定性：全片拍摄图像同步性能稳定，无失步现象，CTL同步控制信号必须连续：图像无抖动跳跃。</w:t>
            </w:r>
          </w:p>
          <w:p w14:paraId="650EEB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(2)信噪比：图像信噪比不低于55dB，无明显杂波。</w:t>
            </w:r>
          </w:p>
          <w:p w14:paraId="71D4B3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(3)色调：白平衡正确，无明显偏色，每帧图像颜色数不低于256色或灰度级不低于128级，多机拍摄镜头衔接处无明显色差。</w:t>
            </w:r>
          </w:p>
          <w:p w14:paraId="543ACE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(4)视频电平：视频全讯号幅度为1Ⅴp-p，最大不超过1.1Ⅴ p-p。其中，消隐电平为0V时，白电平幅度0.7Ⅴp-p，同步信号-0.3V，色同步信号幅度0.3V p-p (以消隐线上下对称)，全片一致。</w:t>
            </w:r>
          </w:p>
          <w:p w14:paraId="1A2F16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(5)拍摄音频信号源：</w:t>
            </w:r>
          </w:p>
          <w:p w14:paraId="52785E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1)电平指标：-2db — -8db声音应无明显失真、放音过冲、过弱。</w:t>
            </w:r>
          </w:p>
          <w:p w14:paraId="5B782B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2)音频信噪比不低于48db。</w:t>
            </w:r>
          </w:p>
          <w:p w14:paraId="3FF58D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3)声音和画面要求同步，无交流声或其他杂音等缺陷。</w:t>
            </w:r>
          </w:p>
          <w:p w14:paraId="41C711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2"/>
                <w:sz w:val="21"/>
                <w:szCs w:val="21"/>
                <w:lang w:val="en-US" w:eastAsia="zh-CN" w:bidi="ar"/>
              </w:rPr>
              <w:t>4)配音清晰、饱满、圆润，无失真、噪声杂音干扰、音量忽大忽小现象。</w:t>
            </w:r>
          </w:p>
        </w:tc>
        <w:tc>
          <w:tcPr>
            <w:tcW w:w="562"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783432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2"/>
                <w:sz w:val="21"/>
                <w:szCs w:val="21"/>
                <w:lang w:val="en-US" w:eastAsia="zh-CN" w:bidi="ar"/>
              </w:rPr>
              <w:t>个</w:t>
            </w:r>
          </w:p>
        </w:tc>
        <w:tc>
          <w:tcPr>
            <w:tcW w:w="450"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179410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lang w:val="en-US" w:eastAsia="zh-CN" w:bidi="ar"/>
              </w:rPr>
              <w:t>90</w:t>
            </w:r>
          </w:p>
        </w:tc>
        <w:tc>
          <w:tcPr>
            <w:tcW w:w="788" w:type="dxa"/>
            <w:gridSpan w:val="2"/>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0E29CD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lang w:val="en-US" w:eastAsia="zh-CN" w:bidi="ar"/>
              </w:rPr>
              <w:t>3000</w:t>
            </w:r>
          </w:p>
        </w:tc>
        <w:tc>
          <w:tcPr>
            <w:tcW w:w="858"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0956CA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lang w:val="en-US" w:eastAsia="zh-CN" w:bidi="ar"/>
              </w:rPr>
              <w:t>270000</w:t>
            </w:r>
          </w:p>
        </w:tc>
        <w:tc>
          <w:tcPr>
            <w:tcW w:w="1046"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2FFC6D7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leftChars="0" w:right="0" w:rightChars="0"/>
              <w:jc w:val="center"/>
              <w:textAlignment w:val="center"/>
              <w:rPr>
                <w:rFonts w:hint="eastAsia" w:ascii="宋体" w:hAnsi="宋体" w:eastAsia="宋体" w:cs="宋体"/>
                <w:color w:val="auto"/>
                <w:sz w:val="21"/>
                <w:szCs w:val="21"/>
              </w:rPr>
            </w:pPr>
          </w:p>
        </w:tc>
      </w:tr>
      <w:tr w14:paraId="7403D9C3">
        <w:tblPrEx>
          <w:tblCellMar>
            <w:top w:w="0" w:type="dxa"/>
            <w:left w:w="0" w:type="dxa"/>
            <w:bottom w:w="0" w:type="dxa"/>
            <w:right w:w="0" w:type="dxa"/>
          </w:tblCellMar>
        </w:tblPrEx>
        <w:trPr>
          <w:trHeight w:val="0" w:hRule="atLeast"/>
          <w:jc w:val="center"/>
        </w:trPr>
        <w:tc>
          <w:tcPr>
            <w:tcW w:w="443"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2FF78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w:t>
            </w:r>
          </w:p>
        </w:tc>
        <w:tc>
          <w:tcPr>
            <w:tcW w:w="656"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2691B0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2"/>
                <w:sz w:val="21"/>
                <w:szCs w:val="21"/>
                <w:lang w:val="en-US" w:eastAsia="zh-CN" w:bidi="ar"/>
              </w:rPr>
              <w:t>二维动画</w:t>
            </w:r>
          </w:p>
        </w:tc>
        <w:tc>
          <w:tcPr>
            <w:tcW w:w="638"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71A9A6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定制</w:t>
            </w:r>
          </w:p>
        </w:tc>
        <w:tc>
          <w:tcPr>
            <w:tcW w:w="4767"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342619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▲1.基于教师完成的微课脚本初稿提供三审三校脚本审读服务，从内容架构、呈现方式、案例结合、思政融入、意识形态、价值导向等方面对脚本内容进行审读修改，提供优化建议。</w:t>
            </w:r>
          </w:p>
          <w:p w14:paraId="7BAF21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2.根据老师提供的文字脚本，设计幽默风趣的二维动画脚本，根据教学设计内容设计对应的动态图形动画以及二维人物形象动画；</w:t>
            </w:r>
          </w:p>
          <w:p w14:paraId="1A38C3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3.进行情景的设计以及人物角色的设计，如各部位的比例和形状，以及角色的细节设计，根据动画的基本原理、运动学、时间线、曲线编辑器等进行分镜设计；</w:t>
            </w:r>
          </w:p>
          <w:p w14:paraId="62262D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4.图形动画在合适的情景下需有对应音效效果，动态的二维人物动画要求人物动作连贯合理，能诠释对教学设计的内容辅助作用。</w:t>
            </w:r>
          </w:p>
          <w:p w14:paraId="6125BD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（一）人员配备</w:t>
            </w:r>
          </w:p>
          <w:p w14:paraId="0053D8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1.配备资深课程编辑1人，拥有三年以上数字课程项目执行经验，熟悉省级、国家级专业教学资源库、在线课程、教师教学能力比赛等教学成果项目孵化、申报认定的要求及流程，参与过国家在线精品课程的建设；</w:t>
            </w:r>
          </w:p>
          <w:p w14:paraId="2C04F0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2.配备</w:t>
            </w:r>
            <w:r>
              <w:rPr>
                <w:rFonts w:hint="eastAsia" w:ascii="宋体" w:hAnsi="宋体" w:eastAsia="宋体" w:cs="宋体"/>
                <w:i w:val="0"/>
                <w:iCs w:val="0"/>
                <w:color w:val="auto"/>
                <w:kern w:val="2"/>
                <w:sz w:val="21"/>
                <w:szCs w:val="21"/>
                <w:lang w:val="en-US" w:eastAsia="zh-CN" w:bidi="ar"/>
              </w:rPr>
              <w:t>资源审核</w:t>
            </w:r>
            <w:r>
              <w:rPr>
                <w:rFonts w:hint="eastAsia" w:ascii="宋体" w:hAnsi="宋体" w:eastAsia="宋体" w:cs="宋体"/>
                <w:i w:val="0"/>
                <w:iCs w:val="0"/>
                <w:color w:val="000000"/>
                <w:kern w:val="2"/>
                <w:sz w:val="21"/>
                <w:szCs w:val="21"/>
                <w:lang w:val="en-US" w:eastAsia="zh-CN" w:bidi="ar"/>
              </w:rPr>
              <w:t>团队，负责对课程资源进行审核，熟悉精品在线课程的建设流程及要求，熟悉教育部办公厅关于印发的《国家智慧教育平台数字教育资源内容审核规范（试行）》的要求，能够对脚本内容的政治性、科学性、适用性、规范性进行深度修改。</w:t>
            </w:r>
          </w:p>
          <w:p w14:paraId="0C9159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3.平面设计师具有2年以上从业经验，能够熟练使用专业设计软件，对课程包装设计有清晰理解和丰富的经验，能够独立完成宣传片视频包装设计。</w:t>
            </w:r>
          </w:p>
          <w:p w14:paraId="023BE4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4.后期剪辑师具有5年以上工作经验，能够熟练使用专业非编软件，拥有丰富的课程视频剪辑经验，熟知镜头剪辑逻辑、课程平台视频上传参数要求等。</w:t>
            </w:r>
          </w:p>
          <w:p w14:paraId="27F098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（二）设备配置</w:t>
            </w:r>
          </w:p>
          <w:p w14:paraId="2A1573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1.配备专业编辑电脑及专业调色显示器；</w:t>
            </w:r>
          </w:p>
          <w:p w14:paraId="77C364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2.配备专业非编软件，Adobe Photoshop、Adobe After Effects、Premiere Pro、Animate CC、万彩动画大师、3DMAX、C4D等，可以满足各类宣传片视觉效果要求。</w:t>
            </w:r>
          </w:p>
          <w:p w14:paraId="29DB06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▲3.提供商用版权素材库，使用版权素材，规避版权争议。</w:t>
            </w:r>
          </w:p>
          <w:p w14:paraId="5C8129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（三）技术参数</w:t>
            </w:r>
          </w:p>
          <w:p w14:paraId="24D2E8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1.时长：10分钟。</w:t>
            </w:r>
          </w:p>
          <w:p w14:paraId="13F936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2.文件格式</w:t>
            </w:r>
          </w:p>
          <w:p w14:paraId="302A2A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（1）媒体类型：动画；</w:t>
            </w:r>
          </w:p>
          <w:p w14:paraId="4D106C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（2）扩展名： *.mp4；</w:t>
            </w:r>
          </w:p>
          <w:p w14:paraId="39F42E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（3）说明：使用 mp4 格式。</w:t>
            </w:r>
          </w:p>
          <w:p w14:paraId="56E9DB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3.动画主要技术标准要求</w:t>
            </w:r>
          </w:p>
          <w:p w14:paraId="388960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1）品质要求：动画的开始要有醒目的标题，标题要能够体现动画所表现的内容；动画中如果有文字，文字要醒目，文字的字体、字号与内容协调，字体颜色避免与背景色相近；动画色彩造型应和谐，要求画面简洁清晰，界面友好；动画连续，节奏合适，帧和帧之间的关联性强；如果有解说，教师录制配音，配音应标准，无噪音，声音悦耳，音量适当，快慢适度；动画如果有背景音乐，背景音乐音量不宜过大，音乐与内容相符；动画演播过程要流畅，静止画面时间不超过 5 秒钟；转化为视频的动画，视频压缩采用H.264(MPEG-4 Part10：profile=main, level=1.0)编码方式，码流率3Mbps以上，帧率不低于 25 fps，分辨率不低于1920×1080（16:9）声音和画面要求同步，无交流声或其他杂音等缺陷，无明显失真、放音过冲、过弱；</w:t>
            </w:r>
          </w:p>
          <w:p w14:paraId="5E3D13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2）内容要求：动画内容符合我国现行法律法规，尊重各民族的风俗习惯，版权不存在争议；若其中包含少数民族或外国语言文字信息，应遵循其原内容完整性，使用原语言进行处理；有明确的版权标识信息，所呈现或使用素材不涉及版权问题；</w:t>
            </w:r>
          </w:p>
          <w:p w14:paraId="4DF06B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（3）存储格式：采用mp4 存储格式。</w:t>
            </w:r>
          </w:p>
          <w:p w14:paraId="2E74CB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（四）服务内容</w:t>
            </w:r>
          </w:p>
          <w:p w14:paraId="099447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1.根据教学设计内容进行动画视觉上的创意、风格策划与计算，进行人物原画、插画和图标绘制；</w:t>
            </w:r>
          </w:p>
          <w:p w14:paraId="1C1566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2.有完整的人物设置、场景构成与镜头设计；</w:t>
            </w:r>
          </w:p>
          <w:p w14:paraId="1E1737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3.融入丰富的美学知识,选择合理的布局手法、色彩构成与字体运用。</w:t>
            </w:r>
          </w:p>
          <w:p w14:paraId="0BA7C9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4.提供广播级专业配音服务，可以由教师或学生录音，也可提供专业配音演员配音。</w:t>
            </w:r>
          </w:p>
          <w:p w14:paraId="15F218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2"/>
                <w:sz w:val="21"/>
                <w:szCs w:val="21"/>
                <w:lang w:val="en-US" w:eastAsia="zh-CN" w:bidi="ar"/>
              </w:rPr>
              <w:t>5.时长：10分钟。</w:t>
            </w:r>
          </w:p>
        </w:tc>
        <w:tc>
          <w:tcPr>
            <w:tcW w:w="562"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6CEDA4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lang w:val="en-US" w:eastAsia="zh-CN" w:bidi="ar"/>
              </w:rPr>
              <w:t>分钟</w:t>
            </w:r>
          </w:p>
        </w:tc>
        <w:tc>
          <w:tcPr>
            <w:tcW w:w="450"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63A7FD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lang w:val="en-US" w:eastAsia="zh-CN" w:bidi="ar"/>
              </w:rPr>
              <w:t>10</w:t>
            </w:r>
          </w:p>
        </w:tc>
        <w:tc>
          <w:tcPr>
            <w:tcW w:w="788" w:type="dxa"/>
            <w:gridSpan w:val="2"/>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3821B8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auto"/>
                <w:kern w:val="0"/>
                <w:sz w:val="21"/>
                <w:szCs w:val="21"/>
                <w:lang w:val="en-US" w:eastAsia="zh-CN" w:bidi="ar"/>
              </w:rPr>
              <w:t>2500</w:t>
            </w:r>
          </w:p>
        </w:tc>
        <w:tc>
          <w:tcPr>
            <w:tcW w:w="858"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07581E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auto"/>
                <w:kern w:val="0"/>
                <w:sz w:val="21"/>
                <w:szCs w:val="21"/>
                <w:lang w:val="en-US" w:eastAsia="zh-CN" w:bidi="ar"/>
              </w:rPr>
              <w:t>25000</w:t>
            </w:r>
          </w:p>
        </w:tc>
        <w:tc>
          <w:tcPr>
            <w:tcW w:w="1046"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17F5BB0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leftChars="0" w:right="0" w:rightChars="0"/>
              <w:jc w:val="center"/>
              <w:textAlignment w:val="center"/>
              <w:rPr>
                <w:rFonts w:hint="eastAsia" w:ascii="宋体" w:hAnsi="宋体" w:eastAsia="宋体" w:cs="宋体"/>
                <w:color w:val="auto"/>
                <w:sz w:val="21"/>
                <w:szCs w:val="21"/>
                <w:lang w:val="en-US" w:eastAsia="zh-CN"/>
              </w:rPr>
            </w:pPr>
          </w:p>
        </w:tc>
      </w:tr>
      <w:tr w14:paraId="043BA7CD">
        <w:tblPrEx>
          <w:tblCellMar>
            <w:top w:w="0" w:type="dxa"/>
            <w:left w:w="0" w:type="dxa"/>
            <w:bottom w:w="0" w:type="dxa"/>
            <w:right w:w="0" w:type="dxa"/>
          </w:tblCellMar>
        </w:tblPrEx>
        <w:trPr>
          <w:trHeight w:val="0" w:hRule="atLeast"/>
          <w:jc w:val="center"/>
        </w:trPr>
        <w:tc>
          <w:tcPr>
            <w:tcW w:w="443"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16669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656"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002FF3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2"/>
                <w:sz w:val="21"/>
                <w:szCs w:val="21"/>
                <w:lang w:val="en-US" w:eastAsia="zh-CN" w:bidi="ar"/>
              </w:rPr>
              <w:t>三维动画</w:t>
            </w:r>
          </w:p>
        </w:tc>
        <w:tc>
          <w:tcPr>
            <w:tcW w:w="638"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474D9E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定制</w:t>
            </w:r>
          </w:p>
        </w:tc>
        <w:tc>
          <w:tcPr>
            <w:tcW w:w="4767"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7B8C2C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▲1.基于教师完成的微课脚本初稿提供三审三校脚本审读服务，从内容架构、呈现方式、案例结合、思政融入、意识形态、价值导向等方面对脚本内容进行审读修改，提供优化建议。</w:t>
            </w:r>
          </w:p>
          <w:p w14:paraId="127E80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2.根据老师提供的文字脚本，设计幽默风趣的三维动画脚本，根据教学设计内容设计对应的动态图形动画以及三维模型；</w:t>
            </w:r>
          </w:p>
          <w:p w14:paraId="6750A0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3.进行情景的设计以及人物角色的设计，如各部位的比例和形状，以及角色的细节设计，根据动画的基本原理、运动学、时间线、曲线编辑器等进行分镜设计；</w:t>
            </w:r>
          </w:p>
          <w:p w14:paraId="2A61C1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（一）人员配备</w:t>
            </w:r>
          </w:p>
          <w:p w14:paraId="716C54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1.配备资深课程编辑1人，拥有三年以上数字课程项目执行经验，熟悉省级、国家级专业教学资源库、在线课程、教师教学能力比赛等教学成果项目孵化、申报认定的要求及流程，参与过国家在线精品课程的建设；</w:t>
            </w:r>
          </w:p>
          <w:p w14:paraId="62E413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2.配备资源审核团队，负责对课程资源进行审核，熟悉精品在线课程的建设流程及要求，熟悉教育部办公厅关于印发的《国家智慧教育平台数字教育资源内容审核规范（试行）》的要求，能够对脚本内容的政治性、科学性、适用性、规范性进行深度修改。</w:t>
            </w:r>
          </w:p>
          <w:p w14:paraId="5C2CF2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3.平面设计师具有2年以上从业经验，能够熟练使用专业设计软件，对课程包装设计有清晰理解和丰富的经验，能够独立完成宣传片视频包装设计。</w:t>
            </w:r>
          </w:p>
          <w:p w14:paraId="58A256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4.后期剪辑师具有5年以上工作经验，能够熟练使用专业非编软件，拥有丰富的课程视频剪辑经验，熟知镜头剪辑逻辑、课程平台视频上传参数要求等。</w:t>
            </w:r>
          </w:p>
          <w:p w14:paraId="48D2B6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（二）设备配置</w:t>
            </w:r>
          </w:p>
          <w:p w14:paraId="79C2BB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1.配备专业编辑电脑及专业调色显示器；</w:t>
            </w:r>
          </w:p>
          <w:p w14:paraId="400D63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2.配备专业非编软件，Adobe Photoshop、Adobe After Effects、Premiere Pro、Animate CC、万彩动画大师、3DMAX、C4D等，可以满足各类宣传片视觉效果要求。</w:t>
            </w:r>
          </w:p>
          <w:p w14:paraId="5CB38F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▲3.提供商用版权素材库，使用版权素材，规避版权争议。</w:t>
            </w:r>
          </w:p>
          <w:p w14:paraId="1B90B8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（三）参数设置</w:t>
            </w:r>
          </w:p>
          <w:p w14:paraId="06FC67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1.制作内容：三维动画总时长6分钟。</w:t>
            </w:r>
          </w:p>
          <w:p w14:paraId="0B2041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2.动画内容应符合我国法律法规，尊重各民族的风俗习惯，版权不存在争议；</w:t>
            </w:r>
          </w:p>
          <w:p w14:paraId="03EEBF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3.动画既可以作为微课程插入素材，又可以作为独立素材呈现；</w:t>
            </w:r>
          </w:p>
          <w:p w14:paraId="3D629F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4.使用3Dmaya、C4D等三维动画软件制作，采用常见存储格式1920×1080（16:9）的mp4格式、mov格式。</w:t>
            </w:r>
          </w:p>
          <w:p w14:paraId="4ACCC2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5.动画色彩造型应和谐，画面流畅，动画节奏连续，节奏合适，帧和帧之间的关联性要强。</w:t>
            </w:r>
          </w:p>
          <w:p w14:paraId="05B530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6.动画如果有背景音乐，背景音乐音量不宜过大，音乐与内容相符。</w:t>
            </w:r>
          </w:p>
          <w:p w14:paraId="370A52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7.动画演播过程要流畅，静止画面时间不超过3秒钟。动画内容版权不存在争议，有明确的版权标识信息。</w:t>
            </w:r>
          </w:p>
          <w:p w14:paraId="6EACE6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8.根据动画脚本适配动画时长，数量上不低于6个，总时长（即累计时长）不低于360秒。</w:t>
            </w:r>
          </w:p>
          <w:p w14:paraId="0B93C0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9.动画的开始要有醒目的标题，标题要能够体现动画所表现的内容。</w:t>
            </w:r>
          </w:p>
          <w:p w14:paraId="27DD46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10.如果有解说，教师录制配音，配音应标准，无噪音，声音悦耳，音量适当，快慢适度。</w:t>
            </w:r>
          </w:p>
          <w:p w14:paraId="75B593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11.存储格式采用mp4存储格式。</w:t>
            </w:r>
          </w:p>
          <w:p w14:paraId="021FDD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2"/>
                <w:sz w:val="21"/>
                <w:szCs w:val="21"/>
                <w:lang w:val="en-US" w:eastAsia="zh-CN" w:bidi="ar"/>
              </w:rPr>
              <w:t>12.渲染输出规格不低于1920×1080（16:9）。</w:t>
            </w:r>
          </w:p>
        </w:tc>
        <w:tc>
          <w:tcPr>
            <w:tcW w:w="562"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01BB45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auto"/>
                <w:sz w:val="21"/>
                <w:szCs w:val="21"/>
                <w:lang w:bidi="ar"/>
              </w:rPr>
            </w:pPr>
            <w:r>
              <w:rPr>
                <w:rFonts w:hint="eastAsia" w:ascii="宋体" w:hAnsi="宋体" w:eastAsia="宋体" w:cs="宋体"/>
                <w:i w:val="0"/>
                <w:iCs w:val="0"/>
                <w:color w:val="000000"/>
                <w:kern w:val="0"/>
                <w:sz w:val="21"/>
                <w:szCs w:val="21"/>
                <w:lang w:val="en-US" w:eastAsia="zh-CN" w:bidi="ar"/>
              </w:rPr>
              <w:t>分钟</w:t>
            </w:r>
          </w:p>
        </w:tc>
        <w:tc>
          <w:tcPr>
            <w:tcW w:w="450"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25E363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auto"/>
                <w:sz w:val="21"/>
                <w:szCs w:val="21"/>
                <w:lang w:bidi="ar"/>
              </w:rPr>
            </w:pPr>
            <w:r>
              <w:rPr>
                <w:rFonts w:hint="eastAsia" w:ascii="宋体" w:hAnsi="宋体" w:eastAsia="宋体" w:cs="宋体"/>
                <w:i w:val="0"/>
                <w:iCs w:val="0"/>
                <w:color w:val="000000"/>
                <w:kern w:val="0"/>
                <w:sz w:val="21"/>
                <w:szCs w:val="21"/>
                <w:lang w:val="en-US" w:eastAsia="zh-CN" w:bidi="ar"/>
              </w:rPr>
              <w:t>6</w:t>
            </w:r>
          </w:p>
        </w:tc>
        <w:tc>
          <w:tcPr>
            <w:tcW w:w="788" w:type="dxa"/>
            <w:gridSpan w:val="2"/>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25162F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auto"/>
                <w:sz w:val="21"/>
                <w:szCs w:val="21"/>
                <w:lang w:bidi="ar"/>
              </w:rPr>
            </w:pPr>
            <w:r>
              <w:rPr>
                <w:rFonts w:hint="eastAsia" w:ascii="宋体" w:hAnsi="宋体" w:eastAsia="宋体" w:cs="宋体"/>
                <w:i w:val="0"/>
                <w:iCs w:val="0"/>
                <w:color w:val="auto"/>
                <w:kern w:val="0"/>
                <w:sz w:val="21"/>
                <w:szCs w:val="21"/>
                <w:lang w:val="en-US" w:eastAsia="zh-CN" w:bidi="ar"/>
              </w:rPr>
              <w:t>6000</w:t>
            </w:r>
          </w:p>
        </w:tc>
        <w:tc>
          <w:tcPr>
            <w:tcW w:w="858"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110282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auto"/>
                <w:sz w:val="21"/>
                <w:szCs w:val="21"/>
                <w:lang w:bidi="ar"/>
              </w:rPr>
            </w:pPr>
            <w:r>
              <w:rPr>
                <w:rFonts w:hint="eastAsia" w:ascii="宋体" w:hAnsi="宋体" w:eastAsia="宋体" w:cs="宋体"/>
                <w:i w:val="0"/>
                <w:iCs w:val="0"/>
                <w:color w:val="auto"/>
                <w:kern w:val="0"/>
                <w:sz w:val="21"/>
                <w:szCs w:val="21"/>
                <w:lang w:val="en-US" w:eastAsia="zh-CN" w:bidi="ar"/>
              </w:rPr>
              <w:t>36000</w:t>
            </w:r>
          </w:p>
        </w:tc>
        <w:tc>
          <w:tcPr>
            <w:tcW w:w="1046"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478580A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leftChars="0" w:right="0" w:rightChars="0"/>
              <w:jc w:val="center"/>
              <w:textAlignment w:val="center"/>
              <w:rPr>
                <w:rFonts w:hint="eastAsia" w:ascii="宋体" w:hAnsi="宋体" w:eastAsia="宋体" w:cs="宋体"/>
                <w:color w:val="auto"/>
                <w:sz w:val="21"/>
                <w:szCs w:val="21"/>
                <w:lang w:bidi="ar"/>
              </w:rPr>
            </w:pPr>
          </w:p>
        </w:tc>
      </w:tr>
      <w:tr w14:paraId="18E7C990">
        <w:tblPrEx>
          <w:tblCellMar>
            <w:top w:w="0" w:type="dxa"/>
            <w:left w:w="0" w:type="dxa"/>
            <w:bottom w:w="0" w:type="dxa"/>
            <w:right w:w="0" w:type="dxa"/>
          </w:tblCellMar>
        </w:tblPrEx>
        <w:trPr>
          <w:trHeight w:val="0" w:hRule="atLeast"/>
          <w:jc w:val="center"/>
        </w:trPr>
        <w:tc>
          <w:tcPr>
            <w:tcW w:w="443"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80A4B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w:t>
            </w:r>
          </w:p>
        </w:tc>
        <w:tc>
          <w:tcPr>
            <w:tcW w:w="656"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038D0E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2"/>
                <w:sz w:val="21"/>
                <w:szCs w:val="21"/>
                <w:lang w:val="en-US" w:eastAsia="zh-CN" w:bidi="ar"/>
              </w:rPr>
              <w:t>数字教学视频素材</w:t>
            </w:r>
          </w:p>
        </w:tc>
        <w:tc>
          <w:tcPr>
            <w:tcW w:w="638"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6E637D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定制</w:t>
            </w:r>
          </w:p>
        </w:tc>
        <w:tc>
          <w:tcPr>
            <w:tcW w:w="4767"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624E37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▲1.基于教师完成的微课脚本初稿提供三审三校脚本审读服务，从内容架构、呈现方式、案例结合、思政融入、意识形态、价值导向等方面对脚本内容进行审读修改，提供优化建议。</w:t>
            </w:r>
          </w:p>
          <w:p w14:paraId="03E643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（一）人员配备</w:t>
            </w:r>
          </w:p>
          <w:p w14:paraId="29262E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1.配备资深课程编辑团队，拥有三年以上数字课程项目执行经验，熟悉省级、国家级专业教学资源库、在线课程、教师教学能力比赛等教学成果项目孵化、申报认定的要求及流程，参与过国家在线精品课程的建设；</w:t>
            </w:r>
          </w:p>
          <w:p w14:paraId="57A301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2.配备改为资源审核团队，负责对课程资源进行审核，熟悉精品在线课程的建设流程及要求，熟悉教育部办公厅关于印发的《国家智慧教育平台数字教育资源内容审核规范（试行）》的要求，能够对脚本内容的政治性、科学性、适用性、规范性进行深度修改。</w:t>
            </w:r>
          </w:p>
          <w:p w14:paraId="6686CD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3.资深摄像师2人，摄像师需具备5年以上从业经验，具有丰富的专业教学资源库、在线课程、教师教学能力比赛拍摄经验，参与过国家在线精品课程的建设。</w:t>
            </w:r>
          </w:p>
          <w:p w14:paraId="5B1B7E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4.后期剪辑师具有5年以上工作经验，能够熟练使用专业非编软件，拥有丰富的课程视频剪辑经验，熟知镜头剪辑逻辑、课程平台视频上传参数要求等。</w:t>
            </w:r>
          </w:p>
          <w:p w14:paraId="5A1FB5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（二）录制方式：</w:t>
            </w:r>
          </w:p>
          <w:p w14:paraId="190B42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1.拍摄方式：根据课程内容，采用多机位拍摄（1-2机位以上），机位设置应满足课程完整记录的要求。</w:t>
            </w:r>
          </w:p>
          <w:p w14:paraId="5E7EB5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2.课程配音由校方老师或学生配音，配适合背景音乐。</w:t>
            </w:r>
          </w:p>
          <w:p w14:paraId="64DD85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3.提供以下三种录制方式：</w:t>
            </w:r>
          </w:p>
          <w:p w14:paraId="7EC88C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（1）典型工作技能：围绕上述拟开发的课程，设计重点技能训练项目，作为课程的组课资源，也可以作为内容系统、完整的一个技能训练模块。</w:t>
            </w:r>
          </w:p>
          <w:p w14:paraId="409C0E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（2）思政案例：思政案例要求以视频为主要载体，为围绕某个知识点/行业发展关注点展开、基于教学设计的学习资源。</w:t>
            </w:r>
          </w:p>
          <w:p w14:paraId="2FCF14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（3）企业案例：企业案例要求以视频为主要载体，为围绕某个知识点/行业发展关注点展开、基于教学设计的学习资源。</w:t>
            </w:r>
          </w:p>
          <w:p w14:paraId="5CE03D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（三）录制设备：</w:t>
            </w:r>
          </w:p>
          <w:p w14:paraId="41B81D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1.录像设备：摄像机要求不低于专业级数字设备，在同一门课程中标清和高清设备不得混用，配备专业广播级高清摄像机可拍4K影像，摄像机内自带无级可调ND滤镜，满足室外强光拍摄需求。配置3组单反镜头；16mm-35mm广角镜头，24mm-70mm常规镜头，70mm-200mm变焦镜头。实景拍摄在符合专业特性的场地，配置专业灯光设备和实现1-2机位拍摄，配备编导人员作为拍摄现场指导，场地由校方提供。</w:t>
            </w:r>
          </w:p>
          <w:p w14:paraId="29F872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2.灯光设备：采用LED柔光灯进行拍摄，适用于任何课程拍摄场景，光线均匀稳定，不受限于拍摄空间和环境，LED柔光灯可自由调节色温，结合课程需求营造不同拍摄氛围感。</w:t>
            </w:r>
          </w:p>
          <w:p w14:paraId="26BE2E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3.录音设备：采用专业无线麦克风，对课程进行实时录制。具有可变输出电平的便携式接收器，拥有±12dB的可变输出电平控制，全频段扫描模式。保证教师和学生发言的录音质量。</w:t>
            </w:r>
          </w:p>
          <w:p w14:paraId="2A0C30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4.监听设备：专业监听头戴式耳机2-3副。</w:t>
            </w:r>
          </w:p>
          <w:p w14:paraId="1243AD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5.提供专业提词器1套。</w:t>
            </w:r>
          </w:p>
          <w:p w14:paraId="7CC156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6.采用便携式可升降绿布背景，轻松实现场景切换。</w:t>
            </w:r>
          </w:p>
          <w:p w14:paraId="7873EF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7.提供拍摄化妆及服装造型服务。</w:t>
            </w:r>
          </w:p>
          <w:p w14:paraId="2E5252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8.配备专业编辑电脑及专业调色显示器；</w:t>
            </w:r>
          </w:p>
          <w:p w14:paraId="1BCD9B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9.配备专业非编软件，Adobe Photoshop、Adobe After Effects、Premiere Pro、Animate CC、万彩动画大师、3DMAX、C4D等，可以满足各类宣传片视觉效果要求。</w:t>
            </w:r>
          </w:p>
          <w:p w14:paraId="34872A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▲10.提供商用版权素材库，使用版权素材，规避版权争议。</w:t>
            </w:r>
          </w:p>
          <w:p w14:paraId="2FFA86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（四）技术参数</w:t>
            </w:r>
          </w:p>
          <w:p w14:paraId="508ED1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1.时长：3-5分钟。</w:t>
            </w:r>
          </w:p>
          <w:p w14:paraId="1581C5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2.微课内容应符合我国法律法规，尊重各民族的风俗习惯，版权不存在争议。</w:t>
            </w:r>
          </w:p>
          <w:p w14:paraId="0912E6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3.微课程要求以视频为主要载体，为围绕某个知识点/技能点内容展开、基于教学设计的学习资源。含片头、片尾、教师出镜拍摄、教师录制配音、PPT穿插、适量添加PPT内置动画效果包装、后期剪辑合成。</w:t>
            </w:r>
          </w:p>
          <w:p w14:paraId="545D2C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4.模板应用：在老师提供PPT初稿的基础上重新进行符合课程内容特点的PPT美化设计，包含不同板块的背景、教师出镜背景、人名条、章节页、画中画框、关键字美化框等元素。模板朴素、大方，颜色适宜，便于长时间观看；在模板的适当位置标明课程名称、模块（章或节）序号与模块（章或节）的名称，多个页面均有的相同元素，如背景、按钮、标题、页码等，可以使用幻灯片母版来实现。</w:t>
            </w:r>
          </w:p>
          <w:p w14:paraId="2C0A59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5.视频采用MP4格式封装。</w:t>
            </w:r>
          </w:p>
          <w:p w14:paraId="2E1DE3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6.字幕要使用符合国家标准的规范字，不出现繁体字、异体字(国家规定的除外)、错别字；字幕的字体、大小、色彩搭配、摆放位置、停留时间、出入屏方式力求与其他要素（画面、解说词、音乐）配合适当，不能破坏原有画面</w:t>
            </w:r>
          </w:p>
          <w:p w14:paraId="3C3440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7.视频要求图像清晰，声音和画面同步，播放时没有明显的噪点，播放流畅；</w:t>
            </w:r>
          </w:p>
          <w:p w14:paraId="57A2E0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8.根据课程内容提供片头、片尾，时长不少于3秒；</w:t>
            </w:r>
          </w:p>
          <w:p w14:paraId="0A6931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9.采用H.264/AVC（MPEG-4 Part10）编码格式压缩；分辨率不低于1920x1080（16:9），音频采用AAC（MPEG4 Part3）格式压缩；</w:t>
            </w:r>
          </w:p>
          <w:p w14:paraId="024FC6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10.拍摄视频信号源：</w:t>
            </w:r>
          </w:p>
          <w:p w14:paraId="52DD9B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(1)稳定性：全片拍摄图像同步性能稳定，无失步现象，CTL同步控制信号必须连续：图像无抖动跳跃。</w:t>
            </w:r>
          </w:p>
          <w:p w14:paraId="27D37E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(2)信噪比：图像信噪比不低于55dB，无明显杂波。</w:t>
            </w:r>
          </w:p>
          <w:p w14:paraId="2CA45D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(3)色调：白平衡正确，无明显偏色，每帧图像颜色数不低于256色或灰度级不低于128级，多机拍摄镜头衔接处无明显色差。</w:t>
            </w:r>
          </w:p>
          <w:p w14:paraId="48878F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(4)视频电平：视频全讯号幅度为1Ⅴp-p，最大不超过1.1Ⅴ p-p。其中，消隐电平为0V时，白电平幅度0.7Ⅴp-p，同步信号-0.3V，色同步信号幅度0.3V p-p (以消隐线上下对称)，全片一致。</w:t>
            </w:r>
          </w:p>
          <w:p w14:paraId="3CE891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11.拍摄音频信号源：</w:t>
            </w:r>
          </w:p>
          <w:p w14:paraId="4CF6A5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(1)电平指标：-2db — -8db声音应无明显失真、放音过冲、过弱。</w:t>
            </w:r>
          </w:p>
          <w:p w14:paraId="00ED03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(2)音频信噪比不低于48db。</w:t>
            </w:r>
          </w:p>
          <w:p w14:paraId="6548D9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(3)声音和画面要求同步，无交流声或其他杂音等缺陷。</w:t>
            </w:r>
          </w:p>
          <w:p w14:paraId="0EA7A4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2"/>
                <w:sz w:val="21"/>
                <w:szCs w:val="21"/>
                <w:lang w:val="en-US" w:eastAsia="zh-CN" w:bidi="ar"/>
              </w:rPr>
              <w:t>(4)配音清晰、饱满、圆润，无失真、噪声杂音干扰、音量忽大忽小现象。</w:t>
            </w:r>
          </w:p>
        </w:tc>
        <w:tc>
          <w:tcPr>
            <w:tcW w:w="562"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2D84A6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auto"/>
                <w:sz w:val="21"/>
                <w:szCs w:val="21"/>
                <w:lang w:bidi="ar"/>
              </w:rPr>
            </w:pPr>
            <w:r>
              <w:rPr>
                <w:rFonts w:hint="eastAsia" w:ascii="宋体" w:hAnsi="宋体" w:eastAsia="宋体" w:cs="宋体"/>
                <w:i w:val="0"/>
                <w:iCs w:val="0"/>
                <w:color w:val="000000"/>
                <w:kern w:val="0"/>
                <w:sz w:val="21"/>
                <w:szCs w:val="21"/>
                <w:lang w:val="en-US" w:eastAsia="zh-CN" w:bidi="ar"/>
              </w:rPr>
              <w:t>个</w:t>
            </w:r>
          </w:p>
        </w:tc>
        <w:tc>
          <w:tcPr>
            <w:tcW w:w="450"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671A5A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auto"/>
                <w:sz w:val="21"/>
                <w:szCs w:val="21"/>
                <w:lang w:bidi="ar"/>
              </w:rPr>
            </w:pPr>
            <w:r>
              <w:rPr>
                <w:rFonts w:hint="eastAsia" w:ascii="宋体" w:hAnsi="宋体" w:eastAsia="宋体" w:cs="宋体"/>
                <w:i w:val="0"/>
                <w:iCs w:val="0"/>
                <w:color w:val="000000"/>
                <w:kern w:val="0"/>
                <w:sz w:val="21"/>
                <w:szCs w:val="21"/>
                <w:lang w:val="en-US" w:eastAsia="zh-CN" w:bidi="ar"/>
              </w:rPr>
              <w:t>28</w:t>
            </w:r>
          </w:p>
        </w:tc>
        <w:tc>
          <w:tcPr>
            <w:tcW w:w="788" w:type="dxa"/>
            <w:gridSpan w:val="2"/>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4A82A8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auto"/>
                <w:sz w:val="21"/>
                <w:szCs w:val="21"/>
                <w:lang w:bidi="ar"/>
              </w:rPr>
            </w:pPr>
            <w:r>
              <w:rPr>
                <w:rFonts w:hint="eastAsia" w:ascii="宋体" w:hAnsi="宋体" w:eastAsia="宋体" w:cs="宋体"/>
                <w:i w:val="0"/>
                <w:iCs w:val="0"/>
                <w:color w:val="auto"/>
                <w:kern w:val="0"/>
                <w:sz w:val="21"/>
                <w:szCs w:val="21"/>
                <w:lang w:val="en-US" w:eastAsia="zh-CN" w:bidi="ar"/>
              </w:rPr>
              <w:t>2500</w:t>
            </w:r>
          </w:p>
        </w:tc>
        <w:tc>
          <w:tcPr>
            <w:tcW w:w="858"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2788F1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auto"/>
                <w:sz w:val="21"/>
                <w:szCs w:val="21"/>
                <w:lang w:bidi="ar"/>
              </w:rPr>
            </w:pPr>
            <w:r>
              <w:rPr>
                <w:rFonts w:hint="eastAsia" w:ascii="宋体" w:hAnsi="宋体" w:eastAsia="宋体" w:cs="宋体"/>
                <w:i w:val="0"/>
                <w:iCs w:val="0"/>
                <w:color w:val="auto"/>
                <w:kern w:val="0"/>
                <w:sz w:val="21"/>
                <w:szCs w:val="21"/>
                <w:lang w:val="en-US" w:eastAsia="zh-CN" w:bidi="ar"/>
              </w:rPr>
              <w:t>70000</w:t>
            </w:r>
          </w:p>
        </w:tc>
        <w:tc>
          <w:tcPr>
            <w:tcW w:w="1046"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08FE828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leftChars="0" w:right="0" w:rightChars="0"/>
              <w:jc w:val="center"/>
              <w:textAlignment w:val="center"/>
              <w:rPr>
                <w:rFonts w:hint="eastAsia" w:ascii="宋体" w:hAnsi="宋体" w:eastAsia="宋体" w:cs="宋体"/>
                <w:color w:val="auto"/>
                <w:sz w:val="21"/>
                <w:szCs w:val="21"/>
                <w:lang w:bidi="ar"/>
              </w:rPr>
            </w:pPr>
          </w:p>
        </w:tc>
      </w:tr>
      <w:tr w14:paraId="1D6BCBC9">
        <w:tblPrEx>
          <w:tblCellMar>
            <w:top w:w="0" w:type="dxa"/>
            <w:left w:w="0" w:type="dxa"/>
            <w:bottom w:w="0" w:type="dxa"/>
            <w:right w:w="0" w:type="dxa"/>
          </w:tblCellMar>
        </w:tblPrEx>
        <w:trPr>
          <w:trHeight w:val="0" w:hRule="atLeast"/>
          <w:jc w:val="center"/>
        </w:trPr>
        <w:tc>
          <w:tcPr>
            <w:tcW w:w="443"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F7E5B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w:t>
            </w:r>
          </w:p>
        </w:tc>
        <w:tc>
          <w:tcPr>
            <w:tcW w:w="656"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2A8074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2"/>
                <w:sz w:val="21"/>
                <w:szCs w:val="21"/>
                <w:lang w:val="en-US" w:eastAsia="zh-CN" w:bidi="ar"/>
              </w:rPr>
              <w:t>三维互动动画定制</w:t>
            </w:r>
          </w:p>
        </w:tc>
        <w:tc>
          <w:tcPr>
            <w:tcW w:w="638"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03234B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定制</w:t>
            </w:r>
          </w:p>
        </w:tc>
        <w:tc>
          <w:tcPr>
            <w:tcW w:w="4767"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627E0E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1.制作3个虚拟仿真模型；</w:t>
            </w:r>
          </w:p>
          <w:p w14:paraId="572E9B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2.系统运行环境基于电脑PC</w:t>
            </w:r>
            <w:r>
              <w:rPr>
                <w:rFonts w:hint="eastAsia" w:ascii="宋体" w:hAnsi="宋体" w:eastAsia="宋体" w:cs="宋体"/>
                <w:i w:val="0"/>
                <w:iCs w:val="0"/>
                <w:color w:val="000000"/>
                <w:kern w:val="2"/>
                <w:sz w:val="21"/>
                <w:szCs w:val="21"/>
                <w:highlight w:val="none"/>
                <w:lang w:val="en-US" w:eastAsia="zh-CN" w:bidi="ar"/>
              </w:rPr>
              <w:t>端（点开网址可直接访问并使用），实时性不低于每秒25桢，能按25ms以内的数据周期刷</w:t>
            </w:r>
            <w:r>
              <w:rPr>
                <w:rFonts w:hint="eastAsia" w:ascii="宋体" w:hAnsi="宋体" w:eastAsia="宋体" w:cs="宋体"/>
                <w:i w:val="0"/>
                <w:iCs w:val="0"/>
                <w:color w:val="000000"/>
                <w:kern w:val="2"/>
                <w:sz w:val="21"/>
                <w:szCs w:val="21"/>
                <w:lang w:val="en-US" w:eastAsia="zh-CN" w:bidi="ar"/>
              </w:rPr>
              <w:t>新画面。</w:t>
            </w:r>
          </w:p>
          <w:p w14:paraId="31C5F9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3.三维模型技术要求：</w:t>
            </w:r>
          </w:p>
          <w:p w14:paraId="3520BB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（1）三维模型外观与材质接近实物效果，表面平整无错漏现象，可以在虚拟仿真实训系统中被调用；</w:t>
            </w:r>
          </w:p>
          <w:p w14:paraId="3BBCB4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（2）基于物理光照渲染技术，能够更好的模拟现实世界的真实光照情况，可以更好的模拟高光反射，大幅提升画面质量；</w:t>
            </w:r>
          </w:p>
          <w:p w14:paraId="6B57CC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（3）设计开发考虑了性能需求，能够做到在PC电脑上运行流畅不卡顿；。</w:t>
            </w:r>
          </w:p>
          <w:p w14:paraId="19F0D1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4.软件开发技术要求：</w:t>
            </w:r>
          </w:p>
          <w:p w14:paraId="50F012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（1）平台所采用的开发技术成熟、稳定、性能高；</w:t>
            </w:r>
          </w:p>
          <w:p w14:paraId="521CB9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（2）虚拟仿真实训系统采用纯三维引擎交互技术和C\S架构，可流畅进行3D虚拟交互操作；</w:t>
            </w:r>
          </w:p>
          <w:p w14:paraId="281E14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（3）软件界面设计美观，交互设计简洁，无文字错误，三维虚拟仿真操作自然流畅；</w:t>
            </w:r>
          </w:p>
          <w:p w14:paraId="4AE578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（4）软件结构采用模块化设计，各项虚拟仿真体验流程符合教学需求，体验操作步骤完整，操作流程清晰易懂；</w:t>
            </w:r>
          </w:p>
          <w:p w14:paraId="54D9E8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（5）支持设备介绍，使用文字形式进行设备介绍；</w:t>
            </w:r>
          </w:p>
          <w:p w14:paraId="3CDC0D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（6）支持与三维设备进行互动，点击可放大查看，支持360度查看模型，旋转、缩小、放大模型；</w:t>
            </w:r>
          </w:p>
          <w:p w14:paraId="49F7D3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（7）软件可自由查看三维设备模型的构造，支持显示与隐藏，以便教师示教与学生自学；</w:t>
            </w:r>
          </w:p>
          <w:p w14:paraId="6919A2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（8）模型支持以高亮标签标识名称，并配以文字说明；</w:t>
            </w:r>
          </w:p>
          <w:p w14:paraId="647405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2"/>
                <w:sz w:val="21"/>
                <w:szCs w:val="21"/>
                <w:lang w:val="en-US" w:eastAsia="zh-CN" w:bidi="ar"/>
              </w:rPr>
              <w:t>（9）系统能在PC上稳定、流畅、安全和可靠的运行。画面分辨率应大于等于1080P。在PC端的运行时，平均帧率应该大于等于30Hz。</w:t>
            </w:r>
          </w:p>
        </w:tc>
        <w:tc>
          <w:tcPr>
            <w:tcW w:w="562"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0F7FA4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auto"/>
                <w:sz w:val="21"/>
                <w:szCs w:val="21"/>
                <w:lang w:bidi="ar"/>
              </w:rPr>
            </w:pPr>
            <w:r>
              <w:rPr>
                <w:rFonts w:hint="eastAsia" w:ascii="宋体" w:hAnsi="宋体" w:eastAsia="宋体" w:cs="宋体"/>
                <w:i w:val="0"/>
                <w:iCs w:val="0"/>
                <w:color w:val="000000"/>
                <w:kern w:val="0"/>
                <w:sz w:val="21"/>
                <w:szCs w:val="21"/>
                <w:lang w:val="en-US" w:eastAsia="zh-CN" w:bidi="ar"/>
              </w:rPr>
              <w:t>项</w:t>
            </w:r>
          </w:p>
        </w:tc>
        <w:tc>
          <w:tcPr>
            <w:tcW w:w="450"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6CD451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auto"/>
                <w:sz w:val="21"/>
                <w:szCs w:val="21"/>
                <w:lang w:bidi="ar"/>
              </w:rPr>
            </w:pPr>
            <w:r>
              <w:rPr>
                <w:rFonts w:hint="eastAsia" w:ascii="宋体" w:hAnsi="宋体" w:eastAsia="宋体" w:cs="宋体"/>
                <w:i w:val="0"/>
                <w:iCs w:val="0"/>
                <w:color w:val="000000"/>
                <w:kern w:val="0"/>
                <w:sz w:val="21"/>
                <w:szCs w:val="21"/>
                <w:lang w:val="en-US" w:eastAsia="zh-CN" w:bidi="ar"/>
              </w:rPr>
              <w:t>1</w:t>
            </w:r>
          </w:p>
        </w:tc>
        <w:tc>
          <w:tcPr>
            <w:tcW w:w="788" w:type="dxa"/>
            <w:gridSpan w:val="2"/>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5712A7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auto"/>
                <w:sz w:val="21"/>
                <w:szCs w:val="21"/>
                <w:lang w:bidi="ar"/>
              </w:rPr>
            </w:pPr>
            <w:r>
              <w:rPr>
                <w:rFonts w:hint="eastAsia" w:ascii="宋体" w:hAnsi="宋体" w:eastAsia="宋体" w:cs="宋体"/>
                <w:i w:val="0"/>
                <w:iCs w:val="0"/>
                <w:color w:val="auto"/>
                <w:kern w:val="0"/>
                <w:sz w:val="21"/>
                <w:szCs w:val="21"/>
                <w:lang w:val="en-US" w:eastAsia="zh-CN" w:bidi="ar"/>
              </w:rPr>
              <w:t>164000</w:t>
            </w:r>
          </w:p>
        </w:tc>
        <w:tc>
          <w:tcPr>
            <w:tcW w:w="858"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3A5734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auto"/>
                <w:sz w:val="21"/>
                <w:szCs w:val="21"/>
                <w:lang w:bidi="ar"/>
              </w:rPr>
            </w:pPr>
            <w:r>
              <w:rPr>
                <w:rFonts w:hint="eastAsia" w:ascii="宋体" w:hAnsi="宋体" w:eastAsia="宋体" w:cs="宋体"/>
                <w:i w:val="0"/>
                <w:iCs w:val="0"/>
                <w:color w:val="auto"/>
                <w:kern w:val="0"/>
                <w:sz w:val="21"/>
                <w:szCs w:val="21"/>
                <w:lang w:val="en-US" w:eastAsia="zh-CN" w:bidi="ar"/>
              </w:rPr>
              <w:t>164000</w:t>
            </w:r>
          </w:p>
        </w:tc>
        <w:tc>
          <w:tcPr>
            <w:tcW w:w="1046"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481A4E9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leftChars="0" w:right="0" w:rightChars="0"/>
              <w:jc w:val="center"/>
              <w:textAlignment w:val="center"/>
              <w:rPr>
                <w:rFonts w:hint="eastAsia" w:ascii="宋体" w:hAnsi="宋体" w:eastAsia="宋体" w:cs="宋体"/>
                <w:color w:val="auto"/>
                <w:sz w:val="21"/>
                <w:szCs w:val="21"/>
                <w:lang w:bidi="ar"/>
              </w:rPr>
            </w:pPr>
          </w:p>
        </w:tc>
      </w:tr>
      <w:tr w14:paraId="1E97715D">
        <w:tblPrEx>
          <w:tblCellMar>
            <w:top w:w="0" w:type="dxa"/>
            <w:left w:w="0" w:type="dxa"/>
            <w:bottom w:w="0" w:type="dxa"/>
            <w:right w:w="0" w:type="dxa"/>
          </w:tblCellMar>
        </w:tblPrEx>
        <w:trPr>
          <w:trHeight w:val="0" w:hRule="atLeast"/>
          <w:jc w:val="center"/>
        </w:trPr>
        <w:tc>
          <w:tcPr>
            <w:tcW w:w="7682" w:type="dxa"/>
            <w:gridSpan w:val="7"/>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A2D021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textAlignment w:val="center"/>
              <w:rPr>
                <w:rFonts w:hint="eastAsia" w:ascii="宋体" w:hAnsi="宋体" w:eastAsia="宋体" w:cs="宋体"/>
                <w:color w:val="auto"/>
                <w:sz w:val="21"/>
                <w:szCs w:val="21"/>
                <w:lang w:bidi="ar"/>
              </w:rPr>
            </w:pPr>
            <w:r>
              <w:rPr>
                <w:rFonts w:hint="eastAsia" w:ascii="宋体" w:hAnsi="宋体" w:cs="宋体"/>
                <w:b/>
                <w:bCs/>
                <w:color w:val="auto"/>
                <w:sz w:val="21"/>
                <w:szCs w:val="21"/>
                <w:lang w:val="en-US" w:eastAsia="zh-CN" w:bidi="ar"/>
              </w:rPr>
              <w:t>标项二</w:t>
            </w:r>
            <w:r>
              <w:rPr>
                <w:rFonts w:hint="eastAsia" w:ascii="宋体" w:hAnsi="宋体" w:eastAsia="宋体" w:cs="宋体"/>
                <w:b/>
                <w:bCs/>
                <w:color w:val="auto"/>
                <w:sz w:val="21"/>
                <w:szCs w:val="21"/>
                <w:lang w:bidi="ar"/>
              </w:rPr>
              <w:t>合计金额：（大写）人民币</w:t>
            </w:r>
            <w:r>
              <w:rPr>
                <w:rFonts w:hint="eastAsia" w:ascii="宋体" w:hAnsi="宋体" w:eastAsia="宋体" w:cs="宋体"/>
                <w:b/>
                <w:bCs/>
                <w:color w:val="auto"/>
                <w:sz w:val="21"/>
                <w:szCs w:val="21"/>
                <w:u w:val="single"/>
                <w:lang w:val="en-US" w:bidi="ar"/>
              </w:rPr>
              <w:t xml:space="preserve"> </w:t>
            </w:r>
            <w:r>
              <w:rPr>
                <w:rFonts w:hint="eastAsia" w:ascii="宋体" w:hAnsi="宋体" w:eastAsia="宋体" w:cs="宋体"/>
                <w:b/>
                <w:bCs/>
                <w:color w:val="auto"/>
                <w:sz w:val="21"/>
                <w:szCs w:val="21"/>
                <w:u w:val="single"/>
                <w:lang w:val="en-US" w:eastAsia="zh-CN" w:bidi="ar"/>
              </w:rPr>
              <w:t xml:space="preserve">伍拾捌万 </w:t>
            </w:r>
            <w:r>
              <w:rPr>
                <w:rFonts w:hint="eastAsia" w:ascii="宋体" w:hAnsi="宋体" w:eastAsia="宋体" w:cs="宋体"/>
                <w:b/>
                <w:bCs/>
                <w:color w:val="auto"/>
                <w:sz w:val="21"/>
                <w:szCs w:val="21"/>
                <w:lang w:bidi="ar"/>
              </w:rPr>
              <w:t>元整</w:t>
            </w:r>
          </w:p>
        </w:tc>
        <w:tc>
          <w:tcPr>
            <w:tcW w:w="2526" w:type="dxa"/>
            <w:gridSpan w:val="3"/>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0650C61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b/>
                <w:bCs/>
                <w:color w:val="auto"/>
                <w:sz w:val="21"/>
                <w:szCs w:val="21"/>
                <w:lang w:val="en-US" w:eastAsia="zh-CN" w:bidi="ar"/>
              </w:rPr>
            </w:pPr>
            <w:r>
              <w:rPr>
                <w:rFonts w:hint="eastAsia" w:ascii="宋体" w:hAnsi="宋体" w:eastAsia="宋体" w:cs="宋体"/>
                <w:b/>
                <w:bCs/>
                <w:color w:val="auto"/>
                <w:sz w:val="21"/>
                <w:szCs w:val="21"/>
                <w:lang w:val="en-US" w:eastAsia="zh-CN" w:bidi="ar"/>
              </w:rPr>
              <w:t>（小写）¥</w:t>
            </w:r>
            <w:r>
              <w:rPr>
                <w:rFonts w:hint="eastAsia" w:ascii="宋体" w:hAnsi="宋体" w:eastAsia="宋体" w:cs="宋体"/>
                <w:b/>
                <w:bCs/>
                <w:color w:val="auto"/>
                <w:sz w:val="21"/>
                <w:szCs w:val="21"/>
                <w:u w:val="single"/>
                <w:lang w:val="en-US" w:eastAsia="zh-CN" w:bidi="ar"/>
              </w:rPr>
              <w:t xml:space="preserve"> 580000.00 </w:t>
            </w:r>
            <w:r>
              <w:rPr>
                <w:rFonts w:hint="eastAsia" w:ascii="宋体" w:hAnsi="宋体" w:eastAsia="宋体" w:cs="宋体"/>
                <w:b/>
                <w:bCs/>
                <w:color w:val="auto"/>
                <w:sz w:val="21"/>
                <w:szCs w:val="21"/>
                <w:lang w:val="en-US" w:eastAsia="zh-CN" w:bidi="ar"/>
              </w:rPr>
              <w:t xml:space="preserve">元     </w:t>
            </w:r>
          </w:p>
        </w:tc>
      </w:tr>
      <w:tr w14:paraId="53709119">
        <w:tblPrEx>
          <w:tblCellMar>
            <w:top w:w="0" w:type="dxa"/>
            <w:left w:w="0" w:type="dxa"/>
            <w:bottom w:w="0" w:type="dxa"/>
            <w:right w:w="0" w:type="dxa"/>
          </w:tblCellMar>
        </w:tblPrEx>
        <w:trPr>
          <w:trHeight w:val="0" w:hRule="atLeast"/>
          <w:jc w:val="center"/>
        </w:trPr>
        <w:tc>
          <w:tcPr>
            <w:tcW w:w="10208" w:type="dxa"/>
            <w:gridSpan w:val="10"/>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7314DE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lang w:bidi="ar"/>
              </w:rPr>
            </w:pPr>
            <w:r>
              <w:rPr>
                <w:rFonts w:hint="eastAsia" w:ascii="宋体" w:hAnsi="宋体" w:eastAsia="宋体" w:cs="宋体"/>
                <w:b/>
                <w:bCs/>
                <w:color w:val="auto"/>
                <w:sz w:val="21"/>
                <w:szCs w:val="21"/>
                <w:lang w:bidi="ar"/>
              </w:rPr>
              <w:t>▲二、商务要求</w:t>
            </w:r>
          </w:p>
        </w:tc>
      </w:tr>
      <w:tr w14:paraId="0AC371D6">
        <w:tblPrEx>
          <w:tblCellMar>
            <w:top w:w="0" w:type="dxa"/>
            <w:left w:w="0" w:type="dxa"/>
            <w:bottom w:w="0" w:type="dxa"/>
            <w:right w:w="0" w:type="dxa"/>
          </w:tblCellMar>
        </w:tblPrEx>
        <w:trPr>
          <w:trHeight w:val="0" w:hRule="atLeast"/>
          <w:jc w:val="center"/>
        </w:trPr>
        <w:tc>
          <w:tcPr>
            <w:tcW w:w="1737" w:type="dxa"/>
            <w:gridSpan w:val="3"/>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F66B0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bCs/>
                <w:sz w:val="21"/>
                <w:szCs w:val="21"/>
                <w:highlight w:val="none"/>
              </w:rPr>
              <w:t>报价要求</w:t>
            </w:r>
          </w:p>
        </w:tc>
        <w:tc>
          <w:tcPr>
            <w:tcW w:w="8471" w:type="dxa"/>
            <w:gridSpan w:val="7"/>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3467AF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报价为采购人指定地点的现场交付价格，包括但不限于：</w:t>
            </w:r>
          </w:p>
          <w:p w14:paraId="0C1964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1）采购内容中所有货物和服务的价格；</w:t>
            </w:r>
          </w:p>
          <w:p w14:paraId="26AEE7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2）货物的标准附件、备品备件、专用工具的价格；</w:t>
            </w:r>
          </w:p>
          <w:p w14:paraId="2BB8E8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3）运输、装卸、安装（含安装材料）、调试、培训、技术支持、售后服务的费用，质保期内免费维修、养护、软件升级等费用；</w:t>
            </w:r>
          </w:p>
          <w:p w14:paraId="57C660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1"/>
                <w:szCs w:val="21"/>
                <w:lang w:bidi="ar"/>
              </w:rPr>
            </w:pPr>
            <w:r>
              <w:rPr>
                <w:rFonts w:hint="eastAsia" w:ascii="宋体" w:hAnsi="宋体" w:eastAsia="宋体" w:cs="宋体"/>
                <w:sz w:val="21"/>
                <w:szCs w:val="21"/>
              </w:rPr>
              <w:t>4）必要的保险、检测费用和各项税费等。</w:t>
            </w:r>
          </w:p>
        </w:tc>
      </w:tr>
      <w:tr w14:paraId="4C8D0A7E">
        <w:tblPrEx>
          <w:tblCellMar>
            <w:top w:w="0" w:type="dxa"/>
            <w:left w:w="0" w:type="dxa"/>
            <w:bottom w:w="0" w:type="dxa"/>
            <w:right w:w="0" w:type="dxa"/>
          </w:tblCellMar>
        </w:tblPrEx>
        <w:trPr>
          <w:trHeight w:val="0" w:hRule="atLeast"/>
          <w:jc w:val="center"/>
        </w:trPr>
        <w:tc>
          <w:tcPr>
            <w:tcW w:w="1737" w:type="dxa"/>
            <w:gridSpan w:val="3"/>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6ABC3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bCs/>
                <w:sz w:val="21"/>
                <w:szCs w:val="21"/>
                <w:highlight w:val="none"/>
              </w:rPr>
              <w:t>质保期</w:t>
            </w:r>
          </w:p>
        </w:tc>
        <w:tc>
          <w:tcPr>
            <w:tcW w:w="8471" w:type="dxa"/>
            <w:gridSpan w:val="7"/>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6AE9B1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b/>
                <w:sz w:val="21"/>
                <w:szCs w:val="21"/>
              </w:rPr>
              <w:t>1.质保期</w:t>
            </w:r>
            <w:r>
              <w:rPr>
                <w:rFonts w:hint="eastAsia" w:ascii="宋体" w:hAnsi="宋体" w:eastAsia="宋体" w:cs="宋体"/>
                <w:b/>
                <w:sz w:val="21"/>
                <w:szCs w:val="21"/>
                <w:highlight w:val="none"/>
                <w:lang w:eastAsia="zh-CN"/>
              </w:rPr>
              <w:t>：</w:t>
            </w:r>
            <w:r>
              <w:rPr>
                <w:rFonts w:hint="eastAsia" w:ascii="宋体" w:hAnsi="宋体" w:eastAsia="宋体" w:cs="宋体"/>
                <w:b/>
                <w:sz w:val="21"/>
                <w:szCs w:val="21"/>
                <w:highlight w:val="none"/>
                <w:u w:val="single"/>
                <w:lang w:val="en-US" w:eastAsia="zh-CN"/>
              </w:rPr>
              <w:t>3年</w:t>
            </w:r>
            <w:r>
              <w:rPr>
                <w:rFonts w:hint="eastAsia" w:ascii="宋体" w:hAnsi="宋体" w:eastAsia="宋体" w:cs="宋体"/>
                <w:b/>
                <w:sz w:val="21"/>
                <w:szCs w:val="21"/>
                <w:highlight w:val="none"/>
              </w:rPr>
              <w:t>。</w:t>
            </w:r>
            <w:r>
              <w:rPr>
                <w:rFonts w:hint="eastAsia" w:ascii="宋体" w:hAnsi="宋体" w:eastAsia="宋体" w:cs="宋体"/>
                <w:sz w:val="21"/>
                <w:szCs w:val="21"/>
              </w:rPr>
              <w:t>（分项货物服务要求中有特别注明的，按特别注明的执行）</w:t>
            </w:r>
          </w:p>
          <w:p w14:paraId="5D8250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1"/>
                <w:szCs w:val="21"/>
                <w:lang w:bidi="ar"/>
              </w:rPr>
            </w:pPr>
            <w:r>
              <w:rPr>
                <w:rFonts w:hint="eastAsia" w:ascii="宋体" w:hAnsi="宋体" w:eastAsia="宋体" w:cs="宋体"/>
                <w:sz w:val="21"/>
                <w:szCs w:val="21"/>
              </w:rPr>
              <w:t>2.所有货物服务按国家“三包”有关规定执行“三包”。质保期自交付验收合格之日起计算，质保期内提供上门维修、更换和软件升级服务；质保期结束后，提供终身维护，并优惠提供相关零配件。</w:t>
            </w:r>
          </w:p>
        </w:tc>
      </w:tr>
      <w:tr w14:paraId="0A5A3569">
        <w:tblPrEx>
          <w:tblCellMar>
            <w:top w:w="0" w:type="dxa"/>
            <w:left w:w="0" w:type="dxa"/>
            <w:bottom w:w="0" w:type="dxa"/>
            <w:right w:w="0" w:type="dxa"/>
          </w:tblCellMar>
        </w:tblPrEx>
        <w:trPr>
          <w:trHeight w:val="0" w:hRule="atLeast"/>
          <w:jc w:val="center"/>
        </w:trPr>
        <w:tc>
          <w:tcPr>
            <w:tcW w:w="1737" w:type="dxa"/>
            <w:gridSpan w:val="3"/>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820C6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bCs/>
                <w:sz w:val="21"/>
                <w:szCs w:val="21"/>
                <w:highlight w:val="none"/>
              </w:rPr>
              <w:t>产品及售后服务要求</w:t>
            </w:r>
          </w:p>
        </w:tc>
        <w:tc>
          <w:tcPr>
            <w:tcW w:w="8471" w:type="dxa"/>
            <w:gridSpan w:val="7"/>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71B5E4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1.成交供应商应对课程资源制作内容及其版权负责，由此产生的一切后果由成交供应商承担。</w:t>
            </w:r>
          </w:p>
          <w:p w14:paraId="351BDB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2.成交供应商负责向采购人提供网络、电话及EMAIL支持服务，响应时间不超过1小时，以保证教学资源库的正常使用；若远程支持无法解决问题的，成交供应商须24小时内上门服务，3天内解决。</w:t>
            </w:r>
          </w:p>
          <w:p w14:paraId="3217D1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3.成交供应商应保障采购人所购课程资源在使用期内的完整性。成交供应商未经采购人许可，不得擅自改变采购人所购数据的服务模式。</w:t>
            </w:r>
          </w:p>
          <w:p w14:paraId="56F4C4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1"/>
                <w:szCs w:val="21"/>
                <w:lang w:bidi="ar"/>
              </w:rPr>
            </w:pPr>
            <w:r>
              <w:rPr>
                <w:rFonts w:hint="eastAsia" w:ascii="宋体" w:hAnsi="宋体" w:eastAsia="宋体" w:cs="宋体"/>
                <w:b w:val="0"/>
                <w:bCs w:val="0"/>
                <w:color w:val="000000"/>
                <w:sz w:val="21"/>
                <w:szCs w:val="21"/>
                <w:lang w:val="en-US" w:eastAsia="zh-CN"/>
              </w:rPr>
              <w:t>4.成交供应商须定期向采购人通报课程资源拍摄进展情况和资料。</w:t>
            </w:r>
          </w:p>
        </w:tc>
      </w:tr>
      <w:tr w14:paraId="13A8A3FC">
        <w:tblPrEx>
          <w:tblCellMar>
            <w:top w:w="0" w:type="dxa"/>
            <w:left w:w="0" w:type="dxa"/>
            <w:bottom w:w="0" w:type="dxa"/>
            <w:right w:w="0" w:type="dxa"/>
          </w:tblCellMar>
        </w:tblPrEx>
        <w:trPr>
          <w:trHeight w:val="0" w:hRule="atLeast"/>
          <w:jc w:val="center"/>
        </w:trPr>
        <w:tc>
          <w:tcPr>
            <w:tcW w:w="1737" w:type="dxa"/>
            <w:gridSpan w:val="3"/>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6AF2E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bCs/>
                <w:sz w:val="21"/>
                <w:szCs w:val="21"/>
                <w:highlight w:val="none"/>
              </w:rPr>
              <w:t>交付时间、交付地点</w:t>
            </w:r>
          </w:p>
        </w:tc>
        <w:tc>
          <w:tcPr>
            <w:tcW w:w="8471" w:type="dxa"/>
            <w:gridSpan w:val="7"/>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21213B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1.交付时间：</w:t>
            </w:r>
          </w:p>
          <w:p w14:paraId="12A2F3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（1）</w:t>
            </w:r>
            <w:r>
              <w:rPr>
                <w:rFonts w:hint="eastAsia" w:ascii="宋体" w:hAnsi="宋体" w:eastAsia="宋体" w:cs="宋体"/>
                <w:spacing w:val="-2"/>
                <w:sz w:val="21"/>
                <w:szCs w:val="21"/>
                <w:highlight w:val="none"/>
              </w:rPr>
              <w:t>自</w:t>
            </w:r>
            <w:r>
              <w:rPr>
                <w:rFonts w:hint="eastAsia" w:ascii="宋体" w:hAnsi="宋体" w:eastAsia="宋体" w:cs="宋体"/>
                <w:spacing w:val="-2"/>
                <w:sz w:val="21"/>
                <w:szCs w:val="21"/>
              </w:rPr>
              <w:t>签订合同之日起至2026年9月25日全部交付完成并验收合格。</w:t>
            </w:r>
          </w:p>
          <w:p w14:paraId="666BDB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1"/>
                <w:szCs w:val="21"/>
                <w:lang w:bidi="ar"/>
              </w:rPr>
            </w:pPr>
            <w:r>
              <w:rPr>
                <w:rFonts w:hint="eastAsia" w:ascii="宋体" w:hAnsi="宋体" w:eastAsia="宋体" w:cs="宋体"/>
                <w:sz w:val="21"/>
                <w:szCs w:val="21"/>
              </w:rPr>
              <w:t>2.交付地点：广西农业职业技术大学。</w:t>
            </w:r>
          </w:p>
        </w:tc>
      </w:tr>
      <w:tr w14:paraId="3E859BA8">
        <w:tblPrEx>
          <w:tblCellMar>
            <w:top w:w="0" w:type="dxa"/>
            <w:left w:w="0" w:type="dxa"/>
            <w:bottom w:w="0" w:type="dxa"/>
            <w:right w:w="0" w:type="dxa"/>
          </w:tblCellMar>
        </w:tblPrEx>
        <w:trPr>
          <w:trHeight w:val="0" w:hRule="atLeast"/>
          <w:jc w:val="center"/>
        </w:trPr>
        <w:tc>
          <w:tcPr>
            <w:tcW w:w="1737" w:type="dxa"/>
            <w:gridSpan w:val="3"/>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9F8AA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bCs/>
                <w:sz w:val="21"/>
                <w:szCs w:val="21"/>
                <w:highlight w:val="none"/>
              </w:rPr>
              <w:t>付款条件</w:t>
            </w:r>
          </w:p>
        </w:tc>
        <w:tc>
          <w:tcPr>
            <w:tcW w:w="8471" w:type="dxa"/>
            <w:gridSpan w:val="7"/>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2CFDB071">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Cs/>
                <w:sz w:val="21"/>
                <w:szCs w:val="21"/>
              </w:rPr>
            </w:pPr>
            <w:r>
              <w:rPr>
                <w:rFonts w:hint="eastAsia" w:ascii="宋体" w:hAnsi="宋体" w:eastAsia="宋体" w:cs="宋体"/>
                <w:bCs/>
                <w:sz w:val="21"/>
                <w:szCs w:val="21"/>
                <w:lang w:val="en-US" w:eastAsia="zh-CN"/>
              </w:rPr>
              <w:t>1.</w:t>
            </w:r>
            <w:r>
              <w:rPr>
                <w:rFonts w:hint="eastAsia" w:ascii="宋体" w:hAnsi="宋体" w:eastAsia="宋体" w:cs="宋体"/>
                <w:bCs/>
                <w:sz w:val="21"/>
                <w:szCs w:val="21"/>
              </w:rPr>
              <w:t>合同签订且项目具备实施条件后</w:t>
            </w:r>
            <w:r>
              <w:rPr>
                <w:rFonts w:hint="eastAsia" w:ascii="宋体" w:hAnsi="宋体" w:eastAsia="宋体" w:cs="宋体"/>
                <w:bCs/>
                <w:sz w:val="21"/>
                <w:szCs w:val="21"/>
                <w:lang w:val="en-US" w:eastAsia="zh-CN"/>
              </w:rPr>
              <w:t>15</w:t>
            </w:r>
            <w:r>
              <w:rPr>
                <w:rFonts w:hint="eastAsia" w:ascii="宋体" w:hAnsi="宋体" w:eastAsia="宋体" w:cs="宋体"/>
                <w:bCs/>
                <w:sz w:val="21"/>
                <w:szCs w:val="21"/>
              </w:rPr>
              <w:t>个工作日内，</w:t>
            </w:r>
            <w:r>
              <w:rPr>
                <w:rFonts w:hint="eastAsia" w:ascii="宋体" w:hAnsi="宋体" w:eastAsia="宋体" w:cs="宋体"/>
                <w:bCs/>
                <w:sz w:val="21"/>
                <w:szCs w:val="21"/>
                <w:lang w:eastAsia="zh-CN"/>
              </w:rPr>
              <w:t>采购人</w:t>
            </w:r>
            <w:r>
              <w:rPr>
                <w:rFonts w:hint="eastAsia" w:ascii="宋体" w:hAnsi="宋体" w:eastAsia="宋体" w:cs="宋体"/>
                <w:bCs/>
                <w:sz w:val="21"/>
                <w:szCs w:val="21"/>
              </w:rPr>
              <w:t>可预</w:t>
            </w:r>
            <w:r>
              <w:rPr>
                <w:rFonts w:hint="eastAsia" w:ascii="宋体" w:hAnsi="宋体" w:eastAsia="宋体" w:cs="宋体"/>
                <w:bCs/>
                <w:sz w:val="21"/>
                <w:szCs w:val="21"/>
                <w:highlight w:val="none"/>
              </w:rPr>
              <w:t>付合同价</w:t>
            </w:r>
            <w:r>
              <w:rPr>
                <w:rFonts w:hint="eastAsia" w:ascii="宋体" w:hAnsi="宋体" w:eastAsia="宋体" w:cs="宋体"/>
                <w:bCs/>
                <w:sz w:val="21"/>
                <w:szCs w:val="21"/>
                <w:highlight w:val="none"/>
                <w:lang w:val="en-US" w:eastAsia="zh-CN"/>
              </w:rPr>
              <w:t>4</w:t>
            </w:r>
            <w:r>
              <w:rPr>
                <w:rFonts w:hint="eastAsia" w:ascii="宋体" w:hAnsi="宋体" w:eastAsia="宋体" w:cs="宋体"/>
                <w:bCs/>
                <w:sz w:val="21"/>
                <w:szCs w:val="21"/>
                <w:highlight w:val="none"/>
              </w:rPr>
              <w:t>0%的预付款。剩余款项</w:t>
            </w:r>
            <w:r>
              <w:rPr>
                <w:rFonts w:hint="eastAsia" w:ascii="宋体" w:hAnsi="宋体" w:eastAsia="宋体" w:cs="宋体"/>
                <w:bCs/>
                <w:sz w:val="21"/>
                <w:szCs w:val="21"/>
                <w:highlight w:val="none"/>
                <w:lang w:val="en-US" w:eastAsia="zh-CN"/>
              </w:rPr>
              <w:t>在成交人</w:t>
            </w:r>
            <w:r>
              <w:rPr>
                <w:rFonts w:hint="eastAsia" w:ascii="宋体" w:hAnsi="宋体" w:eastAsia="宋体" w:cs="宋体"/>
                <w:bCs/>
                <w:sz w:val="21"/>
                <w:szCs w:val="21"/>
                <w:highlight w:val="none"/>
              </w:rPr>
              <w:t>交货完毕并验收合格后，</w:t>
            </w:r>
            <w:r>
              <w:rPr>
                <w:rFonts w:hint="eastAsia" w:ascii="宋体" w:hAnsi="宋体" w:eastAsia="宋体" w:cs="宋体"/>
                <w:bCs/>
                <w:sz w:val="21"/>
                <w:szCs w:val="21"/>
                <w:highlight w:val="none"/>
                <w:lang w:val="en-US" w:eastAsia="zh-CN"/>
              </w:rPr>
              <w:t>采购人一次性</w:t>
            </w:r>
            <w:r>
              <w:rPr>
                <w:rFonts w:hint="eastAsia" w:ascii="宋体" w:hAnsi="宋体" w:eastAsia="宋体" w:cs="宋体"/>
                <w:bCs/>
                <w:sz w:val="21"/>
                <w:szCs w:val="21"/>
                <w:highlight w:val="none"/>
              </w:rPr>
              <w:t>向</w:t>
            </w:r>
            <w:r>
              <w:rPr>
                <w:rFonts w:hint="eastAsia" w:ascii="宋体" w:hAnsi="宋体" w:eastAsia="宋体" w:cs="宋体"/>
                <w:bCs/>
                <w:sz w:val="21"/>
                <w:szCs w:val="21"/>
                <w:highlight w:val="none"/>
                <w:lang w:val="en-US" w:eastAsia="zh-CN"/>
              </w:rPr>
              <w:t>成交人</w:t>
            </w:r>
            <w:r>
              <w:rPr>
                <w:rFonts w:hint="eastAsia" w:ascii="宋体" w:hAnsi="宋体" w:eastAsia="宋体" w:cs="宋体"/>
                <w:bCs/>
                <w:sz w:val="21"/>
                <w:szCs w:val="21"/>
                <w:highlight w:val="none"/>
              </w:rPr>
              <w:t>支付合同总价的</w:t>
            </w:r>
            <w:r>
              <w:rPr>
                <w:rFonts w:hint="eastAsia" w:ascii="宋体" w:hAnsi="宋体" w:eastAsia="宋体" w:cs="宋体"/>
                <w:bCs/>
                <w:sz w:val="21"/>
                <w:szCs w:val="21"/>
                <w:highlight w:val="none"/>
                <w:lang w:val="en-US" w:eastAsia="zh-CN"/>
              </w:rPr>
              <w:t>6</w:t>
            </w:r>
            <w:r>
              <w:rPr>
                <w:rFonts w:hint="eastAsia" w:ascii="宋体" w:hAnsi="宋体" w:eastAsia="宋体" w:cs="宋体"/>
                <w:bCs/>
                <w:sz w:val="21"/>
                <w:szCs w:val="21"/>
                <w:highlight w:val="none"/>
              </w:rPr>
              <w:t>0%，支付前</w:t>
            </w:r>
            <w:r>
              <w:rPr>
                <w:rFonts w:hint="eastAsia" w:ascii="宋体" w:hAnsi="宋体" w:eastAsia="宋体" w:cs="宋体"/>
                <w:bCs/>
                <w:sz w:val="21"/>
                <w:szCs w:val="21"/>
                <w:highlight w:val="none"/>
                <w:lang w:eastAsia="zh-CN"/>
              </w:rPr>
              <w:t>成交人</w:t>
            </w:r>
            <w:r>
              <w:rPr>
                <w:rFonts w:hint="eastAsia" w:ascii="宋体" w:hAnsi="宋体" w:eastAsia="宋体" w:cs="宋体"/>
                <w:bCs/>
                <w:sz w:val="21"/>
                <w:szCs w:val="21"/>
                <w:highlight w:val="none"/>
              </w:rPr>
              <w:t>须先按照已交付并验收合格的金额开具发票给</w:t>
            </w:r>
            <w:r>
              <w:rPr>
                <w:rFonts w:hint="eastAsia" w:ascii="宋体" w:hAnsi="宋体" w:eastAsia="宋体" w:cs="宋体"/>
                <w:bCs/>
                <w:sz w:val="21"/>
                <w:szCs w:val="21"/>
                <w:highlight w:val="none"/>
                <w:lang w:eastAsia="zh-CN"/>
              </w:rPr>
              <w:t>采购人</w:t>
            </w: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eastAsia="zh-CN"/>
              </w:rPr>
              <w:t>采购人</w:t>
            </w:r>
            <w:r>
              <w:rPr>
                <w:rFonts w:hint="eastAsia" w:ascii="宋体" w:hAnsi="宋体" w:eastAsia="宋体" w:cs="宋体"/>
                <w:bCs/>
                <w:sz w:val="21"/>
                <w:szCs w:val="21"/>
                <w:highlight w:val="none"/>
              </w:rPr>
              <w:t>在收到发票后30日历日内按发票面额付款。如</w:t>
            </w:r>
            <w:r>
              <w:rPr>
                <w:rFonts w:hint="eastAsia" w:ascii="宋体" w:hAnsi="宋体" w:eastAsia="宋体" w:cs="宋体"/>
                <w:bCs/>
                <w:sz w:val="21"/>
                <w:szCs w:val="21"/>
                <w:highlight w:val="none"/>
                <w:lang w:eastAsia="zh-CN"/>
              </w:rPr>
              <w:t>成交人</w:t>
            </w:r>
            <w:r>
              <w:rPr>
                <w:rFonts w:hint="eastAsia" w:ascii="宋体" w:hAnsi="宋体" w:eastAsia="宋体" w:cs="宋体"/>
                <w:bCs/>
                <w:sz w:val="21"/>
                <w:szCs w:val="21"/>
                <w:highlight w:val="none"/>
              </w:rPr>
              <w:t>未按国家要求开具发票，或未按合同履约的，视为违约</w:t>
            </w:r>
            <w:r>
              <w:rPr>
                <w:rFonts w:hint="eastAsia" w:ascii="宋体" w:hAnsi="宋体" w:eastAsia="宋体" w:cs="宋体"/>
                <w:bCs/>
                <w:sz w:val="21"/>
                <w:szCs w:val="21"/>
              </w:rPr>
              <w:t>，</w:t>
            </w:r>
            <w:r>
              <w:rPr>
                <w:rFonts w:hint="eastAsia" w:ascii="宋体" w:hAnsi="宋体" w:eastAsia="宋体" w:cs="宋体"/>
                <w:bCs/>
                <w:sz w:val="21"/>
                <w:szCs w:val="21"/>
                <w:lang w:eastAsia="zh-CN"/>
              </w:rPr>
              <w:t>采购人</w:t>
            </w:r>
            <w:r>
              <w:rPr>
                <w:rFonts w:hint="eastAsia" w:ascii="宋体" w:hAnsi="宋体" w:eastAsia="宋体" w:cs="宋体"/>
                <w:bCs/>
                <w:sz w:val="21"/>
                <w:szCs w:val="21"/>
              </w:rPr>
              <w:t>有权扣除履约保证金，或要求解除合同，并追究</w:t>
            </w:r>
            <w:r>
              <w:rPr>
                <w:rFonts w:hint="eastAsia" w:ascii="宋体" w:hAnsi="宋体" w:eastAsia="宋体" w:cs="宋体"/>
                <w:bCs/>
                <w:sz w:val="21"/>
                <w:szCs w:val="21"/>
                <w:lang w:eastAsia="zh-CN"/>
              </w:rPr>
              <w:t>成交人</w:t>
            </w:r>
            <w:r>
              <w:rPr>
                <w:rFonts w:hint="eastAsia" w:ascii="宋体" w:hAnsi="宋体" w:eastAsia="宋体" w:cs="宋体"/>
                <w:bCs/>
                <w:sz w:val="21"/>
                <w:szCs w:val="21"/>
              </w:rPr>
              <w:t>法律责任。</w:t>
            </w:r>
          </w:p>
          <w:p w14:paraId="712C73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bCs/>
                <w:sz w:val="21"/>
                <w:szCs w:val="21"/>
              </w:rPr>
            </w:pPr>
            <w:r>
              <w:rPr>
                <w:rFonts w:hint="eastAsia" w:ascii="宋体" w:hAnsi="宋体" w:eastAsia="宋体" w:cs="宋体"/>
                <w:bCs/>
                <w:sz w:val="21"/>
                <w:szCs w:val="21"/>
              </w:rPr>
              <w:t>2.本项目收取履约保证金：</w:t>
            </w:r>
            <w:r>
              <w:rPr>
                <w:rFonts w:hint="eastAsia" w:ascii="宋体" w:hAnsi="宋体" w:eastAsia="宋体" w:cs="宋体"/>
                <w:color w:val="000000"/>
                <w:sz w:val="21"/>
                <w:szCs w:val="21"/>
                <w:lang w:eastAsia="zh-CN"/>
              </w:rPr>
              <w:t>□</w:t>
            </w:r>
            <w:r>
              <w:rPr>
                <w:rFonts w:hint="eastAsia" w:ascii="宋体" w:hAnsi="宋体" w:eastAsia="宋体" w:cs="宋体"/>
                <w:bCs/>
                <w:sz w:val="21"/>
                <w:szCs w:val="21"/>
              </w:rPr>
              <w:t>无</w:t>
            </w:r>
            <w:r>
              <w:rPr>
                <w:rFonts w:hint="eastAsia" w:ascii="宋体" w:hAnsi="宋体" w:eastAsia="宋体" w:cs="宋体"/>
                <w:color w:val="000000"/>
                <w:sz w:val="21"/>
                <w:szCs w:val="21"/>
                <w:lang w:eastAsia="zh-CN"/>
              </w:rPr>
              <w:t>☑</w:t>
            </w:r>
            <w:r>
              <w:rPr>
                <w:rFonts w:hint="eastAsia" w:ascii="宋体" w:hAnsi="宋体" w:eastAsia="宋体" w:cs="宋体"/>
                <w:bCs/>
                <w:sz w:val="21"/>
                <w:szCs w:val="21"/>
              </w:rPr>
              <w:t>有。</w:t>
            </w:r>
          </w:p>
          <w:p w14:paraId="3E2810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auto"/>
                <w:sz w:val="21"/>
                <w:szCs w:val="21"/>
                <w:lang w:bidi="ar"/>
              </w:rPr>
            </w:pPr>
            <w:r>
              <w:rPr>
                <w:rFonts w:hint="eastAsia" w:ascii="宋体" w:hAnsi="宋体" w:eastAsia="宋体" w:cs="宋体"/>
                <w:bCs/>
                <w:sz w:val="21"/>
                <w:szCs w:val="21"/>
              </w:rPr>
              <w:t>3.项目收取履约保证金的，成交人须在合同签订前向采购人账户转</w:t>
            </w:r>
            <w:r>
              <w:rPr>
                <w:rFonts w:hint="eastAsia" w:ascii="宋体" w:hAnsi="宋体" w:eastAsia="宋体" w:cs="宋体"/>
                <w:bCs/>
                <w:color w:val="auto"/>
                <w:sz w:val="21"/>
                <w:szCs w:val="21"/>
              </w:rPr>
              <w:t>付</w:t>
            </w:r>
            <w:r>
              <w:rPr>
                <w:rFonts w:hint="eastAsia" w:ascii="宋体" w:hAnsi="宋体" w:eastAsia="宋体" w:cs="宋体"/>
                <w:bCs/>
                <w:color w:val="auto"/>
                <w:sz w:val="21"/>
                <w:szCs w:val="21"/>
                <w:lang w:val="en-US" w:eastAsia="zh-CN"/>
              </w:rPr>
              <w:t>标项</w:t>
            </w:r>
            <w:r>
              <w:rPr>
                <w:rFonts w:hint="eastAsia" w:ascii="宋体" w:hAnsi="宋体" w:eastAsia="宋体" w:cs="宋体"/>
                <w:bCs/>
                <w:sz w:val="21"/>
                <w:szCs w:val="21"/>
              </w:rPr>
              <w:t>合同金额2%的履约保证金，否则不予签订合同。履约保证金在采购内容全部交付验收完成之后（或服务期满后）无息退付。</w:t>
            </w:r>
          </w:p>
        </w:tc>
      </w:tr>
    </w:tbl>
    <w:p w14:paraId="25CA4878">
      <w:pPr>
        <w:pStyle w:val="20"/>
        <w:spacing w:line="440" w:lineRule="exact"/>
        <w:rPr>
          <w:rFonts w:ascii="宋体" w:hAnsi="宋体" w:cs="宋体"/>
          <w:b/>
          <w:color w:val="auto"/>
          <w:sz w:val="24"/>
          <w:highlight w:val="none"/>
        </w:rPr>
        <w:sectPr>
          <w:pgSz w:w="11906" w:h="16838"/>
          <w:pgMar w:top="1134" w:right="1247" w:bottom="1134" w:left="1247" w:header="851" w:footer="992" w:gutter="0"/>
          <w:pgNumType w:fmt="decimal"/>
          <w:cols w:space="720" w:num="1"/>
          <w:docGrid w:linePitch="312" w:charSpace="0"/>
        </w:sectPr>
      </w:pPr>
    </w:p>
    <w:p w14:paraId="2344BC46">
      <w:pPr>
        <w:pStyle w:val="4"/>
        <w:spacing w:before="0" w:after="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标项三：</w:t>
      </w:r>
      <w:r>
        <w:rPr>
          <w:rFonts w:hint="eastAsia" w:ascii="宋体" w:hAnsi="宋体" w:eastAsia="宋体" w:cs="宋体"/>
          <w:color w:val="auto"/>
          <w:sz w:val="24"/>
          <w:szCs w:val="24"/>
          <w:highlight w:val="none"/>
          <w:lang w:val="en-US" w:eastAsia="zh-CN"/>
        </w:rPr>
        <w:t>动科院动物繁殖（育种）教学资源包</w:t>
      </w:r>
    </w:p>
    <w:tbl>
      <w:tblPr>
        <w:tblStyle w:val="41"/>
        <w:tblW w:w="10208" w:type="dxa"/>
        <w:jc w:val="center"/>
        <w:tblLayout w:type="fixed"/>
        <w:tblCellMar>
          <w:top w:w="0" w:type="dxa"/>
          <w:left w:w="0" w:type="dxa"/>
          <w:bottom w:w="0" w:type="dxa"/>
          <w:right w:w="0" w:type="dxa"/>
        </w:tblCellMar>
      </w:tblPr>
      <w:tblGrid>
        <w:gridCol w:w="443"/>
        <w:gridCol w:w="656"/>
        <w:gridCol w:w="638"/>
        <w:gridCol w:w="4767"/>
        <w:gridCol w:w="562"/>
        <w:gridCol w:w="450"/>
        <w:gridCol w:w="193"/>
        <w:gridCol w:w="595"/>
        <w:gridCol w:w="858"/>
        <w:gridCol w:w="1046"/>
      </w:tblGrid>
      <w:tr w14:paraId="017615BA">
        <w:tblPrEx>
          <w:tblCellMar>
            <w:top w:w="0" w:type="dxa"/>
            <w:left w:w="0" w:type="dxa"/>
            <w:bottom w:w="0" w:type="dxa"/>
            <w:right w:w="0" w:type="dxa"/>
          </w:tblCellMar>
        </w:tblPrEx>
        <w:trPr>
          <w:trHeight w:val="0" w:hRule="atLeast"/>
          <w:jc w:val="center"/>
        </w:trPr>
        <w:tc>
          <w:tcPr>
            <w:tcW w:w="10208" w:type="dxa"/>
            <w:gridSpan w:val="10"/>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9095CE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rPr>
              <w:t>一、技术要求</w:t>
            </w:r>
          </w:p>
        </w:tc>
      </w:tr>
      <w:tr w14:paraId="1D40622F">
        <w:tblPrEx>
          <w:tblCellMar>
            <w:top w:w="0" w:type="dxa"/>
            <w:left w:w="0" w:type="dxa"/>
            <w:bottom w:w="0" w:type="dxa"/>
            <w:right w:w="0" w:type="dxa"/>
          </w:tblCellMar>
        </w:tblPrEx>
        <w:trPr>
          <w:trHeight w:val="0" w:hRule="atLeast"/>
          <w:jc w:val="center"/>
        </w:trPr>
        <w:tc>
          <w:tcPr>
            <w:tcW w:w="443"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81B671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序号</w:t>
            </w:r>
          </w:p>
        </w:tc>
        <w:tc>
          <w:tcPr>
            <w:tcW w:w="656"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F04505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采购内容</w:t>
            </w:r>
          </w:p>
        </w:tc>
        <w:tc>
          <w:tcPr>
            <w:tcW w:w="638"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DC5EEC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sz w:val="21"/>
                <w:szCs w:val="21"/>
                <w:highlight w:val="none"/>
              </w:rPr>
              <w:t>参考品牌型号</w:t>
            </w:r>
          </w:p>
        </w:tc>
        <w:tc>
          <w:tcPr>
            <w:tcW w:w="476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54C98D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技术参数</w:t>
            </w:r>
          </w:p>
        </w:tc>
        <w:tc>
          <w:tcPr>
            <w:tcW w:w="562"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A3418A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计量单位</w:t>
            </w:r>
          </w:p>
        </w:tc>
        <w:tc>
          <w:tcPr>
            <w:tcW w:w="450"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A2E316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数量</w:t>
            </w:r>
          </w:p>
        </w:tc>
        <w:tc>
          <w:tcPr>
            <w:tcW w:w="788"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5D9B56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单价</w:t>
            </w:r>
          </w:p>
          <w:p w14:paraId="64F5849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sz w:val="21"/>
                <w:szCs w:val="21"/>
                <w:highlight w:val="none"/>
              </w:rPr>
              <w:t>（元）</w:t>
            </w:r>
          </w:p>
        </w:tc>
        <w:tc>
          <w:tcPr>
            <w:tcW w:w="858"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9FFCF9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小计</w:t>
            </w:r>
          </w:p>
          <w:p w14:paraId="753E4BD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sz w:val="21"/>
                <w:szCs w:val="21"/>
                <w:highlight w:val="none"/>
              </w:rPr>
              <w:t>（元）</w:t>
            </w:r>
          </w:p>
        </w:tc>
        <w:tc>
          <w:tcPr>
            <w:tcW w:w="1046"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C41D8D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sz w:val="21"/>
                <w:szCs w:val="21"/>
                <w:highlight w:val="none"/>
              </w:rPr>
              <w:t>说明（必要性、用途、存放地点等）</w:t>
            </w:r>
          </w:p>
        </w:tc>
      </w:tr>
      <w:tr w14:paraId="32DD9EC6">
        <w:tblPrEx>
          <w:tblCellMar>
            <w:top w:w="0" w:type="dxa"/>
            <w:left w:w="0" w:type="dxa"/>
            <w:bottom w:w="0" w:type="dxa"/>
            <w:right w:w="0" w:type="dxa"/>
          </w:tblCellMar>
        </w:tblPrEx>
        <w:trPr>
          <w:trHeight w:val="0" w:hRule="atLeast"/>
          <w:jc w:val="center"/>
        </w:trPr>
        <w:tc>
          <w:tcPr>
            <w:tcW w:w="443"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35538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w:t>
            </w:r>
          </w:p>
        </w:tc>
        <w:tc>
          <w:tcPr>
            <w:tcW w:w="656"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0544F8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bCs/>
                <w:strike w:val="0"/>
                <w:dstrike w:val="0"/>
                <w:color w:val="000000"/>
                <w:kern w:val="0"/>
                <w:sz w:val="21"/>
                <w:szCs w:val="21"/>
                <w:highlight w:val="none"/>
                <w:lang w:val="en-US" w:eastAsia="zh-CN"/>
              </w:rPr>
              <w:t>国际化电子课程-</w:t>
            </w:r>
            <w:r>
              <w:rPr>
                <w:rFonts w:hint="eastAsia" w:ascii="宋体" w:hAnsi="宋体" w:eastAsia="宋体" w:cs="宋体"/>
                <w:i w:val="0"/>
                <w:iCs w:val="0"/>
                <w:color w:val="000000"/>
                <w:kern w:val="2"/>
                <w:sz w:val="21"/>
                <w:szCs w:val="21"/>
              </w:rPr>
              <w:t>双语AI英文配音微课视频定制</w:t>
            </w:r>
          </w:p>
        </w:tc>
        <w:tc>
          <w:tcPr>
            <w:tcW w:w="638"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1273BA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定制</w:t>
            </w:r>
          </w:p>
        </w:tc>
        <w:tc>
          <w:tcPr>
            <w:tcW w:w="4767"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5BC38E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1.每个时长5-10分钟。</w:t>
            </w:r>
            <w:r>
              <w:rPr>
                <w:rFonts w:hint="eastAsia" w:ascii="宋体" w:hAnsi="宋体" w:eastAsia="宋体" w:cs="宋体"/>
                <w:color w:val="000000"/>
                <w:sz w:val="21"/>
                <w:szCs w:val="21"/>
                <w:lang w:bidi="ar"/>
              </w:rPr>
              <w:br w:type="textWrapping"/>
            </w:r>
            <w:r>
              <w:rPr>
                <w:rFonts w:hint="eastAsia" w:ascii="宋体" w:hAnsi="宋体" w:eastAsia="宋体" w:cs="宋体"/>
                <w:color w:val="000000"/>
                <w:sz w:val="21"/>
                <w:szCs w:val="21"/>
                <w:lang w:bidi="ar"/>
              </w:rPr>
              <w:t>2.微课程视频内容应符合我国法律法规，尊重各民族的风俗习惯，版权不存在争议。</w:t>
            </w:r>
            <w:r>
              <w:rPr>
                <w:rFonts w:hint="eastAsia" w:ascii="宋体" w:hAnsi="宋体" w:eastAsia="宋体" w:cs="宋体"/>
                <w:color w:val="000000"/>
                <w:sz w:val="21"/>
                <w:szCs w:val="21"/>
                <w:lang w:bidi="ar"/>
              </w:rPr>
              <w:br w:type="textWrapping"/>
            </w:r>
            <w:r>
              <w:rPr>
                <w:rFonts w:hint="eastAsia" w:ascii="宋体" w:hAnsi="宋体" w:eastAsia="宋体" w:cs="宋体"/>
                <w:color w:val="000000"/>
                <w:sz w:val="21"/>
                <w:szCs w:val="21"/>
                <w:lang w:bidi="ar"/>
              </w:rPr>
              <w:t>3.微课程要求以视频为主要载体，围绕某个知识点内容展开、基于教学设计的学习资源。含片头、片尾、教师出镜拍摄、教师录制配音、PPT穿插、使用添加PPT内置动画效果包装，使用添加PPT内置平滑切换效果包装，制作所用的软件版本MicrosoftOffice2016或同等及以上档次；</w:t>
            </w:r>
            <w:r>
              <w:rPr>
                <w:rFonts w:hint="eastAsia" w:ascii="宋体" w:hAnsi="宋体" w:eastAsia="宋体" w:cs="宋体"/>
                <w:color w:val="000000"/>
                <w:sz w:val="21"/>
                <w:szCs w:val="21"/>
                <w:lang w:bidi="ar"/>
              </w:rPr>
              <w:br w:type="textWrapping"/>
            </w:r>
            <w:r>
              <w:rPr>
                <w:rFonts w:hint="eastAsia" w:ascii="宋体" w:hAnsi="宋体" w:eastAsia="宋体" w:cs="宋体"/>
                <w:color w:val="000000"/>
                <w:sz w:val="21"/>
                <w:szCs w:val="21"/>
                <w:lang w:bidi="ar"/>
              </w:rPr>
              <w:t>4.根据课程需要，协助教学团队完成多种拍摄场地的教学场景设计及布景。根据课程性质，课程制作团队与教师一起确定课程最合理的拍摄方式。提供以下4种的拍摄模式供老师选择，特殊课程可根据老师课程框架设计更多拍摄模式，一门课程可以采用多种拍摄模式：</w:t>
            </w:r>
            <w:r>
              <w:rPr>
                <w:rFonts w:hint="eastAsia" w:ascii="宋体" w:hAnsi="宋体" w:eastAsia="宋体" w:cs="宋体"/>
                <w:color w:val="000000"/>
                <w:sz w:val="21"/>
                <w:szCs w:val="21"/>
                <w:lang w:bidi="ar"/>
              </w:rPr>
              <w:br w:type="textWrapping"/>
            </w:r>
            <w:r>
              <w:rPr>
                <w:rFonts w:hint="eastAsia" w:ascii="宋体" w:hAnsi="宋体" w:eastAsia="宋体" w:cs="宋体"/>
                <w:color w:val="000000"/>
                <w:sz w:val="21"/>
                <w:szCs w:val="21"/>
                <w:lang w:bidi="ar"/>
              </w:rPr>
              <w:t>（1）真人抠像+PPT模式：在摄影棚内拍摄教师出镜和配音，全程PPT演示。</w:t>
            </w:r>
            <w:r>
              <w:rPr>
                <w:rFonts w:hint="eastAsia" w:ascii="宋体" w:hAnsi="宋体" w:eastAsia="宋体" w:cs="宋体"/>
                <w:color w:val="000000"/>
                <w:sz w:val="21"/>
                <w:szCs w:val="21"/>
                <w:lang w:bidi="ar"/>
              </w:rPr>
              <w:br w:type="textWrapping"/>
            </w:r>
            <w:r>
              <w:rPr>
                <w:rFonts w:hint="eastAsia" w:ascii="宋体" w:hAnsi="宋体" w:eastAsia="宋体" w:cs="宋体"/>
                <w:color w:val="000000"/>
                <w:sz w:val="21"/>
                <w:szCs w:val="21"/>
                <w:lang w:bidi="ar"/>
              </w:rPr>
              <w:t>（2）数字人采集+PPT模式：对出镜教师进行1套服装和妆容造型数字教师训练模型视频采集服务，对教师真人形象进行AI合成与训练，训练数字人的嘴型、面部表情和肢体动作。通过音频驱动数字教师做出和语音完全匹配的嘴型面部表情和肢体动作。数字教师是固定的形象，和提供的教师真人的视频，一样的发型，妆容，服饰，1:1还原，克隆好的数字教师不支持更换衣服和妆容配饰等等。生成视频要求图像清晰，声音和画面同步，播放时没有明显的噪点，播放流畅；</w:t>
            </w:r>
            <w:r>
              <w:rPr>
                <w:rFonts w:hint="eastAsia" w:ascii="宋体" w:hAnsi="宋体" w:eastAsia="宋体" w:cs="宋体"/>
                <w:color w:val="000000"/>
                <w:sz w:val="21"/>
                <w:szCs w:val="21"/>
                <w:lang w:bidi="ar"/>
              </w:rPr>
              <w:br w:type="textWrapping"/>
            </w:r>
            <w:r>
              <w:rPr>
                <w:rFonts w:hint="eastAsia" w:ascii="宋体" w:hAnsi="宋体" w:eastAsia="宋体" w:cs="宋体"/>
                <w:color w:val="000000"/>
                <w:sz w:val="21"/>
                <w:szCs w:val="21"/>
                <w:lang w:bidi="ar"/>
              </w:rPr>
              <w:t>（3）室内场景实操模式：根据老师课程需求，选择在特定拍摄场地，多机位拍摄。</w:t>
            </w:r>
            <w:r>
              <w:rPr>
                <w:rFonts w:hint="eastAsia" w:ascii="宋体" w:hAnsi="宋体" w:eastAsia="宋体" w:cs="宋体"/>
                <w:color w:val="000000"/>
                <w:sz w:val="21"/>
                <w:szCs w:val="21"/>
                <w:lang w:bidi="ar"/>
              </w:rPr>
              <w:br w:type="textWrapping"/>
            </w:r>
            <w:r>
              <w:rPr>
                <w:rFonts w:hint="eastAsia" w:ascii="宋体" w:hAnsi="宋体" w:eastAsia="宋体" w:cs="宋体"/>
                <w:color w:val="000000"/>
                <w:sz w:val="21"/>
                <w:szCs w:val="21"/>
                <w:lang w:bidi="ar"/>
              </w:rPr>
              <w:t>（4）随堂拍摄模式：随堂拍摄，多机位拍摄，记录老师讲课现场风采。</w:t>
            </w:r>
            <w:r>
              <w:rPr>
                <w:rFonts w:hint="eastAsia" w:ascii="宋体" w:hAnsi="宋体" w:eastAsia="宋体" w:cs="宋体"/>
                <w:color w:val="000000"/>
                <w:sz w:val="21"/>
                <w:szCs w:val="21"/>
                <w:lang w:bidi="ar"/>
              </w:rPr>
              <w:br w:type="textWrapping"/>
            </w:r>
            <w:r>
              <w:rPr>
                <w:rFonts w:hint="eastAsia" w:ascii="宋体" w:hAnsi="宋体" w:eastAsia="宋体" w:cs="宋体"/>
                <w:color w:val="000000"/>
                <w:sz w:val="21"/>
                <w:szCs w:val="21"/>
                <w:lang w:bidi="ar"/>
              </w:rPr>
              <w:t>（5）访谈式：在摄影棚内或与课程风格贴近的实景场地拍摄，根据访谈人数，设定机位数，教学过程由多位老师交流讨论完成。适合启发性的、思维拓展和发散的学科课程。</w:t>
            </w:r>
            <w:r>
              <w:rPr>
                <w:rFonts w:hint="eastAsia" w:ascii="宋体" w:hAnsi="宋体" w:eastAsia="宋体" w:cs="宋体"/>
                <w:color w:val="000000"/>
                <w:sz w:val="21"/>
                <w:szCs w:val="21"/>
                <w:lang w:bidi="ar"/>
              </w:rPr>
              <w:br w:type="textWrapping"/>
            </w:r>
            <w:r>
              <w:rPr>
                <w:rFonts w:hint="eastAsia" w:ascii="宋体" w:hAnsi="宋体" w:eastAsia="宋体" w:cs="宋体"/>
                <w:color w:val="000000"/>
                <w:sz w:val="21"/>
                <w:szCs w:val="21"/>
                <w:lang w:bidi="ar"/>
              </w:rPr>
              <w:t>5.使用专业的影视拍摄设备，配备广播级专业录音设备，视频画质高清、色彩鲜明、曝光合理、音质清晰；</w:t>
            </w:r>
            <w:r>
              <w:rPr>
                <w:rFonts w:hint="eastAsia" w:ascii="宋体" w:hAnsi="宋体" w:eastAsia="宋体" w:cs="宋体"/>
                <w:color w:val="000000"/>
                <w:sz w:val="21"/>
                <w:szCs w:val="21"/>
                <w:lang w:bidi="ar"/>
              </w:rPr>
              <w:br w:type="textWrapping"/>
            </w:r>
            <w:r>
              <w:rPr>
                <w:rFonts w:hint="eastAsia" w:ascii="宋体" w:hAnsi="宋体" w:eastAsia="宋体" w:cs="宋体"/>
                <w:color w:val="000000"/>
                <w:sz w:val="21"/>
                <w:szCs w:val="21"/>
                <w:lang w:bidi="ar"/>
              </w:rPr>
              <w:t>6.实操场景拍摄，在符合专业特性的室内场地，配置专业灯光设备和实现1-2机位拍摄，配备编导人员作为拍摄现场指导，场地由校方提供；</w:t>
            </w:r>
            <w:r>
              <w:rPr>
                <w:rFonts w:hint="eastAsia" w:ascii="宋体" w:hAnsi="宋体" w:eastAsia="宋体" w:cs="宋体"/>
                <w:color w:val="000000"/>
                <w:sz w:val="21"/>
                <w:szCs w:val="21"/>
                <w:lang w:bidi="ar"/>
              </w:rPr>
              <w:br w:type="textWrapping"/>
            </w:r>
            <w:r>
              <w:rPr>
                <w:rFonts w:hint="eastAsia" w:ascii="宋体" w:hAnsi="宋体" w:eastAsia="宋体" w:cs="宋体"/>
                <w:color w:val="000000"/>
                <w:sz w:val="21"/>
                <w:szCs w:val="21"/>
                <w:lang w:bidi="ar"/>
              </w:rPr>
              <w:t>7.不含航拍、高空拍摄、潜拍等特殊拍摄方式；后期包装不含二维动画、三维动画制作。</w:t>
            </w:r>
            <w:r>
              <w:rPr>
                <w:rFonts w:hint="eastAsia" w:ascii="宋体" w:hAnsi="宋体" w:eastAsia="宋体" w:cs="宋体"/>
                <w:color w:val="000000"/>
                <w:sz w:val="21"/>
                <w:szCs w:val="21"/>
                <w:lang w:bidi="ar"/>
              </w:rPr>
              <w:br w:type="textWrapping"/>
            </w:r>
            <w:r>
              <w:rPr>
                <w:rFonts w:hint="eastAsia" w:ascii="宋体" w:hAnsi="宋体" w:eastAsia="宋体" w:cs="宋体"/>
                <w:color w:val="000000"/>
                <w:sz w:val="21"/>
                <w:szCs w:val="21"/>
                <w:lang w:bidi="ar"/>
              </w:rPr>
              <w:t>8.人物抠像部分可以在校方微课录制室拍摄，配置专业灯光，提供提词器以及配备编导人员作为拍摄现场指导；人物抠像模板工程使用AE软件进行设计，要求人物抠像边缘清晰无闪烁，无噪点，无发绿或发蓝现象，文件制作所用的软件版本在AdobeCC2018或同等及以上档次；</w:t>
            </w:r>
            <w:r>
              <w:rPr>
                <w:rFonts w:hint="eastAsia" w:ascii="宋体" w:hAnsi="宋体" w:eastAsia="宋体" w:cs="宋体"/>
                <w:color w:val="000000"/>
                <w:sz w:val="21"/>
                <w:szCs w:val="21"/>
                <w:lang w:bidi="ar"/>
              </w:rPr>
              <w:br w:type="textWrapping"/>
            </w:r>
            <w:r>
              <w:rPr>
                <w:rFonts w:hint="eastAsia" w:ascii="宋体" w:hAnsi="宋体" w:eastAsia="宋体" w:cs="宋体"/>
                <w:color w:val="000000"/>
                <w:sz w:val="21"/>
                <w:szCs w:val="21"/>
                <w:lang w:bidi="ar"/>
              </w:rPr>
              <w:t>9.模板应用：在老师提供PPT初稿的基础上重新进行符合课程内容特点的PPT美化设计，包含不同板块的背景、教师出镜背景、人名条、章节页、画中画框、关键字美化框等元素。模板朴素、大方，颜色适宜，便于长时间观看；在模板的适当位置标明课程名称、模块（章或节）序号与模块（章或节）的名称，多个页面均有的相同元素。课程中使用到的课程专业图片由教师提供且无版权争议；</w:t>
            </w:r>
            <w:r>
              <w:rPr>
                <w:rFonts w:hint="eastAsia" w:ascii="宋体" w:hAnsi="宋体" w:eastAsia="宋体" w:cs="宋体"/>
                <w:color w:val="000000"/>
                <w:sz w:val="21"/>
                <w:szCs w:val="21"/>
                <w:lang w:bidi="ar"/>
              </w:rPr>
              <w:br w:type="textWrapping"/>
            </w:r>
            <w:r>
              <w:rPr>
                <w:rFonts w:hint="eastAsia" w:ascii="宋体" w:hAnsi="宋体" w:eastAsia="宋体" w:cs="宋体"/>
                <w:color w:val="000000"/>
                <w:sz w:val="21"/>
                <w:szCs w:val="21"/>
                <w:lang w:bidi="ar"/>
              </w:rPr>
              <w:t>10.视频采用MP4格式封装。</w:t>
            </w:r>
            <w:r>
              <w:rPr>
                <w:rFonts w:hint="eastAsia" w:ascii="宋体" w:hAnsi="宋体" w:eastAsia="宋体" w:cs="宋体"/>
                <w:color w:val="000000"/>
                <w:sz w:val="21"/>
                <w:szCs w:val="21"/>
                <w:lang w:bidi="ar"/>
              </w:rPr>
              <w:br w:type="textWrapping"/>
            </w:r>
            <w:r>
              <w:rPr>
                <w:rFonts w:hint="eastAsia" w:ascii="宋体" w:hAnsi="宋体" w:eastAsia="宋体" w:cs="宋体"/>
                <w:color w:val="000000"/>
                <w:sz w:val="21"/>
                <w:szCs w:val="21"/>
                <w:lang w:bidi="ar"/>
              </w:rPr>
              <w:t>11.字幕要使用符合国家标准的规范字，不出现繁体字、异体字(国家规定的除外)、错别字；字幕的字体、大小、色彩搭配、摆放位置、停留时间、出入屏方式力求与其他要素（画面、解说词、音乐）配合适当，不能破坏原有画面</w:t>
            </w:r>
            <w:r>
              <w:rPr>
                <w:rFonts w:hint="eastAsia" w:ascii="宋体" w:hAnsi="宋体" w:eastAsia="宋体" w:cs="宋体"/>
                <w:color w:val="000000"/>
                <w:sz w:val="21"/>
                <w:szCs w:val="21"/>
                <w:lang w:bidi="ar"/>
              </w:rPr>
              <w:br w:type="textWrapping"/>
            </w:r>
            <w:r>
              <w:rPr>
                <w:rFonts w:hint="eastAsia" w:ascii="宋体" w:hAnsi="宋体" w:eastAsia="宋体" w:cs="宋体"/>
                <w:color w:val="000000"/>
                <w:sz w:val="21"/>
                <w:szCs w:val="21"/>
                <w:lang w:bidi="ar"/>
              </w:rPr>
              <w:t>12.视频要求图像清晰，声音和画面同步，播放时没有明显的噪点，播放流畅；</w:t>
            </w:r>
            <w:r>
              <w:rPr>
                <w:rFonts w:hint="eastAsia" w:ascii="宋体" w:hAnsi="宋体" w:eastAsia="宋体" w:cs="宋体"/>
                <w:color w:val="000000"/>
                <w:sz w:val="21"/>
                <w:szCs w:val="21"/>
                <w:lang w:bidi="ar"/>
              </w:rPr>
              <w:br w:type="textWrapping"/>
            </w:r>
            <w:r>
              <w:rPr>
                <w:rFonts w:hint="eastAsia" w:ascii="宋体" w:hAnsi="宋体" w:eastAsia="宋体" w:cs="宋体"/>
                <w:color w:val="000000"/>
                <w:sz w:val="21"/>
                <w:szCs w:val="21"/>
                <w:lang w:bidi="ar"/>
              </w:rPr>
              <w:t>13.资源审读服务</w:t>
            </w:r>
            <w:r>
              <w:rPr>
                <w:rFonts w:hint="eastAsia" w:ascii="宋体" w:hAnsi="宋体" w:eastAsia="宋体" w:cs="宋体"/>
                <w:color w:val="000000"/>
                <w:sz w:val="21"/>
                <w:szCs w:val="21"/>
                <w:lang w:bidi="ar"/>
              </w:rPr>
              <w:br w:type="textWrapping"/>
            </w:r>
            <w:r>
              <w:rPr>
                <w:rFonts w:hint="eastAsia" w:ascii="宋体" w:hAnsi="宋体" w:eastAsia="宋体" w:cs="宋体"/>
                <w:color w:val="000000"/>
                <w:sz w:val="21"/>
                <w:szCs w:val="21"/>
                <w:lang w:bidi="ar"/>
              </w:rPr>
              <w:t>本项目建设完成的资源，要求依据相关法律法规和政策文件，按照教育部办公厅印发的对数字资源内容的要求，对本次项目建设资源的内容的政治性、科学性、适用性、规范性进行审核，确保资源政治导向、价值取向、审美导向正确，内容真实、客观科学。</w:t>
            </w:r>
          </w:p>
          <w:p w14:paraId="6176F5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1</w:t>
            </w:r>
            <w:r>
              <w:rPr>
                <w:rFonts w:hint="eastAsia" w:ascii="宋体" w:hAnsi="宋体" w:eastAsia="宋体" w:cs="宋体"/>
                <w:color w:val="000000"/>
                <w:sz w:val="21"/>
                <w:szCs w:val="21"/>
                <w:lang w:val="en-US" w:eastAsia="zh-CN" w:bidi="ar"/>
              </w:rPr>
              <w:t>4</w:t>
            </w:r>
            <w:r>
              <w:rPr>
                <w:rFonts w:hint="eastAsia" w:ascii="宋体" w:hAnsi="宋体" w:eastAsia="宋体" w:cs="宋体"/>
                <w:color w:val="000000"/>
                <w:sz w:val="21"/>
                <w:szCs w:val="21"/>
                <w:lang w:bidi="ar"/>
              </w:rPr>
              <w:t>.所有制作的教学资源版权归属采购人所有。</w:t>
            </w:r>
          </w:p>
          <w:p w14:paraId="185093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1</w:t>
            </w:r>
            <w:r>
              <w:rPr>
                <w:rFonts w:hint="eastAsia" w:ascii="宋体" w:hAnsi="宋体" w:eastAsia="宋体" w:cs="宋体"/>
                <w:color w:val="000000"/>
                <w:sz w:val="21"/>
                <w:szCs w:val="21"/>
                <w:lang w:val="en-US" w:eastAsia="zh-CN" w:bidi="ar"/>
              </w:rPr>
              <w:t>5</w:t>
            </w:r>
            <w:r>
              <w:rPr>
                <w:rFonts w:hint="eastAsia" w:ascii="宋体" w:hAnsi="宋体" w:eastAsia="宋体" w:cs="宋体"/>
                <w:color w:val="000000"/>
                <w:sz w:val="21"/>
                <w:szCs w:val="21"/>
                <w:lang w:bidi="ar"/>
              </w:rPr>
              <w:t>.将该课程内的</w:t>
            </w:r>
            <w:r>
              <w:rPr>
                <w:rFonts w:hint="eastAsia" w:ascii="宋体" w:hAnsi="宋体" w:eastAsia="宋体" w:cs="宋体"/>
                <w:color w:val="000000"/>
                <w:sz w:val="21"/>
                <w:szCs w:val="21"/>
                <w:lang w:eastAsia="zh" w:bidi="ar"/>
              </w:rPr>
              <w:t>所有</w:t>
            </w:r>
            <w:r>
              <w:rPr>
                <w:rFonts w:hint="eastAsia" w:ascii="宋体" w:hAnsi="宋体" w:eastAsia="宋体" w:cs="宋体"/>
                <w:color w:val="000000"/>
                <w:sz w:val="21"/>
                <w:szCs w:val="21"/>
                <w:lang w:bidi="ar"/>
              </w:rPr>
              <w:t>微课</w:t>
            </w:r>
            <w:r>
              <w:rPr>
                <w:rFonts w:hint="eastAsia" w:ascii="宋体" w:hAnsi="宋体" w:eastAsia="宋体" w:cs="宋体"/>
                <w:color w:val="000000"/>
                <w:sz w:val="21"/>
                <w:szCs w:val="21"/>
                <w:lang w:eastAsia="zh" w:bidi="ar"/>
              </w:rPr>
              <w:t>和所有课件</w:t>
            </w:r>
            <w:r>
              <w:rPr>
                <w:rFonts w:hint="eastAsia" w:ascii="宋体" w:hAnsi="宋体" w:eastAsia="宋体" w:cs="宋体"/>
                <w:color w:val="000000"/>
                <w:sz w:val="21"/>
                <w:szCs w:val="21"/>
                <w:lang w:bidi="ar"/>
              </w:rPr>
              <w:t>翻译成英文，具体内容包括：</w:t>
            </w:r>
          </w:p>
          <w:p w14:paraId="7B41DA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（1）微课唱词字幕中英翻译服务；</w:t>
            </w:r>
          </w:p>
          <w:p w14:paraId="7B13DA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（2）微课视频画面中出现的中文标题、中文内容、标注等翻译为英文。</w:t>
            </w:r>
          </w:p>
          <w:p w14:paraId="6B1D05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eastAsia" w:ascii="宋体" w:hAnsi="宋体" w:eastAsia="宋体" w:cs="宋体"/>
                <w:color w:val="000000"/>
                <w:sz w:val="21"/>
                <w:szCs w:val="21"/>
                <w:lang w:eastAsia="zh" w:bidi="ar"/>
              </w:rPr>
            </w:pPr>
            <w:r>
              <w:rPr>
                <w:rFonts w:hint="eastAsia" w:ascii="宋体" w:hAnsi="宋体" w:eastAsia="宋体" w:cs="宋体"/>
                <w:color w:val="000000"/>
                <w:sz w:val="21"/>
                <w:szCs w:val="21"/>
                <w:lang w:eastAsia="zh" w:bidi="ar"/>
              </w:rPr>
              <w:t>（3）课件</w:t>
            </w:r>
            <w:r>
              <w:rPr>
                <w:rFonts w:hint="eastAsia" w:ascii="宋体" w:hAnsi="宋体" w:eastAsia="宋体" w:cs="宋体"/>
                <w:color w:val="000000"/>
                <w:sz w:val="21"/>
                <w:szCs w:val="21"/>
                <w:lang w:bidi="ar"/>
              </w:rPr>
              <w:t>中出现的中文标题、中文内容、标注等翻译为英文。</w:t>
            </w:r>
          </w:p>
          <w:p w14:paraId="51E37D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翻译要求：</w:t>
            </w:r>
          </w:p>
          <w:p w14:paraId="04036A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（1）全文人工翻译，翻译内容自然流畅、语法准确；</w:t>
            </w:r>
          </w:p>
          <w:p w14:paraId="5FACFA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（2）专业词语需严谨，充分考虑语言结构特点和语言语境，确保英文翻译用词恰当、语法正确、语句通顺、翻译内容与中文内容一致；</w:t>
            </w:r>
          </w:p>
          <w:p w14:paraId="681510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（3）翻译时要站在正确的政治立场，表明正确观点，不可犯原则性错误，深刻理解原文中心思想及内容，准确表达原文意图，正确翻译专业词汇。</w:t>
            </w:r>
          </w:p>
          <w:p w14:paraId="6A20E0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（4）翻译质量符合中国国家标准(GB/T19363.1-2003，翻译服务规范：笔译翻译)</w:t>
            </w:r>
          </w:p>
          <w:p w14:paraId="065B36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（5）因翻译内容的专业性和复杂性，有具备英语二级笔译证书（中华人民共和国人力资源和社会保障部）的专业英语翻译人员全程参与到项目整个的翻译工作中。</w:t>
            </w:r>
          </w:p>
          <w:p w14:paraId="486780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1</w:t>
            </w:r>
            <w:r>
              <w:rPr>
                <w:rFonts w:hint="eastAsia" w:ascii="宋体" w:hAnsi="宋体" w:eastAsia="宋体" w:cs="宋体"/>
                <w:color w:val="000000"/>
                <w:sz w:val="21"/>
                <w:szCs w:val="21"/>
                <w:lang w:val="en-US" w:eastAsia="zh-CN" w:bidi="ar"/>
              </w:rPr>
              <w:t>6</w:t>
            </w:r>
            <w:r>
              <w:rPr>
                <w:rFonts w:hint="eastAsia" w:ascii="宋体" w:hAnsi="宋体" w:eastAsia="宋体" w:cs="宋体"/>
                <w:color w:val="000000"/>
                <w:sz w:val="21"/>
                <w:szCs w:val="21"/>
                <w:lang w:bidi="ar"/>
              </w:rPr>
              <w:t>.视频用英文进行电脑AI配音，配音要求标准，无噪音，声音悦耳，音量适当，快慢适度。</w:t>
            </w:r>
          </w:p>
          <w:p w14:paraId="309AFE76">
            <w:pPr>
              <w:pStyle w:val="4"/>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rPr>
                <w:rFonts w:hint="eastAsia" w:ascii="宋体" w:hAnsi="宋体" w:eastAsia="宋体" w:cs="宋体"/>
                <w:b w:val="0"/>
                <w:bCs w:val="0"/>
                <w:color w:val="auto"/>
                <w:kern w:val="2"/>
                <w:sz w:val="21"/>
                <w:szCs w:val="21"/>
                <w:lang w:val="en-US" w:eastAsia="zh-CN" w:bidi="ar"/>
              </w:rPr>
            </w:pPr>
            <w:r>
              <w:rPr>
                <w:rFonts w:hint="eastAsia" w:ascii="宋体" w:hAnsi="宋体" w:eastAsia="宋体" w:cs="宋体"/>
                <w:b w:val="0"/>
                <w:bCs w:val="0"/>
                <w:color w:val="000000"/>
                <w:kern w:val="2"/>
                <w:sz w:val="21"/>
                <w:szCs w:val="21"/>
                <w:lang w:val="en-US" w:eastAsia="zh-CN" w:bidi="ar"/>
              </w:rPr>
              <w:t>17.项目实施团队成员至少包含是动画、摄影摄像、广播电视编导等</w:t>
            </w:r>
            <w:r>
              <w:rPr>
                <w:rFonts w:hint="eastAsia" w:ascii="宋体" w:hAnsi="宋体" w:eastAsia="宋体" w:cs="宋体"/>
                <w:b w:val="0"/>
                <w:bCs w:val="0"/>
                <w:color w:val="auto"/>
                <w:kern w:val="2"/>
                <w:sz w:val="21"/>
                <w:szCs w:val="21"/>
                <w:lang w:val="en-US" w:eastAsia="zh-CN" w:bidi="ar"/>
              </w:rPr>
              <w:t>相关专业人员。</w:t>
            </w:r>
            <w:r>
              <w:rPr>
                <w:rFonts w:hint="eastAsia" w:ascii="宋体" w:hAnsi="宋体" w:eastAsia="宋体" w:cs="宋体"/>
                <w:b/>
                <w:bCs/>
                <w:color w:val="auto"/>
                <w:sz w:val="21"/>
                <w:szCs w:val="21"/>
                <w:lang w:val="en-US" w:eastAsia="zh-CN" w:bidi="ar"/>
              </w:rPr>
              <w:t>（提供相关职业或职称证书扫描件）</w:t>
            </w:r>
          </w:p>
          <w:p w14:paraId="3FF61AE2">
            <w:pPr>
              <w:pStyle w:val="4"/>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rPr>
                <w:rFonts w:hint="eastAsia" w:ascii="宋体" w:hAnsi="宋体" w:eastAsia="宋体" w:cs="宋体"/>
                <w:b w:val="0"/>
                <w:bCs w:val="0"/>
                <w:color w:val="000000"/>
                <w:kern w:val="2"/>
                <w:sz w:val="21"/>
                <w:szCs w:val="21"/>
                <w:lang w:val="en-US" w:eastAsia="zh-CN" w:bidi="ar"/>
              </w:rPr>
            </w:pPr>
            <w:r>
              <w:rPr>
                <w:rFonts w:hint="eastAsia" w:ascii="宋体" w:hAnsi="宋体" w:eastAsia="宋体" w:cs="宋体"/>
                <w:b w:val="0"/>
                <w:bCs w:val="0"/>
                <w:color w:val="auto"/>
                <w:kern w:val="2"/>
                <w:sz w:val="21"/>
                <w:szCs w:val="21"/>
                <w:lang w:val="en-US" w:eastAsia="zh-CN" w:bidi="ar"/>
              </w:rPr>
              <w:t>18.项目总负责人必</w:t>
            </w:r>
            <w:r>
              <w:rPr>
                <w:rFonts w:hint="eastAsia" w:ascii="宋体" w:hAnsi="宋体" w:eastAsia="宋体" w:cs="宋体"/>
                <w:b w:val="0"/>
                <w:bCs w:val="0"/>
                <w:color w:val="000000"/>
                <w:kern w:val="2"/>
                <w:sz w:val="21"/>
                <w:szCs w:val="21"/>
                <w:lang w:val="en-US" w:eastAsia="zh-CN" w:bidi="ar"/>
              </w:rPr>
              <w:t>须为供应商正式员工，且承诺具备相关类型项目的统筹管理经验,熟悉相关制作流程以及制作流程的各个注意事项，能够指导教师在各个环节进行统筹跟进，因项目经理无经验或经验不足，导致教师无法按时完成任务的，由供应商负责赔偿。</w:t>
            </w:r>
            <w:r>
              <w:rPr>
                <w:rFonts w:hint="eastAsia" w:ascii="宋体" w:hAnsi="宋体" w:eastAsia="宋体" w:cs="宋体"/>
                <w:b/>
                <w:bCs/>
                <w:color w:val="auto"/>
                <w:kern w:val="2"/>
                <w:sz w:val="21"/>
                <w:szCs w:val="21"/>
                <w:lang w:val="en-US" w:eastAsia="zh-CN" w:bidi="ar"/>
              </w:rPr>
              <w:t>（</w:t>
            </w:r>
            <w:r>
              <w:rPr>
                <w:rFonts w:hint="eastAsia" w:ascii="宋体" w:hAnsi="宋体" w:eastAsia="宋体" w:cs="宋体"/>
                <w:b/>
                <w:bCs/>
                <w:color w:val="auto"/>
                <w:sz w:val="21"/>
                <w:szCs w:val="21"/>
                <w:lang w:val="en-US" w:bidi="ar"/>
              </w:rPr>
              <w:t>提供项目总负责人劳动合同或社保证明材料扫描件加盖电子公章</w:t>
            </w:r>
            <w:r>
              <w:rPr>
                <w:rFonts w:hint="eastAsia" w:ascii="宋体" w:hAnsi="宋体" w:eastAsia="宋体" w:cs="宋体"/>
                <w:b/>
                <w:bCs/>
                <w:color w:val="auto"/>
                <w:kern w:val="2"/>
                <w:sz w:val="21"/>
                <w:szCs w:val="21"/>
                <w:lang w:val="en-US" w:eastAsia="zh-CN" w:bidi="ar"/>
              </w:rPr>
              <w:t>）</w:t>
            </w:r>
          </w:p>
          <w:p w14:paraId="218EB07F">
            <w:pPr>
              <w:pStyle w:val="4"/>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rPr>
                <w:rFonts w:hint="eastAsia" w:ascii="宋体" w:hAnsi="宋体" w:eastAsia="宋体" w:cs="宋体"/>
                <w:b/>
                <w:bCs/>
                <w:color w:val="000000"/>
                <w:kern w:val="2"/>
                <w:sz w:val="21"/>
                <w:szCs w:val="21"/>
                <w:lang w:val="en-US" w:eastAsia="zh-CN" w:bidi="ar"/>
              </w:rPr>
            </w:pPr>
            <w:r>
              <w:rPr>
                <w:rFonts w:hint="eastAsia" w:ascii="宋体" w:hAnsi="宋体" w:eastAsia="宋体" w:cs="宋体"/>
                <w:b w:val="0"/>
                <w:bCs w:val="0"/>
                <w:color w:val="000000"/>
                <w:kern w:val="2"/>
                <w:sz w:val="21"/>
                <w:szCs w:val="21"/>
                <w:lang w:val="en-US" w:eastAsia="zh-CN" w:bidi="ar"/>
              </w:rPr>
              <w:t>19.供应商应根据采购人教师课程制作的需要，提供虚拟录播拍摄室，为了进行虚拟录播拍摄及保证拍摄工作进度，虚拟录播室在隔音、设备符合拍摄要求。</w:t>
            </w:r>
            <w:r>
              <w:rPr>
                <w:rFonts w:hint="eastAsia" w:ascii="宋体" w:hAnsi="宋体" w:eastAsia="宋体" w:cs="宋体"/>
                <w:b/>
                <w:bCs/>
                <w:color w:val="000000"/>
                <w:kern w:val="2"/>
                <w:sz w:val="21"/>
                <w:szCs w:val="21"/>
                <w:lang w:val="en-US" w:eastAsia="zh-CN" w:bidi="ar"/>
              </w:rPr>
              <w:t>（响应文件需提供录播室场景图照片）</w:t>
            </w:r>
          </w:p>
          <w:p w14:paraId="5A266DDB">
            <w:pPr>
              <w:pStyle w:val="4"/>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rPr>
                <w:rFonts w:hint="eastAsia" w:ascii="宋体" w:hAnsi="宋体" w:eastAsia="宋体" w:cs="宋体"/>
                <w:b/>
                <w:bCs/>
                <w:color w:val="000000"/>
                <w:kern w:val="2"/>
                <w:sz w:val="21"/>
                <w:szCs w:val="21"/>
                <w:lang w:val="en-US" w:eastAsia="zh-CN" w:bidi="ar"/>
              </w:rPr>
            </w:pPr>
            <w:r>
              <w:rPr>
                <w:rFonts w:hint="eastAsia" w:ascii="宋体" w:hAnsi="宋体" w:eastAsia="宋体" w:cs="宋体"/>
                <w:b w:val="0"/>
                <w:bCs w:val="0"/>
                <w:color w:val="000000"/>
                <w:kern w:val="2"/>
                <w:sz w:val="21"/>
                <w:szCs w:val="21"/>
                <w:lang w:val="en-US" w:eastAsia="zh-CN" w:bidi="ar"/>
              </w:rPr>
              <w:t>20.供应商必须有现代畜牧等课程相关课程制作经验，能保证微课视频的整体质量。</w:t>
            </w:r>
            <w:r>
              <w:rPr>
                <w:rFonts w:hint="eastAsia" w:ascii="宋体" w:hAnsi="宋体" w:eastAsia="宋体" w:cs="宋体"/>
                <w:b/>
                <w:bCs/>
                <w:color w:val="000000"/>
                <w:kern w:val="2"/>
                <w:sz w:val="21"/>
                <w:szCs w:val="21"/>
                <w:lang w:val="en-US" w:eastAsia="zh-CN" w:bidi="ar"/>
              </w:rPr>
              <w:t>（响应文件中提供相关专业相关等视频工程文件截图，不少于三个案例，每个案例截图不少于三张。）</w:t>
            </w:r>
          </w:p>
          <w:p w14:paraId="5B0F3EC5">
            <w:pPr>
              <w:pStyle w:val="4"/>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val="0"/>
                <w:bCs w:val="0"/>
                <w:color w:val="000000"/>
                <w:kern w:val="2"/>
                <w:sz w:val="21"/>
                <w:szCs w:val="21"/>
                <w:lang w:val="en-US" w:eastAsia="zh-CN" w:bidi="ar"/>
              </w:rPr>
              <w:t>21.全片设计制作应符合采购人要求，采购人有权要求修改直到满意为止。视频制作形式多样化，不能单纯采用PPT录屏的形式，需运用MG动画、实景拍摄、数字人抠像等制作形式，或者多种形式结合。</w:t>
            </w:r>
          </w:p>
        </w:tc>
        <w:tc>
          <w:tcPr>
            <w:tcW w:w="562"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1C6DAC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auto"/>
                <w:sz w:val="21"/>
                <w:szCs w:val="21"/>
                <w:lang w:bidi="ar"/>
              </w:rPr>
            </w:pPr>
            <w:r>
              <w:rPr>
                <w:rFonts w:hint="eastAsia" w:ascii="宋体" w:hAnsi="宋体" w:eastAsia="宋体" w:cs="宋体"/>
                <w:color w:val="000000"/>
                <w:sz w:val="21"/>
                <w:szCs w:val="21"/>
                <w:lang w:eastAsia="zh"/>
              </w:rPr>
              <w:t>个</w:t>
            </w:r>
          </w:p>
        </w:tc>
        <w:tc>
          <w:tcPr>
            <w:tcW w:w="450"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41BDA0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auto"/>
                <w:sz w:val="21"/>
                <w:szCs w:val="21"/>
                <w:lang w:bidi="ar"/>
              </w:rPr>
            </w:pPr>
            <w:r>
              <w:rPr>
                <w:rFonts w:hint="eastAsia" w:ascii="宋体" w:hAnsi="宋体" w:eastAsia="宋体" w:cs="宋体"/>
                <w:color w:val="000000"/>
                <w:sz w:val="21"/>
                <w:szCs w:val="21"/>
                <w:lang w:eastAsia="zh"/>
              </w:rPr>
              <w:t>12</w:t>
            </w:r>
          </w:p>
        </w:tc>
        <w:tc>
          <w:tcPr>
            <w:tcW w:w="788" w:type="dxa"/>
            <w:gridSpan w:val="2"/>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2A6825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auto"/>
                <w:sz w:val="21"/>
                <w:szCs w:val="21"/>
                <w:lang w:bidi="ar"/>
              </w:rPr>
            </w:pPr>
            <w:r>
              <w:rPr>
                <w:rFonts w:hint="eastAsia" w:ascii="宋体" w:hAnsi="宋体" w:eastAsia="宋体" w:cs="宋体"/>
                <w:color w:val="auto"/>
                <w:kern w:val="0"/>
                <w:sz w:val="21"/>
                <w:szCs w:val="21"/>
                <w:lang w:eastAsia="zh" w:bidi="zh-CN"/>
              </w:rPr>
              <w:t>4000</w:t>
            </w:r>
          </w:p>
        </w:tc>
        <w:tc>
          <w:tcPr>
            <w:tcW w:w="858"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52F48F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auto"/>
                <w:sz w:val="21"/>
                <w:szCs w:val="21"/>
                <w:lang w:bidi="ar"/>
              </w:rPr>
            </w:pPr>
            <w:r>
              <w:rPr>
                <w:rFonts w:hint="eastAsia" w:ascii="宋体" w:hAnsi="宋体" w:eastAsia="宋体" w:cs="宋体"/>
                <w:color w:val="auto"/>
                <w:kern w:val="0"/>
                <w:sz w:val="21"/>
                <w:szCs w:val="21"/>
                <w:lang w:eastAsia="zh" w:bidi="zh-CN"/>
              </w:rPr>
              <w:t>48000</w:t>
            </w:r>
          </w:p>
        </w:tc>
        <w:tc>
          <w:tcPr>
            <w:tcW w:w="1046"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5DB5701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leftChars="0" w:right="0" w:rightChars="0"/>
              <w:jc w:val="both"/>
              <w:textAlignment w:val="center"/>
              <w:rPr>
                <w:rFonts w:hint="eastAsia" w:ascii="宋体" w:hAnsi="宋体" w:eastAsia="宋体" w:cs="宋体"/>
                <w:color w:val="auto"/>
                <w:sz w:val="21"/>
                <w:szCs w:val="21"/>
                <w:lang w:bidi="ar"/>
              </w:rPr>
            </w:pPr>
          </w:p>
        </w:tc>
      </w:tr>
      <w:tr w14:paraId="67957106">
        <w:tblPrEx>
          <w:tblCellMar>
            <w:top w:w="0" w:type="dxa"/>
            <w:left w:w="0" w:type="dxa"/>
            <w:bottom w:w="0" w:type="dxa"/>
            <w:right w:w="0" w:type="dxa"/>
          </w:tblCellMar>
        </w:tblPrEx>
        <w:trPr>
          <w:trHeight w:val="6816" w:hRule="atLeast"/>
          <w:jc w:val="center"/>
        </w:trPr>
        <w:tc>
          <w:tcPr>
            <w:tcW w:w="443"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78D65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656"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1E76D7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bCs/>
                <w:strike w:val="0"/>
                <w:dstrike w:val="0"/>
                <w:color w:val="000000"/>
                <w:kern w:val="0"/>
                <w:sz w:val="21"/>
                <w:szCs w:val="21"/>
                <w:highlight w:val="none"/>
                <w:lang w:val="en-US" w:eastAsia="zh-CN"/>
              </w:rPr>
              <w:t>国际化电子课程-</w:t>
            </w:r>
            <w:r>
              <w:rPr>
                <w:rFonts w:hint="eastAsia" w:ascii="宋体" w:hAnsi="宋体" w:eastAsia="宋体" w:cs="宋体"/>
                <w:i w:val="0"/>
                <w:iCs w:val="0"/>
                <w:color w:val="000000"/>
                <w:kern w:val="2"/>
                <w:sz w:val="21"/>
                <w:szCs w:val="21"/>
              </w:rPr>
              <w:t>双语三维动画</w:t>
            </w:r>
          </w:p>
        </w:tc>
        <w:tc>
          <w:tcPr>
            <w:tcW w:w="638"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08C402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定制</w:t>
            </w:r>
          </w:p>
        </w:tc>
        <w:tc>
          <w:tcPr>
            <w:tcW w:w="4767"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0E8AF6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1.使用3Dsmax、C4D、Maya等三维动画软件制作。</w:t>
            </w:r>
          </w:p>
          <w:p w14:paraId="6336BE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2.三维模型精度高、材质数量多、精细度高；动画色彩造型应和谐，画面简洁清晰，流畅，动画节奏连续，节奏合适，帧和帧之间的关联性要强。</w:t>
            </w:r>
          </w:p>
          <w:p w14:paraId="131B44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3.动画如果有背景音乐，背景音乐音量不宜过大，音乐与内容相符。</w:t>
            </w:r>
          </w:p>
          <w:p w14:paraId="35A2F5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4.动画演播过程要流畅，静止画面时间不超过3秒钟。</w:t>
            </w:r>
          </w:p>
          <w:p w14:paraId="326A76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5.三维动画制作总时长10分钟。</w:t>
            </w:r>
          </w:p>
          <w:p w14:paraId="11E05B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6.画面包装以突出课程特点为方向使用AE特效软件进行包装加工美化，配合辅助文字、辅助线和重点提示等条充分展示课程知识点内容。</w:t>
            </w:r>
          </w:p>
          <w:p w14:paraId="3BE798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bidi="ar"/>
              </w:rPr>
              <w:t>7</w:t>
            </w:r>
            <w:r>
              <w:rPr>
                <w:rFonts w:hint="eastAsia" w:ascii="宋体" w:hAnsi="宋体" w:eastAsia="宋体" w:cs="宋体"/>
                <w:color w:val="000000"/>
                <w:sz w:val="21"/>
                <w:szCs w:val="21"/>
                <w:lang w:bidi="ar"/>
              </w:rPr>
              <w:t>.如果有解说，教师录制配音，配音应标准，无噪音，声音悦耳，音量适当，快慢适度。</w:t>
            </w:r>
          </w:p>
          <w:p w14:paraId="5C4364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bidi="ar"/>
              </w:rPr>
              <w:t>8</w:t>
            </w:r>
            <w:r>
              <w:rPr>
                <w:rFonts w:hint="eastAsia" w:ascii="宋体" w:hAnsi="宋体" w:eastAsia="宋体" w:cs="宋体"/>
                <w:color w:val="000000"/>
                <w:sz w:val="21"/>
                <w:szCs w:val="21"/>
                <w:lang w:bidi="ar"/>
              </w:rPr>
              <w:t>.动画演播过程要流畅，无交流声或其他杂音等缺陷，无明显失真、放音过冲、过弱。</w:t>
            </w:r>
          </w:p>
          <w:p w14:paraId="50DA40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bidi="ar"/>
              </w:rPr>
              <w:t>9</w:t>
            </w:r>
            <w:r>
              <w:rPr>
                <w:rFonts w:hint="eastAsia" w:ascii="宋体" w:hAnsi="宋体" w:eastAsia="宋体" w:cs="宋体"/>
                <w:color w:val="000000"/>
                <w:sz w:val="21"/>
                <w:szCs w:val="21"/>
                <w:lang w:bidi="ar"/>
              </w:rPr>
              <w:t>.动画内容符合我国法律法规，尊重各民族的风俗习惯，版权不存在争议。若其中包含少数民族或外国语言文字信息，应遵循其原内容完整性，使用原语言进行处理。有明确的版权标识信息，版权不得存在争议。</w:t>
            </w:r>
          </w:p>
          <w:p w14:paraId="40E60D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w:t>
            </w:r>
            <w:r>
              <w:rPr>
                <w:rFonts w:hint="eastAsia" w:ascii="宋体" w:hAnsi="宋体" w:eastAsia="宋体" w:cs="宋体"/>
                <w:color w:val="000000"/>
                <w:sz w:val="21"/>
                <w:szCs w:val="21"/>
                <w:lang w:val="en-US" w:eastAsia="zh-CN" w:bidi="ar"/>
              </w:rPr>
              <w:t>0</w:t>
            </w:r>
            <w:r>
              <w:rPr>
                <w:rFonts w:hint="eastAsia" w:ascii="宋体" w:hAnsi="宋体" w:eastAsia="宋体" w:cs="宋体"/>
                <w:color w:val="000000"/>
                <w:sz w:val="21"/>
                <w:szCs w:val="21"/>
                <w:lang w:bidi="ar"/>
              </w:rPr>
              <w:t>.存储格式采用mp4存储格式。</w:t>
            </w:r>
          </w:p>
          <w:p w14:paraId="0792E0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w:t>
            </w:r>
            <w:r>
              <w:rPr>
                <w:rFonts w:hint="eastAsia" w:ascii="宋体" w:hAnsi="宋体" w:eastAsia="宋体" w:cs="宋体"/>
                <w:color w:val="000000"/>
                <w:sz w:val="21"/>
                <w:szCs w:val="21"/>
                <w:lang w:val="en-US" w:eastAsia="zh-CN" w:bidi="ar"/>
              </w:rPr>
              <w:t>1</w:t>
            </w:r>
            <w:r>
              <w:rPr>
                <w:rFonts w:hint="eastAsia" w:ascii="宋体" w:hAnsi="宋体" w:eastAsia="宋体" w:cs="宋体"/>
                <w:color w:val="000000"/>
                <w:sz w:val="21"/>
                <w:szCs w:val="21"/>
                <w:lang w:bidi="ar"/>
              </w:rPr>
              <w:t>.将该课程内的动画翻译成英文，具体内容包括：</w:t>
            </w:r>
          </w:p>
          <w:p w14:paraId="234CAE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（1）动画唱词字幕中英翻译服务；</w:t>
            </w:r>
          </w:p>
          <w:p w14:paraId="1159AE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（2）动画视频画面中中出现的中文标题、中文内容、标注等翻译为英文。</w:t>
            </w:r>
          </w:p>
          <w:p w14:paraId="6C1349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翻译要求：</w:t>
            </w:r>
          </w:p>
          <w:p w14:paraId="6B4567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（1）全文人工翻译，翻译内容自然流畅、语法准确；</w:t>
            </w:r>
          </w:p>
          <w:p w14:paraId="6FC8D1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（2）专业词语需严谨，充分考虑语言结构特点和语言语境，确保英文翻译用词恰当、语法正确、语句通顺、翻译内容与中文内容一致；</w:t>
            </w:r>
          </w:p>
          <w:p w14:paraId="7E9F49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（3）翻译时要站在正确的政治立场，表明正确观点，不可犯原则性错误，深刻理解原文中心思想及内容，准确表达原文意图，正确翻译专业词汇。</w:t>
            </w:r>
          </w:p>
          <w:p w14:paraId="5F5133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（4）翻译质量符合中国国家标准(GB/T19363.1-2003，翻译服务规范：笔译翻译)</w:t>
            </w:r>
          </w:p>
          <w:p w14:paraId="1CCCBA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color w:val="auto"/>
                <w:sz w:val="21"/>
                <w:szCs w:val="21"/>
                <w:lang w:bidi="ar"/>
              </w:rPr>
            </w:pPr>
            <w:r>
              <w:rPr>
                <w:rFonts w:hint="eastAsia" w:ascii="宋体" w:hAnsi="宋体" w:eastAsia="宋体" w:cs="宋体"/>
                <w:color w:val="000000"/>
                <w:sz w:val="21"/>
                <w:szCs w:val="21"/>
                <w:lang w:bidi="ar"/>
              </w:rPr>
              <w:t>（5）因翻译内容的专业性和复杂性，有具备英语二级笔译证书（中华人民共和国人力资源和社会保障部）的专业英语翻译人员全程参与到项目整个的翻译工作中。</w:t>
            </w:r>
          </w:p>
          <w:p w14:paraId="09B55C46">
            <w:pPr>
              <w:pStyle w:val="20"/>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12.响应供应商三维动画设计师具有三年以上三维动画制作经验，能跟教师进行一对一服务。</w:t>
            </w:r>
            <w:r>
              <w:rPr>
                <w:rFonts w:hint="eastAsia" w:ascii="宋体" w:hAnsi="宋体" w:eastAsia="宋体" w:cs="宋体"/>
                <w:b/>
                <w:bCs/>
                <w:color w:val="auto"/>
                <w:kern w:val="2"/>
                <w:sz w:val="21"/>
                <w:szCs w:val="21"/>
                <w:lang w:val="en-US" w:eastAsia="zh-CN" w:bidi="ar"/>
              </w:rPr>
              <w:t>（提供三维动画设计师</w:t>
            </w:r>
            <w:r>
              <w:rPr>
                <w:rFonts w:hint="eastAsia" w:ascii="宋体" w:hAnsi="宋体" w:cs="宋体"/>
                <w:b/>
                <w:bCs/>
                <w:color w:val="auto"/>
                <w:kern w:val="2"/>
                <w:sz w:val="21"/>
                <w:szCs w:val="21"/>
                <w:lang w:val="en-US" w:eastAsia="zh-CN" w:bidi="ar"/>
              </w:rPr>
              <w:t>具备</w:t>
            </w:r>
            <w:r>
              <w:rPr>
                <w:rFonts w:hint="eastAsia" w:ascii="宋体" w:hAnsi="宋体" w:eastAsia="宋体" w:cs="宋体"/>
                <w:b/>
                <w:bCs/>
                <w:color w:val="auto"/>
                <w:kern w:val="2"/>
                <w:sz w:val="21"/>
                <w:szCs w:val="21"/>
                <w:lang w:val="en-US" w:eastAsia="zh-CN" w:bidi="ar"/>
              </w:rPr>
              <w:t>三年以上三维动画制作经验相关证明材料</w:t>
            </w:r>
            <w:r>
              <w:rPr>
                <w:rFonts w:hint="eastAsia" w:ascii="宋体" w:hAnsi="宋体" w:cs="宋体"/>
                <w:b/>
                <w:bCs/>
                <w:color w:val="auto"/>
                <w:kern w:val="2"/>
                <w:sz w:val="21"/>
                <w:szCs w:val="21"/>
                <w:lang w:val="en-US" w:eastAsia="zh-CN" w:bidi="ar"/>
              </w:rPr>
              <w:t>。如，三年及以上项目设计合同、业主证明或设计成果文件等</w:t>
            </w:r>
            <w:r>
              <w:rPr>
                <w:rFonts w:hint="eastAsia" w:ascii="宋体" w:hAnsi="宋体" w:eastAsia="宋体" w:cs="宋体"/>
                <w:b/>
                <w:bCs/>
                <w:color w:val="auto"/>
                <w:kern w:val="2"/>
                <w:sz w:val="21"/>
                <w:szCs w:val="21"/>
                <w:lang w:val="en-US" w:eastAsia="zh-CN" w:bidi="ar"/>
              </w:rPr>
              <w:t>）</w:t>
            </w:r>
          </w:p>
          <w:p w14:paraId="779DD61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rPr>
                <w:rFonts w:hint="eastAsia" w:ascii="宋体" w:hAnsi="宋体" w:eastAsia="宋体" w:cs="宋体"/>
                <w:color w:val="0000FF"/>
                <w:kern w:val="2"/>
                <w:sz w:val="21"/>
                <w:szCs w:val="21"/>
                <w:lang w:val="en-US" w:eastAsia="zh-CN" w:bidi="ar"/>
              </w:rPr>
            </w:pPr>
            <w:r>
              <w:rPr>
                <w:rFonts w:hint="eastAsia" w:ascii="宋体" w:hAnsi="宋体" w:eastAsia="宋体" w:cs="宋体"/>
                <w:color w:val="auto"/>
                <w:kern w:val="2"/>
                <w:sz w:val="21"/>
                <w:szCs w:val="21"/>
                <w:lang w:val="en-US" w:eastAsia="zh-CN" w:bidi="ar"/>
              </w:rPr>
              <w:t>13.项目总负责人必须为供应商正式员工，且承诺具备相关类型项目的统筹管理经验,熟</w:t>
            </w:r>
            <w:r>
              <w:rPr>
                <w:rFonts w:hint="eastAsia" w:ascii="宋体" w:hAnsi="宋体" w:eastAsia="宋体" w:cs="宋体"/>
                <w:color w:val="000000"/>
                <w:kern w:val="2"/>
                <w:sz w:val="21"/>
                <w:szCs w:val="21"/>
                <w:lang w:val="en-US" w:eastAsia="zh-CN" w:bidi="ar"/>
              </w:rPr>
              <w:t>悉相关制作流程以及制作流程的各个注意事项，能够指导教师在各个环节进行统筹跟进，因项目经理无经验或经验不足，导致教师无法按时完成任务的，由供应商负责赔偿。</w:t>
            </w:r>
            <w:r>
              <w:rPr>
                <w:rFonts w:hint="eastAsia" w:ascii="宋体" w:hAnsi="宋体" w:eastAsia="宋体" w:cs="宋体"/>
                <w:b/>
                <w:bCs/>
                <w:color w:val="000000"/>
                <w:kern w:val="2"/>
                <w:sz w:val="21"/>
                <w:szCs w:val="21"/>
                <w:lang w:val="en-US" w:eastAsia="zh-CN" w:bidi="ar"/>
              </w:rPr>
              <w:t>（提供项目总负责人劳动合同或社保证明材料扫描件加盖电子公章）</w:t>
            </w:r>
          </w:p>
          <w:p w14:paraId="7459A718">
            <w:pPr>
              <w:keepNext/>
              <w:keepLines/>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lang w:val="en-US" w:eastAsia="zh-CN" w:bidi="ar"/>
              </w:rPr>
              <w:t>14.供应商有往年三维模型建模的经验，提供案例图片作为证明材料。</w:t>
            </w:r>
            <w:r>
              <w:rPr>
                <w:rFonts w:hint="eastAsia" w:ascii="宋体" w:hAnsi="宋体" w:eastAsia="宋体" w:cs="宋体"/>
                <w:b/>
                <w:bCs/>
                <w:color w:val="000000"/>
                <w:kern w:val="2"/>
                <w:sz w:val="21"/>
                <w:szCs w:val="21"/>
                <w:lang w:val="en-US" w:eastAsia="zh-CN" w:bidi="ar"/>
              </w:rPr>
              <w:t>（响应文件中提供视频案例）</w:t>
            </w:r>
          </w:p>
        </w:tc>
        <w:tc>
          <w:tcPr>
            <w:tcW w:w="562"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22AAD5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auto"/>
                <w:sz w:val="21"/>
                <w:szCs w:val="21"/>
              </w:rPr>
            </w:pPr>
            <w:r>
              <w:rPr>
                <w:rFonts w:hint="eastAsia" w:ascii="宋体" w:hAnsi="宋体" w:eastAsia="宋体" w:cs="宋体"/>
                <w:color w:val="000000"/>
                <w:sz w:val="21"/>
                <w:szCs w:val="21"/>
                <w:lang w:eastAsia="zh"/>
              </w:rPr>
              <w:t>分钟</w:t>
            </w:r>
          </w:p>
        </w:tc>
        <w:tc>
          <w:tcPr>
            <w:tcW w:w="450"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519722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auto"/>
                <w:sz w:val="21"/>
                <w:szCs w:val="21"/>
              </w:rPr>
            </w:pPr>
            <w:r>
              <w:rPr>
                <w:rFonts w:hint="eastAsia" w:ascii="宋体" w:hAnsi="宋体" w:eastAsia="宋体" w:cs="宋体"/>
                <w:color w:val="000000"/>
                <w:sz w:val="21"/>
                <w:szCs w:val="21"/>
                <w:lang w:eastAsia="zh"/>
              </w:rPr>
              <w:t>10</w:t>
            </w:r>
          </w:p>
        </w:tc>
        <w:tc>
          <w:tcPr>
            <w:tcW w:w="788" w:type="dxa"/>
            <w:gridSpan w:val="2"/>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5BD354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eastAsia="zh" w:bidi="zh-CN"/>
              </w:rPr>
              <w:t>6200</w:t>
            </w:r>
          </w:p>
        </w:tc>
        <w:tc>
          <w:tcPr>
            <w:tcW w:w="858"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161EC8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eastAsia="zh" w:bidi="zh-CN"/>
              </w:rPr>
              <w:t>62000</w:t>
            </w:r>
          </w:p>
        </w:tc>
        <w:tc>
          <w:tcPr>
            <w:tcW w:w="1046"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6E8C9E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auto"/>
                <w:sz w:val="21"/>
                <w:szCs w:val="21"/>
              </w:rPr>
            </w:pPr>
          </w:p>
        </w:tc>
      </w:tr>
      <w:tr w14:paraId="5B95C1C2">
        <w:tblPrEx>
          <w:tblCellMar>
            <w:top w:w="0" w:type="dxa"/>
            <w:left w:w="0" w:type="dxa"/>
            <w:bottom w:w="0" w:type="dxa"/>
            <w:right w:w="0" w:type="dxa"/>
          </w:tblCellMar>
        </w:tblPrEx>
        <w:trPr>
          <w:trHeight w:val="0" w:hRule="atLeast"/>
          <w:jc w:val="center"/>
        </w:trPr>
        <w:tc>
          <w:tcPr>
            <w:tcW w:w="443"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3D02F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w:t>
            </w:r>
          </w:p>
        </w:tc>
        <w:tc>
          <w:tcPr>
            <w:tcW w:w="656"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25857C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bCs/>
                <w:strike w:val="0"/>
                <w:dstrike w:val="0"/>
                <w:color w:val="000000"/>
                <w:kern w:val="0"/>
                <w:sz w:val="21"/>
                <w:szCs w:val="21"/>
                <w:highlight w:val="none"/>
                <w:lang w:val="en-US" w:eastAsia="zh-CN"/>
              </w:rPr>
              <w:t>国际化培训资源包-</w:t>
            </w:r>
            <w:r>
              <w:rPr>
                <w:rFonts w:hint="eastAsia" w:ascii="宋体" w:hAnsi="宋体" w:eastAsia="宋体" w:cs="宋体"/>
                <w:color w:val="000000"/>
                <w:kern w:val="2"/>
                <w:sz w:val="21"/>
                <w:szCs w:val="21"/>
                <w:lang w:val="en-US" w:eastAsia="zh-CN" w:bidi="ar"/>
              </w:rPr>
              <w:t>《</w:t>
            </w:r>
            <w:r>
              <w:rPr>
                <w:rFonts w:hint="eastAsia" w:ascii="宋体" w:hAnsi="宋体" w:eastAsia="宋体" w:cs="宋体"/>
                <w:color w:val="000000"/>
                <w:kern w:val="2"/>
                <w:sz w:val="21"/>
                <w:szCs w:val="21"/>
                <w:lang w:val="en-US" w:eastAsia="zh" w:bidi="ar"/>
              </w:rPr>
              <w:t>猪生产技术</w:t>
            </w:r>
            <w:r>
              <w:rPr>
                <w:rFonts w:hint="eastAsia" w:ascii="宋体" w:hAnsi="宋体" w:eastAsia="宋体" w:cs="宋体"/>
                <w:color w:val="000000"/>
                <w:kern w:val="2"/>
                <w:sz w:val="21"/>
                <w:szCs w:val="21"/>
                <w:lang w:val="en-US" w:eastAsia="zh-CN" w:bidi="ar"/>
              </w:rPr>
              <w:t>》</w:t>
            </w:r>
            <w:r>
              <w:rPr>
                <w:rFonts w:hint="eastAsia" w:ascii="宋体" w:hAnsi="宋体" w:eastAsia="宋体" w:cs="宋体"/>
                <w:kern w:val="2"/>
                <w:sz w:val="21"/>
                <w:szCs w:val="21"/>
                <w:lang w:val="en-US" w:eastAsia="zh-CN" w:bidi="ar"/>
              </w:rPr>
              <w:t>双语微课</w:t>
            </w:r>
          </w:p>
        </w:tc>
        <w:tc>
          <w:tcPr>
            <w:tcW w:w="638"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15E6B6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定制</w:t>
            </w:r>
          </w:p>
        </w:tc>
        <w:tc>
          <w:tcPr>
            <w:tcW w:w="4767"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437C4ED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rPr>
            </w:pPr>
            <w:r>
              <w:rPr>
                <w:rFonts w:hint="eastAsia" w:ascii="宋体" w:hAnsi="宋体" w:eastAsia="宋体" w:cs="宋体"/>
                <w:sz w:val="21"/>
                <w:szCs w:val="21"/>
              </w:rPr>
              <w:t>（一）项目建设内容</w:t>
            </w:r>
          </w:p>
          <w:p w14:paraId="2BE96F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教学资源</w:t>
            </w:r>
          </w:p>
          <w:p w14:paraId="07AB4B1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猪生产技术</w:t>
            </w:r>
            <w:r>
              <w:rPr>
                <w:rFonts w:hint="eastAsia" w:ascii="宋体" w:hAnsi="宋体" w:eastAsia="宋体" w:cs="宋体"/>
                <w:color w:val="000000"/>
                <w:sz w:val="21"/>
                <w:szCs w:val="21"/>
              </w:rPr>
              <w:t>》</w:t>
            </w:r>
            <w:r>
              <w:rPr>
                <w:rFonts w:hint="eastAsia" w:ascii="宋体" w:hAnsi="宋体" w:eastAsia="宋体" w:cs="宋体"/>
                <w:sz w:val="21"/>
                <w:szCs w:val="21"/>
                <w:lang w:val="en-US" w:eastAsia="zh-CN"/>
              </w:rPr>
              <w:t>国际化中英文双语</w:t>
            </w:r>
            <w:r>
              <w:rPr>
                <w:rFonts w:hint="eastAsia" w:ascii="宋体" w:hAnsi="宋体" w:eastAsia="宋体" w:cs="宋体"/>
                <w:sz w:val="21"/>
                <w:szCs w:val="21"/>
              </w:rPr>
              <w:t>微课视频数量</w:t>
            </w:r>
            <w:r>
              <w:rPr>
                <w:rFonts w:hint="eastAsia" w:ascii="宋体" w:hAnsi="宋体" w:eastAsia="宋体" w:cs="宋体"/>
                <w:sz w:val="21"/>
                <w:szCs w:val="21"/>
                <w:lang w:val="en-US" w:eastAsia="zh-CN"/>
              </w:rPr>
              <w:t>9</w:t>
            </w:r>
            <w:r>
              <w:rPr>
                <w:rFonts w:hint="eastAsia" w:ascii="宋体" w:hAnsi="宋体" w:eastAsia="宋体" w:cs="宋体"/>
                <w:sz w:val="21"/>
                <w:szCs w:val="21"/>
              </w:rPr>
              <w:t>个。</w:t>
            </w:r>
          </w:p>
          <w:p w14:paraId="09E816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rPr>
            </w:pPr>
            <w:r>
              <w:rPr>
                <w:rFonts w:hint="eastAsia" w:ascii="宋体" w:hAnsi="宋体" w:eastAsia="宋体" w:cs="宋体"/>
                <w:sz w:val="21"/>
                <w:szCs w:val="21"/>
              </w:rPr>
              <w:t>（2）单个视频时长范围为</w:t>
            </w:r>
            <w:r>
              <w:rPr>
                <w:rFonts w:hint="eastAsia" w:ascii="宋体" w:hAnsi="宋体" w:eastAsia="宋体" w:cs="宋体"/>
                <w:sz w:val="21"/>
                <w:szCs w:val="21"/>
                <w:lang w:val="en-US" w:eastAsia="zh-CN"/>
              </w:rPr>
              <w:t>5</w:t>
            </w:r>
            <w:r>
              <w:rPr>
                <w:rFonts w:hint="eastAsia" w:ascii="宋体" w:hAnsi="宋体" w:eastAsia="宋体" w:cs="宋体"/>
                <w:sz w:val="21"/>
                <w:szCs w:val="21"/>
              </w:rPr>
              <w:t>-8分钟 ，视频时长根据知识点的需要设计。</w:t>
            </w:r>
          </w:p>
          <w:p w14:paraId="4B438D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rPr>
            </w:pPr>
            <w:r>
              <w:rPr>
                <w:rFonts w:hint="eastAsia" w:ascii="宋体" w:hAnsi="宋体" w:eastAsia="宋体" w:cs="宋体"/>
                <w:sz w:val="21"/>
                <w:szCs w:val="21"/>
              </w:rPr>
              <w:t>（3）精品动画型微课需要按照影视片制作流程进行，需使用影视专业工具AE进行制作，具体实施按照基本元件制作，元件入库，动画，特效，渲染的步骤进行，验收时需要提供AE导出动画原始工程文件进行存档，每个视频二维动画时长</w:t>
            </w:r>
            <w:r>
              <w:rPr>
                <w:rFonts w:hint="eastAsia" w:ascii="宋体" w:hAnsi="宋体" w:eastAsia="宋体" w:cs="宋体"/>
                <w:sz w:val="21"/>
                <w:szCs w:val="21"/>
                <w:lang w:val="en-US" w:eastAsia="zh-CN"/>
              </w:rPr>
              <w:t>4</w:t>
            </w:r>
            <w:r>
              <w:rPr>
                <w:rFonts w:hint="eastAsia" w:ascii="宋体" w:hAnsi="宋体" w:eastAsia="宋体" w:cs="宋体"/>
                <w:sz w:val="21"/>
                <w:szCs w:val="21"/>
              </w:rPr>
              <w:t>分钟以内。</w:t>
            </w:r>
          </w:p>
          <w:p w14:paraId="5ECBA6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rPr>
            </w:pPr>
            <w:r>
              <w:rPr>
                <w:rFonts w:hint="eastAsia" w:ascii="宋体" w:hAnsi="宋体" w:eastAsia="宋体" w:cs="宋体"/>
                <w:sz w:val="21"/>
                <w:szCs w:val="21"/>
              </w:rPr>
              <w:t>（4）所有的视频资源 ，不得出现有不良的政治倾向的内容或资源；不得出现有损害国家主权、祖国统一和民族团结的内容或资源；不得有宣传或宣扬宗教思想的内容或源；不得有违反</w:t>
            </w:r>
            <w:r>
              <w:rPr>
                <w:rFonts w:hint="eastAsia" w:ascii="宋体" w:hAnsi="宋体" w:eastAsia="宋体" w:cs="宋体"/>
                <w:sz w:val="21"/>
                <w:szCs w:val="21"/>
                <w:lang w:val="en-US" w:eastAsia="zh-CN"/>
              </w:rPr>
              <w:t>正确（或积极）的</w:t>
            </w:r>
            <w:r>
              <w:rPr>
                <w:rFonts w:hint="eastAsia" w:ascii="宋体" w:hAnsi="宋体" w:eastAsia="宋体" w:cs="宋体"/>
                <w:sz w:val="21"/>
                <w:szCs w:val="21"/>
              </w:rPr>
              <w:t>意识形态工作要求的相关内容或资源。</w:t>
            </w:r>
          </w:p>
          <w:p w14:paraId="0D0CDC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课程宣传片</w:t>
            </w:r>
          </w:p>
          <w:p w14:paraId="4D958C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rPr>
            </w:pPr>
            <w:r>
              <w:rPr>
                <w:rFonts w:hint="eastAsia" w:ascii="宋体" w:hAnsi="宋体" w:eastAsia="宋体" w:cs="宋体"/>
                <w:sz w:val="21"/>
                <w:szCs w:val="21"/>
              </w:rPr>
              <w:t>根据要求制作片长3分钟以内的课程宣传视频，包含的元素有：教师团队介绍、教学目标、内容简介、课程特色等。</w:t>
            </w:r>
          </w:p>
          <w:p w14:paraId="096A71C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双语翻译要求</w:t>
            </w:r>
          </w:p>
          <w:p w14:paraId="7EAA5FC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猪生产技术</w:t>
            </w:r>
            <w:r>
              <w:rPr>
                <w:rFonts w:hint="eastAsia" w:ascii="宋体" w:hAnsi="宋体" w:eastAsia="宋体" w:cs="宋体"/>
                <w:color w:val="000000"/>
                <w:sz w:val="21"/>
                <w:szCs w:val="21"/>
              </w:rPr>
              <w:t>》</w:t>
            </w:r>
            <w:r>
              <w:rPr>
                <w:rFonts w:hint="eastAsia" w:ascii="宋体" w:hAnsi="宋体" w:eastAsia="宋体" w:cs="宋体"/>
                <w:sz w:val="21"/>
                <w:szCs w:val="21"/>
              </w:rPr>
              <w:t>课程内容（包括视频讲稿、视频画面内容、视频声画（引用的新闻、宣传片、电影片段等）、图片内文字等）对照进行专业英文翻译，并提供课程内容的听录及抄录服务。</w:t>
            </w:r>
          </w:p>
          <w:p w14:paraId="779752A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rPr>
            </w:pPr>
            <w:r>
              <w:rPr>
                <w:rFonts w:hint="eastAsia" w:ascii="宋体" w:hAnsi="宋体" w:eastAsia="宋体" w:cs="宋体"/>
                <w:sz w:val="21"/>
                <w:szCs w:val="21"/>
              </w:rPr>
              <w:t>（2）中英文实时字幕同步插入，并提供字幕压制，要求字体符合国家标准的规范；以及提供双语背景音乐等后期服务。</w:t>
            </w:r>
          </w:p>
          <w:p w14:paraId="651C98D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rPr>
            </w:pPr>
            <w:r>
              <w:rPr>
                <w:rFonts w:hint="eastAsia" w:ascii="宋体" w:hAnsi="宋体" w:eastAsia="宋体" w:cs="宋体"/>
                <w:sz w:val="21"/>
                <w:szCs w:val="21"/>
              </w:rPr>
              <w:t>（3）需提供</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猪生产技术</w:t>
            </w:r>
            <w:r>
              <w:rPr>
                <w:rFonts w:hint="eastAsia" w:ascii="宋体" w:hAnsi="宋体" w:eastAsia="宋体" w:cs="宋体"/>
                <w:color w:val="000000"/>
                <w:sz w:val="21"/>
                <w:szCs w:val="21"/>
              </w:rPr>
              <w:t>》</w:t>
            </w:r>
            <w:r>
              <w:rPr>
                <w:rFonts w:hint="eastAsia" w:ascii="宋体" w:hAnsi="宋体" w:eastAsia="宋体" w:cs="宋体"/>
                <w:sz w:val="21"/>
                <w:szCs w:val="21"/>
              </w:rPr>
              <w:t>课程的测试题库等教学相关材料翻译，要求中英对照翻译，课程字数不低于</w:t>
            </w:r>
            <w:r>
              <w:rPr>
                <w:rFonts w:hint="eastAsia" w:ascii="宋体" w:hAnsi="宋体" w:eastAsia="宋体" w:cs="宋体"/>
                <w:sz w:val="21"/>
                <w:szCs w:val="21"/>
                <w:lang w:val="en-US" w:eastAsia="zh-CN"/>
              </w:rPr>
              <w:t>13</w:t>
            </w:r>
            <w:r>
              <w:rPr>
                <w:rFonts w:hint="eastAsia" w:ascii="宋体" w:hAnsi="宋体" w:eastAsia="宋体" w:cs="宋体"/>
                <w:sz w:val="21"/>
                <w:szCs w:val="21"/>
              </w:rPr>
              <w:t>000字（不超过</w:t>
            </w:r>
            <w:r>
              <w:rPr>
                <w:rFonts w:hint="eastAsia" w:ascii="宋体" w:hAnsi="宋体" w:eastAsia="宋体" w:cs="宋体"/>
                <w:sz w:val="21"/>
                <w:szCs w:val="21"/>
                <w:lang w:val="en-US" w:eastAsia="zh-CN"/>
              </w:rPr>
              <w:t>16</w:t>
            </w:r>
            <w:r>
              <w:rPr>
                <w:rFonts w:hint="eastAsia" w:ascii="宋体" w:hAnsi="宋体" w:eastAsia="宋体" w:cs="宋体"/>
                <w:sz w:val="21"/>
                <w:szCs w:val="21"/>
              </w:rPr>
              <w:t>000字）（不计空格）。</w:t>
            </w:r>
          </w:p>
          <w:p w14:paraId="61D06B9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（二）课程制作团队要求</w:t>
            </w:r>
          </w:p>
          <w:p w14:paraId="6AF169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1.课程制作团队配套包含有课程经理、编导、教学设计顾问各一名以及摄像团队四名、后期团队不少于10名，保证团队构成稳定，签订合同前需要到现场进行勘查。</w:t>
            </w:r>
          </w:p>
          <w:p w14:paraId="25744F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2、课程制作团队具有丰富专业在线课程设计与实施经验，并且具有丰富的课程拍摄经验，教学设计顾问具备教学设计指导人员（硕士以上学历，高等教育学、教育技术学等方向高教相关专业背景，并且有2个以上成功案例）可提供教学设计指导应与每门课程的教学团队进行深度沟通，提供一对一个性化的设计和咨询服务。 </w:t>
            </w:r>
          </w:p>
          <w:p w14:paraId="69FA1A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3.教学仪态设计：为教师提供教师形象、教学动作、教学语言等咨询与建议，辅导老师适应镜头，辅导老师进行着装选择。</w:t>
            </w:r>
          </w:p>
          <w:p w14:paraId="2DA86F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4.专人协助教师搜集各类课程资料和辅助资源，包括图片、视频、文档等。指导老师编写拍摄脚本或课程讲稿。</w:t>
            </w:r>
          </w:p>
          <w:p w14:paraId="537C1EF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5.根据课程需要，完成多种拍摄场地的教学场景设计及布景。</w:t>
            </w:r>
          </w:p>
          <w:p w14:paraId="0F76A4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6.课程制作团队与教学团队充分沟通并制定完善的课程拍摄计划。</w:t>
            </w:r>
          </w:p>
          <w:p w14:paraId="4257131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7.根据拍摄计划，按照不同的场景、要求，进行前期准备，配合教学团队进行特殊拍摄需求的准备，和教学团队确定准备材料。与教学团队沟通说明拍摄要求，并协助提供着装意见。</w:t>
            </w:r>
          </w:p>
          <w:p w14:paraId="7D50700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8.课程制作团队必须有专业的配套虚拟演播室，设计拍摄场景并安排布景和调试灯光。</w:t>
            </w:r>
            <w:r>
              <w:rPr>
                <w:rFonts w:hint="eastAsia" w:ascii="宋体" w:hAnsi="宋体" w:eastAsia="宋体" w:cs="宋体"/>
                <w:b/>
                <w:bCs/>
                <w:color w:val="auto"/>
                <w:sz w:val="21"/>
                <w:szCs w:val="21"/>
                <w:lang w:val="en-US" w:eastAsia="zh-CN"/>
              </w:rPr>
              <w:t>（响应文件需提供录播室场景图照片）</w:t>
            </w:r>
          </w:p>
          <w:p w14:paraId="7F3D42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（三）课程设计服务</w:t>
            </w:r>
          </w:p>
          <w:p w14:paraId="094CAE4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课程设计：课程制作团队教学设计顾问“一对一”与老师进行课程结构的设计研讨，为老师提供课程碎片化、模块化、系统化的设计指导，指导课程学时安排、章节结构、教学大纲、知识点、教学重点、教学课件、具体的拍摄单元等内容，形成各种工作表单和课程资源体系。</w:t>
            </w:r>
          </w:p>
          <w:p w14:paraId="1453F1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教学方法设计：根据精品在线开放课程的特点，指导老师进行适合课程的教学设计，包括教学目标设计、教学结构设计、教学内容设计、教学评价设计、学习支持服务设计，达到国家级精品在线开放课程的标准。</w:t>
            </w:r>
          </w:p>
          <w:p w14:paraId="430AEC1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教学目标设计：供应商提供相关教育学专业思路设计分层教学目标阐述要求规范</w:t>
            </w:r>
          </w:p>
          <w:p w14:paraId="40142BA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教学结构设计：供应商辅助老师进行相关教育学思维逻辑并根据教材与互联网材料重构课程内容体系，达到课程高阶性、创新性、挑战度的金课标准。</w:t>
            </w:r>
          </w:p>
          <w:p w14:paraId="6C3BE5C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教学内容设计：供应商协助老师进行内容碎片化梳理，要求能改稿、能对知识内容逻辑关系提出建议，并且针对内容进行可视化动画形式呈现。</w:t>
            </w:r>
          </w:p>
          <w:p w14:paraId="21E8E94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教学评价设计：辅助老师对应教学目标针对内容设计单元测试和单元作业，课程期末针对内容进行科学的设计考试。</w:t>
            </w:r>
          </w:p>
          <w:p w14:paraId="3FE0F1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3.学习支持服务设计：</w:t>
            </w:r>
          </w:p>
          <w:p w14:paraId="74A474E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（1）供应商负责发布信息订阅及相关邮件短信，学生选课课程后，课程的相关信息会主动推送给学生，这些信息包括主题讨论的回帖，作业提交，课件发布，考试时间等各类教学提醒。</w:t>
            </w:r>
          </w:p>
          <w:p w14:paraId="62B5333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（2）供应商协助老师课程开放期间论坛的设计与维护，设计相关的管理制度鼓励学生参与线上活动。</w:t>
            </w:r>
          </w:p>
          <w:p w14:paraId="32505FA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（四）制作方式和制作标准</w:t>
            </w:r>
          </w:p>
          <w:p w14:paraId="71EBD2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1.课程资源要求</w:t>
            </w:r>
          </w:p>
          <w:p w14:paraId="165C01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视频制作模式：后期动画软件（FLASH、MAYA、3DMAX、After Effects、Element 3D、Illustrator、Premiere Pro、Cinema 4D、EPhotoshop等）、视频制作软件等多媒体软件制作 </w:t>
            </w:r>
          </w:p>
          <w:p w14:paraId="2C84A75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2.教学视频制作标准</w:t>
            </w:r>
          </w:p>
          <w:p w14:paraId="19968AE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2.1视频资源总体要求 </w:t>
            </w:r>
          </w:p>
          <w:p w14:paraId="276D44A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（1）稳定性：全片图像同步性能稳定，无失步现象，CTL 同步控制信号必须连续：图像无抖动跳跃，色彩无突变，编辑点处图像稳定。 </w:t>
            </w:r>
          </w:p>
          <w:p w14:paraId="6F0D631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（2）信噪比：图像信噪比不低于55dB，无明显杂波。 </w:t>
            </w:r>
          </w:p>
          <w:p w14:paraId="29185C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（3）色调：色彩搭配正确，无明显偏色，多镜头转场衔接处无明显色差。 </w:t>
            </w:r>
          </w:p>
          <w:p w14:paraId="0B1BDFD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（4）视频电平：视频全讯号幅度为 1Ⅴp-p，最大不超过 1.1Ⅴp-p。其中，消隐电平为 0V 时，白电平幅度 0.7Ⅴp-p，同步信号-0.3V，色同步信号幅度 0.3V p-p (以消隐线上下对称)，全片一致。 </w:t>
            </w:r>
          </w:p>
          <w:p w14:paraId="1991DC3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2.2音频信号源总体要求 </w:t>
            </w:r>
          </w:p>
          <w:p w14:paraId="7D3898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（1）声道：中文内容音频信号记录于第 1 声道，音乐、音效、同期声记录于第 2 声道，若有其他文字解说记录于第 3 声道（如录音设备无第 3 声道,则录于第 2声道）。 </w:t>
            </w:r>
          </w:p>
          <w:p w14:paraId="149E93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（2）电平指标：-2db — -8db 声音应无明显失真、放音过冲、过弱。 </w:t>
            </w:r>
          </w:p>
          <w:p w14:paraId="288C39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sz w:val="21"/>
                <w:szCs w:val="21"/>
                <w:lang w:val="en-US" w:eastAsia="zh-CN"/>
              </w:rPr>
              <w:t xml:space="preserve">（3）音频信噪比不低于 48db。 </w:t>
            </w:r>
          </w:p>
        </w:tc>
        <w:tc>
          <w:tcPr>
            <w:tcW w:w="562"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101F6E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rPr>
                <w:rFonts w:hint="eastAsia" w:ascii="宋体" w:hAnsi="宋体" w:eastAsia="宋体" w:cs="宋体"/>
                <w:color w:val="auto"/>
                <w:sz w:val="21"/>
                <w:szCs w:val="21"/>
                <w:lang w:val="en-US" w:eastAsia="zh-CN"/>
              </w:rPr>
            </w:pPr>
            <w:r>
              <w:rPr>
                <w:rFonts w:hint="eastAsia" w:ascii="宋体" w:hAnsi="宋体" w:eastAsia="宋体" w:cs="宋体"/>
                <w:color w:val="000000"/>
                <w:kern w:val="2"/>
                <w:sz w:val="21"/>
                <w:szCs w:val="21"/>
                <w:lang w:val="en-US" w:eastAsia="zh-CN" w:bidi="ar-SA"/>
              </w:rPr>
              <w:t>项</w:t>
            </w:r>
          </w:p>
        </w:tc>
        <w:tc>
          <w:tcPr>
            <w:tcW w:w="450"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716ED0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2"/>
                <w:sz w:val="21"/>
                <w:szCs w:val="21"/>
                <w:u w:val="none"/>
                <w:lang w:val="en-US" w:eastAsia="zh-CN" w:bidi="ar-SA"/>
              </w:rPr>
              <w:t>1</w:t>
            </w:r>
          </w:p>
        </w:tc>
        <w:tc>
          <w:tcPr>
            <w:tcW w:w="788" w:type="dxa"/>
            <w:gridSpan w:val="2"/>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46126C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auto"/>
                <w:kern w:val="2"/>
                <w:sz w:val="21"/>
                <w:szCs w:val="21"/>
                <w:u w:val="none"/>
                <w:lang w:val="en-US" w:eastAsia="zh-CN" w:bidi="ar-SA"/>
              </w:rPr>
              <w:t>45000</w:t>
            </w:r>
          </w:p>
        </w:tc>
        <w:tc>
          <w:tcPr>
            <w:tcW w:w="858"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5FE137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auto"/>
                <w:kern w:val="2"/>
                <w:sz w:val="21"/>
                <w:szCs w:val="21"/>
                <w:u w:val="none"/>
                <w:lang w:val="en-US" w:eastAsia="zh-CN" w:bidi="ar-SA"/>
              </w:rPr>
              <w:t>45000</w:t>
            </w:r>
          </w:p>
        </w:tc>
        <w:tc>
          <w:tcPr>
            <w:tcW w:w="1046"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1959BF6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leftChars="0" w:right="0" w:rightChars="0"/>
              <w:jc w:val="both"/>
              <w:textAlignment w:val="center"/>
              <w:rPr>
                <w:rFonts w:hint="eastAsia" w:ascii="宋体" w:hAnsi="宋体" w:eastAsia="宋体" w:cs="宋体"/>
                <w:color w:val="auto"/>
                <w:sz w:val="21"/>
                <w:szCs w:val="21"/>
                <w:lang w:val="en-US" w:eastAsia="zh-CN"/>
              </w:rPr>
            </w:pPr>
          </w:p>
        </w:tc>
      </w:tr>
      <w:tr w14:paraId="3CDC926B">
        <w:tblPrEx>
          <w:tblCellMar>
            <w:top w:w="0" w:type="dxa"/>
            <w:left w:w="0" w:type="dxa"/>
            <w:bottom w:w="0" w:type="dxa"/>
            <w:right w:w="0" w:type="dxa"/>
          </w:tblCellMar>
        </w:tblPrEx>
        <w:trPr>
          <w:trHeight w:val="0" w:hRule="atLeast"/>
          <w:jc w:val="center"/>
        </w:trPr>
        <w:tc>
          <w:tcPr>
            <w:tcW w:w="443"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7194F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656"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5CD0BB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bCs/>
                <w:strike w:val="0"/>
                <w:dstrike w:val="0"/>
                <w:color w:val="000000"/>
                <w:kern w:val="0"/>
                <w:sz w:val="21"/>
                <w:szCs w:val="21"/>
                <w:highlight w:val="none"/>
                <w:lang w:val="en-US" w:eastAsia="zh-CN"/>
              </w:rPr>
              <w:t>国际化培训资源包-</w:t>
            </w:r>
            <w:r>
              <w:rPr>
                <w:rFonts w:hint="eastAsia" w:ascii="宋体" w:hAnsi="宋体" w:eastAsia="宋体" w:cs="宋体"/>
                <w:color w:val="000000"/>
                <w:kern w:val="2"/>
                <w:sz w:val="21"/>
                <w:szCs w:val="21"/>
              </w:rPr>
              <w:t>《</w:t>
            </w:r>
            <w:r>
              <w:rPr>
                <w:rFonts w:hint="eastAsia" w:ascii="宋体" w:hAnsi="宋体" w:eastAsia="宋体" w:cs="宋体"/>
                <w:color w:val="000000"/>
                <w:kern w:val="2"/>
                <w:sz w:val="21"/>
                <w:szCs w:val="21"/>
                <w:lang w:eastAsia="zh"/>
              </w:rPr>
              <w:t>猪生产</w:t>
            </w:r>
            <w:r>
              <w:rPr>
                <w:rFonts w:hint="eastAsia" w:ascii="宋体" w:hAnsi="宋体" w:eastAsia="宋体" w:cs="宋体"/>
                <w:color w:val="000000"/>
                <w:kern w:val="2"/>
                <w:sz w:val="21"/>
                <w:szCs w:val="21"/>
              </w:rPr>
              <w:t>技术》课程翻译</w:t>
            </w:r>
          </w:p>
        </w:tc>
        <w:tc>
          <w:tcPr>
            <w:tcW w:w="638"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734F92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定制</w:t>
            </w:r>
          </w:p>
        </w:tc>
        <w:tc>
          <w:tcPr>
            <w:tcW w:w="4767"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top"/>
          </w:tcPr>
          <w:p w14:paraId="2317A492">
            <w:pPr>
              <w:pStyle w:val="40"/>
              <w:keepNext w:val="0"/>
              <w:keepLines w:val="0"/>
              <w:pageBreakBefore w:val="0"/>
              <w:suppressLineNumbers w:val="0"/>
              <w:kinsoku/>
              <w:wordWrap/>
              <w:overflowPunct/>
              <w:topLinePunct w:val="0"/>
              <w:autoSpaceDE/>
              <w:autoSpaceDN/>
              <w:bidi w:val="0"/>
              <w:adjustRightInd/>
              <w:snapToGrid/>
              <w:spacing w:before="0" w:beforeAutospacing="0" w:afterAutospacing="0" w:line="360" w:lineRule="exact"/>
              <w:ind w:left="0" w:leftChars="0" w:right="0" w:firstLine="0"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1.根据课程要求，需要完成课程英文翻译共计130,000字。</w:t>
            </w:r>
          </w:p>
          <w:p w14:paraId="58659D5A">
            <w:pPr>
              <w:pStyle w:val="40"/>
              <w:keepNext w:val="0"/>
              <w:keepLines w:val="0"/>
              <w:pageBreakBefore w:val="0"/>
              <w:suppressLineNumbers w:val="0"/>
              <w:kinsoku/>
              <w:wordWrap/>
              <w:overflowPunct/>
              <w:topLinePunct w:val="0"/>
              <w:autoSpaceDE/>
              <w:autoSpaceDN/>
              <w:bidi w:val="0"/>
              <w:adjustRightInd/>
              <w:snapToGrid/>
              <w:spacing w:before="0" w:beforeAutospacing="0" w:afterAutospacing="0" w:line="360" w:lineRule="exact"/>
              <w:ind w:left="0" w:leftChars="0" w:right="0" w:firstLine="0"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2.翻译质量标准：执行《GB/T19363.1-2008 翻译服务规范 第1部分:笔译》、《GB/T 19682—2005翻译服务译文质量要求》文件所述规定。</w:t>
            </w:r>
          </w:p>
          <w:p w14:paraId="49DD7CF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105" w:rightChars="5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译文要求：忠实原文，同一门课程术语统一，行文通畅。无漏译、错译和增译情况，内容完整无误，语言准确，译文流畅。无专业术语错误，无语法错误。固定专有名词准确，译文忠于原文，译文准确，无错译、漏译，符合表达习惯，用词规范地道。</w:t>
            </w:r>
          </w:p>
          <w:p w14:paraId="781DD5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105" w:rightChars="5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4.检验要求：译文经过采购人校验，并根据采购人要求进行修改。</w:t>
            </w:r>
          </w:p>
          <w:p w14:paraId="03767E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105" w:rightChars="5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5.修改要求：在内容确认完成后，如采购方翻译内容有更改，可在12个月内，继续提供修改内容≤15%的翻译服务。</w:t>
            </w:r>
          </w:p>
          <w:p w14:paraId="730258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105" w:rightChars="5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6.需要进行校对，提供校对过程文档。</w:t>
            </w:r>
          </w:p>
          <w:p w14:paraId="08F58D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105" w:rightChars="5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7.翻译部分内容所有权归属学校所有。</w:t>
            </w:r>
          </w:p>
          <w:p w14:paraId="01AEAB9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105" w:rightChars="5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kern w:val="2"/>
                <w:sz w:val="21"/>
                <w:szCs w:val="21"/>
                <w:lang w:val="en-US" w:eastAsia="zh-CN" w:bidi="ar-SA"/>
              </w:rPr>
              <w:t>8.供应商需为采购人提交的中文文稿进行英文翻译，形成中英文两个版本的文稿。翻译人员应有翻译资格证书（CATTI二级笔译以上），翻译人员需要对翻译的文稿、视频进行签字确认</w:t>
            </w:r>
            <w:r>
              <w:rPr>
                <w:rFonts w:hint="eastAsia" w:ascii="宋体" w:hAnsi="宋体" w:eastAsia="宋体" w:cs="宋体"/>
                <w:b/>
                <w:bCs/>
                <w:color w:val="auto"/>
                <w:kern w:val="2"/>
                <w:sz w:val="21"/>
                <w:szCs w:val="21"/>
                <w:lang w:val="en-US" w:eastAsia="zh-CN" w:bidi="ar-SA"/>
              </w:rPr>
              <w:t>（响应文件需要提供翻译人员资质证书</w:t>
            </w:r>
            <w:r>
              <w:rPr>
                <w:rFonts w:hint="eastAsia" w:ascii="宋体" w:hAnsi="宋体" w:cs="宋体"/>
                <w:b/>
                <w:bCs/>
                <w:color w:val="auto"/>
                <w:kern w:val="2"/>
                <w:sz w:val="21"/>
                <w:szCs w:val="21"/>
                <w:lang w:val="en-US" w:eastAsia="zh-CN" w:bidi="ar-SA"/>
              </w:rPr>
              <w:t>扫描件</w:t>
            </w:r>
            <w:r>
              <w:rPr>
                <w:rFonts w:hint="eastAsia" w:ascii="宋体" w:hAnsi="宋体" w:eastAsia="宋体" w:cs="宋体"/>
                <w:b/>
                <w:bCs/>
                <w:color w:val="auto"/>
                <w:kern w:val="2"/>
                <w:sz w:val="21"/>
                <w:szCs w:val="21"/>
                <w:lang w:val="en-US" w:eastAsia="zh-CN" w:bidi="ar-SA"/>
              </w:rPr>
              <w:t>、验收时需要提供翻译人员资质证书复印件）</w:t>
            </w:r>
            <w:r>
              <w:rPr>
                <w:rFonts w:hint="eastAsia" w:ascii="宋体" w:hAnsi="宋体" w:eastAsia="宋体" w:cs="宋体"/>
                <w:color w:val="auto"/>
                <w:kern w:val="2"/>
                <w:sz w:val="21"/>
                <w:szCs w:val="21"/>
                <w:lang w:val="en-US" w:eastAsia="zh-CN" w:bidi="ar-SA"/>
              </w:rPr>
              <w:t>。</w:t>
            </w:r>
          </w:p>
        </w:tc>
        <w:tc>
          <w:tcPr>
            <w:tcW w:w="562"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090255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rPr>
                <w:rFonts w:hint="eastAsia" w:ascii="宋体" w:hAnsi="宋体" w:eastAsia="宋体" w:cs="宋体"/>
                <w:color w:val="auto"/>
                <w:sz w:val="21"/>
                <w:szCs w:val="21"/>
                <w:lang w:bidi="ar"/>
              </w:rPr>
            </w:pPr>
            <w:r>
              <w:rPr>
                <w:rFonts w:hint="eastAsia" w:ascii="宋体" w:hAnsi="宋体" w:eastAsia="宋体" w:cs="宋体"/>
                <w:color w:val="000000"/>
                <w:kern w:val="2"/>
                <w:sz w:val="21"/>
                <w:szCs w:val="21"/>
                <w:lang w:val="en-US" w:eastAsia="zh-CN" w:bidi="ar-SA"/>
              </w:rPr>
              <w:t>项</w:t>
            </w:r>
          </w:p>
        </w:tc>
        <w:tc>
          <w:tcPr>
            <w:tcW w:w="450"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7B7E27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auto"/>
                <w:sz w:val="21"/>
                <w:szCs w:val="21"/>
                <w:lang w:bidi="ar"/>
              </w:rPr>
            </w:pPr>
            <w:r>
              <w:rPr>
                <w:rFonts w:hint="eastAsia" w:ascii="宋体" w:hAnsi="宋体" w:eastAsia="宋体" w:cs="宋体"/>
                <w:i w:val="0"/>
                <w:iCs w:val="0"/>
                <w:color w:val="000000"/>
                <w:kern w:val="2"/>
                <w:sz w:val="21"/>
                <w:szCs w:val="21"/>
                <w:u w:val="none"/>
                <w:lang w:val="en-US" w:eastAsia="zh-CN" w:bidi="ar-SA"/>
              </w:rPr>
              <w:t>1</w:t>
            </w:r>
          </w:p>
        </w:tc>
        <w:tc>
          <w:tcPr>
            <w:tcW w:w="788" w:type="dxa"/>
            <w:gridSpan w:val="2"/>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3918C6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auto"/>
                <w:sz w:val="21"/>
                <w:szCs w:val="21"/>
                <w:lang w:bidi="ar"/>
              </w:rPr>
            </w:pPr>
            <w:r>
              <w:rPr>
                <w:rFonts w:hint="eastAsia" w:ascii="宋体" w:hAnsi="宋体" w:eastAsia="宋体" w:cs="宋体"/>
                <w:i w:val="0"/>
                <w:iCs w:val="0"/>
                <w:color w:val="auto"/>
                <w:kern w:val="2"/>
                <w:sz w:val="21"/>
                <w:szCs w:val="21"/>
                <w:u w:val="none"/>
                <w:lang w:val="en-US" w:eastAsia="zh-CN" w:bidi="ar-SA"/>
              </w:rPr>
              <w:t>45000</w:t>
            </w:r>
          </w:p>
        </w:tc>
        <w:tc>
          <w:tcPr>
            <w:tcW w:w="858"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6190BF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auto"/>
                <w:sz w:val="21"/>
                <w:szCs w:val="21"/>
                <w:lang w:bidi="ar"/>
              </w:rPr>
            </w:pPr>
            <w:r>
              <w:rPr>
                <w:rFonts w:hint="eastAsia" w:ascii="宋体" w:hAnsi="宋体" w:eastAsia="宋体" w:cs="宋体"/>
                <w:i w:val="0"/>
                <w:iCs w:val="0"/>
                <w:color w:val="auto"/>
                <w:kern w:val="2"/>
                <w:sz w:val="21"/>
                <w:szCs w:val="21"/>
                <w:u w:val="none"/>
                <w:lang w:val="en-US" w:eastAsia="zh-CN" w:bidi="ar-SA"/>
              </w:rPr>
              <w:t>45000</w:t>
            </w:r>
          </w:p>
        </w:tc>
        <w:tc>
          <w:tcPr>
            <w:tcW w:w="1046"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25F209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auto"/>
                <w:sz w:val="21"/>
                <w:szCs w:val="21"/>
                <w:lang w:bidi="ar"/>
              </w:rPr>
            </w:pPr>
          </w:p>
        </w:tc>
      </w:tr>
      <w:tr w14:paraId="134B701B">
        <w:tblPrEx>
          <w:tblCellMar>
            <w:top w:w="0" w:type="dxa"/>
            <w:left w:w="0" w:type="dxa"/>
            <w:bottom w:w="0" w:type="dxa"/>
            <w:right w:w="0" w:type="dxa"/>
          </w:tblCellMar>
        </w:tblPrEx>
        <w:trPr>
          <w:trHeight w:val="0" w:hRule="atLeast"/>
          <w:jc w:val="center"/>
        </w:trPr>
        <w:tc>
          <w:tcPr>
            <w:tcW w:w="443"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71DCC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w:t>
            </w:r>
          </w:p>
        </w:tc>
        <w:tc>
          <w:tcPr>
            <w:tcW w:w="656"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25FCC6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bCs/>
                <w:strike w:val="0"/>
                <w:dstrike w:val="0"/>
                <w:color w:val="000000"/>
                <w:kern w:val="0"/>
                <w:sz w:val="21"/>
                <w:szCs w:val="21"/>
                <w:highlight w:val="none"/>
                <w:lang w:val="en-US" w:eastAsia="zh-CN"/>
              </w:rPr>
              <w:t>国际化培训资源包-</w:t>
            </w:r>
            <w:r>
              <w:rPr>
                <w:rFonts w:hint="eastAsia" w:ascii="宋体" w:hAnsi="宋体" w:eastAsia="宋体" w:cs="宋体"/>
                <w:color w:val="000000"/>
                <w:kern w:val="2"/>
                <w:sz w:val="21"/>
                <w:szCs w:val="21"/>
              </w:rPr>
              <w:t>数字人制作</w:t>
            </w:r>
          </w:p>
        </w:tc>
        <w:tc>
          <w:tcPr>
            <w:tcW w:w="638"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0A2C9F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定制</w:t>
            </w:r>
          </w:p>
        </w:tc>
        <w:tc>
          <w:tcPr>
            <w:tcW w:w="4767"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6345E38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（1）视频分辨率：</w:t>
            </w:r>
          </w:p>
          <w:p w14:paraId="19AD92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最低要求：通常建议分辨率达到或超过1080*1920（即1080p全高清）。</w:t>
            </w:r>
          </w:p>
          <w:p w14:paraId="6F0643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推荐分辨率：4K（3840*2160）甚至更高，以提供更高的清晰度和细节。</w:t>
            </w:r>
          </w:p>
          <w:p w14:paraId="54C137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（2）帧率（FPS）：</w:t>
            </w:r>
          </w:p>
          <w:p w14:paraId="2CE763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最低要求：一般视频的帧率不应低于25FPS，以保证流畅的播放效果。</w:t>
            </w:r>
          </w:p>
          <w:p w14:paraId="470F5BE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（3）编码格式：</w:t>
            </w:r>
          </w:p>
          <w:p w14:paraId="77C1AFE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常见的视频编码格式包括h.264（也称为AVC或MPEG-4 AVC）和h.265（也称为HEVC）。这些格式在保持高质量的同时，能有效地压缩视频数据。</w:t>
            </w:r>
          </w:p>
          <w:p w14:paraId="179F98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（4）拍摄要求：</w:t>
            </w:r>
          </w:p>
          <w:p w14:paraId="3C1395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环境：选择安静的环境进行拍摄，避免噪音、爆音和回音。</w:t>
            </w:r>
          </w:p>
          <w:p w14:paraId="4CBD30B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灯光：确保光线均匀，无阴影，特别是要保证人物脸部、嘴巴、牙齿等细节清晰可见。</w:t>
            </w:r>
          </w:p>
          <w:p w14:paraId="76B9854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背景：推荐使用绿幕背景，便于后期更换各种背景。绿幕应平整无褶皱，人距离绿幕2米远。</w:t>
            </w:r>
          </w:p>
          <w:p w14:paraId="399648B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（5）视频时长：</w:t>
            </w:r>
          </w:p>
          <w:p w14:paraId="5D3AD6E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训练素材的视频时长通常为5-10分钟，采用英文语音训练方式。</w:t>
            </w:r>
          </w:p>
          <w:p w14:paraId="2A84EE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（6）口播内容：</w:t>
            </w:r>
          </w:p>
          <w:p w14:paraId="4C9846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内容不限，但推荐教师选择熟悉的内容，并准备足够的文稿（如6000字）。口播时应保持语速200字1分钟，发音清晰，避免重复内容。</w:t>
            </w:r>
          </w:p>
          <w:p w14:paraId="42CDAB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（7）服饰妆造：</w:t>
            </w:r>
          </w:p>
          <w:p w14:paraId="3825F7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避免反光、半透或蕾丝等材质的衣物，以及与绿幕相近的颜色。</w:t>
            </w:r>
          </w:p>
          <w:p w14:paraId="2DEB19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妆容应自然得体，头发整理好，避免散发碎发。首饰应避免过于宽大或易晃动的款式。</w:t>
            </w:r>
          </w:p>
          <w:p w14:paraId="15C0447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需要准备2套服装进行拍摄。</w:t>
            </w:r>
          </w:p>
          <w:p w14:paraId="1FFB5E6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（8）人物动作：</w:t>
            </w:r>
          </w:p>
          <w:p w14:paraId="0506A67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动作应自然，与应用场景匹配。尽量避免指向性动作、身体晃动、大幅度和迅速的动作。</w:t>
            </w:r>
          </w:p>
          <w:p w14:paraId="37ED0C0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表情动作应自然，避免大角度侧脸、舔嘴、吞咽、撅嘴等小动作。视频的开始和结束要保持10秒以上的闭口时间。</w:t>
            </w:r>
          </w:p>
          <w:p w14:paraId="2D55C49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（9）后期处理：</w:t>
            </w:r>
          </w:p>
          <w:p w14:paraId="4B2B4F1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在视频制作过程中，可能涉及到多种后期处理技术，如绿幕抠图、背景替换、特效添加等。</w:t>
            </w:r>
          </w:p>
          <w:p w14:paraId="72921B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rPr>
                <w:rFonts w:hint="eastAsia" w:ascii="宋体" w:hAnsi="宋体" w:eastAsia="宋体" w:cs="宋体"/>
                <w:b/>
                <w:bCs/>
                <w:color w:val="auto"/>
                <w:sz w:val="21"/>
                <w:szCs w:val="21"/>
                <w:lang w:val="en-US" w:eastAsia="zh-CN" w:bidi="ar"/>
              </w:rPr>
            </w:pPr>
            <w:r>
              <w:rPr>
                <w:rFonts w:hint="eastAsia" w:ascii="宋体" w:hAnsi="宋体" w:eastAsia="宋体" w:cs="宋体"/>
                <w:color w:val="auto"/>
                <w:sz w:val="21"/>
                <w:szCs w:val="21"/>
                <w:lang w:bidi="ar"/>
              </w:rPr>
              <w:t>项目实施团队成员至少包含是动画、摄影摄像、广播电视编导等相关专业人员</w:t>
            </w:r>
            <w:r>
              <w:rPr>
                <w:rFonts w:hint="eastAsia" w:ascii="宋体" w:hAnsi="宋体" w:eastAsia="宋体" w:cs="宋体"/>
                <w:color w:val="auto"/>
                <w:sz w:val="21"/>
                <w:szCs w:val="21"/>
                <w:lang w:val="en-US" w:eastAsia="zh-CN" w:bidi="ar"/>
              </w:rPr>
              <w:t>。</w:t>
            </w:r>
            <w:r>
              <w:rPr>
                <w:rFonts w:hint="eastAsia" w:ascii="宋体" w:hAnsi="宋体" w:eastAsia="宋体" w:cs="宋体"/>
                <w:b/>
                <w:bCs/>
                <w:color w:val="auto"/>
                <w:sz w:val="21"/>
                <w:szCs w:val="21"/>
                <w:lang w:val="en-US" w:eastAsia="zh-CN" w:bidi="ar"/>
              </w:rPr>
              <w:t>（提供相关职业或职称证书</w:t>
            </w:r>
            <w:r>
              <w:rPr>
                <w:rFonts w:hint="eastAsia" w:ascii="宋体" w:hAnsi="宋体" w:cs="宋体"/>
                <w:b/>
                <w:bCs/>
                <w:color w:val="auto"/>
                <w:sz w:val="21"/>
                <w:szCs w:val="21"/>
                <w:lang w:val="en-US" w:eastAsia="zh-CN" w:bidi="ar"/>
              </w:rPr>
              <w:t>扫描件</w:t>
            </w:r>
            <w:r>
              <w:rPr>
                <w:rFonts w:hint="eastAsia" w:ascii="宋体" w:hAnsi="宋体" w:eastAsia="宋体" w:cs="宋体"/>
                <w:b/>
                <w:bCs/>
                <w:color w:val="auto"/>
                <w:sz w:val="21"/>
                <w:szCs w:val="21"/>
                <w:lang w:val="en-US" w:eastAsia="zh-CN" w:bidi="ar"/>
              </w:rPr>
              <w:t>）</w:t>
            </w:r>
          </w:p>
          <w:p w14:paraId="65F5816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auto"/>
                <w:sz w:val="21"/>
                <w:szCs w:val="21"/>
                <w:lang w:val="en-US" w:eastAsia="zh-CN"/>
              </w:rPr>
              <w:t>（10）项目总负责人必须为供应商正式员工，且承诺具备相关类型项目的统筹管理经验，熟悉相关制作流程以及制作流</w:t>
            </w:r>
            <w:r>
              <w:rPr>
                <w:rFonts w:hint="eastAsia" w:ascii="宋体" w:hAnsi="宋体" w:eastAsia="宋体" w:cs="宋体"/>
                <w:sz w:val="21"/>
                <w:szCs w:val="21"/>
                <w:lang w:val="en-US" w:eastAsia="zh-CN"/>
              </w:rPr>
              <w:t>程的各个注意事项，能够指导教师在各个环节进行统筹跟进，因项目经理无经验或经验不足，导致教师无法按时完成任务的，由供应商负责赔偿。</w:t>
            </w:r>
            <w:r>
              <w:rPr>
                <w:rFonts w:hint="eastAsia" w:ascii="宋体" w:hAnsi="宋体" w:eastAsia="宋体" w:cs="宋体"/>
                <w:b/>
                <w:bCs/>
                <w:color w:val="auto"/>
                <w:sz w:val="21"/>
                <w:szCs w:val="21"/>
                <w:lang w:val="en-US" w:eastAsia="zh-CN" w:bidi="ar"/>
              </w:rPr>
              <w:t>（提供项目总负责人劳动合同或社保证明材料扫描件加盖电子公章）</w:t>
            </w:r>
          </w:p>
        </w:tc>
        <w:tc>
          <w:tcPr>
            <w:tcW w:w="562"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0EF571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rPr>
                <w:rFonts w:hint="eastAsia" w:ascii="宋体" w:hAnsi="宋体" w:eastAsia="宋体" w:cs="宋体"/>
                <w:color w:val="auto"/>
                <w:sz w:val="21"/>
                <w:szCs w:val="21"/>
                <w:lang w:bidi="ar"/>
              </w:rPr>
            </w:pPr>
            <w:r>
              <w:rPr>
                <w:rFonts w:hint="eastAsia" w:ascii="宋体" w:hAnsi="宋体" w:eastAsia="宋体" w:cs="宋体"/>
                <w:color w:val="000000"/>
                <w:kern w:val="2"/>
                <w:sz w:val="21"/>
                <w:szCs w:val="21"/>
                <w:lang w:val="en-US" w:eastAsia="zh-CN" w:bidi="ar-SA"/>
              </w:rPr>
              <w:t>个</w:t>
            </w:r>
          </w:p>
        </w:tc>
        <w:tc>
          <w:tcPr>
            <w:tcW w:w="450"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099ABF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auto"/>
                <w:sz w:val="21"/>
                <w:szCs w:val="21"/>
                <w:lang w:bidi="ar"/>
              </w:rPr>
            </w:pPr>
            <w:r>
              <w:rPr>
                <w:rFonts w:hint="eastAsia" w:ascii="宋体" w:hAnsi="宋体" w:eastAsia="宋体" w:cs="宋体"/>
                <w:i w:val="0"/>
                <w:iCs w:val="0"/>
                <w:color w:val="000000"/>
                <w:kern w:val="2"/>
                <w:sz w:val="21"/>
                <w:szCs w:val="21"/>
                <w:u w:val="none"/>
                <w:lang w:val="en-US" w:eastAsia="zh-CN" w:bidi="ar-SA"/>
              </w:rPr>
              <w:t>2</w:t>
            </w:r>
          </w:p>
        </w:tc>
        <w:tc>
          <w:tcPr>
            <w:tcW w:w="788" w:type="dxa"/>
            <w:gridSpan w:val="2"/>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107B1F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auto"/>
                <w:sz w:val="21"/>
                <w:szCs w:val="21"/>
                <w:lang w:bidi="ar"/>
              </w:rPr>
            </w:pPr>
            <w:r>
              <w:rPr>
                <w:rFonts w:hint="eastAsia" w:ascii="宋体" w:hAnsi="宋体" w:eastAsia="宋体" w:cs="宋体"/>
                <w:i w:val="0"/>
                <w:iCs w:val="0"/>
                <w:color w:val="auto"/>
                <w:kern w:val="2"/>
                <w:sz w:val="21"/>
                <w:szCs w:val="21"/>
                <w:u w:val="none"/>
                <w:lang w:val="en-US" w:eastAsia="zh-CN" w:bidi="ar-SA"/>
              </w:rPr>
              <w:t>5000</w:t>
            </w:r>
          </w:p>
        </w:tc>
        <w:tc>
          <w:tcPr>
            <w:tcW w:w="858"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4F7C46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color w:val="auto"/>
                <w:sz w:val="21"/>
                <w:szCs w:val="21"/>
                <w:lang w:bidi="ar"/>
              </w:rPr>
            </w:pPr>
            <w:r>
              <w:rPr>
                <w:rFonts w:hint="eastAsia" w:ascii="宋体" w:hAnsi="宋体" w:eastAsia="宋体" w:cs="宋体"/>
                <w:i w:val="0"/>
                <w:iCs w:val="0"/>
                <w:color w:val="auto"/>
                <w:kern w:val="2"/>
                <w:sz w:val="21"/>
                <w:szCs w:val="21"/>
                <w:u w:val="none"/>
                <w:lang w:val="en-US" w:eastAsia="zh-CN" w:bidi="ar-SA"/>
              </w:rPr>
              <w:t>10000</w:t>
            </w:r>
          </w:p>
        </w:tc>
        <w:tc>
          <w:tcPr>
            <w:tcW w:w="1046"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4260CCD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leftChars="0" w:right="0" w:rightChars="0"/>
              <w:jc w:val="center"/>
              <w:textAlignment w:val="center"/>
              <w:rPr>
                <w:rFonts w:hint="eastAsia" w:ascii="宋体" w:hAnsi="宋体" w:eastAsia="宋体" w:cs="宋体"/>
                <w:color w:val="auto"/>
                <w:sz w:val="21"/>
                <w:szCs w:val="21"/>
                <w:lang w:bidi="ar"/>
              </w:rPr>
            </w:pPr>
          </w:p>
        </w:tc>
      </w:tr>
      <w:tr w14:paraId="17FC9AD5">
        <w:tblPrEx>
          <w:tblCellMar>
            <w:top w:w="0" w:type="dxa"/>
            <w:left w:w="0" w:type="dxa"/>
            <w:bottom w:w="0" w:type="dxa"/>
            <w:right w:w="0" w:type="dxa"/>
          </w:tblCellMar>
        </w:tblPrEx>
        <w:trPr>
          <w:trHeight w:val="0" w:hRule="atLeast"/>
          <w:jc w:val="center"/>
        </w:trPr>
        <w:tc>
          <w:tcPr>
            <w:tcW w:w="7709" w:type="dxa"/>
            <w:gridSpan w:val="7"/>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68CE0B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textAlignment w:val="center"/>
              <w:rPr>
                <w:rFonts w:hint="eastAsia" w:ascii="宋体" w:hAnsi="宋体" w:eastAsia="宋体" w:cs="宋体"/>
                <w:color w:val="auto"/>
                <w:sz w:val="21"/>
                <w:szCs w:val="21"/>
                <w:lang w:bidi="ar"/>
              </w:rPr>
            </w:pPr>
            <w:r>
              <w:rPr>
                <w:rFonts w:hint="eastAsia" w:ascii="宋体" w:hAnsi="宋体" w:cs="宋体"/>
                <w:b/>
                <w:bCs/>
                <w:color w:val="auto"/>
                <w:sz w:val="21"/>
                <w:szCs w:val="21"/>
                <w:lang w:val="en-US" w:eastAsia="zh-CN" w:bidi="ar"/>
              </w:rPr>
              <w:t>标项三</w:t>
            </w:r>
            <w:r>
              <w:rPr>
                <w:rFonts w:hint="eastAsia" w:ascii="宋体" w:hAnsi="宋体" w:eastAsia="宋体" w:cs="宋体"/>
                <w:b/>
                <w:bCs/>
                <w:color w:val="auto"/>
                <w:sz w:val="21"/>
                <w:szCs w:val="21"/>
                <w:lang w:bidi="ar"/>
              </w:rPr>
              <w:t>合计金额：（大写）人民币</w:t>
            </w:r>
            <w:r>
              <w:rPr>
                <w:rFonts w:hint="eastAsia" w:ascii="宋体" w:hAnsi="宋体" w:eastAsia="宋体" w:cs="宋体"/>
                <w:b/>
                <w:bCs/>
                <w:color w:val="auto"/>
                <w:sz w:val="21"/>
                <w:szCs w:val="21"/>
                <w:u w:val="single"/>
                <w:lang w:val="en-US" w:bidi="ar"/>
              </w:rPr>
              <w:t xml:space="preserve"> </w:t>
            </w:r>
            <w:r>
              <w:rPr>
                <w:rFonts w:hint="eastAsia" w:ascii="宋体" w:hAnsi="宋体" w:eastAsia="宋体" w:cs="宋体"/>
                <w:b/>
                <w:bCs/>
                <w:color w:val="auto"/>
                <w:sz w:val="21"/>
                <w:szCs w:val="21"/>
                <w:u w:val="single"/>
                <w:lang w:val="en-US" w:eastAsia="zh-CN" w:bidi="ar"/>
              </w:rPr>
              <w:t>贰拾壹万</w:t>
            </w:r>
            <w:r>
              <w:rPr>
                <w:rFonts w:hint="eastAsia" w:ascii="宋体" w:hAnsi="宋体" w:eastAsia="宋体" w:cs="宋体"/>
                <w:b/>
                <w:bCs/>
                <w:color w:val="auto"/>
                <w:sz w:val="21"/>
                <w:szCs w:val="21"/>
                <w:u w:val="single"/>
                <w:lang w:val="en-US" w:bidi="ar"/>
              </w:rPr>
              <w:t xml:space="preserve"> </w:t>
            </w:r>
            <w:r>
              <w:rPr>
                <w:rFonts w:hint="eastAsia" w:ascii="宋体" w:hAnsi="宋体" w:eastAsia="宋体" w:cs="宋体"/>
                <w:b/>
                <w:bCs/>
                <w:color w:val="auto"/>
                <w:sz w:val="21"/>
                <w:szCs w:val="21"/>
                <w:lang w:bidi="ar"/>
              </w:rPr>
              <w:t>元整</w:t>
            </w:r>
          </w:p>
        </w:tc>
        <w:tc>
          <w:tcPr>
            <w:tcW w:w="2499" w:type="dxa"/>
            <w:gridSpan w:val="3"/>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FFC8FA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b/>
                <w:bCs/>
                <w:color w:val="auto"/>
                <w:sz w:val="21"/>
                <w:szCs w:val="21"/>
                <w:lang w:val="en-US" w:eastAsia="zh-CN" w:bidi="ar"/>
              </w:rPr>
            </w:pPr>
            <w:r>
              <w:rPr>
                <w:rFonts w:hint="eastAsia" w:ascii="宋体" w:hAnsi="宋体" w:eastAsia="宋体" w:cs="宋体"/>
                <w:b/>
                <w:bCs/>
                <w:color w:val="auto"/>
                <w:sz w:val="21"/>
                <w:szCs w:val="21"/>
                <w:lang w:val="en-US" w:eastAsia="zh-CN" w:bidi="ar"/>
              </w:rPr>
              <w:t>（小写）¥</w:t>
            </w:r>
            <w:r>
              <w:rPr>
                <w:rFonts w:hint="eastAsia" w:ascii="宋体" w:hAnsi="宋体" w:eastAsia="宋体" w:cs="宋体"/>
                <w:b/>
                <w:bCs/>
                <w:color w:val="auto"/>
                <w:sz w:val="21"/>
                <w:szCs w:val="21"/>
                <w:u w:val="single"/>
                <w:lang w:val="en-US" w:eastAsia="zh-CN" w:bidi="ar"/>
              </w:rPr>
              <w:t xml:space="preserve"> 210000.00 </w:t>
            </w:r>
            <w:r>
              <w:rPr>
                <w:rFonts w:hint="eastAsia" w:ascii="宋体" w:hAnsi="宋体" w:eastAsia="宋体" w:cs="宋体"/>
                <w:b/>
                <w:bCs/>
                <w:color w:val="auto"/>
                <w:sz w:val="21"/>
                <w:szCs w:val="21"/>
                <w:lang w:val="en-US" w:eastAsia="zh-CN" w:bidi="ar"/>
              </w:rPr>
              <w:t xml:space="preserve">元     </w:t>
            </w:r>
          </w:p>
        </w:tc>
      </w:tr>
      <w:tr w14:paraId="5E2E7B6D">
        <w:tblPrEx>
          <w:tblCellMar>
            <w:top w:w="0" w:type="dxa"/>
            <w:left w:w="0" w:type="dxa"/>
            <w:bottom w:w="0" w:type="dxa"/>
            <w:right w:w="0" w:type="dxa"/>
          </w:tblCellMar>
        </w:tblPrEx>
        <w:trPr>
          <w:trHeight w:val="0" w:hRule="atLeast"/>
          <w:jc w:val="center"/>
        </w:trPr>
        <w:tc>
          <w:tcPr>
            <w:tcW w:w="10208" w:type="dxa"/>
            <w:gridSpan w:val="10"/>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5E38F7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lang w:bidi="ar"/>
              </w:rPr>
            </w:pPr>
            <w:r>
              <w:rPr>
                <w:rFonts w:hint="eastAsia" w:ascii="宋体" w:hAnsi="宋体" w:eastAsia="宋体" w:cs="宋体"/>
                <w:b/>
                <w:bCs/>
                <w:color w:val="auto"/>
                <w:sz w:val="21"/>
                <w:szCs w:val="21"/>
                <w:lang w:bidi="ar"/>
              </w:rPr>
              <w:t>▲二、商务要求</w:t>
            </w:r>
          </w:p>
        </w:tc>
      </w:tr>
      <w:tr w14:paraId="269D68D0">
        <w:tblPrEx>
          <w:tblCellMar>
            <w:top w:w="0" w:type="dxa"/>
            <w:left w:w="0" w:type="dxa"/>
            <w:bottom w:w="0" w:type="dxa"/>
            <w:right w:w="0" w:type="dxa"/>
          </w:tblCellMar>
        </w:tblPrEx>
        <w:trPr>
          <w:trHeight w:val="0" w:hRule="atLeast"/>
          <w:jc w:val="center"/>
        </w:trPr>
        <w:tc>
          <w:tcPr>
            <w:tcW w:w="1737" w:type="dxa"/>
            <w:gridSpan w:val="3"/>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97F4D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bCs/>
                <w:sz w:val="21"/>
                <w:szCs w:val="21"/>
                <w:highlight w:val="none"/>
              </w:rPr>
              <w:t>报价要求</w:t>
            </w:r>
          </w:p>
        </w:tc>
        <w:tc>
          <w:tcPr>
            <w:tcW w:w="8471" w:type="dxa"/>
            <w:gridSpan w:val="7"/>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4A9806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报价为采购人指定地点的现场交付价格，包括但不限于：</w:t>
            </w:r>
          </w:p>
          <w:p w14:paraId="2DF7EE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1）采购内容中所有货物和服务的价格；</w:t>
            </w:r>
          </w:p>
          <w:p w14:paraId="4400F8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2）货物的标准附件、备品备件、专用工具的价格；</w:t>
            </w:r>
          </w:p>
          <w:p w14:paraId="666E64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3）运输、装卸、安装（含安装材料）、调试、培训、技术支持、售后服务的费用，质保期内免费维修、养护、软件升级等费用；</w:t>
            </w:r>
          </w:p>
          <w:p w14:paraId="748D3D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1"/>
                <w:szCs w:val="21"/>
                <w:lang w:bidi="ar"/>
              </w:rPr>
            </w:pPr>
            <w:r>
              <w:rPr>
                <w:rFonts w:hint="eastAsia" w:ascii="宋体" w:hAnsi="宋体" w:eastAsia="宋体" w:cs="宋体"/>
                <w:sz w:val="21"/>
                <w:szCs w:val="21"/>
              </w:rPr>
              <w:t>4）必要的保险、检测费用和各项税费等。</w:t>
            </w:r>
          </w:p>
        </w:tc>
      </w:tr>
      <w:tr w14:paraId="1FD70059">
        <w:tblPrEx>
          <w:tblCellMar>
            <w:top w:w="0" w:type="dxa"/>
            <w:left w:w="0" w:type="dxa"/>
            <w:bottom w:w="0" w:type="dxa"/>
            <w:right w:w="0" w:type="dxa"/>
          </w:tblCellMar>
        </w:tblPrEx>
        <w:trPr>
          <w:trHeight w:val="0" w:hRule="atLeast"/>
          <w:jc w:val="center"/>
        </w:trPr>
        <w:tc>
          <w:tcPr>
            <w:tcW w:w="1737" w:type="dxa"/>
            <w:gridSpan w:val="3"/>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0C8D4D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bCs/>
                <w:sz w:val="21"/>
                <w:szCs w:val="21"/>
                <w:highlight w:val="none"/>
              </w:rPr>
              <w:t>质保期</w:t>
            </w:r>
          </w:p>
        </w:tc>
        <w:tc>
          <w:tcPr>
            <w:tcW w:w="8471" w:type="dxa"/>
            <w:gridSpan w:val="7"/>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34FCAA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b/>
                <w:sz w:val="21"/>
                <w:szCs w:val="21"/>
              </w:rPr>
              <w:t>1.质保期</w:t>
            </w:r>
            <w:r>
              <w:rPr>
                <w:rFonts w:hint="eastAsia" w:ascii="宋体" w:hAnsi="宋体" w:eastAsia="宋体" w:cs="宋体"/>
                <w:b/>
                <w:sz w:val="21"/>
                <w:szCs w:val="21"/>
                <w:highlight w:val="none"/>
                <w:lang w:eastAsia="zh-CN"/>
              </w:rPr>
              <w:t>：</w:t>
            </w:r>
            <w:r>
              <w:rPr>
                <w:rFonts w:hint="eastAsia" w:ascii="宋体" w:hAnsi="宋体" w:eastAsia="宋体" w:cs="宋体"/>
                <w:b/>
                <w:sz w:val="21"/>
                <w:szCs w:val="21"/>
                <w:highlight w:val="none"/>
                <w:u w:val="single"/>
                <w:lang w:val="en-US" w:eastAsia="zh-CN"/>
              </w:rPr>
              <w:t>3年</w:t>
            </w:r>
            <w:r>
              <w:rPr>
                <w:rFonts w:hint="eastAsia" w:ascii="宋体" w:hAnsi="宋体" w:eastAsia="宋体" w:cs="宋体"/>
                <w:b/>
                <w:sz w:val="21"/>
                <w:szCs w:val="21"/>
                <w:highlight w:val="none"/>
              </w:rPr>
              <w:t>。</w:t>
            </w:r>
            <w:r>
              <w:rPr>
                <w:rFonts w:hint="eastAsia" w:ascii="宋体" w:hAnsi="宋体" w:eastAsia="宋体" w:cs="宋体"/>
                <w:sz w:val="21"/>
                <w:szCs w:val="21"/>
              </w:rPr>
              <w:t>（分项货物服务要求中有特别注明的，按特别注明的执行）</w:t>
            </w:r>
          </w:p>
          <w:p w14:paraId="5DE782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1"/>
                <w:szCs w:val="21"/>
                <w:lang w:bidi="ar"/>
              </w:rPr>
            </w:pPr>
            <w:r>
              <w:rPr>
                <w:rFonts w:hint="eastAsia" w:ascii="宋体" w:hAnsi="宋体" w:eastAsia="宋体" w:cs="宋体"/>
                <w:sz w:val="21"/>
                <w:szCs w:val="21"/>
              </w:rPr>
              <w:t>2.所有货物服务按国家“三包”有关规定执行“三包”。质保期自交付验收合格之日起计算，质保期内提供上门维修、更换和软件升级服务；质保期结束后，提供终身维护，并优惠提供相关零配件。</w:t>
            </w:r>
          </w:p>
        </w:tc>
      </w:tr>
      <w:tr w14:paraId="2094B766">
        <w:tblPrEx>
          <w:tblCellMar>
            <w:top w:w="0" w:type="dxa"/>
            <w:left w:w="0" w:type="dxa"/>
            <w:bottom w:w="0" w:type="dxa"/>
            <w:right w:w="0" w:type="dxa"/>
          </w:tblCellMar>
        </w:tblPrEx>
        <w:trPr>
          <w:trHeight w:val="0" w:hRule="atLeast"/>
          <w:jc w:val="center"/>
        </w:trPr>
        <w:tc>
          <w:tcPr>
            <w:tcW w:w="1737" w:type="dxa"/>
            <w:gridSpan w:val="3"/>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D0706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bCs/>
                <w:sz w:val="21"/>
                <w:szCs w:val="21"/>
                <w:highlight w:val="none"/>
              </w:rPr>
              <w:t>产品及售后服务要求</w:t>
            </w:r>
          </w:p>
        </w:tc>
        <w:tc>
          <w:tcPr>
            <w:tcW w:w="8471" w:type="dxa"/>
            <w:gridSpan w:val="7"/>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5DF579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1.成交供应商应对课程资源制作内容及其版权负责，由此产生的一切后果由成交供应商承担。</w:t>
            </w:r>
          </w:p>
          <w:p w14:paraId="0FD1BC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2.成交供应商负责向采购人提供网络、电话及EMAIL支持服务，响应时间不超过1小时，以保证教学资源库的正常使用；若远程支持无法解决问题的，成交供应商须24小时内上门服务，3天内解决。</w:t>
            </w:r>
          </w:p>
          <w:p w14:paraId="38EFA3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3.成交供应商应保障采购人所购课程资源在使用期内的完整性。成交供应商未经采购人许可，不得擅自改变采购人所购数据的服务模式。</w:t>
            </w:r>
          </w:p>
          <w:p w14:paraId="7055FA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1"/>
                <w:szCs w:val="21"/>
                <w:lang w:bidi="ar"/>
              </w:rPr>
            </w:pPr>
            <w:r>
              <w:rPr>
                <w:rFonts w:hint="eastAsia" w:ascii="宋体" w:hAnsi="宋体" w:eastAsia="宋体" w:cs="宋体"/>
                <w:b w:val="0"/>
                <w:bCs w:val="0"/>
                <w:color w:val="000000"/>
                <w:sz w:val="21"/>
                <w:szCs w:val="21"/>
                <w:lang w:val="en-US" w:eastAsia="zh-CN"/>
              </w:rPr>
              <w:t>4.成交供应商须定期向采购人通报课程资源拍摄进展情况和资料。</w:t>
            </w:r>
          </w:p>
        </w:tc>
      </w:tr>
      <w:tr w14:paraId="430E6872">
        <w:tblPrEx>
          <w:tblCellMar>
            <w:top w:w="0" w:type="dxa"/>
            <w:left w:w="0" w:type="dxa"/>
            <w:bottom w:w="0" w:type="dxa"/>
            <w:right w:w="0" w:type="dxa"/>
          </w:tblCellMar>
        </w:tblPrEx>
        <w:trPr>
          <w:trHeight w:val="0" w:hRule="atLeast"/>
          <w:jc w:val="center"/>
        </w:trPr>
        <w:tc>
          <w:tcPr>
            <w:tcW w:w="1737" w:type="dxa"/>
            <w:gridSpan w:val="3"/>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08A0D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bCs/>
                <w:sz w:val="21"/>
                <w:szCs w:val="21"/>
                <w:highlight w:val="none"/>
              </w:rPr>
              <w:t>交付时间、交付地点</w:t>
            </w:r>
          </w:p>
        </w:tc>
        <w:tc>
          <w:tcPr>
            <w:tcW w:w="8471" w:type="dxa"/>
            <w:gridSpan w:val="7"/>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67064C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1.交付时间：</w:t>
            </w:r>
          </w:p>
          <w:p w14:paraId="4B153C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（1</w:t>
            </w:r>
            <w:r>
              <w:rPr>
                <w:rFonts w:hint="eastAsia" w:ascii="宋体" w:hAnsi="宋体" w:eastAsia="宋体" w:cs="宋体"/>
                <w:spacing w:val="-2"/>
                <w:sz w:val="21"/>
                <w:szCs w:val="21"/>
                <w:highlight w:val="none"/>
              </w:rPr>
              <w:t>）序</w:t>
            </w:r>
            <w:r>
              <w:rPr>
                <w:rFonts w:hint="eastAsia" w:ascii="宋体" w:hAnsi="宋体" w:eastAsia="宋体" w:cs="宋体"/>
                <w:color w:val="auto"/>
                <w:spacing w:val="-2"/>
                <w:sz w:val="21"/>
                <w:szCs w:val="21"/>
                <w:highlight w:val="none"/>
              </w:rPr>
              <w:t>号1-2项</w:t>
            </w:r>
            <w:r>
              <w:rPr>
                <w:rFonts w:hint="eastAsia" w:ascii="宋体" w:hAnsi="宋体" w:eastAsia="宋体" w:cs="宋体"/>
                <w:color w:val="auto"/>
                <w:spacing w:val="-2"/>
                <w:sz w:val="21"/>
                <w:szCs w:val="21"/>
                <w:highlight w:val="none"/>
                <w:lang w:eastAsia="zh-CN"/>
              </w:rPr>
              <w:t>（双语AI英文配音微课视频定制、双语三维动画）</w:t>
            </w:r>
            <w:r>
              <w:rPr>
                <w:rFonts w:hint="eastAsia" w:ascii="宋体" w:hAnsi="宋体" w:eastAsia="宋体" w:cs="宋体"/>
                <w:color w:val="auto"/>
                <w:spacing w:val="-2"/>
                <w:sz w:val="21"/>
                <w:szCs w:val="21"/>
                <w:highlight w:val="none"/>
              </w:rPr>
              <w:t>自签订合同之日起至2026年6月25日全部交付完成并验收合格；序号3-5项</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《猪生产技术》双语微课、</w:t>
            </w:r>
            <w:r>
              <w:rPr>
                <w:rFonts w:hint="eastAsia" w:ascii="宋体" w:hAnsi="宋体" w:eastAsia="宋体" w:cs="宋体"/>
                <w:color w:val="auto"/>
                <w:spacing w:val="-2"/>
                <w:sz w:val="21"/>
                <w:szCs w:val="21"/>
                <w:highlight w:val="none"/>
                <w:lang w:eastAsia="zh-CN"/>
              </w:rPr>
              <w:t>《猪生产技术》课程翻译、数字人制作）</w:t>
            </w:r>
            <w:r>
              <w:rPr>
                <w:rFonts w:hint="eastAsia" w:ascii="宋体" w:hAnsi="宋体" w:eastAsia="宋体" w:cs="宋体"/>
                <w:color w:val="auto"/>
                <w:spacing w:val="-2"/>
                <w:sz w:val="21"/>
                <w:szCs w:val="21"/>
                <w:highlight w:val="none"/>
              </w:rPr>
              <w:t>自签订合</w:t>
            </w:r>
            <w:r>
              <w:rPr>
                <w:rFonts w:hint="eastAsia" w:ascii="宋体" w:hAnsi="宋体" w:eastAsia="宋体" w:cs="宋体"/>
                <w:spacing w:val="-2"/>
                <w:sz w:val="21"/>
                <w:szCs w:val="21"/>
                <w:highlight w:val="none"/>
              </w:rPr>
              <w:t>同之</w:t>
            </w:r>
            <w:r>
              <w:rPr>
                <w:rFonts w:hint="eastAsia" w:ascii="宋体" w:hAnsi="宋体" w:eastAsia="宋体" w:cs="宋体"/>
                <w:spacing w:val="-2"/>
                <w:sz w:val="21"/>
                <w:szCs w:val="21"/>
              </w:rPr>
              <w:t>日起至2026年9月25日全部交付完成并验收合格。</w:t>
            </w:r>
          </w:p>
          <w:p w14:paraId="34A7EF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1"/>
                <w:szCs w:val="21"/>
                <w:lang w:bidi="ar"/>
              </w:rPr>
            </w:pPr>
            <w:r>
              <w:rPr>
                <w:rFonts w:hint="eastAsia" w:ascii="宋体" w:hAnsi="宋体" w:eastAsia="宋体" w:cs="宋体"/>
                <w:sz w:val="21"/>
                <w:szCs w:val="21"/>
              </w:rPr>
              <w:t>2.交付地点：广西农业职业技术大学。</w:t>
            </w:r>
          </w:p>
        </w:tc>
      </w:tr>
      <w:tr w14:paraId="341EAB40">
        <w:tblPrEx>
          <w:tblCellMar>
            <w:top w:w="0" w:type="dxa"/>
            <w:left w:w="0" w:type="dxa"/>
            <w:bottom w:w="0" w:type="dxa"/>
            <w:right w:w="0" w:type="dxa"/>
          </w:tblCellMar>
        </w:tblPrEx>
        <w:trPr>
          <w:trHeight w:val="0" w:hRule="atLeast"/>
          <w:jc w:val="center"/>
        </w:trPr>
        <w:tc>
          <w:tcPr>
            <w:tcW w:w="1737" w:type="dxa"/>
            <w:gridSpan w:val="3"/>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92343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bCs/>
                <w:sz w:val="21"/>
                <w:szCs w:val="21"/>
                <w:highlight w:val="none"/>
              </w:rPr>
              <w:t>付款条件</w:t>
            </w:r>
          </w:p>
        </w:tc>
        <w:tc>
          <w:tcPr>
            <w:tcW w:w="8471" w:type="dxa"/>
            <w:gridSpan w:val="7"/>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58B04535">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Cs/>
                <w:sz w:val="21"/>
                <w:szCs w:val="21"/>
              </w:rPr>
            </w:pPr>
            <w:r>
              <w:rPr>
                <w:rFonts w:hint="eastAsia" w:ascii="宋体" w:hAnsi="宋体" w:eastAsia="宋体" w:cs="宋体"/>
                <w:bCs/>
                <w:sz w:val="21"/>
                <w:szCs w:val="21"/>
                <w:lang w:val="en-US" w:eastAsia="zh-CN"/>
              </w:rPr>
              <w:t>1.</w:t>
            </w:r>
            <w:r>
              <w:rPr>
                <w:rFonts w:hint="eastAsia" w:ascii="宋体" w:hAnsi="宋体" w:eastAsia="宋体" w:cs="宋体"/>
                <w:bCs/>
                <w:sz w:val="21"/>
                <w:szCs w:val="21"/>
              </w:rPr>
              <w:t>合同签订且项目具备实施条件后</w:t>
            </w:r>
            <w:r>
              <w:rPr>
                <w:rFonts w:hint="eastAsia" w:ascii="宋体" w:hAnsi="宋体" w:eastAsia="宋体" w:cs="宋体"/>
                <w:bCs/>
                <w:sz w:val="21"/>
                <w:szCs w:val="21"/>
                <w:lang w:val="en-US" w:eastAsia="zh-CN"/>
              </w:rPr>
              <w:t>15</w:t>
            </w:r>
            <w:r>
              <w:rPr>
                <w:rFonts w:hint="eastAsia" w:ascii="宋体" w:hAnsi="宋体" w:eastAsia="宋体" w:cs="宋体"/>
                <w:bCs/>
                <w:sz w:val="21"/>
                <w:szCs w:val="21"/>
              </w:rPr>
              <w:t>个工作日内，</w:t>
            </w:r>
            <w:r>
              <w:rPr>
                <w:rFonts w:hint="eastAsia" w:ascii="宋体" w:hAnsi="宋体" w:eastAsia="宋体" w:cs="宋体"/>
                <w:bCs/>
                <w:sz w:val="21"/>
                <w:szCs w:val="21"/>
                <w:lang w:eastAsia="zh-CN"/>
              </w:rPr>
              <w:t>采购人</w:t>
            </w:r>
            <w:r>
              <w:rPr>
                <w:rFonts w:hint="eastAsia" w:ascii="宋体" w:hAnsi="宋体" w:eastAsia="宋体" w:cs="宋体"/>
                <w:bCs/>
                <w:sz w:val="21"/>
                <w:szCs w:val="21"/>
              </w:rPr>
              <w:t>可预</w:t>
            </w:r>
            <w:r>
              <w:rPr>
                <w:rFonts w:hint="eastAsia" w:ascii="宋体" w:hAnsi="宋体" w:eastAsia="宋体" w:cs="宋体"/>
                <w:bCs/>
                <w:sz w:val="21"/>
                <w:szCs w:val="21"/>
                <w:highlight w:val="none"/>
              </w:rPr>
              <w:t>付合同价</w:t>
            </w:r>
            <w:r>
              <w:rPr>
                <w:rFonts w:hint="eastAsia" w:ascii="宋体" w:hAnsi="宋体" w:eastAsia="宋体" w:cs="宋体"/>
                <w:bCs/>
                <w:sz w:val="21"/>
                <w:szCs w:val="21"/>
                <w:highlight w:val="none"/>
                <w:lang w:val="en-US" w:eastAsia="zh-CN"/>
              </w:rPr>
              <w:t>4</w:t>
            </w:r>
            <w:r>
              <w:rPr>
                <w:rFonts w:hint="eastAsia" w:ascii="宋体" w:hAnsi="宋体" w:eastAsia="宋体" w:cs="宋体"/>
                <w:bCs/>
                <w:sz w:val="21"/>
                <w:szCs w:val="21"/>
                <w:highlight w:val="none"/>
              </w:rPr>
              <w:t>0%的预付款。剩余款项</w:t>
            </w:r>
            <w:r>
              <w:rPr>
                <w:rFonts w:hint="eastAsia" w:ascii="宋体" w:hAnsi="宋体" w:eastAsia="宋体" w:cs="宋体"/>
                <w:bCs/>
                <w:sz w:val="21"/>
                <w:szCs w:val="21"/>
                <w:highlight w:val="none"/>
                <w:lang w:val="en-US" w:eastAsia="zh-CN"/>
              </w:rPr>
              <w:t>在成交人</w:t>
            </w:r>
            <w:r>
              <w:rPr>
                <w:rFonts w:hint="eastAsia" w:ascii="宋体" w:hAnsi="宋体" w:eastAsia="宋体" w:cs="宋体"/>
                <w:bCs/>
                <w:sz w:val="21"/>
                <w:szCs w:val="21"/>
                <w:highlight w:val="none"/>
              </w:rPr>
              <w:t>交货完毕并验收合格后，</w:t>
            </w:r>
            <w:r>
              <w:rPr>
                <w:rFonts w:hint="eastAsia" w:ascii="宋体" w:hAnsi="宋体" w:eastAsia="宋体" w:cs="宋体"/>
                <w:bCs/>
                <w:sz w:val="21"/>
                <w:szCs w:val="21"/>
                <w:highlight w:val="none"/>
                <w:lang w:val="en-US" w:eastAsia="zh-CN"/>
              </w:rPr>
              <w:t>采购人一次性</w:t>
            </w:r>
            <w:r>
              <w:rPr>
                <w:rFonts w:hint="eastAsia" w:ascii="宋体" w:hAnsi="宋体" w:eastAsia="宋体" w:cs="宋体"/>
                <w:bCs/>
                <w:sz w:val="21"/>
                <w:szCs w:val="21"/>
                <w:highlight w:val="none"/>
              </w:rPr>
              <w:t>向</w:t>
            </w:r>
            <w:r>
              <w:rPr>
                <w:rFonts w:hint="eastAsia" w:ascii="宋体" w:hAnsi="宋体" w:eastAsia="宋体" w:cs="宋体"/>
                <w:bCs/>
                <w:sz w:val="21"/>
                <w:szCs w:val="21"/>
                <w:highlight w:val="none"/>
                <w:lang w:val="en-US" w:eastAsia="zh-CN"/>
              </w:rPr>
              <w:t>成交人</w:t>
            </w:r>
            <w:r>
              <w:rPr>
                <w:rFonts w:hint="eastAsia" w:ascii="宋体" w:hAnsi="宋体" w:eastAsia="宋体" w:cs="宋体"/>
                <w:bCs/>
                <w:sz w:val="21"/>
                <w:szCs w:val="21"/>
                <w:highlight w:val="none"/>
              </w:rPr>
              <w:t>支付合同总价的</w:t>
            </w:r>
            <w:r>
              <w:rPr>
                <w:rFonts w:hint="eastAsia" w:ascii="宋体" w:hAnsi="宋体" w:eastAsia="宋体" w:cs="宋体"/>
                <w:bCs/>
                <w:sz w:val="21"/>
                <w:szCs w:val="21"/>
                <w:highlight w:val="none"/>
                <w:lang w:val="en-US" w:eastAsia="zh-CN"/>
              </w:rPr>
              <w:t>6</w:t>
            </w:r>
            <w:r>
              <w:rPr>
                <w:rFonts w:hint="eastAsia" w:ascii="宋体" w:hAnsi="宋体" w:eastAsia="宋体" w:cs="宋体"/>
                <w:bCs/>
                <w:sz w:val="21"/>
                <w:szCs w:val="21"/>
                <w:highlight w:val="none"/>
              </w:rPr>
              <w:t>0%，</w:t>
            </w:r>
            <w:r>
              <w:rPr>
                <w:rFonts w:hint="eastAsia" w:ascii="宋体" w:hAnsi="宋体" w:eastAsia="宋体" w:cs="宋体"/>
                <w:bCs/>
                <w:sz w:val="21"/>
                <w:szCs w:val="21"/>
              </w:rPr>
              <w:t>支付前</w:t>
            </w:r>
            <w:r>
              <w:rPr>
                <w:rFonts w:hint="eastAsia" w:ascii="宋体" w:hAnsi="宋体" w:eastAsia="宋体" w:cs="宋体"/>
                <w:bCs/>
                <w:sz w:val="21"/>
                <w:szCs w:val="21"/>
                <w:lang w:eastAsia="zh-CN"/>
              </w:rPr>
              <w:t>成交人</w:t>
            </w:r>
            <w:r>
              <w:rPr>
                <w:rFonts w:hint="eastAsia" w:ascii="宋体" w:hAnsi="宋体" w:eastAsia="宋体" w:cs="宋体"/>
                <w:bCs/>
                <w:sz w:val="21"/>
                <w:szCs w:val="21"/>
              </w:rPr>
              <w:t>须先按照已交付并验收合格的金额开具发票给</w:t>
            </w:r>
            <w:r>
              <w:rPr>
                <w:rFonts w:hint="eastAsia" w:ascii="宋体" w:hAnsi="宋体" w:eastAsia="宋体" w:cs="宋体"/>
                <w:bCs/>
                <w:sz w:val="21"/>
                <w:szCs w:val="21"/>
                <w:lang w:eastAsia="zh-CN"/>
              </w:rPr>
              <w:t>采购人</w:t>
            </w:r>
            <w:r>
              <w:rPr>
                <w:rFonts w:hint="eastAsia" w:ascii="宋体" w:hAnsi="宋体" w:eastAsia="宋体" w:cs="宋体"/>
                <w:bCs/>
                <w:sz w:val="21"/>
                <w:szCs w:val="21"/>
              </w:rPr>
              <w:t>，</w:t>
            </w:r>
            <w:r>
              <w:rPr>
                <w:rFonts w:hint="eastAsia" w:ascii="宋体" w:hAnsi="宋体" w:eastAsia="宋体" w:cs="宋体"/>
                <w:bCs/>
                <w:sz w:val="21"/>
                <w:szCs w:val="21"/>
                <w:lang w:eastAsia="zh-CN"/>
              </w:rPr>
              <w:t>采购人</w:t>
            </w:r>
            <w:r>
              <w:rPr>
                <w:rFonts w:hint="eastAsia" w:ascii="宋体" w:hAnsi="宋体" w:eastAsia="宋体" w:cs="宋体"/>
                <w:bCs/>
                <w:sz w:val="21"/>
                <w:szCs w:val="21"/>
              </w:rPr>
              <w:t>在收到发票后30日历日内按发票面额付款。如</w:t>
            </w:r>
            <w:r>
              <w:rPr>
                <w:rFonts w:hint="eastAsia" w:ascii="宋体" w:hAnsi="宋体" w:eastAsia="宋体" w:cs="宋体"/>
                <w:bCs/>
                <w:sz w:val="21"/>
                <w:szCs w:val="21"/>
                <w:lang w:eastAsia="zh-CN"/>
              </w:rPr>
              <w:t>成交人</w:t>
            </w:r>
            <w:r>
              <w:rPr>
                <w:rFonts w:hint="eastAsia" w:ascii="宋体" w:hAnsi="宋体" w:eastAsia="宋体" w:cs="宋体"/>
                <w:bCs/>
                <w:sz w:val="21"/>
                <w:szCs w:val="21"/>
              </w:rPr>
              <w:t>未按国家要求开具发票，或未按合同履约的，视为违约，</w:t>
            </w:r>
            <w:r>
              <w:rPr>
                <w:rFonts w:hint="eastAsia" w:ascii="宋体" w:hAnsi="宋体" w:eastAsia="宋体" w:cs="宋体"/>
                <w:bCs/>
                <w:sz w:val="21"/>
                <w:szCs w:val="21"/>
                <w:lang w:eastAsia="zh-CN"/>
              </w:rPr>
              <w:t>采购人</w:t>
            </w:r>
            <w:r>
              <w:rPr>
                <w:rFonts w:hint="eastAsia" w:ascii="宋体" w:hAnsi="宋体" w:eastAsia="宋体" w:cs="宋体"/>
                <w:bCs/>
                <w:sz w:val="21"/>
                <w:szCs w:val="21"/>
              </w:rPr>
              <w:t>有权扣除履约保证金，或要求解除合同，并追究</w:t>
            </w:r>
            <w:r>
              <w:rPr>
                <w:rFonts w:hint="eastAsia" w:ascii="宋体" w:hAnsi="宋体" w:eastAsia="宋体" w:cs="宋体"/>
                <w:bCs/>
                <w:sz w:val="21"/>
                <w:szCs w:val="21"/>
                <w:lang w:eastAsia="zh-CN"/>
              </w:rPr>
              <w:t>成交人</w:t>
            </w:r>
            <w:r>
              <w:rPr>
                <w:rFonts w:hint="eastAsia" w:ascii="宋体" w:hAnsi="宋体" w:eastAsia="宋体" w:cs="宋体"/>
                <w:bCs/>
                <w:sz w:val="21"/>
                <w:szCs w:val="21"/>
              </w:rPr>
              <w:t>法律责任。</w:t>
            </w:r>
          </w:p>
          <w:p w14:paraId="673179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bCs/>
                <w:sz w:val="21"/>
                <w:szCs w:val="21"/>
              </w:rPr>
            </w:pPr>
            <w:r>
              <w:rPr>
                <w:rFonts w:hint="eastAsia" w:ascii="宋体" w:hAnsi="宋体" w:eastAsia="宋体" w:cs="宋体"/>
                <w:bCs/>
                <w:sz w:val="21"/>
                <w:szCs w:val="21"/>
              </w:rPr>
              <w:t>2.本项目收取履约保证金：</w:t>
            </w:r>
            <w:r>
              <w:rPr>
                <w:rFonts w:hint="eastAsia" w:ascii="宋体" w:hAnsi="宋体" w:eastAsia="宋体" w:cs="宋体"/>
                <w:color w:val="000000"/>
                <w:sz w:val="21"/>
                <w:szCs w:val="21"/>
                <w:lang w:eastAsia="zh-CN"/>
              </w:rPr>
              <w:t>□</w:t>
            </w:r>
            <w:r>
              <w:rPr>
                <w:rFonts w:hint="eastAsia" w:ascii="宋体" w:hAnsi="宋体" w:eastAsia="宋体" w:cs="宋体"/>
                <w:bCs/>
                <w:sz w:val="21"/>
                <w:szCs w:val="21"/>
              </w:rPr>
              <w:t>无</w:t>
            </w:r>
            <w:r>
              <w:rPr>
                <w:rFonts w:hint="eastAsia" w:ascii="宋体" w:hAnsi="宋体" w:eastAsia="宋体" w:cs="宋体"/>
                <w:color w:val="000000"/>
                <w:sz w:val="21"/>
                <w:szCs w:val="21"/>
                <w:lang w:eastAsia="zh-CN"/>
              </w:rPr>
              <w:t>☑</w:t>
            </w:r>
            <w:r>
              <w:rPr>
                <w:rFonts w:hint="eastAsia" w:ascii="宋体" w:hAnsi="宋体" w:eastAsia="宋体" w:cs="宋体"/>
                <w:bCs/>
                <w:sz w:val="21"/>
                <w:szCs w:val="21"/>
              </w:rPr>
              <w:t>有。</w:t>
            </w:r>
          </w:p>
          <w:p w14:paraId="62F1AD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auto"/>
                <w:sz w:val="21"/>
                <w:szCs w:val="21"/>
                <w:lang w:bidi="ar"/>
              </w:rPr>
            </w:pPr>
            <w:r>
              <w:rPr>
                <w:rFonts w:hint="eastAsia" w:ascii="宋体" w:hAnsi="宋体" w:eastAsia="宋体" w:cs="宋体"/>
                <w:bCs/>
                <w:sz w:val="21"/>
                <w:szCs w:val="21"/>
              </w:rPr>
              <w:t>3.项目收取履约保证金的，成交人须在合同签订前向采购人账户转</w:t>
            </w:r>
            <w:r>
              <w:rPr>
                <w:rFonts w:hint="eastAsia" w:ascii="宋体" w:hAnsi="宋体" w:eastAsia="宋体" w:cs="宋体"/>
                <w:bCs/>
                <w:color w:val="auto"/>
                <w:sz w:val="21"/>
                <w:szCs w:val="21"/>
              </w:rPr>
              <w:t>付</w:t>
            </w:r>
            <w:r>
              <w:rPr>
                <w:rFonts w:hint="eastAsia" w:ascii="宋体" w:hAnsi="宋体" w:eastAsia="宋体" w:cs="宋体"/>
                <w:bCs/>
                <w:color w:val="auto"/>
                <w:sz w:val="21"/>
                <w:szCs w:val="21"/>
                <w:lang w:val="en-US" w:eastAsia="zh-CN"/>
              </w:rPr>
              <w:t>标项</w:t>
            </w:r>
            <w:r>
              <w:rPr>
                <w:rFonts w:hint="eastAsia" w:ascii="宋体" w:hAnsi="宋体" w:eastAsia="宋体" w:cs="宋体"/>
                <w:bCs/>
                <w:sz w:val="21"/>
                <w:szCs w:val="21"/>
              </w:rPr>
              <w:t>合同金额2%的履约保证金，否则不予签订合同。履约保证金在采购内容全部交付验收完成之后（或服务期满后）无息退付。</w:t>
            </w:r>
          </w:p>
        </w:tc>
      </w:tr>
    </w:tbl>
    <w:p w14:paraId="3DA1579F">
      <w:pPr>
        <w:pStyle w:val="20"/>
        <w:spacing w:line="440" w:lineRule="exact"/>
        <w:rPr>
          <w:rFonts w:ascii="宋体" w:hAnsi="宋体" w:cs="宋体"/>
          <w:b/>
          <w:color w:val="auto"/>
          <w:sz w:val="24"/>
          <w:highlight w:val="none"/>
        </w:rPr>
        <w:sectPr>
          <w:pgSz w:w="11906" w:h="16838"/>
          <w:pgMar w:top="1134" w:right="1247" w:bottom="1134" w:left="1247" w:header="851" w:footer="992" w:gutter="0"/>
          <w:pgNumType w:fmt="decimal"/>
          <w:cols w:space="720" w:num="1"/>
          <w:docGrid w:linePitch="312" w:charSpace="0"/>
        </w:sectPr>
      </w:pPr>
    </w:p>
    <w:p w14:paraId="4DDE7827">
      <w:pPr>
        <w:pStyle w:val="4"/>
        <w:spacing w:before="0" w:after="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标项四：</w:t>
      </w:r>
      <w:r>
        <w:rPr>
          <w:rFonts w:hint="eastAsia" w:ascii="宋体" w:hAnsi="宋体" w:eastAsia="宋体" w:cs="宋体"/>
          <w:color w:val="auto"/>
          <w:sz w:val="24"/>
          <w:szCs w:val="24"/>
          <w:highlight w:val="none"/>
          <w:lang w:val="en-US" w:eastAsia="zh-CN"/>
        </w:rPr>
        <w:t>动科院动物繁殖（育种）教学资源包</w:t>
      </w:r>
    </w:p>
    <w:tbl>
      <w:tblPr>
        <w:tblStyle w:val="41"/>
        <w:tblW w:w="10208" w:type="dxa"/>
        <w:jc w:val="center"/>
        <w:tblLayout w:type="fixed"/>
        <w:tblCellMar>
          <w:top w:w="0" w:type="dxa"/>
          <w:left w:w="0" w:type="dxa"/>
          <w:bottom w:w="0" w:type="dxa"/>
          <w:right w:w="0" w:type="dxa"/>
        </w:tblCellMar>
      </w:tblPr>
      <w:tblGrid>
        <w:gridCol w:w="443"/>
        <w:gridCol w:w="656"/>
        <w:gridCol w:w="638"/>
        <w:gridCol w:w="4767"/>
        <w:gridCol w:w="562"/>
        <w:gridCol w:w="450"/>
        <w:gridCol w:w="183"/>
        <w:gridCol w:w="605"/>
        <w:gridCol w:w="858"/>
        <w:gridCol w:w="1046"/>
      </w:tblGrid>
      <w:tr w14:paraId="394C824C">
        <w:tblPrEx>
          <w:tblCellMar>
            <w:top w:w="0" w:type="dxa"/>
            <w:left w:w="0" w:type="dxa"/>
            <w:bottom w:w="0" w:type="dxa"/>
            <w:right w:w="0" w:type="dxa"/>
          </w:tblCellMar>
        </w:tblPrEx>
        <w:trPr>
          <w:trHeight w:val="0" w:hRule="atLeast"/>
          <w:jc w:val="center"/>
        </w:trPr>
        <w:tc>
          <w:tcPr>
            <w:tcW w:w="10208" w:type="dxa"/>
            <w:gridSpan w:val="10"/>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69007E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rPr>
              <w:t>一、技术要求</w:t>
            </w:r>
          </w:p>
        </w:tc>
      </w:tr>
      <w:tr w14:paraId="4005B22F">
        <w:tblPrEx>
          <w:tblCellMar>
            <w:top w:w="0" w:type="dxa"/>
            <w:left w:w="0" w:type="dxa"/>
            <w:bottom w:w="0" w:type="dxa"/>
            <w:right w:w="0" w:type="dxa"/>
          </w:tblCellMar>
        </w:tblPrEx>
        <w:trPr>
          <w:trHeight w:val="90" w:hRule="atLeast"/>
          <w:jc w:val="center"/>
        </w:trPr>
        <w:tc>
          <w:tcPr>
            <w:tcW w:w="443"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20BF54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序号</w:t>
            </w:r>
          </w:p>
        </w:tc>
        <w:tc>
          <w:tcPr>
            <w:tcW w:w="656"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559E78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采购内容</w:t>
            </w:r>
          </w:p>
        </w:tc>
        <w:tc>
          <w:tcPr>
            <w:tcW w:w="638"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0A74D3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sz w:val="21"/>
                <w:szCs w:val="21"/>
                <w:highlight w:val="none"/>
              </w:rPr>
              <w:t>参考品牌型号</w:t>
            </w:r>
          </w:p>
        </w:tc>
        <w:tc>
          <w:tcPr>
            <w:tcW w:w="476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50FE8D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技术参数</w:t>
            </w:r>
          </w:p>
        </w:tc>
        <w:tc>
          <w:tcPr>
            <w:tcW w:w="562"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432931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计量单位</w:t>
            </w:r>
          </w:p>
        </w:tc>
        <w:tc>
          <w:tcPr>
            <w:tcW w:w="450"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176215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数量</w:t>
            </w:r>
          </w:p>
        </w:tc>
        <w:tc>
          <w:tcPr>
            <w:tcW w:w="788"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576112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单价</w:t>
            </w:r>
          </w:p>
          <w:p w14:paraId="59981CE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sz w:val="21"/>
                <w:szCs w:val="21"/>
                <w:highlight w:val="none"/>
              </w:rPr>
              <w:t>（元）</w:t>
            </w:r>
          </w:p>
        </w:tc>
        <w:tc>
          <w:tcPr>
            <w:tcW w:w="858"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533AE96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小计</w:t>
            </w:r>
          </w:p>
          <w:p w14:paraId="32060CC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sz w:val="21"/>
                <w:szCs w:val="21"/>
                <w:highlight w:val="none"/>
              </w:rPr>
              <w:t>（元）</w:t>
            </w:r>
          </w:p>
        </w:tc>
        <w:tc>
          <w:tcPr>
            <w:tcW w:w="1046"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E45CBB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sz w:val="21"/>
                <w:szCs w:val="21"/>
                <w:highlight w:val="none"/>
              </w:rPr>
              <w:t>说明（必要性、用途、存放地点等）</w:t>
            </w:r>
          </w:p>
        </w:tc>
      </w:tr>
      <w:tr w14:paraId="512438D6">
        <w:tblPrEx>
          <w:tblCellMar>
            <w:top w:w="0" w:type="dxa"/>
            <w:left w:w="0" w:type="dxa"/>
            <w:bottom w:w="0" w:type="dxa"/>
            <w:right w:w="0" w:type="dxa"/>
          </w:tblCellMar>
        </w:tblPrEx>
        <w:trPr>
          <w:trHeight w:val="0" w:hRule="atLeast"/>
          <w:jc w:val="center"/>
        </w:trPr>
        <w:tc>
          <w:tcPr>
            <w:tcW w:w="443"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030AC9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w:t>
            </w:r>
          </w:p>
        </w:tc>
        <w:tc>
          <w:tcPr>
            <w:tcW w:w="656"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578783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2"/>
                <w:sz w:val="21"/>
                <w:szCs w:val="21"/>
                <w:lang w:val="en-US" w:eastAsia="zh-CN" w:bidi="ar"/>
              </w:rPr>
              <w:t>中英双语视频改造</w:t>
            </w:r>
          </w:p>
        </w:tc>
        <w:tc>
          <w:tcPr>
            <w:tcW w:w="638"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5AC85A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定制</w:t>
            </w:r>
          </w:p>
        </w:tc>
        <w:tc>
          <w:tcPr>
            <w:tcW w:w="4767"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311E69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1.制作内容：微课双语改造制作91个。</w:t>
            </w:r>
          </w:p>
          <w:p w14:paraId="44BC9C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2.微课应符合我国法律法规，尊重各民族的风俗习惯，版权不存在争议；</w:t>
            </w:r>
          </w:p>
          <w:p w14:paraId="43FCF5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3.微课按照定稿版本进行双语制作升级，包括课件内容、字幕等；模板中的课程名称、模块序号、模块名称、背景、按钮、标题、页码等按需求重新制作。</w:t>
            </w:r>
          </w:p>
          <w:p w14:paraId="751F7F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4.需补充的音频使用AI配音，并根据配音时长调节课件动画，达到音画同步。</w:t>
            </w:r>
          </w:p>
          <w:p w14:paraId="261ED4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5.视频采用MP4格式封装；</w:t>
            </w:r>
          </w:p>
          <w:p w14:paraId="647A13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6.后期包装不含二维动画、三维动画；</w:t>
            </w:r>
          </w:p>
          <w:p w14:paraId="0C1CB0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7.字幕要使用符合国家标准的规范字，不出现繁体字、异体字(国家规定的除外)、错别字；字幕的字体、大小、色彩搭配、摆放位置、停留时间、出入屏方式力求与其他要素（画面、解说词、音乐）配合适当，不能破坏原有画面；</w:t>
            </w:r>
          </w:p>
          <w:p w14:paraId="68AF89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8.视频要求图像清晰，声音和画面同步，播放时没有明显的噪点，播放流畅；</w:t>
            </w:r>
          </w:p>
          <w:p w14:paraId="3026D1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9.根据课程内容提供片头、片尾，时长不少于3秒；</w:t>
            </w:r>
          </w:p>
          <w:p w14:paraId="70EFD0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10.采用H.264/AVC（MPEG-4Part10）编码格式压缩；分辨率不低于1920x1080（16:9），音频采用AAC（MPEG4Part3）格式压缩。</w:t>
            </w:r>
          </w:p>
          <w:p w14:paraId="34066F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11.内容原创无版权纠纷，所产生的一切知识版权归属为采购人所有。</w:t>
            </w:r>
          </w:p>
          <w:p w14:paraId="6D2358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12.将该课程内的微课翻译成英文，具体内容包括：</w:t>
            </w:r>
          </w:p>
          <w:p w14:paraId="0F0C21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（1）微课唱词字幕中英翻译服务；</w:t>
            </w:r>
          </w:p>
          <w:p w14:paraId="6167B4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（2）微课视频画面中中出现的中文标题、中文内容、标注等翻译为英文。</w:t>
            </w:r>
          </w:p>
          <w:p w14:paraId="3B2FEC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翻译要求：</w:t>
            </w:r>
          </w:p>
          <w:p w14:paraId="4506C3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（1）全文人工翻译，翻译内容自然流畅、语法准确；</w:t>
            </w:r>
          </w:p>
          <w:p w14:paraId="289DCF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（2）专业词语需严谨，充分考虑语言结构特点和语言语境，确保英文翻译用词恰当、语法正确、语句通顺、翻译内容与中文内容一致；</w:t>
            </w:r>
          </w:p>
          <w:p w14:paraId="33C0BD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（3）翻译时要站在正确的政治立场，表明正确观点，不可犯原则性错误，深刻理解原文中心思想及内容，准确表达原文意图，正确翻译专业词汇。</w:t>
            </w:r>
          </w:p>
          <w:p w14:paraId="458F47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（4）翻译质量符合中国国家标准(GB/T19363.1-2003，翻译服务规范：笔译翻译)</w:t>
            </w:r>
          </w:p>
          <w:p w14:paraId="0B9F7C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2"/>
                <w:sz w:val="21"/>
                <w:szCs w:val="21"/>
                <w:lang w:val="en-US" w:eastAsia="zh-CN" w:bidi="ar"/>
              </w:rPr>
              <w:t>（5）因翻译内容的专业性和复杂性，有具备英语二级笔译证书（中华人民共和国人力资源和社会保障部）的专业英语翻译人员全程参与到项目整个的翻译工作中。</w:t>
            </w:r>
          </w:p>
        </w:tc>
        <w:tc>
          <w:tcPr>
            <w:tcW w:w="562"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536A02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auto"/>
                <w:sz w:val="21"/>
                <w:szCs w:val="21"/>
                <w:lang w:bidi="ar"/>
              </w:rPr>
            </w:pPr>
            <w:r>
              <w:rPr>
                <w:rFonts w:hint="eastAsia" w:ascii="宋体" w:hAnsi="宋体" w:eastAsia="宋体" w:cs="宋体"/>
                <w:i w:val="0"/>
                <w:iCs w:val="0"/>
                <w:color w:val="000000"/>
                <w:kern w:val="0"/>
                <w:sz w:val="21"/>
                <w:szCs w:val="21"/>
                <w:lang w:val="en-US" w:eastAsia="zh-CN" w:bidi="ar"/>
              </w:rPr>
              <w:t>个</w:t>
            </w:r>
          </w:p>
        </w:tc>
        <w:tc>
          <w:tcPr>
            <w:tcW w:w="450"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0CB919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auto"/>
                <w:sz w:val="21"/>
                <w:szCs w:val="21"/>
                <w:lang w:bidi="ar"/>
              </w:rPr>
            </w:pPr>
            <w:r>
              <w:rPr>
                <w:rFonts w:hint="eastAsia" w:ascii="宋体" w:hAnsi="宋体" w:eastAsia="宋体" w:cs="宋体"/>
                <w:i w:val="0"/>
                <w:iCs w:val="0"/>
                <w:color w:val="000000"/>
                <w:kern w:val="0"/>
                <w:sz w:val="21"/>
                <w:szCs w:val="21"/>
                <w:lang w:val="en-US" w:eastAsia="zh-CN" w:bidi="ar"/>
              </w:rPr>
              <w:t>91</w:t>
            </w:r>
          </w:p>
        </w:tc>
        <w:tc>
          <w:tcPr>
            <w:tcW w:w="788" w:type="dxa"/>
            <w:gridSpan w:val="2"/>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0E2991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rPr>
                <w:rFonts w:hint="eastAsia" w:ascii="宋体" w:hAnsi="宋体" w:eastAsia="宋体" w:cs="宋体"/>
                <w:color w:val="auto"/>
                <w:sz w:val="21"/>
                <w:szCs w:val="21"/>
                <w:lang w:bidi="ar"/>
              </w:rPr>
            </w:pPr>
            <w:r>
              <w:rPr>
                <w:rFonts w:hint="eastAsia" w:ascii="宋体" w:hAnsi="宋体" w:eastAsia="宋体" w:cs="宋体"/>
                <w:i w:val="0"/>
                <w:iCs w:val="0"/>
                <w:color w:val="auto"/>
                <w:kern w:val="0"/>
                <w:sz w:val="21"/>
                <w:szCs w:val="21"/>
                <w:lang w:val="en-US" w:eastAsia="zh-CN" w:bidi="ar"/>
              </w:rPr>
              <w:t>1500</w:t>
            </w:r>
          </w:p>
        </w:tc>
        <w:tc>
          <w:tcPr>
            <w:tcW w:w="858"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2BF36D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rPr>
                <w:rFonts w:hint="eastAsia" w:ascii="宋体" w:hAnsi="宋体" w:eastAsia="宋体" w:cs="宋体"/>
                <w:color w:val="auto"/>
                <w:sz w:val="21"/>
                <w:szCs w:val="21"/>
                <w:lang w:bidi="ar"/>
              </w:rPr>
            </w:pPr>
            <w:r>
              <w:rPr>
                <w:rFonts w:hint="eastAsia" w:ascii="宋体" w:hAnsi="宋体" w:eastAsia="宋体" w:cs="宋体"/>
                <w:i w:val="0"/>
                <w:iCs w:val="0"/>
                <w:color w:val="auto"/>
                <w:kern w:val="0"/>
                <w:sz w:val="21"/>
                <w:szCs w:val="21"/>
                <w:lang w:val="en-US" w:eastAsia="zh-CN" w:bidi="ar"/>
              </w:rPr>
              <w:t>136500</w:t>
            </w:r>
          </w:p>
        </w:tc>
        <w:tc>
          <w:tcPr>
            <w:tcW w:w="1046"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354D18E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leftChars="0" w:right="0" w:rightChars="0"/>
              <w:jc w:val="both"/>
              <w:textAlignment w:val="center"/>
              <w:rPr>
                <w:rFonts w:hint="eastAsia" w:ascii="宋体" w:hAnsi="宋体" w:eastAsia="宋体" w:cs="宋体"/>
                <w:color w:val="auto"/>
                <w:sz w:val="21"/>
                <w:szCs w:val="21"/>
                <w:lang w:bidi="ar"/>
              </w:rPr>
            </w:pPr>
            <w:r>
              <w:rPr>
                <w:rFonts w:hint="eastAsia" w:ascii="宋体" w:hAnsi="宋体" w:eastAsia="宋体" w:cs="宋体"/>
                <w:bCs/>
                <w:color w:val="000000"/>
                <w:sz w:val="21"/>
                <w:szCs w:val="21"/>
                <w:lang w:val="en-US" w:eastAsia="zh-CN"/>
              </w:rPr>
              <w:t>建设动物繁殖（育种）课程改造、双语翻译、企业实操视频、数字化平台。</w:t>
            </w:r>
          </w:p>
        </w:tc>
      </w:tr>
      <w:tr w14:paraId="247CC6AD">
        <w:tblPrEx>
          <w:tblCellMar>
            <w:top w:w="0" w:type="dxa"/>
            <w:left w:w="0" w:type="dxa"/>
            <w:bottom w:w="0" w:type="dxa"/>
            <w:right w:w="0" w:type="dxa"/>
          </w:tblCellMar>
        </w:tblPrEx>
        <w:trPr>
          <w:trHeight w:val="0" w:hRule="atLeast"/>
          <w:jc w:val="center"/>
        </w:trPr>
        <w:tc>
          <w:tcPr>
            <w:tcW w:w="443"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5B803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656"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202DC6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2"/>
                <w:sz w:val="21"/>
                <w:szCs w:val="21"/>
                <w:lang w:val="en-US" w:eastAsia="zh-CN" w:bidi="ar"/>
              </w:rPr>
              <w:t>双语AI英文配音数字教学视频素材定制</w:t>
            </w:r>
          </w:p>
        </w:tc>
        <w:tc>
          <w:tcPr>
            <w:tcW w:w="638"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33ABFF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定制</w:t>
            </w:r>
          </w:p>
        </w:tc>
        <w:tc>
          <w:tcPr>
            <w:tcW w:w="4767"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10805C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▲1.基于教师完成的微课脚本初稿提供三审三校脚本审读服务，从内容架构、呈现方式、案例结合、思政融入、意识形态、价值导向等方面对脚本内容进行审读修改，提供优化建议。</w:t>
            </w:r>
          </w:p>
          <w:p w14:paraId="386AAF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（一）人员配备</w:t>
            </w:r>
          </w:p>
          <w:p w14:paraId="659BEC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1.配备资深课程编辑团队，拥有三年以上数字课程项目执行经验，熟悉省级、国家级专业教学资源库、在线课程、教师教学能力比赛等教学成果项目孵化、申报认定的要求及流程，参与过国家在线精品课程的建设；</w:t>
            </w:r>
          </w:p>
          <w:p w14:paraId="66F3E6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2.配备正规出版社的编辑、编审团队，负责对课程资源进行审核，熟悉精品在线课程的建设流程及要求，熟悉教育部办公厅关于印发的《国家智慧教育平台数字教育资源内容审核规范（试行）》的要求，能够对脚本内容的政治性、科学性、适用性、规范性进行深度修改。</w:t>
            </w:r>
          </w:p>
          <w:p w14:paraId="298ECB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3.资深摄像师2人，摄像师需具备5年以上从业经验，具有丰富的专业教学资源库、在线课程、教师教学能力比赛拍摄经验，参与过国家在线精品课程的建设。</w:t>
            </w:r>
          </w:p>
          <w:p w14:paraId="1B9FCA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4.后期剪辑师具有5年以上工作经验，能够熟练使用专业非编软件，拥有丰富的课程视频剪辑经验，熟知镜头剪辑逻辑、课程平台视频上传参数要求等。</w:t>
            </w:r>
          </w:p>
          <w:p w14:paraId="24695E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（二）录制方式：</w:t>
            </w:r>
          </w:p>
          <w:p w14:paraId="487E29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1.拍摄方式：根据课程内容，采用多机位拍摄（1-2机位以上），机位设置应满足课程完整记录的要求。</w:t>
            </w:r>
          </w:p>
          <w:p w14:paraId="65ADA7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2.课程配音由校方老师或学生配音，配适合背景音乐。</w:t>
            </w:r>
          </w:p>
          <w:p w14:paraId="104BC1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3.提供以下三种录制方式：</w:t>
            </w:r>
          </w:p>
          <w:p w14:paraId="682147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（1）典型工作技能：围绕上述拟开发的课程，设计重点技能训练项目，作为课程的组课资源，也可以作为内容系统、完整的一个技能训练模块。</w:t>
            </w:r>
          </w:p>
          <w:p w14:paraId="5FB58F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（2）思政案例：思政案例要求以视频为主要载体，为围绕某个知识点/行业发展关注点展开、基于教学设计的学习资源。</w:t>
            </w:r>
          </w:p>
          <w:p w14:paraId="3617A6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（3）企业案例：企业案例要求以视频为主要载体，为围绕某个知识点/行业发展关注点展开、基于教学设计的学习资源。</w:t>
            </w:r>
          </w:p>
          <w:p w14:paraId="6C2826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（三）录制设备：</w:t>
            </w:r>
          </w:p>
          <w:p w14:paraId="0258C6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1.录像设备：摄像机要求不低于专业级数字设备，在同一门课程中标清和高清设备不得混用，配备专业广播级高清摄像机可拍4K影像，摄像机内自带无级可调ND滤镜，满足室外强光拍摄需求。配置3组单反镜头；16mm-35mm广角镜头，24mm-70mm常规镜头，70mm-200mm变焦镜头。实景拍摄在符合专业特性的场地，配置专业灯光设备和实现1-2机位拍摄，配备编导人员作为拍摄现场指导，场地由校方提供。</w:t>
            </w:r>
          </w:p>
          <w:p w14:paraId="68AD51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2.灯光设备：采用LED柔光灯进行拍摄，适用于任何课程拍摄场景，光线均匀稳定，不受限于拍摄空间和环境，LED柔光灯可自由调节色温，结合课程需求营造不同拍摄氛围感。</w:t>
            </w:r>
          </w:p>
          <w:p w14:paraId="558E9B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3.录音设备：采用专业无线麦克风，对课程进行实时录制。具有可变输出电平的便携式接收器，拥有±12dB的可变输出电平控制，全频段扫描模式。保证教师和学生发言的录音质量。</w:t>
            </w:r>
          </w:p>
          <w:p w14:paraId="7217A5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4.监听设备：专业监听头戴式耳机2-3副。</w:t>
            </w:r>
          </w:p>
          <w:p w14:paraId="0935F5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5.提供专业提词器1套。</w:t>
            </w:r>
          </w:p>
          <w:p w14:paraId="71E3E4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6.采用便携式可升降绿布背景，轻松实现场景切换。</w:t>
            </w:r>
          </w:p>
          <w:p w14:paraId="1BEB30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7.提供拍摄化妆及服装造型服务。</w:t>
            </w:r>
          </w:p>
          <w:p w14:paraId="28D37D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8.配备专业编辑电脑及专业调色显示器；</w:t>
            </w:r>
          </w:p>
          <w:p w14:paraId="2B511F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9.配备专业非编软件，Adobe Photoshop、Adobe After Effects、Premiere Pro、Animate CC、万彩动画大师、3DMAX、C4D等，可以满足各类宣传片视觉效果要求。</w:t>
            </w:r>
          </w:p>
          <w:p w14:paraId="24AAB7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▲10.提供商用版权素材库，使用版权素材，规避版权争议。</w:t>
            </w:r>
          </w:p>
          <w:p w14:paraId="3B2926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▲11.所有制作的教学资源版权归属采购人所有。</w:t>
            </w:r>
          </w:p>
          <w:p w14:paraId="54549C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（四）技术参数</w:t>
            </w:r>
          </w:p>
          <w:p w14:paraId="051073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1.时长：3-5分钟。</w:t>
            </w:r>
          </w:p>
          <w:p w14:paraId="334937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2.微课内容应符合我国法律法规，尊重各民族的风俗习惯，版权不存在争议。</w:t>
            </w:r>
          </w:p>
          <w:p w14:paraId="752494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3.微课程要求以视频为主要载体，为围绕某个知识点/技能点内容展开、基于教学设计的学习资源。含片头、片尾、教师出镜拍摄、教师录制配音、PPT穿插、适量添加PPT内置动画效果包装、后期剪辑合成。</w:t>
            </w:r>
          </w:p>
          <w:p w14:paraId="07E79E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4.模板应用：在老师提供PPT初稿的基础上重新进行符合课程内容特点的PPT美化设计，包含不同板块的背景、教师出镜背景、人名条、章节页、画中画框、关键字美化框等元素。模板朴素、大方，颜色适宜，便于长时间观看；在模板的适当位置标明课程名称、模块（章或节）序号与模块（章或节）的名称，多个页面均有的相同元素，如背景、按钮、标题、页码等，可以使用幻灯片母版来实现。</w:t>
            </w:r>
          </w:p>
          <w:p w14:paraId="289862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5.视频采用MP4格式封装。</w:t>
            </w:r>
          </w:p>
          <w:p w14:paraId="52780A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6.字幕要使用符合国家标准的规范字，不出现繁体字、异体字(国家规定的除外)、错别字；字幕的字体、大小、色彩搭配、摆放位置、停留时间、出入屏方式力求与其他要素（画面、解说词、音乐）配合适当，不能破坏原有画面</w:t>
            </w:r>
          </w:p>
          <w:p w14:paraId="246790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7.视频要求图像清晰，声音和画面同步，播放时没有明显的噪点，播放流畅；</w:t>
            </w:r>
          </w:p>
          <w:p w14:paraId="4E022B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8.根据课程内容提供片头、片尾，时长不少于3秒；</w:t>
            </w:r>
          </w:p>
          <w:p w14:paraId="4F14B2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9.采用H.264/AVC（MPEG-4 Part10）编码格式压缩；分辨率不低于1920x1080（16:9），音频采用AAC（MPEG4 Part3）格式压缩；</w:t>
            </w:r>
          </w:p>
          <w:p w14:paraId="756CA3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10.拍摄视频信号源：</w:t>
            </w:r>
          </w:p>
          <w:p w14:paraId="029863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(1)稳定性：全片拍摄图像同步性能稳定，无失步现象，CTL同步控制信号必须连续：图像无抖动跳跃。</w:t>
            </w:r>
          </w:p>
          <w:p w14:paraId="3DB8AD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(2)信噪比：图像信噪比不低于55dB，无明显杂波。</w:t>
            </w:r>
          </w:p>
          <w:p w14:paraId="4D82D6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(3)色调：白平衡正确，无明显偏色，每帧图像颜色数不低于256色或灰度级不低于128级，多机拍摄镜头衔接处无明显色差。</w:t>
            </w:r>
          </w:p>
          <w:p w14:paraId="713D4B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(4)视频电平：视频全讯号幅度为1Ⅴp-p，最大不超过1.1Ⅴ p-p。其中，消隐电平为0V时，白电平幅度0.7Ⅴp-p，同步信号-0.3V，色同步信号幅度0.3V p-p (以消隐线上下对称)，全片一致。</w:t>
            </w:r>
          </w:p>
          <w:p w14:paraId="2DE578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11.拍摄音频信号源：</w:t>
            </w:r>
          </w:p>
          <w:p w14:paraId="64F481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(1)电平指标：-2db — -8db声音应无明显失真、放音过冲、过弱。</w:t>
            </w:r>
          </w:p>
          <w:p w14:paraId="04798B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(2)音频信噪比不低于48db。</w:t>
            </w:r>
          </w:p>
          <w:p w14:paraId="6A5747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(3)声音和画面要求同步，无交流声或其他杂音等缺陷。</w:t>
            </w:r>
          </w:p>
          <w:p w14:paraId="2E86CA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(4)配音清晰、饱满、圆润，无失真、噪声杂音干扰、音量忽大忽小现象。</w:t>
            </w:r>
          </w:p>
          <w:p w14:paraId="334E47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（五）翻译参数</w:t>
            </w:r>
          </w:p>
          <w:p w14:paraId="198C5A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1.将该课程内的微课翻译成英文，具体内容包括：</w:t>
            </w:r>
          </w:p>
          <w:p w14:paraId="65B0F6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（1）微课唱词字幕中英翻译服务；</w:t>
            </w:r>
          </w:p>
          <w:p w14:paraId="222BB3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（2）微课视频画面中中出现的中文标题、中文内容、标注等翻译为英文。</w:t>
            </w:r>
          </w:p>
          <w:p w14:paraId="76478B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2.翻译要求：</w:t>
            </w:r>
          </w:p>
          <w:p w14:paraId="73F2D8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（1）全文人工翻译，翻译内容自然流畅、语法准确；</w:t>
            </w:r>
          </w:p>
          <w:p w14:paraId="1CFF51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（2）专业词语需严谨，充分考虑语言结构特点和语言语境，确保英文翻译用词恰当、语法正确、语句通顺、翻译内容与中文内容一致；</w:t>
            </w:r>
          </w:p>
          <w:p w14:paraId="716BFE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（3）翻译时要站在正确的政治立场，表明正确观点，不可犯原则性错误，深刻理解原文中心思想及内容，准确表达原文意图，正确翻译专业词汇。</w:t>
            </w:r>
          </w:p>
          <w:p w14:paraId="245CE5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（4）翻译质量符合中国国家标准(GB/T19363.1-2003，翻译服务规范：笔译翻译)</w:t>
            </w:r>
          </w:p>
          <w:p w14:paraId="628C43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2"/>
                <w:sz w:val="21"/>
                <w:szCs w:val="21"/>
                <w:lang w:val="en-US" w:eastAsia="zh-CN" w:bidi="ar"/>
              </w:rPr>
              <w:t>（5）因翻译内容的专业性和复杂性，有具备英语二级笔译证书（中华人民共和国人力资源和社会保障部）的专业英语翻译人员全程参与到项目整个的翻译工作中。</w:t>
            </w:r>
          </w:p>
        </w:tc>
        <w:tc>
          <w:tcPr>
            <w:tcW w:w="562"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0D69DF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lang w:val="en-US" w:eastAsia="zh-CN" w:bidi="ar"/>
              </w:rPr>
              <w:t>个</w:t>
            </w:r>
          </w:p>
        </w:tc>
        <w:tc>
          <w:tcPr>
            <w:tcW w:w="450"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174D84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lang w:val="en-US" w:eastAsia="zh-CN" w:bidi="ar"/>
              </w:rPr>
              <w:t>14</w:t>
            </w:r>
          </w:p>
        </w:tc>
        <w:tc>
          <w:tcPr>
            <w:tcW w:w="788" w:type="dxa"/>
            <w:gridSpan w:val="2"/>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47E9CA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lang w:val="en-US" w:eastAsia="zh-CN" w:bidi="ar"/>
              </w:rPr>
              <w:t>3000</w:t>
            </w:r>
          </w:p>
        </w:tc>
        <w:tc>
          <w:tcPr>
            <w:tcW w:w="858"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7129CA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lang w:val="en-US" w:eastAsia="zh-CN" w:bidi="ar"/>
              </w:rPr>
              <w:t>42000</w:t>
            </w:r>
          </w:p>
        </w:tc>
        <w:tc>
          <w:tcPr>
            <w:tcW w:w="1046"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52185BF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leftChars="0" w:right="0" w:rightChars="0"/>
              <w:jc w:val="both"/>
              <w:textAlignment w:val="center"/>
              <w:rPr>
                <w:rFonts w:hint="eastAsia" w:ascii="宋体" w:hAnsi="宋体" w:eastAsia="宋体" w:cs="宋体"/>
                <w:color w:val="auto"/>
                <w:sz w:val="21"/>
                <w:szCs w:val="21"/>
              </w:rPr>
            </w:pPr>
          </w:p>
        </w:tc>
      </w:tr>
      <w:tr w14:paraId="78AAE2F0">
        <w:tblPrEx>
          <w:tblCellMar>
            <w:top w:w="0" w:type="dxa"/>
            <w:left w:w="0" w:type="dxa"/>
            <w:bottom w:w="0" w:type="dxa"/>
            <w:right w:w="0" w:type="dxa"/>
          </w:tblCellMar>
        </w:tblPrEx>
        <w:trPr>
          <w:trHeight w:val="0" w:hRule="atLeast"/>
          <w:jc w:val="center"/>
        </w:trPr>
        <w:tc>
          <w:tcPr>
            <w:tcW w:w="443"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0BD61A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w:t>
            </w:r>
          </w:p>
        </w:tc>
        <w:tc>
          <w:tcPr>
            <w:tcW w:w="656"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321ACA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2"/>
                <w:sz w:val="21"/>
                <w:szCs w:val="21"/>
                <w:lang w:val="en-US" w:eastAsia="zh-CN" w:bidi="ar"/>
              </w:rPr>
              <w:t>数字AI课程平台运行服务</w:t>
            </w:r>
          </w:p>
        </w:tc>
        <w:tc>
          <w:tcPr>
            <w:tcW w:w="638"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083F07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定制</w:t>
            </w:r>
          </w:p>
        </w:tc>
        <w:tc>
          <w:tcPr>
            <w:tcW w:w="4767"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1ED3E5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（一）为一门在线课程提供一年的AI课程平台运行服务。</w:t>
            </w:r>
          </w:p>
          <w:p w14:paraId="2854DB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（二）教师建课空间</w:t>
            </w:r>
          </w:p>
          <w:p w14:paraId="384794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1.新建课程，支持将现有运行在平台中的在线精品课程和资源库课程，同步至课程平台。</w:t>
            </w:r>
          </w:p>
          <w:p w14:paraId="71E4F9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2.课程维护</w:t>
            </w:r>
          </w:p>
          <w:p w14:paraId="27D96C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（1）支持对课程信息进行编辑，包括课程封面、课程介绍视频、课程介绍、关键词、教材等信息；</w:t>
            </w:r>
          </w:p>
          <w:p w14:paraId="31B28A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（2）支持对章、节、讲名称进行编辑；支持对节点进行删除、重新排序等操作；</w:t>
            </w:r>
          </w:p>
          <w:p w14:paraId="2F5976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（3）教学团队维护，支持添加、删除教学团队成员，实现教师团队成员的展示；支持教学团队成员修改简介等个人信息；</w:t>
            </w:r>
          </w:p>
          <w:p w14:paraId="68516B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（4）学员管理，支持根据姓名、学校、选课时间等内容搜索查询学员，支持导出课程学员。</w:t>
            </w:r>
          </w:p>
          <w:p w14:paraId="193ACD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3.课程教学</w:t>
            </w:r>
          </w:p>
          <w:p w14:paraId="369117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（1）课程公告，支持新建、编辑、删除公告，支持根据关键词查询课程公告；</w:t>
            </w:r>
          </w:p>
          <w:p w14:paraId="2A4D0D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（2）主题讨论，支持创建、编辑、删除主题讨论，支持对具体讨论进行点赞、回复、设置精华等操作；（3）课程答疑，支持针对学生提的问题进行回答，支持教师自主回答或AI回答；</w:t>
            </w:r>
          </w:p>
          <w:p w14:paraId="16C88E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（4）课程笔记，支持根据章节筛选查询学生笔记内容，支持对笔记进行点赞等操作；</w:t>
            </w:r>
          </w:p>
          <w:p w14:paraId="4C8A8B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（5）课程评价，支持教师对课程评价内容进行查询、删除等。</w:t>
            </w:r>
          </w:p>
          <w:p w14:paraId="144054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4.考核与证书</w:t>
            </w:r>
          </w:p>
          <w:p w14:paraId="38EE9B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（1）支持拖拽成绩区间按钮，设置成绩的不合格、合格、优秀三级的成绩区间范围；</w:t>
            </w:r>
          </w:p>
          <w:p w14:paraId="6DB4A5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2）学生成绩由资源完成率、考试、在线作业、测验、主题讨论五项组成，教师可根据课程特点分别设置五项权重，最终由权重得分生成最终成绩，提高最终统计客观合理性，支持设置通过标准；其中考试、在线作业、测验、主题讨论支持教师配置具体明细，选择参与考核的具体内容；</w:t>
            </w:r>
          </w:p>
          <w:p w14:paraId="568C6C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（3）证书设置，支持教师选择不开启证书、合格证书、合格及优秀证书；支持对合格证书和优秀证书设置分数，分数达到要求的同学可以申请对应证书。</w:t>
            </w:r>
          </w:p>
          <w:p w14:paraId="464ECC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5.题库管理（1）支持从课程原始平台的其他课期导入题目；</w:t>
            </w:r>
          </w:p>
          <w:p w14:paraId="229B76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（2）支持通过题型、题目难度以及题目来源进行题目筛选，支持按照关键词搜索查询题目；（3）支持删除题库中的题目，支持修改题目难度，支持批量导出题目。</w:t>
            </w:r>
          </w:p>
          <w:p w14:paraId="3B1565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6.作业分为在线作业和附件作业。</w:t>
            </w:r>
          </w:p>
          <w:p w14:paraId="4EBEE0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1）在线作业题目来自课程题库，支持设置答题时长、要求完成时间、作答次数等基本设置；对于同一套在线作业，可设置题目乱序、选项乱序等，具有防作弊功能；多选题可设置多种计分方式；支持设置成绩认定方式、答案公布时间、成绩公布时间等；支持随机出题和手动出题两种模式，手动出题是教师从题库中选择确定题目组成作业，随机出题在确定题型和确定数目的前提下随机选择题目组成作业，保证学生收到的作业有差异；</w:t>
            </w:r>
          </w:p>
          <w:p w14:paraId="49E423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2）附件作业，支持教师创建、编辑、删除附件作业。创建附件作业时，支持编辑作业名称、答题时长、要求完成时间、答题次数等；支持设置答案公布时间和成绩公布时间；支持上传作业说明和参考答案，作业说明和参考答案支持上传附件；</w:t>
            </w:r>
          </w:p>
          <w:p w14:paraId="0A4FA5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（3）支持教师在线查看学生作业作答情况，客观题系统自动批阅，主观题支持AI智能批阅。</w:t>
            </w:r>
          </w:p>
          <w:p w14:paraId="06CB13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7.测验和考试，支持教师创建、编辑、删除测验和考试。测验和考试与在线作业基本一致。</w:t>
            </w:r>
          </w:p>
          <w:p w14:paraId="411582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8.数据统计</w:t>
            </w:r>
          </w:p>
          <w:p w14:paraId="4C1574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1）成果统计，支持对课程数据进行展示及分析，包括本期选课人数、学员所属单位、本期互动次数、本期日志总数、教学团队统计、知识图谱及专项图谱建设数据展示、教学资源统计、教学活动统计等，并根据课程内容变化实时更新；</w:t>
            </w:r>
          </w:p>
          <w:p w14:paraId="11CF2C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（2）教学大屏，包括学习数据统计展示、教学活动数据统计展示、成绩统计展示，并提供课程大数据分析，包括学习趋势、学习进度、成绩趋势、考评完成度、观看视频时长等内容。</w:t>
            </w:r>
          </w:p>
          <w:p w14:paraId="264B4A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9.消息通知，支持查看发送的信息及收到的信息。</w:t>
            </w:r>
          </w:p>
          <w:p w14:paraId="7BF2EC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（三）知识图谱建设</w:t>
            </w:r>
          </w:p>
          <w:p w14:paraId="4C42C3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依托平台的知识图谱构建功能，支持建设本课程知识图谱，并支持实时在教师建课后台、前端门户展示。</w:t>
            </w:r>
          </w:p>
          <w:p w14:paraId="36CF2B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1.图谱创建与导出</w:t>
            </w:r>
          </w:p>
          <w:p w14:paraId="319199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（1）创建课程后自动创建对应图谱，若课程为导入课程，支持根据现有课程结构，自动生成与章节对应的图谱；</w:t>
            </w:r>
          </w:p>
          <w:p w14:paraId="427CB5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（2）支持依据导入模板格式一键导入，自动生成图谱；</w:t>
            </w:r>
          </w:p>
          <w:p w14:paraId="316854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（3）支持引用该课程上一期的图谱，自动将上一期的节点资源、节点标签等同步到新一期；</w:t>
            </w:r>
          </w:p>
          <w:p w14:paraId="575096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（4）支持课程名称、封面、专业大类信息等自动同步至对应图谱；</w:t>
            </w:r>
          </w:p>
          <w:p w14:paraId="2EE088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（5）支持将图谱内容一键导出。</w:t>
            </w:r>
          </w:p>
          <w:p w14:paraId="50ADDC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2.图谱编辑</w:t>
            </w:r>
          </w:p>
          <w:p w14:paraId="62D83D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（1）提供预览、编辑两种模式，满足老师在不同场景的使用需求；</w:t>
            </w:r>
          </w:p>
          <w:p w14:paraId="515290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（2）提供知识技能导图、知识技能树、知识技能图谱三种图谱编辑方式；</w:t>
            </w:r>
          </w:p>
          <w:p w14:paraId="5617CF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（3）在知识技能树编辑模式下，支持拖拽调整章、节、讲、资源等的顺序，与课程结构一致的排版，便利老师操作；</w:t>
            </w:r>
          </w:p>
          <w:p w14:paraId="083547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（4）根据布鲁姆认知学习领域目标中的记忆、理解、应用、分析、评价、创造，搭建知识图谱标签体系；</w:t>
            </w:r>
          </w:p>
          <w:p w14:paraId="27B89A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（5）支持完善图谱的节点名称、节点描述、节点目标、节点属性等基础信息；支持标记是否关联岗位、是否关联证书、是否为赛点、是否为课程思政点等；支持设置、自定义添加节点标签；</w:t>
            </w:r>
          </w:p>
          <w:p w14:paraId="5F659F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（6）提供AI助写功能，支持智能生成图谱的节点描述、知识节点目标等；</w:t>
            </w:r>
          </w:p>
          <w:p w14:paraId="240B1A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（7）支持添加节点关系，如包含、并列、先后关系；</w:t>
            </w:r>
          </w:p>
          <w:p w14:paraId="76F4E7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（8）支持将图谱节点与该教师统一资源中心、专业资源库、本地的资源相关联，建立课程知识点与资源的绑定关系，对应资源可同步至课程下；</w:t>
            </w:r>
          </w:p>
          <w:p w14:paraId="29A909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（9）支持将图谱节点与课程的作业、测验、考试等相关联，建立课程知识点与作业、考试、测验的绑定关系，对应作业、测验、考试等可同步至课程下。</w:t>
            </w:r>
          </w:p>
          <w:p w14:paraId="63B4A9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3.图谱协作</w:t>
            </w:r>
          </w:p>
          <w:p w14:paraId="78A5EA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（1）支持课程的教学团队成员参与图谱协作，课程负责人可为其分配协作节点，设置任务截止时间等；</w:t>
            </w:r>
          </w:p>
          <w:p w14:paraId="005CCE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（2）课程负责人拥有全部课程节点的编辑权限；</w:t>
            </w:r>
          </w:p>
          <w:p w14:paraId="68FC61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（3）支持课程负责人修改、撤销相关任务；</w:t>
            </w:r>
          </w:p>
          <w:p w14:paraId="603265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（4）支持团队成员编辑完成提交后到课程主持人进行审核。</w:t>
            </w:r>
          </w:p>
          <w:p w14:paraId="06E7C2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4.图谱统计</w:t>
            </w:r>
          </w:p>
          <w:p w14:paraId="635891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（1）提供各级节点数、关联岗位、关联证书、关联赛项等的统计数量；</w:t>
            </w:r>
          </w:p>
          <w:p w14:paraId="2C8948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（2）提供关联资源数、关联作业测验考试的数量总和、团队成员数、点击次数和访问次数等。</w:t>
            </w:r>
          </w:p>
          <w:p w14:paraId="5E4B27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（四）课程智能体建设</w:t>
            </w:r>
          </w:p>
          <w:p w14:paraId="37710B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基于大模型核心能力，训练解析基于本课程的课程级智能体，提供课程级别的智能问答助手。</w:t>
            </w:r>
          </w:p>
          <w:p w14:paraId="03372D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（五）AI工具集</w:t>
            </w:r>
          </w:p>
          <w:p w14:paraId="1BEBB9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1.AI批阅，依托大模型与智能体技术，结合评分标准，深入剖析答案内容，高效批改作业与考试，自动打分并提供智能批语。</w:t>
            </w:r>
          </w:p>
          <w:p w14:paraId="0546E3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（1）支持自动分析学生的回答，提供总结性评价，智能批阅简答题目，产出评语、评分等；</w:t>
            </w:r>
          </w:p>
          <w:p w14:paraId="0F6DF8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（2）针对内容提供细致评价，提供更为细致的智能批阅结果，如逐句评价等；</w:t>
            </w:r>
          </w:p>
          <w:p w14:paraId="22B4C1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（3）提供其他维度评阅结果，如针对某道题目产出其在学习态度、认知能力、表达能力等方面进行评价。</w:t>
            </w:r>
          </w:p>
          <w:p w14:paraId="07E75D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2.AI课程教学报告，针对课程中产生的教学行为过程数据，提供课程教学报告，报告在提供基础教学数据的基础上，推出更为新颖的评价指标和维度。</w:t>
            </w:r>
          </w:p>
          <w:p w14:paraId="3DC22F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1）根据学习用户量、成绩分布、进度分布、课程建设内容等指标形成课程的评价；总结课程最需要关注的数据，包括表现最突出的学生、最受欢迎的问题、整体分数最好的一场考试、最需要关注的知识点等；来生成AI课程教学评价，包括知识点掌握程度评价、学生考测评排行榜等；</w:t>
            </w:r>
          </w:p>
          <w:p w14:paraId="3C93AE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（2）根据课程突出数据，生成课程风格，如以视频资源为主、题库丰富、讨论气氛热烈等；</w:t>
            </w:r>
          </w:p>
          <w:p w14:paraId="71370C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3）教学详情部分智能分析学生的参与情况、课程设计情况、智能工具使用情况、知识图谱建设情况、考测评情况等数据，汇聚展示老师需要关注的重点内容，如登录时间分布、学生讨论关键词、视频解析及错题关键词、热门对话问题TOP5、班级薄弱知识图谱等；</w:t>
            </w:r>
          </w:p>
          <w:p w14:paraId="65E047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（4）根据整体教学过程数据智能生成课程建设参考，为老师在资源建设、内容建设、实践与理论结合方面提供参考。</w:t>
            </w:r>
          </w:p>
          <w:p w14:paraId="4896FB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3.AI学习助手</w:t>
            </w:r>
          </w:p>
          <w:p w14:paraId="4AC469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（1）课程学习，配套展示在对应课程学习的页面，支持学生随时调用，进行基于课程内容学习的过程性问答；</w:t>
            </w:r>
          </w:p>
          <w:p w14:paraId="233D28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（2）讨论支持，在讨论区自动解答学生发起的讨论问题；</w:t>
            </w:r>
          </w:p>
          <w:p w14:paraId="509A56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（3）答疑支持，在答疑区自动解答学生发起的提问。</w:t>
            </w:r>
          </w:p>
          <w:p w14:paraId="2BDDFF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4.AI视频理解，对课程视频资源提供章节速览、视频总结、字幕提取、实时翻译、热词解析等智能功能，帮助学生提升学习效率。</w:t>
            </w:r>
          </w:p>
          <w:p w14:paraId="5EF21C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（1）AI视频速览，使用多模态技术对视频进行切片，梳理视频资源的知识点，并可更根据知识点点击跳转对应视频片段；</w:t>
            </w:r>
          </w:p>
          <w:p w14:paraId="3C4C4F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（2）AI视频字幕及实时翻译，自动生成视频字幕，支持；</w:t>
            </w:r>
          </w:p>
          <w:p w14:paraId="206E47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（3）AI视频总结，基于视频内容自动提取生成视频概要总结；</w:t>
            </w:r>
          </w:p>
          <w:p w14:paraId="655DB9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（4）AI热词解析，自动生成热词词云，点击词云，即可支持基于词云的对话。</w:t>
            </w:r>
          </w:p>
          <w:p w14:paraId="36C62C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5.全平台智能回复接入“绿网”功能，运用前沿的语义分析与内容识别技术，构建起多层级内容过滤机制，对平台上所有智能生成的回复内容进行实时、精准审查，能够迅速识别各类不良或敏感信息，包括但不限于低俗内容、错误价值观导向言论、不实知识信息等。</w:t>
            </w:r>
          </w:p>
          <w:p w14:paraId="1DE68D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6.AI文档解析</w:t>
            </w:r>
          </w:p>
          <w:p w14:paraId="0DA667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（1）支持Word、PDF等文档格式上传，可基于文档进行问答对话；</w:t>
            </w:r>
          </w:p>
          <w:p w14:paraId="5270D1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（2）支持基于文档的分层级总结，并可对重点内容特殊标记。</w:t>
            </w:r>
          </w:p>
          <w:p w14:paraId="422B08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7.AI错题解析，为学生设计的一项智能化服务，当学生在学习过程中遇到错题且没有解析时，AI错题解析将可智能解析错因并同时提供相关知识点资源展示。</w:t>
            </w:r>
          </w:p>
          <w:p w14:paraId="7D531F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8.AI学习报告，根据学生参与度、成绩、学习风格和偏好、学习路径和薄弱点知识点分析生成AI学习报告。</w:t>
            </w:r>
          </w:p>
          <w:p w14:paraId="25D13C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（1）根据登录频率、学习时长、课程资源内容学习情况、讨论答疑数据、测验和作业完成情况分析学生的参与度，将数据给到大模型，生成总结性评语，提供智能学习评价；</w:t>
            </w:r>
          </w:p>
          <w:p w14:paraId="26BE89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（2）将学习材料类型偏好、学习时间分布散点图、学习成绩趋势、难点掌握情况数据给到大模型，生成学生的学习习惯类型，提升学生学习内驱力，生成学习建议；</w:t>
            </w:r>
          </w:p>
          <w:p w14:paraId="172EC0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3）展示学习详情，提供学习参与度情况，如登录情况、资源学习情况、作测考完成情况、参与讨论情况等；提供智能工具使用情况，如错题解析情况、视频解析情况、智能体对话情况、图谱使用情况等；提供学习成果情况，根据作测考数据生成学习成果智能评价。</w:t>
            </w:r>
          </w:p>
          <w:p w14:paraId="2096B1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（六）个性化学习空间</w:t>
            </w:r>
          </w:p>
          <w:p w14:paraId="310CE7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1.课程学习</w:t>
            </w:r>
          </w:p>
          <w:p w14:paraId="71119F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（1）内容学习，支持学习课程资源内容，包括视频、图片、文档、富媒体、音频等课程资源的在线学习，并记录学习过程数据；</w:t>
            </w:r>
          </w:p>
          <w:p w14:paraId="4E1AC5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（2）课程公告查看，支持展示并查看教师发布的课程公告；</w:t>
            </w:r>
          </w:p>
          <w:p w14:paraId="447859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（3）作业、测验、考试，支持学生进行课程中的作业、测验、考试的作答，可实现在线答题、提交、查看等；</w:t>
            </w:r>
          </w:p>
          <w:p w14:paraId="32C626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（4）个人成绩，支持查看成绩展示模块，包括综合成绩、分项得分等内容；</w:t>
            </w:r>
          </w:p>
          <w:p w14:paraId="280334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（5）课程讨论，支持学生参与课程讨论，包括话题评论、回复、点赞等；</w:t>
            </w:r>
          </w:p>
          <w:p w14:paraId="2B6075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（6）课程答疑，支持学生在答疑区发起问题，教师可对问题进行解答；</w:t>
            </w:r>
          </w:p>
          <w:p w14:paraId="0BF850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（7）课程笔记，支持学生学习时，创建课程笔记。</w:t>
            </w:r>
          </w:p>
          <w:p w14:paraId="58B3B3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2.消息通知，支持学生查看收到的课程相关通知。</w:t>
            </w:r>
          </w:p>
          <w:p w14:paraId="0BA230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3.收藏夹，支持学生收藏课程，收藏的课程可在收藏夹中进行查看。</w:t>
            </w:r>
          </w:p>
          <w:p w14:paraId="5F5F4B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4.学习计划，支持学生制定学习计划，系统根据学生制定的学习计划进行消息提示与督促，实时更新展示学习计划的完成程度。</w:t>
            </w:r>
          </w:p>
          <w:p w14:paraId="428C0A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5.我的证书，支持申请已学习通过的课程证书，支持展示、下载课程证书。</w:t>
            </w:r>
          </w:p>
          <w:p w14:paraId="4A16BC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6.课程图谱以自由分布和有序呈现两种方式展示课程结构，主要用于辅助用户以图谱化的形式学习课程，直观查看节点之间的层级关系。课程图谱包含知识点图谱和技能点图谱，支持以图谱形式呈现整体的课程内容，支持用户查看并学习每个节点下包含的资源、作业、测验、考试。资源学习进度与课程内容学习进度实时同步。</w:t>
            </w:r>
          </w:p>
          <w:p w14:paraId="5FEE14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7.学情图谱以图谱形式展示出学生的学习进度、测评分数、薄弱知识点，主要用于学生更加直观的查看个人学习情况。</w:t>
            </w:r>
          </w:p>
          <w:p w14:paraId="77C0F2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1）进度图谱，支持以图谱形式直观呈现课程、每个节点的学习进度；支持用户查看每个节点下包含的学习资源列表，以及各资源的学习进度；支持显示当前节点中所有的资源以及每个资源的学习进度；支持直接点击弹窗中的资源进行学习；</w:t>
            </w:r>
          </w:p>
          <w:p w14:paraId="7E54DE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（2）测评图谱，支持以图谱形式直观呈现课程每个节点的作业、测验、考试的列表及作答成绩；可以进入弹窗中的试卷进行作答；</w:t>
            </w:r>
          </w:p>
          <w:p w14:paraId="5EAE5E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（3）薄弱知识点图谱，支持以图谱形式直观呈现每个节点的资源、作业、测验、考试的整体掌握程度；支持显示掌握程度、学习进度及测评得分率的相关数据。</w:t>
            </w:r>
          </w:p>
          <w:p w14:paraId="6ABB0F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8.职业图谱呈现出课程内容与岗赛证之间的关系，主要用于辅助学生根据岗位准备、证书及比赛备考等需求来进行课程学习。</w:t>
            </w:r>
          </w:p>
          <w:p w14:paraId="49291F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1）岗位图谱，支持以图谱形式直观呈现课程、每个节点关联的岗位信息；支持用户查看各个岗位的工作领域、工作任务、技能描述与课程节点的关联关系，支持查看节点设置的岗位、证书等相关信息，支持查看具体资源；</w:t>
            </w:r>
          </w:p>
          <w:p w14:paraId="616008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（2）比赛图谱，支持以图谱形式直观呈现课程、每个节点关联的比赛及赛项信息；支持用户查看各个比赛的赛项、赛点与课程节点的关联关系，支持查看节点设置的岗位、证书等相关信息，支持查看具体资源；</w:t>
            </w:r>
          </w:p>
          <w:p w14:paraId="06E509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（3）证书图谱，支持以图谱形式直观呈现课程、每个节点关联的证书信息；支持用户查看各个证书及证书考点与课程节点的关联关系，支持查看节点设置的岗位、证书等相关信息，支持查看具体资源。</w:t>
            </w:r>
          </w:p>
          <w:p w14:paraId="68BF18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9.学情统计，支持查看了解学习过程中各项学习数据的统计情况。包括综合成绩、讨论数据、访问数据、学习进度、章节学习次数、学习时长等数据。</w:t>
            </w:r>
          </w:p>
          <w:p w14:paraId="170956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（七）课程上线运行服务</w:t>
            </w:r>
          </w:p>
          <w:p w14:paraId="630C60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1.课程资源制作全部完成后，编辑团队负责将课程资源上线至课程运行所需的公共运行平台，并提供在线课程运营服务，每学期提供课程运行数据分析及改进建议。</w:t>
            </w:r>
          </w:p>
          <w:p w14:paraId="4F9563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kern w:val="2"/>
                <w:sz w:val="21"/>
                <w:szCs w:val="21"/>
                <w:lang w:val="en-US" w:eastAsia="zh-CN" w:bidi="ar"/>
              </w:rPr>
              <w:t>2.指导课程团队教师熟练使用课程平台开展混合式教学，提升教师信息化教学能力。</w:t>
            </w:r>
          </w:p>
        </w:tc>
        <w:tc>
          <w:tcPr>
            <w:tcW w:w="562"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17E4AE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2"/>
                <w:sz w:val="21"/>
                <w:szCs w:val="21"/>
                <w:lang w:val="en-US" w:eastAsia="zh-CN" w:bidi="ar"/>
              </w:rPr>
              <w:t>项</w:t>
            </w:r>
          </w:p>
        </w:tc>
        <w:tc>
          <w:tcPr>
            <w:tcW w:w="450"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5B1104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2"/>
                <w:sz w:val="21"/>
                <w:szCs w:val="21"/>
                <w:lang w:val="en-US" w:eastAsia="zh-CN" w:bidi="ar"/>
              </w:rPr>
              <w:t>1</w:t>
            </w:r>
          </w:p>
        </w:tc>
        <w:tc>
          <w:tcPr>
            <w:tcW w:w="788" w:type="dxa"/>
            <w:gridSpan w:val="2"/>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4F2AB7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bidi="ar"/>
              </w:rPr>
              <w:t>20000</w:t>
            </w:r>
          </w:p>
        </w:tc>
        <w:tc>
          <w:tcPr>
            <w:tcW w:w="858"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351843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bidi="ar"/>
              </w:rPr>
              <w:t>20000</w:t>
            </w:r>
          </w:p>
        </w:tc>
        <w:tc>
          <w:tcPr>
            <w:tcW w:w="1046"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2CBA38D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leftChars="0" w:right="0" w:rightChars="0"/>
              <w:jc w:val="both"/>
              <w:textAlignment w:val="center"/>
              <w:rPr>
                <w:rFonts w:hint="eastAsia" w:ascii="宋体" w:hAnsi="宋体" w:eastAsia="宋体" w:cs="宋体"/>
                <w:color w:val="auto"/>
                <w:sz w:val="21"/>
                <w:szCs w:val="21"/>
                <w:lang w:val="en-US" w:eastAsia="zh-CN"/>
              </w:rPr>
            </w:pPr>
          </w:p>
        </w:tc>
      </w:tr>
      <w:tr w14:paraId="3B3DD8A7">
        <w:tblPrEx>
          <w:tblCellMar>
            <w:top w:w="0" w:type="dxa"/>
            <w:left w:w="0" w:type="dxa"/>
            <w:bottom w:w="0" w:type="dxa"/>
            <w:right w:w="0" w:type="dxa"/>
          </w:tblCellMar>
        </w:tblPrEx>
        <w:trPr>
          <w:trHeight w:val="0" w:hRule="atLeast"/>
          <w:jc w:val="center"/>
        </w:trPr>
        <w:tc>
          <w:tcPr>
            <w:tcW w:w="443" w:type="dxa"/>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CB367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w:t>
            </w:r>
          </w:p>
        </w:tc>
        <w:tc>
          <w:tcPr>
            <w:tcW w:w="656"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776777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2"/>
                <w:sz w:val="21"/>
                <w:szCs w:val="21"/>
                <w:lang w:val="en-US" w:eastAsia="zh-CN" w:bidi="ar"/>
              </w:rPr>
              <w:t>图片素材采集</w:t>
            </w:r>
          </w:p>
        </w:tc>
        <w:tc>
          <w:tcPr>
            <w:tcW w:w="638"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78AD83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定制</w:t>
            </w:r>
          </w:p>
        </w:tc>
        <w:tc>
          <w:tcPr>
            <w:tcW w:w="4767"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001450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1.制作内容：图片素材10张。</w:t>
            </w:r>
          </w:p>
          <w:p w14:paraId="3EA8D8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2.根据课程需求，乙方安排摄影师汇同校方课程团队前往拍摄地点进行图片采集。画面结构做到主次有别、弃繁就简、布局适宜，保证图片符合教学要求、美学要求。</w:t>
            </w:r>
          </w:p>
          <w:p w14:paraId="0E670B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3.图片采集服务限定乙方所在城市和校方所在城市区域范围内，不含其他区域的拍摄服务。</w:t>
            </w:r>
          </w:p>
          <w:p w14:paraId="5537CF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4.图片分辨率不低于1024×768，分辨率不低于150dpi。</w:t>
            </w:r>
          </w:p>
          <w:p w14:paraId="3F175F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5.图像内容要求清晰可辨识，不需要借助额外的设备即可辨认图片资源所需要表达的主体内容。</w:t>
            </w:r>
          </w:p>
          <w:p w14:paraId="0C3685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6.采集好的图片，根据画面情况使用图像处理软件进行裁剪、校色、去污、纠偏等二次美化，使页面整洁、清晰。</w:t>
            </w:r>
          </w:p>
          <w:p w14:paraId="46CB57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7.图形/图像内容符合我国法律法规，尊重各民族的风俗习惯，版权不存在争议。</w:t>
            </w:r>
          </w:p>
          <w:p w14:paraId="74C6BE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2"/>
                <w:sz w:val="21"/>
                <w:szCs w:val="21"/>
                <w:lang w:val="en-US" w:eastAsia="zh-CN" w:bidi="ar"/>
              </w:rPr>
              <w:t>8.图片格式为*.jpg*.png。</w:t>
            </w:r>
          </w:p>
        </w:tc>
        <w:tc>
          <w:tcPr>
            <w:tcW w:w="562"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79189B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auto"/>
                <w:sz w:val="21"/>
                <w:szCs w:val="21"/>
                <w:lang w:bidi="ar"/>
              </w:rPr>
            </w:pPr>
            <w:r>
              <w:rPr>
                <w:rFonts w:hint="eastAsia" w:ascii="宋体" w:hAnsi="宋体" w:eastAsia="宋体" w:cs="宋体"/>
                <w:i w:val="0"/>
                <w:iCs w:val="0"/>
                <w:color w:val="000000"/>
                <w:kern w:val="2"/>
                <w:sz w:val="21"/>
                <w:szCs w:val="21"/>
                <w:lang w:val="en-US" w:eastAsia="zh-CN" w:bidi="ar"/>
              </w:rPr>
              <w:t>张</w:t>
            </w:r>
          </w:p>
        </w:tc>
        <w:tc>
          <w:tcPr>
            <w:tcW w:w="450"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1601F0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宋体" w:hAnsi="宋体" w:eastAsia="宋体" w:cs="宋体"/>
                <w:color w:val="auto"/>
                <w:sz w:val="21"/>
                <w:szCs w:val="21"/>
                <w:lang w:bidi="ar"/>
              </w:rPr>
            </w:pPr>
            <w:r>
              <w:rPr>
                <w:rFonts w:hint="eastAsia" w:ascii="宋体" w:hAnsi="宋体" w:eastAsia="宋体" w:cs="宋体"/>
                <w:i w:val="0"/>
                <w:iCs w:val="0"/>
                <w:color w:val="000000"/>
                <w:kern w:val="2"/>
                <w:sz w:val="21"/>
                <w:szCs w:val="21"/>
                <w:lang w:val="en-US" w:eastAsia="zh-CN" w:bidi="ar"/>
              </w:rPr>
              <w:t>10</w:t>
            </w:r>
          </w:p>
        </w:tc>
        <w:tc>
          <w:tcPr>
            <w:tcW w:w="788" w:type="dxa"/>
            <w:gridSpan w:val="2"/>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4A851D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rPr>
                <w:rFonts w:hint="eastAsia" w:ascii="宋体" w:hAnsi="宋体" w:eastAsia="宋体" w:cs="宋体"/>
                <w:color w:val="auto"/>
                <w:sz w:val="21"/>
                <w:szCs w:val="21"/>
                <w:lang w:bidi="ar"/>
              </w:rPr>
            </w:pPr>
            <w:r>
              <w:rPr>
                <w:rFonts w:hint="eastAsia" w:ascii="宋体" w:hAnsi="宋体" w:eastAsia="宋体" w:cs="宋体"/>
                <w:color w:val="auto"/>
                <w:kern w:val="0"/>
                <w:sz w:val="21"/>
                <w:szCs w:val="21"/>
                <w:lang w:val="en-US" w:eastAsia="zh-CN" w:bidi="ar"/>
              </w:rPr>
              <w:t>50</w:t>
            </w:r>
          </w:p>
        </w:tc>
        <w:tc>
          <w:tcPr>
            <w:tcW w:w="858"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71E9DB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leftChars="0" w:right="0" w:rightChars="0"/>
              <w:jc w:val="center"/>
              <w:textAlignment w:val="center"/>
              <w:rPr>
                <w:rFonts w:hint="eastAsia" w:ascii="宋体" w:hAnsi="宋体" w:eastAsia="宋体" w:cs="宋体"/>
                <w:color w:val="auto"/>
                <w:sz w:val="21"/>
                <w:szCs w:val="21"/>
                <w:lang w:bidi="ar"/>
              </w:rPr>
            </w:pPr>
            <w:r>
              <w:rPr>
                <w:rFonts w:hint="eastAsia" w:ascii="宋体" w:hAnsi="宋体" w:eastAsia="宋体" w:cs="宋体"/>
                <w:color w:val="auto"/>
                <w:kern w:val="0"/>
                <w:sz w:val="21"/>
                <w:szCs w:val="21"/>
                <w:lang w:val="en-US" w:eastAsia="zh-CN" w:bidi="ar"/>
              </w:rPr>
              <w:t>500</w:t>
            </w:r>
          </w:p>
        </w:tc>
        <w:tc>
          <w:tcPr>
            <w:tcW w:w="1046" w:type="dxa"/>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1891CDE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leftChars="0" w:right="0" w:rightChars="0"/>
              <w:jc w:val="both"/>
              <w:textAlignment w:val="center"/>
              <w:rPr>
                <w:rFonts w:hint="eastAsia" w:ascii="宋体" w:hAnsi="宋体" w:eastAsia="宋体" w:cs="宋体"/>
                <w:color w:val="auto"/>
                <w:sz w:val="21"/>
                <w:szCs w:val="21"/>
                <w:lang w:bidi="ar"/>
              </w:rPr>
            </w:pPr>
          </w:p>
        </w:tc>
      </w:tr>
      <w:tr w14:paraId="01FE13B6">
        <w:tblPrEx>
          <w:tblCellMar>
            <w:top w:w="0" w:type="dxa"/>
            <w:left w:w="0" w:type="dxa"/>
            <w:bottom w:w="0" w:type="dxa"/>
            <w:right w:w="0" w:type="dxa"/>
          </w:tblCellMar>
        </w:tblPrEx>
        <w:trPr>
          <w:trHeight w:val="0" w:hRule="atLeast"/>
          <w:jc w:val="center"/>
        </w:trPr>
        <w:tc>
          <w:tcPr>
            <w:tcW w:w="7699" w:type="dxa"/>
            <w:gridSpan w:val="7"/>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0B76140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center"/>
              <w:textAlignment w:val="center"/>
              <w:rPr>
                <w:rFonts w:hint="eastAsia" w:ascii="宋体" w:hAnsi="宋体" w:eastAsia="宋体" w:cs="宋体"/>
                <w:color w:val="auto"/>
                <w:sz w:val="21"/>
                <w:szCs w:val="21"/>
                <w:lang w:bidi="ar"/>
              </w:rPr>
            </w:pPr>
            <w:r>
              <w:rPr>
                <w:rFonts w:hint="eastAsia" w:ascii="宋体" w:hAnsi="宋体" w:cs="宋体"/>
                <w:b/>
                <w:bCs/>
                <w:color w:val="auto"/>
                <w:sz w:val="21"/>
                <w:szCs w:val="21"/>
                <w:lang w:val="en-US" w:eastAsia="zh-CN" w:bidi="ar"/>
              </w:rPr>
              <w:t>标项四</w:t>
            </w:r>
            <w:r>
              <w:rPr>
                <w:rFonts w:hint="eastAsia" w:ascii="宋体" w:hAnsi="宋体" w:eastAsia="宋体" w:cs="宋体"/>
                <w:b/>
                <w:bCs/>
                <w:color w:val="auto"/>
                <w:sz w:val="21"/>
                <w:szCs w:val="21"/>
                <w:lang w:bidi="ar"/>
              </w:rPr>
              <w:t>合计金额：（大写）人民币</w:t>
            </w:r>
            <w:r>
              <w:rPr>
                <w:rFonts w:hint="eastAsia" w:ascii="宋体" w:hAnsi="宋体" w:eastAsia="宋体" w:cs="宋体"/>
                <w:b/>
                <w:bCs/>
                <w:color w:val="auto"/>
                <w:sz w:val="21"/>
                <w:szCs w:val="21"/>
                <w:u w:val="single"/>
                <w:lang w:val="en-US" w:bidi="ar"/>
              </w:rPr>
              <w:t xml:space="preserve"> </w:t>
            </w:r>
            <w:r>
              <w:rPr>
                <w:rFonts w:hint="eastAsia" w:ascii="宋体" w:hAnsi="宋体" w:eastAsia="宋体" w:cs="宋体"/>
                <w:b/>
                <w:bCs/>
                <w:color w:val="auto"/>
                <w:sz w:val="21"/>
                <w:szCs w:val="21"/>
                <w:u w:val="single"/>
                <w:lang w:val="en-US" w:eastAsia="zh-CN" w:bidi="ar"/>
              </w:rPr>
              <w:t>壹拾玖万玖仟</w:t>
            </w:r>
            <w:r>
              <w:rPr>
                <w:rFonts w:hint="eastAsia" w:ascii="宋体" w:hAnsi="宋体" w:eastAsia="宋体" w:cs="宋体"/>
                <w:b/>
                <w:bCs/>
                <w:color w:val="auto"/>
                <w:sz w:val="21"/>
                <w:szCs w:val="21"/>
                <w:u w:val="single"/>
                <w:lang w:val="en-US" w:bidi="ar"/>
              </w:rPr>
              <w:t xml:space="preserve"> </w:t>
            </w:r>
            <w:r>
              <w:rPr>
                <w:rFonts w:hint="eastAsia" w:ascii="宋体" w:hAnsi="宋体" w:eastAsia="宋体" w:cs="宋体"/>
                <w:b/>
                <w:bCs/>
                <w:color w:val="auto"/>
                <w:sz w:val="21"/>
                <w:szCs w:val="21"/>
                <w:lang w:bidi="ar"/>
              </w:rPr>
              <w:t>元整</w:t>
            </w:r>
          </w:p>
        </w:tc>
        <w:tc>
          <w:tcPr>
            <w:tcW w:w="2509" w:type="dxa"/>
            <w:gridSpan w:val="3"/>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BF5BB9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b/>
                <w:bCs/>
                <w:color w:val="auto"/>
                <w:sz w:val="21"/>
                <w:szCs w:val="21"/>
                <w:lang w:val="en-US" w:eastAsia="zh-CN" w:bidi="ar"/>
              </w:rPr>
            </w:pPr>
            <w:r>
              <w:rPr>
                <w:rFonts w:hint="eastAsia" w:ascii="宋体" w:hAnsi="宋体" w:eastAsia="宋体" w:cs="宋体"/>
                <w:b/>
                <w:bCs/>
                <w:color w:val="auto"/>
                <w:sz w:val="21"/>
                <w:szCs w:val="21"/>
                <w:lang w:val="en-US" w:eastAsia="zh-CN" w:bidi="ar"/>
              </w:rPr>
              <w:t>（小写）¥</w:t>
            </w:r>
            <w:r>
              <w:rPr>
                <w:rFonts w:hint="eastAsia" w:ascii="宋体" w:hAnsi="宋体" w:eastAsia="宋体" w:cs="宋体"/>
                <w:b/>
                <w:bCs/>
                <w:color w:val="auto"/>
                <w:sz w:val="21"/>
                <w:szCs w:val="21"/>
                <w:u w:val="single"/>
                <w:lang w:val="en-US" w:eastAsia="zh-CN" w:bidi="ar"/>
              </w:rPr>
              <w:t xml:space="preserve"> 199000.00 </w:t>
            </w:r>
            <w:r>
              <w:rPr>
                <w:rFonts w:hint="eastAsia" w:ascii="宋体" w:hAnsi="宋体" w:eastAsia="宋体" w:cs="宋体"/>
                <w:b/>
                <w:bCs/>
                <w:color w:val="auto"/>
                <w:sz w:val="21"/>
                <w:szCs w:val="21"/>
                <w:lang w:val="en-US" w:eastAsia="zh-CN" w:bidi="ar"/>
              </w:rPr>
              <w:t xml:space="preserve">元     </w:t>
            </w:r>
          </w:p>
        </w:tc>
      </w:tr>
      <w:tr w14:paraId="7DA63A08">
        <w:tblPrEx>
          <w:tblCellMar>
            <w:top w:w="0" w:type="dxa"/>
            <w:left w:w="0" w:type="dxa"/>
            <w:bottom w:w="0" w:type="dxa"/>
            <w:right w:w="0" w:type="dxa"/>
          </w:tblCellMar>
        </w:tblPrEx>
        <w:trPr>
          <w:trHeight w:val="0" w:hRule="atLeast"/>
          <w:jc w:val="center"/>
        </w:trPr>
        <w:tc>
          <w:tcPr>
            <w:tcW w:w="10208" w:type="dxa"/>
            <w:gridSpan w:val="10"/>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D1EA0C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center"/>
              <w:rPr>
                <w:rFonts w:hint="eastAsia" w:ascii="宋体" w:hAnsi="宋体" w:eastAsia="宋体" w:cs="宋体"/>
                <w:color w:val="auto"/>
                <w:sz w:val="21"/>
                <w:szCs w:val="21"/>
                <w:lang w:bidi="ar"/>
              </w:rPr>
            </w:pPr>
            <w:r>
              <w:rPr>
                <w:rFonts w:hint="eastAsia" w:ascii="宋体" w:hAnsi="宋体" w:eastAsia="宋体" w:cs="宋体"/>
                <w:b/>
                <w:bCs/>
                <w:color w:val="auto"/>
                <w:sz w:val="21"/>
                <w:szCs w:val="21"/>
                <w:lang w:bidi="ar"/>
              </w:rPr>
              <w:t>▲二、商务要求</w:t>
            </w:r>
          </w:p>
        </w:tc>
      </w:tr>
      <w:tr w14:paraId="35D90496">
        <w:tblPrEx>
          <w:tblCellMar>
            <w:top w:w="0" w:type="dxa"/>
            <w:left w:w="0" w:type="dxa"/>
            <w:bottom w:w="0" w:type="dxa"/>
            <w:right w:w="0" w:type="dxa"/>
          </w:tblCellMar>
        </w:tblPrEx>
        <w:trPr>
          <w:trHeight w:val="0" w:hRule="atLeast"/>
          <w:jc w:val="center"/>
        </w:trPr>
        <w:tc>
          <w:tcPr>
            <w:tcW w:w="1737" w:type="dxa"/>
            <w:gridSpan w:val="3"/>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363B1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bCs/>
                <w:sz w:val="21"/>
                <w:szCs w:val="21"/>
                <w:highlight w:val="none"/>
              </w:rPr>
              <w:t>报价要求</w:t>
            </w:r>
          </w:p>
        </w:tc>
        <w:tc>
          <w:tcPr>
            <w:tcW w:w="8471" w:type="dxa"/>
            <w:gridSpan w:val="7"/>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58E140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报价为采购人指定地点的现场交付价格，包括但不限于：</w:t>
            </w:r>
          </w:p>
          <w:p w14:paraId="4F7DAF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1）采购内容中所有货物和服务的价格；</w:t>
            </w:r>
          </w:p>
          <w:p w14:paraId="63D2C8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2）货物的标准附件、备品备件、专用工具的价格；</w:t>
            </w:r>
          </w:p>
          <w:p w14:paraId="26D0AF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sz w:val="21"/>
                <w:szCs w:val="21"/>
              </w:rPr>
              <w:t>3）运输、装卸、安装（含安装材料）、调试、培训、技术支持、售后服务的费用，质保期内免费维修、养护、软件升级等费用；</w:t>
            </w:r>
          </w:p>
          <w:p w14:paraId="5F49E3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1"/>
                <w:szCs w:val="21"/>
                <w:lang w:bidi="ar"/>
              </w:rPr>
            </w:pPr>
            <w:r>
              <w:rPr>
                <w:rFonts w:hint="eastAsia" w:ascii="宋体" w:hAnsi="宋体" w:eastAsia="宋体" w:cs="宋体"/>
                <w:sz w:val="21"/>
                <w:szCs w:val="21"/>
              </w:rPr>
              <w:t>4）必要的保险、检测费用和各项税费等。</w:t>
            </w:r>
          </w:p>
        </w:tc>
      </w:tr>
      <w:tr w14:paraId="012ED2C8">
        <w:tblPrEx>
          <w:tblCellMar>
            <w:top w:w="0" w:type="dxa"/>
            <w:left w:w="0" w:type="dxa"/>
            <w:bottom w:w="0" w:type="dxa"/>
            <w:right w:w="0" w:type="dxa"/>
          </w:tblCellMar>
        </w:tblPrEx>
        <w:trPr>
          <w:trHeight w:val="0" w:hRule="atLeast"/>
          <w:jc w:val="center"/>
        </w:trPr>
        <w:tc>
          <w:tcPr>
            <w:tcW w:w="1737" w:type="dxa"/>
            <w:gridSpan w:val="3"/>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B8CDC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bCs/>
                <w:sz w:val="21"/>
                <w:szCs w:val="21"/>
                <w:highlight w:val="none"/>
              </w:rPr>
              <w:t>质保期</w:t>
            </w:r>
          </w:p>
        </w:tc>
        <w:tc>
          <w:tcPr>
            <w:tcW w:w="8471" w:type="dxa"/>
            <w:gridSpan w:val="7"/>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40A77B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1"/>
                <w:szCs w:val="21"/>
              </w:rPr>
            </w:pPr>
            <w:r>
              <w:rPr>
                <w:rFonts w:hint="eastAsia" w:ascii="宋体" w:hAnsi="宋体" w:eastAsia="宋体" w:cs="宋体"/>
                <w:b/>
                <w:sz w:val="21"/>
                <w:szCs w:val="21"/>
              </w:rPr>
              <w:t>1.质保期</w:t>
            </w:r>
            <w:r>
              <w:rPr>
                <w:rFonts w:hint="eastAsia" w:ascii="宋体" w:hAnsi="宋体" w:eastAsia="宋体" w:cs="宋体"/>
                <w:b/>
                <w:sz w:val="21"/>
                <w:szCs w:val="21"/>
                <w:highlight w:val="none"/>
                <w:lang w:eastAsia="zh-CN"/>
              </w:rPr>
              <w:t>：</w:t>
            </w:r>
            <w:r>
              <w:rPr>
                <w:rFonts w:hint="eastAsia" w:ascii="宋体" w:hAnsi="宋体" w:eastAsia="宋体" w:cs="宋体"/>
                <w:b/>
                <w:sz w:val="21"/>
                <w:szCs w:val="21"/>
                <w:highlight w:val="none"/>
                <w:u w:val="single"/>
                <w:lang w:val="en-US" w:eastAsia="zh-CN"/>
              </w:rPr>
              <w:t>3年</w:t>
            </w:r>
            <w:r>
              <w:rPr>
                <w:rFonts w:hint="eastAsia" w:ascii="宋体" w:hAnsi="宋体" w:eastAsia="宋体" w:cs="宋体"/>
                <w:b/>
                <w:sz w:val="21"/>
                <w:szCs w:val="21"/>
                <w:highlight w:val="none"/>
              </w:rPr>
              <w:t>。</w:t>
            </w:r>
            <w:r>
              <w:rPr>
                <w:rFonts w:hint="eastAsia" w:ascii="宋体" w:hAnsi="宋体" w:eastAsia="宋体" w:cs="宋体"/>
                <w:sz w:val="21"/>
                <w:szCs w:val="21"/>
              </w:rPr>
              <w:t>（分项货物服务要求中有特别注明的，按特别注明的执行）</w:t>
            </w:r>
          </w:p>
          <w:p w14:paraId="392E05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1"/>
                <w:szCs w:val="21"/>
                <w:lang w:bidi="ar"/>
              </w:rPr>
            </w:pPr>
            <w:r>
              <w:rPr>
                <w:rFonts w:hint="eastAsia" w:ascii="宋体" w:hAnsi="宋体" w:eastAsia="宋体" w:cs="宋体"/>
                <w:sz w:val="21"/>
                <w:szCs w:val="21"/>
              </w:rPr>
              <w:t>2.所有货物服务按国家“三包”有关规定执行“三包”。质保期自交付验收合格之日起计算，质保期内提供上门维修、更换和软件升级服务；质保期结束后，提供终身维护，并优惠提供相关零配件。</w:t>
            </w:r>
          </w:p>
        </w:tc>
      </w:tr>
      <w:tr w14:paraId="04FD3B86">
        <w:tblPrEx>
          <w:tblCellMar>
            <w:top w:w="0" w:type="dxa"/>
            <w:left w:w="0" w:type="dxa"/>
            <w:bottom w:w="0" w:type="dxa"/>
            <w:right w:w="0" w:type="dxa"/>
          </w:tblCellMar>
        </w:tblPrEx>
        <w:trPr>
          <w:trHeight w:val="0" w:hRule="atLeast"/>
          <w:jc w:val="center"/>
        </w:trPr>
        <w:tc>
          <w:tcPr>
            <w:tcW w:w="1737" w:type="dxa"/>
            <w:gridSpan w:val="3"/>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3B949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bCs/>
                <w:sz w:val="21"/>
                <w:szCs w:val="21"/>
                <w:highlight w:val="none"/>
              </w:rPr>
              <w:t>产品及售后服务要求</w:t>
            </w:r>
          </w:p>
        </w:tc>
        <w:tc>
          <w:tcPr>
            <w:tcW w:w="8471" w:type="dxa"/>
            <w:gridSpan w:val="7"/>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7ACF1D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1.成交供应商应对课程资源制作内容及其版权负责，由此产生的一切后果由成交供应商承担。</w:t>
            </w:r>
          </w:p>
          <w:p w14:paraId="2BE5EE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2.成交供应商负责向采购人提供网络、电话及EMAIL支持服务，响应时间不超过1小时，以保证教学资源库的正常使用；若远程支持无法解决问题的，成交供应商须24小时内上门服务，3天内解决。</w:t>
            </w:r>
          </w:p>
          <w:p w14:paraId="0B0A62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3.成交供应商应保障采购人所购课程资源在使用期内的完整性。成交供应商未经采购人许可，不得擅自改变采购人所购数据的服务模式。</w:t>
            </w:r>
          </w:p>
          <w:p w14:paraId="1DDB1B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1"/>
                <w:szCs w:val="21"/>
                <w:lang w:bidi="ar"/>
              </w:rPr>
            </w:pPr>
            <w:r>
              <w:rPr>
                <w:rFonts w:hint="eastAsia" w:ascii="宋体" w:hAnsi="宋体" w:eastAsia="宋体" w:cs="宋体"/>
                <w:b w:val="0"/>
                <w:bCs w:val="0"/>
                <w:color w:val="000000"/>
                <w:sz w:val="21"/>
                <w:szCs w:val="21"/>
                <w:lang w:val="en-US" w:eastAsia="zh-CN"/>
              </w:rPr>
              <w:t>4.成交供应商须定期向采购人通报课程资源拍摄进展情况和资料。</w:t>
            </w:r>
          </w:p>
        </w:tc>
      </w:tr>
      <w:tr w14:paraId="75A001C0">
        <w:tblPrEx>
          <w:tblCellMar>
            <w:top w:w="0" w:type="dxa"/>
            <w:left w:w="0" w:type="dxa"/>
            <w:bottom w:w="0" w:type="dxa"/>
            <w:right w:w="0" w:type="dxa"/>
          </w:tblCellMar>
        </w:tblPrEx>
        <w:trPr>
          <w:trHeight w:val="0" w:hRule="atLeast"/>
          <w:jc w:val="center"/>
        </w:trPr>
        <w:tc>
          <w:tcPr>
            <w:tcW w:w="1737" w:type="dxa"/>
            <w:gridSpan w:val="3"/>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353AF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bCs/>
                <w:sz w:val="21"/>
                <w:szCs w:val="21"/>
                <w:highlight w:val="none"/>
              </w:rPr>
              <w:t>交付时间、交付地点</w:t>
            </w:r>
          </w:p>
        </w:tc>
        <w:tc>
          <w:tcPr>
            <w:tcW w:w="8471" w:type="dxa"/>
            <w:gridSpan w:val="7"/>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404683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1.交付时间：</w:t>
            </w:r>
          </w:p>
          <w:p w14:paraId="1628B4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w:t>
            </w:r>
            <w:r>
              <w:rPr>
                <w:rFonts w:hint="eastAsia" w:ascii="宋体" w:hAnsi="宋体" w:eastAsia="宋体" w:cs="宋体"/>
                <w:spacing w:val="-2"/>
                <w:sz w:val="21"/>
                <w:szCs w:val="21"/>
                <w:highlight w:val="none"/>
              </w:rPr>
              <w:t>1）自签订合同之日</w:t>
            </w:r>
            <w:r>
              <w:rPr>
                <w:rFonts w:hint="eastAsia" w:ascii="宋体" w:hAnsi="宋体" w:eastAsia="宋体" w:cs="宋体"/>
                <w:spacing w:val="-2"/>
                <w:sz w:val="21"/>
                <w:szCs w:val="21"/>
              </w:rPr>
              <w:t>起至2026年9月25日全部交付完成并验收合格。</w:t>
            </w:r>
          </w:p>
          <w:p w14:paraId="4C7335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1"/>
                <w:szCs w:val="21"/>
                <w:lang w:bidi="ar"/>
              </w:rPr>
            </w:pPr>
            <w:r>
              <w:rPr>
                <w:rFonts w:hint="eastAsia" w:ascii="宋体" w:hAnsi="宋体" w:eastAsia="宋体" w:cs="宋体"/>
                <w:sz w:val="21"/>
                <w:szCs w:val="21"/>
              </w:rPr>
              <w:t>2.交付地点：广西农业职业技术大学。</w:t>
            </w:r>
          </w:p>
        </w:tc>
      </w:tr>
      <w:tr w14:paraId="7809FA46">
        <w:tblPrEx>
          <w:tblCellMar>
            <w:top w:w="0" w:type="dxa"/>
            <w:left w:w="0" w:type="dxa"/>
            <w:bottom w:w="0" w:type="dxa"/>
            <w:right w:w="0" w:type="dxa"/>
          </w:tblCellMar>
        </w:tblPrEx>
        <w:trPr>
          <w:trHeight w:val="0" w:hRule="atLeast"/>
          <w:jc w:val="center"/>
        </w:trPr>
        <w:tc>
          <w:tcPr>
            <w:tcW w:w="1737" w:type="dxa"/>
            <w:gridSpan w:val="3"/>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E6A88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bCs/>
                <w:sz w:val="21"/>
                <w:szCs w:val="21"/>
                <w:highlight w:val="none"/>
              </w:rPr>
              <w:t>付款条件</w:t>
            </w:r>
          </w:p>
        </w:tc>
        <w:tc>
          <w:tcPr>
            <w:tcW w:w="8471" w:type="dxa"/>
            <w:gridSpan w:val="7"/>
            <w:tcBorders>
              <w:top w:val="single" w:color="auto" w:sz="4" w:space="0"/>
              <w:left w:val="nil"/>
              <w:bottom w:val="single" w:color="auto" w:sz="4" w:space="0"/>
              <w:right w:val="single" w:color="auto" w:sz="4" w:space="0"/>
            </w:tcBorders>
            <w:shd w:val="clear" w:color="auto" w:fill="auto"/>
            <w:tcMar>
              <w:top w:w="13" w:type="dxa"/>
              <w:left w:w="57" w:type="dxa"/>
              <w:bottom w:w="0" w:type="dxa"/>
              <w:right w:w="57" w:type="dxa"/>
            </w:tcMar>
            <w:vAlign w:val="center"/>
          </w:tcPr>
          <w:p w14:paraId="11978690">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Cs/>
                <w:sz w:val="21"/>
                <w:szCs w:val="21"/>
              </w:rPr>
            </w:pPr>
            <w:r>
              <w:rPr>
                <w:rFonts w:hint="eastAsia" w:ascii="宋体" w:hAnsi="宋体" w:eastAsia="宋体" w:cs="宋体"/>
                <w:bCs/>
                <w:sz w:val="21"/>
                <w:szCs w:val="21"/>
                <w:lang w:val="en-US" w:eastAsia="zh-CN"/>
              </w:rPr>
              <w:t>1.</w:t>
            </w:r>
            <w:r>
              <w:rPr>
                <w:rFonts w:hint="eastAsia" w:ascii="宋体" w:hAnsi="宋体" w:eastAsia="宋体" w:cs="宋体"/>
                <w:bCs/>
                <w:sz w:val="21"/>
                <w:szCs w:val="21"/>
              </w:rPr>
              <w:t>合同签订且项目具备实施条件后</w:t>
            </w:r>
            <w:r>
              <w:rPr>
                <w:rFonts w:hint="eastAsia" w:ascii="宋体" w:hAnsi="宋体" w:eastAsia="宋体" w:cs="宋体"/>
                <w:bCs/>
                <w:sz w:val="21"/>
                <w:szCs w:val="21"/>
                <w:lang w:val="en-US" w:eastAsia="zh-CN"/>
              </w:rPr>
              <w:t>15</w:t>
            </w:r>
            <w:r>
              <w:rPr>
                <w:rFonts w:hint="eastAsia" w:ascii="宋体" w:hAnsi="宋体" w:eastAsia="宋体" w:cs="宋体"/>
                <w:bCs/>
                <w:sz w:val="21"/>
                <w:szCs w:val="21"/>
              </w:rPr>
              <w:t>个工作日内，</w:t>
            </w:r>
            <w:r>
              <w:rPr>
                <w:rFonts w:hint="eastAsia" w:ascii="宋体" w:hAnsi="宋体" w:eastAsia="宋体" w:cs="宋体"/>
                <w:bCs/>
                <w:sz w:val="21"/>
                <w:szCs w:val="21"/>
                <w:lang w:eastAsia="zh-CN"/>
              </w:rPr>
              <w:t>采购人</w:t>
            </w:r>
            <w:r>
              <w:rPr>
                <w:rFonts w:hint="eastAsia" w:ascii="宋体" w:hAnsi="宋体" w:eastAsia="宋体" w:cs="宋体"/>
                <w:bCs/>
                <w:sz w:val="21"/>
                <w:szCs w:val="21"/>
              </w:rPr>
              <w:t>可预付合</w:t>
            </w:r>
            <w:r>
              <w:rPr>
                <w:rFonts w:hint="eastAsia" w:ascii="宋体" w:hAnsi="宋体" w:eastAsia="宋体" w:cs="宋体"/>
                <w:bCs/>
                <w:sz w:val="21"/>
                <w:szCs w:val="21"/>
                <w:highlight w:val="none"/>
              </w:rPr>
              <w:t>同价</w:t>
            </w:r>
            <w:r>
              <w:rPr>
                <w:rFonts w:hint="eastAsia" w:ascii="宋体" w:hAnsi="宋体" w:eastAsia="宋体" w:cs="宋体"/>
                <w:bCs/>
                <w:sz w:val="21"/>
                <w:szCs w:val="21"/>
                <w:highlight w:val="none"/>
                <w:lang w:val="en-US" w:eastAsia="zh-CN"/>
              </w:rPr>
              <w:t>4</w:t>
            </w:r>
            <w:r>
              <w:rPr>
                <w:rFonts w:hint="eastAsia" w:ascii="宋体" w:hAnsi="宋体" w:eastAsia="宋体" w:cs="宋体"/>
                <w:bCs/>
                <w:sz w:val="21"/>
                <w:szCs w:val="21"/>
                <w:highlight w:val="none"/>
              </w:rPr>
              <w:t>0%的预付款。剩余款项</w:t>
            </w:r>
            <w:r>
              <w:rPr>
                <w:rFonts w:hint="eastAsia" w:ascii="宋体" w:hAnsi="宋体" w:eastAsia="宋体" w:cs="宋体"/>
                <w:bCs/>
                <w:sz w:val="21"/>
                <w:szCs w:val="21"/>
                <w:highlight w:val="none"/>
                <w:lang w:val="en-US" w:eastAsia="zh-CN"/>
              </w:rPr>
              <w:t>在成交人</w:t>
            </w:r>
            <w:r>
              <w:rPr>
                <w:rFonts w:hint="eastAsia" w:ascii="宋体" w:hAnsi="宋体" w:eastAsia="宋体" w:cs="宋体"/>
                <w:bCs/>
                <w:sz w:val="21"/>
                <w:szCs w:val="21"/>
                <w:highlight w:val="none"/>
              </w:rPr>
              <w:t>交货完毕并验收合格后，</w:t>
            </w:r>
            <w:r>
              <w:rPr>
                <w:rFonts w:hint="eastAsia" w:ascii="宋体" w:hAnsi="宋体" w:eastAsia="宋体" w:cs="宋体"/>
                <w:bCs/>
                <w:sz w:val="21"/>
                <w:szCs w:val="21"/>
                <w:highlight w:val="none"/>
                <w:lang w:val="en-US" w:eastAsia="zh-CN"/>
              </w:rPr>
              <w:t>采购人一次性</w:t>
            </w:r>
            <w:r>
              <w:rPr>
                <w:rFonts w:hint="eastAsia" w:ascii="宋体" w:hAnsi="宋体" w:eastAsia="宋体" w:cs="宋体"/>
                <w:bCs/>
                <w:sz w:val="21"/>
                <w:szCs w:val="21"/>
                <w:highlight w:val="none"/>
              </w:rPr>
              <w:t>向</w:t>
            </w:r>
            <w:r>
              <w:rPr>
                <w:rFonts w:hint="eastAsia" w:ascii="宋体" w:hAnsi="宋体" w:eastAsia="宋体" w:cs="宋体"/>
                <w:bCs/>
                <w:sz w:val="21"/>
                <w:szCs w:val="21"/>
                <w:highlight w:val="none"/>
                <w:lang w:val="en-US" w:eastAsia="zh-CN"/>
              </w:rPr>
              <w:t>成交人</w:t>
            </w:r>
            <w:r>
              <w:rPr>
                <w:rFonts w:hint="eastAsia" w:ascii="宋体" w:hAnsi="宋体" w:eastAsia="宋体" w:cs="宋体"/>
                <w:bCs/>
                <w:sz w:val="21"/>
                <w:szCs w:val="21"/>
                <w:highlight w:val="none"/>
              </w:rPr>
              <w:t>支付合同总价的</w:t>
            </w:r>
            <w:r>
              <w:rPr>
                <w:rFonts w:hint="eastAsia" w:ascii="宋体" w:hAnsi="宋体" w:eastAsia="宋体" w:cs="宋体"/>
                <w:bCs/>
                <w:sz w:val="21"/>
                <w:szCs w:val="21"/>
                <w:highlight w:val="none"/>
                <w:lang w:val="en-US" w:eastAsia="zh-CN"/>
              </w:rPr>
              <w:t>6</w:t>
            </w:r>
            <w:r>
              <w:rPr>
                <w:rFonts w:hint="eastAsia" w:ascii="宋体" w:hAnsi="宋体" w:eastAsia="宋体" w:cs="宋体"/>
                <w:bCs/>
                <w:sz w:val="21"/>
                <w:szCs w:val="21"/>
                <w:highlight w:val="none"/>
              </w:rPr>
              <w:t>0%，支付前</w:t>
            </w:r>
            <w:r>
              <w:rPr>
                <w:rFonts w:hint="eastAsia" w:ascii="宋体" w:hAnsi="宋体" w:eastAsia="宋体" w:cs="宋体"/>
                <w:bCs/>
                <w:sz w:val="21"/>
                <w:szCs w:val="21"/>
                <w:highlight w:val="none"/>
                <w:lang w:eastAsia="zh-CN"/>
              </w:rPr>
              <w:t>成交人</w:t>
            </w:r>
            <w:r>
              <w:rPr>
                <w:rFonts w:hint="eastAsia" w:ascii="宋体" w:hAnsi="宋体" w:eastAsia="宋体" w:cs="宋体"/>
                <w:bCs/>
                <w:sz w:val="21"/>
                <w:szCs w:val="21"/>
                <w:highlight w:val="none"/>
              </w:rPr>
              <w:t>须先按照已交付并验收合格的金额开具发票给</w:t>
            </w:r>
            <w:r>
              <w:rPr>
                <w:rFonts w:hint="eastAsia" w:ascii="宋体" w:hAnsi="宋体" w:eastAsia="宋体" w:cs="宋体"/>
                <w:bCs/>
                <w:sz w:val="21"/>
                <w:szCs w:val="21"/>
                <w:highlight w:val="none"/>
                <w:lang w:eastAsia="zh-CN"/>
              </w:rPr>
              <w:t>采购人</w:t>
            </w: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eastAsia="zh-CN"/>
              </w:rPr>
              <w:t>采购人</w:t>
            </w:r>
            <w:r>
              <w:rPr>
                <w:rFonts w:hint="eastAsia" w:ascii="宋体" w:hAnsi="宋体" w:eastAsia="宋体" w:cs="宋体"/>
                <w:bCs/>
                <w:sz w:val="21"/>
                <w:szCs w:val="21"/>
                <w:highlight w:val="none"/>
              </w:rPr>
              <w:t>在收到发票后3</w:t>
            </w:r>
            <w:r>
              <w:rPr>
                <w:rFonts w:hint="eastAsia" w:ascii="宋体" w:hAnsi="宋体" w:eastAsia="宋体" w:cs="宋体"/>
                <w:bCs/>
                <w:sz w:val="21"/>
                <w:szCs w:val="21"/>
              </w:rPr>
              <w:t>0日历日内按发票面额付款。如</w:t>
            </w:r>
            <w:r>
              <w:rPr>
                <w:rFonts w:hint="eastAsia" w:ascii="宋体" w:hAnsi="宋体" w:eastAsia="宋体" w:cs="宋体"/>
                <w:bCs/>
                <w:sz w:val="21"/>
                <w:szCs w:val="21"/>
                <w:lang w:eastAsia="zh-CN"/>
              </w:rPr>
              <w:t>成交人</w:t>
            </w:r>
            <w:r>
              <w:rPr>
                <w:rFonts w:hint="eastAsia" w:ascii="宋体" w:hAnsi="宋体" w:eastAsia="宋体" w:cs="宋体"/>
                <w:bCs/>
                <w:sz w:val="21"/>
                <w:szCs w:val="21"/>
              </w:rPr>
              <w:t>未按国家要求开具发票，或未按合同履约的，视为违约，</w:t>
            </w:r>
            <w:r>
              <w:rPr>
                <w:rFonts w:hint="eastAsia" w:ascii="宋体" w:hAnsi="宋体" w:eastAsia="宋体" w:cs="宋体"/>
                <w:bCs/>
                <w:sz w:val="21"/>
                <w:szCs w:val="21"/>
                <w:lang w:eastAsia="zh-CN"/>
              </w:rPr>
              <w:t>采购人</w:t>
            </w:r>
            <w:r>
              <w:rPr>
                <w:rFonts w:hint="eastAsia" w:ascii="宋体" w:hAnsi="宋体" w:eastAsia="宋体" w:cs="宋体"/>
                <w:bCs/>
                <w:sz w:val="21"/>
                <w:szCs w:val="21"/>
              </w:rPr>
              <w:t>有权扣除履约保证金，或要求解除合同，并追究</w:t>
            </w:r>
            <w:r>
              <w:rPr>
                <w:rFonts w:hint="eastAsia" w:ascii="宋体" w:hAnsi="宋体" w:eastAsia="宋体" w:cs="宋体"/>
                <w:bCs/>
                <w:sz w:val="21"/>
                <w:szCs w:val="21"/>
                <w:lang w:eastAsia="zh-CN"/>
              </w:rPr>
              <w:t>成交人</w:t>
            </w:r>
            <w:r>
              <w:rPr>
                <w:rFonts w:hint="eastAsia" w:ascii="宋体" w:hAnsi="宋体" w:eastAsia="宋体" w:cs="宋体"/>
                <w:bCs/>
                <w:sz w:val="21"/>
                <w:szCs w:val="21"/>
              </w:rPr>
              <w:t>法律责任。</w:t>
            </w:r>
          </w:p>
          <w:p w14:paraId="4E5E00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bCs/>
                <w:sz w:val="21"/>
                <w:szCs w:val="21"/>
              </w:rPr>
            </w:pPr>
            <w:r>
              <w:rPr>
                <w:rFonts w:hint="eastAsia" w:ascii="宋体" w:hAnsi="宋体" w:eastAsia="宋体" w:cs="宋体"/>
                <w:bCs/>
                <w:sz w:val="21"/>
                <w:szCs w:val="21"/>
              </w:rPr>
              <w:t>2.本项目收取履约保证金：</w:t>
            </w:r>
            <w:r>
              <w:rPr>
                <w:rFonts w:hint="eastAsia" w:ascii="宋体" w:hAnsi="宋体" w:eastAsia="宋体" w:cs="宋体"/>
                <w:color w:val="000000"/>
                <w:sz w:val="21"/>
                <w:szCs w:val="21"/>
                <w:lang w:eastAsia="zh-CN"/>
              </w:rPr>
              <w:t>□</w:t>
            </w:r>
            <w:r>
              <w:rPr>
                <w:rFonts w:hint="eastAsia" w:ascii="宋体" w:hAnsi="宋体" w:eastAsia="宋体" w:cs="宋体"/>
                <w:bCs/>
                <w:sz w:val="21"/>
                <w:szCs w:val="21"/>
              </w:rPr>
              <w:t>无</w:t>
            </w:r>
            <w:r>
              <w:rPr>
                <w:rFonts w:hint="eastAsia" w:ascii="宋体" w:hAnsi="宋体" w:eastAsia="宋体" w:cs="宋体"/>
                <w:color w:val="000000"/>
                <w:sz w:val="21"/>
                <w:szCs w:val="21"/>
                <w:lang w:eastAsia="zh-CN"/>
              </w:rPr>
              <w:t>☑</w:t>
            </w:r>
            <w:r>
              <w:rPr>
                <w:rFonts w:hint="eastAsia" w:ascii="宋体" w:hAnsi="宋体" w:eastAsia="宋体" w:cs="宋体"/>
                <w:bCs/>
                <w:sz w:val="21"/>
                <w:szCs w:val="21"/>
              </w:rPr>
              <w:t>有。</w:t>
            </w:r>
          </w:p>
          <w:p w14:paraId="0985F0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auto"/>
                <w:sz w:val="21"/>
                <w:szCs w:val="21"/>
                <w:lang w:bidi="ar"/>
              </w:rPr>
            </w:pPr>
            <w:r>
              <w:rPr>
                <w:rFonts w:hint="eastAsia" w:ascii="宋体" w:hAnsi="宋体" w:eastAsia="宋体" w:cs="宋体"/>
                <w:bCs/>
                <w:sz w:val="21"/>
                <w:szCs w:val="21"/>
              </w:rPr>
              <w:t>3.项目收取履约保证金的，成交人须在合同签订前向采购人账户转</w:t>
            </w:r>
            <w:r>
              <w:rPr>
                <w:rFonts w:hint="eastAsia" w:ascii="宋体" w:hAnsi="宋体" w:eastAsia="宋体" w:cs="宋体"/>
                <w:bCs/>
                <w:color w:val="auto"/>
                <w:sz w:val="21"/>
                <w:szCs w:val="21"/>
              </w:rPr>
              <w:t>付</w:t>
            </w:r>
            <w:r>
              <w:rPr>
                <w:rFonts w:hint="eastAsia" w:ascii="宋体" w:hAnsi="宋体" w:eastAsia="宋体" w:cs="宋体"/>
                <w:bCs/>
                <w:color w:val="auto"/>
                <w:sz w:val="21"/>
                <w:szCs w:val="21"/>
                <w:lang w:val="en-US" w:eastAsia="zh-CN"/>
              </w:rPr>
              <w:t>标项</w:t>
            </w:r>
            <w:r>
              <w:rPr>
                <w:rFonts w:hint="eastAsia" w:ascii="宋体" w:hAnsi="宋体" w:eastAsia="宋体" w:cs="宋体"/>
                <w:bCs/>
                <w:sz w:val="21"/>
                <w:szCs w:val="21"/>
              </w:rPr>
              <w:t>合同金额2%的履约保证金，否则不予签订合同。履约保证金在采购内容全部交付验收完成之后（或服务期满后）无息退付。</w:t>
            </w:r>
          </w:p>
        </w:tc>
      </w:tr>
    </w:tbl>
    <w:p w14:paraId="64B4B13D">
      <w:pPr>
        <w:pStyle w:val="20"/>
        <w:spacing w:line="440" w:lineRule="exact"/>
        <w:rPr>
          <w:rFonts w:ascii="宋体" w:hAnsi="宋体" w:cs="宋体"/>
          <w:b/>
          <w:color w:val="auto"/>
          <w:sz w:val="24"/>
          <w:highlight w:val="none"/>
        </w:rPr>
        <w:sectPr>
          <w:pgSz w:w="11906" w:h="16838"/>
          <w:pgMar w:top="1134" w:right="1247" w:bottom="1134" w:left="1247" w:header="851" w:footer="992" w:gutter="0"/>
          <w:pgNumType w:fmt="decimal"/>
          <w:cols w:space="720" w:num="1"/>
          <w:docGrid w:linePitch="312" w:charSpace="0"/>
        </w:sectPr>
      </w:pPr>
    </w:p>
    <w:p w14:paraId="5888B8B1">
      <w:pPr>
        <w:pStyle w:val="20"/>
        <w:spacing w:line="440" w:lineRule="exact"/>
        <w:rPr>
          <w:rFonts w:ascii="宋体" w:hAnsi="宋体" w:cs="宋体"/>
          <w:color w:val="auto"/>
          <w:sz w:val="32"/>
          <w:szCs w:val="32"/>
          <w:highlight w:val="none"/>
        </w:rPr>
      </w:pPr>
      <w:r>
        <w:rPr>
          <w:rFonts w:hint="eastAsia" w:ascii="宋体" w:hAnsi="宋体" w:cs="宋体"/>
          <w:color w:val="auto"/>
          <w:sz w:val="32"/>
          <w:szCs w:val="32"/>
          <w:highlight w:val="none"/>
        </w:rPr>
        <w:t>附件1：</w:t>
      </w:r>
    </w:p>
    <w:p w14:paraId="6B65538C">
      <w:pPr>
        <w:spacing w:before="7" w:line="440" w:lineRule="exact"/>
        <w:rPr>
          <w:rFonts w:ascii="宋体" w:hAnsi="宋体" w:cs="宋体"/>
          <w:color w:val="auto"/>
          <w:sz w:val="17"/>
          <w:szCs w:val="17"/>
          <w:highlight w:val="none"/>
        </w:rPr>
      </w:pPr>
    </w:p>
    <w:p w14:paraId="6D909CC2">
      <w:pPr>
        <w:spacing w:line="440" w:lineRule="exact"/>
        <w:ind w:left="1871"/>
        <w:rPr>
          <w:rFonts w:ascii="宋体" w:hAnsi="宋体" w:cs="宋体"/>
          <w:color w:val="auto"/>
          <w:sz w:val="40"/>
          <w:szCs w:val="40"/>
          <w:highlight w:val="none"/>
        </w:rPr>
      </w:pPr>
      <w:r>
        <w:rPr>
          <w:rFonts w:hint="eastAsia" w:ascii="宋体" w:hAnsi="宋体" w:cs="宋体"/>
          <w:color w:val="auto"/>
          <w:sz w:val="40"/>
          <w:szCs w:val="40"/>
          <w:highlight w:val="none"/>
        </w:rPr>
        <w:t>节能产品政府采购品目清单</w:t>
      </w:r>
    </w:p>
    <w:tbl>
      <w:tblPr>
        <w:tblStyle w:val="41"/>
        <w:tblW w:w="945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116"/>
        <w:gridCol w:w="1516"/>
        <w:gridCol w:w="1620"/>
        <w:gridCol w:w="4540"/>
      </w:tblGrid>
      <w:tr w14:paraId="6C360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60" w:type="dxa"/>
            <w:noWrap/>
          </w:tcPr>
          <w:p w14:paraId="58A4569C">
            <w:pPr>
              <w:widowControl/>
              <w:spacing w:line="240" w:lineRule="atLeast"/>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4252" w:type="dxa"/>
            <w:gridSpan w:val="3"/>
            <w:noWrap/>
            <w:vAlign w:val="center"/>
          </w:tcPr>
          <w:p w14:paraId="1D719621">
            <w:pPr>
              <w:widowControl/>
              <w:spacing w:line="240" w:lineRule="atLeast"/>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4540" w:type="dxa"/>
            <w:noWrap/>
            <w:vAlign w:val="center"/>
          </w:tcPr>
          <w:p w14:paraId="4D3DAE8D">
            <w:pPr>
              <w:widowControl/>
              <w:spacing w:line="240" w:lineRule="atLeast"/>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14:paraId="7506D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restart"/>
            <w:noWrap/>
            <w:vAlign w:val="center"/>
          </w:tcPr>
          <w:p w14:paraId="6F33FDDA">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116" w:type="dxa"/>
            <w:vMerge w:val="restart"/>
            <w:noWrap/>
            <w:vAlign w:val="center"/>
          </w:tcPr>
          <w:p w14:paraId="5E9DCC4C">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516" w:type="dxa"/>
            <w:noWrap/>
            <w:vAlign w:val="center"/>
          </w:tcPr>
          <w:p w14:paraId="192CD879">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1620" w:type="dxa"/>
            <w:noWrap/>
            <w:vAlign w:val="center"/>
          </w:tcPr>
          <w:p w14:paraId="0E6295DB">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ign w:val="center"/>
          </w:tcPr>
          <w:p w14:paraId="77B0CA77">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56AF3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7371D613">
            <w:pPr>
              <w:widowControl/>
              <w:spacing w:line="240" w:lineRule="atLeast"/>
              <w:jc w:val="left"/>
              <w:rPr>
                <w:rFonts w:ascii="宋体" w:hAnsi="宋体" w:cs="宋体"/>
                <w:color w:val="auto"/>
                <w:kern w:val="0"/>
                <w:sz w:val="20"/>
                <w:szCs w:val="20"/>
                <w:highlight w:val="none"/>
              </w:rPr>
            </w:pPr>
          </w:p>
        </w:tc>
        <w:tc>
          <w:tcPr>
            <w:tcW w:w="1116" w:type="dxa"/>
            <w:vMerge w:val="continue"/>
            <w:vAlign w:val="center"/>
          </w:tcPr>
          <w:p w14:paraId="7AB000CF">
            <w:pPr>
              <w:widowControl/>
              <w:spacing w:line="240" w:lineRule="atLeast"/>
              <w:jc w:val="left"/>
              <w:rPr>
                <w:rFonts w:ascii="宋体" w:hAnsi="宋体" w:cs="宋体"/>
                <w:color w:val="auto"/>
                <w:kern w:val="0"/>
                <w:sz w:val="20"/>
                <w:szCs w:val="20"/>
                <w:highlight w:val="none"/>
              </w:rPr>
            </w:pPr>
          </w:p>
        </w:tc>
        <w:tc>
          <w:tcPr>
            <w:tcW w:w="1516" w:type="dxa"/>
            <w:noWrap/>
            <w:vAlign w:val="center"/>
          </w:tcPr>
          <w:p w14:paraId="302D05DD">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1620" w:type="dxa"/>
            <w:noWrap/>
            <w:vAlign w:val="center"/>
          </w:tcPr>
          <w:p w14:paraId="187D75FC">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ign w:val="center"/>
          </w:tcPr>
          <w:p w14:paraId="1D261402">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0ABC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vAlign w:val="center"/>
          </w:tcPr>
          <w:p w14:paraId="520D05C5">
            <w:pPr>
              <w:widowControl/>
              <w:spacing w:line="240" w:lineRule="atLeast"/>
              <w:jc w:val="left"/>
              <w:rPr>
                <w:rFonts w:ascii="宋体" w:hAnsi="宋体" w:cs="宋体"/>
                <w:color w:val="auto"/>
                <w:kern w:val="0"/>
                <w:sz w:val="20"/>
                <w:szCs w:val="20"/>
                <w:highlight w:val="none"/>
              </w:rPr>
            </w:pPr>
          </w:p>
        </w:tc>
        <w:tc>
          <w:tcPr>
            <w:tcW w:w="1116" w:type="dxa"/>
            <w:vMerge w:val="continue"/>
            <w:vAlign w:val="center"/>
          </w:tcPr>
          <w:p w14:paraId="7EC2F206">
            <w:pPr>
              <w:widowControl/>
              <w:spacing w:line="240" w:lineRule="atLeast"/>
              <w:jc w:val="left"/>
              <w:rPr>
                <w:rFonts w:ascii="宋体" w:hAnsi="宋体" w:cs="宋体"/>
                <w:color w:val="auto"/>
                <w:kern w:val="0"/>
                <w:sz w:val="20"/>
                <w:szCs w:val="20"/>
                <w:highlight w:val="none"/>
              </w:rPr>
            </w:pPr>
          </w:p>
        </w:tc>
        <w:tc>
          <w:tcPr>
            <w:tcW w:w="1516" w:type="dxa"/>
            <w:noWrap/>
            <w:vAlign w:val="center"/>
          </w:tcPr>
          <w:p w14:paraId="4E19BF0E">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1620" w:type="dxa"/>
            <w:noWrap/>
            <w:vAlign w:val="center"/>
          </w:tcPr>
          <w:p w14:paraId="25E35530">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ign w:val="center"/>
          </w:tcPr>
          <w:p w14:paraId="38CDB2CE">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5DD24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restart"/>
            <w:noWrap/>
            <w:vAlign w:val="center"/>
          </w:tcPr>
          <w:p w14:paraId="62A487A2">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116" w:type="dxa"/>
            <w:vMerge w:val="restart"/>
            <w:noWrap/>
            <w:vAlign w:val="center"/>
          </w:tcPr>
          <w:p w14:paraId="5B3FF21D">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516" w:type="dxa"/>
            <w:vMerge w:val="restart"/>
            <w:noWrap/>
            <w:vAlign w:val="center"/>
          </w:tcPr>
          <w:p w14:paraId="0E5BD83A">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20" w:type="dxa"/>
            <w:noWrap/>
            <w:vAlign w:val="center"/>
          </w:tcPr>
          <w:p w14:paraId="7DA5C262">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540" w:type="dxa"/>
            <w:noWrap/>
            <w:vAlign w:val="center"/>
          </w:tcPr>
          <w:p w14:paraId="73A81DA9">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1029D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4EA9C8F6">
            <w:pPr>
              <w:widowControl/>
              <w:spacing w:line="240" w:lineRule="atLeast"/>
              <w:jc w:val="left"/>
              <w:rPr>
                <w:rFonts w:ascii="宋体" w:hAnsi="宋体" w:cs="宋体"/>
                <w:color w:val="auto"/>
                <w:kern w:val="0"/>
                <w:sz w:val="20"/>
                <w:szCs w:val="20"/>
                <w:highlight w:val="none"/>
              </w:rPr>
            </w:pPr>
          </w:p>
        </w:tc>
        <w:tc>
          <w:tcPr>
            <w:tcW w:w="1116" w:type="dxa"/>
            <w:vMerge w:val="continue"/>
            <w:vAlign w:val="center"/>
          </w:tcPr>
          <w:p w14:paraId="7BE64F1F">
            <w:pPr>
              <w:widowControl/>
              <w:spacing w:line="240" w:lineRule="atLeast"/>
              <w:jc w:val="left"/>
              <w:rPr>
                <w:rFonts w:ascii="宋体" w:hAnsi="宋体" w:cs="宋体"/>
                <w:color w:val="auto"/>
                <w:kern w:val="0"/>
                <w:sz w:val="20"/>
                <w:szCs w:val="20"/>
                <w:highlight w:val="none"/>
              </w:rPr>
            </w:pPr>
          </w:p>
        </w:tc>
        <w:tc>
          <w:tcPr>
            <w:tcW w:w="1516" w:type="dxa"/>
            <w:vMerge w:val="continue"/>
            <w:vAlign w:val="center"/>
          </w:tcPr>
          <w:p w14:paraId="05C5AF51">
            <w:pPr>
              <w:widowControl/>
              <w:spacing w:line="240" w:lineRule="atLeast"/>
              <w:jc w:val="left"/>
              <w:rPr>
                <w:rFonts w:ascii="宋体" w:hAnsi="宋体" w:cs="宋体"/>
                <w:color w:val="auto"/>
                <w:kern w:val="0"/>
                <w:sz w:val="20"/>
                <w:szCs w:val="20"/>
                <w:highlight w:val="none"/>
              </w:rPr>
            </w:pPr>
          </w:p>
        </w:tc>
        <w:tc>
          <w:tcPr>
            <w:tcW w:w="1620" w:type="dxa"/>
            <w:noWrap/>
            <w:vAlign w:val="center"/>
          </w:tcPr>
          <w:p w14:paraId="4BC2564F">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4540" w:type="dxa"/>
            <w:noWrap/>
            <w:vAlign w:val="center"/>
          </w:tcPr>
          <w:p w14:paraId="0A9CA7DD">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2B2FC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6F6CFD6E">
            <w:pPr>
              <w:widowControl/>
              <w:spacing w:line="240" w:lineRule="atLeast"/>
              <w:jc w:val="left"/>
              <w:rPr>
                <w:rFonts w:ascii="宋体" w:hAnsi="宋体" w:cs="宋体"/>
                <w:color w:val="auto"/>
                <w:kern w:val="0"/>
                <w:sz w:val="20"/>
                <w:szCs w:val="20"/>
                <w:highlight w:val="none"/>
              </w:rPr>
            </w:pPr>
          </w:p>
        </w:tc>
        <w:tc>
          <w:tcPr>
            <w:tcW w:w="1116" w:type="dxa"/>
            <w:vMerge w:val="continue"/>
            <w:vAlign w:val="center"/>
          </w:tcPr>
          <w:p w14:paraId="3BB520C4">
            <w:pPr>
              <w:widowControl/>
              <w:spacing w:line="240" w:lineRule="atLeast"/>
              <w:jc w:val="left"/>
              <w:rPr>
                <w:rFonts w:ascii="宋体" w:hAnsi="宋体" w:cs="宋体"/>
                <w:color w:val="auto"/>
                <w:kern w:val="0"/>
                <w:sz w:val="20"/>
                <w:szCs w:val="20"/>
                <w:highlight w:val="none"/>
              </w:rPr>
            </w:pPr>
          </w:p>
        </w:tc>
        <w:tc>
          <w:tcPr>
            <w:tcW w:w="1516" w:type="dxa"/>
            <w:vMerge w:val="continue"/>
            <w:vAlign w:val="center"/>
          </w:tcPr>
          <w:p w14:paraId="121A845F">
            <w:pPr>
              <w:widowControl/>
              <w:spacing w:line="240" w:lineRule="atLeast"/>
              <w:jc w:val="left"/>
              <w:rPr>
                <w:rFonts w:ascii="宋体" w:hAnsi="宋体" w:cs="宋体"/>
                <w:color w:val="auto"/>
                <w:kern w:val="0"/>
                <w:sz w:val="20"/>
                <w:szCs w:val="20"/>
                <w:highlight w:val="none"/>
              </w:rPr>
            </w:pPr>
          </w:p>
        </w:tc>
        <w:tc>
          <w:tcPr>
            <w:tcW w:w="1620" w:type="dxa"/>
            <w:noWrap/>
            <w:vAlign w:val="center"/>
          </w:tcPr>
          <w:p w14:paraId="64D8E170">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4540" w:type="dxa"/>
            <w:noWrap/>
            <w:vAlign w:val="center"/>
          </w:tcPr>
          <w:p w14:paraId="4DD9AEB9">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6DD87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5487BCB8">
            <w:pPr>
              <w:widowControl/>
              <w:spacing w:line="240" w:lineRule="atLeast"/>
              <w:jc w:val="left"/>
              <w:rPr>
                <w:rFonts w:ascii="宋体" w:hAnsi="宋体" w:cs="宋体"/>
                <w:color w:val="auto"/>
                <w:kern w:val="0"/>
                <w:sz w:val="20"/>
                <w:szCs w:val="20"/>
                <w:highlight w:val="none"/>
              </w:rPr>
            </w:pPr>
          </w:p>
        </w:tc>
        <w:tc>
          <w:tcPr>
            <w:tcW w:w="1116" w:type="dxa"/>
            <w:vMerge w:val="continue"/>
            <w:vAlign w:val="center"/>
          </w:tcPr>
          <w:p w14:paraId="1F123B56">
            <w:pPr>
              <w:widowControl/>
              <w:spacing w:line="240" w:lineRule="atLeast"/>
              <w:jc w:val="left"/>
              <w:rPr>
                <w:rFonts w:ascii="宋体" w:hAnsi="宋体" w:cs="宋体"/>
                <w:color w:val="auto"/>
                <w:kern w:val="0"/>
                <w:sz w:val="20"/>
                <w:szCs w:val="20"/>
                <w:highlight w:val="none"/>
              </w:rPr>
            </w:pPr>
          </w:p>
        </w:tc>
        <w:tc>
          <w:tcPr>
            <w:tcW w:w="1516" w:type="dxa"/>
            <w:noWrap/>
            <w:vAlign w:val="center"/>
          </w:tcPr>
          <w:p w14:paraId="367D7EE6">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20" w:type="dxa"/>
            <w:noWrap/>
            <w:vAlign w:val="center"/>
          </w:tcPr>
          <w:p w14:paraId="7A0F81C0">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4540" w:type="dxa"/>
            <w:noWrap/>
            <w:vAlign w:val="center"/>
          </w:tcPr>
          <w:p w14:paraId="773E5D18">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14:paraId="78FAF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60" w:type="dxa"/>
            <w:vMerge w:val="continue"/>
            <w:vAlign w:val="center"/>
          </w:tcPr>
          <w:p w14:paraId="7813225F">
            <w:pPr>
              <w:widowControl/>
              <w:spacing w:line="240" w:lineRule="atLeast"/>
              <w:jc w:val="left"/>
              <w:rPr>
                <w:rFonts w:ascii="宋体" w:hAnsi="宋体" w:cs="宋体"/>
                <w:color w:val="auto"/>
                <w:kern w:val="0"/>
                <w:sz w:val="20"/>
                <w:szCs w:val="20"/>
                <w:highlight w:val="none"/>
              </w:rPr>
            </w:pPr>
          </w:p>
        </w:tc>
        <w:tc>
          <w:tcPr>
            <w:tcW w:w="1116" w:type="dxa"/>
            <w:vMerge w:val="continue"/>
            <w:vAlign w:val="center"/>
          </w:tcPr>
          <w:p w14:paraId="65115403">
            <w:pPr>
              <w:widowControl/>
              <w:spacing w:line="240" w:lineRule="atLeast"/>
              <w:jc w:val="left"/>
              <w:rPr>
                <w:rFonts w:ascii="宋体" w:hAnsi="宋体" w:cs="宋体"/>
                <w:color w:val="auto"/>
                <w:kern w:val="0"/>
                <w:sz w:val="20"/>
                <w:szCs w:val="20"/>
                <w:highlight w:val="none"/>
              </w:rPr>
            </w:pPr>
          </w:p>
        </w:tc>
        <w:tc>
          <w:tcPr>
            <w:tcW w:w="1516" w:type="dxa"/>
            <w:noWrap/>
            <w:vAlign w:val="center"/>
          </w:tcPr>
          <w:p w14:paraId="306FCEED">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20" w:type="dxa"/>
            <w:noWrap/>
            <w:vAlign w:val="center"/>
          </w:tcPr>
          <w:p w14:paraId="19E0D5CE">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540" w:type="dxa"/>
            <w:noWrap/>
            <w:vAlign w:val="center"/>
          </w:tcPr>
          <w:p w14:paraId="2BF83303">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43CF7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ign w:val="center"/>
          </w:tcPr>
          <w:p w14:paraId="39C19F4C">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116" w:type="dxa"/>
            <w:noWrap/>
            <w:vAlign w:val="center"/>
          </w:tcPr>
          <w:p w14:paraId="374C21A9">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516" w:type="dxa"/>
            <w:noWrap/>
            <w:vAlign w:val="center"/>
          </w:tcPr>
          <w:p w14:paraId="66F79EEF">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noWrap/>
            <w:vAlign w:val="center"/>
          </w:tcPr>
          <w:p w14:paraId="465A2FA1">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ign w:val="center"/>
          </w:tcPr>
          <w:p w14:paraId="1546CFAA">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14:paraId="1A8E4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ign w:val="center"/>
          </w:tcPr>
          <w:p w14:paraId="4521C238">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116" w:type="dxa"/>
            <w:noWrap/>
            <w:vAlign w:val="center"/>
          </w:tcPr>
          <w:p w14:paraId="71FDBFBA">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516" w:type="dxa"/>
            <w:noWrap/>
            <w:vAlign w:val="center"/>
          </w:tcPr>
          <w:p w14:paraId="7DAE6A69">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noWrap/>
            <w:vAlign w:val="center"/>
          </w:tcPr>
          <w:p w14:paraId="21D3C66D">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ign w:val="center"/>
          </w:tcPr>
          <w:p w14:paraId="03F0B304">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5F39E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ign w:val="center"/>
          </w:tcPr>
          <w:p w14:paraId="63C916E2">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116" w:type="dxa"/>
            <w:noWrap/>
            <w:vAlign w:val="center"/>
          </w:tcPr>
          <w:p w14:paraId="406B14F9">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516" w:type="dxa"/>
            <w:noWrap/>
            <w:vAlign w:val="center"/>
          </w:tcPr>
          <w:p w14:paraId="5204F77C">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20" w:type="dxa"/>
            <w:noWrap/>
            <w:vAlign w:val="center"/>
          </w:tcPr>
          <w:p w14:paraId="0C01F738">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ign w:val="center"/>
          </w:tcPr>
          <w:p w14:paraId="34F2E94A">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14:paraId="14209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restart"/>
            <w:noWrap/>
            <w:vAlign w:val="center"/>
          </w:tcPr>
          <w:p w14:paraId="1E9AA2CF">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116" w:type="dxa"/>
            <w:vMerge w:val="restart"/>
            <w:noWrap/>
            <w:vAlign w:val="center"/>
          </w:tcPr>
          <w:p w14:paraId="7745D518">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516" w:type="dxa"/>
            <w:vMerge w:val="restart"/>
            <w:noWrap/>
            <w:vAlign w:val="center"/>
          </w:tcPr>
          <w:p w14:paraId="59CDCB28">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1620" w:type="dxa"/>
            <w:noWrap/>
            <w:vAlign w:val="center"/>
          </w:tcPr>
          <w:p w14:paraId="50A555DB">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540" w:type="dxa"/>
            <w:noWrap/>
            <w:vAlign w:val="center"/>
          </w:tcPr>
          <w:p w14:paraId="76D144E0">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14:paraId="57F9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0912D1F7">
            <w:pPr>
              <w:widowControl/>
              <w:spacing w:line="240" w:lineRule="atLeast"/>
              <w:jc w:val="left"/>
              <w:rPr>
                <w:rFonts w:ascii="宋体" w:hAnsi="宋体" w:cs="宋体"/>
                <w:color w:val="auto"/>
                <w:kern w:val="0"/>
                <w:sz w:val="20"/>
                <w:szCs w:val="20"/>
                <w:highlight w:val="none"/>
              </w:rPr>
            </w:pPr>
          </w:p>
        </w:tc>
        <w:tc>
          <w:tcPr>
            <w:tcW w:w="1116" w:type="dxa"/>
            <w:vMerge w:val="continue"/>
            <w:vAlign w:val="center"/>
          </w:tcPr>
          <w:p w14:paraId="04941F03">
            <w:pPr>
              <w:widowControl/>
              <w:spacing w:line="240" w:lineRule="atLeast"/>
              <w:jc w:val="left"/>
              <w:rPr>
                <w:rFonts w:ascii="宋体" w:hAnsi="宋体" w:cs="宋体"/>
                <w:color w:val="auto"/>
                <w:kern w:val="0"/>
                <w:sz w:val="20"/>
                <w:szCs w:val="20"/>
                <w:highlight w:val="none"/>
              </w:rPr>
            </w:pPr>
          </w:p>
        </w:tc>
        <w:tc>
          <w:tcPr>
            <w:tcW w:w="1516" w:type="dxa"/>
            <w:vMerge w:val="continue"/>
            <w:vAlign w:val="center"/>
          </w:tcPr>
          <w:p w14:paraId="3E371BA3">
            <w:pPr>
              <w:widowControl/>
              <w:spacing w:line="240" w:lineRule="atLeast"/>
              <w:jc w:val="left"/>
              <w:rPr>
                <w:rFonts w:ascii="宋体" w:hAnsi="宋体" w:cs="宋体"/>
                <w:color w:val="auto"/>
                <w:kern w:val="0"/>
                <w:sz w:val="20"/>
                <w:szCs w:val="20"/>
                <w:highlight w:val="none"/>
              </w:rPr>
            </w:pPr>
          </w:p>
        </w:tc>
        <w:tc>
          <w:tcPr>
            <w:tcW w:w="1620" w:type="dxa"/>
            <w:noWrap/>
            <w:vAlign w:val="center"/>
          </w:tcPr>
          <w:p w14:paraId="3AAEA89A">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540" w:type="dxa"/>
            <w:noWrap/>
            <w:vAlign w:val="center"/>
          </w:tcPr>
          <w:p w14:paraId="5778A13B">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14:paraId="28B75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29DE8A3B">
            <w:pPr>
              <w:widowControl/>
              <w:spacing w:line="240" w:lineRule="atLeast"/>
              <w:jc w:val="left"/>
              <w:rPr>
                <w:rFonts w:ascii="宋体" w:hAnsi="宋体" w:cs="宋体"/>
                <w:color w:val="auto"/>
                <w:kern w:val="0"/>
                <w:sz w:val="20"/>
                <w:szCs w:val="20"/>
                <w:highlight w:val="none"/>
              </w:rPr>
            </w:pPr>
          </w:p>
        </w:tc>
        <w:tc>
          <w:tcPr>
            <w:tcW w:w="1116" w:type="dxa"/>
            <w:vMerge w:val="continue"/>
            <w:vAlign w:val="center"/>
          </w:tcPr>
          <w:p w14:paraId="186BAA53">
            <w:pPr>
              <w:widowControl/>
              <w:spacing w:line="240" w:lineRule="atLeast"/>
              <w:jc w:val="left"/>
              <w:rPr>
                <w:rFonts w:ascii="宋体" w:hAnsi="宋体" w:cs="宋体"/>
                <w:color w:val="auto"/>
                <w:kern w:val="0"/>
                <w:sz w:val="20"/>
                <w:szCs w:val="20"/>
                <w:highlight w:val="none"/>
              </w:rPr>
            </w:pPr>
          </w:p>
        </w:tc>
        <w:tc>
          <w:tcPr>
            <w:tcW w:w="1516" w:type="dxa"/>
            <w:vMerge w:val="continue"/>
            <w:vAlign w:val="center"/>
          </w:tcPr>
          <w:p w14:paraId="4157ECCF">
            <w:pPr>
              <w:widowControl/>
              <w:spacing w:line="240" w:lineRule="atLeast"/>
              <w:jc w:val="left"/>
              <w:rPr>
                <w:rFonts w:ascii="宋体" w:hAnsi="宋体" w:cs="宋体"/>
                <w:color w:val="auto"/>
                <w:kern w:val="0"/>
                <w:sz w:val="20"/>
                <w:szCs w:val="20"/>
                <w:highlight w:val="none"/>
              </w:rPr>
            </w:pPr>
          </w:p>
        </w:tc>
        <w:tc>
          <w:tcPr>
            <w:tcW w:w="1620" w:type="dxa"/>
            <w:noWrap/>
            <w:vAlign w:val="center"/>
          </w:tcPr>
          <w:p w14:paraId="6B70E71B">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540" w:type="dxa"/>
            <w:noWrap/>
            <w:vAlign w:val="center"/>
          </w:tcPr>
          <w:p w14:paraId="27794A08">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14:paraId="5D9E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vAlign w:val="center"/>
          </w:tcPr>
          <w:p w14:paraId="701FFD04">
            <w:pPr>
              <w:widowControl/>
              <w:spacing w:line="240" w:lineRule="atLeast"/>
              <w:jc w:val="left"/>
              <w:rPr>
                <w:rFonts w:ascii="宋体" w:hAnsi="宋体" w:cs="宋体"/>
                <w:color w:val="auto"/>
                <w:kern w:val="0"/>
                <w:sz w:val="20"/>
                <w:szCs w:val="20"/>
                <w:highlight w:val="none"/>
              </w:rPr>
            </w:pPr>
          </w:p>
        </w:tc>
        <w:tc>
          <w:tcPr>
            <w:tcW w:w="1116" w:type="dxa"/>
            <w:vMerge w:val="continue"/>
            <w:vAlign w:val="center"/>
          </w:tcPr>
          <w:p w14:paraId="43A105C8">
            <w:pPr>
              <w:widowControl/>
              <w:spacing w:line="240" w:lineRule="atLeast"/>
              <w:jc w:val="left"/>
              <w:rPr>
                <w:rFonts w:ascii="宋体" w:hAnsi="宋体" w:cs="宋体"/>
                <w:color w:val="auto"/>
                <w:kern w:val="0"/>
                <w:sz w:val="20"/>
                <w:szCs w:val="20"/>
                <w:highlight w:val="none"/>
              </w:rPr>
            </w:pPr>
          </w:p>
        </w:tc>
        <w:tc>
          <w:tcPr>
            <w:tcW w:w="1516" w:type="dxa"/>
            <w:vMerge w:val="restart"/>
            <w:noWrap/>
            <w:vAlign w:val="center"/>
          </w:tcPr>
          <w:p w14:paraId="76D490DF">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1620" w:type="dxa"/>
            <w:noWrap/>
            <w:vAlign w:val="center"/>
          </w:tcPr>
          <w:p w14:paraId="30442379">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4540" w:type="dxa"/>
            <w:noWrap/>
            <w:vAlign w:val="center"/>
          </w:tcPr>
          <w:p w14:paraId="4391D5D4">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2E267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vAlign w:val="center"/>
          </w:tcPr>
          <w:p w14:paraId="0C076B84">
            <w:pPr>
              <w:widowControl/>
              <w:spacing w:line="240" w:lineRule="atLeast"/>
              <w:jc w:val="left"/>
              <w:rPr>
                <w:rFonts w:ascii="宋体" w:hAnsi="宋体" w:cs="宋体"/>
                <w:color w:val="auto"/>
                <w:kern w:val="0"/>
                <w:sz w:val="20"/>
                <w:szCs w:val="20"/>
                <w:highlight w:val="none"/>
              </w:rPr>
            </w:pPr>
          </w:p>
        </w:tc>
        <w:tc>
          <w:tcPr>
            <w:tcW w:w="1116" w:type="dxa"/>
            <w:vMerge w:val="continue"/>
            <w:vAlign w:val="center"/>
          </w:tcPr>
          <w:p w14:paraId="4350C071">
            <w:pPr>
              <w:widowControl/>
              <w:spacing w:line="240" w:lineRule="atLeast"/>
              <w:jc w:val="left"/>
              <w:rPr>
                <w:rFonts w:ascii="宋体" w:hAnsi="宋体" w:cs="宋体"/>
                <w:color w:val="auto"/>
                <w:kern w:val="0"/>
                <w:sz w:val="20"/>
                <w:szCs w:val="20"/>
                <w:highlight w:val="none"/>
              </w:rPr>
            </w:pPr>
          </w:p>
        </w:tc>
        <w:tc>
          <w:tcPr>
            <w:tcW w:w="1516" w:type="dxa"/>
            <w:vMerge w:val="continue"/>
            <w:vAlign w:val="center"/>
          </w:tcPr>
          <w:p w14:paraId="5C462861">
            <w:pPr>
              <w:widowControl/>
              <w:spacing w:line="240" w:lineRule="atLeast"/>
              <w:jc w:val="left"/>
              <w:rPr>
                <w:rFonts w:ascii="宋体" w:hAnsi="宋体" w:cs="宋体"/>
                <w:color w:val="auto"/>
                <w:kern w:val="0"/>
                <w:sz w:val="20"/>
                <w:szCs w:val="20"/>
                <w:highlight w:val="none"/>
              </w:rPr>
            </w:pPr>
          </w:p>
        </w:tc>
        <w:tc>
          <w:tcPr>
            <w:tcW w:w="1620" w:type="dxa"/>
            <w:noWrap/>
            <w:vAlign w:val="center"/>
          </w:tcPr>
          <w:p w14:paraId="10AB70B0">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540" w:type="dxa"/>
            <w:noWrap/>
            <w:vAlign w:val="center"/>
          </w:tcPr>
          <w:p w14:paraId="35915D00">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14:paraId="7B729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vAlign w:val="center"/>
          </w:tcPr>
          <w:p w14:paraId="353963D5">
            <w:pPr>
              <w:widowControl/>
              <w:spacing w:line="240" w:lineRule="atLeast"/>
              <w:jc w:val="left"/>
              <w:rPr>
                <w:rFonts w:ascii="宋体" w:hAnsi="宋体" w:cs="宋体"/>
                <w:color w:val="auto"/>
                <w:kern w:val="0"/>
                <w:sz w:val="20"/>
                <w:szCs w:val="20"/>
                <w:highlight w:val="none"/>
              </w:rPr>
            </w:pPr>
          </w:p>
        </w:tc>
        <w:tc>
          <w:tcPr>
            <w:tcW w:w="1116" w:type="dxa"/>
            <w:vMerge w:val="continue"/>
            <w:vAlign w:val="center"/>
          </w:tcPr>
          <w:p w14:paraId="22285E54">
            <w:pPr>
              <w:widowControl/>
              <w:spacing w:line="240" w:lineRule="atLeast"/>
              <w:jc w:val="left"/>
              <w:rPr>
                <w:rFonts w:ascii="宋体" w:hAnsi="宋体" w:cs="宋体"/>
                <w:color w:val="auto"/>
                <w:kern w:val="0"/>
                <w:sz w:val="20"/>
                <w:szCs w:val="20"/>
                <w:highlight w:val="none"/>
              </w:rPr>
            </w:pPr>
          </w:p>
        </w:tc>
        <w:tc>
          <w:tcPr>
            <w:tcW w:w="1516" w:type="dxa"/>
            <w:noWrap/>
            <w:vAlign w:val="center"/>
          </w:tcPr>
          <w:p w14:paraId="52212FF7">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1620" w:type="dxa"/>
            <w:noWrap/>
            <w:vAlign w:val="center"/>
          </w:tcPr>
          <w:p w14:paraId="250AF902">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540" w:type="dxa"/>
            <w:noWrap/>
            <w:vAlign w:val="center"/>
          </w:tcPr>
          <w:p w14:paraId="07E2BF2E">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14:paraId="46269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vAlign w:val="center"/>
          </w:tcPr>
          <w:p w14:paraId="46B8138F">
            <w:pPr>
              <w:widowControl/>
              <w:spacing w:line="240" w:lineRule="atLeast"/>
              <w:jc w:val="left"/>
              <w:rPr>
                <w:rFonts w:ascii="宋体" w:hAnsi="宋体" w:cs="宋体"/>
                <w:color w:val="auto"/>
                <w:kern w:val="0"/>
                <w:sz w:val="20"/>
                <w:szCs w:val="20"/>
                <w:highlight w:val="none"/>
              </w:rPr>
            </w:pPr>
          </w:p>
        </w:tc>
        <w:tc>
          <w:tcPr>
            <w:tcW w:w="1116" w:type="dxa"/>
            <w:vMerge w:val="continue"/>
            <w:vAlign w:val="center"/>
          </w:tcPr>
          <w:p w14:paraId="1B3033EF">
            <w:pPr>
              <w:widowControl/>
              <w:spacing w:line="240" w:lineRule="atLeast"/>
              <w:jc w:val="left"/>
              <w:rPr>
                <w:rFonts w:ascii="宋体" w:hAnsi="宋体" w:cs="宋体"/>
                <w:color w:val="auto"/>
                <w:kern w:val="0"/>
                <w:sz w:val="20"/>
                <w:szCs w:val="20"/>
                <w:highlight w:val="none"/>
              </w:rPr>
            </w:pPr>
          </w:p>
        </w:tc>
        <w:tc>
          <w:tcPr>
            <w:tcW w:w="1516" w:type="dxa"/>
            <w:noWrap/>
            <w:vAlign w:val="center"/>
          </w:tcPr>
          <w:p w14:paraId="18F574D3">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20" w:type="dxa"/>
            <w:noWrap/>
            <w:vAlign w:val="center"/>
          </w:tcPr>
          <w:p w14:paraId="519B4E6D">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540" w:type="dxa"/>
            <w:noWrap/>
            <w:vAlign w:val="center"/>
          </w:tcPr>
          <w:p w14:paraId="36EB471A">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14:paraId="02353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ign w:val="center"/>
          </w:tcPr>
          <w:p w14:paraId="6E4B38FD">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116" w:type="dxa"/>
            <w:noWrap/>
            <w:vAlign w:val="center"/>
          </w:tcPr>
          <w:p w14:paraId="6E403A9B">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516" w:type="dxa"/>
            <w:noWrap/>
            <w:vAlign w:val="center"/>
          </w:tcPr>
          <w:p w14:paraId="498D9C74">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noWrap/>
            <w:vAlign w:val="center"/>
          </w:tcPr>
          <w:p w14:paraId="22837C9F">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ign w:val="center"/>
          </w:tcPr>
          <w:p w14:paraId="6A7C5F4D">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14:paraId="4F6E0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ign w:val="center"/>
          </w:tcPr>
          <w:p w14:paraId="0CC2F7DE">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116" w:type="dxa"/>
            <w:noWrap/>
            <w:vAlign w:val="center"/>
          </w:tcPr>
          <w:p w14:paraId="1D21EB36">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516" w:type="dxa"/>
            <w:noWrap/>
            <w:vAlign w:val="center"/>
          </w:tcPr>
          <w:p w14:paraId="3E4BAD33">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20" w:type="dxa"/>
            <w:noWrap/>
            <w:vAlign w:val="center"/>
          </w:tcPr>
          <w:p w14:paraId="367D55D8">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ign w:val="center"/>
          </w:tcPr>
          <w:p w14:paraId="27A7814B">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14:paraId="42781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ign w:val="center"/>
          </w:tcPr>
          <w:p w14:paraId="0DD258CF">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116" w:type="dxa"/>
            <w:noWrap/>
            <w:vAlign w:val="center"/>
          </w:tcPr>
          <w:p w14:paraId="757DEEF0">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1516" w:type="dxa"/>
            <w:noWrap/>
            <w:vAlign w:val="center"/>
          </w:tcPr>
          <w:p w14:paraId="69531AB6">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20" w:type="dxa"/>
            <w:noWrap/>
            <w:vAlign w:val="center"/>
          </w:tcPr>
          <w:p w14:paraId="48B77BC6">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ign w:val="center"/>
          </w:tcPr>
          <w:p w14:paraId="170385FB">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14:paraId="2CB4B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restart"/>
            <w:noWrap/>
            <w:vAlign w:val="center"/>
          </w:tcPr>
          <w:p w14:paraId="36ED78BB">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116" w:type="dxa"/>
            <w:vMerge w:val="restart"/>
            <w:noWrap/>
            <w:vAlign w:val="center"/>
          </w:tcPr>
          <w:p w14:paraId="58C4CDCF">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516" w:type="dxa"/>
            <w:noWrap/>
            <w:vAlign w:val="center"/>
          </w:tcPr>
          <w:p w14:paraId="751342A3">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20" w:type="dxa"/>
            <w:noWrap/>
            <w:vAlign w:val="center"/>
          </w:tcPr>
          <w:p w14:paraId="7E198B9D">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ign w:val="center"/>
          </w:tcPr>
          <w:p w14:paraId="752D1A9B">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14:paraId="15E2C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60" w:type="dxa"/>
            <w:vMerge w:val="continue"/>
            <w:vAlign w:val="center"/>
          </w:tcPr>
          <w:p w14:paraId="3144F2A9">
            <w:pPr>
              <w:widowControl/>
              <w:spacing w:line="240" w:lineRule="atLeast"/>
              <w:jc w:val="left"/>
              <w:rPr>
                <w:rFonts w:ascii="宋体" w:hAnsi="宋体" w:cs="宋体"/>
                <w:color w:val="auto"/>
                <w:kern w:val="0"/>
                <w:sz w:val="20"/>
                <w:szCs w:val="20"/>
                <w:highlight w:val="none"/>
              </w:rPr>
            </w:pPr>
          </w:p>
        </w:tc>
        <w:tc>
          <w:tcPr>
            <w:tcW w:w="1116" w:type="dxa"/>
            <w:vMerge w:val="continue"/>
            <w:vAlign w:val="center"/>
          </w:tcPr>
          <w:p w14:paraId="64F3F683">
            <w:pPr>
              <w:widowControl/>
              <w:spacing w:line="240" w:lineRule="atLeast"/>
              <w:jc w:val="left"/>
              <w:rPr>
                <w:rFonts w:ascii="宋体" w:hAnsi="宋体" w:cs="宋体"/>
                <w:color w:val="auto"/>
                <w:kern w:val="0"/>
                <w:sz w:val="20"/>
                <w:szCs w:val="20"/>
                <w:highlight w:val="none"/>
              </w:rPr>
            </w:pPr>
          </w:p>
        </w:tc>
        <w:tc>
          <w:tcPr>
            <w:tcW w:w="1516" w:type="dxa"/>
            <w:vMerge w:val="restart"/>
            <w:noWrap/>
            <w:vAlign w:val="center"/>
          </w:tcPr>
          <w:p w14:paraId="7C87D398">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1620" w:type="dxa"/>
            <w:noWrap/>
            <w:vAlign w:val="center"/>
          </w:tcPr>
          <w:p w14:paraId="67BAEC21">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540" w:type="dxa"/>
            <w:noWrap/>
            <w:vAlign w:val="center"/>
          </w:tcPr>
          <w:p w14:paraId="5237C4AD">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2FE0D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vAlign w:val="center"/>
          </w:tcPr>
          <w:p w14:paraId="046417C9">
            <w:pPr>
              <w:widowControl/>
              <w:spacing w:line="240" w:lineRule="atLeast"/>
              <w:jc w:val="left"/>
              <w:rPr>
                <w:rFonts w:ascii="宋体" w:hAnsi="宋体" w:cs="宋体"/>
                <w:color w:val="auto"/>
                <w:kern w:val="0"/>
                <w:sz w:val="20"/>
                <w:szCs w:val="20"/>
                <w:highlight w:val="none"/>
              </w:rPr>
            </w:pPr>
          </w:p>
        </w:tc>
        <w:tc>
          <w:tcPr>
            <w:tcW w:w="1116" w:type="dxa"/>
            <w:vMerge w:val="continue"/>
            <w:vAlign w:val="center"/>
          </w:tcPr>
          <w:p w14:paraId="45111ADF">
            <w:pPr>
              <w:widowControl/>
              <w:spacing w:line="240" w:lineRule="atLeast"/>
              <w:jc w:val="left"/>
              <w:rPr>
                <w:rFonts w:ascii="宋体" w:hAnsi="宋体" w:cs="宋体"/>
                <w:color w:val="auto"/>
                <w:kern w:val="0"/>
                <w:sz w:val="20"/>
                <w:szCs w:val="20"/>
                <w:highlight w:val="none"/>
              </w:rPr>
            </w:pPr>
          </w:p>
        </w:tc>
        <w:tc>
          <w:tcPr>
            <w:tcW w:w="1516" w:type="dxa"/>
            <w:vMerge w:val="continue"/>
            <w:vAlign w:val="center"/>
          </w:tcPr>
          <w:p w14:paraId="796180D9">
            <w:pPr>
              <w:widowControl/>
              <w:spacing w:line="240" w:lineRule="atLeast"/>
              <w:jc w:val="left"/>
              <w:rPr>
                <w:rFonts w:ascii="宋体" w:hAnsi="宋体" w:cs="宋体"/>
                <w:color w:val="auto"/>
                <w:kern w:val="0"/>
                <w:sz w:val="20"/>
                <w:szCs w:val="20"/>
                <w:highlight w:val="none"/>
              </w:rPr>
            </w:pPr>
          </w:p>
        </w:tc>
        <w:tc>
          <w:tcPr>
            <w:tcW w:w="1620" w:type="dxa"/>
            <w:noWrap/>
            <w:vAlign w:val="center"/>
          </w:tcPr>
          <w:p w14:paraId="20D0C71A">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4540" w:type="dxa"/>
            <w:noWrap/>
            <w:vAlign w:val="center"/>
          </w:tcPr>
          <w:p w14:paraId="00D53C2C">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14449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vAlign w:val="center"/>
          </w:tcPr>
          <w:p w14:paraId="3E0665FF">
            <w:pPr>
              <w:widowControl/>
              <w:spacing w:line="240" w:lineRule="atLeast"/>
              <w:jc w:val="left"/>
              <w:rPr>
                <w:rFonts w:ascii="宋体" w:hAnsi="宋体" w:cs="宋体"/>
                <w:color w:val="auto"/>
                <w:kern w:val="0"/>
                <w:sz w:val="20"/>
                <w:szCs w:val="20"/>
                <w:highlight w:val="none"/>
              </w:rPr>
            </w:pPr>
          </w:p>
        </w:tc>
        <w:tc>
          <w:tcPr>
            <w:tcW w:w="1116" w:type="dxa"/>
            <w:vMerge w:val="continue"/>
            <w:vAlign w:val="center"/>
          </w:tcPr>
          <w:p w14:paraId="05426FA9">
            <w:pPr>
              <w:widowControl/>
              <w:spacing w:line="240" w:lineRule="atLeast"/>
              <w:jc w:val="left"/>
              <w:rPr>
                <w:rFonts w:ascii="宋体" w:hAnsi="宋体" w:cs="宋体"/>
                <w:color w:val="auto"/>
                <w:kern w:val="0"/>
                <w:sz w:val="20"/>
                <w:szCs w:val="20"/>
                <w:highlight w:val="none"/>
              </w:rPr>
            </w:pPr>
          </w:p>
        </w:tc>
        <w:tc>
          <w:tcPr>
            <w:tcW w:w="1516" w:type="dxa"/>
            <w:vMerge w:val="continue"/>
            <w:vAlign w:val="center"/>
          </w:tcPr>
          <w:p w14:paraId="0C0635FD">
            <w:pPr>
              <w:widowControl/>
              <w:spacing w:line="240" w:lineRule="atLeast"/>
              <w:jc w:val="left"/>
              <w:rPr>
                <w:rFonts w:ascii="宋体" w:hAnsi="宋体" w:cs="宋体"/>
                <w:color w:val="auto"/>
                <w:kern w:val="0"/>
                <w:sz w:val="20"/>
                <w:szCs w:val="20"/>
                <w:highlight w:val="none"/>
              </w:rPr>
            </w:pPr>
          </w:p>
        </w:tc>
        <w:tc>
          <w:tcPr>
            <w:tcW w:w="1620" w:type="dxa"/>
            <w:noWrap/>
            <w:vAlign w:val="center"/>
          </w:tcPr>
          <w:p w14:paraId="67B3D02D">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4540" w:type="dxa"/>
            <w:noWrap/>
            <w:vAlign w:val="center"/>
          </w:tcPr>
          <w:p w14:paraId="53BBB860">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14:paraId="1903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601C8928">
            <w:pPr>
              <w:widowControl/>
              <w:spacing w:line="240" w:lineRule="atLeast"/>
              <w:jc w:val="left"/>
              <w:rPr>
                <w:rFonts w:ascii="宋体" w:hAnsi="宋体" w:cs="宋体"/>
                <w:color w:val="auto"/>
                <w:kern w:val="0"/>
                <w:sz w:val="20"/>
                <w:szCs w:val="20"/>
                <w:highlight w:val="none"/>
              </w:rPr>
            </w:pPr>
          </w:p>
        </w:tc>
        <w:tc>
          <w:tcPr>
            <w:tcW w:w="1116" w:type="dxa"/>
            <w:vMerge w:val="continue"/>
            <w:vAlign w:val="center"/>
          </w:tcPr>
          <w:p w14:paraId="388AACF2">
            <w:pPr>
              <w:widowControl/>
              <w:spacing w:line="240" w:lineRule="atLeast"/>
              <w:jc w:val="left"/>
              <w:rPr>
                <w:rFonts w:ascii="宋体" w:hAnsi="宋体" w:cs="宋体"/>
                <w:color w:val="auto"/>
                <w:kern w:val="0"/>
                <w:sz w:val="20"/>
                <w:szCs w:val="20"/>
                <w:highlight w:val="none"/>
              </w:rPr>
            </w:pPr>
          </w:p>
        </w:tc>
        <w:tc>
          <w:tcPr>
            <w:tcW w:w="1516" w:type="dxa"/>
            <w:noWrap/>
            <w:vAlign w:val="center"/>
          </w:tcPr>
          <w:p w14:paraId="47EFEDE5">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20" w:type="dxa"/>
            <w:noWrap/>
            <w:vAlign w:val="center"/>
          </w:tcPr>
          <w:p w14:paraId="08204EBB">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ign w:val="center"/>
          </w:tcPr>
          <w:p w14:paraId="00B374A7">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14:paraId="1800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0804E791">
            <w:pPr>
              <w:widowControl/>
              <w:spacing w:line="240" w:lineRule="atLeast"/>
              <w:jc w:val="left"/>
              <w:rPr>
                <w:rFonts w:ascii="宋体" w:hAnsi="宋体" w:cs="宋体"/>
                <w:color w:val="auto"/>
                <w:kern w:val="0"/>
                <w:sz w:val="20"/>
                <w:szCs w:val="20"/>
                <w:highlight w:val="none"/>
              </w:rPr>
            </w:pPr>
          </w:p>
        </w:tc>
        <w:tc>
          <w:tcPr>
            <w:tcW w:w="1116" w:type="dxa"/>
            <w:vMerge w:val="continue"/>
            <w:vAlign w:val="center"/>
          </w:tcPr>
          <w:p w14:paraId="05B4A2EE">
            <w:pPr>
              <w:widowControl/>
              <w:spacing w:line="240" w:lineRule="atLeast"/>
              <w:jc w:val="left"/>
              <w:rPr>
                <w:rFonts w:ascii="宋体" w:hAnsi="宋体" w:cs="宋体"/>
                <w:color w:val="auto"/>
                <w:kern w:val="0"/>
                <w:sz w:val="20"/>
                <w:szCs w:val="20"/>
                <w:highlight w:val="none"/>
              </w:rPr>
            </w:pPr>
          </w:p>
        </w:tc>
        <w:tc>
          <w:tcPr>
            <w:tcW w:w="1516" w:type="dxa"/>
            <w:vMerge w:val="restart"/>
            <w:noWrap/>
            <w:vAlign w:val="center"/>
          </w:tcPr>
          <w:p w14:paraId="1F17EA68">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20" w:type="dxa"/>
            <w:noWrap/>
            <w:vAlign w:val="center"/>
          </w:tcPr>
          <w:p w14:paraId="39D34B78">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4540" w:type="dxa"/>
            <w:noWrap/>
            <w:vAlign w:val="center"/>
          </w:tcPr>
          <w:p w14:paraId="43573AF9">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14:paraId="3B59C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4940BEBE">
            <w:pPr>
              <w:widowControl/>
              <w:spacing w:line="240" w:lineRule="atLeast"/>
              <w:jc w:val="left"/>
              <w:rPr>
                <w:rFonts w:ascii="宋体" w:hAnsi="宋体" w:cs="宋体"/>
                <w:color w:val="auto"/>
                <w:kern w:val="0"/>
                <w:sz w:val="20"/>
                <w:szCs w:val="20"/>
                <w:highlight w:val="none"/>
              </w:rPr>
            </w:pPr>
          </w:p>
        </w:tc>
        <w:tc>
          <w:tcPr>
            <w:tcW w:w="1116" w:type="dxa"/>
            <w:vMerge w:val="continue"/>
            <w:vAlign w:val="center"/>
          </w:tcPr>
          <w:p w14:paraId="33D2E47A">
            <w:pPr>
              <w:widowControl/>
              <w:spacing w:line="240" w:lineRule="atLeast"/>
              <w:jc w:val="left"/>
              <w:rPr>
                <w:rFonts w:ascii="宋体" w:hAnsi="宋体" w:cs="宋体"/>
                <w:color w:val="auto"/>
                <w:kern w:val="0"/>
                <w:sz w:val="20"/>
                <w:szCs w:val="20"/>
                <w:highlight w:val="none"/>
              </w:rPr>
            </w:pPr>
          </w:p>
        </w:tc>
        <w:tc>
          <w:tcPr>
            <w:tcW w:w="1516" w:type="dxa"/>
            <w:vMerge w:val="continue"/>
            <w:vAlign w:val="center"/>
          </w:tcPr>
          <w:p w14:paraId="076E8B94">
            <w:pPr>
              <w:widowControl/>
              <w:spacing w:line="240" w:lineRule="atLeast"/>
              <w:jc w:val="left"/>
              <w:rPr>
                <w:rFonts w:ascii="宋体" w:hAnsi="宋体" w:cs="宋体"/>
                <w:color w:val="auto"/>
                <w:kern w:val="0"/>
                <w:sz w:val="20"/>
                <w:szCs w:val="20"/>
                <w:highlight w:val="none"/>
              </w:rPr>
            </w:pPr>
          </w:p>
        </w:tc>
        <w:tc>
          <w:tcPr>
            <w:tcW w:w="1620" w:type="dxa"/>
            <w:noWrap/>
            <w:vAlign w:val="center"/>
          </w:tcPr>
          <w:p w14:paraId="5694BB4D">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540" w:type="dxa"/>
            <w:noWrap/>
            <w:vAlign w:val="center"/>
          </w:tcPr>
          <w:p w14:paraId="0B40D491">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14:paraId="15BCF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005A0F95">
            <w:pPr>
              <w:widowControl/>
              <w:spacing w:line="240" w:lineRule="atLeast"/>
              <w:jc w:val="left"/>
              <w:rPr>
                <w:rFonts w:ascii="宋体" w:hAnsi="宋体" w:cs="宋体"/>
                <w:color w:val="auto"/>
                <w:kern w:val="0"/>
                <w:sz w:val="20"/>
                <w:szCs w:val="20"/>
                <w:highlight w:val="none"/>
              </w:rPr>
            </w:pPr>
          </w:p>
        </w:tc>
        <w:tc>
          <w:tcPr>
            <w:tcW w:w="1116" w:type="dxa"/>
            <w:vMerge w:val="continue"/>
            <w:vAlign w:val="center"/>
          </w:tcPr>
          <w:p w14:paraId="242BCAA5">
            <w:pPr>
              <w:widowControl/>
              <w:spacing w:line="240" w:lineRule="atLeast"/>
              <w:jc w:val="left"/>
              <w:rPr>
                <w:rFonts w:ascii="宋体" w:hAnsi="宋体" w:cs="宋体"/>
                <w:color w:val="auto"/>
                <w:kern w:val="0"/>
                <w:sz w:val="20"/>
                <w:szCs w:val="20"/>
                <w:highlight w:val="none"/>
              </w:rPr>
            </w:pPr>
          </w:p>
        </w:tc>
        <w:tc>
          <w:tcPr>
            <w:tcW w:w="1516" w:type="dxa"/>
            <w:vMerge w:val="continue"/>
            <w:vAlign w:val="center"/>
          </w:tcPr>
          <w:p w14:paraId="6D3FB5D0">
            <w:pPr>
              <w:widowControl/>
              <w:spacing w:line="240" w:lineRule="atLeast"/>
              <w:jc w:val="left"/>
              <w:rPr>
                <w:rFonts w:ascii="宋体" w:hAnsi="宋体" w:cs="宋体"/>
                <w:color w:val="auto"/>
                <w:kern w:val="0"/>
                <w:sz w:val="20"/>
                <w:szCs w:val="20"/>
                <w:highlight w:val="none"/>
              </w:rPr>
            </w:pPr>
          </w:p>
        </w:tc>
        <w:tc>
          <w:tcPr>
            <w:tcW w:w="1620" w:type="dxa"/>
            <w:noWrap/>
            <w:vAlign w:val="center"/>
          </w:tcPr>
          <w:p w14:paraId="54C53A02">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540" w:type="dxa"/>
            <w:noWrap/>
            <w:vAlign w:val="center"/>
          </w:tcPr>
          <w:p w14:paraId="6F285290">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14:paraId="04C24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475F3807">
            <w:pPr>
              <w:widowControl/>
              <w:spacing w:line="240" w:lineRule="atLeast"/>
              <w:jc w:val="left"/>
              <w:rPr>
                <w:rFonts w:ascii="宋体" w:hAnsi="宋体" w:cs="宋体"/>
                <w:color w:val="auto"/>
                <w:kern w:val="0"/>
                <w:sz w:val="20"/>
                <w:szCs w:val="20"/>
                <w:highlight w:val="none"/>
              </w:rPr>
            </w:pPr>
          </w:p>
        </w:tc>
        <w:tc>
          <w:tcPr>
            <w:tcW w:w="1116" w:type="dxa"/>
            <w:vMerge w:val="continue"/>
            <w:vAlign w:val="center"/>
          </w:tcPr>
          <w:p w14:paraId="7150451E">
            <w:pPr>
              <w:widowControl/>
              <w:spacing w:line="240" w:lineRule="atLeast"/>
              <w:jc w:val="left"/>
              <w:rPr>
                <w:rFonts w:ascii="宋体" w:hAnsi="宋体" w:cs="宋体"/>
                <w:color w:val="auto"/>
                <w:kern w:val="0"/>
                <w:sz w:val="20"/>
                <w:szCs w:val="20"/>
                <w:highlight w:val="none"/>
              </w:rPr>
            </w:pPr>
          </w:p>
        </w:tc>
        <w:tc>
          <w:tcPr>
            <w:tcW w:w="1516" w:type="dxa"/>
            <w:vMerge w:val="continue"/>
            <w:vAlign w:val="center"/>
          </w:tcPr>
          <w:p w14:paraId="0B32D572">
            <w:pPr>
              <w:widowControl/>
              <w:spacing w:line="240" w:lineRule="atLeast"/>
              <w:jc w:val="left"/>
              <w:rPr>
                <w:rFonts w:ascii="宋体" w:hAnsi="宋体" w:cs="宋体"/>
                <w:color w:val="auto"/>
                <w:kern w:val="0"/>
                <w:sz w:val="20"/>
                <w:szCs w:val="20"/>
                <w:highlight w:val="none"/>
              </w:rPr>
            </w:pPr>
          </w:p>
        </w:tc>
        <w:tc>
          <w:tcPr>
            <w:tcW w:w="1620" w:type="dxa"/>
            <w:noWrap/>
            <w:vAlign w:val="center"/>
          </w:tcPr>
          <w:p w14:paraId="0997649B">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540" w:type="dxa"/>
            <w:noWrap/>
            <w:vAlign w:val="center"/>
          </w:tcPr>
          <w:p w14:paraId="36059B27">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14:paraId="578D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restart"/>
            <w:noWrap/>
            <w:vAlign w:val="center"/>
          </w:tcPr>
          <w:p w14:paraId="34335B98">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116" w:type="dxa"/>
            <w:vMerge w:val="restart"/>
            <w:noWrap/>
            <w:vAlign w:val="center"/>
          </w:tcPr>
          <w:p w14:paraId="57A621FD">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516" w:type="dxa"/>
            <w:noWrap/>
            <w:vAlign w:val="center"/>
          </w:tcPr>
          <w:p w14:paraId="24FDCACC">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1620" w:type="dxa"/>
            <w:noWrap/>
            <w:vAlign w:val="center"/>
          </w:tcPr>
          <w:p w14:paraId="3FABE0EA">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ign w:val="center"/>
          </w:tcPr>
          <w:p w14:paraId="277A3927">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14:paraId="19F69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55B37E50">
            <w:pPr>
              <w:widowControl/>
              <w:spacing w:line="240" w:lineRule="atLeast"/>
              <w:jc w:val="left"/>
              <w:rPr>
                <w:rFonts w:ascii="宋体" w:hAnsi="宋体" w:cs="宋体"/>
                <w:color w:val="auto"/>
                <w:kern w:val="0"/>
                <w:sz w:val="20"/>
                <w:szCs w:val="20"/>
                <w:highlight w:val="none"/>
              </w:rPr>
            </w:pPr>
          </w:p>
        </w:tc>
        <w:tc>
          <w:tcPr>
            <w:tcW w:w="1116" w:type="dxa"/>
            <w:vMerge w:val="continue"/>
            <w:vAlign w:val="center"/>
          </w:tcPr>
          <w:p w14:paraId="088FF230">
            <w:pPr>
              <w:widowControl/>
              <w:spacing w:line="240" w:lineRule="atLeast"/>
              <w:jc w:val="left"/>
              <w:rPr>
                <w:rFonts w:ascii="宋体" w:hAnsi="宋体" w:cs="宋体"/>
                <w:color w:val="auto"/>
                <w:kern w:val="0"/>
                <w:sz w:val="20"/>
                <w:szCs w:val="20"/>
                <w:highlight w:val="none"/>
              </w:rPr>
            </w:pPr>
          </w:p>
        </w:tc>
        <w:tc>
          <w:tcPr>
            <w:tcW w:w="1516" w:type="dxa"/>
            <w:noWrap/>
            <w:vAlign w:val="center"/>
          </w:tcPr>
          <w:p w14:paraId="14DA587E">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20" w:type="dxa"/>
            <w:noWrap/>
            <w:vAlign w:val="center"/>
          </w:tcPr>
          <w:p w14:paraId="72D7A848">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ign w:val="center"/>
          </w:tcPr>
          <w:p w14:paraId="5ED4545D">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14:paraId="46834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22257D8C">
            <w:pPr>
              <w:widowControl/>
              <w:spacing w:line="240" w:lineRule="atLeast"/>
              <w:jc w:val="left"/>
              <w:rPr>
                <w:rFonts w:ascii="宋体" w:hAnsi="宋体" w:cs="宋体"/>
                <w:color w:val="auto"/>
                <w:kern w:val="0"/>
                <w:sz w:val="20"/>
                <w:szCs w:val="20"/>
                <w:highlight w:val="none"/>
              </w:rPr>
            </w:pPr>
          </w:p>
        </w:tc>
        <w:tc>
          <w:tcPr>
            <w:tcW w:w="1116" w:type="dxa"/>
            <w:vMerge w:val="continue"/>
            <w:vAlign w:val="center"/>
          </w:tcPr>
          <w:p w14:paraId="2E4E37FB">
            <w:pPr>
              <w:widowControl/>
              <w:spacing w:line="240" w:lineRule="atLeast"/>
              <w:jc w:val="left"/>
              <w:rPr>
                <w:rFonts w:ascii="宋体" w:hAnsi="宋体" w:cs="宋体"/>
                <w:color w:val="auto"/>
                <w:kern w:val="0"/>
                <w:sz w:val="20"/>
                <w:szCs w:val="20"/>
                <w:highlight w:val="none"/>
              </w:rPr>
            </w:pPr>
          </w:p>
        </w:tc>
        <w:tc>
          <w:tcPr>
            <w:tcW w:w="1516" w:type="dxa"/>
            <w:noWrap/>
            <w:vAlign w:val="center"/>
          </w:tcPr>
          <w:p w14:paraId="4673EA01">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20" w:type="dxa"/>
            <w:noWrap/>
            <w:vAlign w:val="center"/>
          </w:tcPr>
          <w:p w14:paraId="760E44C9">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ign w:val="center"/>
          </w:tcPr>
          <w:p w14:paraId="740D8A64">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3D8E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vAlign w:val="center"/>
          </w:tcPr>
          <w:p w14:paraId="365D76A3">
            <w:pPr>
              <w:widowControl/>
              <w:spacing w:line="240" w:lineRule="atLeast"/>
              <w:jc w:val="left"/>
              <w:rPr>
                <w:rFonts w:ascii="宋体" w:hAnsi="宋体" w:cs="宋体"/>
                <w:color w:val="auto"/>
                <w:kern w:val="0"/>
                <w:sz w:val="20"/>
                <w:szCs w:val="20"/>
                <w:highlight w:val="none"/>
              </w:rPr>
            </w:pPr>
          </w:p>
        </w:tc>
        <w:tc>
          <w:tcPr>
            <w:tcW w:w="1116" w:type="dxa"/>
            <w:vMerge w:val="continue"/>
            <w:vAlign w:val="center"/>
          </w:tcPr>
          <w:p w14:paraId="5832674B">
            <w:pPr>
              <w:widowControl/>
              <w:spacing w:line="240" w:lineRule="atLeast"/>
              <w:jc w:val="left"/>
              <w:rPr>
                <w:rFonts w:ascii="宋体" w:hAnsi="宋体" w:cs="宋体"/>
                <w:color w:val="auto"/>
                <w:kern w:val="0"/>
                <w:sz w:val="20"/>
                <w:szCs w:val="20"/>
                <w:highlight w:val="none"/>
              </w:rPr>
            </w:pPr>
          </w:p>
        </w:tc>
        <w:tc>
          <w:tcPr>
            <w:tcW w:w="1516" w:type="dxa"/>
            <w:noWrap/>
            <w:vAlign w:val="center"/>
          </w:tcPr>
          <w:p w14:paraId="761DD921">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20" w:type="dxa"/>
            <w:noWrap/>
            <w:vAlign w:val="center"/>
          </w:tcPr>
          <w:p w14:paraId="3B8A5F1A">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ign w:val="center"/>
          </w:tcPr>
          <w:p w14:paraId="5F700784">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2AD10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noWrap/>
            <w:vAlign w:val="center"/>
          </w:tcPr>
          <w:p w14:paraId="689EA803">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116" w:type="dxa"/>
            <w:noWrap/>
            <w:vAlign w:val="center"/>
          </w:tcPr>
          <w:p w14:paraId="03388BA1">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1516" w:type="dxa"/>
            <w:noWrap/>
            <w:vAlign w:val="center"/>
          </w:tcPr>
          <w:p w14:paraId="58BC9139">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20" w:type="dxa"/>
            <w:noWrap/>
            <w:vAlign w:val="center"/>
          </w:tcPr>
          <w:p w14:paraId="32F853FB">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ign w:val="center"/>
          </w:tcPr>
          <w:p w14:paraId="6102200A">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14:paraId="23514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60" w:type="dxa"/>
            <w:noWrap/>
            <w:vAlign w:val="center"/>
          </w:tcPr>
          <w:p w14:paraId="394312C2">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116" w:type="dxa"/>
            <w:noWrap/>
            <w:vAlign w:val="center"/>
          </w:tcPr>
          <w:p w14:paraId="7BB2BE83">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1516" w:type="dxa"/>
            <w:noWrap/>
            <w:vAlign w:val="center"/>
          </w:tcPr>
          <w:p w14:paraId="5E086BD7">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20" w:type="dxa"/>
            <w:noWrap/>
            <w:vAlign w:val="center"/>
          </w:tcPr>
          <w:p w14:paraId="6E74521B">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540" w:type="dxa"/>
            <w:noWrap/>
            <w:vAlign w:val="center"/>
          </w:tcPr>
          <w:p w14:paraId="11BB9310">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36E9B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ign w:val="center"/>
          </w:tcPr>
          <w:p w14:paraId="506D04C5">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116" w:type="dxa"/>
            <w:noWrap/>
            <w:vAlign w:val="center"/>
          </w:tcPr>
          <w:p w14:paraId="3E5C6B8F">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516" w:type="dxa"/>
            <w:noWrap/>
            <w:vAlign w:val="center"/>
          </w:tcPr>
          <w:p w14:paraId="21373898">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20" w:type="dxa"/>
            <w:noWrap/>
            <w:vAlign w:val="center"/>
          </w:tcPr>
          <w:p w14:paraId="0BEE44E0">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ign w:val="center"/>
          </w:tcPr>
          <w:p w14:paraId="2125FE41">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14:paraId="2351B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0" w:type="dxa"/>
            <w:vMerge w:val="restart"/>
            <w:noWrap/>
            <w:vAlign w:val="center"/>
          </w:tcPr>
          <w:p w14:paraId="52B75D0E">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116" w:type="dxa"/>
            <w:vMerge w:val="restart"/>
            <w:noWrap/>
            <w:vAlign w:val="center"/>
          </w:tcPr>
          <w:p w14:paraId="5669E678">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1516" w:type="dxa"/>
            <w:noWrap/>
            <w:vAlign w:val="center"/>
          </w:tcPr>
          <w:p w14:paraId="42C55B39">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20" w:type="dxa"/>
            <w:noWrap/>
            <w:vAlign w:val="center"/>
          </w:tcPr>
          <w:p w14:paraId="7CF1233D">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ign w:val="center"/>
          </w:tcPr>
          <w:p w14:paraId="7A30C219">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14:paraId="07BA1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58AFC15D">
            <w:pPr>
              <w:widowControl/>
              <w:spacing w:line="240" w:lineRule="atLeast"/>
              <w:jc w:val="left"/>
              <w:rPr>
                <w:rFonts w:ascii="宋体" w:hAnsi="宋体" w:cs="宋体"/>
                <w:color w:val="auto"/>
                <w:kern w:val="0"/>
                <w:sz w:val="20"/>
                <w:szCs w:val="20"/>
                <w:highlight w:val="none"/>
              </w:rPr>
            </w:pPr>
          </w:p>
        </w:tc>
        <w:tc>
          <w:tcPr>
            <w:tcW w:w="1116" w:type="dxa"/>
            <w:vMerge w:val="continue"/>
            <w:vAlign w:val="center"/>
          </w:tcPr>
          <w:p w14:paraId="1D4C11DD">
            <w:pPr>
              <w:widowControl/>
              <w:spacing w:line="240" w:lineRule="atLeast"/>
              <w:jc w:val="left"/>
              <w:rPr>
                <w:rFonts w:ascii="宋体" w:hAnsi="宋体" w:cs="宋体"/>
                <w:color w:val="auto"/>
                <w:kern w:val="0"/>
                <w:sz w:val="20"/>
                <w:szCs w:val="20"/>
                <w:highlight w:val="none"/>
              </w:rPr>
            </w:pPr>
          </w:p>
        </w:tc>
        <w:tc>
          <w:tcPr>
            <w:tcW w:w="1516" w:type="dxa"/>
            <w:noWrap/>
            <w:vAlign w:val="center"/>
          </w:tcPr>
          <w:p w14:paraId="1011AC59">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20" w:type="dxa"/>
            <w:noWrap/>
            <w:vAlign w:val="center"/>
          </w:tcPr>
          <w:p w14:paraId="3D4166D1">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ign w:val="center"/>
          </w:tcPr>
          <w:p w14:paraId="51FAED11">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14:paraId="2B5C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39433676">
            <w:pPr>
              <w:widowControl/>
              <w:spacing w:line="240" w:lineRule="atLeast"/>
              <w:jc w:val="left"/>
              <w:rPr>
                <w:rFonts w:ascii="宋体" w:hAnsi="宋体" w:cs="宋体"/>
                <w:color w:val="auto"/>
                <w:kern w:val="0"/>
                <w:sz w:val="20"/>
                <w:szCs w:val="20"/>
                <w:highlight w:val="none"/>
              </w:rPr>
            </w:pPr>
          </w:p>
        </w:tc>
        <w:tc>
          <w:tcPr>
            <w:tcW w:w="1116" w:type="dxa"/>
            <w:vMerge w:val="continue"/>
            <w:vAlign w:val="center"/>
          </w:tcPr>
          <w:p w14:paraId="1D1F6B39">
            <w:pPr>
              <w:widowControl/>
              <w:spacing w:line="240" w:lineRule="atLeast"/>
              <w:jc w:val="left"/>
              <w:rPr>
                <w:rFonts w:ascii="宋体" w:hAnsi="宋体" w:cs="宋体"/>
                <w:color w:val="auto"/>
                <w:kern w:val="0"/>
                <w:sz w:val="20"/>
                <w:szCs w:val="20"/>
                <w:highlight w:val="none"/>
              </w:rPr>
            </w:pPr>
          </w:p>
        </w:tc>
        <w:tc>
          <w:tcPr>
            <w:tcW w:w="1516" w:type="dxa"/>
            <w:noWrap/>
            <w:vAlign w:val="center"/>
          </w:tcPr>
          <w:p w14:paraId="2D2F1822">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20" w:type="dxa"/>
            <w:noWrap/>
            <w:vAlign w:val="center"/>
          </w:tcPr>
          <w:p w14:paraId="0B045899">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ign w:val="center"/>
          </w:tcPr>
          <w:p w14:paraId="75FDC2AC">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14:paraId="2FEB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ign w:val="center"/>
          </w:tcPr>
          <w:p w14:paraId="24A6A690">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116" w:type="dxa"/>
            <w:noWrap/>
            <w:vAlign w:val="center"/>
          </w:tcPr>
          <w:p w14:paraId="103F2A28">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1516" w:type="dxa"/>
            <w:noWrap/>
            <w:vAlign w:val="center"/>
          </w:tcPr>
          <w:p w14:paraId="73501DCA">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noWrap/>
            <w:vAlign w:val="center"/>
          </w:tcPr>
          <w:p w14:paraId="0EEB9B4A">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ign w:val="center"/>
          </w:tcPr>
          <w:p w14:paraId="4073A354">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14:paraId="48BB7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ign w:val="center"/>
          </w:tcPr>
          <w:p w14:paraId="713BA642">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116" w:type="dxa"/>
            <w:noWrap/>
            <w:vAlign w:val="center"/>
          </w:tcPr>
          <w:p w14:paraId="7E5A2205">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516" w:type="dxa"/>
            <w:noWrap/>
            <w:vAlign w:val="center"/>
          </w:tcPr>
          <w:p w14:paraId="55A281EC">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noWrap/>
            <w:vAlign w:val="center"/>
          </w:tcPr>
          <w:p w14:paraId="5C22DA0B">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ign w:val="center"/>
          </w:tcPr>
          <w:p w14:paraId="6589692D">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14:paraId="7B2C5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ign w:val="center"/>
          </w:tcPr>
          <w:p w14:paraId="224222C7">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116" w:type="dxa"/>
            <w:noWrap/>
            <w:vAlign w:val="center"/>
          </w:tcPr>
          <w:p w14:paraId="6C1F9FB6">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516" w:type="dxa"/>
            <w:noWrap/>
            <w:vAlign w:val="center"/>
          </w:tcPr>
          <w:p w14:paraId="34CA5F4C">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noWrap/>
            <w:vAlign w:val="center"/>
          </w:tcPr>
          <w:p w14:paraId="044F4675">
            <w:pPr>
              <w:widowControl/>
              <w:spacing w:line="240" w:lineRule="atLeast"/>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noWrap/>
            <w:vAlign w:val="center"/>
          </w:tcPr>
          <w:p w14:paraId="0E570BF6">
            <w:pPr>
              <w:widowControl/>
              <w:spacing w:line="240" w:lineRule="atLeast"/>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14:paraId="76B80A87">
      <w:pPr>
        <w:widowControl/>
        <w:spacing w:line="240" w:lineRule="atLeast"/>
        <w:rPr>
          <w:rFonts w:ascii="宋体" w:hAnsi="宋体" w:cs="宋体"/>
          <w:color w:val="auto"/>
          <w:sz w:val="20"/>
          <w:szCs w:val="20"/>
          <w:highlight w:val="none"/>
        </w:rPr>
      </w:pPr>
    </w:p>
    <w:p w14:paraId="1F0040F7">
      <w:pPr>
        <w:pStyle w:val="20"/>
        <w:spacing w:line="440" w:lineRule="exact"/>
        <w:rPr>
          <w:rFonts w:ascii="宋体" w:hAnsi="宋体" w:cs="宋体"/>
          <w:color w:val="auto"/>
          <w:szCs w:val="21"/>
          <w:highlight w:val="none"/>
        </w:rPr>
      </w:pPr>
      <w:r>
        <w:rPr>
          <w:rFonts w:hint="eastAsia" w:ascii="宋体" w:hAnsi="宋体" w:cs="宋体"/>
          <w:color w:val="auto"/>
          <w:spacing w:val="-3"/>
          <w:szCs w:val="21"/>
          <w:highlight w:val="none"/>
        </w:rPr>
        <w:t>注：1.节能产品认证应依据相关国家标准的最新版本，依据国家标准中二级能效（水效）</w:t>
      </w:r>
      <w:r>
        <w:rPr>
          <w:rFonts w:hint="eastAsia" w:ascii="宋体" w:hAnsi="宋体" w:cs="宋体"/>
          <w:color w:val="auto"/>
          <w:szCs w:val="21"/>
          <w:highlight w:val="none"/>
        </w:rPr>
        <w:t>指标。</w:t>
      </w:r>
    </w:p>
    <w:p w14:paraId="6704FEBB">
      <w:pPr>
        <w:pStyle w:val="20"/>
        <w:spacing w:line="440" w:lineRule="exact"/>
        <w:rPr>
          <w:rFonts w:ascii="宋体" w:hAnsi="宋体" w:cs="宋体"/>
          <w:color w:val="auto"/>
          <w:sz w:val="32"/>
          <w:szCs w:val="32"/>
          <w:highlight w:val="none"/>
        </w:rPr>
      </w:pPr>
      <w:r>
        <w:rPr>
          <w:rFonts w:hint="eastAsia" w:ascii="宋体" w:hAnsi="宋体" w:cs="宋体"/>
          <w:color w:val="auto"/>
          <w:szCs w:val="21"/>
          <w:highlight w:val="none"/>
        </w:rPr>
        <w:t>2</w:t>
      </w:r>
      <w:r>
        <w:rPr>
          <w:rFonts w:hint="eastAsia" w:ascii="宋体" w:hAnsi="宋体" w:cs="宋体"/>
          <w:b/>
          <w:bCs/>
          <w:color w:val="auto"/>
          <w:szCs w:val="21"/>
          <w:highlight w:val="none"/>
        </w:rPr>
        <w:t>.以“★”标注的为政府强制采购产品。</w:t>
      </w:r>
      <w:r>
        <w:rPr>
          <w:rFonts w:hint="eastAsia" w:ascii="宋体" w:hAnsi="宋体" w:cs="宋体"/>
          <w:color w:val="auto"/>
          <w:highlight w:val="none"/>
        </w:rPr>
        <w:br w:type="page"/>
      </w:r>
      <w:r>
        <w:rPr>
          <w:rFonts w:hint="eastAsia" w:ascii="宋体" w:hAnsi="宋体" w:cs="宋体"/>
          <w:color w:val="auto"/>
          <w:sz w:val="32"/>
          <w:szCs w:val="32"/>
          <w:highlight w:val="none"/>
        </w:rPr>
        <w:t>附件2：</w:t>
      </w:r>
    </w:p>
    <w:p w14:paraId="785FBDF9">
      <w:pPr>
        <w:spacing w:line="440" w:lineRule="exact"/>
        <w:ind w:left="1871"/>
        <w:rPr>
          <w:rFonts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41"/>
        <w:tblW w:w="9600" w:type="dxa"/>
        <w:tblInd w:w="250" w:type="dxa"/>
        <w:tblLayout w:type="fixed"/>
        <w:tblCellMar>
          <w:top w:w="0" w:type="dxa"/>
          <w:left w:w="108" w:type="dxa"/>
          <w:bottom w:w="0" w:type="dxa"/>
          <w:right w:w="108" w:type="dxa"/>
        </w:tblCellMar>
      </w:tblPr>
      <w:tblGrid>
        <w:gridCol w:w="1700"/>
        <w:gridCol w:w="1383"/>
        <w:gridCol w:w="913"/>
        <w:gridCol w:w="1619"/>
        <w:gridCol w:w="2535"/>
        <w:gridCol w:w="1450"/>
      </w:tblGrid>
      <w:tr w14:paraId="225CFC8E">
        <w:tblPrEx>
          <w:tblCellMar>
            <w:top w:w="0" w:type="dxa"/>
            <w:left w:w="108" w:type="dxa"/>
            <w:bottom w:w="0" w:type="dxa"/>
            <w:right w:w="108" w:type="dxa"/>
          </w:tblCellMar>
        </w:tblPrEx>
        <w:trPr>
          <w:trHeight w:val="285" w:hRule="atLeast"/>
        </w:trPr>
        <w:tc>
          <w:tcPr>
            <w:tcW w:w="1700" w:type="dxa"/>
            <w:tcBorders>
              <w:top w:val="single" w:color="auto" w:sz="4" w:space="0"/>
              <w:left w:val="single" w:color="auto" w:sz="4" w:space="0"/>
              <w:bottom w:val="single" w:color="auto" w:sz="4" w:space="0"/>
              <w:right w:val="single" w:color="auto" w:sz="4" w:space="0"/>
            </w:tcBorders>
            <w:noWrap/>
            <w:vAlign w:val="center"/>
          </w:tcPr>
          <w:p w14:paraId="5F935FF3">
            <w:pPr>
              <w:widowControl/>
              <w:spacing w:line="300" w:lineRule="exact"/>
              <w:jc w:val="left"/>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383" w:type="dxa"/>
            <w:tcBorders>
              <w:top w:val="single" w:color="auto" w:sz="4" w:space="0"/>
              <w:left w:val="nil"/>
              <w:bottom w:val="single" w:color="auto" w:sz="4" w:space="0"/>
              <w:right w:val="single" w:color="auto" w:sz="4" w:space="0"/>
            </w:tcBorders>
            <w:noWrap/>
            <w:vAlign w:val="center"/>
          </w:tcPr>
          <w:p w14:paraId="3E96E578">
            <w:pPr>
              <w:widowControl/>
              <w:spacing w:line="300" w:lineRule="exact"/>
              <w:jc w:val="left"/>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noWrap/>
            <w:vAlign w:val="center"/>
          </w:tcPr>
          <w:p w14:paraId="06787825">
            <w:pPr>
              <w:widowControl/>
              <w:spacing w:line="300" w:lineRule="exact"/>
              <w:jc w:val="left"/>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619" w:type="dxa"/>
            <w:tcBorders>
              <w:top w:val="single" w:color="auto" w:sz="4" w:space="0"/>
              <w:left w:val="nil"/>
              <w:bottom w:val="single" w:color="auto" w:sz="4" w:space="0"/>
              <w:right w:val="single" w:color="auto" w:sz="4" w:space="0"/>
            </w:tcBorders>
            <w:noWrap/>
            <w:vAlign w:val="center"/>
          </w:tcPr>
          <w:p w14:paraId="0BA5360E">
            <w:pPr>
              <w:widowControl/>
              <w:spacing w:line="300" w:lineRule="exact"/>
              <w:jc w:val="left"/>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2535" w:type="dxa"/>
            <w:tcBorders>
              <w:top w:val="single" w:color="auto" w:sz="4" w:space="0"/>
              <w:left w:val="nil"/>
              <w:bottom w:val="single" w:color="auto" w:sz="4" w:space="0"/>
              <w:right w:val="single" w:color="auto" w:sz="4" w:space="0"/>
            </w:tcBorders>
            <w:noWrap/>
            <w:vAlign w:val="center"/>
          </w:tcPr>
          <w:p w14:paraId="66CB2867">
            <w:pPr>
              <w:widowControl/>
              <w:spacing w:line="300" w:lineRule="exact"/>
              <w:jc w:val="left"/>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450" w:type="dxa"/>
            <w:tcBorders>
              <w:top w:val="single" w:color="auto" w:sz="4" w:space="0"/>
              <w:left w:val="nil"/>
              <w:bottom w:val="single" w:color="auto" w:sz="4" w:space="0"/>
              <w:right w:val="single" w:color="auto" w:sz="4" w:space="0"/>
            </w:tcBorders>
            <w:noWrap/>
            <w:vAlign w:val="center"/>
          </w:tcPr>
          <w:p w14:paraId="75E1332B">
            <w:pPr>
              <w:widowControl/>
              <w:spacing w:line="300" w:lineRule="exact"/>
              <w:jc w:val="left"/>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59D11964">
        <w:tblPrEx>
          <w:tblCellMar>
            <w:top w:w="0" w:type="dxa"/>
            <w:left w:w="108" w:type="dxa"/>
            <w:bottom w:w="0" w:type="dxa"/>
            <w:right w:w="108" w:type="dxa"/>
          </w:tblCellMar>
        </w:tblPrEx>
        <w:trPr>
          <w:trHeight w:val="225" w:hRule="atLeast"/>
        </w:trPr>
        <w:tc>
          <w:tcPr>
            <w:tcW w:w="1700" w:type="dxa"/>
            <w:tcBorders>
              <w:top w:val="nil"/>
              <w:left w:val="single" w:color="auto" w:sz="4" w:space="0"/>
              <w:bottom w:val="single" w:color="auto" w:sz="4" w:space="0"/>
              <w:right w:val="single" w:color="auto" w:sz="4" w:space="0"/>
            </w:tcBorders>
            <w:noWrap/>
            <w:vAlign w:val="bottom"/>
          </w:tcPr>
          <w:p w14:paraId="16BC870F">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383" w:type="dxa"/>
            <w:tcBorders>
              <w:top w:val="nil"/>
              <w:left w:val="nil"/>
              <w:bottom w:val="single" w:color="auto" w:sz="4" w:space="0"/>
              <w:right w:val="single" w:color="auto" w:sz="4" w:space="0"/>
            </w:tcBorders>
            <w:noWrap/>
            <w:vAlign w:val="center"/>
          </w:tcPr>
          <w:p w14:paraId="34B4B916">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4721E966">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247E1891">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2535" w:type="dxa"/>
            <w:tcBorders>
              <w:top w:val="nil"/>
              <w:left w:val="nil"/>
              <w:bottom w:val="single" w:color="auto" w:sz="4" w:space="0"/>
              <w:right w:val="single" w:color="auto" w:sz="4" w:space="0"/>
            </w:tcBorders>
            <w:noWrap/>
            <w:vAlign w:val="center"/>
          </w:tcPr>
          <w:p w14:paraId="0EC30DDB">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450" w:type="dxa"/>
            <w:tcBorders>
              <w:top w:val="nil"/>
              <w:left w:val="nil"/>
              <w:bottom w:val="single" w:color="auto" w:sz="4" w:space="0"/>
              <w:right w:val="single" w:color="auto" w:sz="4" w:space="0"/>
            </w:tcBorders>
            <w:noWrap/>
            <w:vAlign w:val="center"/>
          </w:tcPr>
          <w:p w14:paraId="073D2829">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20008BD7">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14:paraId="3DFD1EE5">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383" w:type="dxa"/>
            <w:tcBorders>
              <w:top w:val="nil"/>
              <w:left w:val="nil"/>
              <w:bottom w:val="single" w:color="auto" w:sz="4" w:space="0"/>
              <w:right w:val="single" w:color="auto" w:sz="4" w:space="0"/>
            </w:tcBorders>
            <w:noWrap/>
            <w:vAlign w:val="center"/>
          </w:tcPr>
          <w:p w14:paraId="360125AB">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2BF1CD6D">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077F3BDA">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2535" w:type="dxa"/>
            <w:tcBorders>
              <w:top w:val="nil"/>
              <w:left w:val="nil"/>
              <w:bottom w:val="single" w:color="auto" w:sz="4" w:space="0"/>
              <w:right w:val="single" w:color="auto" w:sz="4" w:space="0"/>
            </w:tcBorders>
            <w:noWrap/>
            <w:vAlign w:val="center"/>
          </w:tcPr>
          <w:p w14:paraId="200643F3">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450" w:type="dxa"/>
            <w:tcBorders>
              <w:top w:val="nil"/>
              <w:left w:val="nil"/>
              <w:bottom w:val="single" w:color="auto" w:sz="4" w:space="0"/>
              <w:right w:val="single" w:color="auto" w:sz="4" w:space="0"/>
            </w:tcBorders>
            <w:noWrap/>
            <w:vAlign w:val="center"/>
          </w:tcPr>
          <w:p w14:paraId="14589110">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08C7246">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14:paraId="3DDCB14D">
            <w:pPr>
              <w:widowControl/>
              <w:spacing w:line="300" w:lineRule="exact"/>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73A41C10">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4FE07B02">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19677B97">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2535" w:type="dxa"/>
            <w:tcBorders>
              <w:top w:val="nil"/>
              <w:left w:val="nil"/>
              <w:bottom w:val="single" w:color="auto" w:sz="4" w:space="0"/>
              <w:right w:val="single" w:color="auto" w:sz="4" w:space="0"/>
            </w:tcBorders>
            <w:noWrap/>
            <w:vAlign w:val="center"/>
          </w:tcPr>
          <w:p w14:paraId="21C4E186">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450" w:type="dxa"/>
            <w:tcBorders>
              <w:top w:val="nil"/>
              <w:left w:val="nil"/>
              <w:bottom w:val="single" w:color="auto" w:sz="4" w:space="0"/>
              <w:right w:val="single" w:color="auto" w:sz="4" w:space="0"/>
            </w:tcBorders>
            <w:noWrap/>
            <w:vAlign w:val="center"/>
          </w:tcPr>
          <w:p w14:paraId="6684D36E">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20155238">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14:paraId="09F8AF05">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383" w:type="dxa"/>
            <w:tcBorders>
              <w:top w:val="nil"/>
              <w:left w:val="nil"/>
              <w:bottom w:val="single" w:color="auto" w:sz="4" w:space="0"/>
              <w:right w:val="single" w:color="auto" w:sz="4" w:space="0"/>
            </w:tcBorders>
            <w:noWrap/>
            <w:vAlign w:val="center"/>
          </w:tcPr>
          <w:p w14:paraId="31520AD6">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0DD704FE">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1BF37EAE">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2535" w:type="dxa"/>
            <w:tcBorders>
              <w:top w:val="nil"/>
              <w:left w:val="nil"/>
              <w:bottom w:val="single" w:color="auto" w:sz="4" w:space="0"/>
              <w:right w:val="single" w:color="auto" w:sz="4" w:space="0"/>
            </w:tcBorders>
            <w:noWrap/>
            <w:vAlign w:val="center"/>
          </w:tcPr>
          <w:p w14:paraId="479BAEE5">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450" w:type="dxa"/>
            <w:tcBorders>
              <w:top w:val="nil"/>
              <w:left w:val="nil"/>
              <w:bottom w:val="single" w:color="auto" w:sz="4" w:space="0"/>
              <w:right w:val="single" w:color="auto" w:sz="4" w:space="0"/>
            </w:tcBorders>
            <w:noWrap/>
            <w:vAlign w:val="center"/>
          </w:tcPr>
          <w:p w14:paraId="6FECE67F">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049FCC56">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14:paraId="09847150">
            <w:pPr>
              <w:widowControl/>
              <w:spacing w:line="300" w:lineRule="exact"/>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566E2DF6">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ign w:val="center"/>
          </w:tcPr>
          <w:p w14:paraId="26653BB8">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1997649E">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2535" w:type="dxa"/>
            <w:tcBorders>
              <w:top w:val="nil"/>
              <w:left w:val="nil"/>
              <w:bottom w:val="single" w:color="auto" w:sz="4" w:space="0"/>
              <w:right w:val="single" w:color="auto" w:sz="4" w:space="0"/>
            </w:tcBorders>
            <w:noWrap/>
            <w:vAlign w:val="center"/>
          </w:tcPr>
          <w:p w14:paraId="1E29F6B7">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450" w:type="dxa"/>
            <w:tcBorders>
              <w:top w:val="nil"/>
              <w:left w:val="nil"/>
              <w:bottom w:val="single" w:color="auto" w:sz="4" w:space="0"/>
              <w:right w:val="single" w:color="auto" w:sz="4" w:space="0"/>
            </w:tcBorders>
            <w:noWrap/>
            <w:vAlign w:val="center"/>
          </w:tcPr>
          <w:p w14:paraId="22224D83">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53B18532">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14:paraId="55EBD345">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383" w:type="dxa"/>
            <w:tcBorders>
              <w:top w:val="nil"/>
              <w:left w:val="nil"/>
              <w:bottom w:val="single" w:color="auto" w:sz="4" w:space="0"/>
              <w:right w:val="single" w:color="auto" w:sz="4" w:space="0"/>
            </w:tcBorders>
            <w:noWrap/>
            <w:vAlign w:val="center"/>
          </w:tcPr>
          <w:p w14:paraId="5BBBB0B2">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4D911A05">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0A74B37E">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2535" w:type="dxa"/>
            <w:tcBorders>
              <w:top w:val="nil"/>
              <w:left w:val="nil"/>
              <w:bottom w:val="single" w:color="auto" w:sz="4" w:space="0"/>
              <w:right w:val="single" w:color="auto" w:sz="4" w:space="0"/>
            </w:tcBorders>
            <w:noWrap/>
            <w:vAlign w:val="center"/>
          </w:tcPr>
          <w:p w14:paraId="2AB8C4BA">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450" w:type="dxa"/>
            <w:tcBorders>
              <w:top w:val="nil"/>
              <w:left w:val="nil"/>
              <w:bottom w:val="single" w:color="auto" w:sz="4" w:space="0"/>
              <w:right w:val="single" w:color="auto" w:sz="4" w:space="0"/>
            </w:tcBorders>
            <w:noWrap/>
            <w:vAlign w:val="center"/>
          </w:tcPr>
          <w:p w14:paraId="237ED466">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3FFBC100">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14:paraId="14E04EB3">
            <w:pPr>
              <w:widowControl/>
              <w:spacing w:line="300" w:lineRule="exact"/>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51484D70">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4DBC9DEE">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740BDD51">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2535" w:type="dxa"/>
            <w:tcBorders>
              <w:top w:val="nil"/>
              <w:left w:val="nil"/>
              <w:bottom w:val="single" w:color="auto" w:sz="4" w:space="0"/>
              <w:right w:val="single" w:color="auto" w:sz="4" w:space="0"/>
            </w:tcBorders>
            <w:noWrap/>
            <w:vAlign w:val="center"/>
          </w:tcPr>
          <w:p w14:paraId="26B97143">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50" w:type="dxa"/>
            <w:tcBorders>
              <w:top w:val="nil"/>
              <w:left w:val="nil"/>
              <w:bottom w:val="single" w:color="auto" w:sz="4" w:space="0"/>
              <w:right w:val="single" w:color="auto" w:sz="4" w:space="0"/>
            </w:tcBorders>
            <w:noWrap/>
            <w:vAlign w:val="center"/>
          </w:tcPr>
          <w:p w14:paraId="204F100C">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4458B0EC">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14:paraId="5F0F7560">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383" w:type="dxa"/>
            <w:tcBorders>
              <w:top w:val="nil"/>
              <w:left w:val="nil"/>
              <w:bottom w:val="single" w:color="auto" w:sz="4" w:space="0"/>
              <w:right w:val="single" w:color="auto" w:sz="4" w:space="0"/>
            </w:tcBorders>
            <w:noWrap/>
            <w:vAlign w:val="center"/>
          </w:tcPr>
          <w:p w14:paraId="56614C0D">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6272F52E">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36DA1102">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2535" w:type="dxa"/>
            <w:tcBorders>
              <w:top w:val="nil"/>
              <w:left w:val="nil"/>
              <w:bottom w:val="single" w:color="auto" w:sz="4" w:space="0"/>
              <w:right w:val="single" w:color="auto" w:sz="4" w:space="0"/>
            </w:tcBorders>
            <w:noWrap/>
            <w:vAlign w:val="center"/>
          </w:tcPr>
          <w:p w14:paraId="5D959AB2">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450" w:type="dxa"/>
            <w:tcBorders>
              <w:top w:val="nil"/>
              <w:left w:val="nil"/>
              <w:bottom w:val="single" w:color="auto" w:sz="4" w:space="0"/>
              <w:right w:val="single" w:color="auto" w:sz="4" w:space="0"/>
            </w:tcBorders>
            <w:noWrap/>
            <w:vAlign w:val="center"/>
          </w:tcPr>
          <w:p w14:paraId="01ADE360">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E8D4171">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14:paraId="27C92D32">
            <w:pPr>
              <w:widowControl/>
              <w:spacing w:line="300" w:lineRule="exact"/>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52C9CC76">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7F9A52A2">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4AB2D9EC">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2535" w:type="dxa"/>
            <w:tcBorders>
              <w:top w:val="nil"/>
              <w:left w:val="nil"/>
              <w:bottom w:val="single" w:color="auto" w:sz="4" w:space="0"/>
              <w:right w:val="single" w:color="auto" w:sz="4" w:space="0"/>
            </w:tcBorders>
            <w:noWrap/>
            <w:vAlign w:val="center"/>
          </w:tcPr>
          <w:p w14:paraId="27E91901">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450" w:type="dxa"/>
            <w:tcBorders>
              <w:top w:val="nil"/>
              <w:left w:val="nil"/>
              <w:bottom w:val="single" w:color="auto" w:sz="4" w:space="0"/>
              <w:right w:val="single" w:color="auto" w:sz="4" w:space="0"/>
            </w:tcBorders>
            <w:noWrap/>
            <w:vAlign w:val="center"/>
          </w:tcPr>
          <w:p w14:paraId="334E1EEF">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42FDB8A">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14:paraId="399F3CE2">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383" w:type="dxa"/>
            <w:tcBorders>
              <w:top w:val="nil"/>
              <w:left w:val="nil"/>
              <w:bottom w:val="single" w:color="auto" w:sz="4" w:space="0"/>
              <w:right w:val="single" w:color="auto" w:sz="4" w:space="0"/>
            </w:tcBorders>
            <w:noWrap/>
            <w:vAlign w:val="center"/>
          </w:tcPr>
          <w:p w14:paraId="53DEFF68">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7EA00399">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66F69078">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2535" w:type="dxa"/>
            <w:tcBorders>
              <w:top w:val="nil"/>
              <w:left w:val="nil"/>
              <w:bottom w:val="single" w:color="auto" w:sz="4" w:space="0"/>
              <w:right w:val="single" w:color="auto" w:sz="4" w:space="0"/>
            </w:tcBorders>
            <w:noWrap/>
            <w:vAlign w:val="center"/>
          </w:tcPr>
          <w:p w14:paraId="2F244282">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450" w:type="dxa"/>
            <w:tcBorders>
              <w:top w:val="nil"/>
              <w:left w:val="nil"/>
              <w:bottom w:val="single" w:color="auto" w:sz="4" w:space="0"/>
              <w:right w:val="single" w:color="auto" w:sz="4" w:space="0"/>
            </w:tcBorders>
            <w:noWrap/>
            <w:vAlign w:val="center"/>
          </w:tcPr>
          <w:p w14:paraId="543E4EC3">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DC4145D">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14:paraId="4654E6B3">
            <w:pPr>
              <w:widowControl/>
              <w:spacing w:line="300" w:lineRule="exact"/>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4C19343D">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6FEDAD7E">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345424E9">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2535" w:type="dxa"/>
            <w:tcBorders>
              <w:top w:val="nil"/>
              <w:left w:val="nil"/>
              <w:bottom w:val="single" w:color="auto" w:sz="4" w:space="0"/>
              <w:right w:val="single" w:color="auto" w:sz="4" w:space="0"/>
            </w:tcBorders>
            <w:noWrap/>
            <w:vAlign w:val="center"/>
          </w:tcPr>
          <w:p w14:paraId="75E0D168">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450" w:type="dxa"/>
            <w:tcBorders>
              <w:top w:val="nil"/>
              <w:left w:val="nil"/>
              <w:bottom w:val="single" w:color="auto" w:sz="4" w:space="0"/>
              <w:right w:val="single" w:color="auto" w:sz="4" w:space="0"/>
            </w:tcBorders>
            <w:noWrap/>
            <w:vAlign w:val="center"/>
          </w:tcPr>
          <w:p w14:paraId="41B0B922">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044D87D0">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14:paraId="7A649B72">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383" w:type="dxa"/>
            <w:tcBorders>
              <w:top w:val="nil"/>
              <w:left w:val="nil"/>
              <w:bottom w:val="single" w:color="auto" w:sz="4" w:space="0"/>
              <w:right w:val="single" w:color="auto" w:sz="4" w:space="0"/>
            </w:tcBorders>
            <w:noWrap/>
            <w:vAlign w:val="center"/>
          </w:tcPr>
          <w:p w14:paraId="390C2EED">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55F5D822">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4EE59E04">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2535" w:type="dxa"/>
            <w:tcBorders>
              <w:top w:val="nil"/>
              <w:left w:val="nil"/>
              <w:bottom w:val="single" w:color="auto" w:sz="4" w:space="0"/>
              <w:right w:val="single" w:color="auto" w:sz="4" w:space="0"/>
            </w:tcBorders>
            <w:noWrap/>
            <w:vAlign w:val="center"/>
          </w:tcPr>
          <w:p w14:paraId="0F433126">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450" w:type="dxa"/>
            <w:tcBorders>
              <w:top w:val="nil"/>
              <w:left w:val="nil"/>
              <w:bottom w:val="single" w:color="auto" w:sz="4" w:space="0"/>
              <w:right w:val="single" w:color="auto" w:sz="4" w:space="0"/>
            </w:tcBorders>
            <w:noWrap/>
            <w:vAlign w:val="center"/>
          </w:tcPr>
          <w:p w14:paraId="56DA0790">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E0B9019">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14:paraId="1D369344">
            <w:pPr>
              <w:widowControl/>
              <w:spacing w:line="300" w:lineRule="exact"/>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1D095B9B">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626A7C0D">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2B40F618">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2535" w:type="dxa"/>
            <w:tcBorders>
              <w:top w:val="nil"/>
              <w:left w:val="nil"/>
              <w:bottom w:val="single" w:color="auto" w:sz="4" w:space="0"/>
              <w:right w:val="single" w:color="auto" w:sz="4" w:space="0"/>
            </w:tcBorders>
            <w:noWrap/>
            <w:vAlign w:val="center"/>
          </w:tcPr>
          <w:p w14:paraId="28DC59A6">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450" w:type="dxa"/>
            <w:tcBorders>
              <w:top w:val="nil"/>
              <w:left w:val="nil"/>
              <w:bottom w:val="single" w:color="auto" w:sz="4" w:space="0"/>
              <w:right w:val="single" w:color="auto" w:sz="4" w:space="0"/>
            </w:tcBorders>
            <w:noWrap/>
            <w:vAlign w:val="center"/>
          </w:tcPr>
          <w:p w14:paraId="6A80A063">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6E6C819">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14:paraId="67D98F30">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383" w:type="dxa"/>
            <w:tcBorders>
              <w:top w:val="nil"/>
              <w:left w:val="nil"/>
              <w:bottom w:val="single" w:color="auto" w:sz="4" w:space="0"/>
              <w:right w:val="single" w:color="auto" w:sz="4" w:space="0"/>
            </w:tcBorders>
            <w:noWrap/>
            <w:vAlign w:val="center"/>
          </w:tcPr>
          <w:p w14:paraId="1D492414">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2ABC37BF">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63D6DD74">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2535" w:type="dxa"/>
            <w:tcBorders>
              <w:top w:val="nil"/>
              <w:left w:val="nil"/>
              <w:bottom w:val="single" w:color="auto" w:sz="4" w:space="0"/>
              <w:right w:val="single" w:color="auto" w:sz="4" w:space="0"/>
            </w:tcBorders>
            <w:noWrap/>
            <w:vAlign w:val="center"/>
          </w:tcPr>
          <w:p w14:paraId="247474CF">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450" w:type="dxa"/>
            <w:tcBorders>
              <w:top w:val="nil"/>
              <w:left w:val="nil"/>
              <w:bottom w:val="single" w:color="auto" w:sz="4" w:space="0"/>
              <w:right w:val="single" w:color="auto" w:sz="4" w:space="0"/>
            </w:tcBorders>
            <w:noWrap/>
            <w:vAlign w:val="center"/>
          </w:tcPr>
          <w:p w14:paraId="1C4F4CCE">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EDA98CC">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14:paraId="00664100">
            <w:pPr>
              <w:widowControl/>
              <w:spacing w:line="300" w:lineRule="exact"/>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13DE7F35">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6082735C">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451AD25C">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2535" w:type="dxa"/>
            <w:tcBorders>
              <w:top w:val="nil"/>
              <w:left w:val="nil"/>
              <w:bottom w:val="single" w:color="auto" w:sz="4" w:space="0"/>
              <w:right w:val="single" w:color="auto" w:sz="4" w:space="0"/>
            </w:tcBorders>
            <w:noWrap/>
            <w:vAlign w:val="center"/>
          </w:tcPr>
          <w:p w14:paraId="63572753">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450" w:type="dxa"/>
            <w:tcBorders>
              <w:top w:val="nil"/>
              <w:left w:val="nil"/>
              <w:bottom w:val="single" w:color="auto" w:sz="4" w:space="0"/>
              <w:right w:val="single" w:color="auto" w:sz="4" w:space="0"/>
            </w:tcBorders>
            <w:noWrap/>
            <w:vAlign w:val="center"/>
          </w:tcPr>
          <w:p w14:paraId="546C6353">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19572BB">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14:paraId="265BAC2C">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383" w:type="dxa"/>
            <w:tcBorders>
              <w:top w:val="nil"/>
              <w:left w:val="nil"/>
              <w:bottom w:val="single" w:color="auto" w:sz="4" w:space="0"/>
              <w:right w:val="single" w:color="auto" w:sz="4" w:space="0"/>
            </w:tcBorders>
            <w:noWrap/>
            <w:vAlign w:val="center"/>
          </w:tcPr>
          <w:p w14:paraId="7794B77A">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69BAEE0B">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39BA0885">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2535" w:type="dxa"/>
            <w:tcBorders>
              <w:top w:val="nil"/>
              <w:left w:val="nil"/>
              <w:bottom w:val="single" w:color="auto" w:sz="4" w:space="0"/>
              <w:right w:val="single" w:color="auto" w:sz="4" w:space="0"/>
            </w:tcBorders>
            <w:noWrap/>
            <w:vAlign w:val="center"/>
          </w:tcPr>
          <w:p w14:paraId="59341341">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3E6EAC24">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B3A18F4">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14:paraId="7D17935E">
            <w:pPr>
              <w:widowControl/>
              <w:spacing w:line="300" w:lineRule="exact"/>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01DF4581">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0E6ED2A6">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4A1E7085">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2535" w:type="dxa"/>
            <w:tcBorders>
              <w:top w:val="nil"/>
              <w:left w:val="nil"/>
              <w:bottom w:val="single" w:color="auto" w:sz="4" w:space="0"/>
              <w:right w:val="single" w:color="auto" w:sz="4" w:space="0"/>
            </w:tcBorders>
            <w:noWrap/>
            <w:vAlign w:val="center"/>
          </w:tcPr>
          <w:p w14:paraId="1F375B04">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450" w:type="dxa"/>
            <w:tcBorders>
              <w:top w:val="nil"/>
              <w:left w:val="nil"/>
              <w:bottom w:val="single" w:color="auto" w:sz="4" w:space="0"/>
              <w:right w:val="single" w:color="auto" w:sz="4" w:space="0"/>
            </w:tcBorders>
            <w:noWrap/>
            <w:vAlign w:val="center"/>
          </w:tcPr>
          <w:p w14:paraId="4BEF9549">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8119549">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14:paraId="0236593D">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383" w:type="dxa"/>
            <w:tcBorders>
              <w:top w:val="nil"/>
              <w:left w:val="nil"/>
              <w:bottom w:val="single" w:color="auto" w:sz="4" w:space="0"/>
              <w:right w:val="single" w:color="auto" w:sz="4" w:space="0"/>
            </w:tcBorders>
            <w:noWrap/>
            <w:vAlign w:val="center"/>
          </w:tcPr>
          <w:p w14:paraId="5A5ED642">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6B6826FB">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3C31AAC1">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2535" w:type="dxa"/>
            <w:tcBorders>
              <w:top w:val="nil"/>
              <w:left w:val="nil"/>
              <w:bottom w:val="single" w:color="auto" w:sz="4" w:space="0"/>
              <w:right w:val="single" w:color="auto" w:sz="4" w:space="0"/>
            </w:tcBorders>
            <w:noWrap/>
            <w:vAlign w:val="center"/>
          </w:tcPr>
          <w:p w14:paraId="06FF7A58">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5E331E31">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36A9536">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14:paraId="116B82C3">
            <w:pPr>
              <w:widowControl/>
              <w:spacing w:line="300" w:lineRule="exact"/>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2A03E5E7">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6D217D00">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61D8E746">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2535" w:type="dxa"/>
            <w:tcBorders>
              <w:top w:val="nil"/>
              <w:left w:val="nil"/>
              <w:bottom w:val="single" w:color="auto" w:sz="4" w:space="0"/>
              <w:right w:val="single" w:color="auto" w:sz="4" w:space="0"/>
            </w:tcBorders>
            <w:noWrap/>
            <w:vAlign w:val="center"/>
          </w:tcPr>
          <w:p w14:paraId="0B144063">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450" w:type="dxa"/>
            <w:tcBorders>
              <w:top w:val="nil"/>
              <w:left w:val="nil"/>
              <w:bottom w:val="single" w:color="auto" w:sz="4" w:space="0"/>
              <w:right w:val="single" w:color="auto" w:sz="4" w:space="0"/>
            </w:tcBorders>
            <w:noWrap/>
            <w:vAlign w:val="center"/>
          </w:tcPr>
          <w:p w14:paraId="0AC28F6B">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662FFEA">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14:paraId="33F25273">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383" w:type="dxa"/>
            <w:tcBorders>
              <w:top w:val="nil"/>
              <w:left w:val="nil"/>
              <w:bottom w:val="single" w:color="auto" w:sz="4" w:space="0"/>
              <w:right w:val="single" w:color="auto" w:sz="4" w:space="0"/>
            </w:tcBorders>
            <w:noWrap/>
            <w:vAlign w:val="center"/>
          </w:tcPr>
          <w:p w14:paraId="4A5B1014">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47AE7C22">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3753A04C">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2535" w:type="dxa"/>
            <w:tcBorders>
              <w:top w:val="nil"/>
              <w:left w:val="nil"/>
              <w:bottom w:val="single" w:color="auto" w:sz="4" w:space="0"/>
              <w:right w:val="single" w:color="auto" w:sz="4" w:space="0"/>
            </w:tcBorders>
            <w:noWrap/>
            <w:vAlign w:val="center"/>
          </w:tcPr>
          <w:p w14:paraId="71E2DCDD">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5109F4C7">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4E36E7D">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14:paraId="209D83AC">
            <w:pPr>
              <w:widowControl/>
              <w:spacing w:line="300" w:lineRule="exact"/>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0D745BFC">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76491346">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1674054C">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2535" w:type="dxa"/>
            <w:tcBorders>
              <w:top w:val="nil"/>
              <w:left w:val="nil"/>
              <w:bottom w:val="single" w:color="auto" w:sz="4" w:space="0"/>
              <w:right w:val="single" w:color="auto" w:sz="4" w:space="0"/>
            </w:tcBorders>
            <w:noWrap/>
            <w:vAlign w:val="center"/>
          </w:tcPr>
          <w:p w14:paraId="3DD6E9C0">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450" w:type="dxa"/>
            <w:tcBorders>
              <w:top w:val="nil"/>
              <w:left w:val="nil"/>
              <w:bottom w:val="single" w:color="auto" w:sz="4" w:space="0"/>
              <w:right w:val="single" w:color="auto" w:sz="4" w:space="0"/>
            </w:tcBorders>
            <w:noWrap/>
            <w:vAlign w:val="center"/>
          </w:tcPr>
          <w:p w14:paraId="5FA52FEC">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A230591">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14:paraId="1817A2C3">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383" w:type="dxa"/>
            <w:tcBorders>
              <w:top w:val="nil"/>
              <w:left w:val="nil"/>
              <w:bottom w:val="single" w:color="auto" w:sz="4" w:space="0"/>
              <w:right w:val="single" w:color="auto" w:sz="4" w:space="0"/>
            </w:tcBorders>
            <w:noWrap/>
            <w:vAlign w:val="center"/>
          </w:tcPr>
          <w:p w14:paraId="4D9733A5">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07443351">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6593305B">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2535" w:type="dxa"/>
            <w:tcBorders>
              <w:top w:val="nil"/>
              <w:left w:val="nil"/>
              <w:bottom w:val="single" w:color="auto" w:sz="4" w:space="0"/>
              <w:right w:val="single" w:color="auto" w:sz="4" w:space="0"/>
            </w:tcBorders>
            <w:noWrap/>
            <w:vAlign w:val="center"/>
          </w:tcPr>
          <w:p w14:paraId="352EB3DC">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1A7ADFEF">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057EDC6">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14:paraId="483A3C05">
            <w:pPr>
              <w:widowControl/>
              <w:spacing w:line="300" w:lineRule="exact"/>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1E1BC1C0">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5A8F1CB6">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40086946">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2535" w:type="dxa"/>
            <w:tcBorders>
              <w:top w:val="nil"/>
              <w:left w:val="nil"/>
              <w:bottom w:val="single" w:color="auto" w:sz="4" w:space="0"/>
              <w:right w:val="single" w:color="auto" w:sz="4" w:space="0"/>
            </w:tcBorders>
            <w:noWrap/>
            <w:vAlign w:val="center"/>
          </w:tcPr>
          <w:p w14:paraId="42320D11">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450" w:type="dxa"/>
            <w:tcBorders>
              <w:top w:val="nil"/>
              <w:left w:val="nil"/>
              <w:bottom w:val="single" w:color="auto" w:sz="4" w:space="0"/>
              <w:right w:val="single" w:color="auto" w:sz="4" w:space="0"/>
            </w:tcBorders>
            <w:noWrap/>
            <w:vAlign w:val="center"/>
          </w:tcPr>
          <w:p w14:paraId="288B76B7">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2F374C0D">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14:paraId="73FAB6ED">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383" w:type="dxa"/>
            <w:tcBorders>
              <w:top w:val="nil"/>
              <w:left w:val="nil"/>
              <w:bottom w:val="single" w:color="auto" w:sz="4" w:space="0"/>
              <w:right w:val="single" w:color="auto" w:sz="4" w:space="0"/>
            </w:tcBorders>
            <w:noWrap/>
            <w:vAlign w:val="center"/>
          </w:tcPr>
          <w:p w14:paraId="17A2B5E2">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1F76FE6A">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2EACE9C1">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2535" w:type="dxa"/>
            <w:tcBorders>
              <w:top w:val="nil"/>
              <w:left w:val="nil"/>
              <w:bottom w:val="single" w:color="auto" w:sz="4" w:space="0"/>
              <w:right w:val="single" w:color="auto" w:sz="4" w:space="0"/>
            </w:tcBorders>
            <w:noWrap/>
            <w:vAlign w:val="center"/>
          </w:tcPr>
          <w:p w14:paraId="20517EA4">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450" w:type="dxa"/>
            <w:tcBorders>
              <w:top w:val="nil"/>
              <w:left w:val="nil"/>
              <w:bottom w:val="single" w:color="auto" w:sz="4" w:space="0"/>
              <w:right w:val="single" w:color="auto" w:sz="4" w:space="0"/>
            </w:tcBorders>
            <w:noWrap/>
            <w:vAlign w:val="center"/>
          </w:tcPr>
          <w:p w14:paraId="7D5DC243">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20304C46">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14:paraId="2F0AC041">
            <w:pPr>
              <w:widowControl/>
              <w:spacing w:line="300" w:lineRule="exact"/>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560BCEA9">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ign w:val="center"/>
          </w:tcPr>
          <w:p w14:paraId="57783CAC">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7F9EC881">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2535" w:type="dxa"/>
            <w:tcBorders>
              <w:top w:val="nil"/>
              <w:left w:val="nil"/>
              <w:bottom w:val="single" w:color="auto" w:sz="4" w:space="0"/>
              <w:right w:val="single" w:color="auto" w:sz="4" w:space="0"/>
            </w:tcBorders>
            <w:noWrap/>
            <w:vAlign w:val="center"/>
          </w:tcPr>
          <w:p w14:paraId="48D232C4">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450" w:type="dxa"/>
            <w:tcBorders>
              <w:top w:val="nil"/>
              <w:left w:val="nil"/>
              <w:bottom w:val="single" w:color="auto" w:sz="4" w:space="0"/>
              <w:right w:val="single" w:color="auto" w:sz="4" w:space="0"/>
            </w:tcBorders>
            <w:noWrap/>
            <w:vAlign w:val="center"/>
          </w:tcPr>
          <w:p w14:paraId="11078792">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0A966E3C">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14:paraId="1AB1620D">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383" w:type="dxa"/>
            <w:tcBorders>
              <w:top w:val="nil"/>
              <w:left w:val="nil"/>
              <w:bottom w:val="single" w:color="auto" w:sz="4" w:space="0"/>
              <w:right w:val="single" w:color="auto" w:sz="4" w:space="0"/>
            </w:tcBorders>
            <w:noWrap/>
            <w:vAlign w:val="center"/>
          </w:tcPr>
          <w:p w14:paraId="0C13C4B8">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3D971DD5">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62E88579">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2535" w:type="dxa"/>
            <w:tcBorders>
              <w:top w:val="nil"/>
              <w:left w:val="nil"/>
              <w:bottom w:val="single" w:color="auto" w:sz="4" w:space="0"/>
              <w:right w:val="single" w:color="auto" w:sz="4" w:space="0"/>
            </w:tcBorders>
            <w:noWrap/>
            <w:vAlign w:val="center"/>
          </w:tcPr>
          <w:p w14:paraId="353042D5">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50" w:type="dxa"/>
            <w:tcBorders>
              <w:top w:val="nil"/>
              <w:left w:val="nil"/>
              <w:bottom w:val="single" w:color="auto" w:sz="4" w:space="0"/>
              <w:right w:val="single" w:color="auto" w:sz="4" w:space="0"/>
            </w:tcBorders>
            <w:noWrap/>
            <w:vAlign w:val="center"/>
          </w:tcPr>
          <w:p w14:paraId="6A4C3995">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5E895045">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14:paraId="5052724A">
            <w:pPr>
              <w:widowControl/>
              <w:spacing w:line="300" w:lineRule="exact"/>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1653D4BD">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6E6C255F">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56D546E4">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2535" w:type="dxa"/>
            <w:tcBorders>
              <w:top w:val="nil"/>
              <w:left w:val="nil"/>
              <w:bottom w:val="single" w:color="auto" w:sz="4" w:space="0"/>
              <w:right w:val="single" w:color="auto" w:sz="4" w:space="0"/>
            </w:tcBorders>
            <w:noWrap/>
            <w:vAlign w:val="center"/>
          </w:tcPr>
          <w:p w14:paraId="7055DD65">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450" w:type="dxa"/>
            <w:tcBorders>
              <w:top w:val="nil"/>
              <w:left w:val="nil"/>
              <w:bottom w:val="single" w:color="auto" w:sz="4" w:space="0"/>
              <w:right w:val="single" w:color="auto" w:sz="4" w:space="0"/>
            </w:tcBorders>
            <w:noWrap/>
            <w:vAlign w:val="center"/>
          </w:tcPr>
          <w:p w14:paraId="678CDABE">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33B9D978">
        <w:tblPrEx>
          <w:tblCellMar>
            <w:top w:w="0" w:type="dxa"/>
            <w:left w:w="108" w:type="dxa"/>
            <w:bottom w:w="0" w:type="dxa"/>
            <w:right w:w="108" w:type="dxa"/>
          </w:tblCellMar>
        </w:tblPrEx>
        <w:trPr>
          <w:trHeight w:val="225" w:hRule="atLeast"/>
        </w:trPr>
        <w:tc>
          <w:tcPr>
            <w:tcW w:w="1700" w:type="dxa"/>
            <w:vMerge w:val="restart"/>
            <w:tcBorders>
              <w:top w:val="nil"/>
              <w:left w:val="single" w:color="auto" w:sz="4" w:space="0"/>
              <w:bottom w:val="single" w:color="auto" w:sz="4" w:space="0"/>
              <w:right w:val="single" w:color="auto" w:sz="4" w:space="0"/>
            </w:tcBorders>
            <w:noWrap/>
            <w:vAlign w:val="bottom"/>
          </w:tcPr>
          <w:p w14:paraId="4B74FC19">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383" w:type="dxa"/>
            <w:tcBorders>
              <w:top w:val="nil"/>
              <w:left w:val="nil"/>
              <w:bottom w:val="single" w:color="auto" w:sz="4" w:space="0"/>
              <w:right w:val="single" w:color="auto" w:sz="4" w:space="0"/>
            </w:tcBorders>
            <w:noWrap/>
            <w:vAlign w:val="center"/>
          </w:tcPr>
          <w:p w14:paraId="2AF84F4F">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658762C2">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3B2BA9F8">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2535" w:type="dxa"/>
            <w:tcBorders>
              <w:top w:val="nil"/>
              <w:left w:val="nil"/>
              <w:bottom w:val="single" w:color="auto" w:sz="4" w:space="0"/>
              <w:right w:val="single" w:color="auto" w:sz="4" w:space="0"/>
            </w:tcBorders>
            <w:noWrap/>
            <w:vAlign w:val="center"/>
          </w:tcPr>
          <w:p w14:paraId="733DF849">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45E8C5F1">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AC634D1">
        <w:tblPrEx>
          <w:tblCellMar>
            <w:top w:w="0" w:type="dxa"/>
            <w:left w:w="108" w:type="dxa"/>
            <w:bottom w:w="0" w:type="dxa"/>
            <w:right w:w="108" w:type="dxa"/>
          </w:tblCellMar>
        </w:tblPrEx>
        <w:trPr>
          <w:trHeight w:val="225" w:hRule="atLeast"/>
        </w:trPr>
        <w:tc>
          <w:tcPr>
            <w:tcW w:w="1700" w:type="dxa"/>
            <w:vMerge w:val="continue"/>
            <w:tcBorders>
              <w:top w:val="nil"/>
              <w:left w:val="single" w:color="auto" w:sz="4" w:space="0"/>
              <w:bottom w:val="single" w:color="auto" w:sz="4" w:space="0"/>
              <w:right w:val="single" w:color="auto" w:sz="4" w:space="0"/>
            </w:tcBorders>
            <w:vAlign w:val="center"/>
          </w:tcPr>
          <w:p w14:paraId="697931AF">
            <w:pPr>
              <w:widowControl/>
              <w:spacing w:line="300" w:lineRule="exact"/>
              <w:jc w:val="left"/>
              <w:rPr>
                <w:rFonts w:ascii="宋体" w:hAnsi="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2925F1E9">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ign w:val="center"/>
          </w:tcPr>
          <w:p w14:paraId="7204D483">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64241F93">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2535" w:type="dxa"/>
            <w:tcBorders>
              <w:top w:val="nil"/>
              <w:left w:val="nil"/>
              <w:bottom w:val="single" w:color="auto" w:sz="4" w:space="0"/>
              <w:right w:val="single" w:color="auto" w:sz="4" w:space="0"/>
            </w:tcBorders>
            <w:noWrap/>
            <w:vAlign w:val="center"/>
          </w:tcPr>
          <w:p w14:paraId="25166B74">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450" w:type="dxa"/>
            <w:tcBorders>
              <w:top w:val="nil"/>
              <w:left w:val="nil"/>
              <w:bottom w:val="single" w:color="auto" w:sz="4" w:space="0"/>
              <w:right w:val="single" w:color="auto" w:sz="4" w:space="0"/>
            </w:tcBorders>
            <w:noWrap/>
            <w:vAlign w:val="center"/>
          </w:tcPr>
          <w:p w14:paraId="24F7BCC2">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A689B6F">
        <w:tblPrEx>
          <w:tblCellMar>
            <w:top w:w="0" w:type="dxa"/>
            <w:left w:w="108" w:type="dxa"/>
            <w:bottom w:w="0" w:type="dxa"/>
            <w:right w:w="108" w:type="dxa"/>
          </w:tblCellMar>
        </w:tblPrEx>
        <w:trPr>
          <w:trHeight w:val="225" w:hRule="atLeast"/>
        </w:trPr>
        <w:tc>
          <w:tcPr>
            <w:tcW w:w="1700" w:type="dxa"/>
            <w:tcBorders>
              <w:top w:val="nil"/>
              <w:left w:val="single" w:color="auto" w:sz="4" w:space="0"/>
              <w:bottom w:val="single" w:color="auto" w:sz="4" w:space="0"/>
              <w:right w:val="single" w:color="auto" w:sz="4" w:space="0"/>
            </w:tcBorders>
            <w:noWrap/>
            <w:vAlign w:val="bottom"/>
          </w:tcPr>
          <w:p w14:paraId="7C67A68E">
            <w:pPr>
              <w:widowControl/>
              <w:spacing w:line="30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383" w:type="dxa"/>
            <w:tcBorders>
              <w:top w:val="nil"/>
              <w:left w:val="nil"/>
              <w:bottom w:val="single" w:color="auto" w:sz="4" w:space="0"/>
              <w:right w:val="single" w:color="auto" w:sz="4" w:space="0"/>
            </w:tcBorders>
            <w:noWrap/>
            <w:vAlign w:val="center"/>
          </w:tcPr>
          <w:p w14:paraId="3C8583B3">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1BB782B2">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0F14F832">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2535" w:type="dxa"/>
            <w:tcBorders>
              <w:top w:val="nil"/>
              <w:left w:val="nil"/>
              <w:bottom w:val="single" w:color="auto" w:sz="4" w:space="0"/>
              <w:right w:val="single" w:color="auto" w:sz="4" w:space="0"/>
            </w:tcBorders>
            <w:noWrap/>
            <w:vAlign w:val="center"/>
          </w:tcPr>
          <w:p w14:paraId="353209AD">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5063B790">
            <w:pPr>
              <w:widowControl/>
              <w:spacing w:line="30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3EAB4267">
      <w:pPr>
        <w:spacing w:line="240" w:lineRule="atLeast"/>
        <w:ind w:firstLine="525" w:firstLineChars="250"/>
        <w:rPr>
          <w:rFonts w:ascii="宋体" w:hAnsi="宋体" w:cs="宋体"/>
          <w:color w:val="auto"/>
          <w:szCs w:val="21"/>
          <w:highlight w:val="none"/>
        </w:rPr>
      </w:pPr>
    </w:p>
    <w:p w14:paraId="0759750D">
      <w:pPr>
        <w:spacing w:line="240" w:lineRule="atLeast"/>
        <w:ind w:firstLine="525" w:firstLineChars="250"/>
        <w:rPr>
          <w:rFonts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6279B26F">
      <w:pPr>
        <w:spacing w:line="440" w:lineRule="exact"/>
        <w:ind w:firstLine="482" w:firstLineChars="200"/>
        <w:rPr>
          <w:rFonts w:ascii="宋体" w:hAnsi="宋体" w:cs="宋体"/>
          <w:b/>
          <w:color w:val="auto"/>
          <w:sz w:val="24"/>
          <w:highlight w:val="none"/>
        </w:rPr>
      </w:pPr>
    </w:p>
    <w:p w14:paraId="2E5D2064">
      <w:pPr>
        <w:spacing w:line="440" w:lineRule="exact"/>
        <w:ind w:firstLine="482" w:firstLineChars="200"/>
        <w:rPr>
          <w:rFonts w:ascii="宋体" w:hAnsi="宋体" w:cs="宋体"/>
          <w:b/>
          <w:color w:val="auto"/>
          <w:sz w:val="24"/>
          <w:highlight w:val="none"/>
        </w:rPr>
      </w:pPr>
    </w:p>
    <w:p w14:paraId="2752C39B">
      <w:pPr>
        <w:spacing w:line="440" w:lineRule="exact"/>
        <w:ind w:firstLine="482" w:firstLineChars="200"/>
        <w:rPr>
          <w:rFonts w:ascii="宋体" w:hAnsi="宋体" w:cs="宋体"/>
          <w:b/>
          <w:color w:val="auto"/>
          <w:sz w:val="24"/>
          <w:highlight w:val="none"/>
        </w:rPr>
      </w:pPr>
    </w:p>
    <w:p w14:paraId="553B291C">
      <w:pPr>
        <w:spacing w:line="440" w:lineRule="exact"/>
        <w:ind w:firstLine="482" w:firstLineChars="200"/>
        <w:rPr>
          <w:rFonts w:ascii="宋体" w:hAnsi="宋体" w:cs="宋体"/>
          <w:b/>
          <w:color w:val="auto"/>
          <w:sz w:val="24"/>
          <w:highlight w:val="none"/>
        </w:rPr>
      </w:pPr>
    </w:p>
    <w:p w14:paraId="0BEAC80D">
      <w:pPr>
        <w:spacing w:line="440" w:lineRule="exact"/>
        <w:ind w:firstLine="482" w:firstLineChars="200"/>
        <w:rPr>
          <w:rFonts w:ascii="宋体" w:hAnsi="宋体" w:cs="宋体"/>
          <w:b/>
          <w:color w:val="auto"/>
          <w:sz w:val="24"/>
          <w:highlight w:val="none"/>
        </w:rPr>
      </w:pPr>
    </w:p>
    <w:p w14:paraId="772E8136">
      <w:pPr>
        <w:spacing w:line="440" w:lineRule="exact"/>
        <w:ind w:firstLine="482" w:firstLineChars="200"/>
        <w:rPr>
          <w:rFonts w:ascii="宋体" w:hAnsi="宋体" w:cs="宋体"/>
          <w:b/>
          <w:color w:val="auto"/>
          <w:sz w:val="24"/>
          <w:highlight w:val="none"/>
        </w:rPr>
      </w:pPr>
    </w:p>
    <w:p w14:paraId="7CABC886">
      <w:pPr>
        <w:spacing w:line="440" w:lineRule="exact"/>
        <w:ind w:firstLine="482" w:firstLineChars="200"/>
        <w:rPr>
          <w:rFonts w:ascii="宋体" w:hAnsi="宋体" w:cs="宋体"/>
          <w:b/>
          <w:color w:val="auto"/>
          <w:sz w:val="24"/>
          <w:highlight w:val="none"/>
        </w:rPr>
      </w:pPr>
    </w:p>
    <w:p w14:paraId="48ABB13A">
      <w:pPr>
        <w:spacing w:line="440" w:lineRule="exact"/>
        <w:ind w:firstLine="482" w:firstLineChars="200"/>
        <w:rPr>
          <w:rFonts w:ascii="宋体" w:hAnsi="宋体" w:cs="宋体"/>
          <w:b/>
          <w:color w:val="auto"/>
          <w:sz w:val="24"/>
          <w:highlight w:val="none"/>
        </w:rPr>
      </w:pPr>
    </w:p>
    <w:p w14:paraId="3A537F60">
      <w:pPr>
        <w:spacing w:line="440" w:lineRule="exact"/>
        <w:ind w:firstLine="482" w:firstLineChars="200"/>
        <w:rPr>
          <w:rFonts w:ascii="宋体" w:hAnsi="宋体" w:cs="宋体"/>
          <w:b/>
          <w:color w:val="auto"/>
          <w:sz w:val="24"/>
          <w:highlight w:val="none"/>
        </w:rPr>
      </w:pPr>
    </w:p>
    <w:p w14:paraId="1C163483">
      <w:pPr>
        <w:spacing w:line="440" w:lineRule="exact"/>
        <w:ind w:firstLine="482" w:firstLineChars="200"/>
        <w:rPr>
          <w:rFonts w:ascii="宋体" w:hAnsi="宋体" w:cs="宋体"/>
          <w:b/>
          <w:color w:val="auto"/>
          <w:sz w:val="24"/>
          <w:highlight w:val="none"/>
        </w:rPr>
      </w:pPr>
    </w:p>
    <w:p w14:paraId="78782758">
      <w:pPr>
        <w:spacing w:line="440" w:lineRule="exact"/>
        <w:ind w:firstLine="482" w:firstLineChars="200"/>
        <w:rPr>
          <w:rFonts w:ascii="宋体" w:hAnsi="宋体" w:cs="宋体"/>
          <w:b/>
          <w:color w:val="auto"/>
          <w:sz w:val="24"/>
          <w:highlight w:val="none"/>
        </w:rPr>
      </w:pPr>
    </w:p>
    <w:p w14:paraId="161EF4AE">
      <w:pPr>
        <w:pStyle w:val="3"/>
        <w:spacing w:line="440" w:lineRule="exact"/>
        <w:jc w:val="center"/>
        <w:rPr>
          <w:rFonts w:ascii="宋体" w:hAnsi="宋体" w:cs="宋体"/>
          <w:color w:val="auto"/>
          <w:sz w:val="32"/>
          <w:szCs w:val="32"/>
          <w:highlight w:val="none"/>
        </w:rPr>
      </w:pPr>
      <w:bookmarkStart w:id="27" w:name="_Toc88747294"/>
      <w:r>
        <w:rPr>
          <w:rFonts w:hint="eastAsia" w:ascii="宋体" w:hAnsi="宋体" w:cs="宋体"/>
          <w:color w:val="auto"/>
          <w:sz w:val="32"/>
          <w:szCs w:val="32"/>
          <w:highlight w:val="none"/>
        </w:rPr>
        <w:t>第四章 响应文件格式</w:t>
      </w:r>
      <w:bookmarkEnd w:id="27"/>
    </w:p>
    <w:p w14:paraId="272C7E3A">
      <w:pPr>
        <w:spacing w:line="440" w:lineRule="exact"/>
        <w:jc w:val="center"/>
        <w:rPr>
          <w:rFonts w:ascii="宋体" w:hAnsi="宋体" w:cs="宋体"/>
          <w:b/>
          <w:color w:val="auto"/>
          <w:sz w:val="32"/>
          <w:szCs w:val="32"/>
          <w:highlight w:val="none"/>
        </w:rPr>
      </w:pPr>
    </w:p>
    <w:p w14:paraId="66A35B8A">
      <w:pPr>
        <w:spacing w:line="440" w:lineRule="exact"/>
        <w:jc w:val="center"/>
        <w:rPr>
          <w:rFonts w:ascii="宋体" w:hAnsi="宋体" w:cs="宋体"/>
          <w:b/>
          <w:color w:val="auto"/>
          <w:sz w:val="32"/>
          <w:szCs w:val="32"/>
          <w:highlight w:val="none"/>
        </w:rPr>
      </w:pPr>
    </w:p>
    <w:p w14:paraId="290849D6">
      <w:pPr>
        <w:spacing w:line="440" w:lineRule="exact"/>
        <w:jc w:val="center"/>
        <w:rPr>
          <w:rFonts w:ascii="宋体" w:hAnsi="宋体" w:cs="宋体"/>
          <w:b/>
          <w:color w:val="auto"/>
          <w:sz w:val="32"/>
          <w:szCs w:val="32"/>
          <w:highlight w:val="none"/>
        </w:rPr>
      </w:pPr>
    </w:p>
    <w:p w14:paraId="281792C4">
      <w:pPr>
        <w:spacing w:line="440" w:lineRule="exact"/>
        <w:jc w:val="center"/>
        <w:rPr>
          <w:rFonts w:ascii="宋体" w:hAnsi="宋体" w:cs="宋体"/>
          <w:b/>
          <w:color w:val="auto"/>
          <w:sz w:val="32"/>
          <w:szCs w:val="32"/>
          <w:highlight w:val="none"/>
        </w:rPr>
      </w:pPr>
    </w:p>
    <w:p w14:paraId="4C42C323">
      <w:pPr>
        <w:spacing w:line="440" w:lineRule="exact"/>
        <w:jc w:val="center"/>
        <w:rPr>
          <w:rFonts w:ascii="宋体" w:hAnsi="宋体" w:cs="宋体"/>
          <w:b/>
          <w:color w:val="auto"/>
          <w:sz w:val="32"/>
          <w:szCs w:val="32"/>
          <w:highlight w:val="none"/>
        </w:rPr>
      </w:pPr>
    </w:p>
    <w:p w14:paraId="2310CAC0">
      <w:pPr>
        <w:spacing w:line="440" w:lineRule="exact"/>
        <w:jc w:val="center"/>
        <w:rPr>
          <w:rFonts w:ascii="宋体" w:hAnsi="宋体" w:cs="宋体"/>
          <w:b/>
          <w:color w:val="auto"/>
          <w:sz w:val="32"/>
          <w:szCs w:val="32"/>
          <w:highlight w:val="none"/>
        </w:rPr>
      </w:pPr>
    </w:p>
    <w:p w14:paraId="2F407E10">
      <w:pPr>
        <w:spacing w:line="440" w:lineRule="exact"/>
        <w:jc w:val="center"/>
        <w:rPr>
          <w:rFonts w:ascii="宋体" w:hAnsi="宋体" w:cs="宋体"/>
          <w:b/>
          <w:color w:val="auto"/>
          <w:sz w:val="32"/>
          <w:szCs w:val="32"/>
          <w:highlight w:val="none"/>
        </w:rPr>
      </w:pPr>
    </w:p>
    <w:p w14:paraId="17E30B7C">
      <w:pPr>
        <w:spacing w:line="440" w:lineRule="exact"/>
        <w:jc w:val="center"/>
        <w:rPr>
          <w:rFonts w:ascii="宋体" w:hAnsi="宋体" w:cs="宋体"/>
          <w:b/>
          <w:color w:val="auto"/>
          <w:sz w:val="32"/>
          <w:szCs w:val="32"/>
          <w:highlight w:val="none"/>
        </w:rPr>
      </w:pPr>
    </w:p>
    <w:p w14:paraId="06FF2496">
      <w:pPr>
        <w:spacing w:line="440" w:lineRule="exact"/>
        <w:jc w:val="left"/>
        <w:rPr>
          <w:rFonts w:ascii="宋体" w:hAnsi="宋体" w:cs="宋体"/>
          <w:b/>
          <w:bCs/>
          <w:color w:val="auto"/>
          <w:szCs w:val="21"/>
          <w:highlight w:val="none"/>
        </w:rPr>
      </w:pPr>
      <w:r>
        <w:rPr>
          <w:rFonts w:hint="eastAsia" w:ascii="宋体" w:hAnsi="宋体" w:cs="宋体"/>
          <w:b/>
          <w:color w:val="auto"/>
          <w:sz w:val="32"/>
          <w:szCs w:val="32"/>
          <w:highlight w:val="none"/>
        </w:rPr>
        <w:br w:type="page"/>
      </w:r>
      <w:r>
        <w:rPr>
          <w:rFonts w:hint="eastAsia" w:ascii="宋体" w:hAnsi="宋体" w:cs="宋体"/>
          <w:b/>
          <w:bCs/>
          <w:color w:val="auto"/>
          <w:szCs w:val="21"/>
          <w:highlight w:val="none"/>
        </w:rPr>
        <w:t>一、响应文件袋外层包装封面格式</w:t>
      </w:r>
    </w:p>
    <w:p w14:paraId="18B08780">
      <w:pPr>
        <w:snapToGrid w:val="0"/>
        <w:spacing w:before="120" w:beforeLines="50" w:after="50" w:line="440" w:lineRule="exact"/>
        <w:rPr>
          <w:rFonts w:ascii="宋体" w:hAnsi="宋体" w:cs="宋体"/>
          <w:b/>
          <w:bCs/>
          <w:color w:val="auto"/>
          <w:szCs w:val="21"/>
          <w:highlight w:val="none"/>
        </w:rPr>
      </w:pPr>
      <w:r>
        <w:rPr>
          <w:rFonts w:hint="eastAsia" w:ascii="宋体" w:hAnsi="宋体" w:cs="宋体"/>
          <w:b/>
          <w:bCs/>
          <w:color w:val="auto"/>
          <w:szCs w:val="21"/>
          <w:highlight w:val="none"/>
        </w:rPr>
        <w:t>1.所有文件（资格证明文件、商务和技术文件、报价文件）的外装封面格式：</w:t>
      </w:r>
    </w:p>
    <w:p w14:paraId="0B1A0281">
      <w:pPr>
        <w:snapToGrid w:val="0"/>
        <w:spacing w:before="120" w:beforeLines="50" w:after="50" w:line="440" w:lineRule="exact"/>
        <w:jc w:val="center"/>
        <w:rPr>
          <w:rFonts w:ascii="宋体" w:hAnsi="宋体" w:cs="宋体"/>
          <w:bCs/>
          <w:color w:val="auto"/>
          <w:szCs w:val="21"/>
          <w:highlight w:val="none"/>
        </w:rPr>
      </w:pPr>
    </w:p>
    <w:p w14:paraId="4B9CE001">
      <w:pPr>
        <w:snapToGrid w:val="0"/>
        <w:spacing w:before="120" w:beforeLines="50" w:after="50" w:line="440" w:lineRule="exact"/>
        <w:jc w:val="center"/>
        <w:rPr>
          <w:rFonts w:ascii="宋体" w:hAnsi="宋体" w:cs="宋体"/>
          <w:bCs/>
          <w:color w:val="auto"/>
          <w:szCs w:val="21"/>
          <w:highlight w:val="none"/>
        </w:rPr>
      </w:pPr>
    </w:p>
    <w:p w14:paraId="731B0B05">
      <w:pPr>
        <w:snapToGrid w:val="0"/>
        <w:spacing w:before="120" w:beforeLines="50" w:after="50" w:line="440" w:lineRule="exact"/>
        <w:jc w:val="center"/>
        <w:rPr>
          <w:rFonts w:ascii="宋体" w:hAnsi="宋体" w:cs="宋体"/>
          <w:bCs/>
          <w:color w:val="auto"/>
          <w:szCs w:val="21"/>
          <w:highlight w:val="none"/>
        </w:rPr>
      </w:pPr>
    </w:p>
    <w:p w14:paraId="684C4DEC">
      <w:pPr>
        <w:snapToGrid w:val="0"/>
        <w:spacing w:before="120" w:beforeLines="50" w:after="50" w:line="440" w:lineRule="exact"/>
        <w:jc w:val="center"/>
        <w:rPr>
          <w:rFonts w:ascii="宋体" w:hAnsi="宋体" w:cs="宋体"/>
          <w:b/>
          <w:bCs/>
          <w:color w:val="auto"/>
          <w:sz w:val="52"/>
          <w:szCs w:val="52"/>
          <w:highlight w:val="none"/>
        </w:rPr>
      </w:pPr>
      <w:r>
        <w:rPr>
          <w:rFonts w:hint="eastAsia" w:ascii="宋体" w:hAnsi="宋体" w:cs="宋体"/>
          <w:b/>
          <w:bCs/>
          <w:color w:val="auto"/>
          <w:sz w:val="52"/>
          <w:szCs w:val="52"/>
          <w:highlight w:val="none"/>
        </w:rPr>
        <w:t>响  应 文 件 袋</w:t>
      </w:r>
    </w:p>
    <w:p w14:paraId="69500B13">
      <w:pPr>
        <w:snapToGrid w:val="0"/>
        <w:spacing w:before="120" w:beforeLines="50" w:after="50" w:line="440" w:lineRule="exact"/>
        <w:jc w:val="center"/>
        <w:rPr>
          <w:rFonts w:ascii="宋体" w:hAnsi="宋体" w:cs="宋体"/>
          <w:bCs/>
          <w:color w:val="auto"/>
          <w:sz w:val="52"/>
          <w:szCs w:val="52"/>
          <w:highlight w:val="none"/>
        </w:rPr>
      </w:pPr>
    </w:p>
    <w:p w14:paraId="6E302942">
      <w:pPr>
        <w:snapToGrid w:val="0"/>
        <w:spacing w:before="120" w:beforeLines="50" w:after="50" w:line="440" w:lineRule="exact"/>
        <w:jc w:val="center"/>
        <w:rPr>
          <w:rFonts w:ascii="宋体" w:hAnsi="宋体" w:cs="宋体"/>
          <w:bCs/>
          <w:color w:val="auto"/>
          <w:sz w:val="52"/>
          <w:szCs w:val="52"/>
          <w:highlight w:val="none"/>
        </w:rPr>
      </w:pPr>
    </w:p>
    <w:p w14:paraId="2B542A1D">
      <w:pPr>
        <w:snapToGrid w:val="0"/>
        <w:spacing w:before="120" w:beforeLines="50" w:after="50" w:line="440" w:lineRule="exact"/>
        <w:rPr>
          <w:rFonts w:ascii="宋体" w:hAnsi="宋体" w:cs="宋体"/>
          <w:bCs/>
          <w:color w:val="auto"/>
          <w:szCs w:val="21"/>
          <w:highlight w:val="none"/>
        </w:rPr>
      </w:pPr>
    </w:p>
    <w:p w14:paraId="1C037DAB">
      <w:pPr>
        <w:snapToGrid w:val="0"/>
        <w:spacing w:before="120" w:beforeLines="50" w:after="50" w:line="440" w:lineRule="exact"/>
        <w:ind w:firstLine="450" w:firstLineChars="150"/>
        <w:rPr>
          <w:rFonts w:ascii="宋体" w:hAnsi="宋体" w:cs="宋体"/>
          <w:bCs/>
          <w:color w:val="auto"/>
          <w:sz w:val="30"/>
          <w:szCs w:val="30"/>
          <w:highlight w:val="none"/>
        </w:rPr>
      </w:pPr>
      <w:r>
        <w:rPr>
          <w:rFonts w:hint="eastAsia" w:ascii="宋体" w:hAnsi="宋体" w:cs="宋体"/>
          <w:bCs/>
          <w:color w:val="auto"/>
          <w:sz w:val="30"/>
          <w:szCs w:val="30"/>
          <w:highlight w:val="none"/>
        </w:rPr>
        <w:t>项目名称：</w:t>
      </w:r>
    </w:p>
    <w:p w14:paraId="7CD1A620">
      <w:pPr>
        <w:snapToGrid w:val="0"/>
        <w:spacing w:before="120" w:beforeLines="50" w:after="50" w:line="440" w:lineRule="exact"/>
        <w:ind w:firstLine="450" w:firstLineChars="150"/>
        <w:rPr>
          <w:rFonts w:ascii="宋体" w:hAnsi="宋体" w:cs="宋体"/>
          <w:bCs/>
          <w:color w:val="auto"/>
          <w:sz w:val="30"/>
          <w:szCs w:val="30"/>
          <w:highlight w:val="none"/>
        </w:rPr>
      </w:pPr>
    </w:p>
    <w:p w14:paraId="3AFBE5B1">
      <w:pPr>
        <w:snapToGrid w:val="0"/>
        <w:spacing w:before="120" w:beforeLines="50" w:after="50" w:line="440" w:lineRule="exact"/>
        <w:ind w:firstLine="450" w:firstLineChars="150"/>
        <w:rPr>
          <w:rFonts w:ascii="宋体" w:hAnsi="宋体" w:cs="宋体"/>
          <w:bCs/>
          <w:color w:val="auto"/>
          <w:sz w:val="30"/>
          <w:szCs w:val="30"/>
          <w:highlight w:val="none"/>
        </w:rPr>
      </w:pPr>
      <w:r>
        <w:rPr>
          <w:rFonts w:hint="eastAsia" w:ascii="宋体" w:hAnsi="宋体" w:cs="宋体"/>
          <w:bCs/>
          <w:color w:val="auto"/>
          <w:sz w:val="30"/>
          <w:szCs w:val="30"/>
          <w:highlight w:val="none"/>
        </w:rPr>
        <w:t xml:space="preserve">项目编号： </w:t>
      </w:r>
    </w:p>
    <w:p w14:paraId="06292ADF">
      <w:pPr>
        <w:snapToGrid w:val="0"/>
        <w:spacing w:before="120" w:beforeLines="50" w:after="50" w:line="440" w:lineRule="exact"/>
        <w:ind w:firstLine="450" w:firstLineChars="150"/>
        <w:rPr>
          <w:rFonts w:ascii="宋体" w:hAnsi="宋体" w:cs="宋体"/>
          <w:bCs/>
          <w:color w:val="auto"/>
          <w:sz w:val="30"/>
          <w:szCs w:val="30"/>
          <w:highlight w:val="none"/>
        </w:rPr>
      </w:pPr>
    </w:p>
    <w:p w14:paraId="72BB04C4">
      <w:pPr>
        <w:pStyle w:val="10"/>
        <w:snapToGrid w:val="0"/>
        <w:spacing w:before="50" w:after="50" w:line="440" w:lineRule="exact"/>
        <w:ind w:firstLine="450" w:firstLineChars="150"/>
        <w:rPr>
          <w:rFonts w:ascii="宋体" w:hAnsi="宋体" w:cs="宋体"/>
          <w:bCs/>
          <w:color w:val="auto"/>
          <w:sz w:val="30"/>
          <w:szCs w:val="30"/>
          <w:highlight w:val="none"/>
        </w:rPr>
      </w:pPr>
      <w:r>
        <w:rPr>
          <w:rFonts w:hint="eastAsia" w:ascii="宋体" w:hAnsi="宋体" w:cs="宋体"/>
          <w:bCs/>
          <w:color w:val="auto"/>
          <w:sz w:val="30"/>
          <w:szCs w:val="30"/>
          <w:highlight w:val="none"/>
        </w:rPr>
        <w:t>标    项：（如有则填写，无分标时填写“无”或者留空）</w:t>
      </w:r>
    </w:p>
    <w:p w14:paraId="4D6E6582">
      <w:pPr>
        <w:pStyle w:val="10"/>
        <w:snapToGrid w:val="0"/>
        <w:spacing w:before="50" w:after="50" w:line="440" w:lineRule="exact"/>
        <w:ind w:firstLine="450" w:firstLineChars="150"/>
        <w:rPr>
          <w:rFonts w:ascii="宋体" w:hAnsi="宋体" w:cs="宋体"/>
          <w:bCs/>
          <w:color w:val="auto"/>
          <w:sz w:val="30"/>
          <w:szCs w:val="30"/>
          <w:highlight w:val="none"/>
        </w:rPr>
      </w:pPr>
    </w:p>
    <w:p w14:paraId="6345ACED">
      <w:pPr>
        <w:pStyle w:val="10"/>
        <w:snapToGrid w:val="0"/>
        <w:spacing w:before="50" w:after="50" w:line="440" w:lineRule="exact"/>
        <w:ind w:firstLine="450" w:firstLineChars="150"/>
        <w:rPr>
          <w:rFonts w:ascii="宋体" w:hAnsi="宋体" w:cs="宋体"/>
          <w:bCs/>
          <w:color w:val="auto"/>
          <w:sz w:val="30"/>
          <w:szCs w:val="30"/>
          <w:highlight w:val="none"/>
        </w:rPr>
      </w:pPr>
      <w:r>
        <w:rPr>
          <w:rFonts w:hint="eastAsia" w:ascii="宋体" w:hAnsi="宋体" w:cs="宋体"/>
          <w:bCs/>
          <w:color w:val="auto"/>
          <w:sz w:val="30"/>
          <w:szCs w:val="30"/>
          <w:highlight w:val="none"/>
        </w:rPr>
        <w:t>供应商名称：</w:t>
      </w:r>
      <w:r>
        <w:rPr>
          <w:rFonts w:hint="eastAsia" w:ascii="宋体" w:hAnsi="宋体" w:cs="宋体"/>
          <w:bCs/>
          <w:color w:val="auto"/>
          <w:sz w:val="30"/>
          <w:szCs w:val="30"/>
          <w:highlight w:val="none"/>
          <w:u w:val="single"/>
        </w:rPr>
        <w:t xml:space="preserve">             全称           </w:t>
      </w:r>
      <w:r>
        <w:rPr>
          <w:rFonts w:hint="eastAsia" w:ascii="宋体" w:hAnsi="宋体" w:cs="宋体"/>
          <w:bCs/>
          <w:color w:val="auto"/>
          <w:sz w:val="30"/>
          <w:szCs w:val="30"/>
          <w:highlight w:val="none"/>
        </w:rPr>
        <w:t>（加盖单位电子公章）</w:t>
      </w:r>
    </w:p>
    <w:p w14:paraId="19168CDA">
      <w:pPr>
        <w:pStyle w:val="10"/>
        <w:snapToGrid w:val="0"/>
        <w:spacing w:before="50" w:after="50" w:line="440" w:lineRule="exact"/>
        <w:ind w:firstLine="450" w:firstLineChars="150"/>
        <w:rPr>
          <w:rFonts w:ascii="宋体" w:hAnsi="宋体" w:cs="宋体"/>
          <w:bCs/>
          <w:color w:val="auto"/>
          <w:sz w:val="30"/>
          <w:szCs w:val="30"/>
          <w:highlight w:val="none"/>
        </w:rPr>
      </w:pPr>
    </w:p>
    <w:p w14:paraId="7611DA02">
      <w:pPr>
        <w:pStyle w:val="10"/>
        <w:snapToGrid w:val="0"/>
        <w:spacing w:before="50" w:after="50" w:line="440" w:lineRule="exact"/>
        <w:ind w:firstLine="450" w:firstLineChars="150"/>
        <w:rPr>
          <w:rFonts w:ascii="宋体" w:hAnsi="宋体" w:cs="宋体"/>
          <w:bCs/>
          <w:color w:val="auto"/>
          <w:sz w:val="30"/>
          <w:szCs w:val="30"/>
          <w:highlight w:val="none"/>
        </w:rPr>
      </w:pPr>
      <w:r>
        <w:rPr>
          <w:rFonts w:hint="eastAsia" w:ascii="宋体" w:hAnsi="宋体" w:cs="宋体"/>
          <w:bCs/>
          <w:color w:val="auto"/>
          <w:sz w:val="30"/>
          <w:szCs w:val="30"/>
          <w:highlight w:val="none"/>
        </w:rPr>
        <w:t>供应商地址：</w:t>
      </w:r>
    </w:p>
    <w:p w14:paraId="4AADFB34">
      <w:pPr>
        <w:pStyle w:val="10"/>
        <w:snapToGrid w:val="0"/>
        <w:spacing w:before="50" w:after="50" w:line="440" w:lineRule="exact"/>
        <w:ind w:firstLine="450" w:firstLineChars="150"/>
        <w:rPr>
          <w:rFonts w:ascii="宋体" w:hAnsi="宋体" w:cs="宋体"/>
          <w:bCs/>
          <w:color w:val="auto"/>
          <w:sz w:val="30"/>
          <w:szCs w:val="30"/>
          <w:highlight w:val="none"/>
        </w:rPr>
      </w:pPr>
    </w:p>
    <w:p w14:paraId="2B4099D6">
      <w:pPr>
        <w:pStyle w:val="10"/>
        <w:snapToGrid w:val="0"/>
        <w:spacing w:before="50" w:after="50" w:line="440" w:lineRule="exact"/>
        <w:ind w:firstLine="450" w:firstLineChars="150"/>
        <w:rPr>
          <w:rFonts w:ascii="宋体" w:hAnsi="宋体" w:cs="宋体"/>
          <w:bCs/>
          <w:color w:val="auto"/>
          <w:sz w:val="30"/>
          <w:szCs w:val="30"/>
          <w:highlight w:val="none"/>
        </w:rPr>
      </w:pPr>
    </w:p>
    <w:p w14:paraId="3E1B4356">
      <w:pPr>
        <w:pStyle w:val="10"/>
        <w:snapToGrid w:val="0"/>
        <w:spacing w:before="50" w:after="50" w:line="440" w:lineRule="exact"/>
        <w:ind w:firstLine="360" w:firstLineChars="150"/>
        <w:rPr>
          <w:rFonts w:ascii="宋体" w:hAnsi="宋体" w:cs="宋体"/>
          <w:bCs/>
          <w:color w:val="auto"/>
          <w:sz w:val="30"/>
          <w:szCs w:val="30"/>
          <w:highlight w:val="none"/>
        </w:rPr>
      </w:pPr>
      <w:r>
        <w:rPr>
          <w:rFonts w:hint="eastAsia" w:ascii="宋体" w:hAnsi="宋体" w:cs="宋体"/>
          <w:bCs/>
          <w:color w:val="auto"/>
          <w:sz w:val="24"/>
          <w:highlight w:val="none"/>
        </w:rPr>
        <w:t>在首次响应文件提交截止时间之前不得解密</w:t>
      </w:r>
    </w:p>
    <w:p w14:paraId="29B68DBA">
      <w:pPr>
        <w:pStyle w:val="10"/>
        <w:snapToGrid w:val="0"/>
        <w:spacing w:before="50" w:after="50" w:line="440" w:lineRule="exact"/>
        <w:ind w:firstLine="450" w:firstLineChars="150"/>
        <w:rPr>
          <w:rFonts w:ascii="宋体" w:hAnsi="宋体" w:cs="宋体"/>
          <w:bCs/>
          <w:color w:val="auto"/>
          <w:sz w:val="30"/>
          <w:szCs w:val="30"/>
          <w:highlight w:val="none"/>
        </w:rPr>
      </w:pPr>
    </w:p>
    <w:p w14:paraId="2211F9D2">
      <w:pPr>
        <w:pStyle w:val="10"/>
        <w:snapToGrid w:val="0"/>
        <w:spacing w:before="50" w:after="50" w:line="440" w:lineRule="exact"/>
        <w:ind w:firstLine="0"/>
        <w:rPr>
          <w:rFonts w:ascii="宋体" w:hAnsi="宋体" w:cs="宋体"/>
          <w:bCs/>
          <w:color w:val="auto"/>
          <w:sz w:val="30"/>
          <w:szCs w:val="30"/>
          <w:highlight w:val="none"/>
        </w:rPr>
      </w:pPr>
    </w:p>
    <w:p w14:paraId="54B23AC3">
      <w:pPr>
        <w:pStyle w:val="10"/>
        <w:snapToGrid w:val="0"/>
        <w:spacing w:before="50" w:after="50" w:line="440" w:lineRule="exact"/>
        <w:ind w:firstLine="450" w:firstLineChars="150"/>
        <w:jc w:val="center"/>
        <w:rPr>
          <w:rFonts w:ascii="宋体" w:hAnsi="宋体" w:cs="宋体"/>
          <w:color w:val="auto"/>
          <w:szCs w:val="21"/>
          <w:highlight w:val="none"/>
        </w:rPr>
      </w:pPr>
      <w:r>
        <w:rPr>
          <w:rFonts w:hint="eastAsia" w:ascii="宋体" w:hAnsi="宋体" w:cs="宋体"/>
          <w:bCs/>
          <w:color w:val="auto"/>
          <w:sz w:val="30"/>
          <w:szCs w:val="30"/>
          <w:highlight w:val="none"/>
        </w:rPr>
        <w:t xml:space="preserve">                          年    月    日</w:t>
      </w:r>
    </w:p>
    <w:p w14:paraId="22A2F3CA">
      <w:pPr>
        <w:snapToGrid w:val="0"/>
        <w:spacing w:before="120" w:beforeLines="50" w:after="50" w:line="440" w:lineRule="exact"/>
        <w:outlineLvl w:val="1"/>
        <w:rPr>
          <w:rFonts w:ascii="宋体" w:hAnsi="宋体" w:cs="宋体"/>
          <w:b/>
          <w:bCs/>
          <w:color w:val="auto"/>
          <w:szCs w:val="21"/>
          <w:highlight w:val="none"/>
        </w:rPr>
      </w:pPr>
      <w:bookmarkStart w:id="28" w:name="_Toc254970698"/>
      <w:bookmarkStart w:id="29" w:name="_Toc254970557"/>
      <w:r>
        <w:rPr>
          <w:rFonts w:hint="eastAsia" w:ascii="宋体" w:hAnsi="宋体" w:cs="宋体"/>
          <w:b/>
          <w:bCs/>
          <w:color w:val="auto"/>
          <w:szCs w:val="21"/>
          <w:highlight w:val="none"/>
        </w:rPr>
        <w:br w:type="page"/>
      </w:r>
      <w:bookmarkEnd w:id="28"/>
      <w:bookmarkEnd w:id="29"/>
      <w:r>
        <w:rPr>
          <w:rFonts w:hint="eastAsia" w:ascii="宋体" w:hAnsi="宋体" w:cs="宋体"/>
          <w:b/>
          <w:bCs/>
          <w:color w:val="auto"/>
          <w:szCs w:val="21"/>
          <w:highlight w:val="none"/>
        </w:rPr>
        <w:t>二、响应文件格式</w:t>
      </w:r>
    </w:p>
    <w:p w14:paraId="7ACC0254">
      <w:pPr>
        <w:snapToGrid w:val="0"/>
        <w:spacing w:before="120" w:beforeLines="50" w:after="50" w:line="440" w:lineRule="exact"/>
        <w:rPr>
          <w:rFonts w:ascii="宋体" w:hAnsi="宋体" w:cs="宋体"/>
          <w:b/>
          <w:bCs/>
          <w:color w:val="auto"/>
          <w:szCs w:val="21"/>
          <w:highlight w:val="none"/>
        </w:rPr>
      </w:pPr>
    </w:p>
    <w:p w14:paraId="6A7745B6">
      <w:pPr>
        <w:snapToGrid w:val="0"/>
        <w:spacing w:before="120" w:beforeLines="50" w:after="50" w:line="440" w:lineRule="exact"/>
        <w:rPr>
          <w:rFonts w:ascii="宋体" w:hAnsi="宋体" w:cs="宋体"/>
          <w:b/>
          <w:bCs/>
          <w:color w:val="auto"/>
          <w:szCs w:val="21"/>
          <w:highlight w:val="none"/>
        </w:rPr>
      </w:pPr>
      <w:r>
        <w:rPr>
          <w:rFonts w:hint="eastAsia" w:ascii="宋体" w:hAnsi="宋体" w:cs="宋体"/>
          <w:b/>
          <w:bCs/>
          <w:color w:val="auto"/>
          <w:szCs w:val="21"/>
          <w:highlight w:val="none"/>
        </w:rPr>
        <w:t>1、资格证明文件格式：</w:t>
      </w:r>
    </w:p>
    <w:p w14:paraId="0F1D280E">
      <w:pPr>
        <w:spacing w:line="440" w:lineRule="exact"/>
        <w:jc w:val="center"/>
        <w:rPr>
          <w:rFonts w:ascii="宋体" w:hAnsi="宋体" w:cs="宋体"/>
          <w:b/>
          <w:color w:val="auto"/>
          <w:sz w:val="32"/>
          <w:szCs w:val="32"/>
          <w:highlight w:val="none"/>
        </w:rPr>
      </w:pPr>
    </w:p>
    <w:p w14:paraId="58E88387">
      <w:pPr>
        <w:spacing w:line="440" w:lineRule="exact"/>
        <w:jc w:val="center"/>
        <w:rPr>
          <w:rFonts w:ascii="宋体" w:hAnsi="宋体" w:cs="宋体"/>
          <w:b/>
          <w:color w:val="auto"/>
          <w:sz w:val="32"/>
          <w:szCs w:val="32"/>
          <w:highlight w:val="none"/>
        </w:rPr>
      </w:pPr>
    </w:p>
    <w:p w14:paraId="6B334183">
      <w:pPr>
        <w:snapToGrid w:val="0"/>
        <w:spacing w:before="120" w:beforeLines="50" w:after="50" w:line="440" w:lineRule="exact"/>
        <w:ind w:firstLine="8" w:firstLineChars="3"/>
        <w:jc w:val="right"/>
        <w:rPr>
          <w:rFonts w:ascii="宋体" w:hAnsi="宋体" w:cs="宋体"/>
          <w:bCs/>
          <w:color w:val="auto"/>
          <w:sz w:val="28"/>
          <w:szCs w:val="28"/>
          <w:highlight w:val="none"/>
        </w:rPr>
      </w:pPr>
      <w:r>
        <w:rPr>
          <w:rFonts w:hint="eastAsia" w:ascii="宋体" w:hAnsi="宋体" w:cs="宋体"/>
          <w:bCs/>
          <w:color w:val="auto"/>
          <w:sz w:val="28"/>
          <w:szCs w:val="28"/>
          <w:highlight w:val="none"/>
        </w:rPr>
        <w:t>电子响应文件</w:t>
      </w:r>
    </w:p>
    <w:p w14:paraId="07EC8BD0">
      <w:pPr>
        <w:snapToGrid w:val="0"/>
        <w:spacing w:before="120" w:beforeLines="50" w:after="50" w:line="440" w:lineRule="exact"/>
        <w:ind w:firstLine="9" w:firstLineChars="3"/>
        <w:jc w:val="center"/>
        <w:rPr>
          <w:rFonts w:ascii="宋体" w:hAnsi="宋体" w:cs="宋体"/>
          <w:bCs/>
          <w:color w:val="auto"/>
          <w:sz w:val="32"/>
          <w:szCs w:val="32"/>
          <w:highlight w:val="none"/>
        </w:rPr>
      </w:pPr>
    </w:p>
    <w:p w14:paraId="7DB74976">
      <w:pPr>
        <w:snapToGrid w:val="0"/>
        <w:spacing w:before="120" w:beforeLines="50" w:after="50" w:line="440" w:lineRule="exact"/>
        <w:ind w:firstLine="9" w:firstLineChars="3"/>
        <w:jc w:val="center"/>
        <w:rPr>
          <w:rFonts w:ascii="宋体" w:hAnsi="宋体" w:cs="宋体"/>
          <w:bCs/>
          <w:color w:val="auto"/>
          <w:sz w:val="32"/>
          <w:szCs w:val="32"/>
          <w:highlight w:val="none"/>
        </w:rPr>
      </w:pPr>
    </w:p>
    <w:p w14:paraId="59DFF7B3">
      <w:pPr>
        <w:snapToGrid w:val="0"/>
        <w:spacing w:before="120" w:beforeLines="50" w:after="50" w:line="440" w:lineRule="exact"/>
        <w:ind w:firstLine="9" w:firstLineChars="3"/>
        <w:jc w:val="center"/>
        <w:rPr>
          <w:rFonts w:ascii="宋体" w:hAnsi="宋体" w:cs="宋体"/>
          <w:bCs/>
          <w:color w:val="auto"/>
          <w:sz w:val="32"/>
          <w:szCs w:val="32"/>
          <w:highlight w:val="none"/>
        </w:rPr>
      </w:pPr>
    </w:p>
    <w:p w14:paraId="11DBE236">
      <w:pPr>
        <w:snapToGrid w:val="0"/>
        <w:spacing w:before="120" w:beforeLines="50" w:after="50" w:line="440" w:lineRule="exact"/>
        <w:ind w:firstLine="13" w:firstLineChars="3"/>
        <w:jc w:val="center"/>
        <w:rPr>
          <w:rFonts w:ascii="宋体" w:hAnsi="宋体" w:cs="宋体"/>
          <w:bCs/>
          <w:color w:val="auto"/>
          <w:sz w:val="44"/>
          <w:szCs w:val="44"/>
          <w:highlight w:val="none"/>
        </w:rPr>
      </w:pPr>
      <w:r>
        <w:rPr>
          <w:rFonts w:hint="eastAsia" w:ascii="宋体" w:hAnsi="宋体" w:cs="宋体"/>
          <w:bCs/>
          <w:color w:val="auto"/>
          <w:sz w:val="44"/>
          <w:szCs w:val="44"/>
          <w:highlight w:val="none"/>
        </w:rPr>
        <w:t>响应文件</w:t>
      </w:r>
    </w:p>
    <w:p w14:paraId="6E83FA53">
      <w:pPr>
        <w:snapToGrid w:val="0"/>
        <w:spacing w:before="120" w:beforeLines="50" w:after="50" w:line="440" w:lineRule="exact"/>
        <w:ind w:firstLine="9" w:firstLineChars="3"/>
        <w:jc w:val="center"/>
        <w:rPr>
          <w:rFonts w:ascii="宋体" w:hAnsi="宋体" w:cs="宋体"/>
          <w:bCs/>
          <w:color w:val="auto"/>
          <w:sz w:val="32"/>
          <w:szCs w:val="32"/>
          <w:highlight w:val="none"/>
        </w:rPr>
      </w:pPr>
      <w:r>
        <w:rPr>
          <w:rFonts w:hint="eastAsia" w:ascii="宋体" w:hAnsi="宋体" w:cs="宋体"/>
          <w:bCs/>
          <w:color w:val="auto"/>
          <w:sz w:val="32"/>
          <w:szCs w:val="32"/>
          <w:highlight w:val="none"/>
        </w:rPr>
        <w:t>（资格证明文件）</w:t>
      </w:r>
    </w:p>
    <w:p w14:paraId="4153DD8A">
      <w:pPr>
        <w:snapToGrid w:val="0"/>
        <w:spacing w:before="120" w:beforeLines="50" w:after="50" w:line="440" w:lineRule="exact"/>
        <w:rPr>
          <w:rFonts w:ascii="宋体" w:hAnsi="宋体" w:cs="宋体"/>
          <w:bCs/>
          <w:color w:val="auto"/>
          <w:szCs w:val="21"/>
          <w:highlight w:val="none"/>
        </w:rPr>
      </w:pPr>
    </w:p>
    <w:p w14:paraId="2CCBDC63">
      <w:pPr>
        <w:snapToGrid w:val="0"/>
        <w:spacing w:before="120" w:beforeLines="50" w:after="50"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项目名称：</w:t>
      </w:r>
    </w:p>
    <w:p w14:paraId="5283BC74">
      <w:pPr>
        <w:snapToGrid w:val="0"/>
        <w:spacing w:before="120" w:beforeLines="50" w:after="50" w:line="440" w:lineRule="exact"/>
        <w:ind w:firstLine="675" w:firstLineChars="225"/>
        <w:rPr>
          <w:rFonts w:ascii="宋体" w:hAnsi="宋体" w:cs="宋体"/>
          <w:bCs/>
          <w:color w:val="auto"/>
          <w:sz w:val="30"/>
          <w:szCs w:val="30"/>
          <w:highlight w:val="none"/>
        </w:rPr>
      </w:pPr>
    </w:p>
    <w:p w14:paraId="490BB8BF">
      <w:pPr>
        <w:snapToGrid w:val="0"/>
        <w:spacing w:before="120" w:beforeLines="50" w:after="50"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项目编号：</w:t>
      </w:r>
    </w:p>
    <w:p w14:paraId="41440A88">
      <w:pPr>
        <w:snapToGrid w:val="0"/>
        <w:spacing w:before="120" w:beforeLines="50" w:after="50" w:line="440" w:lineRule="exact"/>
        <w:ind w:firstLine="675" w:firstLineChars="225"/>
        <w:rPr>
          <w:rFonts w:ascii="宋体" w:hAnsi="宋体" w:cs="宋体"/>
          <w:bCs/>
          <w:color w:val="auto"/>
          <w:sz w:val="30"/>
          <w:szCs w:val="30"/>
          <w:highlight w:val="none"/>
        </w:rPr>
      </w:pPr>
    </w:p>
    <w:p w14:paraId="3D3A4A4A">
      <w:pPr>
        <w:snapToGrid w:val="0"/>
        <w:spacing w:before="120" w:beforeLines="50" w:after="50"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标    项：（如有则填写，无分标时填写“无”或者留空）</w:t>
      </w:r>
    </w:p>
    <w:p w14:paraId="3CCE8475">
      <w:pPr>
        <w:snapToGrid w:val="0"/>
        <w:spacing w:before="120" w:beforeLines="50" w:after="50" w:line="440" w:lineRule="exact"/>
        <w:ind w:firstLine="675" w:firstLineChars="225"/>
        <w:rPr>
          <w:rFonts w:ascii="宋体" w:hAnsi="宋体" w:cs="宋体"/>
          <w:bCs/>
          <w:color w:val="auto"/>
          <w:sz w:val="30"/>
          <w:szCs w:val="30"/>
          <w:highlight w:val="none"/>
        </w:rPr>
      </w:pPr>
    </w:p>
    <w:p w14:paraId="31606715">
      <w:pPr>
        <w:pStyle w:val="10"/>
        <w:snapToGrid w:val="0"/>
        <w:spacing w:before="100" w:beforeAutospacing="1" w:after="100" w:afterAutospacing="1"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供应商名称：（加盖单位电子公章）</w:t>
      </w:r>
    </w:p>
    <w:p w14:paraId="50A19272">
      <w:pPr>
        <w:pStyle w:val="10"/>
        <w:snapToGrid w:val="0"/>
        <w:spacing w:before="100" w:beforeAutospacing="1" w:after="100" w:afterAutospacing="1" w:line="440" w:lineRule="exact"/>
        <w:ind w:firstLine="675" w:firstLineChars="225"/>
        <w:rPr>
          <w:rFonts w:ascii="宋体" w:hAnsi="宋体" w:cs="宋体"/>
          <w:bCs/>
          <w:color w:val="auto"/>
          <w:sz w:val="30"/>
          <w:szCs w:val="30"/>
          <w:highlight w:val="none"/>
        </w:rPr>
      </w:pPr>
    </w:p>
    <w:p w14:paraId="367565EE">
      <w:pPr>
        <w:pStyle w:val="10"/>
        <w:snapToGrid w:val="0"/>
        <w:spacing w:before="100" w:beforeAutospacing="1" w:after="100" w:afterAutospacing="1"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供应商地址：</w:t>
      </w:r>
    </w:p>
    <w:p w14:paraId="34C11085">
      <w:pPr>
        <w:snapToGrid w:val="0"/>
        <w:spacing w:before="120" w:beforeLines="50" w:after="50" w:line="440" w:lineRule="exact"/>
        <w:ind w:firstLine="10"/>
        <w:jc w:val="center"/>
        <w:rPr>
          <w:rFonts w:ascii="宋体" w:hAnsi="宋体" w:cs="宋体"/>
          <w:color w:val="auto"/>
          <w:sz w:val="30"/>
          <w:szCs w:val="30"/>
          <w:highlight w:val="none"/>
        </w:rPr>
      </w:pPr>
    </w:p>
    <w:p w14:paraId="21649C60">
      <w:pPr>
        <w:snapToGrid w:val="0"/>
        <w:spacing w:before="120" w:beforeLines="50" w:after="50" w:line="440" w:lineRule="exact"/>
        <w:ind w:firstLine="10"/>
        <w:jc w:val="center"/>
        <w:rPr>
          <w:rFonts w:ascii="宋体" w:hAnsi="宋体" w:cs="宋体"/>
          <w:color w:val="auto"/>
          <w:sz w:val="30"/>
          <w:szCs w:val="30"/>
          <w:highlight w:val="none"/>
        </w:rPr>
      </w:pPr>
    </w:p>
    <w:p w14:paraId="4B658E52">
      <w:pPr>
        <w:snapToGrid w:val="0"/>
        <w:spacing w:before="120" w:beforeLines="50" w:after="50" w:line="440" w:lineRule="exact"/>
        <w:ind w:firstLine="10"/>
        <w:jc w:val="center"/>
        <w:rPr>
          <w:rFonts w:ascii="宋体" w:hAnsi="宋体" w:cs="宋体"/>
          <w:color w:val="auto"/>
          <w:sz w:val="30"/>
          <w:szCs w:val="30"/>
          <w:highlight w:val="none"/>
        </w:rPr>
      </w:pPr>
      <w:r>
        <w:rPr>
          <w:rFonts w:hint="eastAsia" w:ascii="宋体" w:hAnsi="宋体" w:cs="宋体"/>
          <w:color w:val="auto"/>
          <w:sz w:val="30"/>
          <w:szCs w:val="30"/>
          <w:highlight w:val="none"/>
        </w:rPr>
        <w:t>年   月   日</w:t>
      </w:r>
    </w:p>
    <w:p w14:paraId="5580C395">
      <w:pPr>
        <w:snapToGrid w:val="0"/>
        <w:spacing w:before="120" w:beforeLines="50" w:after="50" w:line="440" w:lineRule="exact"/>
        <w:jc w:val="center"/>
        <w:rPr>
          <w:rFonts w:ascii="宋体" w:hAnsi="宋体" w:cs="宋体"/>
          <w:b/>
          <w:color w:val="auto"/>
          <w:szCs w:val="21"/>
          <w:highlight w:val="none"/>
        </w:rPr>
      </w:pPr>
      <w:r>
        <w:rPr>
          <w:rFonts w:hint="eastAsia" w:ascii="宋体" w:hAnsi="宋体" w:cs="宋体"/>
          <w:b/>
          <w:color w:val="auto"/>
          <w:szCs w:val="21"/>
          <w:highlight w:val="none"/>
        </w:rPr>
        <w:br w:type="page"/>
      </w:r>
    </w:p>
    <w:p w14:paraId="1BC9D567">
      <w:pPr>
        <w:snapToGrid w:val="0"/>
        <w:spacing w:before="120" w:beforeLines="50" w:after="50" w:line="440" w:lineRule="exact"/>
        <w:jc w:val="center"/>
        <w:rPr>
          <w:rFonts w:ascii="宋体" w:hAnsi="宋体" w:cs="宋体"/>
          <w:b/>
          <w:color w:val="auto"/>
          <w:szCs w:val="21"/>
          <w:highlight w:val="none"/>
        </w:rPr>
      </w:pPr>
    </w:p>
    <w:p w14:paraId="30E0953A">
      <w:pPr>
        <w:snapToGrid w:val="0"/>
        <w:spacing w:before="120" w:beforeLines="50" w:after="50" w:line="440" w:lineRule="exact"/>
        <w:jc w:val="center"/>
        <w:rPr>
          <w:rFonts w:ascii="宋体" w:hAnsi="宋体" w:cs="宋体"/>
          <w:b/>
          <w:color w:val="auto"/>
          <w:sz w:val="44"/>
          <w:szCs w:val="44"/>
          <w:highlight w:val="none"/>
        </w:rPr>
      </w:pPr>
      <w:r>
        <w:rPr>
          <w:rFonts w:hint="eastAsia" w:ascii="宋体" w:hAnsi="宋体" w:cs="宋体"/>
          <w:b/>
          <w:color w:val="auto"/>
          <w:sz w:val="44"/>
          <w:szCs w:val="44"/>
          <w:highlight w:val="none"/>
        </w:rPr>
        <w:t>目录</w:t>
      </w:r>
    </w:p>
    <w:p w14:paraId="224852E9">
      <w:pPr>
        <w:snapToGrid w:val="0"/>
        <w:spacing w:before="120" w:beforeLines="50" w:after="50" w:line="440" w:lineRule="exact"/>
        <w:jc w:val="center"/>
        <w:rPr>
          <w:rFonts w:ascii="宋体" w:hAnsi="宋体" w:cs="宋体"/>
          <w:color w:val="auto"/>
          <w:sz w:val="28"/>
          <w:szCs w:val="28"/>
          <w:highlight w:val="none"/>
        </w:rPr>
      </w:pPr>
    </w:p>
    <w:p w14:paraId="66D663A1">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1、资格证明文件</w:t>
      </w:r>
    </w:p>
    <w:p w14:paraId="19293713">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1.1</w:t>
      </w:r>
      <w:r>
        <w:rPr>
          <w:rFonts w:hint="eastAsia" w:ascii="宋体" w:hAnsi="宋体" w:cs="宋体"/>
          <w:color w:val="auto"/>
          <w:szCs w:val="21"/>
          <w:highlight w:val="none"/>
        </w:rPr>
        <w:t>磋商声明书</w:t>
      </w:r>
      <w:r>
        <w:rPr>
          <w:rFonts w:hint="eastAsia" w:ascii="宋体" w:hAnsi="宋体" w:cs="宋体"/>
          <w:bCs/>
          <w:color w:val="auto"/>
          <w:szCs w:val="21"/>
          <w:highlight w:val="none"/>
        </w:rPr>
        <w:t>…………………………………………………………………………</w:t>
      </w:r>
    </w:p>
    <w:p w14:paraId="1632AFC1">
      <w:pPr>
        <w:tabs>
          <w:tab w:val="left" w:pos="1418"/>
        </w:tabs>
        <w:snapToGrid w:val="0"/>
        <w:spacing w:before="50" w:after="50" w:line="440" w:lineRule="exact"/>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zCs w:val="21"/>
          <w:highlight w:val="none"/>
          <w:lang w:eastAsia="zh-CN"/>
        </w:rPr>
        <w:t>竞标</w:t>
      </w:r>
      <w:r>
        <w:rPr>
          <w:rFonts w:hint="eastAsia" w:ascii="宋体" w:hAnsi="宋体" w:cs="宋体"/>
          <w:color w:val="auto"/>
          <w:szCs w:val="21"/>
          <w:highlight w:val="none"/>
        </w:rPr>
        <w:t>供应商</w:t>
      </w:r>
      <w:r>
        <w:rPr>
          <w:rFonts w:hint="eastAsia" w:ascii="宋体" w:hAnsi="宋体" w:cs="宋体"/>
          <w:color w:val="auto"/>
          <w:highlight w:val="none"/>
        </w:rPr>
        <w:t>合法的主体资格证明（如营业执照、事业单位法人证书、执业许可证、个体工商户营业执照、自然人身份证等）</w:t>
      </w:r>
      <w:r>
        <w:rPr>
          <w:rFonts w:hint="eastAsia" w:ascii="宋体" w:hAnsi="宋体" w:cs="宋体"/>
          <w:color w:val="auto"/>
          <w:highlight w:val="none"/>
          <w:lang w:eastAsia="zh-CN"/>
        </w:rPr>
        <w:t>扫描件</w:t>
      </w:r>
      <w:r>
        <w:rPr>
          <w:rFonts w:hint="eastAsia" w:ascii="宋体" w:hAnsi="宋体" w:cs="宋体"/>
          <w:color w:val="auto"/>
          <w:szCs w:val="21"/>
          <w:highlight w:val="none"/>
        </w:rPr>
        <w:t>………………………………</w:t>
      </w:r>
    </w:p>
    <w:p w14:paraId="01E3B9D0">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1.3</w:t>
      </w:r>
      <w:r>
        <w:rPr>
          <w:rFonts w:hint="eastAsia" w:ascii="宋体" w:hAnsi="宋体" w:cs="宋体"/>
          <w:color w:val="auto"/>
          <w:szCs w:val="21"/>
          <w:highlight w:val="none"/>
          <w:lang w:eastAsia="zh-CN"/>
        </w:rPr>
        <w:t>竞标</w:t>
      </w:r>
      <w:r>
        <w:rPr>
          <w:rFonts w:hint="eastAsia" w:ascii="宋体" w:hAnsi="宋体" w:cs="宋体"/>
          <w:color w:val="auto"/>
          <w:szCs w:val="21"/>
          <w:highlight w:val="none"/>
        </w:rPr>
        <w:t>供应商依法缴纳税收的相关材料</w:t>
      </w:r>
      <w:r>
        <w:rPr>
          <w:rFonts w:hint="eastAsia" w:ascii="宋体" w:hAnsi="宋体" w:cs="宋体"/>
          <w:bCs/>
          <w:color w:val="auto"/>
          <w:szCs w:val="21"/>
          <w:highlight w:val="none"/>
        </w:rPr>
        <w:t>………………………………………</w:t>
      </w:r>
    </w:p>
    <w:p w14:paraId="3728063B">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1.4</w:t>
      </w:r>
      <w:r>
        <w:rPr>
          <w:rFonts w:hint="eastAsia" w:ascii="宋体" w:hAnsi="宋体" w:cs="宋体"/>
          <w:color w:val="auto"/>
          <w:szCs w:val="21"/>
          <w:highlight w:val="none"/>
          <w:lang w:eastAsia="zh-CN"/>
        </w:rPr>
        <w:t>竞标</w:t>
      </w:r>
      <w:r>
        <w:rPr>
          <w:rFonts w:hint="eastAsia" w:ascii="宋体" w:hAnsi="宋体" w:cs="宋体"/>
          <w:color w:val="auto"/>
          <w:szCs w:val="21"/>
          <w:highlight w:val="none"/>
        </w:rPr>
        <w:t>供应商依法缴纳社会保障资金的相关材料</w:t>
      </w:r>
      <w:r>
        <w:rPr>
          <w:rFonts w:hint="eastAsia" w:ascii="宋体" w:hAnsi="宋体" w:cs="宋体"/>
          <w:bCs/>
          <w:color w:val="auto"/>
          <w:szCs w:val="21"/>
          <w:highlight w:val="none"/>
        </w:rPr>
        <w:t>……………………………………</w:t>
      </w:r>
    </w:p>
    <w:p w14:paraId="03FEC1AA">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1.5供应商财务状况报告</w:t>
      </w:r>
      <w:r>
        <w:rPr>
          <w:rFonts w:hint="eastAsia" w:ascii="宋体" w:hAnsi="宋体" w:cs="宋体"/>
          <w:bCs/>
          <w:color w:val="auto"/>
          <w:szCs w:val="21"/>
          <w:highlight w:val="none"/>
          <w:lang w:eastAsia="zh-CN"/>
        </w:rPr>
        <w:t>扫描件</w:t>
      </w:r>
      <w:r>
        <w:rPr>
          <w:rFonts w:hint="eastAsia" w:ascii="宋体" w:hAnsi="宋体" w:cs="宋体"/>
          <w:bCs/>
          <w:color w:val="auto"/>
          <w:szCs w:val="21"/>
          <w:highlight w:val="none"/>
        </w:rPr>
        <w:t>……………………………………</w:t>
      </w:r>
    </w:p>
    <w:p w14:paraId="2A75E4C1">
      <w:pPr>
        <w:tabs>
          <w:tab w:val="left" w:pos="1418"/>
        </w:tabs>
        <w:snapToGrid w:val="0"/>
        <w:spacing w:before="50" w:after="50" w:line="440" w:lineRule="exact"/>
        <w:rPr>
          <w:rFonts w:ascii="宋体" w:hAnsi="宋体" w:cs="宋体"/>
          <w:color w:val="auto"/>
          <w:szCs w:val="21"/>
          <w:highlight w:val="none"/>
        </w:rPr>
      </w:pPr>
      <w:r>
        <w:rPr>
          <w:rFonts w:hint="eastAsia" w:ascii="宋体" w:hAnsi="宋体" w:cs="宋体"/>
          <w:bCs/>
          <w:color w:val="auto"/>
          <w:szCs w:val="21"/>
          <w:highlight w:val="none"/>
        </w:rPr>
        <w:t>1.6参加政府采购活动前三年内在经营活动中没有重大违法记录和不良信用记录的书面声明书………</w:t>
      </w:r>
    </w:p>
    <w:p w14:paraId="4C314C75">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1.7总公司“营业执照”副本</w:t>
      </w:r>
      <w:r>
        <w:rPr>
          <w:rFonts w:hint="eastAsia" w:ascii="宋体" w:hAnsi="宋体" w:cs="宋体"/>
          <w:bCs/>
          <w:color w:val="auto"/>
          <w:szCs w:val="21"/>
          <w:highlight w:val="none"/>
          <w:lang w:eastAsia="zh-CN"/>
        </w:rPr>
        <w:t>扫描件</w:t>
      </w:r>
      <w:r>
        <w:rPr>
          <w:rFonts w:hint="eastAsia" w:ascii="宋体" w:hAnsi="宋体" w:cs="宋体"/>
          <w:bCs/>
          <w:color w:val="auto"/>
          <w:szCs w:val="21"/>
          <w:highlight w:val="none"/>
        </w:rPr>
        <w:t>和总公司对供应商的授权书原件（分支机构参与</w:t>
      </w:r>
      <w:r>
        <w:rPr>
          <w:rFonts w:hint="eastAsia" w:ascii="宋体" w:hAnsi="宋体" w:cs="宋体"/>
          <w:bCs/>
          <w:color w:val="auto"/>
          <w:szCs w:val="21"/>
          <w:highlight w:val="none"/>
          <w:lang w:eastAsia="zh-CN"/>
        </w:rPr>
        <w:t>竞标</w:t>
      </w:r>
      <w:r>
        <w:rPr>
          <w:rFonts w:hint="eastAsia" w:ascii="宋体" w:hAnsi="宋体" w:cs="宋体"/>
          <w:bCs/>
          <w:color w:val="auto"/>
          <w:szCs w:val="21"/>
          <w:highlight w:val="none"/>
        </w:rPr>
        <w:t>时提供）………</w:t>
      </w:r>
    </w:p>
    <w:p w14:paraId="22E9E0F1">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1.8供应商直接控股、管理关系信息表……………………………………</w:t>
      </w:r>
    </w:p>
    <w:p w14:paraId="56C9568B">
      <w:pPr>
        <w:tabs>
          <w:tab w:val="left" w:pos="1418"/>
        </w:tabs>
        <w:snapToGrid w:val="0"/>
        <w:spacing w:before="50" w:after="50" w:line="440" w:lineRule="exact"/>
        <w:rPr>
          <w:rFonts w:hint="eastAsia" w:ascii="宋体" w:hAnsi="宋体" w:cs="宋体"/>
          <w:bCs/>
          <w:color w:val="auto"/>
          <w:szCs w:val="21"/>
          <w:highlight w:val="none"/>
        </w:rPr>
      </w:pPr>
      <w:r>
        <w:rPr>
          <w:rFonts w:hint="eastAsia" w:ascii="宋体" w:hAnsi="宋体" w:cs="宋体"/>
          <w:bCs/>
          <w:color w:val="auto"/>
          <w:szCs w:val="21"/>
          <w:highlight w:val="none"/>
        </w:rPr>
        <w:t>1.9联合体协议书（联合体</w:t>
      </w:r>
      <w:r>
        <w:rPr>
          <w:rFonts w:hint="eastAsia" w:ascii="宋体" w:hAnsi="宋体" w:cs="宋体"/>
          <w:bCs/>
          <w:color w:val="auto"/>
          <w:szCs w:val="21"/>
          <w:highlight w:val="none"/>
          <w:lang w:eastAsia="zh-CN"/>
        </w:rPr>
        <w:t>竞标</w:t>
      </w:r>
      <w:r>
        <w:rPr>
          <w:rFonts w:hint="eastAsia" w:ascii="宋体" w:hAnsi="宋体" w:cs="宋体"/>
          <w:bCs/>
          <w:color w:val="auto"/>
          <w:szCs w:val="21"/>
          <w:highlight w:val="none"/>
        </w:rPr>
        <w:t>时提供）……………………………………</w:t>
      </w:r>
    </w:p>
    <w:p w14:paraId="4BAB00C8">
      <w:pPr>
        <w:tabs>
          <w:tab w:val="left" w:pos="1418"/>
        </w:tabs>
        <w:snapToGrid w:val="0"/>
        <w:spacing w:before="50" w:after="50" w:line="440" w:lineRule="exact"/>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1.10特定资格条件（如有要求）</w:t>
      </w:r>
      <w:r>
        <w:rPr>
          <w:rFonts w:hint="eastAsia" w:ascii="宋体" w:hAnsi="宋体" w:cs="宋体"/>
          <w:bCs/>
          <w:color w:val="auto"/>
          <w:szCs w:val="21"/>
          <w:highlight w:val="none"/>
        </w:rPr>
        <w:t>………………</w:t>
      </w:r>
    </w:p>
    <w:p w14:paraId="701B9FB7">
      <w:pPr>
        <w:widowControl/>
        <w:spacing w:line="440" w:lineRule="exact"/>
        <w:rPr>
          <w:rFonts w:ascii="宋体" w:hAnsi="宋体" w:cs="宋体"/>
          <w:b/>
          <w:bCs/>
          <w:color w:val="auto"/>
          <w:sz w:val="24"/>
          <w:highlight w:val="none"/>
        </w:rPr>
      </w:pPr>
    </w:p>
    <w:p w14:paraId="18D0DF02">
      <w:pPr>
        <w:tabs>
          <w:tab w:val="left" w:pos="2625"/>
        </w:tabs>
        <w:spacing w:line="440" w:lineRule="exact"/>
        <w:jc w:val="left"/>
        <w:rPr>
          <w:rFonts w:ascii="宋体" w:hAnsi="宋体" w:cs="宋体"/>
          <w:b/>
          <w:color w:val="auto"/>
          <w:szCs w:val="21"/>
          <w:highlight w:val="none"/>
        </w:rPr>
      </w:pPr>
      <w:r>
        <w:rPr>
          <w:rFonts w:hint="eastAsia" w:ascii="宋体" w:hAnsi="宋体" w:cs="宋体"/>
          <w:b/>
          <w:color w:val="auto"/>
          <w:szCs w:val="21"/>
          <w:highlight w:val="none"/>
        </w:rPr>
        <w:br w:type="page"/>
      </w:r>
      <w:r>
        <w:rPr>
          <w:rFonts w:hint="eastAsia" w:ascii="宋体" w:hAnsi="宋体" w:cs="宋体"/>
          <w:b/>
          <w:color w:val="auto"/>
          <w:szCs w:val="21"/>
          <w:highlight w:val="none"/>
        </w:rPr>
        <w:t>一、磋商声明书格式</w:t>
      </w:r>
    </w:p>
    <w:p w14:paraId="4F50ACCF">
      <w:pPr>
        <w:spacing w:line="44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磋商声明书</w:t>
      </w:r>
    </w:p>
    <w:p w14:paraId="422E2108">
      <w:pPr>
        <w:spacing w:line="440" w:lineRule="exact"/>
        <w:jc w:val="center"/>
        <w:rPr>
          <w:rFonts w:ascii="宋体" w:hAnsi="宋体" w:cs="宋体"/>
          <w:b/>
          <w:color w:val="auto"/>
          <w:sz w:val="32"/>
          <w:szCs w:val="32"/>
          <w:highlight w:val="none"/>
        </w:rPr>
      </w:pPr>
    </w:p>
    <w:p w14:paraId="6D1CF57E">
      <w:pPr>
        <w:pStyle w:val="23"/>
        <w:spacing w:line="440" w:lineRule="exact"/>
        <w:rPr>
          <w:rFonts w:hAnsi="宋体" w:cs="宋体"/>
          <w:color w:val="auto"/>
          <w:sz w:val="21"/>
          <w:highlight w:val="none"/>
        </w:rPr>
      </w:pPr>
      <w:r>
        <w:rPr>
          <w:rFonts w:hint="eastAsia" w:hAnsi="宋体" w:cs="宋体"/>
          <w:color w:val="auto"/>
          <w:sz w:val="21"/>
          <w:highlight w:val="none"/>
        </w:rPr>
        <w:t>致：（采购人单位名称）：</w:t>
      </w:r>
    </w:p>
    <w:p w14:paraId="3B9B213B">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我方愿意参加贵方组织的</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项目的竞标，为便于贵方公正、择优地确定成交供应商及其竞标产品和服务，我方就本次竞标有关事项郑重声明如下：</w:t>
      </w:r>
    </w:p>
    <w:p w14:paraId="71B499F1">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1.我方向贵方提交的所有响应文件、资料都是准确的和真实的。</w:t>
      </w:r>
    </w:p>
    <w:p w14:paraId="2EBCB5DA">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12B7757">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3.在此，我方宣布同意如下：</w:t>
      </w:r>
    </w:p>
    <w:p w14:paraId="15BA7BF1">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（1）将按磋商文件的约定履行合同责任和义务；</w:t>
      </w:r>
    </w:p>
    <w:p w14:paraId="4BE5C86B">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（2）已详细审查全部磋商文件，包括澄清或者更正公告（如有）；</w:t>
      </w:r>
    </w:p>
    <w:p w14:paraId="54A0E46D">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（3）同意提供按照贵方可能要求的与谈判有关的一切数据或者资料；</w:t>
      </w:r>
    </w:p>
    <w:p w14:paraId="1C1261F8">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（4）响应磋商文件规定的响应文件有效期。</w:t>
      </w:r>
    </w:p>
    <w:p w14:paraId="26549B27">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4.我方承诺符合《中华人民共和国政府采购法》第二十二条规定：</w:t>
      </w:r>
    </w:p>
    <w:p w14:paraId="7C0B09C6">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（1）具有独立承担民事责任的能力；</w:t>
      </w:r>
    </w:p>
    <w:p w14:paraId="704BD32E">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14:paraId="1FA7653F">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14:paraId="7DDE72EF">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14:paraId="5E6FA5BF">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14:paraId="22AFE5E8">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（6）法律、行政法规规定的其他条件。</w:t>
      </w:r>
    </w:p>
    <w:p w14:paraId="187B23D9">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、政府采购严重违法失信行为记录名单，完全符合《中华人民共和国政府采购法》第二十二条规定的供应商资格条件，我方对此声明负全部法律责任。</w:t>
      </w:r>
    </w:p>
    <w:p w14:paraId="20F76E9D">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E242C2B">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□我方本次响应文件内容中未涉及商业秘密；</w:t>
      </w:r>
    </w:p>
    <w:p w14:paraId="173240FE">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□我方本次响应文件涉及商业秘密的内容有：</w:t>
      </w:r>
    </w:p>
    <w:p w14:paraId="5EFAE596">
      <w:pPr>
        <w:snapToGrid w:val="0"/>
        <w:spacing w:before="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7.以上事项如有虚假或者隐瞒，我方愿意承担一切后果，并不再寻求任何旨在减轻或者免除法律责任的辩解。</w:t>
      </w:r>
    </w:p>
    <w:p w14:paraId="65DDE278">
      <w:pPr>
        <w:pStyle w:val="23"/>
        <w:spacing w:line="440" w:lineRule="exact"/>
        <w:jc w:val="center"/>
        <w:rPr>
          <w:rFonts w:hAnsi="宋体" w:cs="宋体"/>
          <w:color w:val="auto"/>
          <w:sz w:val="21"/>
          <w:highlight w:val="none"/>
        </w:rPr>
      </w:pPr>
      <w:r>
        <w:rPr>
          <w:rFonts w:hint="eastAsia" w:hAnsi="宋体" w:cs="宋体"/>
          <w:color w:val="auto"/>
          <w:sz w:val="21"/>
          <w:highlight w:val="none"/>
        </w:rPr>
        <w:t>供应商名称（电子签章）：</w:t>
      </w:r>
    </w:p>
    <w:p w14:paraId="0B894316">
      <w:pPr>
        <w:snapToGrid w:val="0"/>
        <w:spacing w:before="50" w:after="50" w:line="440" w:lineRule="exact"/>
        <w:ind w:left="-6" w:leftChars="-3" w:right="-817" w:rightChars="-389" w:firstLine="6720" w:firstLineChars="3200"/>
        <w:rPr>
          <w:rFonts w:ascii="宋体" w:hAnsi="宋体" w:cs="宋体"/>
          <w:color w:val="auto"/>
          <w:szCs w:val="21"/>
          <w:highlight w:val="none"/>
        </w:rPr>
      </w:pPr>
      <w:r>
        <w:rPr>
          <w:rFonts w:hint="eastAsia" w:ascii="宋体" w:hAnsi="宋体" w:cs="宋体"/>
          <w:color w:val="auto"/>
          <w:szCs w:val="21"/>
          <w:highlight w:val="none"/>
        </w:rPr>
        <w:t>日期：    年   月   日</w:t>
      </w:r>
    </w:p>
    <w:p w14:paraId="26F9C2EB">
      <w:pPr>
        <w:spacing w:line="440" w:lineRule="exact"/>
        <w:ind w:firstLine="363" w:firstLineChars="202"/>
        <w:rPr>
          <w:rFonts w:ascii="宋体" w:hAnsi="宋体" w:cs="宋体"/>
          <w:color w:val="auto"/>
          <w:sz w:val="18"/>
          <w:szCs w:val="18"/>
          <w:highlight w:val="none"/>
        </w:rPr>
      </w:pPr>
      <w:r>
        <w:rPr>
          <w:rFonts w:hint="eastAsia" w:ascii="宋体" w:hAnsi="宋体" w:cs="宋体"/>
          <w:color w:val="auto"/>
          <w:sz w:val="18"/>
          <w:szCs w:val="18"/>
          <w:highlight w:val="none"/>
        </w:rPr>
        <w:t>说明：</w:t>
      </w:r>
    </w:p>
    <w:p w14:paraId="54FF363B">
      <w:pPr>
        <w:spacing w:line="440" w:lineRule="exact"/>
        <w:ind w:firstLine="363" w:firstLineChars="202"/>
        <w:rPr>
          <w:rFonts w:ascii="宋体" w:hAnsi="宋体" w:cs="宋体"/>
          <w:color w:val="auto"/>
          <w:sz w:val="18"/>
          <w:szCs w:val="18"/>
          <w:highlight w:val="none"/>
        </w:rPr>
      </w:pPr>
      <w:r>
        <w:rPr>
          <w:rFonts w:hint="eastAsia" w:ascii="宋体" w:hAnsi="宋体" w:cs="宋体"/>
          <w:color w:val="auto"/>
          <w:sz w:val="18"/>
          <w:szCs w:val="18"/>
          <w:highlight w:val="none"/>
        </w:rPr>
        <w:t>1.供应商可以自行通过“信用中国”（www.creditchina.gov.cn）和“中国政府采购网”网站（www.ccgp.gov.cn）查询供应商相关主体的信用记录。查询时间为本项目</w:t>
      </w:r>
      <w:r>
        <w:rPr>
          <w:rFonts w:hint="eastAsia" w:ascii="宋体" w:hAnsi="宋体" w:cs="宋体"/>
          <w:color w:val="auto"/>
          <w:sz w:val="18"/>
          <w:szCs w:val="18"/>
          <w:highlight w:val="none"/>
          <w:lang w:eastAsia="zh-CN"/>
        </w:rPr>
        <w:t>首次响应文件提交截止时间</w:t>
      </w:r>
      <w:r>
        <w:rPr>
          <w:rFonts w:hint="eastAsia" w:ascii="宋体" w:hAnsi="宋体" w:cs="宋体"/>
          <w:color w:val="auto"/>
          <w:sz w:val="18"/>
          <w:szCs w:val="18"/>
          <w:highlight w:val="none"/>
        </w:rPr>
        <w:t>前10日至</w:t>
      </w:r>
      <w:r>
        <w:rPr>
          <w:rFonts w:hint="eastAsia" w:ascii="宋体" w:hAnsi="宋体" w:cs="宋体"/>
          <w:color w:val="auto"/>
          <w:sz w:val="18"/>
          <w:szCs w:val="18"/>
          <w:highlight w:val="none"/>
          <w:lang w:eastAsia="zh-CN"/>
        </w:rPr>
        <w:t>首次响应文件提交截止时间</w:t>
      </w:r>
      <w:r>
        <w:rPr>
          <w:rFonts w:hint="eastAsia" w:ascii="宋体" w:hAnsi="宋体" w:cs="宋体"/>
          <w:color w:val="auto"/>
          <w:sz w:val="18"/>
          <w:szCs w:val="18"/>
          <w:highlight w:val="none"/>
        </w:rPr>
        <w:t>中任意一天。在资格审查阶段经采购人或采购代理机构查询，对列入失信被执行人、</w:t>
      </w:r>
      <w:r>
        <w:rPr>
          <w:rFonts w:hint="eastAsia" w:ascii="宋体" w:hAnsi="宋体" w:cs="宋体"/>
          <w:color w:val="auto"/>
          <w:sz w:val="18"/>
          <w:szCs w:val="18"/>
          <w:highlight w:val="none"/>
          <w:lang w:eastAsia="zh-CN"/>
        </w:rPr>
        <w:t>重大税收违法失信主体</w:t>
      </w:r>
      <w:r>
        <w:rPr>
          <w:rFonts w:hint="eastAsia" w:ascii="宋体" w:hAnsi="宋体" w:cs="宋体"/>
          <w:color w:val="auto"/>
          <w:sz w:val="18"/>
          <w:szCs w:val="18"/>
          <w:highlight w:val="none"/>
        </w:rPr>
        <w:t>、政府采购严重违法失信行为记录名单的供应商，将被拒绝参与本项目政府采购活动。</w:t>
      </w:r>
    </w:p>
    <w:p w14:paraId="6B778BA4">
      <w:pPr>
        <w:spacing w:line="440" w:lineRule="exact"/>
        <w:ind w:firstLine="363" w:firstLineChars="202"/>
        <w:rPr>
          <w:rFonts w:ascii="宋体" w:hAnsi="宋体" w:cs="宋体"/>
          <w:color w:val="auto"/>
          <w:sz w:val="18"/>
          <w:szCs w:val="18"/>
          <w:highlight w:val="none"/>
        </w:rPr>
      </w:pPr>
      <w:r>
        <w:rPr>
          <w:rFonts w:hint="eastAsia" w:ascii="宋体" w:hAnsi="宋体" w:cs="宋体"/>
          <w:color w:val="auto"/>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DAF3384">
      <w:pPr>
        <w:spacing w:line="440" w:lineRule="exact"/>
        <w:ind w:firstLine="363" w:firstLineChars="202"/>
        <w:rPr>
          <w:rFonts w:ascii="宋体" w:hAnsi="宋体" w:cs="宋体"/>
          <w:color w:val="auto"/>
          <w:sz w:val="18"/>
          <w:szCs w:val="18"/>
          <w:highlight w:val="none"/>
        </w:rPr>
      </w:pPr>
      <w:r>
        <w:rPr>
          <w:rFonts w:hint="eastAsia" w:ascii="宋体" w:hAnsi="宋体" w:cs="宋体"/>
          <w:color w:val="auto"/>
          <w:sz w:val="18"/>
          <w:szCs w:val="18"/>
          <w:highlight w:val="none"/>
        </w:rPr>
        <w:t>3.如为联合体</w:t>
      </w:r>
      <w:r>
        <w:rPr>
          <w:rFonts w:hint="eastAsia" w:ascii="宋体" w:hAnsi="宋体" w:cs="宋体"/>
          <w:color w:val="auto"/>
          <w:sz w:val="18"/>
          <w:szCs w:val="18"/>
          <w:highlight w:val="none"/>
          <w:lang w:eastAsia="zh-CN"/>
        </w:rPr>
        <w:t>竞标</w:t>
      </w:r>
      <w:r>
        <w:rPr>
          <w:rFonts w:hint="eastAsia" w:ascii="宋体" w:hAnsi="宋体" w:cs="宋体"/>
          <w:color w:val="auto"/>
          <w:sz w:val="18"/>
          <w:szCs w:val="18"/>
          <w:highlight w:val="none"/>
        </w:rPr>
        <w:t>，盖章处须加盖联合体各方公章，否则</w:t>
      </w:r>
      <w:r>
        <w:rPr>
          <w:rFonts w:hint="eastAsia" w:ascii="宋体" w:hAnsi="宋体" w:cs="宋体"/>
          <w:color w:val="auto"/>
          <w:sz w:val="18"/>
          <w:szCs w:val="18"/>
          <w:highlight w:val="none"/>
          <w:lang w:eastAsia="zh-CN"/>
        </w:rPr>
        <w:t>竞标</w:t>
      </w:r>
      <w:r>
        <w:rPr>
          <w:rFonts w:hint="eastAsia" w:ascii="宋体" w:hAnsi="宋体" w:cs="宋体"/>
          <w:color w:val="auto"/>
          <w:sz w:val="18"/>
          <w:szCs w:val="18"/>
          <w:highlight w:val="none"/>
        </w:rPr>
        <w:t>无效。</w:t>
      </w:r>
    </w:p>
    <w:p w14:paraId="4B3836EB">
      <w:pPr>
        <w:rPr>
          <w:rFonts w:ascii="宋体" w:hAnsi="宋体" w:cs="宋体"/>
          <w:b/>
          <w:bCs/>
          <w:color w:val="auto"/>
          <w:sz w:val="24"/>
          <w:highlight w:val="none"/>
        </w:rPr>
      </w:pPr>
      <w:r>
        <w:rPr>
          <w:rFonts w:hint="eastAsia" w:ascii="宋体" w:hAnsi="宋体" w:cs="宋体"/>
          <w:b/>
          <w:bCs/>
          <w:color w:val="auto"/>
          <w:sz w:val="24"/>
          <w:highlight w:val="none"/>
        </w:rPr>
        <w:br w:type="page"/>
      </w:r>
    </w:p>
    <w:p w14:paraId="171CC067">
      <w:pPr>
        <w:snapToGrid w:val="0"/>
        <w:spacing w:before="120" w:beforeLines="50" w:after="50" w:line="440" w:lineRule="exact"/>
        <w:rPr>
          <w:rFonts w:ascii="宋体" w:hAnsi="宋体" w:cs="宋体"/>
          <w:b/>
          <w:bCs/>
          <w:color w:val="auto"/>
          <w:sz w:val="24"/>
          <w:highlight w:val="none"/>
        </w:rPr>
      </w:pPr>
      <w:r>
        <w:rPr>
          <w:rFonts w:hint="eastAsia" w:ascii="宋体" w:hAnsi="宋体" w:cs="宋体"/>
          <w:b/>
          <w:bCs/>
          <w:color w:val="auto"/>
          <w:sz w:val="24"/>
          <w:highlight w:val="none"/>
        </w:rPr>
        <w:t>二、</w:t>
      </w:r>
      <w:r>
        <w:rPr>
          <w:rFonts w:hint="eastAsia" w:ascii="宋体" w:hAnsi="宋体" w:cs="宋体"/>
          <w:b/>
          <w:color w:val="auto"/>
          <w:highlight w:val="none"/>
        </w:rPr>
        <w:t>供应商直接控股、管理关系信息表格式</w:t>
      </w:r>
    </w:p>
    <w:p w14:paraId="52976E26">
      <w:pPr>
        <w:snapToGrid w:val="0"/>
        <w:spacing w:before="50" w:after="120" w:afterLines="50" w:line="440" w:lineRule="exact"/>
        <w:jc w:val="center"/>
        <w:rPr>
          <w:rFonts w:ascii="宋体" w:hAnsi="宋体" w:cs="宋体"/>
          <w:b/>
          <w:color w:val="auto"/>
          <w:sz w:val="24"/>
          <w:highlight w:val="none"/>
        </w:rPr>
      </w:pPr>
      <w:r>
        <w:rPr>
          <w:rFonts w:hint="eastAsia" w:ascii="宋体" w:hAnsi="宋体" w:cs="宋体"/>
          <w:b/>
          <w:color w:val="auto"/>
          <w:sz w:val="24"/>
          <w:highlight w:val="none"/>
        </w:rPr>
        <w:t>供应商直接控股股东信息表</w:t>
      </w:r>
    </w:p>
    <w:tbl>
      <w:tblPr>
        <w:tblStyle w:val="41"/>
        <w:tblW w:w="9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8"/>
        <w:gridCol w:w="2269"/>
        <w:gridCol w:w="1239"/>
        <w:gridCol w:w="3722"/>
        <w:gridCol w:w="1418"/>
      </w:tblGrid>
      <w:tr w14:paraId="6079C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828" w:type="dxa"/>
            <w:tcMar>
              <w:top w:w="120" w:type="dxa"/>
              <w:left w:w="120" w:type="dxa"/>
              <w:bottom w:w="120" w:type="dxa"/>
              <w:right w:w="120" w:type="dxa"/>
            </w:tcMar>
            <w:vAlign w:val="center"/>
          </w:tcPr>
          <w:p w14:paraId="0F406CB2">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269" w:type="dxa"/>
            <w:tcMar>
              <w:top w:w="120" w:type="dxa"/>
              <w:left w:w="120" w:type="dxa"/>
              <w:bottom w:w="120" w:type="dxa"/>
              <w:right w:w="120" w:type="dxa"/>
            </w:tcMar>
            <w:vAlign w:val="center"/>
          </w:tcPr>
          <w:p w14:paraId="0003AF77">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直接控股股东名称</w:t>
            </w:r>
          </w:p>
        </w:tc>
        <w:tc>
          <w:tcPr>
            <w:tcW w:w="1239" w:type="dxa"/>
            <w:tcMar>
              <w:top w:w="120" w:type="dxa"/>
              <w:left w:w="120" w:type="dxa"/>
              <w:bottom w:w="120" w:type="dxa"/>
              <w:right w:w="120" w:type="dxa"/>
            </w:tcMar>
            <w:vAlign w:val="center"/>
          </w:tcPr>
          <w:p w14:paraId="59CB673C">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出资比例</w:t>
            </w:r>
          </w:p>
        </w:tc>
        <w:tc>
          <w:tcPr>
            <w:tcW w:w="3722" w:type="dxa"/>
            <w:tcMar>
              <w:top w:w="120" w:type="dxa"/>
              <w:left w:w="120" w:type="dxa"/>
              <w:bottom w:w="120" w:type="dxa"/>
              <w:right w:w="120" w:type="dxa"/>
            </w:tcMar>
            <w:vAlign w:val="center"/>
          </w:tcPr>
          <w:p w14:paraId="587DD9CD">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身份证号码或统一社会信用代码</w:t>
            </w:r>
          </w:p>
        </w:tc>
        <w:tc>
          <w:tcPr>
            <w:tcW w:w="1418" w:type="dxa"/>
            <w:tcMar>
              <w:top w:w="120" w:type="dxa"/>
              <w:left w:w="120" w:type="dxa"/>
              <w:bottom w:w="120" w:type="dxa"/>
              <w:right w:w="120" w:type="dxa"/>
            </w:tcMar>
            <w:vAlign w:val="center"/>
          </w:tcPr>
          <w:p w14:paraId="1DAD5C4A">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350C5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14:paraId="6E5CD68F">
            <w:pPr>
              <w:widowControl/>
              <w:wordWrap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2269" w:type="dxa"/>
            <w:tcMar>
              <w:top w:w="120" w:type="dxa"/>
              <w:left w:w="120" w:type="dxa"/>
              <w:bottom w:w="120" w:type="dxa"/>
              <w:right w:w="120" w:type="dxa"/>
            </w:tcMar>
            <w:vAlign w:val="center"/>
          </w:tcPr>
          <w:p w14:paraId="64D9F369">
            <w:pPr>
              <w:widowControl/>
              <w:wordWrap w:val="0"/>
              <w:spacing w:line="440" w:lineRule="exact"/>
              <w:jc w:val="center"/>
              <w:rPr>
                <w:rFonts w:ascii="宋体" w:hAnsi="宋体" w:cs="宋体"/>
                <w:color w:val="auto"/>
                <w:szCs w:val="21"/>
                <w:highlight w:val="none"/>
              </w:rPr>
            </w:pPr>
          </w:p>
        </w:tc>
        <w:tc>
          <w:tcPr>
            <w:tcW w:w="1239" w:type="dxa"/>
            <w:tcMar>
              <w:top w:w="120" w:type="dxa"/>
              <w:left w:w="120" w:type="dxa"/>
              <w:bottom w:w="120" w:type="dxa"/>
              <w:right w:w="120" w:type="dxa"/>
            </w:tcMar>
            <w:vAlign w:val="center"/>
          </w:tcPr>
          <w:p w14:paraId="6CAE8A67">
            <w:pPr>
              <w:widowControl/>
              <w:wordWrap w:val="0"/>
              <w:spacing w:line="440" w:lineRule="exact"/>
              <w:jc w:val="center"/>
              <w:rPr>
                <w:rFonts w:ascii="宋体" w:hAnsi="宋体" w:cs="宋体"/>
                <w:color w:val="auto"/>
                <w:szCs w:val="21"/>
                <w:highlight w:val="none"/>
              </w:rPr>
            </w:pPr>
          </w:p>
        </w:tc>
        <w:tc>
          <w:tcPr>
            <w:tcW w:w="3722" w:type="dxa"/>
            <w:tcMar>
              <w:top w:w="120" w:type="dxa"/>
              <w:left w:w="120" w:type="dxa"/>
              <w:bottom w:w="120" w:type="dxa"/>
              <w:right w:w="120" w:type="dxa"/>
            </w:tcMar>
            <w:vAlign w:val="center"/>
          </w:tcPr>
          <w:p w14:paraId="73F132FF">
            <w:pPr>
              <w:widowControl/>
              <w:wordWrap w:val="0"/>
              <w:spacing w:line="440" w:lineRule="exact"/>
              <w:jc w:val="center"/>
              <w:rPr>
                <w:rFonts w:ascii="宋体" w:hAnsi="宋体" w:cs="宋体"/>
                <w:color w:val="auto"/>
                <w:szCs w:val="21"/>
                <w:highlight w:val="none"/>
              </w:rPr>
            </w:pPr>
          </w:p>
        </w:tc>
        <w:tc>
          <w:tcPr>
            <w:tcW w:w="1418" w:type="dxa"/>
            <w:tcMar>
              <w:top w:w="120" w:type="dxa"/>
              <w:left w:w="120" w:type="dxa"/>
              <w:bottom w:w="120" w:type="dxa"/>
              <w:right w:w="120" w:type="dxa"/>
            </w:tcMar>
            <w:vAlign w:val="center"/>
          </w:tcPr>
          <w:p w14:paraId="5D0E1A19">
            <w:pPr>
              <w:widowControl/>
              <w:wordWrap w:val="0"/>
              <w:spacing w:line="440" w:lineRule="exact"/>
              <w:jc w:val="center"/>
              <w:rPr>
                <w:rFonts w:ascii="宋体" w:hAnsi="宋体" w:cs="宋体"/>
                <w:color w:val="auto"/>
                <w:szCs w:val="21"/>
                <w:highlight w:val="none"/>
              </w:rPr>
            </w:pPr>
          </w:p>
        </w:tc>
      </w:tr>
      <w:tr w14:paraId="13B98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14:paraId="71F9260A">
            <w:pPr>
              <w:widowControl/>
              <w:wordWrap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2269" w:type="dxa"/>
            <w:tcMar>
              <w:top w:w="120" w:type="dxa"/>
              <w:left w:w="120" w:type="dxa"/>
              <w:bottom w:w="120" w:type="dxa"/>
              <w:right w:w="120" w:type="dxa"/>
            </w:tcMar>
            <w:vAlign w:val="center"/>
          </w:tcPr>
          <w:p w14:paraId="732FE078">
            <w:pPr>
              <w:widowControl/>
              <w:wordWrap w:val="0"/>
              <w:spacing w:line="440" w:lineRule="exact"/>
              <w:jc w:val="center"/>
              <w:rPr>
                <w:rFonts w:ascii="宋体" w:hAnsi="宋体" w:cs="宋体"/>
                <w:color w:val="auto"/>
                <w:szCs w:val="21"/>
                <w:highlight w:val="none"/>
              </w:rPr>
            </w:pPr>
          </w:p>
        </w:tc>
        <w:tc>
          <w:tcPr>
            <w:tcW w:w="1239" w:type="dxa"/>
            <w:tcMar>
              <w:top w:w="120" w:type="dxa"/>
              <w:left w:w="120" w:type="dxa"/>
              <w:bottom w:w="120" w:type="dxa"/>
              <w:right w:w="120" w:type="dxa"/>
            </w:tcMar>
            <w:vAlign w:val="center"/>
          </w:tcPr>
          <w:p w14:paraId="036CFDA9">
            <w:pPr>
              <w:widowControl/>
              <w:wordWrap w:val="0"/>
              <w:spacing w:line="440" w:lineRule="exact"/>
              <w:jc w:val="center"/>
              <w:rPr>
                <w:rFonts w:ascii="宋体" w:hAnsi="宋体" w:cs="宋体"/>
                <w:color w:val="auto"/>
                <w:szCs w:val="21"/>
                <w:highlight w:val="none"/>
              </w:rPr>
            </w:pPr>
          </w:p>
        </w:tc>
        <w:tc>
          <w:tcPr>
            <w:tcW w:w="3722" w:type="dxa"/>
            <w:tcMar>
              <w:top w:w="120" w:type="dxa"/>
              <w:left w:w="120" w:type="dxa"/>
              <w:bottom w:w="120" w:type="dxa"/>
              <w:right w:w="120" w:type="dxa"/>
            </w:tcMar>
            <w:vAlign w:val="center"/>
          </w:tcPr>
          <w:p w14:paraId="0D06AD85">
            <w:pPr>
              <w:widowControl/>
              <w:wordWrap w:val="0"/>
              <w:spacing w:line="440" w:lineRule="exact"/>
              <w:jc w:val="center"/>
              <w:rPr>
                <w:rFonts w:ascii="宋体" w:hAnsi="宋体" w:cs="宋体"/>
                <w:color w:val="auto"/>
                <w:szCs w:val="21"/>
                <w:highlight w:val="none"/>
              </w:rPr>
            </w:pPr>
          </w:p>
        </w:tc>
        <w:tc>
          <w:tcPr>
            <w:tcW w:w="1418" w:type="dxa"/>
            <w:tcMar>
              <w:top w:w="120" w:type="dxa"/>
              <w:left w:w="120" w:type="dxa"/>
              <w:bottom w:w="120" w:type="dxa"/>
              <w:right w:w="120" w:type="dxa"/>
            </w:tcMar>
            <w:vAlign w:val="center"/>
          </w:tcPr>
          <w:p w14:paraId="23633E0D">
            <w:pPr>
              <w:widowControl/>
              <w:wordWrap w:val="0"/>
              <w:spacing w:line="440" w:lineRule="exact"/>
              <w:jc w:val="center"/>
              <w:rPr>
                <w:rFonts w:ascii="宋体" w:hAnsi="宋体" w:cs="宋体"/>
                <w:color w:val="auto"/>
                <w:szCs w:val="21"/>
                <w:highlight w:val="none"/>
              </w:rPr>
            </w:pPr>
          </w:p>
        </w:tc>
      </w:tr>
      <w:tr w14:paraId="64A4E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14:paraId="7F37068B">
            <w:pPr>
              <w:widowControl/>
              <w:wordWrap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2269" w:type="dxa"/>
            <w:tcMar>
              <w:top w:w="120" w:type="dxa"/>
              <w:left w:w="120" w:type="dxa"/>
              <w:bottom w:w="120" w:type="dxa"/>
              <w:right w:w="120" w:type="dxa"/>
            </w:tcMar>
            <w:vAlign w:val="center"/>
          </w:tcPr>
          <w:p w14:paraId="5FDB3398">
            <w:pPr>
              <w:widowControl/>
              <w:wordWrap w:val="0"/>
              <w:spacing w:line="440" w:lineRule="exact"/>
              <w:jc w:val="center"/>
              <w:rPr>
                <w:rFonts w:ascii="宋体" w:hAnsi="宋体" w:cs="宋体"/>
                <w:color w:val="auto"/>
                <w:szCs w:val="21"/>
                <w:highlight w:val="none"/>
              </w:rPr>
            </w:pPr>
          </w:p>
        </w:tc>
        <w:tc>
          <w:tcPr>
            <w:tcW w:w="1239" w:type="dxa"/>
            <w:tcMar>
              <w:top w:w="120" w:type="dxa"/>
              <w:left w:w="120" w:type="dxa"/>
              <w:bottom w:w="120" w:type="dxa"/>
              <w:right w:w="120" w:type="dxa"/>
            </w:tcMar>
            <w:vAlign w:val="center"/>
          </w:tcPr>
          <w:p w14:paraId="6524B1CC">
            <w:pPr>
              <w:widowControl/>
              <w:wordWrap w:val="0"/>
              <w:spacing w:line="440" w:lineRule="exact"/>
              <w:jc w:val="center"/>
              <w:rPr>
                <w:rFonts w:ascii="宋体" w:hAnsi="宋体" w:cs="宋体"/>
                <w:color w:val="auto"/>
                <w:szCs w:val="21"/>
                <w:highlight w:val="none"/>
              </w:rPr>
            </w:pPr>
          </w:p>
        </w:tc>
        <w:tc>
          <w:tcPr>
            <w:tcW w:w="3722" w:type="dxa"/>
            <w:tcMar>
              <w:top w:w="120" w:type="dxa"/>
              <w:left w:w="120" w:type="dxa"/>
              <w:bottom w:w="120" w:type="dxa"/>
              <w:right w:w="120" w:type="dxa"/>
            </w:tcMar>
            <w:vAlign w:val="center"/>
          </w:tcPr>
          <w:p w14:paraId="1C670D7E">
            <w:pPr>
              <w:widowControl/>
              <w:wordWrap w:val="0"/>
              <w:spacing w:line="440" w:lineRule="exact"/>
              <w:jc w:val="center"/>
              <w:rPr>
                <w:rFonts w:ascii="宋体" w:hAnsi="宋体" w:cs="宋体"/>
                <w:color w:val="auto"/>
                <w:szCs w:val="21"/>
                <w:highlight w:val="none"/>
              </w:rPr>
            </w:pPr>
          </w:p>
        </w:tc>
        <w:tc>
          <w:tcPr>
            <w:tcW w:w="1418" w:type="dxa"/>
            <w:tcMar>
              <w:top w:w="120" w:type="dxa"/>
              <w:left w:w="120" w:type="dxa"/>
              <w:bottom w:w="120" w:type="dxa"/>
              <w:right w:w="120" w:type="dxa"/>
            </w:tcMar>
            <w:vAlign w:val="center"/>
          </w:tcPr>
          <w:p w14:paraId="2473D117">
            <w:pPr>
              <w:widowControl/>
              <w:wordWrap w:val="0"/>
              <w:spacing w:line="440" w:lineRule="exact"/>
              <w:jc w:val="center"/>
              <w:rPr>
                <w:rFonts w:ascii="宋体" w:hAnsi="宋体" w:cs="宋体"/>
                <w:color w:val="auto"/>
                <w:szCs w:val="21"/>
                <w:highlight w:val="none"/>
              </w:rPr>
            </w:pPr>
          </w:p>
        </w:tc>
      </w:tr>
    </w:tbl>
    <w:p w14:paraId="047EC13F">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注：</w:t>
      </w:r>
    </w:p>
    <w:p w14:paraId="7157DC93">
      <w:pPr>
        <w:snapToGrid w:val="0"/>
        <w:spacing w:line="44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D1D3A84">
      <w:pPr>
        <w:snapToGrid w:val="0"/>
        <w:spacing w:line="44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2.本表所指的控股关系仅限于直接控股关系，不包括间接的控股关系。公司实际控制人与公司之间的关系不属于本表所指的直接控股关系。</w:t>
      </w:r>
    </w:p>
    <w:p w14:paraId="4A2BB115">
      <w:pPr>
        <w:snapToGrid w:val="0"/>
        <w:spacing w:before="50" w:after="120" w:afterLines="50" w:line="440" w:lineRule="exact"/>
        <w:jc w:val="center"/>
        <w:rPr>
          <w:rFonts w:ascii="宋体" w:hAnsi="宋体" w:cs="宋体"/>
          <w:color w:val="auto"/>
          <w:szCs w:val="21"/>
          <w:highlight w:val="none"/>
        </w:rPr>
      </w:pPr>
    </w:p>
    <w:p w14:paraId="4FD3AE80">
      <w:pPr>
        <w:snapToGrid w:val="0"/>
        <w:spacing w:before="50" w:after="120" w:afterLines="50" w:line="440" w:lineRule="exact"/>
        <w:jc w:val="center"/>
        <w:rPr>
          <w:rFonts w:ascii="宋体" w:hAnsi="宋体" w:cs="宋体"/>
          <w:color w:val="auto"/>
          <w:szCs w:val="21"/>
          <w:highlight w:val="none"/>
        </w:rPr>
      </w:pPr>
      <w:r>
        <w:rPr>
          <w:rFonts w:hint="eastAsia" w:ascii="宋体" w:hAnsi="宋体" w:cs="宋体"/>
          <w:b/>
          <w:color w:val="auto"/>
          <w:sz w:val="24"/>
          <w:highlight w:val="none"/>
        </w:rPr>
        <w:t>供应商直接管理关系信息表</w:t>
      </w:r>
    </w:p>
    <w:tbl>
      <w:tblPr>
        <w:tblStyle w:val="41"/>
        <w:tblW w:w="9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5"/>
        <w:gridCol w:w="2659"/>
        <w:gridCol w:w="3924"/>
        <w:gridCol w:w="2064"/>
      </w:tblGrid>
      <w:tr w14:paraId="4766A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005" w:type="dxa"/>
            <w:tcMar>
              <w:top w:w="120" w:type="dxa"/>
              <w:left w:w="120" w:type="dxa"/>
              <w:bottom w:w="120" w:type="dxa"/>
              <w:right w:w="120" w:type="dxa"/>
            </w:tcMar>
            <w:vAlign w:val="center"/>
          </w:tcPr>
          <w:p w14:paraId="15FF00D0">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659" w:type="dxa"/>
            <w:tcMar>
              <w:top w:w="120" w:type="dxa"/>
              <w:left w:w="120" w:type="dxa"/>
              <w:bottom w:w="120" w:type="dxa"/>
              <w:right w:w="120" w:type="dxa"/>
            </w:tcMar>
            <w:vAlign w:val="center"/>
          </w:tcPr>
          <w:p w14:paraId="76A28B5A">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直接管理关系单位名称</w:t>
            </w:r>
          </w:p>
        </w:tc>
        <w:tc>
          <w:tcPr>
            <w:tcW w:w="3924" w:type="dxa"/>
            <w:tcMar>
              <w:top w:w="120" w:type="dxa"/>
              <w:left w:w="120" w:type="dxa"/>
              <w:bottom w:w="120" w:type="dxa"/>
              <w:right w:w="120" w:type="dxa"/>
            </w:tcMar>
            <w:vAlign w:val="center"/>
          </w:tcPr>
          <w:p w14:paraId="639B0208">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统一社会信用代码</w:t>
            </w:r>
          </w:p>
        </w:tc>
        <w:tc>
          <w:tcPr>
            <w:tcW w:w="2064" w:type="dxa"/>
            <w:tcMar>
              <w:top w:w="120" w:type="dxa"/>
              <w:left w:w="120" w:type="dxa"/>
              <w:bottom w:w="120" w:type="dxa"/>
              <w:right w:w="120" w:type="dxa"/>
            </w:tcMar>
            <w:vAlign w:val="center"/>
          </w:tcPr>
          <w:p w14:paraId="7A7F0E48">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21586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14:paraId="116BB358">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2659" w:type="dxa"/>
            <w:tcMar>
              <w:top w:w="120" w:type="dxa"/>
              <w:left w:w="120" w:type="dxa"/>
              <w:bottom w:w="120" w:type="dxa"/>
              <w:right w:w="120" w:type="dxa"/>
            </w:tcMar>
            <w:vAlign w:val="center"/>
          </w:tcPr>
          <w:p w14:paraId="12CA522B">
            <w:pPr>
              <w:widowControl/>
              <w:spacing w:line="440" w:lineRule="exact"/>
              <w:jc w:val="center"/>
              <w:rPr>
                <w:rFonts w:ascii="宋体" w:hAnsi="宋体" w:cs="宋体"/>
                <w:color w:val="auto"/>
                <w:szCs w:val="21"/>
                <w:highlight w:val="none"/>
              </w:rPr>
            </w:pPr>
          </w:p>
        </w:tc>
        <w:tc>
          <w:tcPr>
            <w:tcW w:w="3924" w:type="dxa"/>
            <w:tcMar>
              <w:top w:w="120" w:type="dxa"/>
              <w:left w:w="120" w:type="dxa"/>
              <w:bottom w:w="120" w:type="dxa"/>
              <w:right w:w="120" w:type="dxa"/>
            </w:tcMar>
            <w:vAlign w:val="center"/>
          </w:tcPr>
          <w:p w14:paraId="7ACA583B">
            <w:pPr>
              <w:widowControl/>
              <w:spacing w:line="440" w:lineRule="exact"/>
              <w:jc w:val="center"/>
              <w:rPr>
                <w:rFonts w:ascii="宋体" w:hAnsi="宋体" w:cs="宋体"/>
                <w:color w:val="auto"/>
                <w:szCs w:val="21"/>
                <w:highlight w:val="none"/>
              </w:rPr>
            </w:pPr>
          </w:p>
        </w:tc>
        <w:tc>
          <w:tcPr>
            <w:tcW w:w="2064" w:type="dxa"/>
            <w:tcMar>
              <w:top w:w="120" w:type="dxa"/>
              <w:left w:w="120" w:type="dxa"/>
              <w:bottom w:w="120" w:type="dxa"/>
              <w:right w:w="120" w:type="dxa"/>
            </w:tcMar>
            <w:vAlign w:val="center"/>
          </w:tcPr>
          <w:p w14:paraId="5D0F3600">
            <w:pPr>
              <w:widowControl/>
              <w:spacing w:line="440" w:lineRule="exact"/>
              <w:jc w:val="center"/>
              <w:rPr>
                <w:rFonts w:ascii="宋体" w:hAnsi="宋体" w:cs="宋体"/>
                <w:color w:val="auto"/>
                <w:szCs w:val="21"/>
                <w:highlight w:val="none"/>
              </w:rPr>
            </w:pPr>
          </w:p>
        </w:tc>
      </w:tr>
      <w:tr w14:paraId="0632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14:paraId="31CF92C0">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2659" w:type="dxa"/>
            <w:tcMar>
              <w:top w:w="120" w:type="dxa"/>
              <w:left w:w="120" w:type="dxa"/>
              <w:bottom w:w="120" w:type="dxa"/>
              <w:right w:w="120" w:type="dxa"/>
            </w:tcMar>
            <w:vAlign w:val="center"/>
          </w:tcPr>
          <w:p w14:paraId="708A1C01">
            <w:pPr>
              <w:widowControl/>
              <w:spacing w:line="440" w:lineRule="exact"/>
              <w:jc w:val="center"/>
              <w:rPr>
                <w:rFonts w:ascii="宋体" w:hAnsi="宋体" w:cs="宋体"/>
                <w:color w:val="auto"/>
                <w:szCs w:val="21"/>
                <w:highlight w:val="none"/>
              </w:rPr>
            </w:pPr>
          </w:p>
        </w:tc>
        <w:tc>
          <w:tcPr>
            <w:tcW w:w="3924" w:type="dxa"/>
            <w:tcMar>
              <w:top w:w="120" w:type="dxa"/>
              <w:left w:w="120" w:type="dxa"/>
              <w:bottom w:w="120" w:type="dxa"/>
              <w:right w:w="120" w:type="dxa"/>
            </w:tcMar>
            <w:vAlign w:val="center"/>
          </w:tcPr>
          <w:p w14:paraId="03B33FDC">
            <w:pPr>
              <w:widowControl/>
              <w:spacing w:line="440" w:lineRule="exact"/>
              <w:jc w:val="center"/>
              <w:rPr>
                <w:rFonts w:ascii="宋体" w:hAnsi="宋体" w:cs="宋体"/>
                <w:color w:val="auto"/>
                <w:szCs w:val="21"/>
                <w:highlight w:val="none"/>
              </w:rPr>
            </w:pPr>
          </w:p>
        </w:tc>
        <w:tc>
          <w:tcPr>
            <w:tcW w:w="2064" w:type="dxa"/>
            <w:tcMar>
              <w:top w:w="120" w:type="dxa"/>
              <w:left w:w="120" w:type="dxa"/>
              <w:bottom w:w="120" w:type="dxa"/>
              <w:right w:w="120" w:type="dxa"/>
            </w:tcMar>
            <w:vAlign w:val="center"/>
          </w:tcPr>
          <w:p w14:paraId="651CDC1E">
            <w:pPr>
              <w:widowControl/>
              <w:spacing w:line="440" w:lineRule="exact"/>
              <w:jc w:val="center"/>
              <w:rPr>
                <w:rFonts w:ascii="宋体" w:hAnsi="宋体" w:cs="宋体"/>
                <w:color w:val="auto"/>
                <w:szCs w:val="21"/>
                <w:highlight w:val="none"/>
              </w:rPr>
            </w:pPr>
          </w:p>
        </w:tc>
      </w:tr>
      <w:tr w14:paraId="2E7E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14:paraId="704B6162">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2659" w:type="dxa"/>
            <w:tcMar>
              <w:top w:w="120" w:type="dxa"/>
              <w:left w:w="120" w:type="dxa"/>
              <w:bottom w:w="120" w:type="dxa"/>
              <w:right w:w="120" w:type="dxa"/>
            </w:tcMar>
            <w:vAlign w:val="center"/>
          </w:tcPr>
          <w:p w14:paraId="29EACCE7">
            <w:pPr>
              <w:widowControl/>
              <w:spacing w:line="440" w:lineRule="exact"/>
              <w:jc w:val="center"/>
              <w:rPr>
                <w:rFonts w:ascii="宋体" w:hAnsi="宋体" w:cs="宋体"/>
                <w:color w:val="auto"/>
                <w:szCs w:val="21"/>
                <w:highlight w:val="none"/>
              </w:rPr>
            </w:pPr>
          </w:p>
        </w:tc>
        <w:tc>
          <w:tcPr>
            <w:tcW w:w="3924" w:type="dxa"/>
            <w:tcMar>
              <w:top w:w="120" w:type="dxa"/>
              <w:left w:w="120" w:type="dxa"/>
              <w:bottom w:w="120" w:type="dxa"/>
              <w:right w:w="120" w:type="dxa"/>
            </w:tcMar>
            <w:vAlign w:val="center"/>
          </w:tcPr>
          <w:p w14:paraId="61FC0B15">
            <w:pPr>
              <w:widowControl/>
              <w:spacing w:line="440" w:lineRule="exact"/>
              <w:jc w:val="center"/>
              <w:rPr>
                <w:rFonts w:ascii="宋体" w:hAnsi="宋体" w:cs="宋体"/>
                <w:color w:val="auto"/>
                <w:szCs w:val="21"/>
                <w:highlight w:val="none"/>
              </w:rPr>
            </w:pPr>
          </w:p>
        </w:tc>
        <w:tc>
          <w:tcPr>
            <w:tcW w:w="2064" w:type="dxa"/>
            <w:tcMar>
              <w:top w:w="120" w:type="dxa"/>
              <w:left w:w="120" w:type="dxa"/>
              <w:bottom w:w="120" w:type="dxa"/>
              <w:right w:w="120" w:type="dxa"/>
            </w:tcMar>
            <w:vAlign w:val="center"/>
          </w:tcPr>
          <w:p w14:paraId="714F3AFF">
            <w:pPr>
              <w:widowControl/>
              <w:spacing w:line="440" w:lineRule="exact"/>
              <w:jc w:val="center"/>
              <w:rPr>
                <w:rFonts w:ascii="宋体" w:hAnsi="宋体" w:cs="宋体"/>
                <w:color w:val="auto"/>
                <w:szCs w:val="21"/>
                <w:highlight w:val="none"/>
              </w:rPr>
            </w:pPr>
          </w:p>
        </w:tc>
      </w:tr>
    </w:tbl>
    <w:p w14:paraId="12FFCC85">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注：</w:t>
      </w:r>
    </w:p>
    <w:p w14:paraId="66A6D817">
      <w:pPr>
        <w:snapToGrid w:val="0"/>
        <w:spacing w:line="44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1.管理关系：是指不具有出资持股关系的其他单位之间存在的管理与被管理关系，如一些上下级关系的事业单位和团体组织。</w:t>
      </w:r>
    </w:p>
    <w:p w14:paraId="077E8207">
      <w:pPr>
        <w:snapToGrid w:val="0"/>
        <w:spacing w:line="44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2.本表所指的管理关系仅限于直接管理关系，不包括间接的管理关系。</w:t>
      </w:r>
    </w:p>
    <w:p w14:paraId="2357F321">
      <w:pPr>
        <w:pStyle w:val="23"/>
        <w:tabs>
          <w:tab w:val="left" w:pos="5529"/>
        </w:tabs>
        <w:wordWrap w:val="0"/>
        <w:spacing w:line="440" w:lineRule="exact"/>
        <w:ind w:firstLine="3240" w:firstLineChars="1620"/>
        <w:rPr>
          <w:rFonts w:hAnsi="宋体" w:cs="宋体"/>
          <w:color w:val="auto"/>
          <w:highlight w:val="none"/>
        </w:rPr>
      </w:pPr>
    </w:p>
    <w:p w14:paraId="5FA49F67">
      <w:pPr>
        <w:pStyle w:val="23"/>
        <w:tabs>
          <w:tab w:val="left" w:pos="5529"/>
        </w:tabs>
        <w:wordWrap w:val="0"/>
        <w:spacing w:line="440" w:lineRule="exact"/>
        <w:ind w:firstLine="3240" w:firstLineChars="1620"/>
        <w:rPr>
          <w:rFonts w:hAnsi="宋体" w:cs="宋体"/>
          <w:color w:val="auto"/>
          <w:highlight w:val="none"/>
        </w:rPr>
      </w:pPr>
    </w:p>
    <w:p w14:paraId="503B1873">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417598B0">
      <w:pPr>
        <w:spacing w:line="440" w:lineRule="exact"/>
        <w:ind w:firstLine="6300" w:firstLineChars="3000"/>
        <w:rPr>
          <w:rFonts w:ascii="宋体" w:hAnsi="宋体" w:cs="宋体"/>
          <w:b/>
          <w:bCs/>
          <w:color w:val="auto"/>
          <w:szCs w:val="21"/>
          <w:highlight w:val="none"/>
        </w:rPr>
      </w:pPr>
      <w:r>
        <w:rPr>
          <w:rFonts w:hint="eastAsia" w:ascii="宋体" w:hAnsi="宋体" w:cs="宋体"/>
          <w:color w:val="auto"/>
          <w:szCs w:val="21"/>
          <w:highlight w:val="none"/>
        </w:rPr>
        <w:t>日期： 年 月 日</w:t>
      </w:r>
    </w:p>
    <w:p w14:paraId="4342447A">
      <w:pPr>
        <w:snapToGrid w:val="0"/>
        <w:spacing w:before="120" w:beforeLines="50" w:after="50" w:line="440" w:lineRule="exact"/>
        <w:rPr>
          <w:rFonts w:ascii="宋体" w:hAnsi="宋体" w:cs="宋体"/>
          <w:b/>
          <w:bCs/>
          <w:color w:val="auto"/>
          <w:szCs w:val="21"/>
          <w:highlight w:val="none"/>
        </w:rPr>
        <w:sectPr>
          <w:pgSz w:w="11906" w:h="16838"/>
          <w:pgMar w:top="1134" w:right="1247" w:bottom="1134" w:left="1247" w:header="851" w:footer="992" w:gutter="0"/>
          <w:pgNumType w:fmt="decimal"/>
          <w:cols w:space="720" w:num="1"/>
          <w:docGrid w:linePitch="312" w:charSpace="0"/>
        </w:sectPr>
      </w:pPr>
    </w:p>
    <w:p w14:paraId="7DDBD60E">
      <w:pPr>
        <w:snapToGrid w:val="0"/>
        <w:spacing w:before="120" w:beforeLines="50" w:after="50" w:line="440" w:lineRule="exact"/>
        <w:rPr>
          <w:rFonts w:ascii="宋体" w:hAnsi="宋体" w:cs="宋体"/>
          <w:b/>
          <w:bCs/>
          <w:color w:val="auto"/>
          <w:szCs w:val="21"/>
          <w:highlight w:val="none"/>
        </w:rPr>
      </w:pPr>
      <w:r>
        <w:rPr>
          <w:rFonts w:hint="eastAsia" w:ascii="宋体" w:hAnsi="宋体" w:cs="宋体"/>
          <w:b/>
          <w:bCs/>
          <w:color w:val="auto"/>
          <w:szCs w:val="21"/>
          <w:highlight w:val="none"/>
        </w:rPr>
        <w:t>2、商务和技术文件格式：</w:t>
      </w:r>
    </w:p>
    <w:p w14:paraId="03C81371">
      <w:pPr>
        <w:spacing w:line="440" w:lineRule="exact"/>
        <w:jc w:val="center"/>
        <w:rPr>
          <w:rFonts w:ascii="宋体" w:hAnsi="宋体" w:cs="宋体"/>
          <w:b/>
          <w:color w:val="auto"/>
          <w:sz w:val="32"/>
          <w:szCs w:val="32"/>
          <w:highlight w:val="none"/>
        </w:rPr>
      </w:pPr>
    </w:p>
    <w:p w14:paraId="50B90F57">
      <w:pPr>
        <w:spacing w:line="440" w:lineRule="exact"/>
        <w:jc w:val="center"/>
        <w:rPr>
          <w:rFonts w:ascii="宋体" w:hAnsi="宋体" w:cs="宋体"/>
          <w:b/>
          <w:color w:val="auto"/>
          <w:sz w:val="32"/>
          <w:szCs w:val="32"/>
          <w:highlight w:val="none"/>
        </w:rPr>
      </w:pPr>
    </w:p>
    <w:p w14:paraId="61E30184">
      <w:pPr>
        <w:snapToGrid w:val="0"/>
        <w:spacing w:before="120" w:beforeLines="50" w:after="50" w:line="440" w:lineRule="exact"/>
        <w:ind w:firstLine="8" w:firstLineChars="3"/>
        <w:jc w:val="right"/>
        <w:rPr>
          <w:rFonts w:ascii="宋体" w:hAnsi="宋体" w:cs="宋体"/>
          <w:bCs/>
          <w:color w:val="auto"/>
          <w:sz w:val="28"/>
          <w:szCs w:val="28"/>
          <w:highlight w:val="none"/>
        </w:rPr>
      </w:pPr>
      <w:r>
        <w:rPr>
          <w:rFonts w:hint="eastAsia" w:ascii="宋体" w:hAnsi="宋体" w:cs="宋体"/>
          <w:bCs/>
          <w:color w:val="auto"/>
          <w:sz w:val="28"/>
          <w:szCs w:val="28"/>
          <w:highlight w:val="none"/>
        </w:rPr>
        <w:t>电子响应文件</w:t>
      </w:r>
    </w:p>
    <w:p w14:paraId="18374861">
      <w:pPr>
        <w:snapToGrid w:val="0"/>
        <w:spacing w:before="120" w:beforeLines="50" w:after="50" w:line="440" w:lineRule="exact"/>
        <w:ind w:firstLine="9" w:firstLineChars="3"/>
        <w:jc w:val="center"/>
        <w:rPr>
          <w:rFonts w:ascii="宋体" w:hAnsi="宋体" w:cs="宋体"/>
          <w:bCs/>
          <w:color w:val="auto"/>
          <w:sz w:val="32"/>
          <w:szCs w:val="32"/>
          <w:highlight w:val="none"/>
        </w:rPr>
      </w:pPr>
    </w:p>
    <w:p w14:paraId="6C9EF70A">
      <w:pPr>
        <w:snapToGrid w:val="0"/>
        <w:spacing w:before="120" w:beforeLines="50" w:after="50" w:line="440" w:lineRule="exact"/>
        <w:ind w:firstLine="9" w:firstLineChars="3"/>
        <w:jc w:val="center"/>
        <w:rPr>
          <w:rFonts w:ascii="宋体" w:hAnsi="宋体" w:cs="宋体"/>
          <w:bCs/>
          <w:color w:val="auto"/>
          <w:sz w:val="32"/>
          <w:szCs w:val="32"/>
          <w:highlight w:val="none"/>
        </w:rPr>
      </w:pPr>
    </w:p>
    <w:p w14:paraId="2F2E61E6">
      <w:pPr>
        <w:snapToGrid w:val="0"/>
        <w:spacing w:before="120" w:beforeLines="50" w:after="50" w:line="440" w:lineRule="exact"/>
        <w:ind w:firstLine="9" w:firstLineChars="3"/>
        <w:jc w:val="center"/>
        <w:rPr>
          <w:rFonts w:ascii="宋体" w:hAnsi="宋体" w:cs="宋体"/>
          <w:bCs/>
          <w:color w:val="auto"/>
          <w:sz w:val="32"/>
          <w:szCs w:val="32"/>
          <w:highlight w:val="none"/>
        </w:rPr>
      </w:pPr>
    </w:p>
    <w:p w14:paraId="04F1949F">
      <w:pPr>
        <w:snapToGrid w:val="0"/>
        <w:spacing w:before="120" w:beforeLines="50" w:after="50" w:line="440" w:lineRule="exact"/>
        <w:ind w:firstLine="13" w:firstLineChars="3"/>
        <w:jc w:val="center"/>
        <w:rPr>
          <w:rFonts w:ascii="宋体" w:hAnsi="宋体" w:cs="宋体"/>
          <w:bCs/>
          <w:color w:val="auto"/>
          <w:sz w:val="44"/>
          <w:szCs w:val="44"/>
          <w:highlight w:val="none"/>
        </w:rPr>
      </w:pPr>
      <w:r>
        <w:rPr>
          <w:rFonts w:hint="eastAsia" w:ascii="宋体" w:hAnsi="宋体" w:cs="宋体"/>
          <w:bCs/>
          <w:color w:val="auto"/>
          <w:sz w:val="44"/>
          <w:szCs w:val="44"/>
          <w:highlight w:val="none"/>
        </w:rPr>
        <w:t>响应文件</w:t>
      </w:r>
    </w:p>
    <w:p w14:paraId="121B07B9">
      <w:pPr>
        <w:snapToGrid w:val="0"/>
        <w:spacing w:before="120" w:beforeLines="50" w:after="50" w:line="440" w:lineRule="exact"/>
        <w:ind w:firstLine="9" w:firstLineChars="3"/>
        <w:jc w:val="center"/>
        <w:rPr>
          <w:rFonts w:ascii="宋体" w:hAnsi="宋体" w:cs="宋体"/>
          <w:bCs/>
          <w:color w:val="auto"/>
          <w:sz w:val="32"/>
          <w:szCs w:val="32"/>
          <w:highlight w:val="none"/>
        </w:rPr>
      </w:pPr>
      <w:r>
        <w:rPr>
          <w:rFonts w:hint="eastAsia" w:ascii="宋体" w:hAnsi="宋体" w:cs="宋体"/>
          <w:bCs/>
          <w:color w:val="auto"/>
          <w:sz w:val="32"/>
          <w:szCs w:val="32"/>
          <w:highlight w:val="none"/>
        </w:rPr>
        <w:t>（商务和技术文件）</w:t>
      </w:r>
    </w:p>
    <w:p w14:paraId="47A83521">
      <w:pPr>
        <w:snapToGrid w:val="0"/>
        <w:spacing w:before="120" w:beforeLines="50" w:after="50" w:line="440" w:lineRule="exact"/>
        <w:rPr>
          <w:rFonts w:ascii="宋体" w:hAnsi="宋体" w:cs="宋体"/>
          <w:bCs/>
          <w:color w:val="auto"/>
          <w:szCs w:val="21"/>
          <w:highlight w:val="none"/>
        </w:rPr>
      </w:pPr>
    </w:p>
    <w:p w14:paraId="59603832">
      <w:pPr>
        <w:snapToGrid w:val="0"/>
        <w:spacing w:before="120" w:beforeLines="50" w:after="50"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项目名称：</w:t>
      </w:r>
    </w:p>
    <w:p w14:paraId="095C05CC">
      <w:pPr>
        <w:snapToGrid w:val="0"/>
        <w:spacing w:before="120" w:beforeLines="50" w:after="50" w:line="440" w:lineRule="exact"/>
        <w:ind w:firstLine="675" w:firstLineChars="225"/>
        <w:rPr>
          <w:rFonts w:ascii="宋体" w:hAnsi="宋体" w:cs="宋体"/>
          <w:bCs/>
          <w:color w:val="auto"/>
          <w:sz w:val="30"/>
          <w:szCs w:val="30"/>
          <w:highlight w:val="none"/>
        </w:rPr>
      </w:pPr>
    </w:p>
    <w:p w14:paraId="1752BC70">
      <w:pPr>
        <w:snapToGrid w:val="0"/>
        <w:spacing w:before="120" w:beforeLines="50" w:after="50"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项目编号：</w:t>
      </w:r>
    </w:p>
    <w:p w14:paraId="3F950898">
      <w:pPr>
        <w:snapToGrid w:val="0"/>
        <w:spacing w:before="120" w:beforeLines="50" w:after="50" w:line="440" w:lineRule="exact"/>
        <w:ind w:firstLine="675" w:firstLineChars="225"/>
        <w:rPr>
          <w:rFonts w:ascii="宋体" w:hAnsi="宋体" w:cs="宋体"/>
          <w:bCs/>
          <w:color w:val="auto"/>
          <w:sz w:val="30"/>
          <w:szCs w:val="30"/>
          <w:highlight w:val="none"/>
        </w:rPr>
      </w:pPr>
    </w:p>
    <w:p w14:paraId="7829B525">
      <w:pPr>
        <w:snapToGrid w:val="0"/>
        <w:spacing w:before="120" w:beforeLines="50" w:after="50"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标    项：（如有则填写，无分标时填写“无”或者留空）</w:t>
      </w:r>
    </w:p>
    <w:p w14:paraId="147FC60B">
      <w:pPr>
        <w:snapToGrid w:val="0"/>
        <w:spacing w:before="120" w:beforeLines="50" w:after="50" w:line="440" w:lineRule="exact"/>
        <w:ind w:firstLine="675" w:firstLineChars="225"/>
        <w:rPr>
          <w:rFonts w:ascii="宋体" w:hAnsi="宋体" w:cs="宋体"/>
          <w:bCs/>
          <w:color w:val="auto"/>
          <w:sz w:val="30"/>
          <w:szCs w:val="30"/>
          <w:highlight w:val="none"/>
        </w:rPr>
      </w:pPr>
    </w:p>
    <w:p w14:paraId="1CECBC2E">
      <w:pPr>
        <w:pStyle w:val="10"/>
        <w:snapToGrid w:val="0"/>
        <w:spacing w:before="100" w:beforeAutospacing="1" w:after="100" w:afterAutospacing="1"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供应商名称：（加盖单位电子公章）</w:t>
      </w:r>
    </w:p>
    <w:p w14:paraId="6D89B18B">
      <w:pPr>
        <w:pStyle w:val="10"/>
        <w:snapToGrid w:val="0"/>
        <w:spacing w:before="100" w:beforeAutospacing="1" w:after="100" w:afterAutospacing="1" w:line="440" w:lineRule="exact"/>
        <w:ind w:firstLine="675" w:firstLineChars="225"/>
        <w:rPr>
          <w:rFonts w:ascii="宋体" w:hAnsi="宋体" w:cs="宋体"/>
          <w:bCs/>
          <w:color w:val="auto"/>
          <w:sz w:val="30"/>
          <w:szCs w:val="30"/>
          <w:highlight w:val="none"/>
        </w:rPr>
      </w:pPr>
    </w:p>
    <w:p w14:paraId="0D23F46E">
      <w:pPr>
        <w:pStyle w:val="10"/>
        <w:snapToGrid w:val="0"/>
        <w:spacing w:before="100" w:beforeAutospacing="1" w:after="100" w:afterAutospacing="1"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供应商地址：</w:t>
      </w:r>
    </w:p>
    <w:p w14:paraId="67085E91">
      <w:pPr>
        <w:pStyle w:val="10"/>
        <w:snapToGrid w:val="0"/>
        <w:spacing w:before="50" w:after="50" w:line="440" w:lineRule="exact"/>
        <w:ind w:firstLine="675" w:firstLineChars="225"/>
        <w:rPr>
          <w:rFonts w:ascii="宋体" w:hAnsi="宋体" w:cs="宋体"/>
          <w:bCs/>
          <w:color w:val="auto"/>
          <w:sz w:val="30"/>
          <w:szCs w:val="30"/>
          <w:highlight w:val="none"/>
        </w:rPr>
      </w:pPr>
    </w:p>
    <w:p w14:paraId="57C0AB68">
      <w:pPr>
        <w:snapToGrid w:val="0"/>
        <w:spacing w:before="120" w:beforeLines="50" w:after="50" w:line="440" w:lineRule="exact"/>
        <w:ind w:firstLine="10"/>
        <w:jc w:val="center"/>
        <w:rPr>
          <w:rFonts w:ascii="宋体" w:hAnsi="宋体" w:cs="宋体"/>
          <w:color w:val="auto"/>
          <w:sz w:val="30"/>
          <w:szCs w:val="30"/>
          <w:highlight w:val="none"/>
        </w:rPr>
      </w:pPr>
    </w:p>
    <w:p w14:paraId="2483BBCC">
      <w:pPr>
        <w:snapToGrid w:val="0"/>
        <w:spacing w:before="120" w:beforeLines="50" w:after="50" w:line="440" w:lineRule="exact"/>
        <w:ind w:firstLine="10"/>
        <w:jc w:val="center"/>
        <w:rPr>
          <w:rFonts w:ascii="宋体" w:hAnsi="宋体" w:cs="宋体"/>
          <w:color w:val="auto"/>
          <w:sz w:val="30"/>
          <w:szCs w:val="30"/>
          <w:highlight w:val="none"/>
        </w:rPr>
      </w:pPr>
    </w:p>
    <w:p w14:paraId="4B18A446">
      <w:pPr>
        <w:snapToGrid w:val="0"/>
        <w:spacing w:before="120" w:beforeLines="50" w:after="50" w:line="440" w:lineRule="exact"/>
        <w:ind w:firstLine="10"/>
        <w:jc w:val="center"/>
        <w:rPr>
          <w:rFonts w:ascii="宋体" w:hAnsi="宋体" w:cs="宋体"/>
          <w:color w:val="auto"/>
          <w:sz w:val="30"/>
          <w:szCs w:val="30"/>
          <w:highlight w:val="none"/>
        </w:rPr>
      </w:pPr>
    </w:p>
    <w:p w14:paraId="18F16564">
      <w:pPr>
        <w:snapToGrid w:val="0"/>
        <w:spacing w:before="120" w:beforeLines="50" w:after="50" w:line="440" w:lineRule="exact"/>
        <w:ind w:firstLine="10"/>
        <w:jc w:val="center"/>
        <w:rPr>
          <w:rFonts w:ascii="宋体" w:hAnsi="宋体" w:cs="宋体"/>
          <w:color w:val="auto"/>
          <w:sz w:val="30"/>
          <w:szCs w:val="30"/>
          <w:highlight w:val="none"/>
        </w:rPr>
      </w:pPr>
      <w:r>
        <w:rPr>
          <w:rFonts w:hint="eastAsia" w:ascii="宋体" w:hAnsi="宋体" w:cs="宋体"/>
          <w:color w:val="auto"/>
          <w:sz w:val="30"/>
          <w:szCs w:val="30"/>
          <w:highlight w:val="none"/>
        </w:rPr>
        <w:t>年   月   日</w:t>
      </w:r>
    </w:p>
    <w:p w14:paraId="6461556B">
      <w:pPr>
        <w:snapToGrid w:val="0"/>
        <w:spacing w:before="50" w:after="50" w:line="440" w:lineRule="exact"/>
        <w:rPr>
          <w:rFonts w:ascii="宋体" w:hAnsi="宋体" w:cs="宋体"/>
          <w:b/>
          <w:color w:val="auto"/>
          <w:szCs w:val="21"/>
          <w:highlight w:val="none"/>
        </w:rPr>
      </w:pPr>
    </w:p>
    <w:p w14:paraId="0C65E921">
      <w:pPr>
        <w:snapToGrid w:val="0"/>
        <w:spacing w:before="120" w:beforeLines="50" w:after="50" w:line="440" w:lineRule="exact"/>
        <w:jc w:val="center"/>
        <w:rPr>
          <w:rFonts w:ascii="宋体" w:hAnsi="宋体" w:cs="宋体"/>
          <w:b/>
          <w:color w:val="auto"/>
          <w:szCs w:val="21"/>
          <w:highlight w:val="none"/>
        </w:rPr>
      </w:pPr>
      <w:r>
        <w:rPr>
          <w:rFonts w:hint="eastAsia" w:ascii="宋体" w:hAnsi="宋体" w:cs="宋体"/>
          <w:b/>
          <w:color w:val="auto"/>
          <w:szCs w:val="21"/>
          <w:highlight w:val="none"/>
        </w:rPr>
        <w:br w:type="page"/>
      </w:r>
    </w:p>
    <w:p w14:paraId="30EA0E53">
      <w:pPr>
        <w:snapToGrid w:val="0"/>
        <w:spacing w:before="120" w:beforeLines="50" w:after="50" w:line="440" w:lineRule="exact"/>
        <w:jc w:val="center"/>
        <w:rPr>
          <w:rFonts w:ascii="宋体" w:hAnsi="宋体" w:cs="宋体"/>
          <w:b/>
          <w:color w:val="auto"/>
          <w:szCs w:val="21"/>
          <w:highlight w:val="none"/>
        </w:rPr>
      </w:pPr>
    </w:p>
    <w:p w14:paraId="6EE9B6D5">
      <w:pPr>
        <w:snapToGrid w:val="0"/>
        <w:spacing w:before="120" w:beforeLines="50" w:after="50" w:line="440" w:lineRule="exact"/>
        <w:jc w:val="center"/>
        <w:rPr>
          <w:rFonts w:ascii="宋体" w:hAnsi="宋体" w:cs="宋体"/>
          <w:b/>
          <w:color w:val="auto"/>
          <w:sz w:val="44"/>
          <w:szCs w:val="44"/>
          <w:highlight w:val="none"/>
        </w:rPr>
      </w:pPr>
      <w:r>
        <w:rPr>
          <w:rFonts w:hint="eastAsia" w:ascii="宋体" w:hAnsi="宋体" w:cs="宋体"/>
          <w:b/>
          <w:color w:val="auto"/>
          <w:sz w:val="44"/>
          <w:szCs w:val="44"/>
          <w:highlight w:val="none"/>
        </w:rPr>
        <w:t>目录</w:t>
      </w:r>
    </w:p>
    <w:p w14:paraId="7A7BF1B0">
      <w:pPr>
        <w:snapToGrid w:val="0"/>
        <w:spacing w:before="120" w:beforeLines="50" w:after="50" w:line="440" w:lineRule="exact"/>
        <w:jc w:val="center"/>
        <w:rPr>
          <w:rFonts w:ascii="宋体" w:hAnsi="宋体" w:cs="宋体"/>
          <w:color w:val="auto"/>
          <w:sz w:val="28"/>
          <w:szCs w:val="28"/>
          <w:highlight w:val="none"/>
        </w:rPr>
      </w:pPr>
    </w:p>
    <w:p w14:paraId="1BDD346C">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1、商务和技术文件</w:t>
      </w:r>
    </w:p>
    <w:p w14:paraId="225C2B53">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1.1</w:t>
      </w:r>
      <w:r>
        <w:rPr>
          <w:rFonts w:hint="eastAsia" w:ascii="宋体" w:hAnsi="宋体" w:cs="宋体"/>
          <w:color w:val="auto"/>
          <w:szCs w:val="21"/>
          <w:highlight w:val="none"/>
        </w:rPr>
        <w:t>法定代表人身份证明书</w:t>
      </w:r>
      <w:r>
        <w:rPr>
          <w:rFonts w:hint="eastAsia" w:ascii="宋体" w:hAnsi="宋体" w:cs="宋体"/>
          <w:bCs/>
          <w:color w:val="auto"/>
          <w:szCs w:val="21"/>
          <w:highlight w:val="none"/>
        </w:rPr>
        <w:t>…………………………………………………………………………</w:t>
      </w:r>
    </w:p>
    <w:p w14:paraId="4752C968">
      <w:pPr>
        <w:tabs>
          <w:tab w:val="left" w:pos="1418"/>
        </w:tabs>
        <w:snapToGrid w:val="0"/>
        <w:spacing w:before="50" w:after="50" w:line="440" w:lineRule="exact"/>
        <w:rPr>
          <w:rFonts w:ascii="宋体" w:hAnsi="宋体" w:cs="宋体"/>
          <w:color w:val="auto"/>
          <w:szCs w:val="21"/>
          <w:highlight w:val="none"/>
        </w:rPr>
      </w:pPr>
      <w:r>
        <w:rPr>
          <w:rFonts w:hint="eastAsia" w:ascii="宋体" w:hAnsi="宋体" w:cs="宋体"/>
          <w:color w:val="auto"/>
          <w:szCs w:val="21"/>
          <w:highlight w:val="none"/>
        </w:rPr>
        <w:t>1.2法定代表人授权委托书及被授权委托人身份证</w:t>
      </w:r>
      <w:r>
        <w:rPr>
          <w:rFonts w:hint="eastAsia" w:ascii="宋体" w:hAnsi="宋体" w:cs="宋体"/>
          <w:color w:val="auto"/>
          <w:szCs w:val="21"/>
          <w:highlight w:val="none"/>
          <w:lang w:eastAsia="zh-CN"/>
        </w:rPr>
        <w:t>扫描件</w:t>
      </w:r>
      <w:r>
        <w:rPr>
          <w:rFonts w:hint="eastAsia" w:ascii="宋体" w:hAnsi="宋体" w:cs="宋体"/>
          <w:color w:val="auto"/>
          <w:szCs w:val="21"/>
          <w:highlight w:val="none"/>
        </w:rPr>
        <w:t>………………………………</w:t>
      </w:r>
    </w:p>
    <w:p w14:paraId="357DB343">
      <w:pPr>
        <w:tabs>
          <w:tab w:val="left" w:pos="1418"/>
        </w:tabs>
        <w:snapToGrid w:val="0"/>
        <w:spacing w:before="50" w:after="50" w:line="440" w:lineRule="exact"/>
        <w:rPr>
          <w:rFonts w:ascii="宋体" w:hAnsi="宋体" w:cs="宋体"/>
          <w:color w:val="auto"/>
          <w:szCs w:val="21"/>
          <w:highlight w:val="none"/>
        </w:rPr>
      </w:pPr>
      <w:r>
        <w:rPr>
          <w:rFonts w:hint="eastAsia" w:ascii="宋体" w:hAnsi="宋体" w:cs="宋体"/>
          <w:color w:val="auto"/>
          <w:szCs w:val="21"/>
          <w:highlight w:val="none"/>
        </w:rPr>
        <w:t>1.3供应商情况介绍………………………………</w:t>
      </w:r>
    </w:p>
    <w:p w14:paraId="5A50998C">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1.4</w:t>
      </w:r>
      <w:r>
        <w:rPr>
          <w:rFonts w:hint="eastAsia" w:ascii="宋体" w:hAnsi="宋体" w:cs="宋体"/>
          <w:color w:val="auto"/>
          <w:szCs w:val="21"/>
          <w:highlight w:val="none"/>
        </w:rPr>
        <w:t>商务响应表</w:t>
      </w:r>
      <w:r>
        <w:rPr>
          <w:rFonts w:hint="eastAsia" w:ascii="宋体" w:hAnsi="宋体" w:cs="宋体"/>
          <w:bCs/>
          <w:color w:val="auto"/>
          <w:szCs w:val="21"/>
          <w:highlight w:val="none"/>
        </w:rPr>
        <w:t>………………………………………</w:t>
      </w:r>
    </w:p>
    <w:p w14:paraId="566EEEC7">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1.5</w:t>
      </w:r>
      <w:r>
        <w:rPr>
          <w:rFonts w:hint="eastAsia" w:ascii="宋体" w:hAnsi="宋体" w:cs="宋体"/>
          <w:color w:val="auto"/>
          <w:szCs w:val="21"/>
          <w:highlight w:val="none"/>
        </w:rPr>
        <w:t>技术响应表</w:t>
      </w:r>
      <w:r>
        <w:rPr>
          <w:rFonts w:hint="eastAsia" w:ascii="宋体" w:hAnsi="宋体" w:cs="宋体"/>
          <w:bCs/>
          <w:color w:val="auto"/>
          <w:szCs w:val="21"/>
          <w:highlight w:val="none"/>
        </w:rPr>
        <w:t>……………………………………</w:t>
      </w:r>
    </w:p>
    <w:p w14:paraId="47099BAD">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1.6</w:t>
      </w:r>
      <w:r>
        <w:rPr>
          <w:rFonts w:hint="eastAsia" w:ascii="宋体" w:hAnsi="宋体" w:cs="宋体"/>
          <w:color w:val="auto"/>
          <w:szCs w:val="21"/>
          <w:highlight w:val="none"/>
          <w:lang w:eastAsia="zh-CN"/>
        </w:rPr>
        <w:t>项目实施人员一览表</w:t>
      </w:r>
      <w:r>
        <w:rPr>
          <w:rFonts w:hint="eastAsia" w:ascii="宋体" w:hAnsi="宋体" w:cs="宋体"/>
          <w:bCs/>
          <w:color w:val="auto"/>
          <w:szCs w:val="21"/>
          <w:highlight w:val="none"/>
        </w:rPr>
        <w:t>………………………</w:t>
      </w:r>
    </w:p>
    <w:p w14:paraId="02B6B3A8">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1.7</w:t>
      </w:r>
      <w:r>
        <w:rPr>
          <w:rFonts w:hint="eastAsia" w:ascii="宋体" w:hAnsi="宋体" w:cs="宋体"/>
          <w:color w:val="auto"/>
          <w:szCs w:val="21"/>
          <w:highlight w:val="none"/>
        </w:rPr>
        <w:t>项目实施方案</w:t>
      </w:r>
      <w:r>
        <w:rPr>
          <w:rFonts w:hint="eastAsia" w:ascii="宋体" w:hAnsi="宋体" w:cs="宋体"/>
          <w:bCs/>
          <w:color w:val="auto"/>
          <w:szCs w:val="21"/>
          <w:highlight w:val="none"/>
        </w:rPr>
        <w:t>……………………………………</w:t>
      </w:r>
    </w:p>
    <w:p w14:paraId="400C58FF">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1.8</w:t>
      </w:r>
      <w:r>
        <w:rPr>
          <w:rFonts w:hint="eastAsia" w:ascii="宋体" w:hAnsi="宋体" w:cs="宋体"/>
          <w:color w:val="auto"/>
          <w:szCs w:val="21"/>
          <w:highlight w:val="none"/>
        </w:rPr>
        <w:t>服务承诺书</w:t>
      </w:r>
      <w:r>
        <w:rPr>
          <w:rFonts w:hint="eastAsia" w:ascii="宋体" w:hAnsi="宋体" w:cs="宋体"/>
          <w:bCs/>
          <w:color w:val="auto"/>
          <w:szCs w:val="21"/>
          <w:highlight w:val="none"/>
        </w:rPr>
        <w:t>………………………………………</w:t>
      </w:r>
    </w:p>
    <w:p w14:paraId="6717CAD1">
      <w:pPr>
        <w:tabs>
          <w:tab w:val="left" w:pos="1418"/>
        </w:tabs>
        <w:snapToGrid w:val="0"/>
        <w:spacing w:before="50" w:after="50" w:line="440" w:lineRule="exact"/>
        <w:rPr>
          <w:rFonts w:hint="eastAsia" w:ascii="宋体" w:hAnsi="宋体" w:cs="宋体"/>
          <w:bCs/>
          <w:color w:val="auto"/>
          <w:szCs w:val="21"/>
          <w:highlight w:val="none"/>
        </w:rPr>
      </w:pPr>
      <w:r>
        <w:rPr>
          <w:rFonts w:hint="eastAsia" w:ascii="宋体" w:hAnsi="宋体" w:cs="宋体"/>
          <w:bCs/>
          <w:color w:val="auto"/>
          <w:szCs w:val="21"/>
          <w:highlight w:val="none"/>
        </w:rPr>
        <w:t>1.9</w:t>
      </w:r>
      <w:r>
        <w:rPr>
          <w:rFonts w:hint="eastAsia" w:ascii="宋体" w:hAnsi="宋体" w:cs="宋体"/>
          <w:bCs/>
          <w:color w:val="auto"/>
          <w:szCs w:val="21"/>
          <w:highlight w:val="none"/>
          <w:lang w:val="en-US" w:eastAsia="zh-CN"/>
        </w:rPr>
        <w:t>磋商</w:t>
      </w:r>
      <w:r>
        <w:rPr>
          <w:rFonts w:hint="eastAsia" w:ascii="宋体" w:hAnsi="宋体" w:cs="宋体"/>
          <w:bCs/>
          <w:color w:val="auto"/>
          <w:szCs w:val="21"/>
          <w:highlight w:val="none"/>
        </w:rPr>
        <w:t>保证金缴纳证明材料</w:t>
      </w:r>
      <w:r>
        <w:rPr>
          <w:rFonts w:hint="eastAsia" w:ascii="宋体" w:hAnsi="宋体" w:cs="宋体"/>
          <w:bCs/>
          <w:color w:val="auto"/>
          <w:szCs w:val="21"/>
          <w:highlight w:val="none"/>
          <w:lang w:eastAsia="zh-CN"/>
        </w:rPr>
        <w:t>扫描件</w:t>
      </w:r>
      <w:r>
        <w:rPr>
          <w:rFonts w:hint="eastAsia" w:ascii="宋体" w:hAnsi="宋体" w:cs="宋体"/>
          <w:bCs/>
          <w:color w:val="auto"/>
          <w:szCs w:val="21"/>
          <w:highlight w:val="none"/>
        </w:rPr>
        <w:t>………………………………………</w:t>
      </w:r>
    </w:p>
    <w:p w14:paraId="35B9A216">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lang w:val="en-US" w:eastAsia="zh-CN"/>
        </w:rPr>
        <w:t>1.10</w:t>
      </w:r>
      <w:r>
        <w:rPr>
          <w:rFonts w:hint="eastAsia" w:ascii="宋体" w:hAnsi="宋体" w:cs="宋体"/>
          <w:bCs/>
          <w:color w:val="auto"/>
          <w:szCs w:val="21"/>
          <w:highlight w:val="none"/>
        </w:rPr>
        <w:t>代理服务费承诺书……………………………………</w:t>
      </w:r>
    </w:p>
    <w:p w14:paraId="2D96095B">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1.1</w:t>
      </w:r>
      <w:r>
        <w:rPr>
          <w:rFonts w:hint="eastAsia" w:ascii="宋体" w:hAnsi="宋体" w:cs="宋体"/>
          <w:bCs/>
          <w:color w:val="auto"/>
          <w:szCs w:val="21"/>
          <w:highlight w:val="none"/>
          <w:lang w:val="en-US" w:eastAsia="zh-CN"/>
        </w:rPr>
        <w:t>1</w:t>
      </w:r>
      <w:r>
        <w:rPr>
          <w:rFonts w:hint="eastAsia" w:ascii="宋体" w:hAnsi="宋体" w:cs="宋体"/>
          <w:color w:val="auto"/>
          <w:szCs w:val="21"/>
          <w:highlight w:val="none"/>
        </w:rPr>
        <w:t>供应商对本项目的合理化建议和改进措施</w:t>
      </w:r>
      <w:r>
        <w:rPr>
          <w:rFonts w:hint="eastAsia" w:ascii="宋体" w:hAnsi="宋体" w:cs="宋体"/>
          <w:bCs/>
          <w:color w:val="auto"/>
          <w:szCs w:val="21"/>
          <w:highlight w:val="none"/>
        </w:rPr>
        <w:t>……………………………………</w:t>
      </w:r>
    </w:p>
    <w:p w14:paraId="46D60ABF">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1.1</w:t>
      </w:r>
      <w:r>
        <w:rPr>
          <w:rFonts w:hint="eastAsia" w:ascii="宋体" w:hAnsi="宋体" w:cs="宋体"/>
          <w:bCs/>
          <w:color w:val="auto"/>
          <w:szCs w:val="21"/>
          <w:highlight w:val="none"/>
          <w:lang w:val="en-US" w:eastAsia="zh-CN"/>
        </w:rPr>
        <w:t>2</w:t>
      </w:r>
      <w:r>
        <w:rPr>
          <w:rFonts w:hint="eastAsia" w:ascii="宋体" w:hAnsi="宋体" w:cs="宋体"/>
          <w:color w:val="auto"/>
          <w:highlight w:val="none"/>
        </w:rPr>
        <w:t>供应商认为需要提供的其他证明材料</w:t>
      </w:r>
      <w:r>
        <w:rPr>
          <w:rFonts w:hint="eastAsia" w:ascii="宋体" w:hAnsi="宋体" w:cs="宋体"/>
          <w:bCs/>
          <w:color w:val="auto"/>
          <w:szCs w:val="21"/>
          <w:highlight w:val="none"/>
        </w:rPr>
        <w:t>……………………………………</w:t>
      </w:r>
    </w:p>
    <w:p w14:paraId="09C1B834">
      <w:pPr>
        <w:spacing w:line="440" w:lineRule="exact"/>
        <w:rPr>
          <w:rFonts w:ascii="宋体" w:hAnsi="宋体" w:cs="宋体"/>
          <w:color w:val="auto"/>
          <w:szCs w:val="21"/>
          <w:highlight w:val="none"/>
        </w:rPr>
      </w:pPr>
    </w:p>
    <w:p w14:paraId="15DFE718">
      <w:pPr>
        <w:spacing w:line="440" w:lineRule="exact"/>
        <w:rPr>
          <w:rFonts w:ascii="宋体" w:hAnsi="宋体" w:cs="宋体"/>
          <w:color w:val="auto"/>
          <w:szCs w:val="21"/>
          <w:highlight w:val="none"/>
        </w:rPr>
      </w:pPr>
    </w:p>
    <w:p w14:paraId="4E5C2DAD">
      <w:pPr>
        <w:spacing w:line="440" w:lineRule="exact"/>
        <w:rPr>
          <w:rFonts w:ascii="宋体" w:hAnsi="宋体" w:cs="宋体"/>
          <w:color w:val="auto"/>
          <w:szCs w:val="21"/>
          <w:highlight w:val="none"/>
        </w:rPr>
      </w:pPr>
    </w:p>
    <w:p w14:paraId="38723781">
      <w:pPr>
        <w:spacing w:line="440" w:lineRule="exact"/>
        <w:rPr>
          <w:rFonts w:ascii="宋体" w:hAnsi="宋体" w:cs="宋体"/>
          <w:color w:val="auto"/>
          <w:szCs w:val="21"/>
          <w:highlight w:val="none"/>
        </w:rPr>
      </w:pPr>
    </w:p>
    <w:p w14:paraId="7CA68A91">
      <w:pPr>
        <w:spacing w:line="440" w:lineRule="exact"/>
        <w:rPr>
          <w:rFonts w:ascii="宋体" w:hAnsi="宋体" w:cs="宋体"/>
          <w:color w:val="auto"/>
          <w:szCs w:val="21"/>
          <w:highlight w:val="none"/>
        </w:rPr>
      </w:pPr>
    </w:p>
    <w:p w14:paraId="1472CDFE">
      <w:pPr>
        <w:spacing w:line="440" w:lineRule="exact"/>
        <w:rPr>
          <w:rFonts w:ascii="宋体" w:hAnsi="宋体" w:cs="宋体"/>
          <w:color w:val="auto"/>
          <w:szCs w:val="21"/>
          <w:highlight w:val="none"/>
        </w:rPr>
      </w:pPr>
    </w:p>
    <w:p w14:paraId="1A574BFA">
      <w:pPr>
        <w:spacing w:line="440" w:lineRule="exact"/>
        <w:rPr>
          <w:rFonts w:ascii="宋体" w:hAnsi="宋体" w:cs="宋体"/>
          <w:color w:val="auto"/>
          <w:szCs w:val="21"/>
          <w:highlight w:val="none"/>
        </w:rPr>
      </w:pPr>
    </w:p>
    <w:p w14:paraId="3177BD12">
      <w:pPr>
        <w:spacing w:line="440" w:lineRule="exact"/>
        <w:rPr>
          <w:rFonts w:ascii="宋体" w:hAnsi="宋体" w:cs="宋体"/>
          <w:color w:val="auto"/>
          <w:szCs w:val="21"/>
          <w:highlight w:val="none"/>
        </w:rPr>
      </w:pPr>
    </w:p>
    <w:p w14:paraId="1A01D8D5">
      <w:pPr>
        <w:spacing w:line="440" w:lineRule="exact"/>
        <w:rPr>
          <w:rFonts w:ascii="宋体" w:hAnsi="宋体" w:cs="宋体"/>
          <w:color w:val="auto"/>
          <w:szCs w:val="21"/>
          <w:highlight w:val="none"/>
        </w:rPr>
      </w:pPr>
    </w:p>
    <w:p w14:paraId="0ACAF311">
      <w:pPr>
        <w:spacing w:line="440" w:lineRule="exact"/>
        <w:rPr>
          <w:rFonts w:ascii="宋体" w:hAnsi="宋体" w:cs="宋体"/>
          <w:color w:val="auto"/>
          <w:szCs w:val="21"/>
          <w:highlight w:val="none"/>
        </w:rPr>
      </w:pPr>
    </w:p>
    <w:p w14:paraId="07A038E6">
      <w:pPr>
        <w:spacing w:line="440" w:lineRule="exact"/>
        <w:rPr>
          <w:rFonts w:ascii="宋体" w:hAnsi="宋体" w:cs="宋体"/>
          <w:color w:val="auto"/>
          <w:szCs w:val="21"/>
          <w:highlight w:val="none"/>
        </w:rPr>
      </w:pPr>
    </w:p>
    <w:p w14:paraId="4FC10786">
      <w:pPr>
        <w:spacing w:line="440" w:lineRule="exact"/>
        <w:rPr>
          <w:rFonts w:ascii="宋体" w:hAnsi="宋体" w:cs="宋体"/>
          <w:color w:val="auto"/>
          <w:szCs w:val="21"/>
          <w:highlight w:val="none"/>
        </w:rPr>
      </w:pPr>
    </w:p>
    <w:p w14:paraId="7EEF526F">
      <w:pPr>
        <w:spacing w:line="440" w:lineRule="exact"/>
        <w:rPr>
          <w:rFonts w:ascii="宋体" w:hAnsi="宋体" w:cs="宋体"/>
          <w:color w:val="auto"/>
          <w:szCs w:val="21"/>
          <w:highlight w:val="none"/>
        </w:rPr>
      </w:pPr>
    </w:p>
    <w:p w14:paraId="494BD302">
      <w:pPr>
        <w:spacing w:line="440" w:lineRule="exact"/>
        <w:rPr>
          <w:rFonts w:ascii="宋体" w:hAnsi="宋体" w:cs="宋体"/>
          <w:color w:val="auto"/>
          <w:szCs w:val="21"/>
          <w:highlight w:val="none"/>
        </w:rPr>
      </w:pPr>
    </w:p>
    <w:p w14:paraId="6B9C8D0C">
      <w:pPr>
        <w:spacing w:line="440" w:lineRule="exact"/>
        <w:rPr>
          <w:rFonts w:ascii="宋体" w:hAnsi="宋体" w:cs="宋体"/>
          <w:b/>
          <w:color w:val="auto"/>
          <w:szCs w:val="21"/>
          <w:highlight w:val="none"/>
        </w:rPr>
        <w:sectPr>
          <w:pgSz w:w="11906" w:h="16838"/>
          <w:pgMar w:top="1134" w:right="1247" w:bottom="1134" w:left="1247" w:header="851" w:footer="992" w:gutter="0"/>
          <w:pgNumType w:fmt="decimal"/>
          <w:cols w:space="720" w:num="1"/>
          <w:docGrid w:linePitch="312" w:charSpace="0"/>
        </w:sectPr>
      </w:pPr>
    </w:p>
    <w:p w14:paraId="1F4FDEEA">
      <w:pPr>
        <w:spacing w:line="440" w:lineRule="exact"/>
        <w:rPr>
          <w:rFonts w:ascii="宋体" w:hAnsi="宋体" w:cs="宋体"/>
          <w:b/>
          <w:color w:val="auto"/>
          <w:szCs w:val="21"/>
          <w:highlight w:val="none"/>
        </w:rPr>
      </w:pPr>
      <w:r>
        <w:rPr>
          <w:rFonts w:hint="eastAsia" w:ascii="宋体" w:hAnsi="宋体" w:cs="宋体"/>
          <w:b/>
          <w:color w:val="auto"/>
          <w:szCs w:val="21"/>
          <w:highlight w:val="none"/>
        </w:rPr>
        <w:t>一、法定代表人身份证明书格式</w:t>
      </w:r>
    </w:p>
    <w:p w14:paraId="3CB2ECB1">
      <w:pPr>
        <w:pStyle w:val="23"/>
        <w:spacing w:line="440" w:lineRule="exact"/>
        <w:ind w:left="-10" w:firstLine="10" w:firstLineChars="3"/>
        <w:jc w:val="center"/>
        <w:rPr>
          <w:rFonts w:hAnsi="宋体" w:cs="宋体"/>
          <w:b/>
          <w:color w:val="auto"/>
          <w:sz w:val="32"/>
          <w:highlight w:val="none"/>
        </w:rPr>
      </w:pPr>
    </w:p>
    <w:p w14:paraId="53ADE719">
      <w:pPr>
        <w:pStyle w:val="23"/>
        <w:spacing w:line="440" w:lineRule="exact"/>
        <w:ind w:left="-10" w:firstLine="10" w:firstLineChars="3"/>
        <w:jc w:val="center"/>
        <w:rPr>
          <w:rFonts w:hAnsi="宋体" w:cs="宋体"/>
          <w:b/>
          <w:color w:val="auto"/>
          <w:sz w:val="32"/>
          <w:highlight w:val="none"/>
        </w:rPr>
      </w:pPr>
      <w:r>
        <w:rPr>
          <w:rFonts w:hint="eastAsia" w:hAnsi="宋体" w:cs="宋体"/>
          <w:b/>
          <w:color w:val="auto"/>
          <w:sz w:val="32"/>
          <w:highlight w:val="none"/>
        </w:rPr>
        <w:t>法定代表人身份证明书</w:t>
      </w:r>
    </w:p>
    <w:p w14:paraId="4DA1462D">
      <w:pPr>
        <w:pStyle w:val="23"/>
        <w:spacing w:line="440" w:lineRule="exact"/>
        <w:ind w:left="-10" w:firstLine="13" w:firstLineChars="3"/>
        <w:jc w:val="center"/>
        <w:rPr>
          <w:rFonts w:hAnsi="宋体" w:cs="宋体"/>
          <w:b/>
          <w:color w:val="auto"/>
          <w:sz w:val="44"/>
          <w:highlight w:val="none"/>
        </w:rPr>
      </w:pPr>
    </w:p>
    <w:p w14:paraId="43411ED7">
      <w:pPr>
        <w:pStyle w:val="23"/>
        <w:spacing w:line="440" w:lineRule="exact"/>
        <w:ind w:firstLine="277"/>
        <w:rPr>
          <w:rFonts w:hAnsi="宋体" w:cs="宋体"/>
          <w:color w:val="auto"/>
          <w:sz w:val="21"/>
          <w:highlight w:val="none"/>
          <w:u w:val="single"/>
        </w:rPr>
      </w:pPr>
      <w:r>
        <w:rPr>
          <w:rFonts w:hint="eastAsia" w:hAnsi="宋体" w:cs="宋体"/>
          <w:color w:val="auto"/>
          <w:sz w:val="21"/>
          <w:highlight w:val="none"/>
        </w:rPr>
        <w:t>单位名称：</w:t>
      </w:r>
    </w:p>
    <w:p w14:paraId="281E9612">
      <w:pPr>
        <w:pStyle w:val="23"/>
        <w:spacing w:line="440" w:lineRule="exact"/>
        <w:ind w:firstLine="277"/>
        <w:rPr>
          <w:rFonts w:hAnsi="宋体" w:cs="宋体"/>
          <w:color w:val="auto"/>
          <w:sz w:val="21"/>
          <w:highlight w:val="none"/>
        </w:rPr>
      </w:pPr>
      <w:r>
        <w:rPr>
          <w:rFonts w:hint="eastAsia" w:hAnsi="宋体" w:cs="宋体"/>
          <w:color w:val="auto"/>
          <w:sz w:val="21"/>
          <w:highlight w:val="none"/>
        </w:rPr>
        <w:t>单位性质：</w:t>
      </w:r>
    </w:p>
    <w:p w14:paraId="7DD3AA37">
      <w:pPr>
        <w:pStyle w:val="23"/>
        <w:spacing w:line="440" w:lineRule="exact"/>
        <w:ind w:firstLine="277"/>
        <w:rPr>
          <w:rFonts w:hAnsi="宋体" w:cs="宋体"/>
          <w:color w:val="auto"/>
          <w:sz w:val="21"/>
          <w:highlight w:val="none"/>
        </w:rPr>
      </w:pPr>
      <w:r>
        <w:rPr>
          <w:rFonts w:hint="eastAsia" w:hAnsi="宋体" w:cs="宋体"/>
          <w:color w:val="auto"/>
          <w:sz w:val="21"/>
          <w:highlight w:val="none"/>
        </w:rPr>
        <w:t>地    址：</w:t>
      </w:r>
    </w:p>
    <w:p w14:paraId="06C1AEC9">
      <w:pPr>
        <w:pStyle w:val="23"/>
        <w:spacing w:line="440" w:lineRule="exact"/>
        <w:ind w:firstLine="277"/>
        <w:rPr>
          <w:rFonts w:hAnsi="宋体" w:cs="宋体"/>
          <w:color w:val="auto"/>
          <w:sz w:val="21"/>
          <w:highlight w:val="none"/>
        </w:rPr>
      </w:pPr>
      <w:r>
        <w:rPr>
          <w:rFonts w:hint="eastAsia" w:hAnsi="宋体" w:cs="宋体"/>
          <w:color w:val="auto"/>
          <w:sz w:val="21"/>
          <w:highlight w:val="none"/>
        </w:rPr>
        <w:t>成立时间：年月日</w:t>
      </w:r>
    </w:p>
    <w:p w14:paraId="443DFA20">
      <w:pPr>
        <w:pStyle w:val="23"/>
        <w:spacing w:line="440" w:lineRule="exact"/>
        <w:ind w:firstLine="277"/>
        <w:rPr>
          <w:rFonts w:hAnsi="宋体" w:cs="宋体"/>
          <w:color w:val="auto"/>
          <w:sz w:val="21"/>
          <w:highlight w:val="none"/>
          <w:u w:val="single"/>
        </w:rPr>
      </w:pPr>
      <w:r>
        <w:rPr>
          <w:rFonts w:hint="eastAsia" w:hAnsi="宋体" w:cs="宋体"/>
          <w:color w:val="auto"/>
          <w:sz w:val="21"/>
          <w:highlight w:val="none"/>
        </w:rPr>
        <w:t>经营期限：</w:t>
      </w:r>
    </w:p>
    <w:p w14:paraId="22C6A49E">
      <w:pPr>
        <w:pStyle w:val="23"/>
        <w:spacing w:line="440" w:lineRule="exact"/>
        <w:ind w:firstLine="277"/>
        <w:rPr>
          <w:rFonts w:hAnsi="宋体" w:cs="宋体"/>
          <w:color w:val="auto"/>
          <w:sz w:val="21"/>
          <w:highlight w:val="none"/>
        </w:rPr>
      </w:pPr>
      <w:r>
        <w:rPr>
          <w:rFonts w:hint="eastAsia" w:hAnsi="宋体" w:cs="宋体"/>
          <w:color w:val="auto"/>
          <w:sz w:val="21"/>
          <w:highlight w:val="none"/>
        </w:rPr>
        <w:t>姓名：性别：年龄：职务：</w:t>
      </w:r>
    </w:p>
    <w:p w14:paraId="73F8AE8B">
      <w:pPr>
        <w:pStyle w:val="23"/>
        <w:spacing w:line="440" w:lineRule="exact"/>
        <w:ind w:firstLine="277"/>
        <w:rPr>
          <w:rFonts w:hAnsi="宋体" w:cs="宋体"/>
          <w:color w:val="auto"/>
          <w:sz w:val="21"/>
          <w:highlight w:val="none"/>
        </w:rPr>
      </w:pPr>
      <w:r>
        <w:rPr>
          <w:rFonts w:hint="eastAsia" w:hAnsi="宋体" w:cs="宋体"/>
          <w:color w:val="auto"/>
          <w:sz w:val="21"/>
          <w:highlight w:val="none"/>
        </w:rPr>
        <w:t>系</w:t>
      </w:r>
      <w:r>
        <w:rPr>
          <w:rFonts w:hint="eastAsia" w:hAnsi="宋体" w:cs="宋体"/>
          <w:color w:val="auto"/>
          <w:sz w:val="21"/>
          <w:highlight w:val="none"/>
          <w:u w:val="single"/>
        </w:rPr>
        <w:t xml:space="preserve">     （供应商单位名称）  </w:t>
      </w:r>
      <w:r>
        <w:rPr>
          <w:rFonts w:hint="eastAsia" w:hAnsi="宋体" w:cs="宋体"/>
          <w:color w:val="auto"/>
          <w:sz w:val="21"/>
          <w:highlight w:val="none"/>
        </w:rPr>
        <w:t>的法定代表人。</w:t>
      </w:r>
    </w:p>
    <w:p w14:paraId="0DAF6DF8">
      <w:pPr>
        <w:pStyle w:val="23"/>
        <w:spacing w:line="440" w:lineRule="exact"/>
        <w:ind w:firstLine="277"/>
        <w:rPr>
          <w:rFonts w:hAnsi="宋体" w:cs="宋体"/>
          <w:color w:val="auto"/>
          <w:sz w:val="21"/>
          <w:highlight w:val="none"/>
        </w:rPr>
      </w:pPr>
      <w:r>
        <w:rPr>
          <w:rFonts w:hint="eastAsia" w:hAnsi="宋体" w:cs="宋体"/>
          <w:color w:val="auto"/>
          <w:sz w:val="21"/>
          <w:highlight w:val="none"/>
        </w:rPr>
        <w:t>特此证明。</w:t>
      </w:r>
    </w:p>
    <w:p w14:paraId="5939AB79">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28C41F46">
      <w:pPr>
        <w:spacing w:line="44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14:paraId="7289ACBC">
      <w:pPr>
        <w:pStyle w:val="23"/>
        <w:spacing w:line="440" w:lineRule="exact"/>
        <w:rPr>
          <w:rFonts w:hAnsi="宋体" w:cs="宋体"/>
          <w:color w:val="auto"/>
          <w:highlight w:val="none"/>
        </w:rPr>
      </w:pPr>
    </w:p>
    <w:p w14:paraId="48018DFB">
      <w:pPr>
        <w:pStyle w:val="23"/>
        <w:spacing w:line="440" w:lineRule="exact"/>
        <w:rPr>
          <w:rFonts w:hAnsi="宋体" w:cs="宋体"/>
          <w:color w:val="auto"/>
          <w:highlight w:val="none"/>
        </w:rPr>
      </w:pPr>
      <w:r>
        <w:rPr>
          <w:rFonts w:hint="eastAsia" w:hAnsi="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12700</wp:posOffset>
                </wp:positionV>
                <wp:extent cx="3239770" cy="2029460"/>
                <wp:effectExtent l="9525" t="12700" r="8255" b="5715"/>
                <wp:wrapNone/>
                <wp:docPr id="9" name="矩形 8"/>
                <wp:cNvGraphicFramePr/>
                <a:graphic xmlns:a="http://schemas.openxmlformats.org/drawingml/2006/main">
                  <a:graphicData uri="http://schemas.microsoft.com/office/word/2010/wordprocessingShape">
                    <wps:wsp>
                      <wps:cNvSpPr>
                        <a:spLocks noChangeArrowheads="1"/>
                      </wps:cNvSpPr>
                      <wps:spPr bwMode="auto">
                        <a:xfrm>
                          <a:off x="0" y="0"/>
                          <a:ext cx="3239770" cy="2029460"/>
                        </a:xfrm>
                        <a:prstGeom prst="rect">
                          <a:avLst/>
                        </a:prstGeom>
                        <a:solidFill>
                          <a:srgbClr val="FFFFFF"/>
                        </a:solidFill>
                        <a:ln w="9525">
                          <a:solidFill>
                            <a:srgbClr val="000000"/>
                          </a:solidFill>
                          <a:miter lim="800000"/>
                        </a:ln>
                      </wps:spPr>
                      <wps:txbx>
                        <w:txbxContent>
                          <w:p w14:paraId="6D7EBD94"/>
                          <w:p w14:paraId="12E3690F"/>
                          <w:p w14:paraId="03D592F9"/>
                          <w:p w14:paraId="3EB1C2C0"/>
                          <w:p w14:paraId="5F9CA18F">
                            <w:pPr>
                              <w:jc w:val="center"/>
                              <w:rPr>
                                <w:rFonts w:hint="eastAsia" w:eastAsia="宋体"/>
                                <w:lang w:eastAsia="zh-CN"/>
                              </w:rPr>
                            </w:pPr>
                            <w:r>
                              <w:rPr>
                                <w:rFonts w:hint="eastAsia"/>
                              </w:rPr>
                              <w:t>法定代表人第二代居民身份证</w:t>
                            </w:r>
                            <w:r>
                              <w:rPr>
                                <w:rFonts w:hint="eastAsia"/>
                                <w:lang w:eastAsia="zh-CN"/>
                              </w:rPr>
                              <w:t>扫描件</w:t>
                            </w:r>
                          </w:p>
                          <w:p w14:paraId="1803CC53">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8" o:spid="_x0000_s1026" o:spt="1" style="position:absolute;left:0pt;margin-left:9pt;margin-top:1pt;height:159.8pt;width:255.1pt;z-index:251660288;mso-width-relative:page;mso-height-relative:page;" fillcolor="#FFFFFF" filled="t" stroked="t" coordsize="21600,21600" o:gfxdata="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xyeZ7WAAAACAEAAA8AAAAAAAAAAQAgAAAAIgAAAGRycy9kb3du&#10;cmV2LnhtbFBLAQIUABQAAAAIAIdO4kArWGHOOgIAAHsEAAAOAAAAAAAAAAEAIAAAACUBAABkcnMv&#10;ZTJvRG9jLnhtbFBLBQYAAAAABgAGAFkBAADRBQAAAAA=&#10;">
                <v:fill on="t" focussize="0,0"/>
                <v:stroke color="#000000" miterlimit="8" joinstyle="miter"/>
                <v:imagedata o:title=""/>
                <o:lock v:ext="edit" aspectratio="f"/>
                <v:textbox>
                  <w:txbxContent>
                    <w:p w14:paraId="6D7EBD94"/>
                    <w:p w14:paraId="12E3690F"/>
                    <w:p w14:paraId="03D592F9"/>
                    <w:p w14:paraId="3EB1C2C0"/>
                    <w:p w14:paraId="5F9CA18F">
                      <w:pPr>
                        <w:jc w:val="center"/>
                        <w:rPr>
                          <w:rFonts w:hint="eastAsia" w:eastAsia="宋体"/>
                          <w:lang w:eastAsia="zh-CN"/>
                        </w:rPr>
                      </w:pPr>
                      <w:r>
                        <w:rPr>
                          <w:rFonts w:hint="eastAsia"/>
                        </w:rPr>
                        <w:t>法定代表人第二代居民身份证</w:t>
                      </w:r>
                      <w:r>
                        <w:rPr>
                          <w:rFonts w:hint="eastAsia"/>
                          <w:lang w:eastAsia="zh-CN"/>
                        </w:rPr>
                        <w:t>扫描件</w:t>
                      </w:r>
                    </w:p>
                    <w:p w14:paraId="1803CC53">
                      <w:pPr>
                        <w:jc w:val="center"/>
                        <w:rPr>
                          <w:b/>
                        </w:rPr>
                      </w:pPr>
                      <w:r>
                        <w:rPr>
                          <w:rFonts w:hint="eastAsia"/>
                          <w:b/>
                        </w:rPr>
                        <w:t>（正面）</w:t>
                      </w:r>
                    </w:p>
                  </w:txbxContent>
                </v:textbox>
              </v:rect>
            </w:pict>
          </mc:Fallback>
        </mc:AlternateContent>
      </w:r>
      <w:r>
        <w:rPr>
          <w:rFonts w:hint="eastAsia" w:hAnsi="宋体" w:cs="宋体"/>
          <w:color w:val="auto"/>
          <w:highlight w:val="none"/>
        </w:rPr>
        <mc:AlternateContent>
          <mc:Choice Requires="wps">
            <w:drawing>
              <wp:anchor distT="18034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6134100" cy="0"/>
                <wp:effectExtent l="9525" t="9525" r="9525" b="9525"/>
                <wp:wrapTopAndBottom/>
                <wp:docPr id="8" name="直线 6"/>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9525">
                          <a:solidFill>
                            <a:srgbClr val="000000"/>
                          </a:solidFill>
                          <a:round/>
                        </a:ln>
                      </wps:spPr>
                      <wps:bodyPr/>
                    </wps:wsp>
                  </a:graphicData>
                </a:graphic>
              </wp:anchor>
            </w:drawing>
          </mc:Choice>
          <mc:Fallback>
            <w:pict>
              <v:line id="直线 6" o:spid="_x0000_s1026" o:spt="20" style="position:absolute;left:0pt;margin-left:0pt;margin-top:0pt;height:0pt;width:483pt;mso-wrap-distance-bottom:0pt;mso-wrap-distance-top:14.2pt;z-index:251659264;mso-width-relative:page;mso-height-relative:page;" filled="f" stroked="t" coordsize="21600,21600" o:allowincell="f" o:gfxdata="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wHVPfQAAAAAgEAAA8AAAAAAAAAAQAgAAAAIgAA&#10;AGRycy9kb3ducmV2LnhtbFBLAQIUABQAAAAIAIdO4kClMY4Y1wEAAKEDAAAOAAAAAAAAAAEAIAAA&#10;AB8BAABkcnMvZTJvRG9jLnhtbFBLBQYAAAAABgAGAFkBAABoBQAAAAA=&#10;">
                <v:fill on="f" focussize="0,0"/>
                <v:stroke color="#000000" joinstyle="round"/>
                <v:imagedata o:title=""/>
                <o:lock v:ext="edit" aspectratio="f"/>
                <w10:wrap type="topAndBottom"/>
              </v:line>
            </w:pict>
          </mc:Fallback>
        </mc:AlternateContent>
      </w:r>
    </w:p>
    <w:p w14:paraId="6D48B214">
      <w:pPr>
        <w:pStyle w:val="23"/>
        <w:spacing w:line="440" w:lineRule="exact"/>
        <w:rPr>
          <w:rFonts w:hAnsi="宋体" w:cs="宋体"/>
          <w:color w:val="auto"/>
          <w:highlight w:val="none"/>
        </w:rPr>
      </w:pPr>
    </w:p>
    <w:p w14:paraId="56FCD593">
      <w:pPr>
        <w:pStyle w:val="23"/>
        <w:spacing w:line="440" w:lineRule="exact"/>
        <w:rPr>
          <w:rFonts w:hAnsi="宋体" w:cs="宋体"/>
          <w:color w:val="auto"/>
          <w:highlight w:val="none"/>
        </w:rPr>
      </w:pPr>
    </w:p>
    <w:p w14:paraId="716E8FF0">
      <w:pPr>
        <w:pStyle w:val="23"/>
        <w:spacing w:line="440" w:lineRule="exact"/>
        <w:rPr>
          <w:rFonts w:hAnsi="宋体" w:cs="宋体"/>
          <w:color w:val="auto"/>
          <w:highlight w:val="none"/>
        </w:rPr>
      </w:pPr>
    </w:p>
    <w:p w14:paraId="0AA1316F">
      <w:pPr>
        <w:pStyle w:val="23"/>
        <w:spacing w:line="440" w:lineRule="exact"/>
        <w:rPr>
          <w:rFonts w:hAnsi="宋体" w:cs="宋体"/>
          <w:color w:val="auto"/>
          <w:highlight w:val="none"/>
        </w:rPr>
      </w:pPr>
    </w:p>
    <w:p w14:paraId="0D5AAAAD">
      <w:pPr>
        <w:pStyle w:val="23"/>
        <w:spacing w:line="440" w:lineRule="exact"/>
        <w:ind w:firstLine="6000" w:firstLineChars="3000"/>
        <w:rPr>
          <w:rFonts w:hAnsi="宋体" w:cs="宋体"/>
          <w:color w:val="auto"/>
          <w:highlight w:val="none"/>
        </w:rPr>
      </w:pPr>
    </w:p>
    <w:p w14:paraId="664D7DF6">
      <w:pPr>
        <w:pStyle w:val="23"/>
        <w:spacing w:line="440" w:lineRule="exact"/>
        <w:rPr>
          <w:rFonts w:hAnsi="宋体" w:cs="宋体"/>
          <w:color w:val="auto"/>
          <w:highlight w:val="none"/>
        </w:rPr>
      </w:pPr>
    </w:p>
    <w:p w14:paraId="56C4EDE5">
      <w:pPr>
        <w:pStyle w:val="23"/>
        <w:spacing w:line="440" w:lineRule="exact"/>
        <w:rPr>
          <w:rFonts w:hAnsi="宋体" w:cs="宋体"/>
          <w:color w:val="auto"/>
          <w:highlight w:val="none"/>
        </w:rPr>
      </w:pPr>
    </w:p>
    <w:p w14:paraId="310FD209">
      <w:pPr>
        <w:pStyle w:val="23"/>
        <w:spacing w:line="440" w:lineRule="exact"/>
        <w:rPr>
          <w:rFonts w:hAnsi="宋体" w:cs="宋体"/>
          <w:color w:val="auto"/>
          <w:highlight w:val="none"/>
        </w:rPr>
      </w:pPr>
      <w:r>
        <w:rPr>
          <w:rFonts w:hint="eastAsia" w:hAnsi="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66040</wp:posOffset>
                </wp:positionV>
                <wp:extent cx="3220720" cy="1893570"/>
                <wp:effectExtent l="9525" t="8890" r="8255" b="12065"/>
                <wp:wrapNone/>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3220720" cy="1893570"/>
                        </a:xfrm>
                        <a:prstGeom prst="rect">
                          <a:avLst/>
                        </a:prstGeom>
                        <a:solidFill>
                          <a:srgbClr val="FFFFFF"/>
                        </a:solidFill>
                        <a:ln w="9525">
                          <a:solidFill>
                            <a:srgbClr val="000000"/>
                          </a:solidFill>
                          <a:miter lim="800000"/>
                        </a:ln>
                      </wps:spPr>
                      <wps:txbx>
                        <w:txbxContent>
                          <w:p w14:paraId="0E306ABA"/>
                          <w:p w14:paraId="71B9CFC9"/>
                          <w:p w14:paraId="1E00CA99"/>
                          <w:p w14:paraId="5B499F80"/>
                          <w:p w14:paraId="452F9BD2">
                            <w:pPr>
                              <w:jc w:val="center"/>
                              <w:rPr>
                                <w:rFonts w:hint="eastAsia" w:eastAsia="宋体"/>
                                <w:lang w:eastAsia="zh-CN"/>
                              </w:rPr>
                            </w:pPr>
                            <w:r>
                              <w:rPr>
                                <w:rFonts w:hint="eastAsia"/>
                              </w:rPr>
                              <w:t>法定代表人第二代居民身份证</w:t>
                            </w:r>
                            <w:r>
                              <w:rPr>
                                <w:rFonts w:hint="eastAsia"/>
                                <w:lang w:eastAsia="zh-CN"/>
                              </w:rPr>
                              <w:t>扫描件</w:t>
                            </w:r>
                          </w:p>
                          <w:p w14:paraId="0818EEA4">
                            <w:pPr>
                              <w:jc w:val="center"/>
                              <w:rPr>
                                <w:b/>
                              </w:rPr>
                            </w:pPr>
                            <w:r>
                              <w:rPr>
                                <w:rFonts w:hint="eastAsia"/>
                                <w:b/>
                              </w:rPr>
                              <w:t>（背面）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5.2pt;height:149.1pt;width:253.6pt;z-index:251661312;mso-width-relative:page;mso-height-relative:page;" fillcolor="#FFFFFF" filled="t" stroked="t" coordsize="21600,21600" o:gfxdata="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Pw7Th1wAAAAkBAAAPAAAAAAAAAAEAIAAAACIAAABkcnMvZG93&#10;bnJldi54bWxQSwECFAAUAAAACACHTuJALyW2ezoCAAB7BAAADgAAAAAAAAABACAAAAAmAQAAZHJz&#10;L2Uyb0RvYy54bWxQSwUGAAAAAAYABgBZAQAA0gUAAAAA&#10;">
                <v:fill on="t" focussize="0,0"/>
                <v:stroke color="#000000" miterlimit="8" joinstyle="miter"/>
                <v:imagedata o:title=""/>
                <o:lock v:ext="edit" aspectratio="f"/>
                <v:textbox>
                  <w:txbxContent>
                    <w:p w14:paraId="0E306ABA"/>
                    <w:p w14:paraId="71B9CFC9"/>
                    <w:p w14:paraId="1E00CA99"/>
                    <w:p w14:paraId="5B499F80"/>
                    <w:p w14:paraId="452F9BD2">
                      <w:pPr>
                        <w:jc w:val="center"/>
                        <w:rPr>
                          <w:rFonts w:hint="eastAsia" w:eastAsia="宋体"/>
                          <w:lang w:eastAsia="zh-CN"/>
                        </w:rPr>
                      </w:pPr>
                      <w:r>
                        <w:rPr>
                          <w:rFonts w:hint="eastAsia"/>
                        </w:rPr>
                        <w:t>法定代表人第二代居民身份证</w:t>
                      </w:r>
                      <w:r>
                        <w:rPr>
                          <w:rFonts w:hint="eastAsia"/>
                          <w:lang w:eastAsia="zh-CN"/>
                        </w:rPr>
                        <w:t>扫描件</w:t>
                      </w:r>
                    </w:p>
                    <w:p w14:paraId="0818EEA4">
                      <w:pPr>
                        <w:jc w:val="center"/>
                        <w:rPr>
                          <w:b/>
                        </w:rPr>
                      </w:pPr>
                      <w:r>
                        <w:rPr>
                          <w:rFonts w:hint="eastAsia"/>
                          <w:b/>
                        </w:rPr>
                        <w:t>（背面）</w:t>
                      </w:r>
                    </w:p>
                  </w:txbxContent>
                </v:textbox>
              </v:rect>
            </w:pict>
          </mc:Fallback>
        </mc:AlternateContent>
      </w:r>
    </w:p>
    <w:p w14:paraId="212F4587">
      <w:pPr>
        <w:pStyle w:val="23"/>
        <w:spacing w:line="440" w:lineRule="exact"/>
        <w:rPr>
          <w:rFonts w:hAnsi="宋体" w:cs="宋体"/>
          <w:color w:val="auto"/>
          <w:highlight w:val="none"/>
        </w:rPr>
      </w:pPr>
    </w:p>
    <w:p w14:paraId="46F7FC0F">
      <w:pPr>
        <w:pStyle w:val="23"/>
        <w:spacing w:line="440" w:lineRule="exact"/>
        <w:rPr>
          <w:rFonts w:hAnsi="宋体" w:cs="宋体"/>
          <w:color w:val="auto"/>
          <w:highlight w:val="none"/>
        </w:rPr>
      </w:pPr>
    </w:p>
    <w:p w14:paraId="13ED7140">
      <w:pPr>
        <w:pStyle w:val="23"/>
        <w:spacing w:line="440" w:lineRule="exact"/>
        <w:rPr>
          <w:rFonts w:hAnsi="宋体" w:cs="宋体"/>
          <w:color w:val="auto"/>
          <w:sz w:val="44"/>
          <w:highlight w:val="none"/>
        </w:rPr>
      </w:pPr>
    </w:p>
    <w:p w14:paraId="6369BBAC">
      <w:pPr>
        <w:pStyle w:val="23"/>
        <w:spacing w:line="440" w:lineRule="exact"/>
        <w:rPr>
          <w:rFonts w:hAnsi="宋体" w:cs="宋体"/>
          <w:color w:val="auto"/>
          <w:sz w:val="44"/>
          <w:highlight w:val="none"/>
        </w:rPr>
      </w:pPr>
    </w:p>
    <w:p w14:paraId="0FC5CB55">
      <w:pPr>
        <w:pStyle w:val="23"/>
        <w:spacing w:line="440" w:lineRule="exact"/>
        <w:rPr>
          <w:rFonts w:hAnsi="宋体" w:cs="宋体"/>
          <w:color w:val="auto"/>
          <w:sz w:val="44"/>
          <w:highlight w:val="none"/>
        </w:rPr>
      </w:pPr>
    </w:p>
    <w:p w14:paraId="4D9F0E20">
      <w:pPr>
        <w:spacing w:line="440" w:lineRule="exact"/>
        <w:rPr>
          <w:rFonts w:ascii="宋体" w:hAnsi="宋体" w:cs="宋体"/>
          <w:color w:val="auto"/>
          <w:highlight w:val="none"/>
        </w:rPr>
      </w:pPr>
    </w:p>
    <w:p w14:paraId="7823D958">
      <w:pPr>
        <w:pStyle w:val="23"/>
        <w:spacing w:line="440" w:lineRule="exact"/>
        <w:ind w:firstLine="5500" w:firstLineChars="2750"/>
        <w:rPr>
          <w:rFonts w:hAnsi="宋体" w:cs="宋体"/>
          <w:color w:val="auto"/>
          <w:highlight w:val="none"/>
        </w:rPr>
      </w:pPr>
    </w:p>
    <w:p w14:paraId="42763313">
      <w:pPr>
        <w:pStyle w:val="23"/>
        <w:spacing w:line="440" w:lineRule="exact"/>
        <w:ind w:firstLine="5500" w:firstLineChars="2750"/>
        <w:rPr>
          <w:rFonts w:hAnsi="宋体" w:cs="宋体"/>
          <w:color w:val="auto"/>
          <w:highlight w:val="none"/>
        </w:rPr>
      </w:pPr>
    </w:p>
    <w:p w14:paraId="6C24809E">
      <w:pPr>
        <w:spacing w:line="440" w:lineRule="exact"/>
        <w:rPr>
          <w:rFonts w:ascii="宋体" w:hAnsi="宋体" w:cs="宋体"/>
          <w:b/>
          <w:color w:val="auto"/>
          <w:highlight w:val="none"/>
        </w:rPr>
      </w:pPr>
      <w:r>
        <w:rPr>
          <w:rFonts w:hint="eastAsia" w:ascii="宋体" w:hAnsi="宋体" w:cs="宋体"/>
          <w:b/>
          <w:color w:val="auto"/>
          <w:highlight w:val="none"/>
        </w:rPr>
        <w:t>二、法定代表人授权委托书格式</w:t>
      </w:r>
    </w:p>
    <w:p w14:paraId="403C3FFA">
      <w:pPr>
        <w:pStyle w:val="23"/>
        <w:spacing w:line="440" w:lineRule="exact"/>
        <w:jc w:val="center"/>
        <w:rPr>
          <w:rFonts w:hAnsi="宋体" w:cs="宋体"/>
          <w:b/>
          <w:color w:val="auto"/>
          <w:sz w:val="32"/>
          <w:highlight w:val="none"/>
        </w:rPr>
      </w:pPr>
    </w:p>
    <w:p w14:paraId="4C442EC3">
      <w:pPr>
        <w:pStyle w:val="23"/>
        <w:spacing w:line="440" w:lineRule="exact"/>
        <w:jc w:val="center"/>
        <w:rPr>
          <w:rFonts w:hAnsi="宋体" w:cs="宋体"/>
          <w:b/>
          <w:color w:val="auto"/>
          <w:sz w:val="32"/>
          <w:highlight w:val="none"/>
        </w:rPr>
      </w:pPr>
      <w:r>
        <w:rPr>
          <w:rFonts w:hint="eastAsia" w:hAnsi="宋体" w:cs="宋体"/>
          <w:b/>
          <w:color w:val="auto"/>
          <w:sz w:val="32"/>
          <w:highlight w:val="none"/>
        </w:rPr>
        <w:t>法定代表人授权委托书</w:t>
      </w:r>
    </w:p>
    <w:p w14:paraId="5D0DF31E">
      <w:pPr>
        <w:snapToGrid w:val="0"/>
        <w:spacing w:line="440" w:lineRule="exact"/>
        <w:rPr>
          <w:rFonts w:ascii="宋体" w:hAnsi="宋体" w:cs="宋体"/>
          <w:b/>
          <w:bCs/>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u w:val="single"/>
        </w:rPr>
        <w:t xml:space="preserve"> 广西德元工程项目管理有限责任公司</w:t>
      </w:r>
      <w:r>
        <w:rPr>
          <w:rFonts w:hint="eastAsia" w:ascii="宋体" w:hAnsi="宋体" w:cs="宋体"/>
          <w:color w:val="auto"/>
          <w:szCs w:val="21"/>
          <w:highlight w:val="none"/>
        </w:rPr>
        <w:t>：</w:t>
      </w:r>
    </w:p>
    <w:p w14:paraId="7E3A3D2E">
      <w:pPr>
        <w:snapToGrid w:val="0"/>
        <w:spacing w:line="440" w:lineRule="exact"/>
        <w:ind w:firstLine="630" w:firstLineChars="300"/>
        <w:rPr>
          <w:rFonts w:ascii="宋体" w:hAnsi="宋体" w:cs="宋体"/>
          <w:color w:val="auto"/>
          <w:szCs w:val="21"/>
          <w:highlight w:val="none"/>
        </w:rPr>
      </w:pPr>
      <w:r>
        <w:rPr>
          <w:rFonts w:hint="eastAsia" w:ascii="宋体" w:hAnsi="宋体" w:cs="宋体"/>
          <w:color w:val="auto"/>
          <w:szCs w:val="21"/>
          <w:highlight w:val="none"/>
        </w:rPr>
        <w:t>我 （姓名）系（供应商名称）的法定代表人，现授权委托（姓名）以我方的名义参加</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项目名称</w:t>
      </w:r>
      <w:r>
        <w:rPr>
          <w:rFonts w:hint="eastAsia" w:ascii="宋体" w:hAnsi="宋体" w:cs="宋体"/>
          <w:color w:val="auto"/>
          <w:szCs w:val="21"/>
          <w:highlight w:val="none"/>
          <w:lang w:eastAsia="zh-CN"/>
        </w:rPr>
        <w:t>）</w:t>
      </w:r>
      <w:r>
        <w:rPr>
          <w:rFonts w:hint="eastAsia" w:ascii="宋体" w:hAnsi="宋体" w:cs="宋体"/>
          <w:color w:val="auto"/>
          <w:szCs w:val="21"/>
          <w:highlight w:val="none"/>
        </w:rPr>
        <w:t>的磋商采购活动，并代表我方全权办理针对上述磋商采购项目的磋商、开标、评标、签约等具体事务和签署相关文件。</w:t>
      </w:r>
    </w:p>
    <w:p w14:paraId="5079EC51">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    我方对被授权人的签名事项负全部责任。代理期限从   年  月  日至   年  月  日止。</w:t>
      </w:r>
    </w:p>
    <w:p w14:paraId="3923B7BC">
      <w:pPr>
        <w:snapToGrid w:val="0"/>
        <w:spacing w:line="440" w:lineRule="exact"/>
        <w:ind w:firstLine="480"/>
        <w:rPr>
          <w:rFonts w:ascii="宋体" w:hAnsi="宋体" w:cs="宋体"/>
          <w:color w:val="auto"/>
          <w:szCs w:val="21"/>
          <w:highlight w:val="none"/>
        </w:rPr>
      </w:pPr>
      <w:r>
        <w:rPr>
          <w:rFonts w:hint="eastAsia" w:ascii="宋体" w:hAnsi="宋体" w:cs="宋体"/>
          <w:color w:val="auto"/>
          <w:szCs w:val="21"/>
          <w:highlight w:val="none"/>
          <w:u w:val="single"/>
        </w:rPr>
        <w:t>在撤销授权的书面通知以前，本授权书一直有效。</w:t>
      </w:r>
      <w:r>
        <w:rPr>
          <w:rFonts w:hint="eastAsia" w:ascii="宋体" w:hAnsi="宋体" w:cs="宋体"/>
          <w:color w:val="auto"/>
          <w:szCs w:val="21"/>
          <w:highlight w:val="none"/>
        </w:rPr>
        <w:t>被授权人在授权书有效期内签署的所有文件不因授权的撤销而失效。</w:t>
      </w:r>
    </w:p>
    <w:p w14:paraId="16056FBE">
      <w:pPr>
        <w:snapToGrid w:val="0"/>
        <w:spacing w:line="440" w:lineRule="exact"/>
        <w:ind w:firstLine="480"/>
        <w:rPr>
          <w:rFonts w:ascii="宋体" w:hAnsi="宋体" w:cs="宋体"/>
          <w:color w:val="auto"/>
          <w:szCs w:val="21"/>
          <w:highlight w:val="none"/>
        </w:rPr>
      </w:pPr>
      <w:r>
        <w:rPr>
          <w:rFonts w:hint="eastAsia" w:ascii="宋体" w:hAnsi="宋体" w:cs="宋体"/>
          <w:color w:val="auto"/>
          <w:szCs w:val="21"/>
          <w:highlight w:val="none"/>
        </w:rPr>
        <w:t>被授权人无转委托权，特此委托。</w:t>
      </w:r>
    </w:p>
    <w:p w14:paraId="04409C57">
      <w:pPr>
        <w:snapToGrid w:val="0"/>
        <w:spacing w:line="440" w:lineRule="exact"/>
        <w:rPr>
          <w:rFonts w:ascii="宋体" w:hAnsi="宋体" w:cs="宋体"/>
          <w:color w:val="auto"/>
          <w:szCs w:val="21"/>
          <w:highlight w:val="none"/>
        </w:rPr>
      </w:pPr>
    </w:p>
    <w:p w14:paraId="2F51CAB7">
      <w:pPr>
        <w:snapToGrid w:val="0"/>
        <w:spacing w:line="440" w:lineRule="exact"/>
        <w:rPr>
          <w:rFonts w:ascii="宋体" w:hAnsi="宋体" w:cs="宋体"/>
          <w:color w:val="auto"/>
          <w:szCs w:val="21"/>
          <w:highlight w:val="none"/>
          <w:u w:val="single"/>
        </w:rPr>
      </w:pPr>
      <w:r>
        <w:rPr>
          <w:rFonts w:hint="eastAsia" w:ascii="宋体" w:hAnsi="宋体" w:cs="宋体"/>
          <w:color w:val="auto"/>
          <w:szCs w:val="21"/>
          <w:highlight w:val="none"/>
        </w:rPr>
        <w:t>被授权人</w:t>
      </w:r>
      <w:r>
        <w:rPr>
          <w:rFonts w:hint="eastAsia" w:ascii="宋体" w:hAnsi="宋体" w:cs="宋体"/>
          <w:b/>
          <w:color w:val="auto"/>
          <w:szCs w:val="21"/>
          <w:highlight w:val="none"/>
        </w:rPr>
        <w:t>签名</w:t>
      </w:r>
      <w:r>
        <w:rPr>
          <w:rFonts w:hint="eastAsia" w:ascii="宋体" w:hAnsi="宋体" w:cs="宋体"/>
          <w:color w:val="auto"/>
          <w:szCs w:val="21"/>
          <w:highlight w:val="none"/>
        </w:rPr>
        <w:t>：            法定代表人</w:t>
      </w:r>
      <w:r>
        <w:rPr>
          <w:rFonts w:hint="eastAsia" w:ascii="宋体" w:hAnsi="宋体" w:cs="宋体"/>
          <w:b/>
          <w:color w:val="auto"/>
          <w:szCs w:val="21"/>
          <w:highlight w:val="none"/>
        </w:rPr>
        <w:t>签名</w:t>
      </w:r>
      <w:r>
        <w:rPr>
          <w:rFonts w:hint="eastAsia" w:ascii="宋体" w:hAnsi="宋体" w:cs="宋体"/>
          <w:color w:val="auto"/>
          <w:szCs w:val="21"/>
          <w:highlight w:val="none"/>
        </w:rPr>
        <w:t>：</w:t>
      </w:r>
    </w:p>
    <w:p w14:paraId="615BE4C5">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所在部门职务：            职务：</w:t>
      </w:r>
    </w:p>
    <w:p w14:paraId="14B3F547">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被授权人身份证号码：</w:t>
      </w:r>
    </w:p>
    <w:p w14:paraId="43A552D9">
      <w:pPr>
        <w:spacing w:line="440" w:lineRule="exact"/>
        <w:ind w:firstLine="6090" w:firstLineChars="2900"/>
        <w:jc w:val="right"/>
        <w:rPr>
          <w:rFonts w:ascii="宋体" w:hAnsi="宋体" w:cs="宋体"/>
          <w:color w:val="auto"/>
          <w:szCs w:val="21"/>
          <w:highlight w:val="none"/>
        </w:rPr>
      </w:pPr>
      <w:r>
        <w:rPr>
          <w:rFonts w:hint="eastAsia" w:ascii="宋体" w:hAnsi="宋体" w:cs="宋体"/>
          <w:color w:val="auto"/>
          <w:szCs w:val="21"/>
          <w:highlight w:val="none"/>
        </w:rPr>
        <w:t>供应商名称(电子签章)：</w:t>
      </w:r>
    </w:p>
    <w:p w14:paraId="1ABB8445">
      <w:pPr>
        <w:spacing w:line="440" w:lineRule="exact"/>
        <w:ind w:firstLine="6300" w:firstLineChars="3000"/>
        <w:jc w:val="right"/>
        <w:rPr>
          <w:rFonts w:ascii="宋体" w:hAnsi="宋体" w:cs="宋体"/>
          <w:color w:val="auto"/>
          <w:szCs w:val="21"/>
          <w:highlight w:val="none"/>
        </w:rPr>
      </w:pPr>
      <w:r>
        <w:rPr>
          <w:rFonts w:hint="eastAsia" w:ascii="宋体" w:hAnsi="宋体" w:cs="宋体"/>
          <w:color w:val="auto"/>
          <w:szCs w:val="21"/>
          <w:highlight w:val="none"/>
        </w:rPr>
        <w:t>日期： 年 月 日</w:t>
      </w:r>
    </w:p>
    <w:p w14:paraId="72903F96">
      <w:pPr>
        <w:snapToGrid w:val="0"/>
        <w:spacing w:line="440" w:lineRule="exact"/>
        <w:jc w:val="center"/>
        <w:rPr>
          <w:rFonts w:ascii="宋体" w:hAnsi="宋体" w:cs="宋体"/>
          <w:color w:val="auto"/>
          <w:highlight w:val="none"/>
        </w:rPr>
      </w:pPr>
    </w:p>
    <w:p w14:paraId="47216720">
      <w:pPr>
        <w:pStyle w:val="23"/>
        <w:spacing w:line="440" w:lineRule="exact"/>
        <w:rPr>
          <w:rFonts w:hAnsi="宋体" w:cs="宋体"/>
          <w:color w:val="auto"/>
          <w:highlight w:val="none"/>
        </w:rPr>
      </w:pPr>
      <w:r>
        <w:rPr>
          <w:rFonts w:hint="eastAsia" w:hAnsi="宋体" w:cs="宋体"/>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12700</wp:posOffset>
                </wp:positionV>
                <wp:extent cx="3125470" cy="1941830"/>
                <wp:effectExtent l="9525" t="12700" r="8255" b="7620"/>
                <wp:wrapNone/>
                <wp:docPr id="6" name="矩形 11"/>
                <wp:cNvGraphicFramePr/>
                <a:graphic xmlns:a="http://schemas.openxmlformats.org/drawingml/2006/main">
                  <a:graphicData uri="http://schemas.microsoft.com/office/word/2010/wordprocessingShape">
                    <wps:wsp>
                      <wps:cNvSpPr>
                        <a:spLocks noChangeArrowheads="1"/>
                      </wps:cNvSpPr>
                      <wps:spPr bwMode="auto">
                        <a:xfrm>
                          <a:off x="0" y="0"/>
                          <a:ext cx="3125470" cy="1941830"/>
                        </a:xfrm>
                        <a:prstGeom prst="rect">
                          <a:avLst/>
                        </a:prstGeom>
                        <a:solidFill>
                          <a:srgbClr val="FFFFFF"/>
                        </a:solidFill>
                        <a:ln w="9525">
                          <a:solidFill>
                            <a:srgbClr val="000000"/>
                          </a:solidFill>
                          <a:miter lim="800000"/>
                        </a:ln>
                      </wps:spPr>
                      <wps:txbx>
                        <w:txbxContent>
                          <w:p w14:paraId="470DA34A"/>
                          <w:p w14:paraId="3959DD16"/>
                          <w:p w14:paraId="5E11DD87"/>
                          <w:p w14:paraId="69F36491"/>
                          <w:p w14:paraId="3F4437FC"/>
                          <w:p w14:paraId="11FBD5F6">
                            <w:pPr>
                              <w:jc w:val="center"/>
                              <w:rPr>
                                <w:rFonts w:hint="eastAsia" w:eastAsia="宋体"/>
                                <w:lang w:eastAsia="zh-CN"/>
                              </w:rPr>
                            </w:pPr>
                            <w:r>
                              <w:rPr>
                                <w:rFonts w:hint="eastAsia"/>
                              </w:rPr>
                              <w:t>委托代理人第二代居民身份证</w:t>
                            </w:r>
                            <w:r>
                              <w:rPr>
                                <w:rFonts w:hint="eastAsia"/>
                                <w:lang w:eastAsia="zh-CN"/>
                              </w:rPr>
                              <w:t>扫描件</w:t>
                            </w:r>
                          </w:p>
                          <w:p w14:paraId="3C424C0E">
                            <w:pPr>
                              <w:jc w:val="center"/>
                            </w:pPr>
                            <w:r>
                              <w:rPr>
                                <w:rFonts w:hint="eastAsia"/>
                                <w:b/>
                              </w:rPr>
                              <w:t>（正面）</w:t>
                            </w:r>
                          </w:p>
                          <w:p w14:paraId="1E5DC14D">
                            <w:pPr>
                              <w:jc w:val="center"/>
                            </w:pPr>
                          </w:p>
                        </w:txbxContent>
                      </wps:txbx>
                      <wps:bodyPr rot="0" vert="horz" wrap="square" lIns="91440" tIns="45720" rIns="91440" bIns="45720" anchor="t" anchorCtr="0" upright="1">
                        <a:noAutofit/>
                      </wps:bodyPr>
                    </wps:wsp>
                  </a:graphicData>
                </a:graphic>
              </wp:anchor>
            </w:drawing>
          </mc:Choice>
          <mc:Fallback>
            <w:pict>
              <v:rect id="矩形 11" o:spid="_x0000_s1026" o:spt="1" style="position:absolute;left:0pt;margin-left:9pt;margin-top:1pt;height:152.9pt;width:246.1pt;z-index:251664384;mso-width-relative:page;mso-height-relative:page;" fillcolor="#FFFFFF" filled="t" stroked="t" coordsize="21600,21600" o:gfxdata="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YGJ6A1gAAAAgBAAAPAAAAAAAAAAEAIAAAACIAAABkcnMvZG93&#10;bnJldi54bWxQSwECFAAUAAAACACHTuJARiUrnTsCAAB8BAAADgAAAAAAAAABACAAAAAlAQAAZHJz&#10;L2Uyb0RvYy54bWxQSwUGAAAAAAYABgBZAQAA0gUAAAAA&#10;">
                <v:fill on="t" focussize="0,0"/>
                <v:stroke color="#000000" miterlimit="8" joinstyle="miter"/>
                <v:imagedata o:title=""/>
                <o:lock v:ext="edit" aspectratio="f"/>
                <v:textbox>
                  <w:txbxContent>
                    <w:p w14:paraId="470DA34A"/>
                    <w:p w14:paraId="3959DD16"/>
                    <w:p w14:paraId="5E11DD87"/>
                    <w:p w14:paraId="69F36491"/>
                    <w:p w14:paraId="3F4437FC"/>
                    <w:p w14:paraId="11FBD5F6">
                      <w:pPr>
                        <w:jc w:val="center"/>
                        <w:rPr>
                          <w:rFonts w:hint="eastAsia" w:eastAsia="宋体"/>
                          <w:lang w:eastAsia="zh-CN"/>
                        </w:rPr>
                      </w:pPr>
                      <w:r>
                        <w:rPr>
                          <w:rFonts w:hint="eastAsia"/>
                        </w:rPr>
                        <w:t>委托代理人第二代居民身份证</w:t>
                      </w:r>
                      <w:r>
                        <w:rPr>
                          <w:rFonts w:hint="eastAsia"/>
                          <w:lang w:eastAsia="zh-CN"/>
                        </w:rPr>
                        <w:t>扫描件</w:t>
                      </w:r>
                    </w:p>
                    <w:p w14:paraId="3C424C0E">
                      <w:pPr>
                        <w:jc w:val="center"/>
                      </w:pPr>
                      <w:r>
                        <w:rPr>
                          <w:rFonts w:hint="eastAsia"/>
                          <w:b/>
                        </w:rPr>
                        <w:t>（正面）</w:t>
                      </w:r>
                    </w:p>
                    <w:p w14:paraId="1E5DC14D">
                      <w:pPr>
                        <w:jc w:val="center"/>
                      </w:pPr>
                    </w:p>
                  </w:txbxContent>
                </v:textbox>
              </v:rect>
            </w:pict>
          </mc:Fallback>
        </mc:AlternateContent>
      </w:r>
      <w:r>
        <w:rPr>
          <w:rFonts w:hint="eastAsia" w:hAnsi="宋体" w:cs="宋体"/>
          <w:color w:val="auto"/>
          <w:highlight w:val="none"/>
        </w:rPr>
        <mc:AlternateContent>
          <mc:Choice Requires="wps">
            <w:drawing>
              <wp:anchor distT="180340" distB="0" distL="114300" distR="114300" simplePos="0" relativeHeight="251662336" behindDoc="0" locked="0" layoutInCell="0" allowOverlap="1">
                <wp:simplePos x="0" y="0"/>
                <wp:positionH relativeFrom="column">
                  <wp:posOffset>0</wp:posOffset>
                </wp:positionH>
                <wp:positionV relativeFrom="paragraph">
                  <wp:posOffset>0</wp:posOffset>
                </wp:positionV>
                <wp:extent cx="6134100" cy="0"/>
                <wp:effectExtent l="9525" t="9525" r="9525" b="9525"/>
                <wp:wrapTopAndBottom/>
                <wp:docPr id="5" name="直线 9"/>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9525">
                          <a:solidFill>
                            <a:srgbClr val="000000"/>
                          </a:solidFill>
                          <a:round/>
                        </a:ln>
                      </wps:spPr>
                      <wps:bodyPr/>
                    </wps:wsp>
                  </a:graphicData>
                </a:graphic>
              </wp:anchor>
            </w:drawing>
          </mc:Choice>
          <mc:Fallback>
            <w:pict>
              <v:line id="直线 9" o:spid="_x0000_s1026" o:spt="20" style="position:absolute;left:0pt;margin-left:0pt;margin-top:0pt;height:0pt;width:483pt;mso-wrap-distance-bottom:0pt;mso-wrap-distance-top:14.2pt;z-index:251662336;mso-width-relative:page;mso-height-relative:page;" filled="f" stroked="t" coordsize="21600,21600" o:allowincell="f" o:gfxdata="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wHVPfQAAAAAgEAAA8AAAAAAAAAAQAgAAAAIgAA&#10;AGRycy9kb3ducmV2LnhtbFBLAQIUABQAAAAIAIdO4kATg5+i1wEAAKEDAAAOAAAAAAAAAAEAIAAA&#10;AB8BAABkcnMvZTJvRG9jLnhtbFBLBQYAAAAABgAGAFkBAABoBQAAAAA=&#10;">
                <v:fill on="f" focussize="0,0"/>
                <v:stroke color="#000000" joinstyle="round"/>
                <v:imagedata o:title=""/>
                <o:lock v:ext="edit" aspectratio="f"/>
                <w10:wrap type="topAndBottom"/>
              </v:line>
            </w:pict>
          </mc:Fallback>
        </mc:AlternateContent>
      </w:r>
    </w:p>
    <w:p w14:paraId="2B42BADD">
      <w:pPr>
        <w:pStyle w:val="23"/>
        <w:spacing w:line="440" w:lineRule="exact"/>
        <w:rPr>
          <w:rFonts w:hAnsi="宋体" w:cs="宋体"/>
          <w:color w:val="auto"/>
          <w:highlight w:val="none"/>
        </w:rPr>
      </w:pPr>
    </w:p>
    <w:p w14:paraId="34382B67">
      <w:pPr>
        <w:pStyle w:val="23"/>
        <w:spacing w:line="440" w:lineRule="exact"/>
        <w:rPr>
          <w:rFonts w:hAnsi="宋体" w:cs="宋体"/>
          <w:color w:val="auto"/>
          <w:highlight w:val="none"/>
        </w:rPr>
      </w:pPr>
    </w:p>
    <w:p w14:paraId="37DF642B">
      <w:pPr>
        <w:pStyle w:val="23"/>
        <w:spacing w:line="440" w:lineRule="exact"/>
        <w:rPr>
          <w:rFonts w:hAnsi="宋体" w:cs="宋体"/>
          <w:color w:val="auto"/>
          <w:highlight w:val="none"/>
        </w:rPr>
      </w:pPr>
    </w:p>
    <w:p w14:paraId="4F82B7E5">
      <w:pPr>
        <w:pStyle w:val="23"/>
        <w:spacing w:line="440" w:lineRule="exact"/>
        <w:rPr>
          <w:rFonts w:hAnsi="宋体" w:cs="宋体"/>
          <w:color w:val="auto"/>
          <w:highlight w:val="none"/>
        </w:rPr>
      </w:pPr>
    </w:p>
    <w:p w14:paraId="0EAF3C90">
      <w:pPr>
        <w:pStyle w:val="23"/>
        <w:spacing w:line="440" w:lineRule="exact"/>
        <w:ind w:firstLine="5200" w:firstLineChars="2600"/>
        <w:rPr>
          <w:rFonts w:hAnsi="宋体" w:cs="宋体"/>
          <w:color w:val="auto"/>
          <w:highlight w:val="none"/>
          <w:u w:val="single"/>
        </w:rPr>
      </w:pPr>
    </w:p>
    <w:p w14:paraId="3FA515D9">
      <w:pPr>
        <w:pStyle w:val="23"/>
        <w:spacing w:line="440" w:lineRule="exact"/>
        <w:rPr>
          <w:rFonts w:hAnsi="宋体" w:cs="宋体"/>
          <w:color w:val="auto"/>
          <w:highlight w:val="none"/>
        </w:rPr>
      </w:pPr>
    </w:p>
    <w:p w14:paraId="45D0DA94">
      <w:pPr>
        <w:pStyle w:val="23"/>
        <w:spacing w:line="440" w:lineRule="exact"/>
        <w:rPr>
          <w:rFonts w:hAnsi="宋体" w:cs="宋体"/>
          <w:color w:val="auto"/>
          <w:highlight w:val="none"/>
        </w:rPr>
      </w:pPr>
      <w:r>
        <w:rPr>
          <w:rFonts w:hint="eastAsia" w:hAnsi="宋体" w:cs="宋体"/>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79375</wp:posOffset>
                </wp:positionH>
                <wp:positionV relativeFrom="paragraph">
                  <wp:posOffset>105410</wp:posOffset>
                </wp:positionV>
                <wp:extent cx="3220720" cy="1827530"/>
                <wp:effectExtent l="12700" t="10160" r="5080" b="10160"/>
                <wp:wrapSquare wrapText="bothSides"/>
                <wp:docPr id="4" name="矩形 10"/>
                <wp:cNvGraphicFramePr/>
                <a:graphic xmlns:a="http://schemas.openxmlformats.org/drawingml/2006/main">
                  <a:graphicData uri="http://schemas.microsoft.com/office/word/2010/wordprocessingShape">
                    <wps:wsp>
                      <wps:cNvSpPr>
                        <a:spLocks noChangeArrowheads="1"/>
                      </wps:cNvSpPr>
                      <wps:spPr bwMode="auto">
                        <a:xfrm>
                          <a:off x="0" y="0"/>
                          <a:ext cx="3220720" cy="1827530"/>
                        </a:xfrm>
                        <a:prstGeom prst="rect">
                          <a:avLst/>
                        </a:prstGeom>
                        <a:solidFill>
                          <a:srgbClr val="FFFFFF"/>
                        </a:solidFill>
                        <a:ln w="9525">
                          <a:solidFill>
                            <a:srgbClr val="000000"/>
                          </a:solidFill>
                          <a:miter lim="800000"/>
                        </a:ln>
                      </wps:spPr>
                      <wps:txbx>
                        <w:txbxContent>
                          <w:p w14:paraId="7E8BE0F6"/>
                          <w:p w14:paraId="124FE8B6"/>
                          <w:p w14:paraId="25A8E22B"/>
                          <w:p w14:paraId="2AA71F43"/>
                          <w:p w14:paraId="76CF46F2"/>
                          <w:p w14:paraId="37DC5A58">
                            <w:pPr>
                              <w:jc w:val="center"/>
                              <w:rPr>
                                <w:rFonts w:hint="eastAsia" w:eastAsia="宋体"/>
                                <w:lang w:eastAsia="zh-CN"/>
                              </w:rPr>
                            </w:pPr>
                            <w:r>
                              <w:rPr>
                                <w:rFonts w:hint="eastAsia"/>
                              </w:rPr>
                              <w:t>委托代理人第二代居民身份证</w:t>
                            </w:r>
                            <w:r>
                              <w:rPr>
                                <w:rFonts w:hint="eastAsia"/>
                                <w:lang w:eastAsia="zh-CN"/>
                              </w:rPr>
                              <w:t>扫描件</w:t>
                            </w:r>
                          </w:p>
                          <w:p w14:paraId="1C3D537C">
                            <w:pPr>
                              <w:jc w:val="center"/>
                            </w:pPr>
                            <w:r>
                              <w:rPr>
                                <w:rFonts w:hint="eastAsia"/>
                                <w:b/>
                              </w:rPr>
                              <w:t>（背面）</w:t>
                            </w:r>
                          </w:p>
                        </w:txbxContent>
                      </wps:txbx>
                      <wps:bodyPr rot="0" vert="horz" wrap="square" lIns="91440" tIns="45720" rIns="91440" bIns="45720" anchor="t" anchorCtr="0" upright="1">
                        <a:noAutofit/>
                      </wps:bodyPr>
                    </wps:wsp>
                  </a:graphicData>
                </a:graphic>
              </wp:anchor>
            </w:drawing>
          </mc:Choice>
          <mc:Fallback>
            <w:pict>
              <v:rect id="矩形 10" o:spid="_x0000_s1026" o:spt="1" style="position:absolute;left:0pt;margin-left:6.25pt;margin-top:8.3pt;height:143.9pt;width:253.6pt;mso-wrap-distance-bottom:0pt;mso-wrap-distance-left:9pt;mso-wrap-distance-right:9pt;mso-wrap-distance-top:0pt;z-index:251663360;mso-width-relative:page;mso-height-relative:page;" fillcolor="#FFFFFF" filled="t" stroked="t" coordsize="21600,21600" o:gfxdata="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ZT9mStgAAAAJAQAADwAAAAAAAAABACAAAAAiAAAAZHJzL2Rv&#10;d25yZXYueG1sUEsBAhQAFAAAAAgAh07iQKMj4FQ6AgAAfAQAAA4AAAAAAAAAAQAgAAAAJwEAAGRy&#10;cy9lMm9Eb2MueG1sUEsFBgAAAAAGAAYAWQEAANMFAAAAAA==&#10;">
                <v:fill on="t" focussize="0,0"/>
                <v:stroke color="#000000" miterlimit="8" joinstyle="miter"/>
                <v:imagedata o:title=""/>
                <o:lock v:ext="edit" aspectratio="f"/>
                <v:textbox>
                  <w:txbxContent>
                    <w:p w14:paraId="7E8BE0F6"/>
                    <w:p w14:paraId="124FE8B6"/>
                    <w:p w14:paraId="25A8E22B"/>
                    <w:p w14:paraId="2AA71F43"/>
                    <w:p w14:paraId="76CF46F2"/>
                    <w:p w14:paraId="37DC5A58">
                      <w:pPr>
                        <w:jc w:val="center"/>
                        <w:rPr>
                          <w:rFonts w:hint="eastAsia" w:eastAsia="宋体"/>
                          <w:lang w:eastAsia="zh-CN"/>
                        </w:rPr>
                      </w:pPr>
                      <w:r>
                        <w:rPr>
                          <w:rFonts w:hint="eastAsia"/>
                        </w:rPr>
                        <w:t>委托代理人第二代居民身份证</w:t>
                      </w:r>
                      <w:r>
                        <w:rPr>
                          <w:rFonts w:hint="eastAsia"/>
                          <w:lang w:eastAsia="zh-CN"/>
                        </w:rPr>
                        <w:t>扫描件</w:t>
                      </w:r>
                    </w:p>
                    <w:p w14:paraId="1C3D537C">
                      <w:pPr>
                        <w:jc w:val="center"/>
                      </w:pPr>
                      <w:r>
                        <w:rPr>
                          <w:rFonts w:hint="eastAsia"/>
                          <w:b/>
                        </w:rPr>
                        <w:t>（背面）</w:t>
                      </w:r>
                    </w:p>
                  </w:txbxContent>
                </v:textbox>
                <w10:wrap type="square"/>
              </v:rect>
            </w:pict>
          </mc:Fallback>
        </mc:AlternateContent>
      </w:r>
    </w:p>
    <w:p w14:paraId="683620B5">
      <w:pPr>
        <w:pStyle w:val="23"/>
        <w:spacing w:line="440" w:lineRule="exact"/>
        <w:rPr>
          <w:rFonts w:hAnsi="宋体" w:cs="宋体"/>
          <w:color w:val="auto"/>
          <w:highlight w:val="none"/>
        </w:rPr>
      </w:pPr>
    </w:p>
    <w:p w14:paraId="7A205B0C">
      <w:pPr>
        <w:pStyle w:val="23"/>
        <w:spacing w:line="440" w:lineRule="exact"/>
        <w:rPr>
          <w:rFonts w:hAnsi="宋体" w:cs="宋体"/>
          <w:color w:val="auto"/>
          <w:highlight w:val="none"/>
        </w:rPr>
      </w:pPr>
    </w:p>
    <w:p w14:paraId="02C2E3C7">
      <w:pPr>
        <w:pStyle w:val="23"/>
        <w:spacing w:line="440" w:lineRule="exact"/>
        <w:rPr>
          <w:rFonts w:hAnsi="宋体" w:cs="宋体"/>
          <w:color w:val="auto"/>
          <w:highlight w:val="none"/>
        </w:rPr>
      </w:pPr>
    </w:p>
    <w:p w14:paraId="23154230">
      <w:pPr>
        <w:pStyle w:val="23"/>
        <w:spacing w:line="440" w:lineRule="exact"/>
        <w:rPr>
          <w:rFonts w:hAnsi="宋体" w:cs="宋体"/>
          <w:color w:val="auto"/>
          <w:sz w:val="44"/>
          <w:highlight w:val="none"/>
        </w:rPr>
      </w:pPr>
    </w:p>
    <w:p w14:paraId="0A214C1D">
      <w:pPr>
        <w:spacing w:line="440" w:lineRule="exact"/>
        <w:rPr>
          <w:rFonts w:ascii="宋体" w:hAnsi="宋体" w:cs="宋体"/>
          <w:b/>
          <w:color w:val="auto"/>
          <w:szCs w:val="21"/>
          <w:highlight w:val="none"/>
        </w:rPr>
      </w:pPr>
    </w:p>
    <w:p w14:paraId="7A9E6FDB">
      <w:pPr>
        <w:spacing w:line="440" w:lineRule="exact"/>
        <w:rPr>
          <w:rFonts w:ascii="宋体" w:hAnsi="宋体" w:cs="宋体"/>
          <w:b/>
          <w:color w:val="auto"/>
          <w:szCs w:val="21"/>
          <w:highlight w:val="none"/>
        </w:rPr>
      </w:pPr>
      <w:r>
        <w:rPr>
          <w:rFonts w:hint="eastAsia" w:ascii="宋体" w:hAnsi="宋体" w:cs="宋体"/>
          <w:b/>
          <w:color w:val="auto"/>
          <w:szCs w:val="21"/>
          <w:highlight w:val="none"/>
        </w:rPr>
        <w:t>三、商务响应表格式</w:t>
      </w:r>
    </w:p>
    <w:p w14:paraId="0A1D3A2A">
      <w:pPr>
        <w:spacing w:line="440" w:lineRule="exact"/>
        <w:jc w:val="center"/>
        <w:rPr>
          <w:rFonts w:ascii="宋体" w:hAnsi="宋体" w:cs="宋体"/>
          <w:b/>
          <w:bCs/>
          <w:color w:val="auto"/>
          <w:kern w:val="0"/>
          <w:sz w:val="30"/>
          <w:highlight w:val="none"/>
        </w:rPr>
      </w:pPr>
      <w:r>
        <w:rPr>
          <w:rFonts w:hint="eastAsia" w:ascii="宋体" w:hAnsi="宋体" w:cs="宋体"/>
          <w:b/>
          <w:bCs/>
          <w:color w:val="auto"/>
          <w:kern w:val="0"/>
          <w:sz w:val="30"/>
          <w:highlight w:val="none"/>
        </w:rPr>
        <w:t>商务响应表（格式）</w:t>
      </w:r>
    </w:p>
    <w:p w14:paraId="5952BA73">
      <w:pPr>
        <w:spacing w:line="440" w:lineRule="exact"/>
        <w:rPr>
          <w:rFonts w:ascii="宋体" w:hAnsi="宋体" w:cs="宋体"/>
          <w:color w:val="auto"/>
          <w:szCs w:val="21"/>
          <w:highlight w:val="none"/>
        </w:rPr>
      </w:pPr>
      <w:r>
        <w:rPr>
          <w:rFonts w:hint="eastAsia" w:ascii="宋体" w:hAnsi="宋体" w:cs="宋体"/>
          <w:color w:val="auto"/>
          <w:szCs w:val="21"/>
          <w:highlight w:val="none"/>
        </w:rPr>
        <w:t>项目名称:</w:t>
      </w:r>
    </w:p>
    <w:p w14:paraId="21FCF3BD">
      <w:pPr>
        <w:snapToGrid w:val="0"/>
        <w:spacing w:before="50" w:after="50" w:line="440" w:lineRule="exact"/>
        <w:rPr>
          <w:rFonts w:ascii="宋体" w:hAnsi="宋体" w:cs="宋体"/>
          <w:color w:val="auto"/>
          <w:highlight w:val="none"/>
          <w:u w:val="single"/>
        </w:rPr>
      </w:pPr>
      <w:r>
        <w:rPr>
          <w:rFonts w:hint="eastAsia" w:ascii="宋体" w:hAnsi="宋体" w:cs="宋体"/>
          <w:color w:val="auto"/>
          <w:szCs w:val="21"/>
          <w:highlight w:val="none"/>
        </w:rPr>
        <w:t>项目编号:</w:t>
      </w:r>
    </w:p>
    <w:p w14:paraId="4337AFCB">
      <w:pPr>
        <w:snapToGrid w:val="0"/>
        <w:spacing w:before="50" w:after="50" w:line="440" w:lineRule="exact"/>
        <w:rPr>
          <w:rFonts w:ascii="宋体" w:hAnsi="宋体" w:cs="宋体"/>
          <w:color w:val="auto"/>
          <w:highlight w:val="none"/>
        </w:rPr>
      </w:pPr>
      <w:r>
        <w:rPr>
          <w:rFonts w:hint="eastAsia" w:ascii="宋体" w:hAnsi="宋体" w:cs="宋体"/>
          <w:color w:val="auto"/>
          <w:highlight w:val="none"/>
          <w:lang w:eastAsia="zh-CN"/>
        </w:rPr>
        <w:t>标项</w:t>
      </w:r>
      <w:r>
        <w:rPr>
          <w:rFonts w:hint="eastAsia" w:ascii="宋体" w:hAnsi="宋体" w:cs="宋体"/>
          <w:color w:val="auto"/>
          <w:highlight w:val="none"/>
        </w:rPr>
        <w:t>：</w:t>
      </w:r>
    </w:p>
    <w:tbl>
      <w:tblPr>
        <w:tblStyle w:val="41"/>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977"/>
        <w:gridCol w:w="1275"/>
        <w:gridCol w:w="3119"/>
      </w:tblGrid>
      <w:tr w14:paraId="3F8BC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368E4AFC">
            <w:pPr>
              <w:pStyle w:val="23"/>
              <w:spacing w:line="440" w:lineRule="exact"/>
              <w:jc w:val="center"/>
              <w:rPr>
                <w:rFonts w:hAnsi="宋体" w:cs="宋体"/>
                <w:color w:val="auto"/>
                <w:sz w:val="24"/>
                <w:szCs w:val="24"/>
                <w:highlight w:val="none"/>
              </w:rPr>
            </w:pPr>
            <w:r>
              <w:rPr>
                <w:rFonts w:hint="eastAsia" w:hAnsi="宋体" w:cs="宋体"/>
                <w:color w:val="auto"/>
                <w:sz w:val="24"/>
                <w:szCs w:val="24"/>
                <w:highlight w:val="none"/>
              </w:rPr>
              <w:t>项目</w:t>
            </w:r>
          </w:p>
        </w:tc>
        <w:tc>
          <w:tcPr>
            <w:tcW w:w="2977" w:type="dxa"/>
            <w:tcBorders>
              <w:top w:val="single" w:color="auto" w:sz="4" w:space="0"/>
              <w:left w:val="single" w:color="auto" w:sz="4" w:space="0"/>
              <w:bottom w:val="single" w:color="auto" w:sz="4" w:space="0"/>
              <w:right w:val="single" w:color="auto" w:sz="4" w:space="0"/>
            </w:tcBorders>
            <w:vAlign w:val="center"/>
          </w:tcPr>
          <w:p w14:paraId="32397FC3">
            <w:pPr>
              <w:pStyle w:val="23"/>
              <w:spacing w:line="440" w:lineRule="exact"/>
              <w:jc w:val="center"/>
              <w:rPr>
                <w:rFonts w:hAnsi="宋体" w:cs="宋体"/>
                <w:color w:val="auto"/>
                <w:sz w:val="24"/>
                <w:szCs w:val="24"/>
                <w:highlight w:val="none"/>
              </w:rPr>
            </w:pPr>
            <w:r>
              <w:rPr>
                <w:rFonts w:hint="eastAsia" w:hAnsi="宋体" w:cs="宋体"/>
                <w:color w:val="auto"/>
                <w:sz w:val="24"/>
                <w:szCs w:val="24"/>
                <w:highlight w:val="none"/>
              </w:rPr>
              <w:t>磋商文件的商务条款</w:t>
            </w:r>
          </w:p>
        </w:tc>
        <w:tc>
          <w:tcPr>
            <w:tcW w:w="1275" w:type="dxa"/>
            <w:tcBorders>
              <w:top w:val="single" w:color="auto" w:sz="4" w:space="0"/>
              <w:left w:val="single" w:color="auto" w:sz="4" w:space="0"/>
              <w:bottom w:val="single" w:color="auto" w:sz="4" w:space="0"/>
              <w:right w:val="single" w:color="auto" w:sz="4" w:space="0"/>
            </w:tcBorders>
            <w:vAlign w:val="center"/>
          </w:tcPr>
          <w:p w14:paraId="345291A4">
            <w:pPr>
              <w:pStyle w:val="23"/>
              <w:spacing w:line="440" w:lineRule="exact"/>
              <w:jc w:val="center"/>
              <w:rPr>
                <w:rFonts w:hAnsi="宋体" w:cs="宋体"/>
                <w:color w:val="auto"/>
                <w:sz w:val="24"/>
                <w:szCs w:val="24"/>
                <w:highlight w:val="none"/>
              </w:rPr>
            </w:pPr>
            <w:r>
              <w:rPr>
                <w:rFonts w:hint="eastAsia" w:hAnsi="宋体" w:cs="宋体"/>
                <w:color w:val="auto"/>
                <w:sz w:val="24"/>
                <w:szCs w:val="24"/>
                <w:highlight w:val="none"/>
              </w:rPr>
              <w:t>是否响应</w:t>
            </w:r>
          </w:p>
        </w:tc>
        <w:tc>
          <w:tcPr>
            <w:tcW w:w="3119" w:type="dxa"/>
            <w:tcBorders>
              <w:top w:val="single" w:color="auto" w:sz="4" w:space="0"/>
              <w:left w:val="single" w:color="auto" w:sz="4" w:space="0"/>
              <w:bottom w:val="single" w:color="auto" w:sz="4" w:space="0"/>
              <w:right w:val="single" w:color="auto" w:sz="4" w:space="0"/>
            </w:tcBorders>
            <w:vAlign w:val="center"/>
          </w:tcPr>
          <w:p w14:paraId="1D379C57">
            <w:pPr>
              <w:pStyle w:val="23"/>
              <w:spacing w:line="440" w:lineRule="exact"/>
              <w:jc w:val="center"/>
              <w:rPr>
                <w:rFonts w:hAnsi="宋体" w:cs="宋体"/>
                <w:color w:val="auto"/>
                <w:sz w:val="24"/>
                <w:szCs w:val="24"/>
                <w:highlight w:val="none"/>
              </w:rPr>
            </w:pPr>
            <w:r>
              <w:rPr>
                <w:rFonts w:hint="eastAsia" w:hAnsi="宋体" w:cs="宋体"/>
                <w:color w:val="auto"/>
                <w:sz w:val="24"/>
                <w:szCs w:val="24"/>
                <w:highlight w:val="none"/>
              </w:rPr>
              <w:t>响应文件的承诺或说明</w:t>
            </w:r>
          </w:p>
        </w:tc>
      </w:tr>
      <w:tr w14:paraId="023CE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66A8C42F">
            <w:pPr>
              <w:pStyle w:val="23"/>
              <w:spacing w:line="440" w:lineRule="exact"/>
              <w:jc w:val="center"/>
              <w:rPr>
                <w:rFonts w:hAnsi="宋体" w:cs="宋体"/>
                <w:color w:val="auto"/>
                <w:sz w:val="21"/>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14:paraId="2FCED14C">
            <w:pPr>
              <w:pStyle w:val="23"/>
              <w:spacing w:line="440" w:lineRule="exact"/>
              <w:jc w:val="left"/>
              <w:rPr>
                <w:rFonts w:hAnsi="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4235312B">
            <w:pPr>
              <w:pStyle w:val="23"/>
              <w:spacing w:line="440" w:lineRule="exact"/>
              <w:jc w:val="left"/>
              <w:rPr>
                <w:rFonts w:hAnsi="宋体" w:cs="宋体"/>
                <w:color w:val="auto"/>
                <w:sz w:val="24"/>
                <w:szCs w:val="24"/>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14:paraId="56A6FB27">
            <w:pPr>
              <w:pStyle w:val="23"/>
              <w:spacing w:line="440" w:lineRule="exact"/>
              <w:jc w:val="left"/>
              <w:rPr>
                <w:rFonts w:hAnsi="宋体" w:cs="宋体"/>
                <w:color w:val="auto"/>
                <w:sz w:val="24"/>
                <w:szCs w:val="24"/>
                <w:highlight w:val="none"/>
              </w:rPr>
            </w:pPr>
          </w:p>
        </w:tc>
      </w:tr>
      <w:tr w14:paraId="359F3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749B45E9">
            <w:pPr>
              <w:pStyle w:val="23"/>
              <w:spacing w:line="440" w:lineRule="exact"/>
              <w:jc w:val="center"/>
              <w:rPr>
                <w:rFonts w:hAnsi="宋体" w:cs="宋体"/>
                <w:color w:val="auto"/>
                <w:sz w:val="21"/>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14:paraId="60FDBAA9">
            <w:pPr>
              <w:pStyle w:val="23"/>
              <w:spacing w:line="440" w:lineRule="exact"/>
              <w:jc w:val="left"/>
              <w:rPr>
                <w:rFonts w:hAnsi="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207377D1">
            <w:pPr>
              <w:pStyle w:val="23"/>
              <w:spacing w:line="440" w:lineRule="exact"/>
              <w:jc w:val="left"/>
              <w:rPr>
                <w:rFonts w:hAnsi="宋体" w:cs="宋体"/>
                <w:color w:val="auto"/>
                <w:sz w:val="24"/>
                <w:szCs w:val="24"/>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14:paraId="3DF508EB">
            <w:pPr>
              <w:pStyle w:val="23"/>
              <w:spacing w:line="440" w:lineRule="exact"/>
              <w:jc w:val="left"/>
              <w:rPr>
                <w:rFonts w:hAnsi="宋体" w:cs="宋体"/>
                <w:color w:val="auto"/>
                <w:sz w:val="24"/>
                <w:szCs w:val="24"/>
                <w:highlight w:val="none"/>
              </w:rPr>
            </w:pPr>
          </w:p>
        </w:tc>
      </w:tr>
      <w:tr w14:paraId="7305D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4CF8AE0F">
            <w:pPr>
              <w:pStyle w:val="23"/>
              <w:spacing w:line="440" w:lineRule="exact"/>
              <w:jc w:val="center"/>
              <w:rPr>
                <w:rFonts w:hAnsi="宋体" w:cs="宋体"/>
                <w:color w:val="auto"/>
                <w:sz w:val="21"/>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14:paraId="4F4D3465">
            <w:pPr>
              <w:pStyle w:val="23"/>
              <w:spacing w:line="440" w:lineRule="exact"/>
              <w:jc w:val="left"/>
              <w:rPr>
                <w:rFonts w:hAnsi="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40B239FB">
            <w:pPr>
              <w:pStyle w:val="23"/>
              <w:spacing w:line="440" w:lineRule="exact"/>
              <w:jc w:val="left"/>
              <w:rPr>
                <w:rFonts w:hAnsi="宋体" w:cs="宋体"/>
                <w:color w:val="auto"/>
                <w:sz w:val="24"/>
                <w:szCs w:val="24"/>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14:paraId="27EECA82">
            <w:pPr>
              <w:pStyle w:val="23"/>
              <w:spacing w:line="440" w:lineRule="exact"/>
              <w:jc w:val="left"/>
              <w:rPr>
                <w:rFonts w:hAnsi="宋体" w:cs="宋体"/>
                <w:color w:val="auto"/>
                <w:sz w:val="24"/>
                <w:szCs w:val="24"/>
                <w:highlight w:val="none"/>
              </w:rPr>
            </w:pPr>
          </w:p>
        </w:tc>
      </w:tr>
      <w:tr w14:paraId="14953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6E97EA3E">
            <w:pPr>
              <w:pStyle w:val="23"/>
              <w:spacing w:line="440" w:lineRule="exact"/>
              <w:jc w:val="center"/>
              <w:rPr>
                <w:rFonts w:hAnsi="宋体" w:cs="宋体"/>
                <w:color w:val="auto"/>
                <w:sz w:val="21"/>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14:paraId="1E1E9DD5">
            <w:pPr>
              <w:pStyle w:val="23"/>
              <w:spacing w:line="440" w:lineRule="exact"/>
              <w:jc w:val="left"/>
              <w:rPr>
                <w:rFonts w:hAnsi="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752C828F">
            <w:pPr>
              <w:pStyle w:val="23"/>
              <w:spacing w:line="440" w:lineRule="exact"/>
              <w:jc w:val="left"/>
              <w:rPr>
                <w:rFonts w:hAnsi="宋体" w:cs="宋体"/>
                <w:color w:val="auto"/>
                <w:sz w:val="24"/>
                <w:szCs w:val="24"/>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14:paraId="00604EA7">
            <w:pPr>
              <w:pStyle w:val="23"/>
              <w:spacing w:line="440" w:lineRule="exact"/>
              <w:jc w:val="left"/>
              <w:rPr>
                <w:rFonts w:hAnsi="宋体" w:cs="宋体"/>
                <w:color w:val="auto"/>
                <w:sz w:val="24"/>
                <w:szCs w:val="24"/>
                <w:highlight w:val="none"/>
              </w:rPr>
            </w:pPr>
          </w:p>
        </w:tc>
      </w:tr>
      <w:tr w14:paraId="69F6A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240B9FCC">
            <w:pPr>
              <w:pStyle w:val="23"/>
              <w:spacing w:line="440" w:lineRule="exact"/>
              <w:jc w:val="center"/>
              <w:rPr>
                <w:rFonts w:hAnsi="宋体" w:cs="宋体"/>
                <w:color w:val="auto"/>
                <w:sz w:val="24"/>
                <w:szCs w:val="24"/>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14:paraId="556E560E">
            <w:pPr>
              <w:pStyle w:val="23"/>
              <w:spacing w:line="440" w:lineRule="exact"/>
              <w:jc w:val="left"/>
              <w:rPr>
                <w:rFonts w:hAnsi="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06CE2BBC">
            <w:pPr>
              <w:pStyle w:val="23"/>
              <w:spacing w:line="440" w:lineRule="exact"/>
              <w:jc w:val="left"/>
              <w:rPr>
                <w:rFonts w:hAnsi="宋体" w:cs="宋体"/>
                <w:color w:val="auto"/>
                <w:sz w:val="24"/>
                <w:szCs w:val="24"/>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14:paraId="00DB7326">
            <w:pPr>
              <w:pStyle w:val="23"/>
              <w:spacing w:line="440" w:lineRule="exact"/>
              <w:jc w:val="left"/>
              <w:rPr>
                <w:rFonts w:hAnsi="宋体" w:cs="宋体"/>
                <w:color w:val="auto"/>
                <w:sz w:val="24"/>
                <w:szCs w:val="24"/>
                <w:highlight w:val="none"/>
              </w:rPr>
            </w:pPr>
          </w:p>
        </w:tc>
      </w:tr>
      <w:tr w14:paraId="7CB25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7C9105BF">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w:t>
            </w:r>
          </w:p>
        </w:tc>
        <w:tc>
          <w:tcPr>
            <w:tcW w:w="2977" w:type="dxa"/>
            <w:tcBorders>
              <w:top w:val="single" w:color="auto" w:sz="4" w:space="0"/>
              <w:left w:val="single" w:color="auto" w:sz="4" w:space="0"/>
              <w:bottom w:val="single" w:color="auto" w:sz="4" w:space="0"/>
              <w:right w:val="single" w:color="auto" w:sz="4" w:space="0"/>
            </w:tcBorders>
            <w:vAlign w:val="center"/>
          </w:tcPr>
          <w:p w14:paraId="1D701D21">
            <w:pPr>
              <w:pStyle w:val="23"/>
              <w:spacing w:line="440" w:lineRule="exact"/>
              <w:jc w:val="left"/>
              <w:rPr>
                <w:rFonts w:hAnsi="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19EFC01D">
            <w:pPr>
              <w:pStyle w:val="23"/>
              <w:spacing w:line="440" w:lineRule="exact"/>
              <w:jc w:val="left"/>
              <w:rPr>
                <w:rFonts w:hAnsi="宋体" w:cs="宋体"/>
                <w:color w:val="auto"/>
                <w:sz w:val="24"/>
                <w:szCs w:val="24"/>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14:paraId="52F5F657">
            <w:pPr>
              <w:pStyle w:val="23"/>
              <w:spacing w:line="440" w:lineRule="exact"/>
              <w:jc w:val="left"/>
              <w:rPr>
                <w:rFonts w:hAnsi="宋体" w:cs="宋体"/>
                <w:color w:val="auto"/>
                <w:sz w:val="24"/>
                <w:szCs w:val="24"/>
                <w:highlight w:val="none"/>
              </w:rPr>
            </w:pPr>
          </w:p>
        </w:tc>
      </w:tr>
    </w:tbl>
    <w:p w14:paraId="017D7DD9">
      <w:pPr>
        <w:spacing w:line="440" w:lineRule="exact"/>
        <w:rPr>
          <w:rFonts w:hint="eastAsia" w:ascii="宋体" w:hAnsi="宋体" w:cs="宋体"/>
          <w:b w:val="0"/>
          <w:bCs/>
          <w:color w:val="auto"/>
          <w:szCs w:val="21"/>
          <w:highlight w:val="none"/>
        </w:rPr>
      </w:pPr>
      <w:r>
        <w:rPr>
          <w:rFonts w:hint="eastAsia" w:ascii="宋体" w:hAnsi="宋体" w:cs="宋体"/>
          <w:b w:val="0"/>
          <w:bCs/>
          <w:color w:val="auto"/>
          <w:szCs w:val="21"/>
          <w:highlight w:val="none"/>
        </w:rPr>
        <w:t>注：</w:t>
      </w:r>
    </w:p>
    <w:p w14:paraId="1F91FCCE">
      <w:pPr>
        <w:spacing w:line="440" w:lineRule="exact"/>
        <w:rPr>
          <w:rFonts w:hint="eastAsia" w:ascii="宋体" w:hAnsi="宋体" w:cs="宋体"/>
          <w:b w:val="0"/>
          <w:bCs/>
          <w:color w:val="auto"/>
          <w:szCs w:val="21"/>
          <w:highlight w:val="none"/>
        </w:rPr>
      </w:pPr>
      <w:r>
        <w:rPr>
          <w:rFonts w:hint="eastAsia" w:ascii="宋体" w:hAnsi="宋体" w:cs="宋体"/>
          <w:b w:val="0"/>
          <w:bCs/>
          <w:color w:val="auto"/>
          <w:szCs w:val="21"/>
          <w:highlight w:val="none"/>
        </w:rPr>
        <w:t>1. 说明：应对照磋商文件“第三章 项目采购需求”中的</w:t>
      </w:r>
      <w:r>
        <w:rPr>
          <w:rFonts w:hint="eastAsia" w:ascii="宋体" w:hAnsi="宋体" w:cs="宋体"/>
          <w:b w:val="0"/>
          <w:bCs/>
          <w:color w:val="auto"/>
          <w:szCs w:val="21"/>
          <w:highlight w:val="none"/>
          <w:lang w:val="en-US" w:eastAsia="zh-CN"/>
        </w:rPr>
        <w:t>商务要求</w:t>
      </w:r>
      <w:r>
        <w:rPr>
          <w:rFonts w:hint="eastAsia" w:ascii="宋体" w:hAnsi="宋体" w:cs="宋体"/>
          <w:b w:val="0"/>
          <w:bCs/>
          <w:color w:val="auto"/>
          <w:szCs w:val="21"/>
          <w:highlight w:val="none"/>
        </w:rPr>
        <w:t>逐条实质性响应，并作出偏离说明。</w:t>
      </w:r>
    </w:p>
    <w:p w14:paraId="1D40B684">
      <w:pPr>
        <w:spacing w:line="440" w:lineRule="exact"/>
        <w:rPr>
          <w:rFonts w:hint="eastAsia" w:ascii="宋体" w:hAnsi="宋体" w:eastAsia="宋体" w:cs="宋体"/>
          <w:b w:val="0"/>
          <w:bCs/>
          <w:color w:val="auto"/>
          <w:szCs w:val="21"/>
          <w:highlight w:val="none"/>
          <w:lang w:eastAsia="zh-CN"/>
        </w:rPr>
      </w:pPr>
      <w:r>
        <w:rPr>
          <w:rFonts w:hint="eastAsia" w:ascii="宋体" w:hAnsi="宋体" w:cs="宋体"/>
          <w:b w:val="0"/>
          <w:bCs/>
          <w:color w:val="auto"/>
          <w:szCs w:val="21"/>
          <w:highlight w:val="none"/>
        </w:rPr>
        <w:t>2.供应商应根据自身的承诺，对照竞争性磋商文件要求在“偏离说明”中注明“正偏离”、“负偏离”或者“无偏离”。既不属于“正偏离”也不属于“负偏离”即为“无偏离”</w:t>
      </w:r>
      <w:r>
        <w:rPr>
          <w:rFonts w:hint="eastAsia" w:ascii="宋体" w:hAnsi="宋体" w:cs="宋体"/>
          <w:b w:val="0"/>
          <w:bCs/>
          <w:color w:val="auto"/>
          <w:szCs w:val="21"/>
          <w:highlight w:val="none"/>
          <w:lang w:eastAsia="zh-CN"/>
        </w:rPr>
        <w:t>。</w:t>
      </w:r>
      <w:r>
        <w:rPr>
          <w:rFonts w:hint="eastAsia" w:ascii="宋体" w:hAnsi="宋体" w:cs="宋体"/>
          <w:color w:val="auto"/>
          <w:kern w:val="0"/>
          <w:szCs w:val="21"/>
          <w:highlight w:val="none"/>
        </w:rPr>
        <w:t>当响应文件的内容低于竞争性磋商采购文件要求时，供应商应当如实写明“负偏离”。</w:t>
      </w:r>
    </w:p>
    <w:p w14:paraId="6DCE2955">
      <w:pPr>
        <w:spacing w:line="440" w:lineRule="exact"/>
        <w:rPr>
          <w:rFonts w:ascii="宋体" w:hAnsi="宋体" w:cs="宋体"/>
          <w:b/>
          <w:color w:val="auto"/>
          <w:szCs w:val="21"/>
          <w:highlight w:val="none"/>
        </w:rPr>
      </w:pPr>
    </w:p>
    <w:p w14:paraId="47A76510">
      <w:pPr>
        <w:spacing w:line="440" w:lineRule="exact"/>
        <w:rPr>
          <w:rFonts w:ascii="宋体" w:hAnsi="宋体" w:cs="宋体"/>
          <w:b/>
          <w:color w:val="auto"/>
          <w:szCs w:val="21"/>
          <w:highlight w:val="none"/>
        </w:rPr>
      </w:pPr>
    </w:p>
    <w:p w14:paraId="6B5816CE">
      <w:pPr>
        <w:spacing w:line="440" w:lineRule="exact"/>
        <w:rPr>
          <w:rFonts w:ascii="宋体" w:hAnsi="宋体" w:cs="宋体"/>
          <w:b/>
          <w:color w:val="auto"/>
          <w:szCs w:val="21"/>
          <w:highlight w:val="none"/>
        </w:rPr>
      </w:pPr>
    </w:p>
    <w:p w14:paraId="793D736B">
      <w:pPr>
        <w:spacing w:line="440" w:lineRule="exact"/>
        <w:rPr>
          <w:rFonts w:ascii="宋体" w:hAnsi="宋体" w:cs="宋体"/>
          <w:b/>
          <w:color w:val="auto"/>
          <w:szCs w:val="21"/>
          <w:highlight w:val="none"/>
        </w:rPr>
      </w:pPr>
    </w:p>
    <w:p w14:paraId="7CF30EBA">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209025B2">
      <w:pPr>
        <w:spacing w:line="44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14:paraId="2E10F912">
      <w:pPr>
        <w:spacing w:line="440" w:lineRule="exact"/>
        <w:rPr>
          <w:rFonts w:ascii="宋体" w:hAnsi="宋体" w:cs="宋体"/>
          <w:b/>
          <w:color w:val="auto"/>
          <w:szCs w:val="21"/>
          <w:highlight w:val="none"/>
        </w:rPr>
      </w:pPr>
    </w:p>
    <w:p w14:paraId="76C791F1">
      <w:pPr>
        <w:spacing w:line="440" w:lineRule="exact"/>
        <w:rPr>
          <w:rFonts w:ascii="宋体" w:hAnsi="宋体" w:cs="宋体"/>
          <w:b/>
          <w:color w:val="auto"/>
          <w:szCs w:val="21"/>
          <w:highlight w:val="none"/>
        </w:rPr>
      </w:pPr>
    </w:p>
    <w:p w14:paraId="08AE13F2">
      <w:pPr>
        <w:spacing w:line="440" w:lineRule="exact"/>
        <w:rPr>
          <w:rFonts w:ascii="宋体" w:hAnsi="宋体" w:cs="宋体"/>
          <w:b/>
          <w:color w:val="auto"/>
          <w:szCs w:val="21"/>
          <w:highlight w:val="none"/>
        </w:rPr>
      </w:pPr>
    </w:p>
    <w:p w14:paraId="6953BA41">
      <w:pPr>
        <w:spacing w:line="440" w:lineRule="exact"/>
        <w:rPr>
          <w:rFonts w:ascii="宋体" w:hAnsi="宋体" w:cs="宋体"/>
          <w:b/>
          <w:color w:val="auto"/>
          <w:szCs w:val="21"/>
          <w:highlight w:val="none"/>
        </w:rPr>
      </w:pPr>
      <w:r>
        <w:rPr>
          <w:rFonts w:hint="eastAsia" w:ascii="宋体" w:hAnsi="宋体" w:cs="宋体"/>
          <w:b/>
          <w:color w:val="auto"/>
          <w:szCs w:val="21"/>
          <w:highlight w:val="none"/>
        </w:rPr>
        <w:t>四、技术响应表格式</w:t>
      </w:r>
    </w:p>
    <w:p w14:paraId="07810B66">
      <w:pPr>
        <w:spacing w:line="440" w:lineRule="exact"/>
        <w:jc w:val="center"/>
        <w:rPr>
          <w:rFonts w:ascii="宋体" w:hAnsi="宋体" w:cs="宋体"/>
          <w:b/>
          <w:bCs/>
          <w:color w:val="auto"/>
          <w:kern w:val="0"/>
          <w:sz w:val="30"/>
          <w:highlight w:val="none"/>
        </w:rPr>
      </w:pPr>
      <w:r>
        <w:rPr>
          <w:rFonts w:hint="eastAsia" w:ascii="宋体" w:hAnsi="宋体" w:cs="宋体"/>
          <w:b/>
          <w:bCs/>
          <w:color w:val="auto"/>
          <w:kern w:val="0"/>
          <w:sz w:val="30"/>
          <w:highlight w:val="none"/>
        </w:rPr>
        <w:t>技术响应表（格式）</w:t>
      </w:r>
    </w:p>
    <w:p w14:paraId="1247CB29">
      <w:pPr>
        <w:spacing w:line="440" w:lineRule="exact"/>
        <w:rPr>
          <w:rFonts w:ascii="宋体" w:hAnsi="宋体" w:cs="宋体"/>
          <w:color w:val="auto"/>
          <w:szCs w:val="21"/>
          <w:highlight w:val="none"/>
        </w:rPr>
      </w:pPr>
      <w:r>
        <w:rPr>
          <w:rFonts w:hint="eastAsia" w:ascii="宋体" w:hAnsi="宋体" w:cs="宋体"/>
          <w:color w:val="auto"/>
          <w:szCs w:val="21"/>
          <w:highlight w:val="none"/>
        </w:rPr>
        <w:t>项目名称:</w:t>
      </w:r>
    </w:p>
    <w:p w14:paraId="4D1D6AB4">
      <w:pPr>
        <w:snapToGrid w:val="0"/>
        <w:spacing w:before="50" w:after="50" w:line="440" w:lineRule="exact"/>
        <w:rPr>
          <w:rFonts w:ascii="宋体" w:hAnsi="宋体" w:cs="宋体"/>
          <w:color w:val="auto"/>
          <w:highlight w:val="none"/>
          <w:u w:val="single"/>
        </w:rPr>
      </w:pPr>
      <w:r>
        <w:rPr>
          <w:rFonts w:hint="eastAsia" w:ascii="宋体" w:hAnsi="宋体" w:cs="宋体"/>
          <w:color w:val="auto"/>
          <w:szCs w:val="21"/>
          <w:highlight w:val="none"/>
        </w:rPr>
        <w:t>项目编号:</w:t>
      </w:r>
    </w:p>
    <w:p w14:paraId="13498097">
      <w:pPr>
        <w:snapToGrid w:val="0"/>
        <w:spacing w:before="50" w:after="50" w:line="440" w:lineRule="exact"/>
        <w:rPr>
          <w:rFonts w:ascii="宋体" w:hAnsi="宋体" w:cs="宋体"/>
          <w:color w:val="auto"/>
          <w:highlight w:val="none"/>
        </w:rPr>
      </w:pPr>
      <w:r>
        <w:rPr>
          <w:rFonts w:hint="eastAsia" w:ascii="宋体" w:hAnsi="宋体" w:cs="宋体"/>
          <w:color w:val="auto"/>
          <w:highlight w:val="none"/>
          <w:lang w:eastAsia="zh-CN"/>
        </w:rPr>
        <w:t>标项</w:t>
      </w:r>
      <w:r>
        <w:rPr>
          <w:rFonts w:hint="eastAsia" w:ascii="宋体" w:hAnsi="宋体" w:cs="宋体"/>
          <w:color w:val="auto"/>
          <w:highlight w:val="none"/>
        </w:rPr>
        <w:t>：</w:t>
      </w:r>
    </w:p>
    <w:tbl>
      <w:tblPr>
        <w:tblStyle w:val="41"/>
        <w:tblW w:w="8970"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7"/>
        <w:gridCol w:w="1364"/>
        <w:gridCol w:w="1895"/>
        <w:gridCol w:w="1906"/>
        <w:gridCol w:w="2978"/>
      </w:tblGrid>
      <w:tr w14:paraId="5224D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4" w:hRule="exact"/>
        </w:trPr>
        <w:tc>
          <w:tcPr>
            <w:tcW w:w="827" w:type="dxa"/>
            <w:tcBorders>
              <w:top w:val="single" w:color="000000" w:sz="4" w:space="0"/>
              <w:left w:val="single" w:color="000000" w:sz="4" w:space="0"/>
              <w:bottom w:val="single" w:color="000000" w:sz="4" w:space="0"/>
              <w:right w:val="single" w:color="000000" w:sz="4" w:space="0"/>
            </w:tcBorders>
            <w:vAlign w:val="center"/>
          </w:tcPr>
          <w:p w14:paraId="30EF6F56">
            <w:pPr>
              <w:pStyle w:val="207"/>
              <w:spacing w:line="440" w:lineRule="exact"/>
              <w:ind w:left="174" w:right="181"/>
              <w:jc w:val="center"/>
              <w:rPr>
                <w:color w:val="auto"/>
                <w:kern w:val="2"/>
                <w:sz w:val="21"/>
                <w:highlight w:val="none"/>
              </w:rPr>
            </w:pPr>
            <w:r>
              <w:rPr>
                <w:rFonts w:hint="eastAsia"/>
                <w:color w:val="auto"/>
                <w:kern w:val="2"/>
                <w:sz w:val="21"/>
                <w:highlight w:val="none"/>
              </w:rPr>
              <w:t>项号</w:t>
            </w:r>
          </w:p>
        </w:tc>
        <w:tc>
          <w:tcPr>
            <w:tcW w:w="1364" w:type="dxa"/>
            <w:tcBorders>
              <w:top w:val="single" w:color="000000" w:sz="4" w:space="0"/>
              <w:left w:val="single" w:color="000000" w:sz="4" w:space="0"/>
              <w:bottom w:val="single" w:color="000000" w:sz="4" w:space="0"/>
              <w:right w:val="single" w:color="000000" w:sz="4" w:space="0"/>
            </w:tcBorders>
            <w:vAlign w:val="center"/>
          </w:tcPr>
          <w:p w14:paraId="5764DBAD">
            <w:pPr>
              <w:pStyle w:val="207"/>
              <w:spacing w:line="440" w:lineRule="exact"/>
              <w:ind w:left="254" w:right="0"/>
              <w:rPr>
                <w:color w:val="auto"/>
                <w:kern w:val="2"/>
                <w:sz w:val="21"/>
                <w:highlight w:val="none"/>
                <w:lang w:eastAsia="zh-CN"/>
              </w:rPr>
            </w:pPr>
            <w:r>
              <w:rPr>
                <w:rFonts w:hint="eastAsia"/>
                <w:color w:val="auto"/>
                <w:kern w:val="2"/>
                <w:sz w:val="21"/>
                <w:highlight w:val="none"/>
                <w:lang w:eastAsia="zh-CN"/>
              </w:rPr>
              <w:t>标的</w:t>
            </w:r>
            <w:r>
              <w:rPr>
                <w:rFonts w:hint="eastAsia"/>
                <w:color w:val="auto"/>
                <w:kern w:val="2"/>
                <w:sz w:val="21"/>
                <w:highlight w:val="none"/>
              </w:rPr>
              <w:t>名称</w:t>
            </w:r>
          </w:p>
        </w:tc>
        <w:tc>
          <w:tcPr>
            <w:tcW w:w="1895" w:type="dxa"/>
            <w:tcBorders>
              <w:top w:val="single" w:color="000000" w:sz="4" w:space="0"/>
              <w:left w:val="single" w:color="000000" w:sz="4" w:space="0"/>
              <w:bottom w:val="single" w:color="000000" w:sz="4" w:space="0"/>
              <w:right w:val="single" w:color="auto" w:sz="4" w:space="0"/>
            </w:tcBorders>
            <w:vAlign w:val="center"/>
          </w:tcPr>
          <w:p w14:paraId="5E3D3C6F">
            <w:pPr>
              <w:snapToGrid w:val="0"/>
              <w:spacing w:before="120" w:beforeLines="50" w:line="440" w:lineRule="exact"/>
              <w:jc w:val="center"/>
              <w:rPr>
                <w:rFonts w:ascii="宋体" w:hAnsi="宋体" w:cs="宋体"/>
                <w:color w:val="auto"/>
                <w:szCs w:val="21"/>
                <w:highlight w:val="none"/>
              </w:rPr>
            </w:pPr>
            <w:r>
              <w:rPr>
                <w:rFonts w:hint="eastAsia" w:ascii="宋体" w:hAnsi="宋体" w:cs="宋体"/>
                <w:color w:val="auto"/>
                <w:szCs w:val="21"/>
                <w:highlight w:val="none"/>
                <w:lang w:eastAsia="zh-CN"/>
              </w:rPr>
              <w:t>磋商采购文件</w:t>
            </w:r>
            <w:r>
              <w:rPr>
                <w:rFonts w:hint="eastAsia" w:ascii="宋体" w:hAnsi="宋体" w:cs="宋体"/>
                <w:color w:val="auto"/>
                <w:szCs w:val="21"/>
                <w:highlight w:val="none"/>
              </w:rPr>
              <w:t>要求</w:t>
            </w:r>
          </w:p>
        </w:tc>
        <w:tc>
          <w:tcPr>
            <w:tcW w:w="1906" w:type="dxa"/>
            <w:tcBorders>
              <w:top w:val="single" w:color="000000" w:sz="4" w:space="0"/>
              <w:left w:val="single" w:color="auto" w:sz="4" w:space="0"/>
              <w:bottom w:val="single" w:color="000000" w:sz="4" w:space="0"/>
              <w:right w:val="single" w:color="000000" w:sz="4" w:space="0"/>
            </w:tcBorders>
            <w:vAlign w:val="center"/>
          </w:tcPr>
          <w:p w14:paraId="4C12377B">
            <w:pPr>
              <w:snapToGrid w:val="0"/>
              <w:spacing w:before="120" w:beforeLines="50" w:line="440" w:lineRule="exact"/>
              <w:jc w:val="center"/>
              <w:rPr>
                <w:rFonts w:ascii="宋体" w:hAnsi="宋体" w:cs="宋体"/>
                <w:color w:val="auto"/>
                <w:szCs w:val="21"/>
                <w:highlight w:val="none"/>
              </w:rPr>
            </w:pPr>
            <w:r>
              <w:rPr>
                <w:rFonts w:hint="eastAsia" w:ascii="宋体" w:hAnsi="宋体" w:cs="宋体"/>
                <w:color w:val="auto"/>
                <w:szCs w:val="21"/>
                <w:highlight w:val="none"/>
              </w:rPr>
              <w:t>响应文件响应</w:t>
            </w:r>
          </w:p>
        </w:tc>
        <w:tc>
          <w:tcPr>
            <w:tcW w:w="2978" w:type="dxa"/>
            <w:tcBorders>
              <w:top w:val="single" w:color="000000" w:sz="4" w:space="0"/>
              <w:left w:val="single" w:color="000000" w:sz="4" w:space="0"/>
              <w:bottom w:val="single" w:color="000000" w:sz="4" w:space="0"/>
              <w:right w:val="single" w:color="000000" w:sz="4" w:space="0"/>
            </w:tcBorders>
            <w:vAlign w:val="center"/>
          </w:tcPr>
          <w:p w14:paraId="3770BE67">
            <w:pPr>
              <w:pStyle w:val="207"/>
              <w:spacing w:line="440" w:lineRule="exact"/>
              <w:ind w:left="-2" w:leftChars="-1" w:right="131"/>
              <w:jc w:val="center"/>
              <w:rPr>
                <w:color w:val="auto"/>
                <w:kern w:val="2"/>
                <w:sz w:val="21"/>
                <w:highlight w:val="none"/>
              </w:rPr>
            </w:pPr>
            <w:r>
              <w:rPr>
                <w:rFonts w:hint="eastAsia"/>
                <w:color w:val="auto"/>
                <w:kern w:val="2"/>
                <w:sz w:val="21"/>
                <w:highlight w:val="none"/>
              </w:rPr>
              <w:t>偏离情况说明</w:t>
            </w:r>
          </w:p>
        </w:tc>
      </w:tr>
      <w:tr w14:paraId="19729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trPr>
        <w:tc>
          <w:tcPr>
            <w:tcW w:w="827" w:type="dxa"/>
            <w:tcBorders>
              <w:top w:val="single" w:color="000000" w:sz="4" w:space="0"/>
              <w:left w:val="single" w:color="000000" w:sz="4" w:space="0"/>
              <w:bottom w:val="single" w:color="000000" w:sz="4" w:space="0"/>
              <w:right w:val="single" w:color="000000" w:sz="4" w:space="0"/>
            </w:tcBorders>
          </w:tcPr>
          <w:p w14:paraId="6D2D9DF7">
            <w:pPr>
              <w:pStyle w:val="207"/>
              <w:spacing w:before="167" w:line="440" w:lineRule="exact"/>
              <w:ind w:left="0" w:right="7"/>
              <w:jc w:val="center"/>
              <w:rPr>
                <w:color w:val="auto"/>
                <w:kern w:val="2"/>
                <w:sz w:val="21"/>
                <w:highlight w:val="none"/>
              </w:rPr>
            </w:pPr>
            <w:r>
              <w:rPr>
                <w:rFonts w:hint="eastAsia"/>
                <w:color w:val="auto"/>
                <w:kern w:val="2"/>
                <w:sz w:val="21"/>
                <w:highlight w:val="none"/>
              </w:rPr>
              <w:t>1</w:t>
            </w:r>
          </w:p>
        </w:tc>
        <w:tc>
          <w:tcPr>
            <w:tcW w:w="1364" w:type="dxa"/>
            <w:tcBorders>
              <w:top w:val="single" w:color="000000" w:sz="4" w:space="0"/>
              <w:left w:val="single" w:color="000000" w:sz="4" w:space="0"/>
              <w:bottom w:val="single" w:color="000000" w:sz="4" w:space="0"/>
              <w:right w:val="single" w:color="000000" w:sz="4" w:space="0"/>
            </w:tcBorders>
          </w:tcPr>
          <w:p w14:paraId="623E7487">
            <w:pPr>
              <w:spacing w:line="440" w:lineRule="exact"/>
              <w:rPr>
                <w:rFonts w:ascii="宋体" w:hAnsi="宋体" w:cs="宋体"/>
                <w:color w:val="auto"/>
                <w:highlight w:val="none"/>
              </w:rPr>
            </w:pPr>
          </w:p>
        </w:tc>
        <w:tc>
          <w:tcPr>
            <w:tcW w:w="1895" w:type="dxa"/>
            <w:tcBorders>
              <w:top w:val="single" w:color="000000" w:sz="4" w:space="0"/>
              <w:left w:val="single" w:color="000000" w:sz="4" w:space="0"/>
              <w:bottom w:val="single" w:color="000000" w:sz="4" w:space="0"/>
              <w:right w:val="single" w:color="auto" w:sz="4" w:space="0"/>
            </w:tcBorders>
          </w:tcPr>
          <w:p w14:paraId="0D10F362">
            <w:pPr>
              <w:spacing w:line="440" w:lineRule="exact"/>
              <w:rPr>
                <w:rFonts w:ascii="宋体" w:hAnsi="宋体" w:cs="宋体"/>
                <w:color w:val="auto"/>
                <w:highlight w:val="none"/>
              </w:rPr>
            </w:pPr>
          </w:p>
        </w:tc>
        <w:tc>
          <w:tcPr>
            <w:tcW w:w="1906" w:type="dxa"/>
            <w:tcBorders>
              <w:top w:val="single" w:color="000000" w:sz="4" w:space="0"/>
              <w:left w:val="single" w:color="auto" w:sz="4" w:space="0"/>
              <w:bottom w:val="single" w:color="000000" w:sz="4" w:space="0"/>
              <w:right w:val="single" w:color="000000" w:sz="4" w:space="0"/>
            </w:tcBorders>
          </w:tcPr>
          <w:p w14:paraId="2B2EE803">
            <w:pPr>
              <w:spacing w:line="440" w:lineRule="exact"/>
              <w:rPr>
                <w:rFonts w:ascii="宋体" w:hAnsi="宋体" w:cs="宋体"/>
                <w:color w:val="auto"/>
                <w:highlight w:val="none"/>
              </w:rPr>
            </w:pPr>
          </w:p>
        </w:tc>
        <w:tc>
          <w:tcPr>
            <w:tcW w:w="2978" w:type="dxa"/>
            <w:tcBorders>
              <w:top w:val="single" w:color="000000" w:sz="4" w:space="0"/>
              <w:left w:val="single" w:color="000000" w:sz="4" w:space="0"/>
              <w:bottom w:val="single" w:color="000000" w:sz="4" w:space="0"/>
              <w:right w:val="single" w:color="000000" w:sz="4" w:space="0"/>
            </w:tcBorders>
          </w:tcPr>
          <w:p w14:paraId="7D66FBAE">
            <w:pPr>
              <w:spacing w:line="440" w:lineRule="exact"/>
              <w:rPr>
                <w:rFonts w:ascii="宋体" w:hAnsi="宋体" w:cs="宋体"/>
                <w:color w:val="auto"/>
                <w:highlight w:val="none"/>
              </w:rPr>
            </w:pPr>
          </w:p>
        </w:tc>
      </w:tr>
      <w:tr w14:paraId="725B6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exact"/>
        </w:trPr>
        <w:tc>
          <w:tcPr>
            <w:tcW w:w="827" w:type="dxa"/>
            <w:tcBorders>
              <w:top w:val="single" w:color="000000" w:sz="4" w:space="0"/>
              <w:left w:val="single" w:color="000000" w:sz="4" w:space="0"/>
              <w:bottom w:val="single" w:color="000000" w:sz="4" w:space="0"/>
              <w:right w:val="single" w:color="000000" w:sz="4" w:space="0"/>
            </w:tcBorders>
          </w:tcPr>
          <w:p w14:paraId="5855508F">
            <w:pPr>
              <w:pStyle w:val="207"/>
              <w:spacing w:before="167" w:line="440" w:lineRule="exact"/>
              <w:ind w:left="0" w:right="7"/>
              <w:jc w:val="center"/>
              <w:rPr>
                <w:color w:val="auto"/>
                <w:kern w:val="2"/>
                <w:sz w:val="21"/>
                <w:highlight w:val="none"/>
              </w:rPr>
            </w:pPr>
            <w:r>
              <w:rPr>
                <w:rFonts w:hint="eastAsia"/>
                <w:color w:val="auto"/>
                <w:kern w:val="2"/>
                <w:sz w:val="21"/>
                <w:highlight w:val="none"/>
              </w:rPr>
              <w:t>2</w:t>
            </w:r>
          </w:p>
        </w:tc>
        <w:tc>
          <w:tcPr>
            <w:tcW w:w="1364" w:type="dxa"/>
            <w:tcBorders>
              <w:top w:val="single" w:color="000000" w:sz="4" w:space="0"/>
              <w:left w:val="single" w:color="000000" w:sz="4" w:space="0"/>
              <w:bottom w:val="single" w:color="000000" w:sz="4" w:space="0"/>
              <w:right w:val="single" w:color="000000" w:sz="4" w:space="0"/>
            </w:tcBorders>
          </w:tcPr>
          <w:p w14:paraId="6DC4558B">
            <w:pPr>
              <w:spacing w:line="440" w:lineRule="exact"/>
              <w:rPr>
                <w:rFonts w:ascii="宋体" w:hAnsi="宋体" w:cs="宋体"/>
                <w:color w:val="auto"/>
                <w:highlight w:val="none"/>
              </w:rPr>
            </w:pPr>
          </w:p>
        </w:tc>
        <w:tc>
          <w:tcPr>
            <w:tcW w:w="1895" w:type="dxa"/>
            <w:tcBorders>
              <w:top w:val="single" w:color="000000" w:sz="4" w:space="0"/>
              <w:left w:val="single" w:color="000000" w:sz="4" w:space="0"/>
              <w:bottom w:val="single" w:color="000000" w:sz="4" w:space="0"/>
              <w:right w:val="single" w:color="auto" w:sz="4" w:space="0"/>
            </w:tcBorders>
          </w:tcPr>
          <w:p w14:paraId="06944FFE">
            <w:pPr>
              <w:spacing w:line="440" w:lineRule="exact"/>
              <w:rPr>
                <w:rFonts w:ascii="宋体" w:hAnsi="宋体" w:cs="宋体"/>
                <w:color w:val="auto"/>
                <w:highlight w:val="none"/>
              </w:rPr>
            </w:pPr>
          </w:p>
        </w:tc>
        <w:tc>
          <w:tcPr>
            <w:tcW w:w="1906" w:type="dxa"/>
            <w:tcBorders>
              <w:top w:val="single" w:color="000000" w:sz="4" w:space="0"/>
              <w:left w:val="single" w:color="auto" w:sz="4" w:space="0"/>
              <w:bottom w:val="single" w:color="000000" w:sz="4" w:space="0"/>
              <w:right w:val="single" w:color="000000" w:sz="4" w:space="0"/>
            </w:tcBorders>
          </w:tcPr>
          <w:p w14:paraId="01CBBC2E">
            <w:pPr>
              <w:spacing w:line="440" w:lineRule="exact"/>
              <w:rPr>
                <w:rFonts w:ascii="宋体" w:hAnsi="宋体" w:cs="宋体"/>
                <w:color w:val="auto"/>
                <w:highlight w:val="none"/>
              </w:rPr>
            </w:pPr>
          </w:p>
        </w:tc>
        <w:tc>
          <w:tcPr>
            <w:tcW w:w="2978" w:type="dxa"/>
            <w:tcBorders>
              <w:top w:val="single" w:color="000000" w:sz="4" w:space="0"/>
              <w:left w:val="single" w:color="000000" w:sz="4" w:space="0"/>
              <w:bottom w:val="single" w:color="000000" w:sz="4" w:space="0"/>
              <w:right w:val="single" w:color="000000" w:sz="4" w:space="0"/>
            </w:tcBorders>
          </w:tcPr>
          <w:p w14:paraId="0415BF2D">
            <w:pPr>
              <w:spacing w:line="440" w:lineRule="exact"/>
              <w:rPr>
                <w:rFonts w:ascii="宋体" w:hAnsi="宋体" w:cs="宋体"/>
                <w:color w:val="auto"/>
                <w:highlight w:val="none"/>
              </w:rPr>
            </w:pPr>
          </w:p>
        </w:tc>
      </w:tr>
      <w:tr w14:paraId="5F797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exact"/>
        </w:trPr>
        <w:tc>
          <w:tcPr>
            <w:tcW w:w="827" w:type="dxa"/>
            <w:tcBorders>
              <w:top w:val="single" w:color="000000" w:sz="4" w:space="0"/>
              <w:left w:val="single" w:color="000000" w:sz="4" w:space="0"/>
              <w:bottom w:val="single" w:color="000000" w:sz="4" w:space="0"/>
              <w:right w:val="single" w:color="000000" w:sz="4" w:space="0"/>
            </w:tcBorders>
          </w:tcPr>
          <w:p w14:paraId="300C1075">
            <w:pPr>
              <w:pStyle w:val="207"/>
              <w:spacing w:before="177" w:line="440" w:lineRule="exact"/>
              <w:ind w:left="0" w:right="7"/>
              <w:jc w:val="center"/>
              <w:rPr>
                <w:color w:val="auto"/>
                <w:kern w:val="2"/>
                <w:sz w:val="21"/>
                <w:highlight w:val="none"/>
              </w:rPr>
            </w:pPr>
            <w:r>
              <w:rPr>
                <w:rFonts w:hint="eastAsia"/>
                <w:color w:val="auto"/>
                <w:kern w:val="2"/>
                <w:sz w:val="21"/>
                <w:highlight w:val="none"/>
              </w:rPr>
              <w:t>…</w:t>
            </w:r>
          </w:p>
        </w:tc>
        <w:tc>
          <w:tcPr>
            <w:tcW w:w="1364" w:type="dxa"/>
            <w:tcBorders>
              <w:top w:val="single" w:color="000000" w:sz="4" w:space="0"/>
              <w:left w:val="single" w:color="000000" w:sz="4" w:space="0"/>
              <w:bottom w:val="single" w:color="000000" w:sz="4" w:space="0"/>
              <w:right w:val="single" w:color="000000" w:sz="4" w:space="0"/>
            </w:tcBorders>
          </w:tcPr>
          <w:p w14:paraId="686F9CE6">
            <w:pPr>
              <w:spacing w:line="440" w:lineRule="exact"/>
              <w:rPr>
                <w:rFonts w:ascii="宋体" w:hAnsi="宋体" w:cs="宋体"/>
                <w:color w:val="auto"/>
                <w:highlight w:val="none"/>
              </w:rPr>
            </w:pPr>
          </w:p>
        </w:tc>
        <w:tc>
          <w:tcPr>
            <w:tcW w:w="1895" w:type="dxa"/>
            <w:tcBorders>
              <w:top w:val="single" w:color="000000" w:sz="4" w:space="0"/>
              <w:left w:val="single" w:color="000000" w:sz="4" w:space="0"/>
              <w:bottom w:val="single" w:color="000000" w:sz="4" w:space="0"/>
              <w:right w:val="single" w:color="auto" w:sz="4" w:space="0"/>
            </w:tcBorders>
          </w:tcPr>
          <w:p w14:paraId="3BF1FFB0">
            <w:pPr>
              <w:spacing w:line="440" w:lineRule="exact"/>
              <w:rPr>
                <w:rFonts w:ascii="宋体" w:hAnsi="宋体" w:cs="宋体"/>
                <w:color w:val="auto"/>
                <w:highlight w:val="none"/>
              </w:rPr>
            </w:pPr>
          </w:p>
        </w:tc>
        <w:tc>
          <w:tcPr>
            <w:tcW w:w="1906" w:type="dxa"/>
            <w:tcBorders>
              <w:top w:val="single" w:color="000000" w:sz="4" w:space="0"/>
              <w:left w:val="single" w:color="auto" w:sz="4" w:space="0"/>
              <w:bottom w:val="single" w:color="000000" w:sz="4" w:space="0"/>
              <w:right w:val="single" w:color="000000" w:sz="4" w:space="0"/>
            </w:tcBorders>
          </w:tcPr>
          <w:p w14:paraId="3B212B8F">
            <w:pPr>
              <w:spacing w:line="440" w:lineRule="exact"/>
              <w:rPr>
                <w:rFonts w:ascii="宋体" w:hAnsi="宋体" w:cs="宋体"/>
                <w:color w:val="auto"/>
                <w:highlight w:val="none"/>
              </w:rPr>
            </w:pPr>
          </w:p>
        </w:tc>
        <w:tc>
          <w:tcPr>
            <w:tcW w:w="2978" w:type="dxa"/>
            <w:tcBorders>
              <w:top w:val="single" w:color="000000" w:sz="4" w:space="0"/>
              <w:left w:val="single" w:color="000000" w:sz="4" w:space="0"/>
              <w:bottom w:val="single" w:color="000000" w:sz="4" w:space="0"/>
              <w:right w:val="single" w:color="000000" w:sz="4" w:space="0"/>
            </w:tcBorders>
          </w:tcPr>
          <w:p w14:paraId="7193A5D2">
            <w:pPr>
              <w:spacing w:line="440" w:lineRule="exact"/>
              <w:rPr>
                <w:rFonts w:ascii="宋体" w:hAnsi="宋体" w:cs="宋体"/>
                <w:color w:val="auto"/>
                <w:highlight w:val="none"/>
              </w:rPr>
            </w:pPr>
          </w:p>
        </w:tc>
      </w:tr>
      <w:tr w14:paraId="6F483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trPr>
        <w:tc>
          <w:tcPr>
            <w:tcW w:w="827" w:type="dxa"/>
            <w:tcBorders>
              <w:top w:val="single" w:color="000000" w:sz="4" w:space="0"/>
              <w:left w:val="single" w:color="000000" w:sz="4" w:space="0"/>
              <w:bottom w:val="single" w:color="000000" w:sz="4" w:space="0"/>
              <w:right w:val="single" w:color="000000" w:sz="4" w:space="0"/>
            </w:tcBorders>
          </w:tcPr>
          <w:p w14:paraId="223BD194">
            <w:pPr>
              <w:pStyle w:val="207"/>
              <w:spacing w:before="167" w:line="440" w:lineRule="exact"/>
              <w:ind w:left="0" w:right="7"/>
              <w:jc w:val="center"/>
              <w:rPr>
                <w:color w:val="auto"/>
                <w:kern w:val="2"/>
                <w:sz w:val="21"/>
                <w:highlight w:val="none"/>
              </w:rPr>
            </w:pPr>
            <w:r>
              <w:rPr>
                <w:rFonts w:hint="eastAsia"/>
                <w:color w:val="auto"/>
                <w:kern w:val="2"/>
                <w:sz w:val="21"/>
                <w:highlight w:val="none"/>
              </w:rPr>
              <w:t>N</w:t>
            </w:r>
          </w:p>
        </w:tc>
        <w:tc>
          <w:tcPr>
            <w:tcW w:w="1364" w:type="dxa"/>
            <w:tcBorders>
              <w:top w:val="single" w:color="000000" w:sz="4" w:space="0"/>
              <w:left w:val="single" w:color="000000" w:sz="4" w:space="0"/>
              <w:bottom w:val="single" w:color="000000" w:sz="4" w:space="0"/>
              <w:right w:val="single" w:color="000000" w:sz="4" w:space="0"/>
            </w:tcBorders>
          </w:tcPr>
          <w:p w14:paraId="4A48BEE1">
            <w:pPr>
              <w:spacing w:line="440" w:lineRule="exact"/>
              <w:rPr>
                <w:rFonts w:ascii="宋体" w:hAnsi="宋体" w:cs="宋体"/>
                <w:color w:val="auto"/>
                <w:highlight w:val="none"/>
              </w:rPr>
            </w:pPr>
          </w:p>
        </w:tc>
        <w:tc>
          <w:tcPr>
            <w:tcW w:w="1895" w:type="dxa"/>
            <w:tcBorders>
              <w:top w:val="single" w:color="000000" w:sz="4" w:space="0"/>
              <w:left w:val="single" w:color="000000" w:sz="4" w:space="0"/>
              <w:bottom w:val="single" w:color="000000" w:sz="4" w:space="0"/>
              <w:right w:val="single" w:color="auto" w:sz="4" w:space="0"/>
            </w:tcBorders>
          </w:tcPr>
          <w:p w14:paraId="6135C799">
            <w:pPr>
              <w:spacing w:line="440" w:lineRule="exact"/>
              <w:rPr>
                <w:rFonts w:ascii="宋体" w:hAnsi="宋体" w:cs="宋体"/>
                <w:color w:val="auto"/>
                <w:highlight w:val="none"/>
              </w:rPr>
            </w:pPr>
          </w:p>
        </w:tc>
        <w:tc>
          <w:tcPr>
            <w:tcW w:w="1906" w:type="dxa"/>
            <w:tcBorders>
              <w:top w:val="single" w:color="000000" w:sz="4" w:space="0"/>
              <w:left w:val="single" w:color="auto" w:sz="4" w:space="0"/>
              <w:bottom w:val="single" w:color="000000" w:sz="4" w:space="0"/>
              <w:right w:val="single" w:color="000000" w:sz="4" w:space="0"/>
            </w:tcBorders>
          </w:tcPr>
          <w:p w14:paraId="77CADD24">
            <w:pPr>
              <w:spacing w:line="440" w:lineRule="exact"/>
              <w:rPr>
                <w:rFonts w:ascii="宋体" w:hAnsi="宋体" w:cs="宋体"/>
                <w:color w:val="auto"/>
                <w:highlight w:val="none"/>
              </w:rPr>
            </w:pPr>
          </w:p>
        </w:tc>
        <w:tc>
          <w:tcPr>
            <w:tcW w:w="2978" w:type="dxa"/>
            <w:tcBorders>
              <w:top w:val="single" w:color="000000" w:sz="4" w:space="0"/>
              <w:left w:val="single" w:color="000000" w:sz="4" w:space="0"/>
              <w:bottom w:val="single" w:color="000000" w:sz="4" w:space="0"/>
              <w:right w:val="single" w:color="000000" w:sz="4" w:space="0"/>
            </w:tcBorders>
          </w:tcPr>
          <w:p w14:paraId="2EFF6444">
            <w:pPr>
              <w:spacing w:line="440" w:lineRule="exact"/>
              <w:rPr>
                <w:rFonts w:ascii="宋体" w:hAnsi="宋体" w:cs="宋体"/>
                <w:color w:val="auto"/>
                <w:highlight w:val="none"/>
              </w:rPr>
            </w:pPr>
          </w:p>
        </w:tc>
      </w:tr>
    </w:tbl>
    <w:p w14:paraId="2AACFA04">
      <w:pPr>
        <w:snapToGrid w:val="0"/>
        <w:spacing w:before="50" w:line="440" w:lineRule="exact"/>
        <w:jc w:val="left"/>
        <w:rPr>
          <w:rFonts w:ascii="宋体" w:hAnsi="宋体" w:cs="宋体"/>
          <w:color w:val="auto"/>
          <w:szCs w:val="21"/>
          <w:highlight w:val="none"/>
        </w:rPr>
      </w:pPr>
    </w:p>
    <w:p w14:paraId="428FB78F">
      <w:pPr>
        <w:autoSpaceDE w:val="0"/>
        <w:autoSpaceDN w:val="0"/>
        <w:adjustRightIn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注：</w:t>
      </w:r>
    </w:p>
    <w:p w14:paraId="442E498E">
      <w:pPr>
        <w:autoSpaceDE w:val="0"/>
        <w:autoSpaceDN w:val="0"/>
        <w:adjustRightIn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1.说明：应对照磋商文件“第三章”中“项目采购需求”的采购清单及技术参数条款逐条作出明确响应，并作出偏离说明。</w:t>
      </w:r>
    </w:p>
    <w:p w14:paraId="2272BDC0">
      <w:pPr>
        <w:autoSpaceDE w:val="0"/>
        <w:autoSpaceDN w:val="0"/>
        <w:adjustRightIn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供应商应根据自身的承诺，对照磋商文件要求，在“偏离说明”中注明“正偏离”、“负偏离”或者“无偏离”。既不属于“正偏离”也不属于“负偏离”即为“无偏离”。当响应文件的内容低于竞争性磋商采购文件要求时，供应商应当如实写明“负偏离”。</w:t>
      </w:r>
    </w:p>
    <w:p w14:paraId="3B3DE698">
      <w:pPr>
        <w:spacing w:line="440" w:lineRule="exact"/>
        <w:ind w:firstLine="6090" w:firstLineChars="2900"/>
        <w:rPr>
          <w:rFonts w:ascii="宋体" w:hAnsi="宋体" w:cs="宋体"/>
          <w:color w:val="auto"/>
          <w:szCs w:val="21"/>
          <w:highlight w:val="none"/>
        </w:rPr>
      </w:pPr>
    </w:p>
    <w:p w14:paraId="012C9088">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55B4967A">
      <w:pPr>
        <w:spacing w:line="44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14:paraId="41441311">
      <w:pPr>
        <w:snapToGrid w:val="0"/>
        <w:spacing w:before="50" w:line="440" w:lineRule="exact"/>
        <w:jc w:val="left"/>
        <w:rPr>
          <w:rFonts w:ascii="宋体" w:hAnsi="宋体" w:cs="宋体"/>
          <w:color w:val="auto"/>
          <w:szCs w:val="21"/>
          <w:highlight w:val="none"/>
        </w:rPr>
      </w:pPr>
    </w:p>
    <w:p w14:paraId="14D638B0">
      <w:pPr>
        <w:snapToGrid w:val="0"/>
        <w:spacing w:before="50" w:line="440" w:lineRule="exact"/>
        <w:jc w:val="left"/>
        <w:rPr>
          <w:rFonts w:ascii="宋体" w:hAnsi="宋体" w:cs="宋体"/>
          <w:color w:val="auto"/>
          <w:szCs w:val="21"/>
          <w:highlight w:val="none"/>
        </w:rPr>
      </w:pPr>
    </w:p>
    <w:p w14:paraId="1FB19B8B">
      <w:pPr>
        <w:snapToGrid w:val="0"/>
        <w:spacing w:before="50" w:line="440" w:lineRule="exact"/>
        <w:jc w:val="left"/>
        <w:rPr>
          <w:rFonts w:ascii="宋体" w:hAnsi="宋体" w:cs="宋体"/>
          <w:color w:val="auto"/>
          <w:szCs w:val="21"/>
          <w:highlight w:val="none"/>
        </w:rPr>
      </w:pPr>
    </w:p>
    <w:p w14:paraId="1A9584CB">
      <w:pPr>
        <w:snapToGrid w:val="0"/>
        <w:spacing w:before="50" w:line="440" w:lineRule="exact"/>
        <w:jc w:val="left"/>
        <w:rPr>
          <w:rFonts w:ascii="宋体" w:hAnsi="宋体" w:cs="宋体"/>
          <w:color w:val="auto"/>
          <w:szCs w:val="21"/>
          <w:highlight w:val="none"/>
        </w:rPr>
      </w:pPr>
    </w:p>
    <w:p w14:paraId="40DF54E4">
      <w:pPr>
        <w:snapToGrid w:val="0"/>
        <w:spacing w:before="50" w:line="440" w:lineRule="exact"/>
        <w:jc w:val="left"/>
        <w:rPr>
          <w:rFonts w:ascii="宋体" w:hAnsi="宋体" w:cs="宋体"/>
          <w:color w:val="auto"/>
          <w:szCs w:val="21"/>
          <w:highlight w:val="none"/>
        </w:rPr>
      </w:pPr>
    </w:p>
    <w:p w14:paraId="10DF2689">
      <w:pPr>
        <w:snapToGrid w:val="0"/>
        <w:spacing w:before="50" w:line="440" w:lineRule="exact"/>
        <w:jc w:val="left"/>
        <w:rPr>
          <w:rFonts w:ascii="宋体" w:hAnsi="宋体" w:cs="宋体"/>
          <w:color w:val="auto"/>
          <w:szCs w:val="21"/>
          <w:highlight w:val="none"/>
        </w:rPr>
      </w:pPr>
    </w:p>
    <w:p w14:paraId="0384FD6C">
      <w:pPr>
        <w:spacing w:line="440" w:lineRule="exact"/>
        <w:rPr>
          <w:rFonts w:ascii="宋体" w:hAnsi="宋体" w:cs="宋体"/>
          <w:b/>
          <w:color w:val="auto"/>
          <w:szCs w:val="21"/>
          <w:highlight w:val="none"/>
        </w:rPr>
      </w:pPr>
    </w:p>
    <w:p w14:paraId="14C23EED">
      <w:pPr>
        <w:spacing w:line="440" w:lineRule="exact"/>
        <w:rPr>
          <w:rFonts w:ascii="宋体" w:hAnsi="宋体" w:cs="宋体"/>
          <w:b/>
          <w:color w:val="auto"/>
          <w:szCs w:val="21"/>
          <w:highlight w:val="none"/>
        </w:rPr>
      </w:pPr>
      <w:r>
        <w:rPr>
          <w:rFonts w:hint="eastAsia" w:ascii="宋体" w:hAnsi="宋体" w:cs="宋体"/>
          <w:b/>
          <w:color w:val="auto"/>
          <w:szCs w:val="21"/>
          <w:highlight w:val="none"/>
        </w:rPr>
        <w:t>五、</w:t>
      </w:r>
      <w:r>
        <w:rPr>
          <w:rFonts w:hint="eastAsia" w:ascii="宋体" w:hAnsi="宋体" w:cs="宋体"/>
          <w:b/>
          <w:color w:val="auto"/>
          <w:szCs w:val="21"/>
          <w:highlight w:val="none"/>
          <w:lang w:eastAsia="zh-CN"/>
        </w:rPr>
        <w:t>项目实施人员一览表</w:t>
      </w:r>
      <w:r>
        <w:rPr>
          <w:rFonts w:hint="eastAsia" w:ascii="宋体" w:hAnsi="宋体" w:cs="宋体"/>
          <w:b/>
          <w:color w:val="auto"/>
          <w:szCs w:val="21"/>
          <w:highlight w:val="none"/>
        </w:rPr>
        <w:t>格式</w:t>
      </w:r>
    </w:p>
    <w:p w14:paraId="391FDC6A">
      <w:pPr>
        <w:spacing w:line="440" w:lineRule="exact"/>
        <w:jc w:val="center"/>
        <w:rPr>
          <w:rFonts w:ascii="宋体" w:hAnsi="宋体" w:cs="宋体"/>
          <w:b/>
          <w:bCs/>
          <w:color w:val="auto"/>
          <w:kern w:val="0"/>
          <w:sz w:val="30"/>
          <w:highlight w:val="none"/>
        </w:rPr>
      </w:pPr>
    </w:p>
    <w:p w14:paraId="41C39213">
      <w:pPr>
        <w:spacing w:line="440" w:lineRule="exact"/>
        <w:jc w:val="center"/>
        <w:rPr>
          <w:rFonts w:hint="eastAsia" w:ascii="宋体" w:hAnsi="宋体" w:eastAsia="宋体" w:cs="宋体"/>
          <w:color w:val="auto"/>
          <w:szCs w:val="21"/>
          <w:highlight w:val="none"/>
          <w:lang w:eastAsia="zh-CN"/>
        </w:rPr>
      </w:pPr>
      <w:r>
        <w:rPr>
          <w:rFonts w:hint="eastAsia" w:ascii="宋体" w:hAnsi="宋体" w:cs="宋体"/>
          <w:b/>
          <w:bCs/>
          <w:color w:val="auto"/>
          <w:kern w:val="0"/>
          <w:sz w:val="30"/>
          <w:highlight w:val="none"/>
          <w:lang w:eastAsia="zh-CN"/>
        </w:rPr>
        <w:t>项目实施人员一览表</w:t>
      </w:r>
    </w:p>
    <w:p w14:paraId="0588A4E7">
      <w:pPr>
        <w:spacing w:line="440" w:lineRule="exact"/>
        <w:rPr>
          <w:rFonts w:ascii="宋体" w:hAnsi="宋体" w:cs="宋体"/>
          <w:color w:val="auto"/>
          <w:szCs w:val="21"/>
          <w:highlight w:val="none"/>
        </w:rPr>
      </w:pPr>
      <w:r>
        <w:rPr>
          <w:rFonts w:hint="eastAsia" w:ascii="宋体" w:hAnsi="宋体" w:cs="宋体"/>
          <w:color w:val="auto"/>
          <w:szCs w:val="21"/>
          <w:highlight w:val="none"/>
        </w:rPr>
        <w:t>项目名称:</w:t>
      </w:r>
    </w:p>
    <w:p w14:paraId="6B20D25E">
      <w:pPr>
        <w:snapToGrid w:val="0"/>
        <w:spacing w:before="50" w:after="50" w:line="440" w:lineRule="exact"/>
        <w:rPr>
          <w:rFonts w:ascii="宋体" w:hAnsi="宋体" w:cs="宋体"/>
          <w:color w:val="auto"/>
          <w:highlight w:val="none"/>
          <w:u w:val="single"/>
        </w:rPr>
      </w:pPr>
      <w:r>
        <w:rPr>
          <w:rFonts w:hint="eastAsia" w:ascii="宋体" w:hAnsi="宋体" w:cs="宋体"/>
          <w:color w:val="auto"/>
          <w:szCs w:val="21"/>
          <w:highlight w:val="none"/>
        </w:rPr>
        <w:t>项目编号:</w:t>
      </w:r>
    </w:p>
    <w:p w14:paraId="3C5C9D5A">
      <w:pPr>
        <w:snapToGrid w:val="0"/>
        <w:spacing w:before="50" w:after="50" w:line="440" w:lineRule="exact"/>
        <w:rPr>
          <w:rFonts w:ascii="宋体" w:hAnsi="宋体" w:cs="宋体"/>
          <w:color w:val="auto"/>
          <w:highlight w:val="none"/>
        </w:rPr>
      </w:pPr>
      <w:r>
        <w:rPr>
          <w:rFonts w:hint="eastAsia" w:ascii="宋体" w:hAnsi="宋体" w:cs="宋体"/>
          <w:color w:val="auto"/>
          <w:highlight w:val="none"/>
          <w:lang w:eastAsia="zh-CN"/>
        </w:rPr>
        <w:t>标项</w:t>
      </w:r>
      <w:r>
        <w:rPr>
          <w:rFonts w:hint="eastAsia" w:ascii="宋体" w:hAnsi="宋体" w:cs="宋体"/>
          <w:color w:val="auto"/>
          <w:highlight w:val="none"/>
        </w:rPr>
        <w:t>：</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766"/>
        <w:gridCol w:w="1837"/>
        <w:gridCol w:w="1533"/>
        <w:gridCol w:w="1833"/>
        <w:gridCol w:w="1990"/>
      </w:tblGrid>
      <w:tr w14:paraId="7948F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882" w:type="dxa"/>
            <w:noWrap w:val="0"/>
            <w:vAlign w:val="center"/>
          </w:tcPr>
          <w:p w14:paraId="0A40D9EF">
            <w:pPr>
              <w:snapToGrid w:val="0"/>
              <w:spacing w:before="50" w:after="156" w:afterLine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766" w:type="dxa"/>
            <w:noWrap w:val="0"/>
            <w:vAlign w:val="center"/>
          </w:tcPr>
          <w:p w14:paraId="55EBC739">
            <w:pPr>
              <w:snapToGrid w:val="0"/>
              <w:spacing w:before="50" w:after="156" w:afterLine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1837" w:type="dxa"/>
            <w:noWrap w:val="0"/>
            <w:vAlign w:val="center"/>
          </w:tcPr>
          <w:p w14:paraId="6E54DC95">
            <w:pPr>
              <w:snapToGrid w:val="0"/>
              <w:spacing w:before="50" w:after="156" w:afterLine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专业技术资格（职称）或者职业资格或者执业资格证或者其他证书</w:t>
            </w:r>
          </w:p>
        </w:tc>
        <w:tc>
          <w:tcPr>
            <w:tcW w:w="1533" w:type="dxa"/>
            <w:noWrap w:val="0"/>
            <w:vAlign w:val="center"/>
          </w:tcPr>
          <w:p w14:paraId="43F19678">
            <w:pPr>
              <w:snapToGrid w:val="0"/>
              <w:spacing w:before="50" w:after="156" w:afterLine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证书编号</w:t>
            </w:r>
          </w:p>
        </w:tc>
        <w:tc>
          <w:tcPr>
            <w:tcW w:w="1833" w:type="dxa"/>
            <w:noWrap w:val="0"/>
            <w:vAlign w:val="center"/>
          </w:tcPr>
          <w:p w14:paraId="6DF64805">
            <w:pPr>
              <w:snapToGrid w:val="0"/>
              <w:spacing w:before="50" w:after="156" w:afterLine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参加本单位</w:t>
            </w:r>
          </w:p>
          <w:p w14:paraId="6C7DC54B">
            <w:pPr>
              <w:snapToGrid w:val="0"/>
              <w:spacing w:before="50" w:after="156" w:afterLine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工作时间</w:t>
            </w:r>
          </w:p>
        </w:tc>
        <w:tc>
          <w:tcPr>
            <w:tcW w:w="1990" w:type="dxa"/>
            <w:noWrap w:val="0"/>
            <w:vAlign w:val="center"/>
          </w:tcPr>
          <w:p w14:paraId="2BB0A549">
            <w:pPr>
              <w:snapToGrid w:val="0"/>
              <w:spacing w:before="50" w:after="156" w:afterLine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劳动合同编号</w:t>
            </w:r>
          </w:p>
        </w:tc>
      </w:tr>
      <w:tr w14:paraId="3DB51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82" w:type="dxa"/>
            <w:noWrap w:val="0"/>
            <w:vAlign w:val="center"/>
          </w:tcPr>
          <w:p w14:paraId="38F74A30">
            <w:pPr>
              <w:snapToGrid w:val="0"/>
              <w:spacing w:before="50" w:after="156" w:afterLines="50"/>
              <w:jc w:val="center"/>
              <w:rPr>
                <w:rFonts w:hint="eastAsia" w:ascii="宋体" w:hAnsi="宋体" w:eastAsia="宋体" w:cs="宋体"/>
                <w:color w:val="auto"/>
                <w:sz w:val="21"/>
                <w:szCs w:val="21"/>
                <w:highlight w:val="none"/>
              </w:rPr>
            </w:pPr>
          </w:p>
        </w:tc>
        <w:tc>
          <w:tcPr>
            <w:tcW w:w="766" w:type="dxa"/>
            <w:noWrap w:val="0"/>
            <w:vAlign w:val="center"/>
          </w:tcPr>
          <w:p w14:paraId="7E701FE2">
            <w:pPr>
              <w:snapToGrid w:val="0"/>
              <w:spacing w:before="50" w:after="156" w:afterLines="50"/>
              <w:jc w:val="center"/>
              <w:rPr>
                <w:rFonts w:hint="eastAsia" w:ascii="宋体" w:hAnsi="宋体" w:eastAsia="宋体" w:cs="宋体"/>
                <w:color w:val="auto"/>
                <w:sz w:val="21"/>
                <w:szCs w:val="21"/>
                <w:highlight w:val="none"/>
              </w:rPr>
            </w:pPr>
          </w:p>
        </w:tc>
        <w:tc>
          <w:tcPr>
            <w:tcW w:w="1837" w:type="dxa"/>
            <w:noWrap w:val="0"/>
            <w:vAlign w:val="center"/>
          </w:tcPr>
          <w:p w14:paraId="24E3C448">
            <w:pPr>
              <w:snapToGrid w:val="0"/>
              <w:spacing w:before="50" w:after="156" w:afterLines="50"/>
              <w:jc w:val="center"/>
              <w:rPr>
                <w:rFonts w:hint="eastAsia" w:ascii="宋体" w:hAnsi="宋体" w:eastAsia="宋体" w:cs="宋体"/>
                <w:color w:val="auto"/>
                <w:sz w:val="21"/>
                <w:szCs w:val="21"/>
                <w:highlight w:val="none"/>
              </w:rPr>
            </w:pPr>
          </w:p>
        </w:tc>
        <w:tc>
          <w:tcPr>
            <w:tcW w:w="1533" w:type="dxa"/>
            <w:noWrap w:val="0"/>
            <w:vAlign w:val="center"/>
          </w:tcPr>
          <w:p w14:paraId="1BC295EA">
            <w:pPr>
              <w:snapToGrid w:val="0"/>
              <w:spacing w:before="50" w:after="156" w:afterLines="50"/>
              <w:jc w:val="center"/>
              <w:rPr>
                <w:rFonts w:hint="eastAsia" w:ascii="宋体" w:hAnsi="宋体" w:eastAsia="宋体" w:cs="宋体"/>
                <w:color w:val="auto"/>
                <w:sz w:val="21"/>
                <w:szCs w:val="21"/>
                <w:highlight w:val="none"/>
              </w:rPr>
            </w:pPr>
          </w:p>
        </w:tc>
        <w:tc>
          <w:tcPr>
            <w:tcW w:w="1833" w:type="dxa"/>
            <w:noWrap w:val="0"/>
            <w:vAlign w:val="center"/>
          </w:tcPr>
          <w:p w14:paraId="47C9F4ED">
            <w:pPr>
              <w:snapToGrid w:val="0"/>
              <w:spacing w:before="50" w:after="156" w:afterLines="50"/>
              <w:jc w:val="center"/>
              <w:rPr>
                <w:rFonts w:hint="eastAsia" w:ascii="宋体" w:hAnsi="宋体" w:eastAsia="宋体" w:cs="宋体"/>
                <w:color w:val="auto"/>
                <w:sz w:val="21"/>
                <w:szCs w:val="21"/>
                <w:highlight w:val="none"/>
              </w:rPr>
            </w:pPr>
          </w:p>
        </w:tc>
        <w:tc>
          <w:tcPr>
            <w:tcW w:w="1990" w:type="dxa"/>
            <w:noWrap w:val="0"/>
            <w:vAlign w:val="center"/>
          </w:tcPr>
          <w:p w14:paraId="33DFA8FD">
            <w:pPr>
              <w:snapToGrid w:val="0"/>
              <w:spacing w:before="50" w:after="156" w:afterLines="50"/>
              <w:jc w:val="center"/>
              <w:rPr>
                <w:rFonts w:hint="eastAsia" w:ascii="宋体" w:hAnsi="宋体" w:eastAsia="宋体" w:cs="宋体"/>
                <w:color w:val="auto"/>
                <w:sz w:val="21"/>
                <w:szCs w:val="21"/>
                <w:highlight w:val="none"/>
              </w:rPr>
            </w:pPr>
          </w:p>
        </w:tc>
      </w:tr>
      <w:tr w14:paraId="13CA0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82" w:type="dxa"/>
            <w:noWrap w:val="0"/>
            <w:vAlign w:val="center"/>
          </w:tcPr>
          <w:p w14:paraId="304E14EA">
            <w:pPr>
              <w:snapToGrid w:val="0"/>
              <w:spacing w:before="50" w:after="156" w:afterLines="50"/>
              <w:jc w:val="center"/>
              <w:rPr>
                <w:rFonts w:hint="eastAsia" w:ascii="宋体" w:hAnsi="宋体" w:eastAsia="宋体" w:cs="宋体"/>
                <w:color w:val="auto"/>
                <w:sz w:val="21"/>
                <w:szCs w:val="21"/>
                <w:highlight w:val="none"/>
              </w:rPr>
            </w:pPr>
          </w:p>
        </w:tc>
        <w:tc>
          <w:tcPr>
            <w:tcW w:w="766" w:type="dxa"/>
            <w:noWrap w:val="0"/>
            <w:vAlign w:val="center"/>
          </w:tcPr>
          <w:p w14:paraId="76B25E06">
            <w:pPr>
              <w:snapToGrid w:val="0"/>
              <w:spacing w:before="50" w:after="156" w:afterLines="50"/>
              <w:jc w:val="center"/>
              <w:rPr>
                <w:rFonts w:hint="eastAsia" w:ascii="宋体" w:hAnsi="宋体" w:eastAsia="宋体" w:cs="宋体"/>
                <w:color w:val="auto"/>
                <w:sz w:val="21"/>
                <w:szCs w:val="21"/>
                <w:highlight w:val="none"/>
              </w:rPr>
            </w:pPr>
          </w:p>
        </w:tc>
        <w:tc>
          <w:tcPr>
            <w:tcW w:w="1837" w:type="dxa"/>
            <w:noWrap w:val="0"/>
            <w:vAlign w:val="center"/>
          </w:tcPr>
          <w:p w14:paraId="01935F5B">
            <w:pPr>
              <w:snapToGrid w:val="0"/>
              <w:spacing w:before="50" w:after="156" w:afterLines="50"/>
              <w:jc w:val="center"/>
              <w:rPr>
                <w:rFonts w:hint="eastAsia" w:ascii="宋体" w:hAnsi="宋体" w:eastAsia="宋体" w:cs="宋体"/>
                <w:color w:val="auto"/>
                <w:sz w:val="21"/>
                <w:szCs w:val="21"/>
                <w:highlight w:val="none"/>
              </w:rPr>
            </w:pPr>
          </w:p>
        </w:tc>
        <w:tc>
          <w:tcPr>
            <w:tcW w:w="1533" w:type="dxa"/>
            <w:noWrap w:val="0"/>
            <w:vAlign w:val="center"/>
          </w:tcPr>
          <w:p w14:paraId="344B674F">
            <w:pPr>
              <w:snapToGrid w:val="0"/>
              <w:spacing w:before="50" w:after="156" w:afterLines="50"/>
              <w:jc w:val="center"/>
              <w:rPr>
                <w:rFonts w:hint="eastAsia" w:ascii="宋体" w:hAnsi="宋体" w:eastAsia="宋体" w:cs="宋体"/>
                <w:color w:val="auto"/>
                <w:sz w:val="21"/>
                <w:szCs w:val="21"/>
                <w:highlight w:val="none"/>
              </w:rPr>
            </w:pPr>
          </w:p>
        </w:tc>
        <w:tc>
          <w:tcPr>
            <w:tcW w:w="1833" w:type="dxa"/>
            <w:noWrap w:val="0"/>
            <w:vAlign w:val="center"/>
          </w:tcPr>
          <w:p w14:paraId="78E17B3D">
            <w:pPr>
              <w:snapToGrid w:val="0"/>
              <w:spacing w:before="50" w:after="156" w:afterLines="50"/>
              <w:jc w:val="center"/>
              <w:rPr>
                <w:rFonts w:hint="eastAsia" w:ascii="宋体" w:hAnsi="宋体" w:eastAsia="宋体" w:cs="宋体"/>
                <w:color w:val="auto"/>
                <w:sz w:val="21"/>
                <w:szCs w:val="21"/>
                <w:highlight w:val="none"/>
              </w:rPr>
            </w:pPr>
          </w:p>
        </w:tc>
        <w:tc>
          <w:tcPr>
            <w:tcW w:w="1990" w:type="dxa"/>
            <w:noWrap w:val="0"/>
            <w:vAlign w:val="center"/>
          </w:tcPr>
          <w:p w14:paraId="36C1718D">
            <w:pPr>
              <w:snapToGrid w:val="0"/>
              <w:spacing w:before="50" w:after="156" w:afterLines="50"/>
              <w:jc w:val="center"/>
              <w:rPr>
                <w:rFonts w:hint="eastAsia" w:ascii="宋体" w:hAnsi="宋体" w:eastAsia="宋体" w:cs="宋体"/>
                <w:color w:val="auto"/>
                <w:sz w:val="21"/>
                <w:szCs w:val="21"/>
                <w:highlight w:val="none"/>
              </w:rPr>
            </w:pPr>
          </w:p>
        </w:tc>
      </w:tr>
      <w:tr w14:paraId="258ED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82" w:type="dxa"/>
            <w:noWrap w:val="0"/>
            <w:vAlign w:val="center"/>
          </w:tcPr>
          <w:p w14:paraId="08B89785">
            <w:pPr>
              <w:snapToGrid w:val="0"/>
              <w:spacing w:before="50" w:after="156" w:afterLines="50"/>
              <w:jc w:val="center"/>
              <w:rPr>
                <w:rFonts w:hint="eastAsia" w:ascii="宋体" w:hAnsi="宋体" w:eastAsia="宋体" w:cs="宋体"/>
                <w:color w:val="auto"/>
                <w:sz w:val="21"/>
                <w:szCs w:val="21"/>
                <w:highlight w:val="none"/>
              </w:rPr>
            </w:pPr>
          </w:p>
        </w:tc>
        <w:tc>
          <w:tcPr>
            <w:tcW w:w="766" w:type="dxa"/>
            <w:noWrap w:val="0"/>
            <w:vAlign w:val="center"/>
          </w:tcPr>
          <w:p w14:paraId="37E6F45A">
            <w:pPr>
              <w:snapToGrid w:val="0"/>
              <w:spacing w:before="50" w:after="156" w:afterLines="50"/>
              <w:jc w:val="center"/>
              <w:rPr>
                <w:rFonts w:hint="eastAsia" w:ascii="宋体" w:hAnsi="宋体" w:eastAsia="宋体" w:cs="宋体"/>
                <w:color w:val="auto"/>
                <w:sz w:val="21"/>
                <w:szCs w:val="21"/>
                <w:highlight w:val="none"/>
              </w:rPr>
            </w:pPr>
          </w:p>
        </w:tc>
        <w:tc>
          <w:tcPr>
            <w:tcW w:w="1837" w:type="dxa"/>
            <w:noWrap w:val="0"/>
            <w:vAlign w:val="center"/>
          </w:tcPr>
          <w:p w14:paraId="6759348E">
            <w:pPr>
              <w:snapToGrid w:val="0"/>
              <w:spacing w:before="50" w:after="156" w:afterLines="50"/>
              <w:jc w:val="center"/>
              <w:rPr>
                <w:rFonts w:hint="eastAsia" w:ascii="宋体" w:hAnsi="宋体" w:eastAsia="宋体" w:cs="宋体"/>
                <w:color w:val="auto"/>
                <w:sz w:val="21"/>
                <w:szCs w:val="21"/>
                <w:highlight w:val="none"/>
              </w:rPr>
            </w:pPr>
          </w:p>
        </w:tc>
        <w:tc>
          <w:tcPr>
            <w:tcW w:w="1533" w:type="dxa"/>
            <w:noWrap w:val="0"/>
            <w:vAlign w:val="center"/>
          </w:tcPr>
          <w:p w14:paraId="38F401A8">
            <w:pPr>
              <w:snapToGrid w:val="0"/>
              <w:spacing w:before="50" w:after="156" w:afterLines="50"/>
              <w:jc w:val="center"/>
              <w:rPr>
                <w:rFonts w:hint="eastAsia" w:ascii="宋体" w:hAnsi="宋体" w:eastAsia="宋体" w:cs="宋体"/>
                <w:color w:val="auto"/>
                <w:sz w:val="21"/>
                <w:szCs w:val="21"/>
                <w:highlight w:val="none"/>
              </w:rPr>
            </w:pPr>
          </w:p>
        </w:tc>
        <w:tc>
          <w:tcPr>
            <w:tcW w:w="1833" w:type="dxa"/>
            <w:noWrap w:val="0"/>
            <w:vAlign w:val="center"/>
          </w:tcPr>
          <w:p w14:paraId="3B72A9C4">
            <w:pPr>
              <w:snapToGrid w:val="0"/>
              <w:spacing w:before="50" w:after="156" w:afterLines="50"/>
              <w:jc w:val="center"/>
              <w:rPr>
                <w:rFonts w:hint="eastAsia" w:ascii="宋体" w:hAnsi="宋体" w:eastAsia="宋体" w:cs="宋体"/>
                <w:color w:val="auto"/>
                <w:sz w:val="21"/>
                <w:szCs w:val="21"/>
                <w:highlight w:val="none"/>
              </w:rPr>
            </w:pPr>
          </w:p>
        </w:tc>
        <w:tc>
          <w:tcPr>
            <w:tcW w:w="1990" w:type="dxa"/>
            <w:noWrap w:val="0"/>
            <w:vAlign w:val="center"/>
          </w:tcPr>
          <w:p w14:paraId="6E655D60">
            <w:pPr>
              <w:snapToGrid w:val="0"/>
              <w:spacing w:before="50" w:after="156" w:afterLines="50"/>
              <w:jc w:val="center"/>
              <w:rPr>
                <w:rFonts w:hint="eastAsia" w:ascii="宋体" w:hAnsi="宋体" w:eastAsia="宋体" w:cs="宋体"/>
                <w:color w:val="auto"/>
                <w:sz w:val="21"/>
                <w:szCs w:val="21"/>
                <w:highlight w:val="none"/>
              </w:rPr>
            </w:pPr>
          </w:p>
        </w:tc>
      </w:tr>
    </w:tbl>
    <w:p w14:paraId="1BF66410">
      <w:pPr>
        <w:spacing w:line="440" w:lineRule="exact"/>
        <w:ind w:firstLine="422" w:firstLineChars="200"/>
        <w:jc w:val="left"/>
        <w:rPr>
          <w:rFonts w:ascii="宋体" w:hAnsi="宋体" w:cs="宋体"/>
          <w:b/>
          <w:bCs/>
          <w:color w:val="auto"/>
          <w:highlight w:val="none"/>
        </w:rPr>
      </w:pPr>
      <w:r>
        <w:rPr>
          <w:rFonts w:hint="eastAsia" w:ascii="宋体" w:hAnsi="宋体" w:cs="宋体"/>
          <w:b/>
          <w:bCs/>
          <w:color w:val="auto"/>
          <w:highlight w:val="none"/>
        </w:rPr>
        <w:t>注：在填写时，如本表格不适合供应商的实际情况，可根据本表格式自行制表填写。</w:t>
      </w:r>
    </w:p>
    <w:p w14:paraId="5116B460">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1C39F052">
      <w:pPr>
        <w:spacing w:line="44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14:paraId="371AB170">
      <w:pPr>
        <w:snapToGrid w:val="0"/>
        <w:spacing w:before="50" w:line="440" w:lineRule="exact"/>
        <w:jc w:val="left"/>
        <w:rPr>
          <w:rFonts w:ascii="宋体" w:hAnsi="宋体" w:cs="宋体"/>
          <w:b/>
          <w:color w:val="auto"/>
          <w:szCs w:val="21"/>
          <w:highlight w:val="none"/>
        </w:rPr>
      </w:pPr>
      <w:r>
        <w:rPr>
          <w:rFonts w:hint="eastAsia" w:ascii="宋体" w:hAnsi="宋体" w:cs="宋体"/>
          <w:b/>
          <w:color w:val="auto"/>
          <w:sz w:val="24"/>
          <w:highlight w:val="none"/>
        </w:rPr>
        <w:br w:type="page"/>
      </w:r>
      <w:r>
        <w:rPr>
          <w:rFonts w:hint="eastAsia" w:ascii="宋体" w:hAnsi="宋体" w:cs="宋体"/>
          <w:b/>
          <w:color w:val="auto"/>
          <w:szCs w:val="21"/>
          <w:highlight w:val="none"/>
        </w:rPr>
        <w:t>六、服务承诺书</w:t>
      </w:r>
    </w:p>
    <w:p w14:paraId="773F64E1">
      <w:pPr>
        <w:pStyle w:val="23"/>
        <w:spacing w:line="440" w:lineRule="exact"/>
        <w:jc w:val="center"/>
        <w:rPr>
          <w:rFonts w:hAnsi="宋体" w:cs="宋体"/>
          <w:color w:val="auto"/>
          <w:sz w:val="32"/>
          <w:szCs w:val="32"/>
          <w:highlight w:val="none"/>
        </w:rPr>
      </w:pPr>
    </w:p>
    <w:p w14:paraId="42222213">
      <w:pPr>
        <w:pStyle w:val="23"/>
        <w:spacing w:line="440" w:lineRule="exact"/>
        <w:jc w:val="center"/>
        <w:rPr>
          <w:rFonts w:hAnsi="宋体" w:cs="宋体"/>
          <w:color w:val="auto"/>
          <w:sz w:val="32"/>
          <w:szCs w:val="32"/>
          <w:highlight w:val="none"/>
        </w:rPr>
      </w:pPr>
      <w:r>
        <w:rPr>
          <w:rFonts w:hint="eastAsia" w:hAnsi="宋体" w:cs="宋体"/>
          <w:color w:val="auto"/>
          <w:sz w:val="32"/>
          <w:szCs w:val="32"/>
          <w:highlight w:val="none"/>
        </w:rPr>
        <w:t>服务承诺书</w:t>
      </w:r>
    </w:p>
    <w:p w14:paraId="488C0631">
      <w:pPr>
        <w:pStyle w:val="23"/>
        <w:spacing w:line="440" w:lineRule="exact"/>
        <w:ind w:firstLine="420" w:firstLineChars="200"/>
        <w:rPr>
          <w:rFonts w:hAnsi="宋体" w:cs="宋体"/>
          <w:color w:val="auto"/>
          <w:sz w:val="21"/>
          <w:highlight w:val="none"/>
        </w:rPr>
      </w:pPr>
      <w:r>
        <w:rPr>
          <w:rFonts w:hint="eastAsia" w:hAnsi="宋体" w:cs="宋体"/>
          <w:color w:val="auto"/>
          <w:sz w:val="21"/>
          <w:highlight w:val="none"/>
        </w:rPr>
        <w:t xml:space="preserve">第1条 </w:t>
      </w:r>
      <w:r>
        <w:rPr>
          <w:rFonts w:hint="eastAsia" w:hAnsi="宋体" w:cs="宋体"/>
          <w:b/>
          <w:color w:val="auto"/>
          <w:sz w:val="21"/>
          <w:highlight w:val="none"/>
        </w:rPr>
        <w:t>对合同条款、付款方式全部予以响应。</w:t>
      </w:r>
    </w:p>
    <w:p w14:paraId="1DA3754B">
      <w:pPr>
        <w:pStyle w:val="23"/>
        <w:spacing w:line="440" w:lineRule="exact"/>
        <w:ind w:firstLine="420" w:firstLineChars="200"/>
        <w:rPr>
          <w:rFonts w:hAnsi="宋体" w:cs="宋体"/>
          <w:color w:val="auto"/>
          <w:sz w:val="21"/>
          <w:highlight w:val="none"/>
        </w:rPr>
      </w:pPr>
      <w:r>
        <w:rPr>
          <w:rFonts w:hint="eastAsia" w:hAnsi="宋体" w:cs="宋体"/>
          <w:color w:val="auto"/>
          <w:sz w:val="21"/>
          <w:highlight w:val="none"/>
        </w:rPr>
        <w:t>第2条 （由供应商按《项目采购需求》要求自行填写，所作的承诺作为构成合同不可分割的部分，必须真实、诚信，如提供虚假承诺或在成交、成交后不按其承诺履行的，将依法追究违约责任，并按《中华人民共和国政府采购法》规定予以处罚。）</w:t>
      </w:r>
    </w:p>
    <w:p w14:paraId="414A9CD5">
      <w:pPr>
        <w:pStyle w:val="23"/>
        <w:spacing w:line="440" w:lineRule="exact"/>
        <w:ind w:firstLine="420" w:firstLineChars="200"/>
        <w:rPr>
          <w:rFonts w:hAnsi="宋体" w:cs="宋体"/>
          <w:color w:val="auto"/>
          <w:sz w:val="21"/>
          <w:highlight w:val="none"/>
        </w:rPr>
      </w:pPr>
    </w:p>
    <w:p w14:paraId="61F5013A">
      <w:pPr>
        <w:pStyle w:val="23"/>
        <w:spacing w:line="440" w:lineRule="exact"/>
        <w:rPr>
          <w:rFonts w:hAnsi="宋体" w:cs="宋体"/>
          <w:color w:val="auto"/>
          <w:sz w:val="21"/>
          <w:highlight w:val="none"/>
        </w:rPr>
      </w:pPr>
    </w:p>
    <w:p w14:paraId="139F0839">
      <w:pPr>
        <w:pStyle w:val="23"/>
        <w:spacing w:line="440" w:lineRule="exact"/>
        <w:rPr>
          <w:rFonts w:hAnsi="宋体" w:cs="宋体"/>
          <w:color w:val="auto"/>
          <w:sz w:val="21"/>
          <w:highlight w:val="none"/>
        </w:rPr>
      </w:pPr>
    </w:p>
    <w:p w14:paraId="2C765E22">
      <w:pPr>
        <w:pStyle w:val="23"/>
        <w:spacing w:line="440" w:lineRule="exact"/>
        <w:rPr>
          <w:rFonts w:hAnsi="宋体" w:cs="宋体"/>
          <w:color w:val="auto"/>
          <w:sz w:val="21"/>
          <w:highlight w:val="none"/>
        </w:rPr>
      </w:pPr>
      <w:r>
        <w:rPr>
          <w:rFonts w:hint="eastAsia" w:hAnsi="宋体" w:cs="宋体"/>
          <w:color w:val="auto"/>
          <w:sz w:val="21"/>
          <w:highlight w:val="none"/>
        </w:rPr>
        <w:t>备注：以上为服务承诺格式，第1条为供应商必须列明，其余条款供应商可根据实际情况一一列明。</w:t>
      </w:r>
    </w:p>
    <w:p w14:paraId="40B00F85">
      <w:pPr>
        <w:pStyle w:val="23"/>
        <w:spacing w:line="440" w:lineRule="exact"/>
        <w:rPr>
          <w:rFonts w:hAnsi="宋体" w:cs="宋体"/>
          <w:color w:val="auto"/>
          <w:sz w:val="21"/>
          <w:highlight w:val="none"/>
        </w:rPr>
      </w:pPr>
    </w:p>
    <w:p w14:paraId="2F4B37BC">
      <w:pPr>
        <w:pStyle w:val="23"/>
        <w:spacing w:line="440" w:lineRule="exact"/>
        <w:rPr>
          <w:rFonts w:hAnsi="宋体" w:cs="宋体"/>
          <w:color w:val="auto"/>
          <w:sz w:val="21"/>
          <w:highlight w:val="none"/>
        </w:rPr>
      </w:pPr>
    </w:p>
    <w:p w14:paraId="05437635">
      <w:pPr>
        <w:pStyle w:val="23"/>
        <w:spacing w:line="440" w:lineRule="exact"/>
        <w:rPr>
          <w:rFonts w:hAnsi="宋体" w:cs="宋体"/>
          <w:color w:val="auto"/>
          <w:sz w:val="21"/>
          <w:highlight w:val="none"/>
        </w:rPr>
      </w:pPr>
    </w:p>
    <w:p w14:paraId="624353E9">
      <w:pPr>
        <w:pStyle w:val="23"/>
        <w:spacing w:line="440" w:lineRule="exact"/>
        <w:rPr>
          <w:rFonts w:hAnsi="宋体" w:cs="宋体"/>
          <w:color w:val="auto"/>
          <w:sz w:val="21"/>
          <w:highlight w:val="none"/>
        </w:rPr>
      </w:pPr>
    </w:p>
    <w:p w14:paraId="6996477F">
      <w:pPr>
        <w:spacing w:line="440" w:lineRule="exact"/>
        <w:ind w:firstLine="6090" w:firstLineChars="2900"/>
        <w:jc w:val="right"/>
        <w:rPr>
          <w:rFonts w:ascii="宋体" w:hAnsi="宋体" w:cs="宋体"/>
          <w:color w:val="auto"/>
          <w:szCs w:val="21"/>
          <w:highlight w:val="none"/>
        </w:rPr>
      </w:pPr>
      <w:r>
        <w:rPr>
          <w:rFonts w:hint="eastAsia" w:ascii="宋体" w:hAnsi="宋体" w:cs="宋体"/>
          <w:color w:val="auto"/>
          <w:szCs w:val="21"/>
          <w:highlight w:val="none"/>
        </w:rPr>
        <w:t>供应商名称(电子签章)：</w:t>
      </w:r>
    </w:p>
    <w:p w14:paraId="674741BD">
      <w:pPr>
        <w:spacing w:line="440" w:lineRule="exact"/>
        <w:ind w:firstLine="6300" w:firstLineChars="3000"/>
        <w:jc w:val="right"/>
        <w:rPr>
          <w:rFonts w:ascii="宋体" w:hAnsi="宋体" w:cs="宋体"/>
          <w:color w:val="auto"/>
          <w:szCs w:val="21"/>
          <w:highlight w:val="none"/>
        </w:rPr>
      </w:pPr>
      <w:r>
        <w:rPr>
          <w:rFonts w:hint="eastAsia" w:ascii="宋体" w:hAnsi="宋体" w:cs="宋体"/>
          <w:color w:val="auto"/>
          <w:szCs w:val="21"/>
          <w:highlight w:val="none"/>
        </w:rPr>
        <w:t>日期： 年 月 日</w:t>
      </w:r>
    </w:p>
    <w:p w14:paraId="06BBF1C0">
      <w:pPr>
        <w:pStyle w:val="23"/>
        <w:spacing w:line="440" w:lineRule="exact"/>
        <w:jc w:val="left"/>
        <w:rPr>
          <w:rFonts w:hAnsi="宋体" w:cs="宋体"/>
          <w:b/>
          <w:color w:val="auto"/>
          <w:highlight w:val="none"/>
        </w:rPr>
      </w:pPr>
    </w:p>
    <w:p w14:paraId="0998346A">
      <w:pPr>
        <w:pStyle w:val="23"/>
        <w:spacing w:line="440" w:lineRule="exact"/>
        <w:jc w:val="left"/>
        <w:rPr>
          <w:rFonts w:hAnsi="宋体" w:cs="宋体"/>
          <w:b/>
          <w:color w:val="auto"/>
          <w:highlight w:val="none"/>
        </w:rPr>
      </w:pPr>
    </w:p>
    <w:p w14:paraId="21B51C99">
      <w:pPr>
        <w:pStyle w:val="23"/>
        <w:spacing w:line="440" w:lineRule="exact"/>
        <w:jc w:val="left"/>
        <w:rPr>
          <w:rFonts w:hAnsi="宋体" w:cs="宋体"/>
          <w:b/>
          <w:color w:val="auto"/>
          <w:highlight w:val="none"/>
        </w:rPr>
      </w:pPr>
    </w:p>
    <w:p w14:paraId="3EECEA57">
      <w:pPr>
        <w:pStyle w:val="23"/>
        <w:spacing w:line="440" w:lineRule="exact"/>
        <w:jc w:val="left"/>
        <w:rPr>
          <w:rFonts w:hAnsi="宋体" w:cs="宋体"/>
          <w:b/>
          <w:color w:val="auto"/>
          <w:highlight w:val="none"/>
        </w:rPr>
      </w:pPr>
    </w:p>
    <w:p w14:paraId="7D239199">
      <w:pPr>
        <w:pStyle w:val="23"/>
        <w:spacing w:line="440" w:lineRule="exact"/>
        <w:jc w:val="left"/>
        <w:rPr>
          <w:rFonts w:hAnsi="宋体" w:cs="宋体"/>
          <w:b/>
          <w:color w:val="auto"/>
          <w:highlight w:val="none"/>
        </w:rPr>
      </w:pPr>
    </w:p>
    <w:p w14:paraId="7E60695D">
      <w:pPr>
        <w:pStyle w:val="23"/>
        <w:spacing w:line="440" w:lineRule="exact"/>
        <w:jc w:val="left"/>
        <w:rPr>
          <w:rFonts w:hAnsi="宋体" w:cs="宋体"/>
          <w:b/>
          <w:color w:val="auto"/>
          <w:highlight w:val="none"/>
        </w:rPr>
      </w:pPr>
    </w:p>
    <w:p w14:paraId="05AC6124">
      <w:pPr>
        <w:pStyle w:val="23"/>
        <w:spacing w:line="440" w:lineRule="exact"/>
        <w:jc w:val="left"/>
        <w:rPr>
          <w:rFonts w:hAnsi="宋体" w:cs="宋体"/>
          <w:b/>
          <w:color w:val="auto"/>
          <w:highlight w:val="none"/>
        </w:rPr>
      </w:pPr>
    </w:p>
    <w:p w14:paraId="0DDCEC51">
      <w:pPr>
        <w:pStyle w:val="23"/>
        <w:spacing w:line="440" w:lineRule="exact"/>
        <w:jc w:val="left"/>
        <w:rPr>
          <w:rFonts w:hAnsi="宋体" w:cs="宋体"/>
          <w:b/>
          <w:color w:val="auto"/>
          <w:highlight w:val="none"/>
        </w:rPr>
      </w:pPr>
    </w:p>
    <w:p w14:paraId="3EDC815E">
      <w:pPr>
        <w:pStyle w:val="23"/>
        <w:spacing w:line="440" w:lineRule="exact"/>
        <w:jc w:val="left"/>
        <w:rPr>
          <w:rFonts w:hAnsi="宋体" w:cs="宋体"/>
          <w:b/>
          <w:color w:val="auto"/>
          <w:highlight w:val="none"/>
        </w:rPr>
      </w:pPr>
    </w:p>
    <w:p w14:paraId="1C040221">
      <w:pPr>
        <w:pStyle w:val="23"/>
        <w:spacing w:line="440" w:lineRule="exact"/>
        <w:jc w:val="left"/>
        <w:rPr>
          <w:rFonts w:hAnsi="宋体" w:cs="宋体"/>
          <w:b/>
          <w:color w:val="auto"/>
          <w:highlight w:val="none"/>
        </w:rPr>
      </w:pPr>
    </w:p>
    <w:p w14:paraId="1F7928C5">
      <w:pPr>
        <w:pStyle w:val="23"/>
        <w:spacing w:line="440" w:lineRule="exact"/>
        <w:jc w:val="left"/>
        <w:rPr>
          <w:rFonts w:hAnsi="宋体" w:cs="宋体"/>
          <w:b/>
          <w:color w:val="auto"/>
          <w:highlight w:val="none"/>
        </w:rPr>
      </w:pPr>
    </w:p>
    <w:p w14:paraId="7E3E329C">
      <w:pPr>
        <w:pStyle w:val="23"/>
        <w:spacing w:line="440" w:lineRule="exact"/>
        <w:jc w:val="left"/>
        <w:rPr>
          <w:rFonts w:hAnsi="宋体" w:cs="宋体"/>
          <w:b/>
          <w:color w:val="auto"/>
          <w:highlight w:val="none"/>
        </w:rPr>
      </w:pPr>
    </w:p>
    <w:p w14:paraId="631C36F7">
      <w:pPr>
        <w:pStyle w:val="23"/>
        <w:spacing w:line="440" w:lineRule="exact"/>
        <w:jc w:val="left"/>
        <w:rPr>
          <w:rFonts w:hAnsi="宋体" w:cs="宋体"/>
          <w:b/>
          <w:color w:val="auto"/>
          <w:highlight w:val="none"/>
        </w:rPr>
      </w:pPr>
    </w:p>
    <w:p w14:paraId="330BDBFD">
      <w:pPr>
        <w:pStyle w:val="23"/>
        <w:spacing w:line="440" w:lineRule="exact"/>
        <w:jc w:val="left"/>
        <w:rPr>
          <w:rFonts w:hAnsi="宋体" w:cs="宋体"/>
          <w:b/>
          <w:color w:val="auto"/>
          <w:highlight w:val="none"/>
        </w:rPr>
      </w:pPr>
    </w:p>
    <w:p w14:paraId="0488EAEE">
      <w:pPr>
        <w:pStyle w:val="23"/>
        <w:spacing w:line="440" w:lineRule="exact"/>
        <w:jc w:val="left"/>
        <w:rPr>
          <w:rFonts w:hAnsi="宋体" w:cs="宋体"/>
          <w:b/>
          <w:color w:val="auto"/>
          <w:highlight w:val="none"/>
        </w:rPr>
      </w:pPr>
    </w:p>
    <w:p w14:paraId="386C023E">
      <w:pPr>
        <w:pStyle w:val="23"/>
        <w:spacing w:line="440" w:lineRule="exact"/>
        <w:jc w:val="left"/>
        <w:rPr>
          <w:rFonts w:hint="eastAsia" w:hAnsi="宋体" w:cs="宋体"/>
          <w:b/>
          <w:color w:val="auto"/>
          <w:sz w:val="21"/>
          <w:highlight w:val="none"/>
          <w:lang w:val="en-US" w:eastAsia="zh-CN"/>
        </w:rPr>
        <w:sectPr>
          <w:pgSz w:w="11906" w:h="16838"/>
          <w:pgMar w:top="1134" w:right="1247" w:bottom="1134" w:left="1247" w:header="851" w:footer="992" w:gutter="0"/>
          <w:pgNumType w:fmt="decimal"/>
          <w:cols w:space="720" w:num="1"/>
          <w:docGrid w:linePitch="312" w:charSpace="0"/>
        </w:sectPr>
      </w:pPr>
    </w:p>
    <w:p w14:paraId="600BB9D4">
      <w:pPr>
        <w:pStyle w:val="23"/>
        <w:numPr>
          <w:ilvl w:val="0"/>
          <w:numId w:val="1"/>
        </w:numPr>
        <w:spacing w:line="440" w:lineRule="exact"/>
        <w:jc w:val="left"/>
        <w:rPr>
          <w:rFonts w:hint="eastAsia" w:hAnsi="宋体" w:cs="宋体"/>
          <w:b/>
          <w:color w:val="auto"/>
          <w:sz w:val="21"/>
          <w:highlight w:val="none"/>
          <w:lang w:val="en-US" w:eastAsia="zh-CN"/>
        </w:rPr>
      </w:pPr>
      <w:r>
        <w:rPr>
          <w:rFonts w:hint="eastAsia" w:hAnsi="宋体" w:cs="宋体"/>
          <w:b/>
          <w:color w:val="auto"/>
          <w:sz w:val="21"/>
          <w:highlight w:val="none"/>
          <w:lang w:val="en-US" w:eastAsia="zh-CN"/>
        </w:rPr>
        <w:t>磋商保证金缴纳证明材料扫描件</w:t>
      </w:r>
    </w:p>
    <w:p w14:paraId="7CB82873">
      <w:pPr>
        <w:pStyle w:val="23"/>
        <w:spacing w:line="440" w:lineRule="exact"/>
        <w:jc w:val="center"/>
        <w:rPr>
          <w:rFonts w:hint="eastAsia" w:hAnsi="宋体" w:cs="宋体"/>
          <w:color w:val="auto"/>
          <w:sz w:val="32"/>
          <w:szCs w:val="32"/>
          <w:highlight w:val="none"/>
        </w:rPr>
      </w:pPr>
    </w:p>
    <w:p w14:paraId="2F15CC13">
      <w:pPr>
        <w:pStyle w:val="23"/>
        <w:spacing w:line="440" w:lineRule="exact"/>
        <w:jc w:val="center"/>
        <w:rPr>
          <w:rFonts w:hint="eastAsia" w:hAnsi="宋体" w:cs="宋体"/>
          <w:color w:val="auto"/>
          <w:sz w:val="32"/>
          <w:szCs w:val="32"/>
          <w:highlight w:val="none"/>
        </w:rPr>
      </w:pPr>
      <w:r>
        <w:rPr>
          <w:rFonts w:hint="eastAsia" w:hAnsi="宋体" w:cs="宋体"/>
          <w:color w:val="auto"/>
          <w:sz w:val="32"/>
          <w:szCs w:val="32"/>
          <w:highlight w:val="none"/>
        </w:rPr>
        <w:t>保证金证明（格式）</w:t>
      </w:r>
    </w:p>
    <w:p w14:paraId="753890D4">
      <w:pPr>
        <w:spacing w:line="360" w:lineRule="exact"/>
        <w:ind w:firstLine="420" w:firstLineChars="200"/>
        <w:rPr>
          <w:rFonts w:ascii="宋体" w:hAnsi="宋体"/>
          <w:color w:val="auto"/>
          <w:highlight w:val="none"/>
        </w:rPr>
      </w:pPr>
    </w:p>
    <w:p w14:paraId="58CC6CF6">
      <w:pPr>
        <w:pStyle w:val="23"/>
        <w:spacing w:line="360" w:lineRule="exact"/>
        <w:rPr>
          <w:rFonts w:hAnsi="宋体"/>
          <w:color w:val="auto"/>
          <w:highlight w:val="none"/>
        </w:rPr>
      </w:pPr>
      <w:r>
        <w:rPr>
          <w:rFonts w:hint="eastAsia" w:hAnsi="宋体"/>
          <w:color w:val="auto"/>
          <w:highlight w:val="none"/>
        </w:rPr>
        <w:t xml:space="preserve">                                                                                                                                                                                        </w:t>
      </w:r>
    </w:p>
    <w:p w14:paraId="640FE240">
      <w:pPr>
        <w:pStyle w:val="23"/>
        <w:spacing w:line="360" w:lineRule="exact"/>
        <w:rPr>
          <w:rFonts w:hAnsi="宋体"/>
          <w:color w:val="auto"/>
          <w:highlight w:val="none"/>
        </w:rPr>
      </w:pPr>
      <w:r>
        <w:rPr>
          <w:rFonts w:hint="eastAsia" w:hAnsi="宋体"/>
          <w:color w:val="auto"/>
          <w:highlight w:val="none"/>
        </w:rPr>
        <w:t xml:space="preserve">  </w:t>
      </w:r>
    </w:p>
    <w:p w14:paraId="7F8B0647">
      <w:pPr>
        <w:pStyle w:val="23"/>
        <w:spacing w:line="360" w:lineRule="exact"/>
        <w:rPr>
          <w:rFonts w:hAnsi="宋体"/>
          <w:color w:val="auto"/>
          <w:highlight w:val="none"/>
        </w:rPr>
      </w:pPr>
      <w:r>
        <w:rPr>
          <w:rFonts w:hAnsi="宋体"/>
          <w:color w:val="auto"/>
          <w:sz w:val="20"/>
          <w:highlight w:val="none"/>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76200</wp:posOffset>
                </wp:positionV>
                <wp:extent cx="6120130" cy="2879725"/>
                <wp:effectExtent l="4445" t="4445" r="9525" b="11430"/>
                <wp:wrapNone/>
                <wp:docPr id="3" name="Rectangle 44"/>
                <wp:cNvGraphicFramePr/>
                <a:graphic xmlns:a="http://schemas.openxmlformats.org/drawingml/2006/main">
                  <a:graphicData uri="http://schemas.microsoft.com/office/word/2010/wordprocessingShape">
                    <wps:wsp>
                      <wps:cNvSpPr/>
                      <wps:spPr>
                        <a:xfrm>
                          <a:off x="0" y="0"/>
                          <a:ext cx="6120130" cy="28797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47B48AC">
                            <w:pPr>
                              <w:jc w:val="center"/>
                              <w:rPr>
                                <w:color w:val="000000"/>
                              </w:rPr>
                            </w:pPr>
                          </w:p>
                          <w:p w14:paraId="24AEB8E2">
                            <w:pPr>
                              <w:jc w:val="center"/>
                              <w:rPr>
                                <w:color w:val="000000"/>
                              </w:rPr>
                            </w:pPr>
                          </w:p>
                          <w:p w14:paraId="5A7BCC4A">
                            <w:pPr>
                              <w:jc w:val="center"/>
                              <w:rPr>
                                <w:color w:val="000000"/>
                              </w:rPr>
                            </w:pPr>
                          </w:p>
                          <w:p w14:paraId="117CC70E">
                            <w:pPr>
                              <w:jc w:val="center"/>
                              <w:rPr>
                                <w:color w:val="000000"/>
                              </w:rPr>
                            </w:pPr>
                          </w:p>
                          <w:p w14:paraId="2A765FD8">
                            <w:pPr>
                              <w:jc w:val="center"/>
                              <w:rPr>
                                <w:color w:val="000000"/>
                              </w:rPr>
                            </w:pPr>
                          </w:p>
                          <w:p w14:paraId="4EDBF8F8">
                            <w:pPr>
                              <w:jc w:val="center"/>
                            </w:pPr>
                          </w:p>
                          <w:p w14:paraId="5617D3E3">
                            <w:pPr>
                              <w:jc w:val="center"/>
                              <w:rPr>
                                <w:rFonts w:hint="eastAsia" w:hAnsi="宋体" w:eastAsia="宋体"/>
                                <w:lang w:eastAsia="zh-CN"/>
                              </w:rPr>
                            </w:pPr>
                            <w:r>
                              <w:rPr>
                                <w:rFonts w:hint="eastAsia" w:hAnsi="宋体"/>
                              </w:rPr>
                              <w:t>转账底单、电汇单、支票、汇票、本票或银行、保险机构出具的保函</w:t>
                            </w:r>
                            <w:r>
                              <w:rPr>
                                <w:rFonts w:hint="eastAsia" w:hAnsi="宋体"/>
                                <w:lang w:eastAsia="zh-CN"/>
                              </w:rPr>
                              <w:t>扫描件</w:t>
                            </w:r>
                          </w:p>
                          <w:p w14:paraId="295B9624">
                            <w:pPr>
                              <w:pStyle w:val="25"/>
                            </w:pPr>
                          </w:p>
                        </w:txbxContent>
                      </wps:txbx>
                      <wps:bodyPr upright="1"/>
                    </wps:wsp>
                  </a:graphicData>
                </a:graphic>
              </wp:anchor>
            </w:drawing>
          </mc:Choice>
          <mc:Fallback>
            <w:pict>
              <v:rect id="Rectangle 44" o:spid="_x0000_s1026" o:spt="1" style="position:absolute;left:0pt;margin-left:0pt;margin-top:6pt;height:226.75pt;width:481.9pt;z-index:251671552;mso-width-relative:page;mso-height-relative:page;" fillcolor="#FFFFFF" filled="t" stroked="t" coordsize="21600,21600" o:gfxdata="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wEnZ3WAAAABwEAAA8AAAAAAAAAAQAgAAAAIgAAAGRycy9kb3ducmV2LnhtbFBLAQIU&#10;ABQAAAAIAIdO4kC6SvOs9QEAAC4EAAAOAAAAAAAAAAEAIAAAACUBAABkcnMvZTJvRG9jLnhtbFBL&#10;BQYAAAAABgAGAFkBAACMBQAAAAA=&#10;">
                <v:fill on="t" focussize="0,0"/>
                <v:stroke color="#000000" joinstyle="miter"/>
                <v:imagedata o:title=""/>
                <o:lock v:ext="edit" aspectratio="f"/>
                <v:textbox>
                  <w:txbxContent>
                    <w:p w14:paraId="147B48AC">
                      <w:pPr>
                        <w:jc w:val="center"/>
                        <w:rPr>
                          <w:color w:val="000000"/>
                        </w:rPr>
                      </w:pPr>
                    </w:p>
                    <w:p w14:paraId="24AEB8E2">
                      <w:pPr>
                        <w:jc w:val="center"/>
                        <w:rPr>
                          <w:color w:val="000000"/>
                        </w:rPr>
                      </w:pPr>
                    </w:p>
                    <w:p w14:paraId="5A7BCC4A">
                      <w:pPr>
                        <w:jc w:val="center"/>
                        <w:rPr>
                          <w:color w:val="000000"/>
                        </w:rPr>
                      </w:pPr>
                    </w:p>
                    <w:p w14:paraId="117CC70E">
                      <w:pPr>
                        <w:jc w:val="center"/>
                        <w:rPr>
                          <w:color w:val="000000"/>
                        </w:rPr>
                      </w:pPr>
                    </w:p>
                    <w:p w14:paraId="2A765FD8">
                      <w:pPr>
                        <w:jc w:val="center"/>
                        <w:rPr>
                          <w:color w:val="000000"/>
                        </w:rPr>
                      </w:pPr>
                    </w:p>
                    <w:p w14:paraId="4EDBF8F8">
                      <w:pPr>
                        <w:jc w:val="center"/>
                      </w:pPr>
                    </w:p>
                    <w:p w14:paraId="5617D3E3">
                      <w:pPr>
                        <w:jc w:val="center"/>
                        <w:rPr>
                          <w:rFonts w:hint="eastAsia" w:hAnsi="宋体" w:eastAsia="宋体"/>
                          <w:lang w:eastAsia="zh-CN"/>
                        </w:rPr>
                      </w:pPr>
                      <w:r>
                        <w:rPr>
                          <w:rFonts w:hint="eastAsia" w:hAnsi="宋体"/>
                        </w:rPr>
                        <w:t>转账底单、电汇单、支票、汇票、本票或银行、保险机构出具的保函</w:t>
                      </w:r>
                      <w:r>
                        <w:rPr>
                          <w:rFonts w:hint="eastAsia" w:hAnsi="宋体"/>
                          <w:lang w:eastAsia="zh-CN"/>
                        </w:rPr>
                        <w:t>扫描件</w:t>
                      </w:r>
                    </w:p>
                    <w:p w14:paraId="295B9624">
                      <w:pPr>
                        <w:pStyle w:val="25"/>
                      </w:pPr>
                    </w:p>
                  </w:txbxContent>
                </v:textbox>
              </v:rect>
            </w:pict>
          </mc:Fallback>
        </mc:AlternateContent>
      </w:r>
    </w:p>
    <w:p w14:paraId="23666478">
      <w:pPr>
        <w:pStyle w:val="23"/>
        <w:spacing w:line="360" w:lineRule="exact"/>
        <w:rPr>
          <w:rFonts w:hAnsi="宋体"/>
          <w:color w:val="auto"/>
          <w:highlight w:val="none"/>
        </w:rPr>
      </w:pPr>
    </w:p>
    <w:p w14:paraId="5DB358C5">
      <w:pPr>
        <w:pStyle w:val="23"/>
        <w:spacing w:line="360" w:lineRule="exact"/>
        <w:rPr>
          <w:rFonts w:hAnsi="宋体"/>
          <w:color w:val="auto"/>
          <w:highlight w:val="none"/>
        </w:rPr>
      </w:pPr>
    </w:p>
    <w:p w14:paraId="02F534C8">
      <w:pPr>
        <w:pStyle w:val="23"/>
        <w:spacing w:line="360" w:lineRule="exact"/>
        <w:rPr>
          <w:rFonts w:hAnsi="宋体"/>
          <w:color w:val="auto"/>
          <w:sz w:val="44"/>
          <w:highlight w:val="none"/>
        </w:rPr>
      </w:pPr>
    </w:p>
    <w:p w14:paraId="25BD6171">
      <w:pPr>
        <w:pStyle w:val="23"/>
        <w:spacing w:line="360" w:lineRule="exact"/>
        <w:rPr>
          <w:rFonts w:hAnsi="宋体"/>
          <w:color w:val="auto"/>
          <w:sz w:val="44"/>
          <w:highlight w:val="none"/>
        </w:rPr>
      </w:pPr>
    </w:p>
    <w:p w14:paraId="174AFD3A">
      <w:pPr>
        <w:pStyle w:val="23"/>
        <w:spacing w:line="360" w:lineRule="exact"/>
        <w:rPr>
          <w:rFonts w:hAnsi="宋体"/>
          <w:color w:val="auto"/>
          <w:sz w:val="44"/>
          <w:highlight w:val="none"/>
        </w:rPr>
      </w:pPr>
    </w:p>
    <w:p w14:paraId="0C567C66">
      <w:pPr>
        <w:pStyle w:val="23"/>
        <w:spacing w:line="360" w:lineRule="exact"/>
        <w:rPr>
          <w:rFonts w:hAnsi="宋体"/>
          <w:color w:val="auto"/>
          <w:sz w:val="44"/>
          <w:highlight w:val="none"/>
        </w:rPr>
      </w:pPr>
    </w:p>
    <w:p w14:paraId="19FF945D">
      <w:pPr>
        <w:pStyle w:val="23"/>
        <w:spacing w:line="360" w:lineRule="exact"/>
        <w:rPr>
          <w:rFonts w:hAnsi="宋体"/>
          <w:color w:val="auto"/>
          <w:sz w:val="44"/>
          <w:highlight w:val="none"/>
        </w:rPr>
      </w:pPr>
    </w:p>
    <w:p w14:paraId="50B011EE">
      <w:pPr>
        <w:pStyle w:val="23"/>
        <w:spacing w:line="360" w:lineRule="exact"/>
        <w:ind w:firstLine="4600" w:firstLineChars="2300"/>
        <w:rPr>
          <w:rFonts w:hAnsi="宋体"/>
          <w:color w:val="auto"/>
          <w:highlight w:val="none"/>
        </w:rPr>
      </w:pPr>
    </w:p>
    <w:p w14:paraId="644615D3">
      <w:pPr>
        <w:pStyle w:val="23"/>
        <w:spacing w:line="360" w:lineRule="exact"/>
        <w:ind w:firstLine="4600" w:firstLineChars="2300"/>
        <w:rPr>
          <w:rFonts w:hAnsi="宋体"/>
          <w:color w:val="auto"/>
          <w:highlight w:val="none"/>
        </w:rPr>
      </w:pPr>
    </w:p>
    <w:p w14:paraId="1027C769">
      <w:pPr>
        <w:pStyle w:val="23"/>
        <w:spacing w:line="360" w:lineRule="exact"/>
        <w:ind w:firstLine="4600" w:firstLineChars="2300"/>
        <w:rPr>
          <w:rFonts w:hAnsi="宋体"/>
          <w:color w:val="auto"/>
          <w:highlight w:val="none"/>
        </w:rPr>
      </w:pPr>
    </w:p>
    <w:p w14:paraId="6B0DD6A1">
      <w:pPr>
        <w:pStyle w:val="23"/>
        <w:spacing w:line="360" w:lineRule="exact"/>
        <w:ind w:firstLine="4600" w:firstLineChars="2300"/>
        <w:rPr>
          <w:rFonts w:hAnsi="宋体"/>
          <w:color w:val="auto"/>
          <w:highlight w:val="none"/>
        </w:rPr>
      </w:pPr>
    </w:p>
    <w:p w14:paraId="01BA56B7">
      <w:pPr>
        <w:pStyle w:val="23"/>
        <w:spacing w:line="360" w:lineRule="exact"/>
        <w:ind w:firstLine="4600" w:firstLineChars="2300"/>
        <w:rPr>
          <w:rFonts w:hAnsi="宋体"/>
          <w:color w:val="auto"/>
          <w:highlight w:val="none"/>
        </w:rPr>
      </w:pPr>
    </w:p>
    <w:p w14:paraId="5F3342AF">
      <w:pPr>
        <w:pStyle w:val="23"/>
        <w:spacing w:line="360" w:lineRule="exact"/>
        <w:ind w:firstLine="4600" w:firstLineChars="2300"/>
        <w:rPr>
          <w:rFonts w:hAnsi="宋体"/>
          <w:color w:val="auto"/>
          <w:highlight w:val="none"/>
        </w:rPr>
      </w:pPr>
    </w:p>
    <w:p w14:paraId="358E4DA3">
      <w:pPr>
        <w:pStyle w:val="23"/>
        <w:spacing w:line="360" w:lineRule="exact"/>
        <w:ind w:firstLine="4600" w:firstLineChars="2300"/>
        <w:rPr>
          <w:rFonts w:hAnsi="宋体"/>
          <w:color w:val="auto"/>
          <w:highlight w:val="none"/>
        </w:rPr>
      </w:pPr>
    </w:p>
    <w:p w14:paraId="09059E7D">
      <w:pPr>
        <w:pStyle w:val="23"/>
        <w:spacing w:line="360" w:lineRule="exact"/>
        <w:ind w:firstLine="4600" w:firstLineChars="2300"/>
        <w:rPr>
          <w:rFonts w:hAnsi="宋体"/>
          <w:color w:val="auto"/>
          <w:highlight w:val="none"/>
        </w:rPr>
      </w:pPr>
    </w:p>
    <w:p w14:paraId="66A20489">
      <w:pPr>
        <w:pStyle w:val="23"/>
        <w:spacing w:line="360" w:lineRule="exact"/>
        <w:ind w:firstLine="4600" w:firstLineChars="2300"/>
        <w:rPr>
          <w:rFonts w:hAnsi="宋体"/>
          <w:color w:val="auto"/>
          <w:highlight w:val="none"/>
        </w:rPr>
      </w:pPr>
    </w:p>
    <w:p w14:paraId="411F74C3">
      <w:pPr>
        <w:pStyle w:val="23"/>
        <w:spacing w:line="360" w:lineRule="exact"/>
        <w:ind w:firstLine="4600" w:firstLineChars="2300"/>
        <w:rPr>
          <w:rFonts w:hAnsi="宋体"/>
          <w:color w:val="auto"/>
          <w:highlight w:val="none"/>
        </w:rPr>
      </w:pPr>
    </w:p>
    <w:p w14:paraId="489F80B3">
      <w:pPr>
        <w:spacing w:line="360" w:lineRule="exact"/>
        <w:ind w:firstLine="6090" w:firstLineChars="2900"/>
        <w:rPr>
          <w:rFonts w:ascii="宋体" w:hAnsi="宋体"/>
          <w:color w:val="auto"/>
          <w:szCs w:val="21"/>
          <w:highlight w:val="none"/>
        </w:rPr>
      </w:pPr>
      <w:r>
        <w:rPr>
          <w:rFonts w:hint="eastAsia" w:ascii="宋体" w:hAnsi="宋体" w:cs="宋体"/>
          <w:color w:val="auto"/>
          <w:szCs w:val="21"/>
          <w:highlight w:val="none"/>
        </w:rPr>
        <w:t>供应商名称(电子签章)</w:t>
      </w:r>
      <w:r>
        <w:rPr>
          <w:rFonts w:hint="eastAsia" w:ascii="宋体" w:hAnsi="宋体"/>
          <w:color w:val="auto"/>
          <w:szCs w:val="21"/>
          <w:highlight w:val="none"/>
        </w:rPr>
        <w:t>：</w:t>
      </w:r>
    </w:p>
    <w:p w14:paraId="04B9DA94">
      <w:pPr>
        <w:spacing w:line="360" w:lineRule="exact"/>
        <w:ind w:firstLine="6090" w:firstLineChars="2900"/>
        <w:rPr>
          <w:rFonts w:hint="eastAsia" w:ascii="宋体" w:hAnsi="宋体"/>
          <w:color w:val="auto"/>
          <w:szCs w:val="21"/>
          <w:highlight w:val="none"/>
          <w:lang w:val="en-US" w:eastAsia="zh-CN"/>
        </w:rPr>
        <w:sectPr>
          <w:pgSz w:w="11906" w:h="16838"/>
          <w:pgMar w:top="1134" w:right="1247" w:bottom="1134" w:left="1247" w:header="851" w:footer="992" w:gutter="0"/>
          <w:pgNumType w:fmt="decimal"/>
          <w:cols w:space="720" w:num="1"/>
          <w:docGrid w:linePitch="312" w:charSpace="0"/>
        </w:sectPr>
      </w:pPr>
      <w:r>
        <w:rPr>
          <w:rFonts w:hint="eastAsia" w:ascii="宋体" w:hAnsi="宋体"/>
          <w:color w:val="auto"/>
          <w:szCs w:val="21"/>
          <w:highlight w:val="none"/>
        </w:rPr>
        <w:t>日期： 年 月 日</w:t>
      </w:r>
    </w:p>
    <w:p w14:paraId="50BD45A4">
      <w:pPr>
        <w:pStyle w:val="23"/>
        <w:spacing w:line="440" w:lineRule="exact"/>
        <w:jc w:val="left"/>
        <w:rPr>
          <w:rFonts w:hAnsi="宋体" w:cs="宋体"/>
          <w:b/>
          <w:color w:val="auto"/>
          <w:sz w:val="21"/>
          <w:highlight w:val="none"/>
        </w:rPr>
      </w:pPr>
      <w:r>
        <w:rPr>
          <w:rFonts w:hint="eastAsia" w:hAnsi="宋体" w:cs="宋体"/>
          <w:b/>
          <w:color w:val="auto"/>
          <w:sz w:val="21"/>
          <w:highlight w:val="none"/>
          <w:lang w:val="en-US" w:eastAsia="zh-CN"/>
        </w:rPr>
        <w:t>八</w:t>
      </w:r>
      <w:r>
        <w:rPr>
          <w:rFonts w:hint="eastAsia" w:hAnsi="宋体" w:cs="宋体"/>
          <w:b/>
          <w:color w:val="auto"/>
          <w:sz w:val="21"/>
          <w:highlight w:val="none"/>
        </w:rPr>
        <w:t>、实施方案</w:t>
      </w:r>
    </w:p>
    <w:p w14:paraId="43730F09">
      <w:pPr>
        <w:pStyle w:val="23"/>
        <w:spacing w:line="440" w:lineRule="exact"/>
        <w:jc w:val="center"/>
        <w:rPr>
          <w:rFonts w:hAnsi="宋体" w:cs="宋体"/>
          <w:color w:val="auto"/>
          <w:sz w:val="32"/>
          <w:szCs w:val="32"/>
          <w:highlight w:val="none"/>
        </w:rPr>
      </w:pPr>
    </w:p>
    <w:p w14:paraId="7A61C026">
      <w:pPr>
        <w:pStyle w:val="23"/>
        <w:spacing w:line="440" w:lineRule="exact"/>
        <w:jc w:val="center"/>
        <w:rPr>
          <w:rFonts w:hAnsi="宋体" w:cs="宋体"/>
          <w:color w:val="auto"/>
          <w:sz w:val="32"/>
          <w:szCs w:val="32"/>
          <w:highlight w:val="none"/>
        </w:rPr>
      </w:pPr>
      <w:r>
        <w:rPr>
          <w:rFonts w:hint="eastAsia" w:hAnsi="宋体" w:cs="宋体"/>
          <w:color w:val="auto"/>
          <w:sz w:val="32"/>
          <w:szCs w:val="32"/>
          <w:highlight w:val="none"/>
        </w:rPr>
        <w:t>实施方案</w:t>
      </w:r>
    </w:p>
    <w:p w14:paraId="64300597">
      <w:pPr>
        <w:pStyle w:val="23"/>
        <w:spacing w:line="440" w:lineRule="exact"/>
        <w:rPr>
          <w:rFonts w:hAnsi="宋体" w:cs="宋体"/>
          <w:color w:val="auto"/>
          <w:sz w:val="21"/>
          <w:highlight w:val="none"/>
        </w:rPr>
      </w:pPr>
    </w:p>
    <w:p w14:paraId="1DB00F1E">
      <w:pPr>
        <w:pStyle w:val="23"/>
        <w:spacing w:line="440" w:lineRule="exact"/>
        <w:rPr>
          <w:rFonts w:hAnsi="宋体" w:cs="宋体"/>
          <w:color w:val="auto"/>
          <w:sz w:val="21"/>
          <w:highlight w:val="none"/>
        </w:rPr>
      </w:pPr>
    </w:p>
    <w:p w14:paraId="39239541">
      <w:pPr>
        <w:pStyle w:val="23"/>
        <w:spacing w:line="440" w:lineRule="exact"/>
        <w:rPr>
          <w:rFonts w:hAnsi="宋体" w:cs="宋体"/>
          <w:color w:val="auto"/>
          <w:sz w:val="21"/>
          <w:highlight w:val="none"/>
        </w:rPr>
      </w:pPr>
    </w:p>
    <w:p w14:paraId="3CA45B76">
      <w:pPr>
        <w:pStyle w:val="23"/>
        <w:spacing w:line="440" w:lineRule="exact"/>
        <w:rPr>
          <w:rFonts w:hAnsi="宋体" w:cs="宋体"/>
          <w:color w:val="auto"/>
          <w:sz w:val="21"/>
          <w:highlight w:val="none"/>
        </w:rPr>
      </w:pPr>
    </w:p>
    <w:p w14:paraId="545F85D1">
      <w:pPr>
        <w:pStyle w:val="23"/>
        <w:spacing w:line="440" w:lineRule="exact"/>
        <w:rPr>
          <w:rFonts w:hAnsi="宋体" w:cs="宋体"/>
          <w:color w:val="auto"/>
          <w:sz w:val="21"/>
          <w:highlight w:val="none"/>
        </w:rPr>
      </w:pPr>
    </w:p>
    <w:p w14:paraId="58255E98">
      <w:pPr>
        <w:pStyle w:val="23"/>
        <w:spacing w:line="440" w:lineRule="exact"/>
        <w:rPr>
          <w:rFonts w:hAnsi="宋体" w:cs="宋体"/>
          <w:color w:val="auto"/>
          <w:sz w:val="21"/>
          <w:highlight w:val="none"/>
        </w:rPr>
      </w:pPr>
    </w:p>
    <w:p w14:paraId="416EAF25">
      <w:pPr>
        <w:pStyle w:val="23"/>
        <w:spacing w:line="440" w:lineRule="exact"/>
        <w:rPr>
          <w:rFonts w:hAnsi="宋体" w:cs="宋体"/>
          <w:color w:val="auto"/>
          <w:sz w:val="21"/>
          <w:highlight w:val="none"/>
        </w:rPr>
      </w:pPr>
    </w:p>
    <w:p w14:paraId="075AA8F2">
      <w:pPr>
        <w:pStyle w:val="23"/>
        <w:spacing w:line="440" w:lineRule="exact"/>
        <w:rPr>
          <w:rFonts w:hAnsi="宋体" w:cs="宋体"/>
          <w:color w:val="auto"/>
          <w:sz w:val="21"/>
          <w:highlight w:val="none"/>
        </w:rPr>
      </w:pPr>
    </w:p>
    <w:p w14:paraId="6CB4FC49">
      <w:pPr>
        <w:pStyle w:val="23"/>
        <w:spacing w:line="440" w:lineRule="exact"/>
        <w:rPr>
          <w:rFonts w:hAnsi="宋体" w:cs="宋体"/>
          <w:color w:val="auto"/>
          <w:sz w:val="21"/>
          <w:highlight w:val="none"/>
        </w:rPr>
      </w:pPr>
    </w:p>
    <w:p w14:paraId="13A8A2CB">
      <w:pPr>
        <w:pStyle w:val="23"/>
        <w:spacing w:line="440" w:lineRule="exact"/>
        <w:rPr>
          <w:rFonts w:hAnsi="宋体" w:cs="宋体"/>
          <w:color w:val="auto"/>
          <w:sz w:val="21"/>
          <w:highlight w:val="none"/>
        </w:rPr>
      </w:pPr>
    </w:p>
    <w:p w14:paraId="0CC9150C">
      <w:pPr>
        <w:pStyle w:val="23"/>
        <w:spacing w:line="440" w:lineRule="exact"/>
        <w:rPr>
          <w:rFonts w:hAnsi="宋体" w:cs="宋体"/>
          <w:color w:val="auto"/>
          <w:sz w:val="21"/>
          <w:highlight w:val="none"/>
        </w:rPr>
      </w:pPr>
    </w:p>
    <w:p w14:paraId="60FDFCC4">
      <w:pPr>
        <w:pStyle w:val="23"/>
        <w:spacing w:line="440" w:lineRule="exact"/>
        <w:rPr>
          <w:rFonts w:hAnsi="宋体" w:cs="宋体"/>
          <w:color w:val="auto"/>
          <w:sz w:val="21"/>
          <w:highlight w:val="none"/>
        </w:rPr>
      </w:pPr>
    </w:p>
    <w:p w14:paraId="07563307">
      <w:pPr>
        <w:pStyle w:val="23"/>
        <w:spacing w:line="440" w:lineRule="exact"/>
        <w:rPr>
          <w:rFonts w:hAnsi="宋体" w:cs="宋体"/>
          <w:color w:val="auto"/>
          <w:sz w:val="21"/>
          <w:highlight w:val="none"/>
        </w:rPr>
      </w:pPr>
    </w:p>
    <w:p w14:paraId="4585AD68">
      <w:pPr>
        <w:pStyle w:val="23"/>
        <w:spacing w:line="440" w:lineRule="exact"/>
        <w:rPr>
          <w:rFonts w:hAnsi="宋体" w:cs="宋体"/>
          <w:color w:val="auto"/>
          <w:sz w:val="21"/>
          <w:highlight w:val="none"/>
        </w:rPr>
      </w:pPr>
    </w:p>
    <w:p w14:paraId="36AE0798">
      <w:pPr>
        <w:pStyle w:val="23"/>
        <w:spacing w:line="440" w:lineRule="exact"/>
        <w:rPr>
          <w:rFonts w:hAnsi="宋体" w:cs="宋体"/>
          <w:color w:val="auto"/>
          <w:sz w:val="21"/>
          <w:highlight w:val="none"/>
        </w:rPr>
      </w:pPr>
    </w:p>
    <w:p w14:paraId="61C2C260">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08FA6273">
      <w:pPr>
        <w:spacing w:line="44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14:paraId="32A40FC3">
      <w:pPr>
        <w:rPr>
          <w:rFonts w:ascii="宋体" w:hAnsi="宋体" w:cs="宋体"/>
          <w:color w:val="auto"/>
          <w:szCs w:val="21"/>
          <w:highlight w:val="none"/>
        </w:rPr>
      </w:pPr>
    </w:p>
    <w:p w14:paraId="572B61BA">
      <w:pPr>
        <w:snapToGrid w:val="0"/>
        <w:spacing w:before="50" w:line="440" w:lineRule="exact"/>
        <w:jc w:val="left"/>
        <w:rPr>
          <w:rFonts w:ascii="宋体" w:hAnsi="宋体" w:cs="宋体"/>
          <w:b/>
          <w:color w:val="auto"/>
          <w:szCs w:val="21"/>
          <w:highlight w:val="none"/>
        </w:rPr>
      </w:pPr>
    </w:p>
    <w:p w14:paraId="17061707">
      <w:pPr>
        <w:snapToGrid w:val="0"/>
        <w:spacing w:before="50" w:line="440" w:lineRule="exact"/>
        <w:jc w:val="left"/>
        <w:rPr>
          <w:rFonts w:ascii="宋体" w:hAnsi="宋体" w:cs="宋体"/>
          <w:b/>
          <w:color w:val="auto"/>
          <w:szCs w:val="21"/>
          <w:highlight w:val="none"/>
        </w:rPr>
        <w:sectPr>
          <w:pgSz w:w="11906" w:h="16838"/>
          <w:pgMar w:top="1134" w:right="1247" w:bottom="1134" w:left="1247" w:header="851" w:footer="992" w:gutter="0"/>
          <w:pgNumType w:fmt="decimal"/>
          <w:cols w:space="720" w:num="1"/>
          <w:docGrid w:linePitch="312" w:charSpace="0"/>
        </w:sectPr>
      </w:pPr>
    </w:p>
    <w:p w14:paraId="1AAE3C45">
      <w:pPr>
        <w:snapToGrid w:val="0"/>
        <w:spacing w:before="50" w:line="440" w:lineRule="exact"/>
        <w:jc w:val="left"/>
        <w:rPr>
          <w:rFonts w:ascii="宋体" w:hAnsi="宋体" w:cs="宋体"/>
          <w:b/>
          <w:color w:val="auto"/>
          <w:szCs w:val="21"/>
          <w:highlight w:val="none"/>
        </w:rPr>
      </w:pPr>
      <w:r>
        <w:rPr>
          <w:rFonts w:hint="eastAsia" w:ascii="宋体" w:hAnsi="宋体" w:cs="宋体"/>
          <w:b/>
          <w:color w:val="auto"/>
          <w:szCs w:val="21"/>
          <w:highlight w:val="none"/>
          <w:lang w:val="en-US" w:eastAsia="zh-CN"/>
        </w:rPr>
        <w:t>九</w:t>
      </w:r>
      <w:r>
        <w:rPr>
          <w:rFonts w:hint="eastAsia" w:ascii="宋体" w:hAnsi="宋体" w:cs="宋体"/>
          <w:b/>
          <w:color w:val="auto"/>
          <w:szCs w:val="21"/>
          <w:highlight w:val="none"/>
        </w:rPr>
        <w:t>、供应商同类项目业绩证明</w:t>
      </w:r>
    </w:p>
    <w:p w14:paraId="1D2D2180">
      <w:pPr>
        <w:pStyle w:val="31"/>
        <w:snapToGrid w:val="0"/>
        <w:spacing w:line="440" w:lineRule="exact"/>
        <w:ind w:left="0"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供应商同类项目业绩一览表（供应商同类项目合同或中标/成交通知书</w:t>
      </w:r>
      <w:r>
        <w:rPr>
          <w:rFonts w:hint="eastAsia" w:ascii="宋体" w:hAnsi="宋体" w:cs="宋体"/>
          <w:color w:val="auto"/>
          <w:sz w:val="21"/>
          <w:szCs w:val="21"/>
          <w:highlight w:val="none"/>
          <w:lang w:eastAsia="zh-CN"/>
        </w:rPr>
        <w:t>扫描件</w:t>
      </w:r>
      <w:r>
        <w:rPr>
          <w:rFonts w:hint="eastAsia" w:ascii="宋体" w:hAnsi="宋体" w:cs="宋体"/>
          <w:color w:val="auto"/>
          <w:sz w:val="21"/>
          <w:szCs w:val="21"/>
          <w:highlight w:val="none"/>
        </w:rPr>
        <w:t>、用户验收报告、用户评价意见格式自拟）</w:t>
      </w:r>
    </w:p>
    <w:tbl>
      <w:tblPr>
        <w:tblStyle w:val="41"/>
        <w:tblW w:w="917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02"/>
        <w:gridCol w:w="1277"/>
        <w:gridCol w:w="1081"/>
        <w:gridCol w:w="1080"/>
        <w:gridCol w:w="958"/>
        <w:gridCol w:w="1087"/>
        <w:gridCol w:w="669"/>
        <w:gridCol w:w="650"/>
        <w:gridCol w:w="1275"/>
      </w:tblGrid>
      <w:tr w14:paraId="174E4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102" w:type="dxa"/>
            <w:vMerge w:val="restart"/>
            <w:tcBorders>
              <w:top w:val="single" w:color="auto" w:sz="4" w:space="0"/>
              <w:left w:val="single" w:color="auto" w:sz="4" w:space="0"/>
              <w:bottom w:val="single" w:color="auto" w:sz="4" w:space="0"/>
              <w:right w:val="single" w:color="auto" w:sz="4" w:space="0"/>
            </w:tcBorders>
            <w:vAlign w:val="center"/>
          </w:tcPr>
          <w:p w14:paraId="49356C59">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采购单位名称</w:t>
            </w:r>
          </w:p>
        </w:tc>
        <w:tc>
          <w:tcPr>
            <w:tcW w:w="1277" w:type="dxa"/>
            <w:vMerge w:val="restart"/>
            <w:tcBorders>
              <w:top w:val="single" w:color="auto" w:sz="4" w:space="0"/>
              <w:left w:val="single" w:color="auto" w:sz="4" w:space="0"/>
              <w:bottom w:val="single" w:color="auto" w:sz="4" w:space="0"/>
              <w:right w:val="single" w:color="auto" w:sz="4" w:space="0"/>
            </w:tcBorders>
            <w:vAlign w:val="center"/>
          </w:tcPr>
          <w:p w14:paraId="1FCD3BEE">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1081" w:type="dxa"/>
            <w:vMerge w:val="restart"/>
            <w:tcBorders>
              <w:top w:val="single" w:color="auto" w:sz="4" w:space="0"/>
              <w:left w:val="single" w:color="auto" w:sz="4" w:space="0"/>
              <w:bottom w:val="single" w:color="auto" w:sz="4" w:space="0"/>
              <w:right w:val="single" w:color="auto" w:sz="4" w:space="0"/>
            </w:tcBorders>
            <w:vAlign w:val="center"/>
          </w:tcPr>
          <w:p w14:paraId="4847EE9B">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采购</w:t>
            </w:r>
          </w:p>
          <w:p w14:paraId="530FA72A">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08A9490E">
            <w:pPr>
              <w:snapToGrid w:val="0"/>
              <w:spacing w:line="440" w:lineRule="exact"/>
              <w:jc w:val="center"/>
              <w:rPr>
                <w:rFonts w:ascii="宋体" w:hAnsi="宋体" w:cs="宋体"/>
                <w:color w:val="auto"/>
                <w:szCs w:val="21"/>
                <w:highlight w:val="none"/>
              </w:rPr>
            </w:pPr>
            <w:r>
              <w:rPr>
                <w:rFonts w:hint="eastAsia" w:ascii="宋体" w:hAnsi="宋体"/>
                <w:szCs w:val="21"/>
              </w:rPr>
              <w:t>单价</w:t>
            </w:r>
          </w:p>
        </w:tc>
        <w:tc>
          <w:tcPr>
            <w:tcW w:w="958" w:type="dxa"/>
            <w:vMerge w:val="restart"/>
            <w:tcBorders>
              <w:top w:val="single" w:color="auto" w:sz="4" w:space="0"/>
              <w:left w:val="single" w:color="auto" w:sz="4" w:space="0"/>
              <w:bottom w:val="single" w:color="auto" w:sz="4" w:space="0"/>
              <w:right w:val="single" w:color="auto" w:sz="4" w:space="0"/>
            </w:tcBorders>
            <w:vAlign w:val="center"/>
          </w:tcPr>
          <w:p w14:paraId="4A06150D">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合同</w:t>
            </w:r>
          </w:p>
          <w:p w14:paraId="27439383">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金额</w:t>
            </w:r>
          </w:p>
          <w:p w14:paraId="44BCB521">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2406" w:type="dxa"/>
            <w:gridSpan w:val="3"/>
            <w:tcBorders>
              <w:top w:val="single" w:color="auto" w:sz="4" w:space="0"/>
              <w:left w:val="single" w:color="auto" w:sz="4" w:space="0"/>
              <w:bottom w:val="single" w:color="auto" w:sz="4" w:space="0"/>
              <w:right w:val="single" w:color="auto" w:sz="4" w:space="0"/>
            </w:tcBorders>
            <w:vAlign w:val="center"/>
          </w:tcPr>
          <w:p w14:paraId="73E1CB6B">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附件页码</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14:paraId="3588D85E">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采购单位联系人及</w:t>
            </w:r>
          </w:p>
          <w:p w14:paraId="4937FD60">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联系电话</w:t>
            </w:r>
          </w:p>
        </w:tc>
      </w:tr>
      <w:tr w14:paraId="5B9949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102" w:type="dxa"/>
            <w:vMerge w:val="continue"/>
            <w:tcBorders>
              <w:top w:val="single" w:color="auto" w:sz="4" w:space="0"/>
              <w:left w:val="single" w:color="auto" w:sz="4" w:space="0"/>
              <w:bottom w:val="single" w:color="auto" w:sz="4" w:space="0"/>
              <w:right w:val="single" w:color="auto" w:sz="4" w:space="0"/>
            </w:tcBorders>
            <w:vAlign w:val="center"/>
          </w:tcPr>
          <w:p w14:paraId="019F278A">
            <w:pPr>
              <w:widowControl/>
              <w:spacing w:line="440" w:lineRule="exact"/>
              <w:jc w:val="left"/>
              <w:rPr>
                <w:rFonts w:ascii="宋体" w:hAnsi="宋体" w:cs="宋体"/>
                <w:color w:val="auto"/>
                <w:szCs w:val="21"/>
                <w:highlight w:val="none"/>
              </w:rPr>
            </w:pPr>
          </w:p>
        </w:tc>
        <w:tc>
          <w:tcPr>
            <w:tcW w:w="1277" w:type="dxa"/>
            <w:vMerge w:val="continue"/>
            <w:tcBorders>
              <w:top w:val="single" w:color="auto" w:sz="4" w:space="0"/>
              <w:left w:val="single" w:color="auto" w:sz="4" w:space="0"/>
              <w:bottom w:val="single" w:color="auto" w:sz="4" w:space="0"/>
              <w:right w:val="single" w:color="auto" w:sz="4" w:space="0"/>
            </w:tcBorders>
            <w:vAlign w:val="center"/>
          </w:tcPr>
          <w:p w14:paraId="4FB66D9F">
            <w:pPr>
              <w:widowControl/>
              <w:spacing w:line="440" w:lineRule="exact"/>
              <w:jc w:val="left"/>
              <w:rPr>
                <w:rFonts w:ascii="宋体" w:hAnsi="宋体" w:cs="宋体"/>
                <w:color w:val="auto"/>
                <w:szCs w:val="21"/>
                <w:highlight w:val="none"/>
              </w:rPr>
            </w:pPr>
          </w:p>
        </w:tc>
        <w:tc>
          <w:tcPr>
            <w:tcW w:w="1081" w:type="dxa"/>
            <w:vMerge w:val="continue"/>
            <w:tcBorders>
              <w:top w:val="single" w:color="auto" w:sz="4" w:space="0"/>
              <w:left w:val="single" w:color="auto" w:sz="4" w:space="0"/>
              <w:bottom w:val="single" w:color="auto" w:sz="4" w:space="0"/>
              <w:right w:val="single" w:color="auto" w:sz="4" w:space="0"/>
            </w:tcBorders>
            <w:vAlign w:val="center"/>
          </w:tcPr>
          <w:p w14:paraId="1ECBA959">
            <w:pPr>
              <w:widowControl/>
              <w:spacing w:line="440" w:lineRule="exact"/>
              <w:jc w:val="left"/>
              <w:rPr>
                <w:rFonts w:ascii="宋体" w:hAnsi="宋体" w:cs="宋体"/>
                <w:color w:val="auto"/>
                <w:szCs w:val="21"/>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2B0076E1">
            <w:pPr>
              <w:widowControl/>
              <w:spacing w:line="440" w:lineRule="exact"/>
              <w:jc w:val="left"/>
              <w:rPr>
                <w:rFonts w:ascii="宋体" w:hAnsi="宋体" w:cs="宋体"/>
                <w:color w:val="auto"/>
                <w:szCs w:val="21"/>
                <w:highlight w:val="none"/>
              </w:rPr>
            </w:pPr>
          </w:p>
        </w:tc>
        <w:tc>
          <w:tcPr>
            <w:tcW w:w="958" w:type="dxa"/>
            <w:vMerge w:val="continue"/>
            <w:tcBorders>
              <w:top w:val="single" w:color="auto" w:sz="4" w:space="0"/>
              <w:left w:val="single" w:color="auto" w:sz="4" w:space="0"/>
              <w:bottom w:val="single" w:color="auto" w:sz="4" w:space="0"/>
              <w:right w:val="single" w:color="auto" w:sz="4" w:space="0"/>
            </w:tcBorders>
            <w:vAlign w:val="center"/>
          </w:tcPr>
          <w:p w14:paraId="0AD8428A">
            <w:pPr>
              <w:widowControl/>
              <w:spacing w:line="440" w:lineRule="exact"/>
              <w:jc w:val="left"/>
              <w:rPr>
                <w:rFonts w:ascii="宋体" w:hAnsi="宋体" w:cs="宋体"/>
                <w:color w:val="auto"/>
                <w:szCs w:val="21"/>
                <w:highlight w:val="none"/>
              </w:rPr>
            </w:pPr>
          </w:p>
        </w:tc>
        <w:tc>
          <w:tcPr>
            <w:tcW w:w="1087" w:type="dxa"/>
            <w:tcBorders>
              <w:top w:val="single" w:color="auto" w:sz="4" w:space="0"/>
              <w:left w:val="single" w:color="auto" w:sz="4" w:space="0"/>
              <w:bottom w:val="single" w:color="auto" w:sz="4" w:space="0"/>
              <w:right w:val="single" w:color="auto" w:sz="4" w:space="0"/>
            </w:tcBorders>
            <w:vAlign w:val="center"/>
          </w:tcPr>
          <w:p w14:paraId="1FCB7B82">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合同或中标/成交通知书</w:t>
            </w:r>
          </w:p>
        </w:tc>
        <w:tc>
          <w:tcPr>
            <w:tcW w:w="669" w:type="dxa"/>
            <w:tcBorders>
              <w:top w:val="single" w:color="auto" w:sz="4" w:space="0"/>
              <w:left w:val="single" w:color="auto" w:sz="4" w:space="0"/>
              <w:bottom w:val="single" w:color="auto" w:sz="4" w:space="0"/>
              <w:right w:val="single" w:color="auto" w:sz="4" w:space="0"/>
            </w:tcBorders>
            <w:vAlign w:val="center"/>
          </w:tcPr>
          <w:p w14:paraId="7804DEC6">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验收报告</w:t>
            </w:r>
          </w:p>
        </w:tc>
        <w:tc>
          <w:tcPr>
            <w:tcW w:w="650" w:type="dxa"/>
            <w:tcBorders>
              <w:top w:val="single" w:color="auto" w:sz="4" w:space="0"/>
              <w:left w:val="single" w:color="auto" w:sz="4" w:space="0"/>
              <w:bottom w:val="single" w:color="auto" w:sz="4" w:space="0"/>
              <w:right w:val="single" w:color="auto" w:sz="4" w:space="0"/>
            </w:tcBorders>
            <w:vAlign w:val="center"/>
          </w:tcPr>
          <w:p w14:paraId="53BCDC23">
            <w:pP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用户评价</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643A261E">
            <w:pPr>
              <w:widowControl/>
              <w:spacing w:line="440" w:lineRule="exact"/>
              <w:jc w:val="left"/>
              <w:rPr>
                <w:rFonts w:ascii="宋体" w:hAnsi="宋体" w:cs="宋体"/>
                <w:color w:val="auto"/>
                <w:szCs w:val="21"/>
                <w:highlight w:val="none"/>
              </w:rPr>
            </w:pPr>
          </w:p>
        </w:tc>
      </w:tr>
      <w:tr w14:paraId="5872C9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102" w:type="dxa"/>
            <w:tcBorders>
              <w:top w:val="single" w:color="auto" w:sz="4" w:space="0"/>
              <w:left w:val="single" w:color="auto" w:sz="4" w:space="0"/>
              <w:bottom w:val="single" w:color="auto" w:sz="4" w:space="0"/>
              <w:right w:val="single" w:color="auto" w:sz="4" w:space="0"/>
            </w:tcBorders>
          </w:tcPr>
          <w:p w14:paraId="1AFA4122">
            <w:pPr>
              <w:snapToGrid w:val="0"/>
              <w:spacing w:line="440" w:lineRule="exact"/>
              <w:jc w:val="left"/>
              <w:rPr>
                <w:rFonts w:ascii="宋体" w:hAnsi="宋体" w:cs="宋体"/>
                <w:color w:val="auto"/>
                <w:szCs w:val="21"/>
                <w:highlight w:val="none"/>
              </w:rPr>
            </w:pPr>
          </w:p>
        </w:tc>
        <w:tc>
          <w:tcPr>
            <w:tcW w:w="1277" w:type="dxa"/>
            <w:tcBorders>
              <w:top w:val="single" w:color="auto" w:sz="4" w:space="0"/>
              <w:left w:val="single" w:color="auto" w:sz="4" w:space="0"/>
              <w:bottom w:val="single" w:color="auto" w:sz="4" w:space="0"/>
              <w:right w:val="single" w:color="auto" w:sz="4" w:space="0"/>
            </w:tcBorders>
          </w:tcPr>
          <w:p w14:paraId="7CAB7A03">
            <w:pPr>
              <w:snapToGrid w:val="0"/>
              <w:spacing w:line="440" w:lineRule="exact"/>
              <w:jc w:val="left"/>
              <w:rPr>
                <w:rFonts w:ascii="宋体" w:hAnsi="宋体" w:cs="宋体"/>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tcPr>
          <w:p w14:paraId="4C098CDA">
            <w:pPr>
              <w:snapToGrid w:val="0"/>
              <w:spacing w:line="440" w:lineRule="exact"/>
              <w:jc w:val="left"/>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1CE8272B">
            <w:pPr>
              <w:snapToGrid w:val="0"/>
              <w:spacing w:line="440" w:lineRule="exact"/>
              <w:jc w:val="left"/>
              <w:rPr>
                <w:rFonts w:ascii="宋体" w:hAnsi="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3F2970BA">
            <w:pPr>
              <w:snapToGrid w:val="0"/>
              <w:spacing w:line="440" w:lineRule="exact"/>
              <w:jc w:val="left"/>
              <w:rPr>
                <w:rFonts w:ascii="宋体" w:hAnsi="宋体" w:cs="宋体"/>
                <w:color w:val="auto"/>
                <w:szCs w:val="21"/>
                <w:highlight w:val="none"/>
              </w:rPr>
            </w:pPr>
          </w:p>
        </w:tc>
        <w:tc>
          <w:tcPr>
            <w:tcW w:w="1087" w:type="dxa"/>
            <w:tcBorders>
              <w:top w:val="single" w:color="auto" w:sz="4" w:space="0"/>
              <w:left w:val="single" w:color="auto" w:sz="4" w:space="0"/>
              <w:bottom w:val="single" w:color="auto" w:sz="4" w:space="0"/>
              <w:right w:val="single" w:color="auto" w:sz="4" w:space="0"/>
            </w:tcBorders>
          </w:tcPr>
          <w:p w14:paraId="4CBC9C68">
            <w:pPr>
              <w:snapToGrid w:val="0"/>
              <w:spacing w:line="440" w:lineRule="exact"/>
              <w:jc w:val="left"/>
              <w:rPr>
                <w:rFonts w:ascii="宋体" w:hAnsi="宋体" w:cs="宋体"/>
                <w:color w:val="auto"/>
                <w:szCs w:val="21"/>
                <w:highlight w:val="none"/>
              </w:rPr>
            </w:pPr>
          </w:p>
        </w:tc>
        <w:tc>
          <w:tcPr>
            <w:tcW w:w="669" w:type="dxa"/>
            <w:tcBorders>
              <w:top w:val="single" w:color="auto" w:sz="4" w:space="0"/>
              <w:left w:val="single" w:color="auto" w:sz="4" w:space="0"/>
              <w:bottom w:val="single" w:color="auto" w:sz="4" w:space="0"/>
              <w:right w:val="single" w:color="auto" w:sz="4" w:space="0"/>
            </w:tcBorders>
          </w:tcPr>
          <w:p w14:paraId="49E8A536">
            <w:pPr>
              <w:snapToGrid w:val="0"/>
              <w:spacing w:line="440" w:lineRule="exact"/>
              <w:jc w:val="left"/>
              <w:rPr>
                <w:rFonts w:ascii="宋体" w:hAnsi="宋体" w:cs="宋体"/>
                <w:color w:val="auto"/>
                <w:szCs w:val="21"/>
                <w:highlight w:val="none"/>
              </w:rPr>
            </w:pPr>
          </w:p>
        </w:tc>
        <w:tc>
          <w:tcPr>
            <w:tcW w:w="650" w:type="dxa"/>
            <w:tcBorders>
              <w:top w:val="single" w:color="auto" w:sz="4" w:space="0"/>
              <w:left w:val="single" w:color="auto" w:sz="4" w:space="0"/>
              <w:bottom w:val="single" w:color="auto" w:sz="4" w:space="0"/>
              <w:right w:val="single" w:color="auto" w:sz="4" w:space="0"/>
            </w:tcBorders>
          </w:tcPr>
          <w:p w14:paraId="248BAAF2">
            <w:pPr>
              <w:snapToGrid w:val="0"/>
              <w:spacing w:line="440" w:lineRule="exact"/>
              <w:jc w:val="left"/>
              <w:rPr>
                <w:rFonts w:ascii="宋体" w:hAnsi="宋体" w:cs="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14:paraId="723D0026">
            <w:pPr>
              <w:snapToGrid w:val="0"/>
              <w:spacing w:line="440" w:lineRule="exact"/>
              <w:jc w:val="left"/>
              <w:rPr>
                <w:rFonts w:ascii="宋体" w:hAnsi="宋体" w:cs="宋体"/>
                <w:color w:val="auto"/>
                <w:szCs w:val="21"/>
                <w:highlight w:val="none"/>
              </w:rPr>
            </w:pPr>
          </w:p>
        </w:tc>
      </w:tr>
      <w:tr w14:paraId="0E35CD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02" w:type="dxa"/>
            <w:tcBorders>
              <w:top w:val="single" w:color="auto" w:sz="4" w:space="0"/>
              <w:left w:val="single" w:color="auto" w:sz="4" w:space="0"/>
              <w:bottom w:val="single" w:color="auto" w:sz="4" w:space="0"/>
              <w:right w:val="single" w:color="auto" w:sz="4" w:space="0"/>
            </w:tcBorders>
          </w:tcPr>
          <w:p w14:paraId="45646B1E">
            <w:pPr>
              <w:snapToGrid w:val="0"/>
              <w:spacing w:before="50" w:after="120" w:afterLines="50" w:line="440" w:lineRule="exact"/>
              <w:jc w:val="left"/>
              <w:rPr>
                <w:rFonts w:ascii="宋体" w:hAnsi="宋体" w:cs="宋体"/>
                <w:color w:val="auto"/>
                <w:szCs w:val="21"/>
                <w:highlight w:val="none"/>
              </w:rPr>
            </w:pPr>
          </w:p>
        </w:tc>
        <w:tc>
          <w:tcPr>
            <w:tcW w:w="1277" w:type="dxa"/>
            <w:tcBorders>
              <w:top w:val="single" w:color="auto" w:sz="4" w:space="0"/>
              <w:left w:val="single" w:color="auto" w:sz="4" w:space="0"/>
              <w:bottom w:val="single" w:color="auto" w:sz="4" w:space="0"/>
              <w:right w:val="single" w:color="auto" w:sz="4" w:space="0"/>
            </w:tcBorders>
          </w:tcPr>
          <w:p w14:paraId="5C5C1651">
            <w:pPr>
              <w:snapToGrid w:val="0"/>
              <w:spacing w:before="50" w:after="120" w:afterLines="50" w:line="440" w:lineRule="exact"/>
              <w:jc w:val="left"/>
              <w:rPr>
                <w:rFonts w:ascii="宋体" w:hAnsi="宋体" w:cs="宋体"/>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tcPr>
          <w:p w14:paraId="107A4583">
            <w:pPr>
              <w:snapToGrid w:val="0"/>
              <w:spacing w:before="50" w:after="120" w:afterLines="50" w:line="440" w:lineRule="exact"/>
              <w:jc w:val="left"/>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23B2105D">
            <w:pPr>
              <w:snapToGrid w:val="0"/>
              <w:spacing w:before="50" w:after="120" w:afterLines="50" w:line="440" w:lineRule="exact"/>
              <w:jc w:val="left"/>
              <w:rPr>
                <w:rFonts w:ascii="宋体" w:hAnsi="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722732E6">
            <w:pPr>
              <w:snapToGrid w:val="0"/>
              <w:spacing w:before="50" w:after="120" w:afterLines="50" w:line="440" w:lineRule="exact"/>
              <w:jc w:val="left"/>
              <w:rPr>
                <w:rFonts w:ascii="宋体" w:hAnsi="宋体" w:cs="宋体"/>
                <w:color w:val="auto"/>
                <w:szCs w:val="21"/>
                <w:highlight w:val="none"/>
              </w:rPr>
            </w:pPr>
          </w:p>
        </w:tc>
        <w:tc>
          <w:tcPr>
            <w:tcW w:w="1087" w:type="dxa"/>
            <w:tcBorders>
              <w:top w:val="single" w:color="auto" w:sz="4" w:space="0"/>
              <w:left w:val="single" w:color="auto" w:sz="4" w:space="0"/>
              <w:bottom w:val="single" w:color="auto" w:sz="4" w:space="0"/>
              <w:right w:val="single" w:color="auto" w:sz="4" w:space="0"/>
            </w:tcBorders>
          </w:tcPr>
          <w:p w14:paraId="0CB2DBD8">
            <w:pPr>
              <w:snapToGrid w:val="0"/>
              <w:spacing w:before="50" w:after="120" w:afterLines="50" w:line="440" w:lineRule="exact"/>
              <w:jc w:val="left"/>
              <w:rPr>
                <w:rFonts w:ascii="宋体" w:hAnsi="宋体" w:cs="宋体"/>
                <w:color w:val="auto"/>
                <w:szCs w:val="21"/>
                <w:highlight w:val="none"/>
              </w:rPr>
            </w:pPr>
          </w:p>
        </w:tc>
        <w:tc>
          <w:tcPr>
            <w:tcW w:w="669" w:type="dxa"/>
            <w:tcBorders>
              <w:top w:val="single" w:color="auto" w:sz="4" w:space="0"/>
              <w:left w:val="single" w:color="auto" w:sz="4" w:space="0"/>
              <w:bottom w:val="single" w:color="auto" w:sz="4" w:space="0"/>
              <w:right w:val="single" w:color="auto" w:sz="4" w:space="0"/>
            </w:tcBorders>
          </w:tcPr>
          <w:p w14:paraId="4861E221">
            <w:pPr>
              <w:snapToGrid w:val="0"/>
              <w:spacing w:before="50" w:after="120" w:afterLines="50" w:line="440" w:lineRule="exact"/>
              <w:jc w:val="left"/>
              <w:rPr>
                <w:rFonts w:ascii="宋体" w:hAnsi="宋体" w:cs="宋体"/>
                <w:color w:val="auto"/>
                <w:szCs w:val="21"/>
                <w:highlight w:val="none"/>
              </w:rPr>
            </w:pPr>
          </w:p>
        </w:tc>
        <w:tc>
          <w:tcPr>
            <w:tcW w:w="650" w:type="dxa"/>
            <w:tcBorders>
              <w:top w:val="single" w:color="auto" w:sz="4" w:space="0"/>
              <w:left w:val="single" w:color="auto" w:sz="4" w:space="0"/>
              <w:bottom w:val="single" w:color="auto" w:sz="4" w:space="0"/>
              <w:right w:val="single" w:color="auto" w:sz="4" w:space="0"/>
            </w:tcBorders>
          </w:tcPr>
          <w:p w14:paraId="1BD0D4D3">
            <w:pPr>
              <w:snapToGrid w:val="0"/>
              <w:spacing w:before="50" w:after="120" w:afterLines="50" w:line="440" w:lineRule="exact"/>
              <w:jc w:val="left"/>
              <w:rPr>
                <w:rFonts w:ascii="宋体" w:hAnsi="宋体" w:cs="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14:paraId="31E5B319">
            <w:pPr>
              <w:snapToGrid w:val="0"/>
              <w:spacing w:before="50" w:after="120" w:afterLines="50" w:line="440" w:lineRule="exact"/>
              <w:jc w:val="left"/>
              <w:rPr>
                <w:rFonts w:ascii="宋体" w:hAnsi="宋体" w:cs="宋体"/>
                <w:color w:val="auto"/>
                <w:szCs w:val="21"/>
                <w:highlight w:val="none"/>
              </w:rPr>
            </w:pPr>
          </w:p>
        </w:tc>
      </w:tr>
      <w:tr w14:paraId="5AB839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102" w:type="dxa"/>
            <w:tcBorders>
              <w:top w:val="single" w:color="auto" w:sz="4" w:space="0"/>
              <w:left w:val="single" w:color="auto" w:sz="4" w:space="0"/>
              <w:bottom w:val="single" w:color="auto" w:sz="4" w:space="0"/>
              <w:right w:val="single" w:color="auto" w:sz="4" w:space="0"/>
            </w:tcBorders>
          </w:tcPr>
          <w:p w14:paraId="100A7A85">
            <w:pPr>
              <w:snapToGrid w:val="0"/>
              <w:spacing w:before="50" w:after="120" w:afterLines="50" w:line="440" w:lineRule="exact"/>
              <w:jc w:val="left"/>
              <w:rPr>
                <w:rFonts w:ascii="宋体" w:hAnsi="宋体" w:cs="宋体"/>
                <w:color w:val="auto"/>
                <w:szCs w:val="21"/>
                <w:highlight w:val="none"/>
              </w:rPr>
            </w:pPr>
          </w:p>
        </w:tc>
        <w:tc>
          <w:tcPr>
            <w:tcW w:w="1277" w:type="dxa"/>
            <w:tcBorders>
              <w:top w:val="single" w:color="auto" w:sz="4" w:space="0"/>
              <w:left w:val="single" w:color="auto" w:sz="4" w:space="0"/>
              <w:bottom w:val="single" w:color="auto" w:sz="4" w:space="0"/>
              <w:right w:val="single" w:color="auto" w:sz="4" w:space="0"/>
            </w:tcBorders>
          </w:tcPr>
          <w:p w14:paraId="4DBAFA2D">
            <w:pPr>
              <w:snapToGrid w:val="0"/>
              <w:spacing w:before="50" w:after="120" w:afterLines="50" w:line="440" w:lineRule="exact"/>
              <w:jc w:val="left"/>
              <w:rPr>
                <w:rFonts w:ascii="宋体" w:hAnsi="宋体" w:cs="宋体"/>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tcPr>
          <w:p w14:paraId="716D36D9">
            <w:pPr>
              <w:snapToGrid w:val="0"/>
              <w:spacing w:before="50" w:after="120" w:afterLines="50" w:line="440" w:lineRule="exact"/>
              <w:jc w:val="left"/>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54F32231">
            <w:pPr>
              <w:snapToGrid w:val="0"/>
              <w:spacing w:before="50" w:after="120" w:afterLines="50" w:line="440" w:lineRule="exact"/>
              <w:jc w:val="left"/>
              <w:rPr>
                <w:rFonts w:ascii="宋体" w:hAnsi="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6CD08AC9">
            <w:pPr>
              <w:snapToGrid w:val="0"/>
              <w:spacing w:before="50" w:after="120" w:afterLines="50" w:line="440" w:lineRule="exact"/>
              <w:jc w:val="left"/>
              <w:rPr>
                <w:rFonts w:ascii="宋体" w:hAnsi="宋体" w:cs="宋体"/>
                <w:color w:val="auto"/>
                <w:szCs w:val="21"/>
                <w:highlight w:val="none"/>
              </w:rPr>
            </w:pPr>
          </w:p>
        </w:tc>
        <w:tc>
          <w:tcPr>
            <w:tcW w:w="1087" w:type="dxa"/>
            <w:tcBorders>
              <w:top w:val="single" w:color="auto" w:sz="4" w:space="0"/>
              <w:left w:val="single" w:color="auto" w:sz="4" w:space="0"/>
              <w:bottom w:val="single" w:color="auto" w:sz="4" w:space="0"/>
              <w:right w:val="single" w:color="auto" w:sz="4" w:space="0"/>
            </w:tcBorders>
          </w:tcPr>
          <w:p w14:paraId="6EA0088D">
            <w:pPr>
              <w:snapToGrid w:val="0"/>
              <w:spacing w:before="50" w:after="120" w:afterLines="50" w:line="440" w:lineRule="exact"/>
              <w:jc w:val="left"/>
              <w:rPr>
                <w:rFonts w:ascii="宋体" w:hAnsi="宋体" w:cs="宋体"/>
                <w:color w:val="auto"/>
                <w:szCs w:val="21"/>
                <w:highlight w:val="none"/>
              </w:rPr>
            </w:pPr>
          </w:p>
        </w:tc>
        <w:tc>
          <w:tcPr>
            <w:tcW w:w="669" w:type="dxa"/>
            <w:tcBorders>
              <w:top w:val="single" w:color="auto" w:sz="4" w:space="0"/>
              <w:left w:val="single" w:color="auto" w:sz="4" w:space="0"/>
              <w:bottom w:val="single" w:color="auto" w:sz="4" w:space="0"/>
              <w:right w:val="single" w:color="auto" w:sz="4" w:space="0"/>
            </w:tcBorders>
          </w:tcPr>
          <w:p w14:paraId="434D3901">
            <w:pPr>
              <w:snapToGrid w:val="0"/>
              <w:spacing w:before="50" w:after="120" w:afterLines="50" w:line="440" w:lineRule="exact"/>
              <w:jc w:val="left"/>
              <w:rPr>
                <w:rFonts w:ascii="宋体" w:hAnsi="宋体" w:cs="宋体"/>
                <w:color w:val="auto"/>
                <w:szCs w:val="21"/>
                <w:highlight w:val="none"/>
              </w:rPr>
            </w:pPr>
          </w:p>
        </w:tc>
        <w:tc>
          <w:tcPr>
            <w:tcW w:w="650" w:type="dxa"/>
            <w:tcBorders>
              <w:top w:val="single" w:color="auto" w:sz="4" w:space="0"/>
              <w:left w:val="single" w:color="auto" w:sz="4" w:space="0"/>
              <w:bottom w:val="single" w:color="auto" w:sz="4" w:space="0"/>
              <w:right w:val="single" w:color="auto" w:sz="4" w:space="0"/>
            </w:tcBorders>
          </w:tcPr>
          <w:p w14:paraId="759938DD">
            <w:pPr>
              <w:snapToGrid w:val="0"/>
              <w:spacing w:before="50" w:after="120" w:afterLines="50" w:line="440" w:lineRule="exact"/>
              <w:jc w:val="left"/>
              <w:rPr>
                <w:rFonts w:ascii="宋体" w:hAnsi="宋体" w:cs="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14:paraId="5841A685">
            <w:pPr>
              <w:snapToGrid w:val="0"/>
              <w:spacing w:before="50" w:after="120" w:afterLines="50" w:line="440" w:lineRule="exact"/>
              <w:jc w:val="left"/>
              <w:rPr>
                <w:rFonts w:ascii="宋体" w:hAnsi="宋体" w:cs="宋体"/>
                <w:color w:val="auto"/>
                <w:szCs w:val="21"/>
                <w:highlight w:val="none"/>
              </w:rPr>
            </w:pPr>
          </w:p>
        </w:tc>
      </w:tr>
      <w:tr w14:paraId="2663CC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02" w:type="dxa"/>
            <w:tcBorders>
              <w:top w:val="single" w:color="auto" w:sz="4" w:space="0"/>
              <w:left w:val="single" w:color="auto" w:sz="4" w:space="0"/>
              <w:bottom w:val="single" w:color="auto" w:sz="4" w:space="0"/>
              <w:right w:val="single" w:color="auto" w:sz="4" w:space="0"/>
            </w:tcBorders>
          </w:tcPr>
          <w:p w14:paraId="036FFC5C">
            <w:pPr>
              <w:snapToGrid w:val="0"/>
              <w:spacing w:before="50" w:after="120" w:afterLines="50" w:line="440" w:lineRule="exact"/>
              <w:jc w:val="left"/>
              <w:rPr>
                <w:rFonts w:ascii="宋体" w:hAnsi="宋体" w:cs="宋体"/>
                <w:color w:val="auto"/>
                <w:szCs w:val="21"/>
                <w:highlight w:val="none"/>
              </w:rPr>
            </w:pPr>
          </w:p>
        </w:tc>
        <w:tc>
          <w:tcPr>
            <w:tcW w:w="1277" w:type="dxa"/>
            <w:tcBorders>
              <w:top w:val="single" w:color="auto" w:sz="4" w:space="0"/>
              <w:left w:val="single" w:color="auto" w:sz="4" w:space="0"/>
              <w:bottom w:val="single" w:color="auto" w:sz="4" w:space="0"/>
              <w:right w:val="single" w:color="auto" w:sz="4" w:space="0"/>
            </w:tcBorders>
          </w:tcPr>
          <w:p w14:paraId="03BBC933">
            <w:pPr>
              <w:snapToGrid w:val="0"/>
              <w:spacing w:before="50" w:after="120" w:afterLines="50" w:line="440" w:lineRule="exact"/>
              <w:jc w:val="left"/>
              <w:rPr>
                <w:rFonts w:ascii="宋体" w:hAnsi="宋体" w:cs="宋体"/>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tcPr>
          <w:p w14:paraId="2B36427F">
            <w:pPr>
              <w:snapToGrid w:val="0"/>
              <w:spacing w:before="50" w:after="120" w:afterLines="50" w:line="440" w:lineRule="exact"/>
              <w:jc w:val="left"/>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6A041D14">
            <w:pPr>
              <w:snapToGrid w:val="0"/>
              <w:spacing w:before="50" w:after="120" w:afterLines="50" w:line="440" w:lineRule="exact"/>
              <w:jc w:val="left"/>
              <w:rPr>
                <w:rFonts w:ascii="宋体" w:hAnsi="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40BC55D0">
            <w:pPr>
              <w:snapToGrid w:val="0"/>
              <w:spacing w:before="50" w:after="120" w:afterLines="50" w:line="440" w:lineRule="exact"/>
              <w:jc w:val="left"/>
              <w:rPr>
                <w:rFonts w:ascii="宋体" w:hAnsi="宋体" w:cs="宋体"/>
                <w:color w:val="auto"/>
                <w:szCs w:val="21"/>
                <w:highlight w:val="none"/>
              </w:rPr>
            </w:pPr>
          </w:p>
        </w:tc>
        <w:tc>
          <w:tcPr>
            <w:tcW w:w="1087" w:type="dxa"/>
            <w:tcBorders>
              <w:top w:val="single" w:color="auto" w:sz="4" w:space="0"/>
              <w:left w:val="single" w:color="auto" w:sz="4" w:space="0"/>
              <w:bottom w:val="single" w:color="auto" w:sz="4" w:space="0"/>
              <w:right w:val="single" w:color="auto" w:sz="4" w:space="0"/>
            </w:tcBorders>
          </w:tcPr>
          <w:p w14:paraId="10A47863">
            <w:pPr>
              <w:snapToGrid w:val="0"/>
              <w:spacing w:before="50" w:after="120" w:afterLines="50" w:line="440" w:lineRule="exact"/>
              <w:jc w:val="left"/>
              <w:rPr>
                <w:rFonts w:ascii="宋体" w:hAnsi="宋体" w:cs="宋体"/>
                <w:color w:val="auto"/>
                <w:szCs w:val="21"/>
                <w:highlight w:val="none"/>
              </w:rPr>
            </w:pPr>
          </w:p>
        </w:tc>
        <w:tc>
          <w:tcPr>
            <w:tcW w:w="669" w:type="dxa"/>
            <w:tcBorders>
              <w:top w:val="single" w:color="auto" w:sz="4" w:space="0"/>
              <w:left w:val="single" w:color="auto" w:sz="4" w:space="0"/>
              <w:bottom w:val="single" w:color="auto" w:sz="4" w:space="0"/>
              <w:right w:val="single" w:color="auto" w:sz="4" w:space="0"/>
            </w:tcBorders>
          </w:tcPr>
          <w:p w14:paraId="37A75509">
            <w:pPr>
              <w:snapToGrid w:val="0"/>
              <w:spacing w:before="50" w:after="120" w:afterLines="50" w:line="440" w:lineRule="exact"/>
              <w:jc w:val="left"/>
              <w:rPr>
                <w:rFonts w:ascii="宋体" w:hAnsi="宋体" w:cs="宋体"/>
                <w:color w:val="auto"/>
                <w:szCs w:val="21"/>
                <w:highlight w:val="none"/>
              </w:rPr>
            </w:pPr>
          </w:p>
        </w:tc>
        <w:tc>
          <w:tcPr>
            <w:tcW w:w="650" w:type="dxa"/>
            <w:tcBorders>
              <w:top w:val="single" w:color="auto" w:sz="4" w:space="0"/>
              <w:left w:val="single" w:color="auto" w:sz="4" w:space="0"/>
              <w:bottom w:val="single" w:color="auto" w:sz="4" w:space="0"/>
              <w:right w:val="single" w:color="auto" w:sz="4" w:space="0"/>
            </w:tcBorders>
          </w:tcPr>
          <w:p w14:paraId="2E1CFB19">
            <w:pPr>
              <w:snapToGrid w:val="0"/>
              <w:spacing w:before="50" w:after="120" w:afterLines="50" w:line="440" w:lineRule="exact"/>
              <w:jc w:val="left"/>
              <w:rPr>
                <w:rFonts w:ascii="宋体" w:hAnsi="宋体" w:cs="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14:paraId="13AAB505">
            <w:pPr>
              <w:snapToGrid w:val="0"/>
              <w:spacing w:before="50" w:after="120" w:afterLines="50" w:line="440" w:lineRule="exact"/>
              <w:jc w:val="left"/>
              <w:rPr>
                <w:rFonts w:ascii="宋体" w:hAnsi="宋体" w:cs="宋体"/>
                <w:color w:val="auto"/>
                <w:szCs w:val="21"/>
                <w:highlight w:val="none"/>
              </w:rPr>
            </w:pPr>
          </w:p>
        </w:tc>
      </w:tr>
      <w:tr w14:paraId="06F5BD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02" w:type="dxa"/>
            <w:tcBorders>
              <w:top w:val="single" w:color="auto" w:sz="4" w:space="0"/>
              <w:left w:val="single" w:color="auto" w:sz="4" w:space="0"/>
              <w:bottom w:val="single" w:color="auto" w:sz="4" w:space="0"/>
              <w:right w:val="single" w:color="auto" w:sz="4" w:space="0"/>
            </w:tcBorders>
          </w:tcPr>
          <w:p w14:paraId="52AB0859">
            <w:pPr>
              <w:snapToGrid w:val="0"/>
              <w:spacing w:before="50" w:after="120" w:afterLines="50" w:line="440" w:lineRule="exact"/>
              <w:jc w:val="left"/>
              <w:rPr>
                <w:rFonts w:ascii="宋体" w:hAnsi="宋体" w:cs="宋体"/>
                <w:color w:val="auto"/>
                <w:szCs w:val="21"/>
                <w:highlight w:val="none"/>
              </w:rPr>
            </w:pPr>
          </w:p>
        </w:tc>
        <w:tc>
          <w:tcPr>
            <w:tcW w:w="1277" w:type="dxa"/>
            <w:tcBorders>
              <w:top w:val="single" w:color="auto" w:sz="4" w:space="0"/>
              <w:left w:val="single" w:color="auto" w:sz="4" w:space="0"/>
              <w:bottom w:val="single" w:color="auto" w:sz="4" w:space="0"/>
              <w:right w:val="single" w:color="auto" w:sz="4" w:space="0"/>
            </w:tcBorders>
          </w:tcPr>
          <w:p w14:paraId="13E1FF29">
            <w:pPr>
              <w:snapToGrid w:val="0"/>
              <w:spacing w:before="50" w:after="120" w:afterLines="50" w:line="440" w:lineRule="exact"/>
              <w:jc w:val="left"/>
              <w:rPr>
                <w:rFonts w:ascii="宋体" w:hAnsi="宋体" w:cs="宋体"/>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tcPr>
          <w:p w14:paraId="61208FAB">
            <w:pPr>
              <w:snapToGrid w:val="0"/>
              <w:spacing w:before="50" w:after="120" w:afterLines="50" w:line="440" w:lineRule="exact"/>
              <w:jc w:val="left"/>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7E2C9815">
            <w:pPr>
              <w:snapToGrid w:val="0"/>
              <w:spacing w:before="50" w:after="120" w:afterLines="50" w:line="440" w:lineRule="exact"/>
              <w:jc w:val="left"/>
              <w:rPr>
                <w:rFonts w:ascii="宋体" w:hAnsi="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381715CD">
            <w:pPr>
              <w:snapToGrid w:val="0"/>
              <w:spacing w:before="50" w:after="120" w:afterLines="50" w:line="440" w:lineRule="exact"/>
              <w:jc w:val="left"/>
              <w:rPr>
                <w:rFonts w:ascii="宋体" w:hAnsi="宋体" w:cs="宋体"/>
                <w:color w:val="auto"/>
                <w:szCs w:val="21"/>
                <w:highlight w:val="none"/>
              </w:rPr>
            </w:pPr>
          </w:p>
        </w:tc>
        <w:tc>
          <w:tcPr>
            <w:tcW w:w="1087" w:type="dxa"/>
            <w:tcBorders>
              <w:top w:val="single" w:color="auto" w:sz="4" w:space="0"/>
              <w:left w:val="single" w:color="auto" w:sz="4" w:space="0"/>
              <w:bottom w:val="single" w:color="auto" w:sz="4" w:space="0"/>
              <w:right w:val="single" w:color="auto" w:sz="4" w:space="0"/>
            </w:tcBorders>
          </w:tcPr>
          <w:p w14:paraId="225D91F2">
            <w:pPr>
              <w:snapToGrid w:val="0"/>
              <w:spacing w:before="50" w:after="120" w:afterLines="50" w:line="440" w:lineRule="exact"/>
              <w:jc w:val="left"/>
              <w:rPr>
                <w:rFonts w:ascii="宋体" w:hAnsi="宋体" w:cs="宋体"/>
                <w:color w:val="auto"/>
                <w:szCs w:val="21"/>
                <w:highlight w:val="none"/>
              </w:rPr>
            </w:pPr>
          </w:p>
        </w:tc>
        <w:tc>
          <w:tcPr>
            <w:tcW w:w="669" w:type="dxa"/>
            <w:tcBorders>
              <w:top w:val="single" w:color="auto" w:sz="4" w:space="0"/>
              <w:left w:val="single" w:color="auto" w:sz="4" w:space="0"/>
              <w:bottom w:val="single" w:color="auto" w:sz="4" w:space="0"/>
              <w:right w:val="single" w:color="auto" w:sz="4" w:space="0"/>
            </w:tcBorders>
          </w:tcPr>
          <w:p w14:paraId="46508B99">
            <w:pPr>
              <w:snapToGrid w:val="0"/>
              <w:spacing w:before="50" w:after="120" w:afterLines="50" w:line="440" w:lineRule="exact"/>
              <w:jc w:val="left"/>
              <w:rPr>
                <w:rFonts w:ascii="宋体" w:hAnsi="宋体" w:cs="宋体"/>
                <w:color w:val="auto"/>
                <w:szCs w:val="21"/>
                <w:highlight w:val="none"/>
              </w:rPr>
            </w:pPr>
          </w:p>
        </w:tc>
        <w:tc>
          <w:tcPr>
            <w:tcW w:w="650" w:type="dxa"/>
            <w:tcBorders>
              <w:top w:val="single" w:color="auto" w:sz="4" w:space="0"/>
              <w:left w:val="single" w:color="auto" w:sz="4" w:space="0"/>
              <w:bottom w:val="single" w:color="auto" w:sz="4" w:space="0"/>
              <w:right w:val="single" w:color="auto" w:sz="4" w:space="0"/>
            </w:tcBorders>
          </w:tcPr>
          <w:p w14:paraId="2C40E732">
            <w:pPr>
              <w:snapToGrid w:val="0"/>
              <w:spacing w:before="50" w:after="120" w:afterLines="50" w:line="440" w:lineRule="exact"/>
              <w:jc w:val="left"/>
              <w:rPr>
                <w:rFonts w:ascii="宋体" w:hAnsi="宋体" w:cs="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14:paraId="3A2786D2">
            <w:pPr>
              <w:snapToGrid w:val="0"/>
              <w:spacing w:before="50" w:after="120" w:afterLines="50" w:line="440" w:lineRule="exact"/>
              <w:jc w:val="left"/>
              <w:rPr>
                <w:rFonts w:ascii="宋体" w:hAnsi="宋体" w:cs="宋体"/>
                <w:color w:val="auto"/>
                <w:szCs w:val="21"/>
                <w:highlight w:val="none"/>
              </w:rPr>
            </w:pPr>
          </w:p>
        </w:tc>
      </w:tr>
    </w:tbl>
    <w:p w14:paraId="0409EA08">
      <w:pPr>
        <w:pStyle w:val="14"/>
        <w:snapToGrid w:val="0"/>
        <w:spacing w:line="440" w:lineRule="exact"/>
        <w:rPr>
          <w:rFonts w:ascii="宋体" w:hAnsi="宋体" w:eastAsia="宋体" w:cs="宋体"/>
          <w:color w:val="auto"/>
          <w:sz w:val="21"/>
          <w:szCs w:val="21"/>
          <w:highlight w:val="none"/>
        </w:rPr>
      </w:pPr>
    </w:p>
    <w:p w14:paraId="15FD5E73">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730699AA">
      <w:pPr>
        <w:spacing w:line="44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14:paraId="2A670F29">
      <w:pPr>
        <w:spacing w:line="440" w:lineRule="exact"/>
        <w:rPr>
          <w:rFonts w:ascii="宋体" w:hAnsi="宋体" w:cs="宋体"/>
          <w:color w:val="auto"/>
          <w:szCs w:val="21"/>
          <w:highlight w:val="none"/>
        </w:rPr>
      </w:pPr>
    </w:p>
    <w:p w14:paraId="12EF1399">
      <w:pPr>
        <w:spacing w:line="440" w:lineRule="exact"/>
        <w:rPr>
          <w:rFonts w:ascii="宋体" w:hAnsi="宋体" w:cs="宋体"/>
          <w:color w:val="auto"/>
          <w:szCs w:val="21"/>
          <w:highlight w:val="none"/>
        </w:rPr>
      </w:pPr>
    </w:p>
    <w:p w14:paraId="4F587378">
      <w:pPr>
        <w:spacing w:line="440" w:lineRule="exact"/>
        <w:rPr>
          <w:rFonts w:ascii="宋体" w:hAnsi="宋体" w:cs="宋体"/>
          <w:color w:val="auto"/>
          <w:szCs w:val="21"/>
          <w:highlight w:val="none"/>
        </w:rPr>
      </w:pPr>
    </w:p>
    <w:p w14:paraId="51567147">
      <w:pPr>
        <w:spacing w:line="440" w:lineRule="exact"/>
        <w:rPr>
          <w:rFonts w:ascii="宋体" w:hAnsi="宋体" w:cs="宋体"/>
          <w:color w:val="auto"/>
          <w:szCs w:val="21"/>
          <w:highlight w:val="none"/>
        </w:rPr>
      </w:pPr>
    </w:p>
    <w:p w14:paraId="5682AA1E">
      <w:pPr>
        <w:spacing w:line="440" w:lineRule="exact"/>
        <w:rPr>
          <w:rFonts w:ascii="宋体" w:hAnsi="宋体" w:cs="宋体"/>
          <w:color w:val="auto"/>
          <w:szCs w:val="21"/>
          <w:highlight w:val="none"/>
        </w:rPr>
      </w:pPr>
    </w:p>
    <w:p w14:paraId="58B4FE72">
      <w:pPr>
        <w:spacing w:line="440" w:lineRule="exact"/>
        <w:rPr>
          <w:rFonts w:ascii="宋体" w:hAnsi="宋体" w:cs="宋体"/>
          <w:color w:val="auto"/>
          <w:szCs w:val="21"/>
          <w:highlight w:val="none"/>
        </w:rPr>
      </w:pPr>
    </w:p>
    <w:p w14:paraId="4298C3D5">
      <w:pPr>
        <w:spacing w:line="440" w:lineRule="exact"/>
        <w:rPr>
          <w:rFonts w:ascii="宋体" w:hAnsi="宋体" w:cs="宋体"/>
          <w:color w:val="auto"/>
          <w:szCs w:val="21"/>
          <w:highlight w:val="none"/>
        </w:rPr>
      </w:pPr>
    </w:p>
    <w:p w14:paraId="6CFAA76C">
      <w:pPr>
        <w:spacing w:line="440" w:lineRule="exact"/>
        <w:rPr>
          <w:rFonts w:ascii="宋体" w:hAnsi="宋体" w:cs="宋体"/>
          <w:color w:val="auto"/>
          <w:szCs w:val="21"/>
          <w:highlight w:val="none"/>
        </w:rPr>
      </w:pPr>
    </w:p>
    <w:p w14:paraId="5DB1C4EC">
      <w:pPr>
        <w:spacing w:line="440" w:lineRule="exact"/>
        <w:rPr>
          <w:rFonts w:ascii="宋体" w:hAnsi="宋体" w:cs="宋体"/>
          <w:color w:val="auto"/>
          <w:szCs w:val="21"/>
          <w:highlight w:val="none"/>
        </w:rPr>
      </w:pPr>
    </w:p>
    <w:p w14:paraId="095580E2">
      <w:pPr>
        <w:spacing w:line="440" w:lineRule="exact"/>
        <w:rPr>
          <w:rFonts w:ascii="宋体" w:hAnsi="宋体" w:cs="宋体"/>
          <w:color w:val="auto"/>
          <w:szCs w:val="21"/>
          <w:highlight w:val="none"/>
        </w:rPr>
      </w:pPr>
    </w:p>
    <w:p w14:paraId="15068370">
      <w:pPr>
        <w:spacing w:line="440" w:lineRule="exact"/>
        <w:rPr>
          <w:rFonts w:ascii="宋体" w:hAnsi="宋体" w:cs="宋体"/>
          <w:color w:val="auto"/>
          <w:szCs w:val="21"/>
          <w:highlight w:val="none"/>
        </w:rPr>
      </w:pPr>
    </w:p>
    <w:p w14:paraId="3483B9C3">
      <w:pPr>
        <w:spacing w:line="440" w:lineRule="exact"/>
        <w:rPr>
          <w:rFonts w:ascii="宋体" w:hAnsi="宋体" w:cs="宋体"/>
          <w:color w:val="auto"/>
          <w:szCs w:val="21"/>
          <w:highlight w:val="none"/>
        </w:rPr>
      </w:pPr>
    </w:p>
    <w:p w14:paraId="5B3AB6E1">
      <w:pPr>
        <w:spacing w:line="440" w:lineRule="exact"/>
        <w:rPr>
          <w:rFonts w:ascii="宋体" w:hAnsi="宋体" w:cs="宋体"/>
          <w:color w:val="auto"/>
          <w:szCs w:val="21"/>
          <w:highlight w:val="none"/>
        </w:rPr>
      </w:pPr>
    </w:p>
    <w:p w14:paraId="6983EB57">
      <w:pPr>
        <w:snapToGrid w:val="0"/>
        <w:spacing w:before="50" w:line="440" w:lineRule="exact"/>
        <w:jc w:val="left"/>
        <w:rPr>
          <w:rFonts w:ascii="宋体" w:hAnsi="宋体" w:cs="宋体"/>
          <w:b/>
          <w:color w:val="auto"/>
          <w:sz w:val="24"/>
          <w:highlight w:val="none"/>
        </w:rPr>
      </w:pPr>
      <w:r>
        <w:rPr>
          <w:rFonts w:hint="eastAsia" w:ascii="宋体" w:hAnsi="宋体" w:cs="宋体"/>
          <w:b/>
          <w:color w:val="auto"/>
          <w:sz w:val="24"/>
          <w:highlight w:val="none"/>
          <w:lang w:val="en-US" w:eastAsia="zh-CN"/>
        </w:rPr>
        <w:t>十</w:t>
      </w:r>
      <w:r>
        <w:rPr>
          <w:rFonts w:hint="eastAsia" w:ascii="宋体" w:hAnsi="宋体" w:cs="宋体"/>
          <w:b/>
          <w:color w:val="auto"/>
          <w:sz w:val="24"/>
          <w:highlight w:val="none"/>
        </w:rPr>
        <w:t>、 代理服务费承诺书格式</w:t>
      </w:r>
    </w:p>
    <w:p w14:paraId="43F9712A">
      <w:pPr>
        <w:snapToGrid w:val="0"/>
        <w:spacing w:before="120" w:beforeLines="50" w:after="50" w:line="440" w:lineRule="exact"/>
        <w:rPr>
          <w:rFonts w:ascii="宋体" w:hAnsi="宋体" w:cs="宋体"/>
          <w:color w:val="auto"/>
          <w:szCs w:val="21"/>
          <w:highlight w:val="none"/>
        </w:rPr>
      </w:pPr>
      <w:r>
        <w:rPr>
          <w:rFonts w:hint="eastAsia" w:ascii="宋体" w:hAnsi="宋体" w:cs="宋体"/>
          <w:color w:val="auto"/>
          <w:szCs w:val="21"/>
          <w:highlight w:val="none"/>
        </w:rPr>
        <w:t>致：广西德元工程项目管理有限责任公司</w:t>
      </w:r>
    </w:p>
    <w:p w14:paraId="15EEA8DD">
      <w:pPr>
        <w:snapToGrid w:val="0"/>
        <w:spacing w:before="120" w:beforeLines="50" w:after="50"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我单位参加了贵方组织的采购项目编号为（）的磋商，在此我方说明如下：</w:t>
      </w:r>
    </w:p>
    <w:p w14:paraId="090F9355">
      <w:pPr>
        <w:numPr>
          <w:ilvl w:val="0"/>
          <w:numId w:val="2"/>
        </w:numPr>
        <w:snapToGrid w:val="0"/>
        <w:spacing w:before="120" w:beforeLines="50" w:after="50"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我方承诺，若我单位中标，保证在领取成交通知书之前，按本项目磋商文件的规定标准向贵单位一次性足额支付代理服务费。</w:t>
      </w:r>
    </w:p>
    <w:p w14:paraId="7937786C">
      <w:pPr>
        <w:snapToGrid w:val="0"/>
        <w:spacing w:before="120" w:beforeLines="50" w:after="50"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 我单位选择第   种方式作为代理服务费开票类型：</w:t>
      </w:r>
    </w:p>
    <w:p w14:paraId="213F4B98">
      <w:pPr>
        <w:snapToGrid w:val="0"/>
        <w:spacing w:before="120" w:beforeLines="50" w:after="50"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第一种方式：开具收据。</w:t>
      </w:r>
    </w:p>
    <w:p w14:paraId="011B6F3B">
      <w:pPr>
        <w:snapToGrid w:val="0"/>
        <w:spacing w:before="120" w:beforeLines="50" w:after="50"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第二种方式：开具增值税普通发票。开票信息如下：1.公司名称；2.纳税人识别号；</w:t>
      </w:r>
    </w:p>
    <w:p w14:paraId="3C77D28D">
      <w:pPr>
        <w:snapToGrid w:val="0"/>
        <w:spacing w:before="120" w:beforeLines="50" w:after="50"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第三种方式：开具增值税专用发票，开票信息如下：1.公司名称；2.纳税人识别号；3.税局登记地址；4.税局登记电话；5.开户银行；6.银行账户。</w:t>
      </w:r>
    </w:p>
    <w:p w14:paraId="5B18DC49">
      <w:pPr>
        <w:snapToGrid w:val="0"/>
        <w:spacing w:before="50" w:after="120" w:afterLines="50" w:line="440" w:lineRule="exact"/>
        <w:jc w:val="left"/>
        <w:rPr>
          <w:rFonts w:ascii="宋体" w:hAnsi="宋体" w:cs="宋体"/>
          <w:b/>
          <w:color w:val="auto"/>
          <w:sz w:val="24"/>
          <w:highlight w:val="none"/>
        </w:rPr>
      </w:pPr>
    </w:p>
    <w:p w14:paraId="48C8BC1C">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3E69A290">
      <w:pPr>
        <w:spacing w:line="44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14:paraId="357ED3CD">
      <w:pPr>
        <w:snapToGrid w:val="0"/>
        <w:spacing w:before="120" w:beforeLines="50" w:after="50" w:line="440" w:lineRule="exact"/>
        <w:rPr>
          <w:rFonts w:ascii="宋体" w:hAnsi="宋体" w:cs="宋体"/>
          <w:b/>
          <w:bCs/>
          <w:color w:val="auto"/>
          <w:szCs w:val="21"/>
          <w:highlight w:val="none"/>
        </w:rPr>
      </w:pPr>
    </w:p>
    <w:p w14:paraId="198B0243">
      <w:pPr>
        <w:snapToGrid w:val="0"/>
        <w:spacing w:before="120" w:beforeLines="50" w:after="50" w:line="440" w:lineRule="exact"/>
        <w:rPr>
          <w:rFonts w:ascii="宋体" w:hAnsi="宋体" w:cs="宋体"/>
          <w:b/>
          <w:bCs/>
          <w:color w:val="auto"/>
          <w:szCs w:val="21"/>
          <w:highlight w:val="none"/>
        </w:rPr>
      </w:pPr>
    </w:p>
    <w:p w14:paraId="1FDB7318">
      <w:pPr>
        <w:snapToGrid w:val="0"/>
        <w:spacing w:before="120" w:beforeLines="50" w:after="50" w:line="440" w:lineRule="exact"/>
        <w:rPr>
          <w:rFonts w:ascii="宋体" w:hAnsi="宋体" w:cs="宋体"/>
          <w:b/>
          <w:bCs/>
          <w:color w:val="auto"/>
          <w:szCs w:val="21"/>
          <w:highlight w:val="none"/>
        </w:rPr>
      </w:pPr>
    </w:p>
    <w:p w14:paraId="72DC1781">
      <w:pPr>
        <w:snapToGrid w:val="0"/>
        <w:spacing w:before="120" w:beforeLines="50" w:after="50" w:line="440" w:lineRule="exact"/>
        <w:rPr>
          <w:rFonts w:ascii="宋体" w:hAnsi="宋体" w:cs="宋体"/>
          <w:b/>
          <w:bCs/>
          <w:color w:val="auto"/>
          <w:szCs w:val="21"/>
          <w:highlight w:val="none"/>
        </w:rPr>
      </w:pPr>
    </w:p>
    <w:p w14:paraId="083C3EDF">
      <w:pPr>
        <w:snapToGrid w:val="0"/>
        <w:spacing w:before="120" w:beforeLines="50" w:after="50" w:line="440" w:lineRule="exact"/>
        <w:rPr>
          <w:rFonts w:ascii="宋体" w:hAnsi="宋体" w:cs="宋体"/>
          <w:b/>
          <w:bCs/>
          <w:color w:val="auto"/>
          <w:szCs w:val="21"/>
          <w:highlight w:val="none"/>
        </w:rPr>
      </w:pPr>
    </w:p>
    <w:p w14:paraId="78AC79FB">
      <w:pPr>
        <w:snapToGrid w:val="0"/>
        <w:spacing w:before="120" w:beforeLines="50" w:after="50" w:line="440" w:lineRule="exact"/>
        <w:rPr>
          <w:rFonts w:ascii="宋体" w:hAnsi="宋体" w:cs="宋体"/>
          <w:b/>
          <w:bCs/>
          <w:color w:val="auto"/>
          <w:szCs w:val="21"/>
          <w:highlight w:val="none"/>
        </w:rPr>
      </w:pPr>
    </w:p>
    <w:p w14:paraId="16D07A2B">
      <w:pPr>
        <w:snapToGrid w:val="0"/>
        <w:spacing w:before="120" w:beforeLines="50" w:after="50" w:line="440" w:lineRule="exact"/>
        <w:rPr>
          <w:rFonts w:ascii="宋体" w:hAnsi="宋体" w:cs="宋体"/>
          <w:b/>
          <w:bCs/>
          <w:color w:val="auto"/>
          <w:szCs w:val="21"/>
          <w:highlight w:val="none"/>
        </w:rPr>
      </w:pPr>
    </w:p>
    <w:p w14:paraId="5FA067B0">
      <w:pPr>
        <w:snapToGrid w:val="0"/>
        <w:spacing w:before="120" w:beforeLines="50" w:after="50" w:line="440" w:lineRule="exact"/>
        <w:rPr>
          <w:rFonts w:ascii="宋体" w:hAnsi="宋体" w:cs="宋体"/>
          <w:b/>
          <w:bCs/>
          <w:color w:val="auto"/>
          <w:szCs w:val="21"/>
          <w:highlight w:val="none"/>
        </w:rPr>
      </w:pPr>
    </w:p>
    <w:p w14:paraId="0E6AACF8">
      <w:pPr>
        <w:snapToGrid w:val="0"/>
        <w:spacing w:before="120" w:beforeLines="50" w:after="50" w:line="440" w:lineRule="exact"/>
        <w:rPr>
          <w:rFonts w:ascii="宋体" w:hAnsi="宋体" w:cs="宋体"/>
          <w:b/>
          <w:bCs/>
          <w:color w:val="auto"/>
          <w:szCs w:val="21"/>
          <w:highlight w:val="none"/>
        </w:rPr>
      </w:pPr>
    </w:p>
    <w:p w14:paraId="6C4EC2CC">
      <w:pPr>
        <w:snapToGrid w:val="0"/>
        <w:spacing w:before="120" w:beforeLines="50" w:after="50" w:line="440" w:lineRule="exact"/>
        <w:rPr>
          <w:rFonts w:ascii="宋体" w:hAnsi="宋体" w:cs="宋体"/>
          <w:b/>
          <w:bCs/>
          <w:color w:val="auto"/>
          <w:szCs w:val="21"/>
          <w:highlight w:val="none"/>
        </w:rPr>
      </w:pPr>
    </w:p>
    <w:p w14:paraId="49AF7C81">
      <w:pPr>
        <w:snapToGrid w:val="0"/>
        <w:spacing w:before="120" w:beforeLines="50" w:after="50" w:line="440" w:lineRule="exact"/>
        <w:rPr>
          <w:rFonts w:ascii="宋体" w:hAnsi="宋体" w:cs="宋体"/>
          <w:b/>
          <w:bCs/>
          <w:color w:val="auto"/>
          <w:szCs w:val="21"/>
          <w:highlight w:val="none"/>
        </w:rPr>
      </w:pPr>
    </w:p>
    <w:p w14:paraId="0AC4DAF4">
      <w:pPr>
        <w:snapToGrid w:val="0"/>
        <w:spacing w:before="120" w:beforeLines="50" w:after="50" w:line="440" w:lineRule="exact"/>
        <w:rPr>
          <w:rFonts w:ascii="宋体" w:hAnsi="宋体" w:cs="宋体"/>
          <w:b/>
          <w:bCs/>
          <w:color w:val="auto"/>
          <w:szCs w:val="21"/>
          <w:highlight w:val="none"/>
        </w:rPr>
      </w:pPr>
    </w:p>
    <w:p w14:paraId="0CBDE501">
      <w:pPr>
        <w:snapToGrid w:val="0"/>
        <w:spacing w:before="120" w:beforeLines="50" w:after="50" w:line="440" w:lineRule="exact"/>
        <w:rPr>
          <w:rFonts w:ascii="宋体" w:hAnsi="宋体" w:cs="宋体"/>
          <w:b/>
          <w:bCs/>
          <w:color w:val="auto"/>
          <w:szCs w:val="21"/>
          <w:highlight w:val="none"/>
        </w:rPr>
      </w:pPr>
    </w:p>
    <w:p w14:paraId="5AF1FB4E">
      <w:pPr>
        <w:snapToGrid w:val="0"/>
        <w:spacing w:before="120" w:beforeLines="50" w:after="50" w:line="440" w:lineRule="exact"/>
        <w:rPr>
          <w:rFonts w:ascii="宋体" w:hAnsi="宋体" w:cs="宋体"/>
          <w:b/>
          <w:bCs/>
          <w:color w:val="auto"/>
          <w:szCs w:val="21"/>
          <w:highlight w:val="none"/>
        </w:rPr>
      </w:pPr>
      <w:r>
        <w:rPr>
          <w:rFonts w:hint="eastAsia" w:ascii="宋体" w:hAnsi="宋体" w:cs="宋体"/>
          <w:b/>
          <w:bCs/>
          <w:color w:val="auto"/>
          <w:szCs w:val="21"/>
          <w:highlight w:val="none"/>
        </w:rPr>
        <w:t>3、报价文件格式：</w:t>
      </w:r>
    </w:p>
    <w:p w14:paraId="6A098494">
      <w:pPr>
        <w:spacing w:line="440" w:lineRule="exact"/>
        <w:jc w:val="center"/>
        <w:rPr>
          <w:rFonts w:ascii="宋体" w:hAnsi="宋体" w:cs="宋体"/>
          <w:b/>
          <w:color w:val="auto"/>
          <w:sz w:val="32"/>
          <w:szCs w:val="32"/>
          <w:highlight w:val="none"/>
        </w:rPr>
      </w:pPr>
    </w:p>
    <w:p w14:paraId="00FE4CAA">
      <w:pPr>
        <w:spacing w:line="440" w:lineRule="exact"/>
        <w:jc w:val="center"/>
        <w:rPr>
          <w:rFonts w:ascii="宋体" w:hAnsi="宋体" w:cs="宋体"/>
          <w:b/>
          <w:color w:val="auto"/>
          <w:sz w:val="32"/>
          <w:szCs w:val="32"/>
          <w:highlight w:val="none"/>
        </w:rPr>
      </w:pPr>
    </w:p>
    <w:p w14:paraId="4CB30299">
      <w:pPr>
        <w:snapToGrid w:val="0"/>
        <w:spacing w:before="120" w:beforeLines="50" w:after="50" w:line="440" w:lineRule="exact"/>
        <w:ind w:firstLine="8" w:firstLineChars="3"/>
        <w:jc w:val="right"/>
        <w:rPr>
          <w:rFonts w:ascii="宋体" w:hAnsi="宋体" w:cs="宋体"/>
          <w:bCs/>
          <w:color w:val="auto"/>
          <w:sz w:val="28"/>
          <w:szCs w:val="28"/>
          <w:highlight w:val="none"/>
        </w:rPr>
      </w:pPr>
      <w:r>
        <w:rPr>
          <w:rFonts w:hint="eastAsia" w:ascii="宋体" w:hAnsi="宋体" w:cs="宋体"/>
          <w:bCs/>
          <w:color w:val="auto"/>
          <w:sz w:val="28"/>
          <w:szCs w:val="28"/>
          <w:highlight w:val="none"/>
        </w:rPr>
        <w:t>电子响应文件</w:t>
      </w:r>
    </w:p>
    <w:p w14:paraId="6C05CE89">
      <w:pPr>
        <w:snapToGrid w:val="0"/>
        <w:spacing w:before="120" w:beforeLines="50" w:after="50" w:line="440" w:lineRule="exact"/>
        <w:ind w:firstLine="9" w:firstLineChars="3"/>
        <w:jc w:val="center"/>
        <w:rPr>
          <w:rFonts w:ascii="宋体" w:hAnsi="宋体" w:cs="宋体"/>
          <w:bCs/>
          <w:color w:val="auto"/>
          <w:sz w:val="32"/>
          <w:szCs w:val="32"/>
          <w:highlight w:val="none"/>
        </w:rPr>
      </w:pPr>
    </w:p>
    <w:p w14:paraId="1667173A">
      <w:pPr>
        <w:snapToGrid w:val="0"/>
        <w:spacing w:before="120" w:beforeLines="50" w:after="50" w:line="440" w:lineRule="exact"/>
        <w:ind w:firstLine="9" w:firstLineChars="3"/>
        <w:jc w:val="center"/>
        <w:rPr>
          <w:rFonts w:ascii="宋体" w:hAnsi="宋体" w:cs="宋体"/>
          <w:bCs/>
          <w:color w:val="auto"/>
          <w:sz w:val="32"/>
          <w:szCs w:val="32"/>
          <w:highlight w:val="none"/>
        </w:rPr>
      </w:pPr>
    </w:p>
    <w:p w14:paraId="2DF0CA45">
      <w:pPr>
        <w:snapToGrid w:val="0"/>
        <w:spacing w:before="120" w:beforeLines="50" w:after="50" w:line="440" w:lineRule="exact"/>
        <w:ind w:firstLine="9" w:firstLineChars="3"/>
        <w:jc w:val="center"/>
        <w:rPr>
          <w:rFonts w:ascii="宋体" w:hAnsi="宋体" w:cs="宋体"/>
          <w:bCs/>
          <w:color w:val="auto"/>
          <w:sz w:val="32"/>
          <w:szCs w:val="32"/>
          <w:highlight w:val="none"/>
        </w:rPr>
      </w:pPr>
    </w:p>
    <w:p w14:paraId="74F43578">
      <w:pPr>
        <w:snapToGrid w:val="0"/>
        <w:spacing w:before="120" w:beforeLines="50" w:after="50" w:line="440" w:lineRule="exact"/>
        <w:ind w:firstLine="13" w:firstLineChars="3"/>
        <w:jc w:val="center"/>
        <w:rPr>
          <w:rFonts w:ascii="宋体" w:hAnsi="宋体" w:cs="宋体"/>
          <w:bCs/>
          <w:color w:val="auto"/>
          <w:sz w:val="44"/>
          <w:szCs w:val="44"/>
          <w:highlight w:val="none"/>
        </w:rPr>
      </w:pPr>
      <w:r>
        <w:rPr>
          <w:rFonts w:hint="eastAsia" w:ascii="宋体" w:hAnsi="宋体" w:cs="宋体"/>
          <w:bCs/>
          <w:color w:val="auto"/>
          <w:sz w:val="44"/>
          <w:szCs w:val="44"/>
          <w:highlight w:val="none"/>
        </w:rPr>
        <w:t>响应文件</w:t>
      </w:r>
    </w:p>
    <w:p w14:paraId="4320A27E">
      <w:pPr>
        <w:snapToGrid w:val="0"/>
        <w:spacing w:before="120" w:beforeLines="50" w:after="50" w:line="440" w:lineRule="exact"/>
        <w:ind w:firstLine="9" w:firstLineChars="3"/>
        <w:jc w:val="center"/>
        <w:rPr>
          <w:rFonts w:ascii="宋体" w:hAnsi="宋体" w:cs="宋体"/>
          <w:bCs/>
          <w:color w:val="auto"/>
          <w:sz w:val="32"/>
          <w:szCs w:val="32"/>
          <w:highlight w:val="none"/>
        </w:rPr>
      </w:pPr>
      <w:r>
        <w:rPr>
          <w:rFonts w:hint="eastAsia" w:ascii="宋体" w:hAnsi="宋体" w:cs="宋体"/>
          <w:bCs/>
          <w:color w:val="auto"/>
          <w:sz w:val="32"/>
          <w:szCs w:val="32"/>
          <w:highlight w:val="none"/>
        </w:rPr>
        <w:t>（报价文件）</w:t>
      </w:r>
    </w:p>
    <w:p w14:paraId="033B8207">
      <w:pPr>
        <w:snapToGrid w:val="0"/>
        <w:spacing w:before="120" w:beforeLines="50" w:after="50" w:line="440" w:lineRule="exact"/>
        <w:rPr>
          <w:rFonts w:ascii="宋体" w:hAnsi="宋体" w:cs="宋体"/>
          <w:bCs/>
          <w:color w:val="auto"/>
          <w:szCs w:val="21"/>
          <w:highlight w:val="none"/>
        </w:rPr>
      </w:pPr>
    </w:p>
    <w:p w14:paraId="084CAECE">
      <w:pPr>
        <w:snapToGrid w:val="0"/>
        <w:spacing w:before="120" w:beforeLines="50" w:after="50"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项目名称：</w:t>
      </w:r>
    </w:p>
    <w:p w14:paraId="18EF85C2">
      <w:pPr>
        <w:snapToGrid w:val="0"/>
        <w:spacing w:before="120" w:beforeLines="50" w:after="50" w:line="440" w:lineRule="exact"/>
        <w:ind w:firstLine="675" w:firstLineChars="225"/>
        <w:rPr>
          <w:rFonts w:ascii="宋体" w:hAnsi="宋体" w:cs="宋体"/>
          <w:bCs/>
          <w:color w:val="auto"/>
          <w:sz w:val="30"/>
          <w:szCs w:val="30"/>
          <w:highlight w:val="none"/>
        </w:rPr>
      </w:pPr>
    </w:p>
    <w:p w14:paraId="523A127F">
      <w:pPr>
        <w:snapToGrid w:val="0"/>
        <w:spacing w:before="120" w:beforeLines="50" w:after="50"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项目编号：</w:t>
      </w:r>
    </w:p>
    <w:p w14:paraId="412EA0E9">
      <w:pPr>
        <w:snapToGrid w:val="0"/>
        <w:spacing w:before="120" w:beforeLines="50" w:after="50" w:line="440" w:lineRule="exact"/>
        <w:ind w:firstLine="675" w:firstLineChars="225"/>
        <w:rPr>
          <w:rFonts w:ascii="宋体" w:hAnsi="宋体" w:cs="宋体"/>
          <w:bCs/>
          <w:color w:val="auto"/>
          <w:sz w:val="30"/>
          <w:szCs w:val="30"/>
          <w:highlight w:val="none"/>
        </w:rPr>
      </w:pPr>
    </w:p>
    <w:p w14:paraId="3D555214">
      <w:pPr>
        <w:snapToGrid w:val="0"/>
        <w:spacing w:before="120" w:beforeLines="50" w:after="50"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标    项：（如有则填写，无分标时填写“无”或者留空）</w:t>
      </w:r>
    </w:p>
    <w:p w14:paraId="14D98AD4">
      <w:pPr>
        <w:snapToGrid w:val="0"/>
        <w:spacing w:before="120" w:beforeLines="50" w:after="50" w:line="440" w:lineRule="exact"/>
        <w:ind w:firstLine="675" w:firstLineChars="225"/>
        <w:rPr>
          <w:rFonts w:ascii="宋体" w:hAnsi="宋体" w:cs="宋体"/>
          <w:bCs/>
          <w:color w:val="auto"/>
          <w:sz w:val="30"/>
          <w:szCs w:val="30"/>
          <w:highlight w:val="none"/>
        </w:rPr>
      </w:pPr>
    </w:p>
    <w:p w14:paraId="2A4CEF4D">
      <w:pPr>
        <w:pStyle w:val="10"/>
        <w:snapToGrid w:val="0"/>
        <w:spacing w:before="100" w:beforeAutospacing="1" w:after="100" w:afterAutospacing="1"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供应商名称：（加盖单位电子公章）</w:t>
      </w:r>
    </w:p>
    <w:p w14:paraId="67604D1A">
      <w:pPr>
        <w:pStyle w:val="10"/>
        <w:snapToGrid w:val="0"/>
        <w:spacing w:before="100" w:beforeAutospacing="1" w:after="100" w:afterAutospacing="1" w:line="440" w:lineRule="exact"/>
        <w:ind w:firstLine="675" w:firstLineChars="225"/>
        <w:rPr>
          <w:rFonts w:ascii="宋体" w:hAnsi="宋体" w:cs="宋体"/>
          <w:bCs/>
          <w:color w:val="auto"/>
          <w:sz w:val="30"/>
          <w:szCs w:val="30"/>
          <w:highlight w:val="none"/>
        </w:rPr>
      </w:pPr>
    </w:p>
    <w:p w14:paraId="4CC69583">
      <w:pPr>
        <w:pStyle w:val="10"/>
        <w:snapToGrid w:val="0"/>
        <w:spacing w:before="100" w:beforeAutospacing="1" w:after="100" w:afterAutospacing="1" w:line="440" w:lineRule="exact"/>
        <w:ind w:firstLine="675" w:firstLineChars="225"/>
        <w:rPr>
          <w:rFonts w:ascii="宋体" w:hAnsi="宋体" w:cs="宋体"/>
          <w:bCs/>
          <w:color w:val="auto"/>
          <w:sz w:val="30"/>
          <w:szCs w:val="30"/>
          <w:highlight w:val="none"/>
        </w:rPr>
      </w:pPr>
      <w:r>
        <w:rPr>
          <w:rFonts w:hint="eastAsia" w:ascii="宋体" w:hAnsi="宋体" w:cs="宋体"/>
          <w:bCs/>
          <w:color w:val="auto"/>
          <w:sz w:val="30"/>
          <w:szCs w:val="30"/>
          <w:highlight w:val="none"/>
        </w:rPr>
        <w:t>供应商地址：</w:t>
      </w:r>
    </w:p>
    <w:p w14:paraId="1F57D83C">
      <w:pPr>
        <w:pStyle w:val="10"/>
        <w:snapToGrid w:val="0"/>
        <w:spacing w:before="50" w:after="50" w:line="440" w:lineRule="exact"/>
        <w:ind w:firstLine="675" w:firstLineChars="225"/>
        <w:rPr>
          <w:rFonts w:ascii="宋体" w:hAnsi="宋体" w:cs="宋体"/>
          <w:bCs/>
          <w:color w:val="auto"/>
          <w:sz w:val="30"/>
          <w:szCs w:val="30"/>
          <w:highlight w:val="none"/>
        </w:rPr>
      </w:pPr>
    </w:p>
    <w:p w14:paraId="1537FB93">
      <w:pPr>
        <w:snapToGrid w:val="0"/>
        <w:spacing w:before="120" w:beforeLines="50" w:after="50" w:line="440" w:lineRule="exact"/>
        <w:ind w:firstLine="10"/>
        <w:jc w:val="center"/>
        <w:rPr>
          <w:rFonts w:ascii="宋体" w:hAnsi="宋体" w:cs="宋体"/>
          <w:color w:val="auto"/>
          <w:sz w:val="30"/>
          <w:szCs w:val="30"/>
          <w:highlight w:val="none"/>
        </w:rPr>
      </w:pPr>
    </w:p>
    <w:p w14:paraId="75CABE7E">
      <w:pPr>
        <w:snapToGrid w:val="0"/>
        <w:spacing w:before="120" w:beforeLines="50" w:after="50" w:line="440" w:lineRule="exact"/>
        <w:ind w:firstLine="10"/>
        <w:jc w:val="center"/>
        <w:rPr>
          <w:rFonts w:ascii="宋体" w:hAnsi="宋体" w:cs="宋体"/>
          <w:color w:val="auto"/>
          <w:sz w:val="30"/>
          <w:szCs w:val="30"/>
          <w:highlight w:val="none"/>
        </w:rPr>
      </w:pPr>
    </w:p>
    <w:p w14:paraId="4C6D6B8B">
      <w:pPr>
        <w:snapToGrid w:val="0"/>
        <w:spacing w:before="120" w:beforeLines="50" w:after="50" w:line="440" w:lineRule="exact"/>
        <w:ind w:firstLine="10"/>
        <w:jc w:val="center"/>
        <w:rPr>
          <w:rFonts w:ascii="宋体" w:hAnsi="宋体" w:cs="宋体"/>
          <w:color w:val="auto"/>
          <w:sz w:val="30"/>
          <w:szCs w:val="30"/>
          <w:highlight w:val="none"/>
        </w:rPr>
      </w:pPr>
    </w:p>
    <w:p w14:paraId="3B8F5F21">
      <w:pPr>
        <w:snapToGrid w:val="0"/>
        <w:spacing w:before="120" w:beforeLines="50" w:after="50" w:line="440" w:lineRule="exact"/>
        <w:ind w:firstLine="10"/>
        <w:jc w:val="center"/>
        <w:rPr>
          <w:rFonts w:ascii="宋体" w:hAnsi="宋体" w:cs="宋体"/>
          <w:color w:val="auto"/>
          <w:sz w:val="30"/>
          <w:szCs w:val="30"/>
          <w:highlight w:val="none"/>
        </w:rPr>
      </w:pPr>
      <w:r>
        <w:rPr>
          <w:rFonts w:hint="eastAsia" w:ascii="宋体" w:hAnsi="宋体" w:cs="宋体"/>
          <w:color w:val="auto"/>
          <w:sz w:val="30"/>
          <w:szCs w:val="30"/>
          <w:highlight w:val="none"/>
        </w:rPr>
        <w:t>年   月   日</w:t>
      </w:r>
    </w:p>
    <w:p w14:paraId="287D669C">
      <w:pPr>
        <w:spacing w:line="440" w:lineRule="exact"/>
        <w:rPr>
          <w:rFonts w:ascii="宋体" w:hAnsi="宋体" w:cs="宋体"/>
          <w:b/>
          <w:color w:val="auto"/>
          <w:szCs w:val="21"/>
          <w:highlight w:val="none"/>
        </w:rPr>
      </w:pPr>
    </w:p>
    <w:p w14:paraId="424BFF9E">
      <w:pPr>
        <w:tabs>
          <w:tab w:val="left" w:pos="1418"/>
        </w:tabs>
        <w:snapToGrid w:val="0"/>
        <w:spacing w:before="50" w:after="50" w:line="440" w:lineRule="exact"/>
        <w:jc w:val="center"/>
        <w:rPr>
          <w:rFonts w:ascii="宋体" w:hAnsi="宋体" w:cs="宋体"/>
          <w:bCs/>
          <w:color w:val="auto"/>
          <w:szCs w:val="21"/>
          <w:highlight w:val="none"/>
        </w:rPr>
      </w:pPr>
      <w:r>
        <w:rPr>
          <w:rFonts w:hint="eastAsia" w:ascii="宋体" w:hAnsi="宋体" w:cs="宋体"/>
          <w:bCs/>
          <w:color w:val="auto"/>
          <w:szCs w:val="21"/>
          <w:highlight w:val="none"/>
        </w:rPr>
        <w:t>目录</w:t>
      </w:r>
    </w:p>
    <w:p w14:paraId="4AA8C0C7">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1、报价文件</w:t>
      </w:r>
    </w:p>
    <w:p w14:paraId="78169785">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1.1</w:t>
      </w:r>
      <w:r>
        <w:rPr>
          <w:rFonts w:hint="eastAsia" w:ascii="宋体" w:hAnsi="宋体" w:cs="宋体"/>
          <w:color w:val="auto"/>
          <w:szCs w:val="21"/>
          <w:highlight w:val="none"/>
        </w:rPr>
        <w:t>竞标函</w:t>
      </w:r>
      <w:r>
        <w:rPr>
          <w:rFonts w:hint="eastAsia" w:ascii="宋体" w:hAnsi="宋体" w:cs="宋体"/>
          <w:bCs/>
          <w:color w:val="auto"/>
          <w:szCs w:val="21"/>
          <w:highlight w:val="none"/>
        </w:rPr>
        <w:t>…………………………………………………………………………</w:t>
      </w:r>
    </w:p>
    <w:p w14:paraId="44DBFFE7">
      <w:pPr>
        <w:tabs>
          <w:tab w:val="left" w:pos="1418"/>
        </w:tabs>
        <w:snapToGrid w:val="0"/>
        <w:spacing w:before="50" w:after="50" w:line="440" w:lineRule="exact"/>
        <w:rPr>
          <w:rFonts w:ascii="宋体" w:hAnsi="宋体" w:cs="宋体"/>
          <w:color w:val="auto"/>
          <w:szCs w:val="21"/>
          <w:highlight w:val="none"/>
        </w:rPr>
      </w:pPr>
      <w:r>
        <w:rPr>
          <w:rFonts w:hint="eastAsia" w:ascii="宋体" w:hAnsi="宋体" w:cs="宋体"/>
          <w:color w:val="auto"/>
          <w:szCs w:val="21"/>
          <w:highlight w:val="none"/>
        </w:rPr>
        <w:t>1.2报价表和最后报价明细表………………………………</w:t>
      </w:r>
    </w:p>
    <w:p w14:paraId="37F5DD50">
      <w:pPr>
        <w:tabs>
          <w:tab w:val="left" w:pos="1418"/>
        </w:tabs>
        <w:snapToGrid w:val="0"/>
        <w:spacing w:before="50" w:after="50" w:line="440" w:lineRule="exact"/>
        <w:rPr>
          <w:rFonts w:ascii="宋体" w:hAnsi="宋体" w:cs="宋体"/>
          <w:color w:val="auto"/>
          <w:szCs w:val="21"/>
          <w:highlight w:val="none"/>
        </w:rPr>
      </w:pPr>
      <w:r>
        <w:rPr>
          <w:rFonts w:hint="eastAsia" w:ascii="宋体" w:hAnsi="宋体" w:cs="宋体"/>
          <w:color w:val="auto"/>
          <w:szCs w:val="21"/>
          <w:highlight w:val="none"/>
        </w:rPr>
        <w:t>1.3中小企业声明函（如是请提供）………………………………</w:t>
      </w:r>
    </w:p>
    <w:p w14:paraId="428AC143">
      <w:pPr>
        <w:tabs>
          <w:tab w:val="left" w:pos="1418"/>
        </w:tabs>
        <w:snapToGrid w:val="0"/>
        <w:spacing w:before="50" w:after="50" w:line="440" w:lineRule="exact"/>
        <w:rPr>
          <w:rFonts w:ascii="宋体" w:hAnsi="宋体" w:cs="宋体"/>
          <w:color w:val="auto"/>
          <w:szCs w:val="21"/>
          <w:highlight w:val="none"/>
        </w:rPr>
      </w:pPr>
      <w:r>
        <w:rPr>
          <w:rFonts w:hint="eastAsia" w:ascii="宋体" w:hAnsi="宋体" w:cs="宋体"/>
          <w:color w:val="auto"/>
          <w:szCs w:val="21"/>
          <w:highlight w:val="none"/>
        </w:rPr>
        <w:t>1.4监狱企业由省级以上监狱管理局、戒毒管理局（含新疆生产建设兵团）出具的属于监狱企业的证明文件（如是请提供）………………………………</w:t>
      </w:r>
    </w:p>
    <w:p w14:paraId="3E749F10">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rPr>
        <w:t>1.5</w:t>
      </w:r>
      <w:r>
        <w:rPr>
          <w:rFonts w:hint="eastAsia" w:ascii="宋体" w:hAnsi="宋体" w:cs="宋体"/>
          <w:color w:val="auto"/>
          <w:szCs w:val="21"/>
          <w:highlight w:val="none"/>
        </w:rPr>
        <w:t>残疾人福利性单位声明函（如是请提供）</w:t>
      </w:r>
      <w:r>
        <w:rPr>
          <w:rFonts w:hint="eastAsia" w:ascii="宋体" w:hAnsi="宋体" w:cs="宋体"/>
          <w:bCs/>
          <w:color w:val="auto"/>
          <w:szCs w:val="21"/>
          <w:highlight w:val="none"/>
        </w:rPr>
        <w:t>………………………………………</w:t>
      </w:r>
    </w:p>
    <w:p w14:paraId="06DDEECE">
      <w:pPr>
        <w:tabs>
          <w:tab w:val="left" w:pos="1418"/>
        </w:tabs>
        <w:snapToGrid w:val="0"/>
        <w:spacing w:before="50" w:after="50" w:line="440" w:lineRule="exact"/>
        <w:rPr>
          <w:rFonts w:hint="eastAsia" w:ascii="宋体" w:hAnsi="宋体" w:cs="宋体"/>
          <w:bCs/>
          <w:color w:val="auto"/>
          <w:szCs w:val="21"/>
          <w:highlight w:val="none"/>
        </w:rPr>
      </w:pPr>
      <w:r>
        <w:rPr>
          <w:rFonts w:hint="eastAsia" w:ascii="宋体" w:hAnsi="宋体" w:cs="宋体"/>
          <w:bCs/>
          <w:color w:val="auto"/>
          <w:szCs w:val="21"/>
          <w:highlight w:val="none"/>
        </w:rPr>
        <w:t>1.6</w:t>
      </w:r>
      <w:r>
        <w:rPr>
          <w:rFonts w:hint="eastAsia" w:ascii="宋体" w:hAnsi="宋体"/>
          <w:color w:val="auto"/>
          <w:highlight w:val="none"/>
        </w:rPr>
        <w:t>《关于符合本国产品标准的声明函》或者财政部会同有关部门规定的有关证明文件；（供应商根据自身响应情况出具）</w:t>
      </w:r>
      <w:r>
        <w:rPr>
          <w:rFonts w:hint="eastAsia" w:ascii="宋体" w:hAnsi="宋体" w:cs="宋体"/>
          <w:bCs/>
          <w:color w:val="auto"/>
          <w:szCs w:val="21"/>
          <w:highlight w:val="none"/>
        </w:rPr>
        <w:t>……………………………………</w:t>
      </w:r>
    </w:p>
    <w:p w14:paraId="6332DA07">
      <w:pPr>
        <w:tabs>
          <w:tab w:val="left" w:pos="1418"/>
        </w:tabs>
        <w:snapToGrid w:val="0"/>
        <w:spacing w:before="50" w:after="50" w:line="440" w:lineRule="exact"/>
        <w:rPr>
          <w:rFonts w:ascii="宋体" w:hAnsi="宋体" w:cs="宋体"/>
          <w:bCs/>
          <w:color w:val="auto"/>
          <w:szCs w:val="21"/>
          <w:highlight w:val="none"/>
        </w:rPr>
      </w:pPr>
      <w:r>
        <w:rPr>
          <w:rFonts w:hint="eastAsia" w:ascii="宋体" w:hAnsi="宋体" w:cs="宋体"/>
          <w:bCs/>
          <w:color w:val="auto"/>
          <w:szCs w:val="21"/>
          <w:highlight w:val="none"/>
          <w:lang w:val="en-US" w:eastAsia="zh-CN"/>
        </w:rPr>
        <w:t>7.7</w:t>
      </w:r>
      <w:r>
        <w:rPr>
          <w:rFonts w:hint="eastAsia" w:ascii="宋体" w:hAnsi="宋体" w:cs="宋体"/>
          <w:color w:val="auto"/>
          <w:szCs w:val="21"/>
          <w:highlight w:val="none"/>
        </w:rPr>
        <w:t>供应商针对报价需要说明的其他文件和说明</w:t>
      </w:r>
      <w:r>
        <w:rPr>
          <w:rFonts w:hint="eastAsia" w:ascii="宋体" w:hAnsi="宋体" w:cs="宋体"/>
          <w:bCs/>
          <w:color w:val="auto"/>
          <w:szCs w:val="21"/>
          <w:highlight w:val="none"/>
        </w:rPr>
        <w:t>……………………………………</w:t>
      </w:r>
    </w:p>
    <w:p w14:paraId="34A99904">
      <w:pPr>
        <w:spacing w:line="440" w:lineRule="exact"/>
        <w:rPr>
          <w:rFonts w:ascii="宋体" w:hAnsi="宋体" w:cs="宋体"/>
          <w:bCs/>
          <w:color w:val="auto"/>
          <w:szCs w:val="21"/>
          <w:highlight w:val="none"/>
        </w:rPr>
      </w:pPr>
    </w:p>
    <w:p w14:paraId="30524D57">
      <w:pPr>
        <w:spacing w:line="440" w:lineRule="exact"/>
        <w:rPr>
          <w:rFonts w:ascii="宋体" w:hAnsi="宋体" w:cs="宋体"/>
          <w:bCs/>
          <w:color w:val="auto"/>
          <w:szCs w:val="21"/>
          <w:highlight w:val="none"/>
        </w:rPr>
      </w:pPr>
    </w:p>
    <w:p w14:paraId="11F09745">
      <w:pPr>
        <w:spacing w:line="440" w:lineRule="exact"/>
        <w:rPr>
          <w:rFonts w:ascii="宋体" w:hAnsi="宋体" w:cs="宋体"/>
          <w:bCs/>
          <w:color w:val="auto"/>
          <w:szCs w:val="21"/>
          <w:highlight w:val="none"/>
        </w:rPr>
      </w:pPr>
    </w:p>
    <w:p w14:paraId="738E2AC1">
      <w:pPr>
        <w:spacing w:line="440" w:lineRule="exact"/>
        <w:rPr>
          <w:rFonts w:ascii="宋体" w:hAnsi="宋体" w:cs="宋体"/>
          <w:bCs/>
          <w:color w:val="auto"/>
          <w:szCs w:val="21"/>
          <w:highlight w:val="none"/>
        </w:rPr>
      </w:pPr>
    </w:p>
    <w:p w14:paraId="6DE94230">
      <w:pPr>
        <w:spacing w:line="440" w:lineRule="exact"/>
        <w:rPr>
          <w:rFonts w:ascii="宋体" w:hAnsi="宋体" w:cs="宋体"/>
          <w:bCs/>
          <w:color w:val="auto"/>
          <w:szCs w:val="21"/>
          <w:highlight w:val="none"/>
        </w:rPr>
      </w:pPr>
    </w:p>
    <w:p w14:paraId="62167165">
      <w:pPr>
        <w:spacing w:line="440" w:lineRule="exact"/>
        <w:rPr>
          <w:rFonts w:ascii="宋体" w:hAnsi="宋体" w:cs="宋体"/>
          <w:bCs/>
          <w:color w:val="auto"/>
          <w:szCs w:val="21"/>
          <w:highlight w:val="none"/>
        </w:rPr>
      </w:pPr>
    </w:p>
    <w:p w14:paraId="47C850CA">
      <w:pPr>
        <w:spacing w:line="440" w:lineRule="exact"/>
        <w:rPr>
          <w:rFonts w:ascii="宋体" w:hAnsi="宋体" w:cs="宋体"/>
          <w:bCs/>
          <w:color w:val="auto"/>
          <w:szCs w:val="21"/>
          <w:highlight w:val="none"/>
        </w:rPr>
      </w:pPr>
    </w:p>
    <w:p w14:paraId="325D7364">
      <w:pPr>
        <w:spacing w:line="440" w:lineRule="exact"/>
        <w:rPr>
          <w:rFonts w:ascii="宋体" w:hAnsi="宋体" w:cs="宋体"/>
          <w:bCs/>
          <w:color w:val="auto"/>
          <w:szCs w:val="21"/>
          <w:highlight w:val="none"/>
        </w:rPr>
      </w:pPr>
    </w:p>
    <w:p w14:paraId="303060F1">
      <w:pPr>
        <w:spacing w:line="440" w:lineRule="exact"/>
        <w:rPr>
          <w:rFonts w:ascii="宋体" w:hAnsi="宋体" w:cs="宋体"/>
          <w:bCs/>
          <w:color w:val="auto"/>
          <w:szCs w:val="21"/>
          <w:highlight w:val="none"/>
        </w:rPr>
      </w:pPr>
    </w:p>
    <w:p w14:paraId="5A775B72">
      <w:pPr>
        <w:spacing w:line="440" w:lineRule="exact"/>
        <w:rPr>
          <w:rFonts w:ascii="宋体" w:hAnsi="宋体" w:cs="宋体"/>
          <w:bCs/>
          <w:color w:val="auto"/>
          <w:szCs w:val="21"/>
          <w:highlight w:val="none"/>
        </w:rPr>
      </w:pPr>
    </w:p>
    <w:p w14:paraId="7BA5CC42">
      <w:pPr>
        <w:spacing w:line="440" w:lineRule="exact"/>
        <w:rPr>
          <w:rFonts w:ascii="宋体" w:hAnsi="宋体" w:cs="宋体"/>
          <w:bCs/>
          <w:color w:val="auto"/>
          <w:szCs w:val="21"/>
          <w:highlight w:val="none"/>
        </w:rPr>
      </w:pPr>
    </w:p>
    <w:p w14:paraId="74E0EC6B">
      <w:pPr>
        <w:spacing w:line="440" w:lineRule="exact"/>
        <w:rPr>
          <w:rFonts w:ascii="宋体" w:hAnsi="宋体" w:cs="宋体"/>
          <w:bCs/>
          <w:color w:val="auto"/>
          <w:szCs w:val="21"/>
          <w:highlight w:val="none"/>
        </w:rPr>
      </w:pPr>
    </w:p>
    <w:p w14:paraId="06F9BC12">
      <w:pPr>
        <w:spacing w:line="440" w:lineRule="exact"/>
        <w:rPr>
          <w:rFonts w:ascii="宋体" w:hAnsi="宋体" w:cs="宋体"/>
          <w:bCs/>
          <w:color w:val="auto"/>
          <w:szCs w:val="21"/>
          <w:highlight w:val="none"/>
        </w:rPr>
      </w:pPr>
    </w:p>
    <w:p w14:paraId="67F97836">
      <w:pPr>
        <w:spacing w:line="440" w:lineRule="exact"/>
        <w:rPr>
          <w:rFonts w:ascii="宋体" w:hAnsi="宋体" w:cs="宋体"/>
          <w:bCs/>
          <w:color w:val="auto"/>
          <w:szCs w:val="21"/>
          <w:highlight w:val="none"/>
        </w:rPr>
      </w:pPr>
    </w:p>
    <w:p w14:paraId="13384262">
      <w:pPr>
        <w:spacing w:line="440" w:lineRule="exact"/>
        <w:rPr>
          <w:rFonts w:ascii="宋体" w:hAnsi="宋体" w:cs="宋体"/>
          <w:bCs/>
          <w:color w:val="auto"/>
          <w:szCs w:val="21"/>
          <w:highlight w:val="none"/>
        </w:rPr>
      </w:pPr>
    </w:p>
    <w:p w14:paraId="4F4886EA">
      <w:pPr>
        <w:spacing w:line="440" w:lineRule="exact"/>
        <w:rPr>
          <w:rFonts w:ascii="宋体" w:hAnsi="宋体" w:cs="宋体"/>
          <w:bCs/>
          <w:color w:val="auto"/>
          <w:szCs w:val="21"/>
          <w:highlight w:val="none"/>
        </w:rPr>
      </w:pPr>
    </w:p>
    <w:p w14:paraId="4B117F4F">
      <w:pPr>
        <w:spacing w:line="440" w:lineRule="exact"/>
        <w:rPr>
          <w:rFonts w:ascii="宋体" w:hAnsi="宋体" w:cs="宋体"/>
          <w:bCs/>
          <w:color w:val="auto"/>
          <w:szCs w:val="21"/>
          <w:highlight w:val="none"/>
        </w:rPr>
      </w:pPr>
    </w:p>
    <w:p w14:paraId="607137E4">
      <w:pPr>
        <w:spacing w:line="440" w:lineRule="exact"/>
        <w:rPr>
          <w:rFonts w:ascii="宋体" w:hAnsi="宋体" w:cs="宋体"/>
          <w:bCs/>
          <w:color w:val="auto"/>
          <w:szCs w:val="21"/>
          <w:highlight w:val="none"/>
        </w:rPr>
      </w:pPr>
    </w:p>
    <w:p w14:paraId="0E029591">
      <w:pPr>
        <w:spacing w:line="440" w:lineRule="exact"/>
        <w:rPr>
          <w:rFonts w:ascii="宋体" w:hAnsi="宋体" w:cs="宋体"/>
          <w:bCs/>
          <w:color w:val="auto"/>
          <w:szCs w:val="21"/>
          <w:highlight w:val="none"/>
        </w:rPr>
      </w:pPr>
    </w:p>
    <w:p w14:paraId="1C52F3A2">
      <w:pPr>
        <w:spacing w:line="440" w:lineRule="exact"/>
        <w:rPr>
          <w:rFonts w:ascii="宋体" w:hAnsi="宋体" w:cs="宋体"/>
          <w:bCs/>
          <w:color w:val="auto"/>
          <w:szCs w:val="21"/>
          <w:highlight w:val="none"/>
        </w:rPr>
      </w:pPr>
    </w:p>
    <w:p w14:paraId="180A1E72">
      <w:pPr>
        <w:spacing w:line="440" w:lineRule="exact"/>
        <w:rPr>
          <w:rFonts w:ascii="宋体" w:hAnsi="宋体" w:cs="宋体"/>
          <w:bCs/>
          <w:color w:val="auto"/>
          <w:szCs w:val="21"/>
          <w:highlight w:val="none"/>
        </w:rPr>
      </w:pPr>
    </w:p>
    <w:p w14:paraId="05FCF4B4">
      <w:pPr>
        <w:spacing w:line="440" w:lineRule="exact"/>
        <w:rPr>
          <w:rFonts w:ascii="宋体" w:hAnsi="宋体" w:cs="宋体"/>
          <w:bCs/>
          <w:color w:val="auto"/>
          <w:szCs w:val="21"/>
          <w:highlight w:val="none"/>
        </w:rPr>
      </w:pPr>
    </w:p>
    <w:p w14:paraId="170092CC">
      <w:pPr>
        <w:spacing w:line="440" w:lineRule="exact"/>
        <w:rPr>
          <w:rFonts w:ascii="宋体" w:hAnsi="宋体" w:cs="宋体"/>
          <w:bCs/>
          <w:color w:val="auto"/>
          <w:szCs w:val="21"/>
          <w:highlight w:val="none"/>
        </w:rPr>
      </w:pPr>
    </w:p>
    <w:p w14:paraId="382723A0">
      <w:pPr>
        <w:spacing w:line="440" w:lineRule="exact"/>
        <w:rPr>
          <w:rFonts w:ascii="宋体" w:hAnsi="宋体" w:cs="宋体"/>
          <w:b/>
          <w:color w:val="auto"/>
          <w:szCs w:val="21"/>
          <w:highlight w:val="none"/>
        </w:rPr>
      </w:pPr>
      <w:r>
        <w:rPr>
          <w:rFonts w:hint="eastAsia" w:ascii="宋体" w:hAnsi="宋体" w:cs="宋体"/>
          <w:b/>
          <w:color w:val="auto"/>
          <w:szCs w:val="21"/>
          <w:highlight w:val="none"/>
        </w:rPr>
        <w:t>一、竞标函格式</w:t>
      </w:r>
    </w:p>
    <w:p w14:paraId="7FF01026">
      <w:pPr>
        <w:snapToGrid w:val="0"/>
        <w:spacing w:before="120" w:beforeLines="50" w:after="50" w:line="44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竞 标 函</w:t>
      </w:r>
    </w:p>
    <w:p w14:paraId="3861F4B9">
      <w:pPr>
        <w:snapToGrid w:val="0"/>
        <w:spacing w:before="120" w:beforeLines="50" w:after="50" w:line="440" w:lineRule="exact"/>
        <w:jc w:val="center"/>
        <w:rPr>
          <w:rFonts w:ascii="宋体" w:hAnsi="宋体" w:cs="宋体"/>
          <w:b/>
          <w:color w:val="auto"/>
          <w:sz w:val="24"/>
          <w:szCs w:val="20"/>
          <w:highlight w:val="none"/>
        </w:rPr>
      </w:pPr>
    </w:p>
    <w:p w14:paraId="389D2673">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致：（采购人名称）：</w:t>
      </w:r>
    </w:p>
    <w:p w14:paraId="741B2886">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根据贵方为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项目名称</w:t>
      </w:r>
      <w:r>
        <w:rPr>
          <w:rFonts w:hint="eastAsia" w:ascii="宋体" w:hAnsi="宋体" w:cs="宋体"/>
          <w:color w:val="auto"/>
          <w:szCs w:val="21"/>
          <w:highlight w:val="none"/>
          <w:lang w:eastAsia="zh-CN"/>
        </w:rPr>
        <w:t>）</w:t>
      </w:r>
      <w:r>
        <w:rPr>
          <w:rFonts w:hint="eastAsia" w:ascii="宋体" w:hAnsi="宋体" w:cs="宋体"/>
          <w:color w:val="auto"/>
          <w:szCs w:val="21"/>
          <w:highlight w:val="none"/>
        </w:rPr>
        <w:t>（项目编号：     ）的招标公告，签字代表</w:t>
      </w:r>
      <w:r>
        <w:rPr>
          <w:rFonts w:hint="eastAsia" w:ascii="宋体" w:hAnsi="宋体" w:cs="宋体"/>
          <w:color w:val="auto"/>
          <w:szCs w:val="21"/>
          <w:highlight w:val="none"/>
          <w:u w:val="single"/>
        </w:rPr>
        <w:t xml:space="preserve">     （全名）</w:t>
      </w:r>
      <w:r>
        <w:rPr>
          <w:rFonts w:hint="eastAsia" w:ascii="宋体" w:hAnsi="宋体" w:cs="宋体"/>
          <w:color w:val="auto"/>
          <w:szCs w:val="21"/>
          <w:highlight w:val="none"/>
        </w:rPr>
        <w:t>经正式授权并代表供应商</w:t>
      </w:r>
      <w:r>
        <w:rPr>
          <w:rFonts w:hint="eastAsia" w:ascii="宋体" w:hAnsi="宋体" w:cs="宋体"/>
          <w:color w:val="auto"/>
          <w:szCs w:val="21"/>
          <w:highlight w:val="none"/>
          <w:u w:val="single"/>
        </w:rPr>
        <w:t xml:space="preserve">                    （供应商名称）</w:t>
      </w:r>
      <w:r>
        <w:rPr>
          <w:rFonts w:hint="eastAsia" w:ascii="宋体" w:hAnsi="宋体" w:cs="宋体"/>
          <w:color w:val="auto"/>
          <w:szCs w:val="21"/>
          <w:highlight w:val="none"/>
        </w:rPr>
        <w:t>现正式递交下述文件参加贵方组织的本次政府采购活动：</w:t>
      </w:r>
    </w:p>
    <w:p w14:paraId="0C00555F">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一、报价文件电子版一份；</w:t>
      </w:r>
    </w:p>
    <w:p w14:paraId="0F60DBA1">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二、资格文件电子版一份；</w:t>
      </w:r>
    </w:p>
    <w:p w14:paraId="24643020">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三、商务和技术文件电子版一份；</w:t>
      </w:r>
    </w:p>
    <w:p w14:paraId="22B825AB">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据此函，签字代表宣布同意如下：</w:t>
      </w:r>
    </w:p>
    <w:p w14:paraId="33C38027">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1.我方已详细审查全部“竞争性磋商文件”，包括修改文件（如有的话）以及全部参考资料和有关附件，已经了解我方对于磋商文件、采购过程、采购结果有依法进行询问、质疑、投诉的权利及相关渠道和要求。</w:t>
      </w:r>
    </w:p>
    <w:p w14:paraId="73FA98E9">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2.我方在</w:t>
      </w:r>
      <w:r>
        <w:rPr>
          <w:rFonts w:hint="eastAsia" w:ascii="宋体" w:hAnsi="宋体" w:cs="宋体"/>
          <w:color w:val="auto"/>
          <w:szCs w:val="21"/>
          <w:highlight w:val="none"/>
          <w:lang w:eastAsia="zh-CN"/>
        </w:rPr>
        <w:t>竞标</w:t>
      </w:r>
      <w:r>
        <w:rPr>
          <w:rFonts w:hint="eastAsia" w:ascii="宋体" w:hAnsi="宋体" w:cs="宋体"/>
          <w:color w:val="auto"/>
          <w:szCs w:val="21"/>
          <w:highlight w:val="none"/>
        </w:rPr>
        <w:t>之前已经与贵方进行了充分的沟通，完全理解并接受</w:t>
      </w:r>
      <w:r>
        <w:rPr>
          <w:rFonts w:hint="eastAsia" w:ascii="宋体" w:hAnsi="宋体" w:cs="宋体"/>
          <w:color w:val="auto"/>
          <w:szCs w:val="21"/>
          <w:highlight w:val="none"/>
          <w:lang w:eastAsia="zh-CN"/>
        </w:rPr>
        <w:t>磋商采购文件</w:t>
      </w:r>
      <w:r>
        <w:rPr>
          <w:rFonts w:hint="eastAsia" w:ascii="宋体" w:hAnsi="宋体" w:cs="宋体"/>
          <w:color w:val="auto"/>
          <w:szCs w:val="21"/>
          <w:highlight w:val="none"/>
        </w:rPr>
        <w:t>的各项规定和要求，对</w:t>
      </w:r>
      <w:r>
        <w:rPr>
          <w:rFonts w:hint="eastAsia" w:ascii="宋体" w:hAnsi="宋体" w:cs="宋体"/>
          <w:color w:val="auto"/>
          <w:szCs w:val="21"/>
          <w:highlight w:val="none"/>
          <w:lang w:eastAsia="zh-CN"/>
        </w:rPr>
        <w:t>磋商采购文件</w:t>
      </w:r>
      <w:r>
        <w:rPr>
          <w:rFonts w:hint="eastAsia" w:ascii="宋体" w:hAnsi="宋体" w:cs="宋体"/>
          <w:color w:val="auto"/>
          <w:szCs w:val="21"/>
          <w:highlight w:val="none"/>
        </w:rPr>
        <w:t>的合理性、合法性不再有异议。</w:t>
      </w:r>
    </w:p>
    <w:p w14:paraId="7ABDEFD3">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w:t>
      </w:r>
      <w:r>
        <w:rPr>
          <w:rFonts w:hint="eastAsia" w:ascii="宋体" w:hAnsi="宋体" w:cs="宋体"/>
          <w:color w:val="auto"/>
          <w:szCs w:val="21"/>
          <w:highlight w:val="none"/>
          <w:lang w:eastAsia="zh-CN"/>
        </w:rPr>
        <w:t>竞标</w:t>
      </w:r>
      <w:r>
        <w:rPr>
          <w:rFonts w:hint="eastAsia" w:ascii="宋体" w:hAnsi="宋体" w:cs="宋体"/>
          <w:color w:val="auto"/>
          <w:szCs w:val="21"/>
          <w:highlight w:val="none"/>
        </w:rPr>
        <w:t>有效期自开标日起     个日（自然日）。</w:t>
      </w:r>
    </w:p>
    <w:p w14:paraId="7F2890D1">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4.如中标，本响应文件至本项目合同履行完毕止均保持有效，我方将按“竞争性磋商文件”及政府采购法律、法规的规定履行合同责任和义务。</w:t>
      </w:r>
    </w:p>
    <w:p w14:paraId="5110EA61">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5.我方同意按照贵方要求提供与</w:t>
      </w:r>
      <w:r>
        <w:rPr>
          <w:rFonts w:hint="eastAsia" w:ascii="宋体" w:hAnsi="宋体" w:cs="宋体"/>
          <w:color w:val="auto"/>
          <w:szCs w:val="21"/>
          <w:highlight w:val="none"/>
          <w:lang w:eastAsia="zh-CN"/>
        </w:rPr>
        <w:t>竞标</w:t>
      </w:r>
      <w:r>
        <w:rPr>
          <w:rFonts w:hint="eastAsia" w:ascii="宋体" w:hAnsi="宋体" w:cs="宋体"/>
          <w:color w:val="auto"/>
          <w:szCs w:val="21"/>
          <w:highlight w:val="none"/>
        </w:rPr>
        <w:t>有关的一切数据或资料。</w:t>
      </w:r>
    </w:p>
    <w:p w14:paraId="3226E958">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6.与本</w:t>
      </w:r>
      <w:r>
        <w:rPr>
          <w:rFonts w:hint="eastAsia" w:ascii="宋体" w:hAnsi="宋体" w:cs="宋体"/>
          <w:color w:val="auto"/>
          <w:szCs w:val="21"/>
          <w:highlight w:val="none"/>
          <w:lang w:eastAsia="zh-CN"/>
        </w:rPr>
        <w:t>竞标</w:t>
      </w:r>
      <w:r>
        <w:rPr>
          <w:rFonts w:hint="eastAsia" w:ascii="宋体" w:hAnsi="宋体" w:cs="宋体"/>
          <w:color w:val="auto"/>
          <w:szCs w:val="21"/>
          <w:highlight w:val="none"/>
        </w:rPr>
        <w:t>有关的一切正式往来信函请寄：</w:t>
      </w:r>
    </w:p>
    <w:p w14:paraId="1E32C529">
      <w:pPr>
        <w:snapToGrid w:val="0"/>
        <w:spacing w:line="440" w:lineRule="exact"/>
        <w:rPr>
          <w:rFonts w:ascii="宋体" w:hAnsi="宋体" w:cs="宋体"/>
          <w:color w:val="auto"/>
          <w:szCs w:val="21"/>
          <w:highlight w:val="none"/>
          <w:u w:val="single"/>
        </w:rPr>
      </w:pPr>
      <w:r>
        <w:rPr>
          <w:rFonts w:hint="eastAsia" w:ascii="宋体" w:hAnsi="宋体" w:cs="宋体"/>
          <w:color w:val="auto"/>
          <w:szCs w:val="21"/>
          <w:highlight w:val="none"/>
        </w:rPr>
        <w:t>地址：       邮编：       电话：</w:t>
      </w:r>
    </w:p>
    <w:p w14:paraId="4F28F438">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传真：       供应商代表姓名、职务：</w:t>
      </w:r>
    </w:p>
    <w:p w14:paraId="602A3189">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供应商名称:</w:t>
      </w:r>
    </w:p>
    <w:p w14:paraId="593C0955">
      <w:pPr>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开户银行：   银行帐号：</w:t>
      </w:r>
    </w:p>
    <w:p w14:paraId="33052879">
      <w:pPr>
        <w:snapToGrid w:val="0"/>
        <w:spacing w:line="440" w:lineRule="exact"/>
        <w:rPr>
          <w:rFonts w:ascii="宋体" w:hAnsi="宋体" w:cs="宋体"/>
          <w:color w:val="auto"/>
          <w:szCs w:val="21"/>
          <w:highlight w:val="none"/>
        </w:rPr>
      </w:pPr>
    </w:p>
    <w:p w14:paraId="5C5D66E1">
      <w:pPr>
        <w:snapToGrid w:val="0"/>
        <w:spacing w:line="440" w:lineRule="exact"/>
        <w:rPr>
          <w:rFonts w:ascii="宋体" w:hAnsi="宋体" w:cs="宋体"/>
          <w:color w:val="auto"/>
          <w:szCs w:val="21"/>
          <w:highlight w:val="none"/>
        </w:rPr>
      </w:pPr>
    </w:p>
    <w:p w14:paraId="7BA5BA74">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3AB674C0">
      <w:pPr>
        <w:spacing w:line="44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14:paraId="712ADDAA">
      <w:pPr>
        <w:pStyle w:val="23"/>
        <w:spacing w:line="440" w:lineRule="exact"/>
        <w:rPr>
          <w:rFonts w:hAnsi="宋体" w:cs="宋体"/>
          <w:color w:val="auto"/>
          <w:sz w:val="44"/>
          <w:highlight w:val="none"/>
        </w:rPr>
      </w:pPr>
    </w:p>
    <w:p w14:paraId="5A28D92A">
      <w:pPr>
        <w:pStyle w:val="23"/>
        <w:spacing w:line="440" w:lineRule="exact"/>
        <w:rPr>
          <w:rFonts w:hAnsi="宋体" w:cs="宋体"/>
          <w:color w:val="auto"/>
          <w:sz w:val="44"/>
          <w:highlight w:val="none"/>
        </w:rPr>
      </w:pPr>
    </w:p>
    <w:p w14:paraId="126136C4">
      <w:pPr>
        <w:spacing w:line="440" w:lineRule="exact"/>
        <w:rPr>
          <w:rFonts w:ascii="宋体" w:hAnsi="宋体" w:cs="宋体"/>
          <w:b/>
          <w:color w:val="auto"/>
          <w:szCs w:val="21"/>
          <w:highlight w:val="none"/>
        </w:rPr>
      </w:pPr>
    </w:p>
    <w:p w14:paraId="0D4113FB">
      <w:pPr>
        <w:spacing w:line="440" w:lineRule="exact"/>
        <w:rPr>
          <w:rFonts w:ascii="宋体" w:hAnsi="宋体" w:cs="宋体"/>
          <w:b/>
          <w:color w:val="auto"/>
          <w:szCs w:val="21"/>
          <w:highlight w:val="none"/>
        </w:rPr>
      </w:pPr>
    </w:p>
    <w:p w14:paraId="141AD534">
      <w:pPr>
        <w:spacing w:line="440" w:lineRule="exact"/>
        <w:rPr>
          <w:rFonts w:ascii="宋体" w:hAnsi="宋体" w:cs="宋体"/>
          <w:b/>
          <w:color w:val="auto"/>
          <w:szCs w:val="21"/>
          <w:highlight w:val="none"/>
        </w:rPr>
      </w:pPr>
      <w:r>
        <w:rPr>
          <w:rFonts w:hint="eastAsia" w:ascii="宋体" w:hAnsi="宋体" w:cs="宋体"/>
          <w:b/>
          <w:color w:val="auto"/>
          <w:szCs w:val="21"/>
          <w:highlight w:val="none"/>
        </w:rPr>
        <w:t>二、报价表和最后报价明细表格式</w:t>
      </w:r>
    </w:p>
    <w:p w14:paraId="72C6FDF0">
      <w:pPr>
        <w:spacing w:line="44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报  价  表</w:t>
      </w:r>
    </w:p>
    <w:p w14:paraId="45730D4C">
      <w:pPr>
        <w:spacing w:line="440" w:lineRule="exact"/>
        <w:jc w:val="center"/>
        <w:rPr>
          <w:rFonts w:ascii="宋体" w:hAnsi="宋体" w:cs="宋体"/>
          <w:b/>
          <w:color w:val="auto"/>
          <w:sz w:val="32"/>
          <w:szCs w:val="32"/>
          <w:highlight w:val="none"/>
        </w:rPr>
      </w:pPr>
    </w:p>
    <w:p w14:paraId="249E10B2">
      <w:pPr>
        <w:spacing w:line="440" w:lineRule="exact"/>
        <w:rPr>
          <w:rFonts w:ascii="宋体" w:hAnsi="宋体" w:cs="宋体"/>
          <w:color w:val="auto"/>
          <w:szCs w:val="21"/>
          <w:highlight w:val="none"/>
        </w:rPr>
      </w:pPr>
      <w:r>
        <w:rPr>
          <w:rFonts w:hint="eastAsia" w:ascii="宋体" w:hAnsi="宋体" w:cs="宋体"/>
          <w:color w:val="auto"/>
          <w:szCs w:val="21"/>
          <w:highlight w:val="none"/>
        </w:rPr>
        <w:t>项目名称:</w:t>
      </w:r>
    </w:p>
    <w:p w14:paraId="75BFDCAC">
      <w:pPr>
        <w:snapToGrid w:val="0"/>
        <w:spacing w:before="50" w:after="50" w:line="440" w:lineRule="exact"/>
        <w:rPr>
          <w:rFonts w:ascii="宋体" w:hAnsi="宋体" w:cs="宋体"/>
          <w:color w:val="auto"/>
          <w:highlight w:val="none"/>
          <w:u w:val="single"/>
        </w:rPr>
      </w:pPr>
      <w:r>
        <w:rPr>
          <w:rFonts w:hint="eastAsia" w:ascii="宋体" w:hAnsi="宋体" w:cs="宋体"/>
          <w:color w:val="auto"/>
          <w:szCs w:val="21"/>
          <w:highlight w:val="none"/>
        </w:rPr>
        <w:t>项目编号:</w:t>
      </w:r>
    </w:p>
    <w:p w14:paraId="68685249">
      <w:pPr>
        <w:snapToGrid w:val="0"/>
        <w:spacing w:before="50" w:after="50" w:line="440" w:lineRule="exact"/>
        <w:rPr>
          <w:rFonts w:hint="eastAsia" w:ascii="宋体" w:hAnsi="宋体" w:cs="宋体"/>
          <w:color w:val="auto"/>
          <w:highlight w:val="none"/>
        </w:rPr>
      </w:pPr>
      <w:r>
        <w:rPr>
          <w:rFonts w:hint="eastAsia" w:ascii="宋体" w:hAnsi="宋体" w:cs="宋体"/>
          <w:color w:val="auto"/>
          <w:highlight w:val="none"/>
          <w:lang w:eastAsia="zh-CN"/>
        </w:rPr>
        <w:t>标项</w:t>
      </w:r>
      <w:r>
        <w:rPr>
          <w:rFonts w:hint="eastAsia" w:ascii="宋体" w:hAnsi="宋体" w:cs="宋体"/>
          <w:color w:val="auto"/>
          <w:highlight w:val="none"/>
        </w:rPr>
        <w:t>：</w:t>
      </w:r>
    </w:p>
    <w:p w14:paraId="7A00123E">
      <w:pPr>
        <w:pStyle w:val="20"/>
        <w:jc w:val="right"/>
      </w:pPr>
      <w:r>
        <w:rPr>
          <w:rFonts w:hint="eastAsia" w:ascii="宋体" w:hAnsi="宋体" w:cs="宋体"/>
          <w:color w:val="auto"/>
          <w:szCs w:val="21"/>
          <w:highlight w:val="none"/>
        </w:rPr>
        <w:t>单位：元</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5"/>
        <w:gridCol w:w="2283"/>
        <w:gridCol w:w="1261"/>
        <w:gridCol w:w="1134"/>
        <w:gridCol w:w="1417"/>
        <w:gridCol w:w="1843"/>
      </w:tblGrid>
      <w:tr w14:paraId="7842A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exact"/>
          <w:jc w:val="center"/>
        </w:trPr>
        <w:tc>
          <w:tcPr>
            <w:tcW w:w="1135" w:type="dxa"/>
            <w:noWrap w:val="0"/>
            <w:vAlign w:val="center"/>
          </w:tcPr>
          <w:p w14:paraId="4B207294">
            <w:pPr>
              <w:pStyle w:val="20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项号</w:t>
            </w:r>
          </w:p>
        </w:tc>
        <w:tc>
          <w:tcPr>
            <w:tcW w:w="2283" w:type="dxa"/>
            <w:noWrap w:val="0"/>
            <w:vAlign w:val="center"/>
          </w:tcPr>
          <w:p w14:paraId="13744A32">
            <w:pPr>
              <w:pStyle w:val="20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采购内容</w:t>
            </w:r>
          </w:p>
        </w:tc>
        <w:tc>
          <w:tcPr>
            <w:tcW w:w="1261" w:type="dxa"/>
            <w:noWrap w:val="0"/>
            <w:vAlign w:val="center"/>
          </w:tcPr>
          <w:p w14:paraId="7C1FD92C">
            <w:pPr>
              <w:pStyle w:val="20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数量①</w:t>
            </w:r>
          </w:p>
        </w:tc>
        <w:tc>
          <w:tcPr>
            <w:tcW w:w="1134" w:type="dxa"/>
            <w:noWrap w:val="0"/>
            <w:vAlign w:val="center"/>
          </w:tcPr>
          <w:p w14:paraId="7213E5A5">
            <w:pPr>
              <w:pStyle w:val="20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1417" w:type="dxa"/>
            <w:noWrap w:val="0"/>
            <w:vAlign w:val="center"/>
          </w:tcPr>
          <w:p w14:paraId="28BC9525">
            <w:pPr>
              <w:pStyle w:val="20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单价②</w:t>
            </w:r>
            <w:r>
              <w:rPr>
                <w:rFonts w:hint="eastAsia" w:ascii="宋体" w:hAnsi="宋体" w:eastAsia="宋体" w:cs="宋体"/>
                <w:b/>
                <w:color w:val="auto"/>
                <w:sz w:val="21"/>
                <w:szCs w:val="21"/>
                <w:highlight w:val="none"/>
                <w:lang w:eastAsia="zh-CN"/>
              </w:rPr>
              <w:t>（元）</w:t>
            </w:r>
          </w:p>
        </w:tc>
        <w:tc>
          <w:tcPr>
            <w:tcW w:w="1843" w:type="dxa"/>
            <w:noWrap w:val="0"/>
            <w:vAlign w:val="center"/>
          </w:tcPr>
          <w:p w14:paraId="5B367B18">
            <w:pPr>
              <w:pStyle w:val="20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单项合计（元）</w:t>
            </w:r>
          </w:p>
          <w:p w14:paraId="24586047">
            <w:pPr>
              <w:pStyle w:val="20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③=①×②</w:t>
            </w:r>
          </w:p>
        </w:tc>
      </w:tr>
      <w:tr w14:paraId="5E839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exact"/>
          <w:jc w:val="center"/>
        </w:trPr>
        <w:tc>
          <w:tcPr>
            <w:tcW w:w="1135" w:type="dxa"/>
            <w:noWrap w:val="0"/>
            <w:vAlign w:val="center"/>
          </w:tcPr>
          <w:p w14:paraId="1AB27192">
            <w:pPr>
              <w:pStyle w:val="20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283" w:type="dxa"/>
            <w:noWrap w:val="0"/>
            <w:vAlign w:val="center"/>
          </w:tcPr>
          <w:p w14:paraId="38BB463B">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sz w:val="21"/>
                <w:szCs w:val="21"/>
                <w:highlight w:val="none"/>
              </w:rPr>
            </w:pPr>
          </w:p>
        </w:tc>
        <w:tc>
          <w:tcPr>
            <w:tcW w:w="1261" w:type="dxa"/>
            <w:noWrap w:val="0"/>
            <w:vAlign w:val="center"/>
          </w:tcPr>
          <w:p w14:paraId="0C827EF5">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sz w:val="21"/>
                <w:szCs w:val="21"/>
                <w:highlight w:val="none"/>
              </w:rPr>
            </w:pPr>
          </w:p>
        </w:tc>
        <w:tc>
          <w:tcPr>
            <w:tcW w:w="1134" w:type="dxa"/>
            <w:noWrap w:val="0"/>
            <w:vAlign w:val="center"/>
          </w:tcPr>
          <w:p w14:paraId="6F98CA6C">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sz w:val="21"/>
                <w:szCs w:val="21"/>
                <w:highlight w:val="none"/>
              </w:rPr>
            </w:pPr>
          </w:p>
        </w:tc>
        <w:tc>
          <w:tcPr>
            <w:tcW w:w="1417" w:type="dxa"/>
            <w:noWrap w:val="0"/>
            <w:vAlign w:val="center"/>
          </w:tcPr>
          <w:p w14:paraId="048145AB">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sz w:val="21"/>
                <w:szCs w:val="21"/>
                <w:highlight w:val="none"/>
              </w:rPr>
            </w:pPr>
          </w:p>
        </w:tc>
        <w:tc>
          <w:tcPr>
            <w:tcW w:w="1843" w:type="dxa"/>
            <w:noWrap w:val="0"/>
            <w:vAlign w:val="center"/>
          </w:tcPr>
          <w:p w14:paraId="4EF7E602">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sz w:val="21"/>
                <w:szCs w:val="21"/>
                <w:highlight w:val="none"/>
              </w:rPr>
            </w:pPr>
          </w:p>
        </w:tc>
      </w:tr>
      <w:tr w14:paraId="3678E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jc w:val="center"/>
        </w:trPr>
        <w:tc>
          <w:tcPr>
            <w:tcW w:w="1135" w:type="dxa"/>
            <w:noWrap w:val="0"/>
            <w:vAlign w:val="center"/>
          </w:tcPr>
          <w:p w14:paraId="5B5852A1">
            <w:pPr>
              <w:pStyle w:val="20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283" w:type="dxa"/>
            <w:noWrap w:val="0"/>
            <w:vAlign w:val="center"/>
          </w:tcPr>
          <w:p w14:paraId="7BBF4636">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sz w:val="21"/>
                <w:szCs w:val="21"/>
                <w:highlight w:val="none"/>
              </w:rPr>
            </w:pPr>
          </w:p>
        </w:tc>
        <w:tc>
          <w:tcPr>
            <w:tcW w:w="1261" w:type="dxa"/>
            <w:noWrap w:val="0"/>
            <w:vAlign w:val="center"/>
          </w:tcPr>
          <w:p w14:paraId="60FDBE2D">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sz w:val="21"/>
                <w:szCs w:val="21"/>
                <w:highlight w:val="none"/>
              </w:rPr>
            </w:pPr>
          </w:p>
        </w:tc>
        <w:tc>
          <w:tcPr>
            <w:tcW w:w="1134" w:type="dxa"/>
            <w:noWrap w:val="0"/>
            <w:vAlign w:val="center"/>
          </w:tcPr>
          <w:p w14:paraId="7ED16423">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sz w:val="21"/>
                <w:szCs w:val="21"/>
                <w:highlight w:val="none"/>
              </w:rPr>
            </w:pPr>
          </w:p>
        </w:tc>
        <w:tc>
          <w:tcPr>
            <w:tcW w:w="1417" w:type="dxa"/>
            <w:noWrap w:val="0"/>
            <w:vAlign w:val="center"/>
          </w:tcPr>
          <w:p w14:paraId="750AF824">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sz w:val="21"/>
                <w:szCs w:val="21"/>
                <w:highlight w:val="none"/>
              </w:rPr>
            </w:pPr>
          </w:p>
        </w:tc>
        <w:tc>
          <w:tcPr>
            <w:tcW w:w="1843" w:type="dxa"/>
            <w:noWrap w:val="0"/>
            <w:vAlign w:val="center"/>
          </w:tcPr>
          <w:p w14:paraId="07425121">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sz w:val="21"/>
                <w:szCs w:val="21"/>
                <w:highlight w:val="none"/>
              </w:rPr>
            </w:pPr>
          </w:p>
        </w:tc>
      </w:tr>
      <w:tr w14:paraId="17D67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jc w:val="center"/>
        </w:trPr>
        <w:tc>
          <w:tcPr>
            <w:tcW w:w="1135" w:type="dxa"/>
            <w:noWrap w:val="0"/>
            <w:vAlign w:val="center"/>
          </w:tcPr>
          <w:p w14:paraId="273277FE">
            <w:pPr>
              <w:pStyle w:val="20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283" w:type="dxa"/>
            <w:noWrap w:val="0"/>
            <w:vAlign w:val="center"/>
          </w:tcPr>
          <w:p w14:paraId="0D8ACD61">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sz w:val="21"/>
                <w:szCs w:val="21"/>
                <w:highlight w:val="none"/>
              </w:rPr>
            </w:pPr>
          </w:p>
        </w:tc>
        <w:tc>
          <w:tcPr>
            <w:tcW w:w="1261" w:type="dxa"/>
            <w:noWrap w:val="0"/>
            <w:vAlign w:val="center"/>
          </w:tcPr>
          <w:p w14:paraId="4F48D332">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sz w:val="21"/>
                <w:szCs w:val="21"/>
                <w:highlight w:val="none"/>
              </w:rPr>
            </w:pPr>
          </w:p>
        </w:tc>
        <w:tc>
          <w:tcPr>
            <w:tcW w:w="1134" w:type="dxa"/>
            <w:noWrap w:val="0"/>
            <w:vAlign w:val="center"/>
          </w:tcPr>
          <w:p w14:paraId="45102973">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sz w:val="21"/>
                <w:szCs w:val="21"/>
                <w:highlight w:val="none"/>
              </w:rPr>
            </w:pPr>
          </w:p>
        </w:tc>
        <w:tc>
          <w:tcPr>
            <w:tcW w:w="1417" w:type="dxa"/>
            <w:noWrap w:val="0"/>
            <w:vAlign w:val="center"/>
          </w:tcPr>
          <w:p w14:paraId="35C68F73">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sz w:val="21"/>
                <w:szCs w:val="21"/>
                <w:highlight w:val="none"/>
              </w:rPr>
            </w:pPr>
          </w:p>
        </w:tc>
        <w:tc>
          <w:tcPr>
            <w:tcW w:w="1843" w:type="dxa"/>
            <w:noWrap w:val="0"/>
            <w:vAlign w:val="center"/>
          </w:tcPr>
          <w:p w14:paraId="75DC6380">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sz w:val="21"/>
                <w:szCs w:val="21"/>
                <w:highlight w:val="none"/>
              </w:rPr>
            </w:pPr>
          </w:p>
        </w:tc>
      </w:tr>
      <w:tr w14:paraId="3311F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jc w:val="center"/>
        </w:trPr>
        <w:tc>
          <w:tcPr>
            <w:tcW w:w="1135" w:type="dxa"/>
            <w:noWrap w:val="0"/>
            <w:vAlign w:val="center"/>
          </w:tcPr>
          <w:p w14:paraId="76A64DF4">
            <w:pPr>
              <w:pStyle w:val="20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w:t>
            </w:r>
          </w:p>
        </w:tc>
        <w:tc>
          <w:tcPr>
            <w:tcW w:w="2283" w:type="dxa"/>
            <w:noWrap w:val="0"/>
            <w:vAlign w:val="center"/>
          </w:tcPr>
          <w:p w14:paraId="095A1C04">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sz w:val="21"/>
                <w:szCs w:val="21"/>
                <w:highlight w:val="none"/>
              </w:rPr>
            </w:pPr>
          </w:p>
        </w:tc>
        <w:tc>
          <w:tcPr>
            <w:tcW w:w="1261" w:type="dxa"/>
            <w:noWrap w:val="0"/>
            <w:vAlign w:val="center"/>
          </w:tcPr>
          <w:p w14:paraId="602F3440">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sz w:val="21"/>
                <w:szCs w:val="21"/>
                <w:highlight w:val="none"/>
              </w:rPr>
            </w:pPr>
          </w:p>
        </w:tc>
        <w:tc>
          <w:tcPr>
            <w:tcW w:w="1134" w:type="dxa"/>
            <w:noWrap w:val="0"/>
            <w:vAlign w:val="center"/>
          </w:tcPr>
          <w:p w14:paraId="678F6690">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sz w:val="21"/>
                <w:szCs w:val="21"/>
                <w:highlight w:val="none"/>
              </w:rPr>
            </w:pPr>
          </w:p>
        </w:tc>
        <w:tc>
          <w:tcPr>
            <w:tcW w:w="1417" w:type="dxa"/>
            <w:noWrap w:val="0"/>
            <w:vAlign w:val="center"/>
          </w:tcPr>
          <w:p w14:paraId="3BF37AB4">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sz w:val="21"/>
                <w:szCs w:val="21"/>
                <w:highlight w:val="none"/>
              </w:rPr>
            </w:pPr>
          </w:p>
        </w:tc>
        <w:tc>
          <w:tcPr>
            <w:tcW w:w="1843" w:type="dxa"/>
            <w:noWrap w:val="0"/>
            <w:vAlign w:val="center"/>
          </w:tcPr>
          <w:p w14:paraId="5CCEFBFF">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sz w:val="21"/>
                <w:szCs w:val="21"/>
                <w:highlight w:val="none"/>
              </w:rPr>
            </w:pPr>
          </w:p>
        </w:tc>
      </w:tr>
      <w:tr w14:paraId="0D16A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jc w:val="center"/>
        </w:trPr>
        <w:tc>
          <w:tcPr>
            <w:tcW w:w="9073" w:type="dxa"/>
            <w:gridSpan w:val="6"/>
            <w:noWrap w:val="0"/>
            <w:vAlign w:val="center"/>
          </w:tcPr>
          <w:p w14:paraId="28026B12">
            <w:pPr>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合计金额：大写人民币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w:t>
            </w:r>
          </w:p>
        </w:tc>
      </w:tr>
    </w:tbl>
    <w:p w14:paraId="29C0C5C1">
      <w:pPr>
        <w:snapToGrid w:val="0"/>
        <w:spacing w:before="50" w:after="50" w:line="440" w:lineRule="exact"/>
        <w:rPr>
          <w:rFonts w:ascii="宋体" w:hAnsi="宋体" w:cs="宋体"/>
          <w:color w:val="auto"/>
          <w:highlight w:val="none"/>
          <w:u w:val="single"/>
        </w:rPr>
      </w:pPr>
    </w:p>
    <w:p w14:paraId="1ECED684">
      <w:pPr>
        <w:snapToGrid w:val="0"/>
        <w:spacing w:before="50" w:after="50" w:line="440" w:lineRule="exact"/>
        <w:jc w:val="left"/>
        <w:rPr>
          <w:rFonts w:ascii="宋体" w:hAnsi="宋体" w:cs="宋体"/>
          <w:color w:val="auto"/>
          <w:szCs w:val="21"/>
          <w:highlight w:val="none"/>
        </w:rPr>
      </w:pPr>
      <w:r>
        <w:rPr>
          <w:rFonts w:hint="eastAsia" w:ascii="宋体" w:hAnsi="宋体" w:cs="宋体"/>
          <w:color w:val="auto"/>
          <w:szCs w:val="21"/>
          <w:highlight w:val="none"/>
        </w:rPr>
        <w:t>注：</w:t>
      </w:r>
    </w:p>
    <w:p w14:paraId="4A74E57D">
      <w:pPr>
        <w:snapToGrid w:val="0"/>
        <w:spacing w:before="50" w:after="50" w:line="440" w:lineRule="exact"/>
        <w:jc w:val="left"/>
        <w:rPr>
          <w:rFonts w:ascii="宋体" w:hAnsi="宋体" w:cs="宋体"/>
          <w:color w:val="auto"/>
          <w:szCs w:val="21"/>
          <w:highlight w:val="none"/>
        </w:rPr>
      </w:pPr>
      <w:r>
        <w:rPr>
          <w:rFonts w:hint="eastAsia" w:ascii="宋体" w:hAnsi="宋体" w:cs="宋体"/>
          <w:color w:val="auto"/>
          <w:szCs w:val="21"/>
          <w:highlight w:val="none"/>
        </w:rPr>
        <w:t>1、所有价格均用人民币表示，单位为元，精确到个位。</w:t>
      </w:r>
    </w:p>
    <w:p w14:paraId="42733DB2">
      <w:pPr>
        <w:snapToGrid w:val="0"/>
        <w:spacing w:before="50" w:after="50" w:line="440" w:lineRule="exact"/>
        <w:jc w:val="left"/>
        <w:rPr>
          <w:rFonts w:ascii="宋体" w:hAnsi="宋体" w:cs="宋体"/>
          <w:color w:val="auto"/>
          <w:szCs w:val="21"/>
          <w:highlight w:val="none"/>
        </w:rPr>
      </w:pPr>
      <w:r>
        <w:rPr>
          <w:rFonts w:hint="eastAsia" w:ascii="宋体" w:hAnsi="宋体" w:cs="宋体"/>
          <w:color w:val="auto"/>
          <w:szCs w:val="21"/>
          <w:highlight w:val="none"/>
        </w:rPr>
        <w:t>2、报价一经涂改，应在涂改处加盖单位公章或者由法定代表人或授权委托人签字，否则其报价无效。</w:t>
      </w:r>
    </w:p>
    <w:p w14:paraId="2EF4AFD9">
      <w:pPr>
        <w:snapToGrid w:val="0"/>
        <w:spacing w:before="50" w:after="50" w:line="440" w:lineRule="exact"/>
        <w:jc w:val="left"/>
        <w:rPr>
          <w:rFonts w:ascii="宋体" w:hAnsi="宋体" w:cs="宋体"/>
          <w:color w:val="auto"/>
          <w:szCs w:val="21"/>
          <w:highlight w:val="none"/>
        </w:rPr>
      </w:pPr>
    </w:p>
    <w:p w14:paraId="10B7AAA1">
      <w:pPr>
        <w:snapToGrid w:val="0"/>
        <w:spacing w:before="50" w:after="50" w:line="440" w:lineRule="exact"/>
        <w:ind w:firstLine="420" w:firstLineChars="200"/>
        <w:rPr>
          <w:rFonts w:ascii="宋体" w:hAnsi="宋体" w:cs="宋体"/>
          <w:color w:val="auto"/>
          <w:szCs w:val="21"/>
          <w:highlight w:val="none"/>
        </w:rPr>
      </w:pPr>
    </w:p>
    <w:p w14:paraId="564AC2F9">
      <w:pPr>
        <w:snapToGrid w:val="0"/>
        <w:spacing w:before="50" w:after="50" w:line="440" w:lineRule="exact"/>
        <w:ind w:firstLine="420" w:firstLineChars="200"/>
        <w:rPr>
          <w:rFonts w:ascii="宋体" w:hAnsi="宋体" w:cs="宋体"/>
          <w:color w:val="auto"/>
          <w:szCs w:val="21"/>
          <w:highlight w:val="none"/>
        </w:rPr>
      </w:pPr>
    </w:p>
    <w:p w14:paraId="512C4704">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52AE21A0">
      <w:pPr>
        <w:spacing w:line="44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14:paraId="117AD7E8">
      <w:pPr>
        <w:spacing w:line="440" w:lineRule="exact"/>
        <w:jc w:val="left"/>
        <w:rPr>
          <w:rFonts w:ascii="宋体" w:hAnsi="宋体" w:cs="宋体"/>
          <w:color w:val="auto"/>
          <w:szCs w:val="21"/>
          <w:highlight w:val="none"/>
        </w:rPr>
      </w:pPr>
    </w:p>
    <w:p w14:paraId="13CD5011">
      <w:pPr>
        <w:spacing w:line="440" w:lineRule="exact"/>
        <w:jc w:val="left"/>
        <w:rPr>
          <w:rFonts w:ascii="宋体" w:hAnsi="宋体" w:cs="宋体"/>
          <w:color w:val="auto"/>
          <w:szCs w:val="21"/>
          <w:highlight w:val="none"/>
        </w:rPr>
      </w:pPr>
    </w:p>
    <w:p w14:paraId="25873D1A">
      <w:pPr>
        <w:spacing w:line="440" w:lineRule="exact"/>
        <w:jc w:val="left"/>
        <w:rPr>
          <w:rFonts w:ascii="宋体" w:hAnsi="宋体" w:cs="宋体"/>
          <w:color w:val="auto"/>
          <w:szCs w:val="21"/>
          <w:highlight w:val="none"/>
        </w:rPr>
      </w:pPr>
    </w:p>
    <w:p w14:paraId="281CE830">
      <w:pPr>
        <w:spacing w:line="440" w:lineRule="exact"/>
        <w:jc w:val="left"/>
        <w:rPr>
          <w:rFonts w:ascii="宋体" w:hAnsi="宋体" w:cs="宋体"/>
          <w:color w:val="auto"/>
          <w:szCs w:val="21"/>
          <w:highlight w:val="none"/>
        </w:rPr>
      </w:pPr>
    </w:p>
    <w:p w14:paraId="2DE8EE09">
      <w:pPr>
        <w:spacing w:line="440" w:lineRule="exact"/>
        <w:jc w:val="center"/>
        <w:rPr>
          <w:rFonts w:ascii="宋体" w:hAnsi="宋体" w:cs="宋体"/>
          <w:color w:val="auto"/>
          <w:sz w:val="44"/>
          <w:szCs w:val="20"/>
          <w:highlight w:val="none"/>
        </w:rPr>
      </w:pPr>
    </w:p>
    <w:p w14:paraId="4A1C1EDB">
      <w:pPr>
        <w:rPr>
          <w:rFonts w:ascii="宋体" w:hAnsi="宋体" w:cs="宋体"/>
          <w:color w:val="auto"/>
          <w:sz w:val="44"/>
          <w:szCs w:val="20"/>
          <w:highlight w:val="none"/>
        </w:rPr>
      </w:pPr>
      <w:r>
        <w:rPr>
          <w:rFonts w:hint="eastAsia" w:ascii="宋体" w:hAnsi="宋体" w:cs="宋体"/>
          <w:color w:val="auto"/>
          <w:sz w:val="44"/>
          <w:szCs w:val="20"/>
          <w:highlight w:val="none"/>
        </w:rPr>
        <w:br w:type="page"/>
      </w:r>
    </w:p>
    <w:p w14:paraId="6DC34394">
      <w:pPr>
        <w:spacing w:line="440" w:lineRule="exact"/>
        <w:jc w:val="center"/>
        <w:rPr>
          <w:rFonts w:ascii="宋体" w:hAnsi="宋体" w:cs="宋体"/>
          <w:color w:val="auto"/>
          <w:sz w:val="44"/>
          <w:szCs w:val="20"/>
          <w:highlight w:val="none"/>
        </w:rPr>
      </w:pPr>
      <w:r>
        <w:rPr>
          <w:rFonts w:hint="eastAsia" w:ascii="宋体" w:hAnsi="宋体" w:cs="宋体"/>
          <w:color w:val="auto"/>
          <w:sz w:val="44"/>
          <w:szCs w:val="20"/>
          <w:highlight w:val="none"/>
        </w:rPr>
        <w:t>最后报价明细表</w:t>
      </w:r>
    </w:p>
    <w:p w14:paraId="50C8046E">
      <w:pPr>
        <w:spacing w:line="440" w:lineRule="exact"/>
        <w:rPr>
          <w:rFonts w:ascii="宋体" w:hAnsi="宋体" w:cs="宋体"/>
          <w:color w:val="auto"/>
          <w:szCs w:val="21"/>
          <w:highlight w:val="none"/>
        </w:rPr>
      </w:pPr>
      <w:r>
        <w:rPr>
          <w:rFonts w:hint="eastAsia" w:ascii="宋体" w:hAnsi="宋体" w:cs="宋体"/>
          <w:color w:val="auto"/>
          <w:szCs w:val="21"/>
          <w:highlight w:val="none"/>
        </w:rPr>
        <w:t>项目名称：</w:t>
      </w:r>
    </w:p>
    <w:p w14:paraId="6F6C16CA">
      <w:pPr>
        <w:snapToGrid w:val="0"/>
        <w:spacing w:before="50" w:after="50" w:line="440" w:lineRule="exact"/>
        <w:rPr>
          <w:rFonts w:ascii="宋体" w:hAnsi="宋体" w:cs="宋体"/>
          <w:color w:val="auto"/>
          <w:highlight w:val="none"/>
          <w:u w:val="single"/>
        </w:rPr>
      </w:pPr>
      <w:r>
        <w:rPr>
          <w:rFonts w:hint="eastAsia" w:ascii="宋体" w:hAnsi="宋体" w:cs="宋体"/>
          <w:color w:val="auto"/>
          <w:szCs w:val="21"/>
          <w:highlight w:val="none"/>
        </w:rPr>
        <w:t>项目编号：</w:t>
      </w:r>
    </w:p>
    <w:p w14:paraId="1A093757">
      <w:pPr>
        <w:snapToGrid w:val="0"/>
        <w:spacing w:before="50" w:after="50" w:line="440" w:lineRule="exact"/>
        <w:rPr>
          <w:rFonts w:ascii="宋体" w:hAnsi="宋体" w:cs="宋体"/>
          <w:color w:val="auto"/>
          <w:highlight w:val="none"/>
        </w:rPr>
      </w:pPr>
      <w:r>
        <w:rPr>
          <w:rFonts w:hint="eastAsia" w:ascii="宋体" w:hAnsi="宋体" w:cs="宋体"/>
          <w:color w:val="auto"/>
          <w:highlight w:val="none"/>
          <w:lang w:eastAsia="zh-CN"/>
        </w:rPr>
        <w:t>标项</w:t>
      </w:r>
      <w:r>
        <w:rPr>
          <w:rFonts w:hint="eastAsia" w:ascii="宋体" w:hAnsi="宋体" w:cs="宋体"/>
          <w:color w:val="auto"/>
          <w:highlight w:val="none"/>
        </w:rPr>
        <w:t>：</w:t>
      </w:r>
    </w:p>
    <w:p w14:paraId="4449BB7E">
      <w:pPr>
        <w:spacing w:line="440" w:lineRule="exact"/>
        <w:ind w:firstLine="8190" w:firstLineChars="3900"/>
        <w:rPr>
          <w:rFonts w:ascii="宋体" w:hAnsi="宋体" w:cs="宋体"/>
          <w:color w:val="auto"/>
          <w:szCs w:val="21"/>
          <w:highlight w:val="none"/>
        </w:rPr>
      </w:pPr>
      <w:r>
        <w:rPr>
          <w:rFonts w:hint="eastAsia" w:ascii="宋体" w:hAnsi="宋体" w:cs="宋体"/>
          <w:color w:val="auto"/>
          <w:szCs w:val="21"/>
          <w:highlight w:val="none"/>
        </w:rPr>
        <w:t>单位：元</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5"/>
        <w:gridCol w:w="2283"/>
        <w:gridCol w:w="1261"/>
        <w:gridCol w:w="1134"/>
        <w:gridCol w:w="1417"/>
        <w:gridCol w:w="1843"/>
      </w:tblGrid>
      <w:tr w14:paraId="770A3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exact"/>
          <w:jc w:val="center"/>
        </w:trPr>
        <w:tc>
          <w:tcPr>
            <w:tcW w:w="1135" w:type="dxa"/>
            <w:noWrap w:val="0"/>
            <w:vAlign w:val="center"/>
          </w:tcPr>
          <w:p w14:paraId="19EFD4E6">
            <w:pPr>
              <w:pStyle w:val="20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项号</w:t>
            </w:r>
          </w:p>
        </w:tc>
        <w:tc>
          <w:tcPr>
            <w:tcW w:w="2283" w:type="dxa"/>
            <w:noWrap w:val="0"/>
            <w:vAlign w:val="center"/>
          </w:tcPr>
          <w:p w14:paraId="32EE5984">
            <w:pPr>
              <w:pStyle w:val="20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采购内容</w:t>
            </w:r>
          </w:p>
        </w:tc>
        <w:tc>
          <w:tcPr>
            <w:tcW w:w="1261" w:type="dxa"/>
            <w:noWrap w:val="0"/>
            <w:vAlign w:val="center"/>
          </w:tcPr>
          <w:p w14:paraId="3B56AA18">
            <w:pPr>
              <w:pStyle w:val="20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数量①</w:t>
            </w:r>
          </w:p>
        </w:tc>
        <w:tc>
          <w:tcPr>
            <w:tcW w:w="1134" w:type="dxa"/>
            <w:noWrap w:val="0"/>
            <w:vAlign w:val="center"/>
          </w:tcPr>
          <w:p w14:paraId="2C955A75">
            <w:pPr>
              <w:pStyle w:val="20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1417" w:type="dxa"/>
            <w:noWrap w:val="0"/>
            <w:vAlign w:val="center"/>
          </w:tcPr>
          <w:p w14:paraId="56EC766A">
            <w:pPr>
              <w:pStyle w:val="20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单价②</w:t>
            </w:r>
            <w:r>
              <w:rPr>
                <w:rFonts w:hint="eastAsia" w:ascii="宋体" w:hAnsi="宋体" w:eastAsia="宋体" w:cs="宋体"/>
                <w:b/>
                <w:color w:val="auto"/>
                <w:sz w:val="21"/>
                <w:szCs w:val="21"/>
                <w:highlight w:val="none"/>
                <w:lang w:eastAsia="zh-CN"/>
              </w:rPr>
              <w:t>（元）</w:t>
            </w:r>
          </w:p>
        </w:tc>
        <w:tc>
          <w:tcPr>
            <w:tcW w:w="1843" w:type="dxa"/>
            <w:noWrap w:val="0"/>
            <w:vAlign w:val="center"/>
          </w:tcPr>
          <w:p w14:paraId="33594A72">
            <w:pPr>
              <w:pStyle w:val="20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单项合计（元）</w:t>
            </w:r>
          </w:p>
          <w:p w14:paraId="37FCE3DA">
            <w:pPr>
              <w:pStyle w:val="20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③=①×②</w:t>
            </w:r>
          </w:p>
        </w:tc>
      </w:tr>
      <w:tr w14:paraId="6054E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exact"/>
          <w:jc w:val="center"/>
        </w:trPr>
        <w:tc>
          <w:tcPr>
            <w:tcW w:w="1135" w:type="dxa"/>
            <w:noWrap w:val="0"/>
            <w:vAlign w:val="center"/>
          </w:tcPr>
          <w:p w14:paraId="030C909C">
            <w:pPr>
              <w:pStyle w:val="20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283" w:type="dxa"/>
            <w:noWrap w:val="0"/>
            <w:vAlign w:val="center"/>
          </w:tcPr>
          <w:p w14:paraId="474DB0E0">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sz w:val="21"/>
                <w:szCs w:val="21"/>
                <w:highlight w:val="none"/>
              </w:rPr>
            </w:pPr>
          </w:p>
        </w:tc>
        <w:tc>
          <w:tcPr>
            <w:tcW w:w="1261" w:type="dxa"/>
            <w:noWrap w:val="0"/>
            <w:vAlign w:val="center"/>
          </w:tcPr>
          <w:p w14:paraId="617AB7E7">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sz w:val="21"/>
                <w:szCs w:val="21"/>
                <w:highlight w:val="none"/>
              </w:rPr>
            </w:pPr>
          </w:p>
        </w:tc>
        <w:tc>
          <w:tcPr>
            <w:tcW w:w="1134" w:type="dxa"/>
            <w:noWrap w:val="0"/>
            <w:vAlign w:val="center"/>
          </w:tcPr>
          <w:p w14:paraId="05B9FBDA">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sz w:val="21"/>
                <w:szCs w:val="21"/>
                <w:highlight w:val="none"/>
              </w:rPr>
            </w:pPr>
          </w:p>
        </w:tc>
        <w:tc>
          <w:tcPr>
            <w:tcW w:w="1417" w:type="dxa"/>
            <w:noWrap w:val="0"/>
            <w:vAlign w:val="center"/>
          </w:tcPr>
          <w:p w14:paraId="321EE8D5">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sz w:val="21"/>
                <w:szCs w:val="21"/>
                <w:highlight w:val="none"/>
              </w:rPr>
            </w:pPr>
          </w:p>
        </w:tc>
        <w:tc>
          <w:tcPr>
            <w:tcW w:w="1843" w:type="dxa"/>
            <w:noWrap w:val="0"/>
            <w:vAlign w:val="center"/>
          </w:tcPr>
          <w:p w14:paraId="6CD7B581">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sz w:val="21"/>
                <w:szCs w:val="21"/>
                <w:highlight w:val="none"/>
              </w:rPr>
            </w:pPr>
          </w:p>
        </w:tc>
      </w:tr>
      <w:tr w14:paraId="6E30B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jc w:val="center"/>
        </w:trPr>
        <w:tc>
          <w:tcPr>
            <w:tcW w:w="1135" w:type="dxa"/>
            <w:noWrap w:val="0"/>
            <w:vAlign w:val="center"/>
          </w:tcPr>
          <w:p w14:paraId="71329208">
            <w:pPr>
              <w:pStyle w:val="20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283" w:type="dxa"/>
            <w:noWrap w:val="0"/>
            <w:vAlign w:val="center"/>
          </w:tcPr>
          <w:p w14:paraId="638F0EC2">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sz w:val="21"/>
                <w:szCs w:val="21"/>
                <w:highlight w:val="none"/>
              </w:rPr>
            </w:pPr>
          </w:p>
        </w:tc>
        <w:tc>
          <w:tcPr>
            <w:tcW w:w="1261" w:type="dxa"/>
            <w:noWrap w:val="0"/>
            <w:vAlign w:val="center"/>
          </w:tcPr>
          <w:p w14:paraId="053C084C">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sz w:val="21"/>
                <w:szCs w:val="21"/>
                <w:highlight w:val="none"/>
              </w:rPr>
            </w:pPr>
          </w:p>
        </w:tc>
        <w:tc>
          <w:tcPr>
            <w:tcW w:w="1134" w:type="dxa"/>
            <w:noWrap w:val="0"/>
            <w:vAlign w:val="center"/>
          </w:tcPr>
          <w:p w14:paraId="52E77F68">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sz w:val="21"/>
                <w:szCs w:val="21"/>
                <w:highlight w:val="none"/>
              </w:rPr>
            </w:pPr>
          </w:p>
        </w:tc>
        <w:tc>
          <w:tcPr>
            <w:tcW w:w="1417" w:type="dxa"/>
            <w:noWrap w:val="0"/>
            <w:vAlign w:val="center"/>
          </w:tcPr>
          <w:p w14:paraId="5DDA12E7">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sz w:val="21"/>
                <w:szCs w:val="21"/>
                <w:highlight w:val="none"/>
              </w:rPr>
            </w:pPr>
          </w:p>
        </w:tc>
        <w:tc>
          <w:tcPr>
            <w:tcW w:w="1843" w:type="dxa"/>
            <w:noWrap w:val="0"/>
            <w:vAlign w:val="center"/>
          </w:tcPr>
          <w:p w14:paraId="36699188">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sz w:val="21"/>
                <w:szCs w:val="21"/>
                <w:highlight w:val="none"/>
              </w:rPr>
            </w:pPr>
          </w:p>
        </w:tc>
      </w:tr>
      <w:tr w14:paraId="68926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jc w:val="center"/>
        </w:trPr>
        <w:tc>
          <w:tcPr>
            <w:tcW w:w="1135" w:type="dxa"/>
            <w:noWrap w:val="0"/>
            <w:vAlign w:val="center"/>
          </w:tcPr>
          <w:p w14:paraId="62C42A37">
            <w:pPr>
              <w:pStyle w:val="20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283" w:type="dxa"/>
            <w:noWrap w:val="0"/>
            <w:vAlign w:val="center"/>
          </w:tcPr>
          <w:p w14:paraId="33B6AEF2">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sz w:val="21"/>
                <w:szCs w:val="21"/>
                <w:highlight w:val="none"/>
              </w:rPr>
            </w:pPr>
          </w:p>
        </w:tc>
        <w:tc>
          <w:tcPr>
            <w:tcW w:w="1261" w:type="dxa"/>
            <w:noWrap w:val="0"/>
            <w:vAlign w:val="center"/>
          </w:tcPr>
          <w:p w14:paraId="63179E66">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sz w:val="21"/>
                <w:szCs w:val="21"/>
                <w:highlight w:val="none"/>
              </w:rPr>
            </w:pPr>
          </w:p>
        </w:tc>
        <w:tc>
          <w:tcPr>
            <w:tcW w:w="1134" w:type="dxa"/>
            <w:noWrap w:val="0"/>
            <w:vAlign w:val="center"/>
          </w:tcPr>
          <w:p w14:paraId="3CC14F5A">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sz w:val="21"/>
                <w:szCs w:val="21"/>
                <w:highlight w:val="none"/>
              </w:rPr>
            </w:pPr>
          </w:p>
        </w:tc>
        <w:tc>
          <w:tcPr>
            <w:tcW w:w="1417" w:type="dxa"/>
            <w:noWrap w:val="0"/>
            <w:vAlign w:val="center"/>
          </w:tcPr>
          <w:p w14:paraId="6E6875AA">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sz w:val="21"/>
                <w:szCs w:val="21"/>
                <w:highlight w:val="none"/>
              </w:rPr>
            </w:pPr>
          </w:p>
        </w:tc>
        <w:tc>
          <w:tcPr>
            <w:tcW w:w="1843" w:type="dxa"/>
            <w:noWrap w:val="0"/>
            <w:vAlign w:val="center"/>
          </w:tcPr>
          <w:p w14:paraId="5BA91922">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sz w:val="21"/>
                <w:szCs w:val="21"/>
                <w:highlight w:val="none"/>
              </w:rPr>
            </w:pPr>
          </w:p>
        </w:tc>
      </w:tr>
      <w:tr w14:paraId="08BE7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jc w:val="center"/>
        </w:trPr>
        <w:tc>
          <w:tcPr>
            <w:tcW w:w="1135" w:type="dxa"/>
            <w:noWrap w:val="0"/>
            <w:vAlign w:val="center"/>
          </w:tcPr>
          <w:p w14:paraId="7B07E007">
            <w:pPr>
              <w:pStyle w:val="20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w:t>
            </w:r>
          </w:p>
        </w:tc>
        <w:tc>
          <w:tcPr>
            <w:tcW w:w="2283" w:type="dxa"/>
            <w:noWrap w:val="0"/>
            <w:vAlign w:val="center"/>
          </w:tcPr>
          <w:p w14:paraId="10E72945">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sz w:val="21"/>
                <w:szCs w:val="21"/>
                <w:highlight w:val="none"/>
              </w:rPr>
            </w:pPr>
          </w:p>
        </w:tc>
        <w:tc>
          <w:tcPr>
            <w:tcW w:w="1261" w:type="dxa"/>
            <w:noWrap w:val="0"/>
            <w:vAlign w:val="center"/>
          </w:tcPr>
          <w:p w14:paraId="2A79F745">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sz w:val="21"/>
                <w:szCs w:val="21"/>
                <w:highlight w:val="none"/>
              </w:rPr>
            </w:pPr>
          </w:p>
        </w:tc>
        <w:tc>
          <w:tcPr>
            <w:tcW w:w="1134" w:type="dxa"/>
            <w:noWrap w:val="0"/>
            <w:vAlign w:val="center"/>
          </w:tcPr>
          <w:p w14:paraId="7E01C068">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sz w:val="21"/>
                <w:szCs w:val="21"/>
                <w:highlight w:val="none"/>
              </w:rPr>
            </w:pPr>
          </w:p>
        </w:tc>
        <w:tc>
          <w:tcPr>
            <w:tcW w:w="1417" w:type="dxa"/>
            <w:noWrap w:val="0"/>
            <w:vAlign w:val="center"/>
          </w:tcPr>
          <w:p w14:paraId="0AA156B2">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sz w:val="21"/>
                <w:szCs w:val="21"/>
                <w:highlight w:val="none"/>
              </w:rPr>
            </w:pPr>
          </w:p>
        </w:tc>
        <w:tc>
          <w:tcPr>
            <w:tcW w:w="1843" w:type="dxa"/>
            <w:noWrap w:val="0"/>
            <w:vAlign w:val="center"/>
          </w:tcPr>
          <w:p w14:paraId="79BD0FB2">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color w:val="auto"/>
                <w:sz w:val="21"/>
                <w:szCs w:val="21"/>
                <w:highlight w:val="none"/>
              </w:rPr>
            </w:pPr>
          </w:p>
        </w:tc>
      </w:tr>
      <w:tr w14:paraId="41C47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jc w:val="center"/>
        </w:trPr>
        <w:tc>
          <w:tcPr>
            <w:tcW w:w="9073" w:type="dxa"/>
            <w:gridSpan w:val="6"/>
            <w:noWrap w:val="0"/>
            <w:vAlign w:val="center"/>
          </w:tcPr>
          <w:p w14:paraId="646129F1">
            <w:pPr>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合计金额：大写人民币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w:t>
            </w:r>
          </w:p>
        </w:tc>
      </w:tr>
    </w:tbl>
    <w:p w14:paraId="4A4AB38A">
      <w:pPr>
        <w:spacing w:line="440" w:lineRule="exact"/>
        <w:rPr>
          <w:rFonts w:ascii="宋体" w:hAnsi="宋体" w:cs="宋体"/>
          <w:color w:val="auto"/>
          <w:szCs w:val="21"/>
          <w:highlight w:val="none"/>
        </w:rPr>
      </w:pPr>
    </w:p>
    <w:p w14:paraId="7385E161">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注： </w:t>
      </w:r>
    </w:p>
    <w:p w14:paraId="5DE4ED86">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参加磋商的供应商在规定时间内提交最后报价时，须附相应的报价明细表（最后报价明细表应按以上格式要求提供），并且最后报价金额须与最后报价明细表的合计金额相等，否则须在规定时间内按最后报价金额调整最后报价明细表的金额。</w:t>
      </w:r>
    </w:p>
    <w:p w14:paraId="322F14CB">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2、所有价格均用人民币表示，单位为元，精确到个位。</w:t>
      </w:r>
    </w:p>
    <w:p w14:paraId="208FAADE">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3、报价一经涂改，应在涂改处加盖单位公章或者由法定代表人或授权委托人签字，否则其报价无效。</w:t>
      </w:r>
    </w:p>
    <w:p w14:paraId="1CA1CA0B">
      <w:pPr>
        <w:spacing w:line="440" w:lineRule="exact"/>
        <w:rPr>
          <w:rFonts w:ascii="宋体" w:hAnsi="宋体" w:cs="宋体"/>
          <w:color w:val="auto"/>
          <w:szCs w:val="21"/>
          <w:highlight w:val="none"/>
        </w:rPr>
      </w:pPr>
    </w:p>
    <w:p w14:paraId="30864C45">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4A33D472">
      <w:pPr>
        <w:spacing w:line="44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14:paraId="2A73920A">
      <w:pPr>
        <w:spacing w:line="440" w:lineRule="exact"/>
        <w:jc w:val="left"/>
        <w:rPr>
          <w:rFonts w:ascii="宋体" w:hAnsi="宋体" w:cs="宋体"/>
          <w:b/>
          <w:color w:val="auto"/>
          <w:szCs w:val="21"/>
          <w:highlight w:val="none"/>
        </w:rPr>
      </w:pPr>
      <w:r>
        <w:rPr>
          <w:rFonts w:hint="eastAsia" w:ascii="宋体" w:hAnsi="宋体" w:cs="宋体"/>
          <w:color w:val="auto"/>
          <w:szCs w:val="21"/>
          <w:highlight w:val="none"/>
        </w:rPr>
        <w:br w:type="page"/>
      </w:r>
      <w:r>
        <w:rPr>
          <w:rFonts w:hint="eastAsia" w:ascii="宋体" w:hAnsi="宋体" w:cs="宋体"/>
          <w:b/>
          <w:color w:val="auto"/>
          <w:szCs w:val="21"/>
          <w:highlight w:val="none"/>
        </w:rPr>
        <w:t>三、中小企业声明函格式</w:t>
      </w:r>
    </w:p>
    <w:p w14:paraId="4A698622">
      <w:pPr>
        <w:widowControl/>
        <w:spacing w:before="100" w:beforeAutospacing="1" w:after="100" w:afterAutospacing="1" w:line="440" w:lineRule="exact"/>
        <w:jc w:val="center"/>
        <w:textAlignment w:val="top"/>
        <w:rPr>
          <w:rFonts w:ascii="宋体" w:hAnsi="宋体" w:cs="宋体"/>
          <w:color w:val="auto"/>
          <w:kern w:val="0"/>
          <w:szCs w:val="21"/>
          <w:highlight w:val="none"/>
        </w:rPr>
      </w:pPr>
      <w:r>
        <w:rPr>
          <w:rFonts w:hint="eastAsia" w:ascii="宋体" w:hAnsi="宋体" w:cs="宋体"/>
          <w:b/>
          <w:bCs/>
          <w:color w:val="auto"/>
          <w:kern w:val="0"/>
          <w:sz w:val="30"/>
          <w:highlight w:val="none"/>
        </w:rPr>
        <w:t>中小企业声明函（服务）</w:t>
      </w:r>
    </w:p>
    <w:p w14:paraId="5C5D4646">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说明：</w:t>
      </w:r>
    </w:p>
    <w:p w14:paraId="5FEE1738">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1、本声明函主要供参加政府采购活动的中小企业填写，非中小企业无需填写。</w:t>
      </w:r>
    </w:p>
    <w:p w14:paraId="18D57E3F">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2、小型、微型企业提供中型企业提供的货物的，视同为中型企业。</w:t>
      </w:r>
    </w:p>
    <w:p w14:paraId="446C823E">
      <w:pPr>
        <w:spacing w:line="440" w:lineRule="exact"/>
        <w:ind w:firstLine="420" w:firstLineChars="200"/>
        <w:rPr>
          <w:rFonts w:ascii="宋体" w:hAnsi="宋体" w:cs="宋体"/>
          <w:color w:val="auto"/>
          <w:szCs w:val="21"/>
          <w:highlight w:val="none"/>
        </w:rPr>
      </w:pPr>
    </w:p>
    <w:p w14:paraId="09E97890">
      <w:pPr>
        <w:pStyle w:val="20"/>
        <w:spacing w:line="500" w:lineRule="exact"/>
        <w:ind w:right="142" w:firstLine="705"/>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本公司（联合体）郑重声明，根据《政府采购促进中小企业发展管理办法》（财库﹝2020﹞46号）的规定，本公司（联合体）参加</w:t>
      </w:r>
      <w:r>
        <w:rPr>
          <w:rFonts w:hint="eastAsia" w:ascii="宋体" w:hAnsi="宋体" w:eastAsia="宋体" w:cs="宋体"/>
          <w:color w:val="auto"/>
          <w:sz w:val="21"/>
          <w:szCs w:val="21"/>
          <w:u w:val="single"/>
          <w:lang w:eastAsia="zh-CN"/>
        </w:rPr>
        <w:t>（单位名称）</w:t>
      </w:r>
      <w:r>
        <w:rPr>
          <w:rFonts w:hint="eastAsia" w:ascii="宋体" w:hAnsi="宋体" w:eastAsia="宋体" w:cs="宋体"/>
          <w:color w:val="auto"/>
          <w:sz w:val="21"/>
          <w:szCs w:val="21"/>
          <w:lang w:eastAsia="zh-CN"/>
        </w:rPr>
        <w:t>的</w:t>
      </w:r>
      <w:r>
        <w:rPr>
          <w:rFonts w:hint="eastAsia" w:ascii="宋体" w:hAnsi="宋体" w:eastAsia="宋体" w:cs="宋体"/>
          <w:color w:val="auto"/>
          <w:sz w:val="21"/>
          <w:szCs w:val="21"/>
          <w:u w:val="single"/>
          <w:lang w:eastAsia="zh-CN"/>
        </w:rPr>
        <w:t>（项目名称）</w:t>
      </w:r>
      <w:r>
        <w:rPr>
          <w:rFonts w:hint="eastAsia" w:ascii="宋体" w:hAnsi="宋体" w:eastAsia="宋体" w:cs="宋体"/>
          <w:color w:val="auto"/>
          <w:sz w:val="21"/>
          <w:szCs w:val="21"/>
          <w:lang w:eastAsia="zh-CN"/>
        </w:rPr>
        <w:t>采购活动，服务全部由符合政策要求的中小企业承接。相关企业（含联合体中的中小企业、签订分包意向协议的中小企业）的具体情况如下：</w:t>
      </w:r>
    </w:p>
    <w:p w14:paraId="0D328208">
      <w:pPr>
        <w:tabs>
          <w:tab w:val="left" w:pos="1384"/>
          <w:tab w:val="left" w:pos="4562"/>
          <w:tab w:val="left" w:pos="6803"/>
        </w:tabs>
        <w:spacing w:before="13" w:line="500" w:lineRule="exact"/>
        <w:ind w:right="142" w:firstLine="772"/>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u w:val="single"/>
        </w:rPr>
        <w:t>（标的名称）</w:t>
      </w:r>
      <w:r>
        <w:rPr>
          <w:rFonts w:hint="eastAsia" w:ascii="宋体" w:hAnsi="宋体" w:eastAsia="宋体" w:cs="宋体"/>
          <w:color w:val="auto"/>
          <w:sz w:val="21"/>
          <w:szCs w:val="21"/>
        </w:rPr>
        <w:t>，属于</w:t>
      </w:r>
      <w:r>
        <w:rPr>
          <w:rFonts w:hint="eastAsia" w:ascii="宋体" w:hAnsi="宋体" w:eastAsia="宋体" w:cs="宋体"/>
          <w:color w:val="auto"/>
          <w:sz w:val="21"/>
          <w:szCs w:val="21"/>
          <w:u w:val="single"/>
        </w:rPr>
        <w:t>（采购文件中明确的所属行业）</w:t>
      </w:r>
      <w:r>
        <w:rPr>
          <w:rFonts w:hint="eastAsia" w:ascii="宋体" w:hAnsi="宋体" w:eastAsia="宋体" w:cs="宋体"/>
          <w:color w:val="auto"/>
          <w:sz w:val="21"/>
          <w:szCs w:val="21"/>
        </w:rPr>
        <w:t>；承接企业为</w:t>
      </w:r>
      <w:r>
        <w:rPr>
          <w:rFonts w:hint="eastAsia" w:ascii="宋体" w:hAnsi="宋体" w:eastAsia="宋体" w:cs="宋体"/>
          <w:color w:val="auto"/>
          <w:sz w:val="21"/>
          <w:szCs w:val="21"/>
          <w:u w:val="single"/>
        </w:rPr>
        <w:t>（企业名称）</w:t>
      </w:r>
      <w:r>
        <w:rPr>
          <w:rFonts w:hint="eastAsia" w:ascii="宋体" w:hAnsi="宋体" w:eastAsia="宋体" w:cs="宋体"/>
          <w:color w:val="auto"/>
          <w:sz w:val="21"/>
          <w:szCs w:val="21"/>
        </w:rPr>
        <w:t>，从业人员</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人，营业收入为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万元，资产总额为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万元，属于</w:t>
      </w:r>
      <w:r>
        <w:rPr>
          <w:rFonts w:hint="eastAsia" w:ascii="宋体" w:hAnsi="宋体" w:eastAsia="宋体" w:cs="宋体"/>
          <w:color w:val="auto"/>
          <w:sz w:val="21"/>
          <w:szCs w:val="21"/>
          <w:u w:val="single"/>
        </w:rPr>
        <w:t>（中型企业、小型企业、微型企业）</w:t>
      </w:r>
      <w:r>
        <w:rPr>
          <w:rFonts w:hint="eastAsia" w:ascii="宋体" w:hAnsi="宋体" w:eastAsia="宋体" w:cs="宋体"/>
          <w:color w:val="auto"/>
          <w:sz w:val="21"/>
          <w:szCs w:val="21"/>
        </w:rPr>
        <w:t>；</w:t>
      </w:r>
    </w:p>
    <w:p w14:paraId="7C4D711A">
      <w:pPr>
        <w:tabs>
          <w:tab w:val="left" w:pos="1065"/>
          <w:tab w:val="left" w:pos="4262"/>
          <w:tab w:val="left" w:pos="6477"/>
        </w:tabs>
        <w:spacing w:before="20" w:line="500" w:lineRule="exact"/>
        <w:ind w:right="84" w:firstLine="772"/>
        <w:rPr>
          <w:rFonts w:hint="eastAsia" w:ascii="宋体" w:hAnsi="宋体" w:eastAsia="宋体" w:cs="宋体"/>
          <w:color w:val="auto"/>
          <w:sz w:val="21"/>
          <w:szCs w:val="21"/>
          <w:u w:val="single"/>
        </w:rPr>
      </w:pPr>
      <w:r>
        <w:rPr>
          <w:rFonts w:hint="eastAsia" w:ascii="宋体" w:hAnsi="宋体" w:eastAsia="宋体" w:cs="宋体"/>
          <w:color w:val="auto"/>
          <w:sz w:val="21"/>
          <w:szCs w:val="21"/>
        </w:rPr>
        <w:t>2.</w:t>
      </w:r>
      <w:r>
        <w:rPr>
          <w:rFonts w:hint="eastAsia" w:ascii="宋体" w:hAnsi="宋体" w:eastAsia="宋体" w:cs="宋体"/>
          <w:color w:val="auto"/>
          <w:sz w:val="21"/>
          <w:szCs w:val="21"/>
          <w:u w:val="single"/>
        </w:rPr>
        <w:t>（标的名称）</w:t>
      </w:r>
      <w:r>
        <w:rPr>
          <w:rFonts w:hint="eastAsia" w:ascii="宋体" w:hAnsi="宋体" w:eastAsia="宋体" w:cs="宋体"/>
          <w:color w:val="auto"/>
          <w:sz w:val="21"/>
          <w:szCs w:val="21"/>
        </w:rPr>
        <w:t>，属于</w:t>
      </w:r>
      <w:r>
        <w:rPr>
          <w:rFonts w:hint="eastAsia" w:ascii="宋体" w:hAnsi="宋体" w:eastAsia="宋体" w:cs="宋体"/>
          <w:color w:val="auto"/>
          <w:sz w:val="21"/>
          <w:szCs w:val="21"/>
          <w:u w:val="single"/>
        </w:rPr>
        <w:t>（采购文件中明确的所属行业）</w:t>
      </w:r>
      <w:r>
        <w:rPr>
          <w:rFonts w:hint="eastAsia" w:ascii="宋体" w:hAnsi="宋体" w:eastAsia="宋体" w:cs="宋体"/>
          <w:color w:val="auto"/>
          <w:sz w:val="21"/>
          <w:szCs w:val="21"/>
        </w:rPr>
        <w:t>；承接企业为</w:t>
      </w:r>
      <w:r>
        <w:rPr>
          <w:rFonts w:hint="eastAsia" w:ascii="宋体" w:hAnsi="宋体" w:eastAsia="宋体" w:cs="宋体"/>
          <w:color w:val="auto"/>
          <w:sz w:val="21"/>
          <w:szCs w:val="21"/>
          <w:u w:val="single"/>
        </w:rPr>
        <w:t>（企业名称）</w:t>
      </w:r>
      <w:r>
        <w:rPr>
          <w:rFonts w:hint="eastAsia" w:ascii="宋体" w:hAnsi="宋体" w:eastAsia="宋体" w:cs="宋体"/>
          <w:color w:val="auto"/>
          <w:sz w:val="21"/>
          <w:szCs w:val="21"/>
        </w:rPr>
        <w:t>，从业人员</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人，营业收入为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万元，资产总额为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万元，属于</w:t>
      </w:r>
      <w:r>
        <w:rPr>
          <w:rFonts w:hint="eastAsia" w:ascii="宋体" w:hAnsi="宋体" w:eastAsia="宋体" w:cs="宋体"/>
          <w:color w:val="auto"/>
          <w:sz w:val="21"/>
          <w:szCs w:val="21"/>
          <w:u w:val="single"/>
        </w:rPr>
        <w:t>（中型企业、小型企业、微型企业）</w:t>
      </w:r>
      <w:r>
        <w:rPr>
          <w:rFonts w:hint="eastAsia" w:ascii="宋体" w:hAnsi="宋体" w:eastAsia="宋体" w:cs="宋体"/>
          <w:color w:val="auto"/>
          <w:sz w:val="21"/>
          <w:szCs w:val="21"/>
        </w:rPr>
        <w:t>；</w:t>
      </w:r>
    </w:p>
    <w:p w14:paraId="366EED42">
      <w:pPr>
        <w:pStyle w:val="20"/>
        <w:spacing w:before="34" w:line="500" w:lineRule="exact"/>
        <w:ind w:right="142" w:firstLine="705"/>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 </w:t>
      </w:r>
    </w:p>
    <w:p w14:paraId="45D3217B">
      <w:pPr>
        <w:pStyle w:val="20"/>
        <w:spacing w:before="34" w:line="500" w:lineRule="exact"/>
        <w:ind w:right="142" w:firstLine="705"/>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以上企业，不属于大企业的分支机构，不存在控股股东为大企业的情形，也不存在与大企业的负责人为同一人的情形。</w:t>
      </w:r>
    </w:p>
    <w:p w14:paraId="320B67DC">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lang w:eastAsia="zh-CN"/>
        </w:rPr>
        <w:t>本企业对上述声明内容的真实性负责。如有虚假，将依法承担相应责任。</w:t>
      </w:r>
    </w:p>
    <w:p w14:paraId="54F8C663">
      <w:pPr>
        <w:spacing w:line="440" w:lineRule="exact"/>
        <w:ind w:firstLine="3150" w:firstLineChars="1500"/>
        <w:rPr>
          <w:rFonts w:ascii="宋体" w:hAnsi="宋体" w:cs="宋体"/>
          <w:color w:val="auto"/>
          <w:szCs w:val="21"/>
          <w:highlight w:val="none"/>
        </w:rPr>
      </w:pPr>
    </w:p>
    <w:p w14:paraId="48C82961">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1AD8D97F">
      <w:pPr>
        <w:spacing w:line="44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14:paraId="278C7124">
      <w:pPr>
        <w:spacing w:line="440" w:lineRule="exact"/>
        <w:ind w:firstLine="420" w:firstLineChars="200"/>
        <w:rPr>
          <w:rFonts w:ascii="宋体" w:hAnsi="宋体" w:cs="宋体"/>
          <w:color w:val="auto"/>
          <w:szCs w:val="21"/>
          <w:highlight w:val="none"/>
        </w:rPr>
      </w:pPr>
    </w:p>
    <w:p w14:paraId="1FF002DC">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注：</w:t>
      </w:r>
    </w:p>
    <w:p w14:paraId="408039FA">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1、从业人员、营业收入、资产总额填报上一年度数据，无上一年度数据的新成立企业可不填报。</w:t>
      </w:r>
    </w:p>
    <w:p w14:paraId="5889A094">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2、请根据自己的真实情况出具《中小企业声明函》。依法享受中小企业优惠政策的，采购人或者采购代理机构在公告中标结果时，同时公告其《中小企业声明函》，接受社会监督。</w:t>
      </w:r>
    </w:p>
    <w:p w14:paraId="2A2239B0">
      <w:pPr>
        <w:widowControl/>
        <w:spacing w:before="100" w:beforeAutospacing="1" w:after="100" w:afterAutospacing="1" w:line="440" w:lineRule="exact"/>
        <w:jc w:val="left"/>
        <w:textAlignment w:val="top"/>
        <w:rPr>
          <w:rFonts w:ascii="宋体" w:hAnsi="宋体" w:cs="宋体"/>
          <w:color w:val="auto"/>
          <w:szCs w:val="21"/>
          <w:highlight w:val="none"/>
        </w:rPr>
      </w:pPr>
    </w:p>
    <w:p w14:paraId="6287F9B3">
      <w:pPr>
        <w:widowControl/>
        <w:spacing w:before="100" w:beforeAutospacing="1" w:after="100" w:afterAutospacing="1" w:line="440" w:lineRule="exact"/>
        <w:jc w:val="left"/>
        <w:textAlignment w:val="top"/>
        <w:rPr>
          <w:rFonts w:ascii="宋体" w:hAnsi="宋体" w:cs="宋体"/>
          <w:b/>
          <w:color w:val="auto"/>
          <w:szCs w:val="21"/>
          <w:highlight w:val="none"/>
        </w:rPr>
      </w:pPr>
    </w:p>
    <w:p w14:paraId="3F8D34F0">
      <w:pPr>
        <w:widowControl/>
        <w:spacing w:before="100" w:beforeAutospacing="1" w:after="100" w:afterAutospacing="1" w:line="440" w:lineRule="exact"/>
        <w:jc w:val="left"/>
        <w:textAlignment w:val="top"/>
        <w:rPr>
          <w:rFonts w:ascii="宋体" w:hAnsi="宋体" w:cs="宋体"/>
          <w:b/>
          <w:bCs/>
          <w:color w:val="auto"/>
          <w:highlight w:val="none"/>
        </w:rPr>
      </w:pPr>
      <w:r>
        <w:rPr>
          <w:rFonts w:hint="eastAsia" w:ascii="宋体" w:hAnsi="宋体" w:cs="宋体"/>
          <w:b/>
          <w:color w:val="auto"/>
          <w:szCs w:val="21"/>
          <w:highlight w:val="none"/>
        </w:rPr>
        <w:t>四、残疾人福利性单位声明函格式</w:t>
      </w:r>
    </w:p>
    <w:p w14:paraId="283E5F78">
      <w:pPr>
        <w:widowControl/>
        <w:spacing w:before="100" w:beforeAutospacing="1" w:after="100" w:afterAutospacing="1" w:line="440" w:lineRule="exact"/>
        <w:jc w:val="center"/>
        <w:textAlignment w:val="top"/>
        <w:rPr>
          <w:rFonts w:ascii="宋体" w:hAnsi="宋体" w:cs="宋体"/>
          <w:b/>
          <w:color w:val="auto"/>
          <w:sz w:val="32"/>
          <w:szCs w:val="32"/>
          <w:highlight w:val="none"/>
        </w:rPr>
      </w:pPr>
      <w:r>
        <w:rPr>
          <w:rFonts w:hint="eastAsia" w:ascii="宋体" w:hAnsi="宋体" w:cs="宋体"/>
          <w:b/>
          <w:color w:val="auto"/>
          <w:sz w:val="32"/>
          <w:szCs w:val="32"/>
          <w:highlight w:val="none"/>
        </w:rPr>
        <w:t>残疾人福利性单位声明函</w:t>
      </w:r>
    </w:p>
    <w:p w14:paraId="186C0717">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70BF0DB">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本单位对上述声明的真实性负责。如有虚假，将依法承担相应责任。</w:t>
      </w:r>
    </w:p>
    <w:p w14:paraId="7DF65A1B">
      <w:pPr>
        <w:spacing w:line="440" w:lineRule="exact"/>
        <w:ind w:firstLine="420" w:firstLineChars="200"/>
        <w:rPr>
          <w:rFonts w:ascii="宋体" w:hAnsi="宋体" w:cs="宋体"/>
          <w:color w:val="auto"/>
          <w:szCs w:val="21"/>
          <w:highlight w:val="none"/>
        </w:rPr>
      </w:pPr>
    </w:p>
    <w:p w14:paraId="2E16208A">
      <w:pPr>
        <w:spacing w:line="440" w:lineRule="exact"/>
        <w:ind w:firstLine="420" w:firstLineChars="200"/>
        <w:rPr>
          <w:rFonts w:ascii="宋体" w:hAnsi="宋体" w:cs="宋体"/>
          <w:color w:val="auto"/>
          <w:szCs w:val="21"/>
          <w:highlight w:val="none"/>
        </w:rPr>
      </w:pPr>
    </w:p>
    <w:p w14:paraId="25CADB9C">
      <w:pPr>
        <w:spacing w:line="440" w:lineRule="exact"/>
        <w:ind w:firstLine="6090" w:firstLineChars="290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29BBDB0D">
      <w:pPr>
        <w:spacing w:line="440" w:lineRule="exact"/>
        <w:ind w:firstLine="6300" w:firstLineChars="3000"/>
        <w:rPr>
          <w:rFonts w:ascii="宋体" w:hAnsi="宋体" w:cs="宋体"/>
          <w:color w:val="auto"/>
          <w:szCs w:val="21"/>
          <w:highlight w:val="none"/>
        </w:rPr>
      </w:pPr>
      <w:r>
        <w:rPr>
          <w:rFonts w:hint="eastAsia" w:ascii="宋体" w:hAnsi="宋体" w:cs="宋体"/>
          <w:color w:val="auto"/>
          <w:szCs w:val="21"/>
          <w:highlight w:val="none"/>
        </w:rPr>
        <w:t>日期： 年 月 日</w:t>
      </w:r>
    </w:p>
    <w:p w14:paraId="20144EFC">
      <w:pPr>
        <w:spacing w:line="440" w:lineRule="exact"/>
        <w:ind w:firstLine="420" w:firstLineChars="200"/>
        <w:rPr>
          <w:rFonts w:ascii="宋体" w:hAnsi="宋体" w:cs="宋体"/>
          <w:color w:val="auto"/>
          <w:szCs w:val="21"/>
          <w:highlight w:val="none"/>
        </w:rPr>
      </w:pPr>
    </w:p>
    <w:p w14:paraId="32F57B26">
      <w:pPr>
        <w:widowControl/>
        <w:spacing w:before="100" w:beforeAutospacing="1" w:after="100" w:afterAutospacing="1" w:line="440" w:lineRule="exact"/>
        <w:ind w:firstLine="420"/>
        <w:jc w:val="left"/>
        <w:textAlignment w:val="top"/>
        <w:rPr>
          <w:rFonts w:hint="eastAsia" w:ascii="宋体" w:hAnsi="宋体" w:cs="宋体"/>
          <w:color w:val="auto"/>
          <w:szCs w:val="21"/>
          <w:highlight w:val="none"/>
        </w:rPr>
        <w:sectPr>
          <w:pgSz w:w="11906" w:h="16838"/>
          <w:pgMar w:top="1134" w:right="1247" w:bottom="1134" w:left="1247" w:header="851" w:footer="992" w:gutter="0"/>
          <w:pgNumType w:fmt="decimal"/>
          <w:cols w:space="720" w:num="1"/>
          <w:docGrid w:linePitch="312" w:charSpace="0"/>
        </w:sectPr>
      </w:pPr>
      <w:r>
        <w:rPr>
          <w:rFonts w:hint="eastAsia" w:ascii="宋体" w:hAnsi="宋体" w:cs="宋体"/>
          <w:color w:val="auto"/>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56A0FAB9">
      <w:pPr>
        <w:pStyle w:val="18"/>
        <w:shd w:val="clear" w:color="auto"/>
        <w:jc w:val="center"/>
        <w:rPr>
          <w:rFonts w:ascii="宋体" w:hAnsi="宋体" w:cs="宋体"/>
          <w:color w:val="auto"/>
          <w:sz w:val="36"/>
          <w:szCs w:val="36"/>
          <w:highlight w:val="none"/>
        </w:rPr>
      </w:pPr>
      <w:r>
        <w:rPr>
          <w:rFonts w:hint="eastAsia" w:ascii="宋体" w:hAnsi="宋体" w:cs="宋体"/>
          <w:b/>
          <w:bCs/>
          <w:color w:val="auto"/>
          <w:sz w:val="36"/>
          <w:szCs w:val="36"/>
          <w:highlight w:val="none"/>
        </w:rPr>
        <w:t>关于符合本国产品标准的声明函</w:t>
      </w:r>
    </w:p>
    <w:p w14:paraId="4EF042C5">
      <w:pPr>
        <w:widowControl/>
        <w:shd w:val="clear" w:color="auto"/>
        <w:spacing w:before="30" w:after="30"/>
        <w:ind w:firstLine="480"/>
        <w:jc w:val="left"/>
        <w:rPr>
          <w:rFonts w:ascii="宋体" w:hAnsi="宋体" w:cs="宋体"/>
          <w:color w:val="auto"/>
          <w:sz w:val="24"/>
          <w:highlight w:val="none"/>
        </w:rPr>
      </w:pPr>
      <w:r>
        <w:rPr>
          <w:rFonts w:hint="eastAsia" w:ascii="宋体" w:hAnsi="宋体" w:cs="宋体"/>
          <w:color w:val="auto"/>
          <w:sz w:val="24"/>
          <w:highlight w:val="none"/>
        </w:rPr>
        <w:t> </w:t>
      </w:r>
    </w:p>
    <w:p w14:paraId="3089E744">
      <w:pPr>
        <w:widowControl/>
        <w:shd w:val="clear" w:color="auto"/>
        <w:spacing w:before="30" w:after="30"/>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4EFE3242">
      <w:pPr>
        <w:widowControl/>
        <w:shd w:val="clear" w:color="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i/>
          <w:iCs/>
          <w:color w:val="auto"/>
          <w:sz w:val="24"/>
          <w:highlight w:val="none"/>
        </w:rPr>
        <w:t>（产品名称1）</w:t>
      </w:r>
      <w:r>
        <w:rPr>
          <w:rFonts w:hint="eastAsia" w:ascii="宋体" w:hAnsi="宋体" w:eastAsia="宋体" w:cs="宋体"/>
          <w:i/>
          <w:iCs/>
          <w:color w:val="auto"/>
          <w:sz w:val="18"/>
          <w:szCs w:val="18"/>
          <w:highlight w:val="none"/>
          <w:vertAlign w:val="superscript"/>
        </w:rPr>
        <w:t>1</w:t>
      </w:r>
      <w:r>
        <w:rPr>
          <w:rFonts w:hint="eastAsia" w:ascii="宋体" w:hAnsi="宋体" w:eastAsia="宋体" w:cs="宋体"/>
          <w:color w:val="auto"/>
          <w:sz w:val="24"/>
          <w:highlight w:val="none"/>
        </w:rPr>
        <w:t>，生产厂为</w:t>
      </w:r>
      <w:r>
        <w:rPr>
          <w:rFonts w:hint="eastAsia" w:ascii="宋体" w:hAnsi="宋体" w:eastAsia="宋体" w:cs="宋体"/>
          <w:i/>
          <w:iCs/>
          <w:color w:val="auto"/>
          <w:sz w:val="24"/>
          <w:highlight w:val="none"/>
        </w:rPr>
        <w:t>（厂名）</w:t>
      </w:r>
      <w:r>
        <w:rPr>
          <w:rFonts w:hint="eastAsia" w:ascii="宋体" w:hAnsi="宋体" w:eastAsia="宋体" w:cs="宋体"/>
          <w:i/>
          <w:iCs/>
          <w:color w:val="auto"/>
          <w:sz w:val="18"/>
          <w:szCs w:val="18"/>
          <w:highlight w:val="none"/>
          <w:vertAlign w:val="superscript"/>
        </w:rPr>
        <w:t>2</w:t>
      </w:r>
      <w:r>
        <w:rPr>
          <w:rFonts w:hint="eastAsia" w:ascii="宋体" w:hAnsi="宋体" w:eastAsia="宋体" w:cs="宋体"/>
          <w:color w:val="auto"/>
          <w:sz w:val="24"/>
          <w:highlight w:val="none"/>
        </w:rPr>
        <w:t>，厂址为</w:t>
      </w:r>
      <w:r>
        <w:rPr>
          <w:rFonts w:hint="eastAsia" w:ascii="宋体" w:hAnsi="宋体" w:eastAsia="宋体" w:cs="宋体"/>
          <w:i/>
          <w:iCs/>
          <w:color w:val="auto"/>
          <w:sz w:val="24"/>
          <w:highlight w:val="none"/>
        </w:rPr>
        <w:t>（生产厂址）</w:t>
      </w:r>
      <w:r>
        <w:rPr>
          <w:rFonts w:hint="eastAsia" w:ascii="宋体" w:hAnsi="宋体" w:eastAsia="宋体" w:cs="宋体"/>
          <w:color w:val="auto"/>
          <w:sz w:val="24"/>
          <w:highlight w:val="none"/>
        </w:rPr>
        <w:t>。</w:t>
      </w:r>
      <w:r>
        <w:rPr>
          <w:rFonts w:hint="eastAsia" w:ascii="宋体" w:hAnsi="宋体" w:eastAsia="宋体" w:cs="宋体"/>
          <w:i/>
          <w:iCs/>
          <w:color w:val="auto"/>
          <w:sz w:val="24"/>
          <w:highlight w:val="none"/>
        </w:rPr>
        <w:t>（产品名称1）</w:t>
      </w:r>
      <w:r>
        <w:rPr>
          <w:rFonts w:hint="eastAsia" w:ascii="宋体" w:hAnsi="宋体" w:eastAsia="宋体" w:cs="宋体"/>
          <w:color w:val="auto"/>
          <w:sz w:val="24"/>
          <w:highlight w:val="none"/>
        </w:rPr>
        <w:t>的中国境内生产的组件成本占比≥</w:t>
      </w:r>
      <w:r>
        <w:rPr>
          <w:rFonts w:hint="eastAsia" w:ascii="宋体" w:hAnsi="宋体" w:eastAsia="宋体" w:cs="宋体"/>
          <w:i/>
          <w:iCs/>
          <w:color w:val="auto"/>
          <w:sz w:val="24"/>
          <w:highlight w:val="none"/>
        </w:rPr>
        <w:t>（规定比例）</w:t>
      </w:r>
      <w:r>
        <w:rPr>
          <w:rFonts w:hint="eastAsia" w:ascii="宋体" w:hAnsi="宋体" w:eastAsia="宋体" w:cs="宋体"/>
          <w:i/>
          <w:iCs/>
          <w:color w:val="auto"/>
          <w:sz w:val="18"/>
          <w:szCs w:val="18"/>
          <w:highlight w:val="none"/>
          <w:vertAlign w:val="superscript"/>
        </w:rPr>
        <w:t>3</w:t>
      </w:r>
      <w:r>
        <w:rPr>
          <w:rFonts w:hint="eastAsia" w:ascii="宋体" w:hAnsi="宋体" w:eastAsia="宋体" w:cs="宋体"/>
          <w:color w:val="auto"/>
          <w:sz w:val="24"/>
          <w:highlight w:val="none"/>
        </w:rPr>
        <w:t>。</w:t>
      </w:r>
      <w:r>
        <w:rPr>
          <w:rFonts w:hint="eastAsia" w:ascii="宋体" w:hAnsi="宋体" w:eastAsia="宋体" w:cs="宋体"/>
          <w:i/>
          <w:iCs/>
          <w:color w:val="auto"/>
          <w:sz w:val="24"/>
          <w:highlight w:val="none"/>
        </w:rPr>
        <w:t>（产品名称1）</w:t>
      </w:r>
      <w:r>
        <w:rPr>
          <w:rFonts w:hint="eastAsia" w:ascii="宋体" w:hAnsi="宋体" w:eastAsia="宋体" w:cs="宋体"/>
          <w:color w:val="auto"/>
          <w:sz w:val="24"/>
          <w:highlight w:val="none"/>
        </w:rPr>
        <w:t>的</w:t>
      </w:r>
      <w:r>
        <w:rPr>
          <w:rFonts w:hint="eastAsia" w:ascii="宋体" w:hAnsi="宋体" w:eastAsia="宋体" w:cs="宋体"/>
          <w:i/>
          <w:iCs/>
          <w:color w:val="auto"/>
          <w:sz w:val="24"/>
          <w:highlight w:val="none"/>
        </w:rPr>
        <w:t>（关键组件）</w:t>
      </w:r>
      <w:r>
        <w:rPr>
          <w:rFonts w:hint="eastAsia" w:ascii="宋体" w:hAnsi="宋体" w:eastAsia="宋体" w:cs="宋体"/>
          <w:i/>
          <w:iCs/>
          <w:color w:val="auto"/>
          <w:sz w:val="18"/>
          <w:szCs w:val="18"/>
          <w:highlight w:val="none"/>
          <w:vertAlign w:val="superscript"/>
        </w:rPr>
        <w:t>4</w:t>
      </w:r>
      <w:r>
        <w:rPr>
          <w:rFonts w:hint="eastAsia" w:ascii="宋体" w:hAnsi="宋体" w:eastAsia="宋体" w:cs="宋体"/>
          <w:color w:val="auto"/>
          <w:sz w:val="24"/>
          <w:highlight w:val="none"/>
        </w:rPr>
        <w:t>在中国境内生产。</w:t>
      </w:r>
      <w:r>
        <w:rPr>
          <w:rFonts w:hint="eastAsia" w:ascii="宋体" w:hAnsi="宋体" w:eastAsia="宋体" w:cs="宋体"/>
          <w:i/>
          <w:iCs/>
          <w:color w:val="auto"/>
          <w:sz w:val="24"/>
          <w:highlight w:val="none"/>
        </w:rPr>
        <w:t>（产品名称1）</w:t>
      </w:r>
      <w:r>
        <w:rPr>
          <w:rFonts w:hint="eastAsia" w:ascii="宋体" w:hAnsi="宋体" w:eastAsia="宋体" w:cs="宋体"/>
          <w:color w:val="auto"/>
          <w:sz w:val="24"/>
          <w:highlight w:val="none"/>
        </w:rPr>
        <w:t>的</w:t>
      </w:r>
      <w:r>
        <w:rPr>
          <w:rFonts w:hint="eastAsia" w:ascii="宋体" w:hAnsi="宋体" w:eastAsia="宋体" w:cs="宋体"/>
          <w:i/>
          <w:iCs/>
          <w:color w:val="auto"/>
          <w:sz w:val="24"/>
          <w:highlight w:val="none"/>
        </w:rPr>
        <w:t>（关键工序）</w:t>
      </w:r>
      <w:r>
        <w:rPr>
          <w:rFonts w:hint="eastAsia" w:ascii="宋体" w:hAnsi="宋体" w:eastAsia="宋体" w:cs="宋体"/>
          <w:i/>
          <w:iCs/>
          <w:color w:val="auto"/>
          <w:sz w:val="18"/>
          <w:szCs w:val="18"/>
          <w:highlight w:val="none"/>
          <w:vertAlign w:val="superscript"/>
        </w:rPr>
        <w:t>5</w:t>
      </w:r>
      <w:r>
        <w:rPr>
          <w:rFonts w:hint="eastAsia" w:ascii="宋体" w:hAnsi="宋体" w:eastAsia="宋体" w:cs="宋体"/>
          <w:color w:val="auto"/>
          <w:sz w:val="24"/>
          <w:highlight w:val="none"/>
        </w:rPr>
        <w:t>在中国境内完成。</w:t>
      </w:r>
    </w:p>
    <w:p w14:paraId="47834898">
      <w:pPr>
        <w:widowControl/>
        <w:shd w:val="clear" w:color="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i/>
          <w:iCs/>
          <w:color w:val="auto"/>
          <w:sz w:val="24"/>
          <w:highlight w:val="none"/>
        </w:rPr>
        <w:t>（产品名称2）</w:t>
      </w:r>
      <w:r>
        <w:rPr>
          <w:rFonts w:hint="eastAsia" w:ascii="宋体" w:hAnsi="宋体" w:eastAsia="宋体" w:cs="宋体"/>
          <w:color w:val="auto"/>
          <w:sz w:val="24"/>
          <w:highlight w:val="none"/>
        </w:rPr>
        <w:t>，生产厂为</w:t>
      </w:r>
      <w:r>
        <w:rPr>
          <w:rFonts w:hint="eastAsia" w:ascii="宋体" w:hAnsi="宋体" w:eastAsia="宋体" w:cs="宋体"/>
          <w:i/>
          <w:iCs/>
          <w:color w:val="auto"/>
          <w:sz w:val="24"/>
          <w:highlight w:val="none"/>
        </w:rPr>
        <w:t>（厂名）</w:t>
      </w:r>
      <w:r>
        <w:rPr>
          <w:rFonts w:hint="eastAsia" w:ascii="宋体" w:hAnsi="宋体" w:eastAsia="宋体" w:cs="宋体"/>
          <w:color w:val="auto"/>
          <w:sz w:val="24"/>
          <w:highlight w:val="none"/>
        </w:rPr>
        <w:t>，厂址为</w:t>
      </w:r>
      <w:r>
        <w:rPr>
          <w:rFonts w:hint="eastAsia" w:ascii="宋体" w:hAnsi="宋体" w:eastAsia="宋体" w:cs="宋体"/>
          <w:i/>
          <w:iCs/>
          <w:color w:val="auto"/>
          <w:sz w:val="24"/>
          <w:highlight w:val="none"/>
        </w:rPr>
        <w:t>（生产厂址）</w:t>
      </w:r>
      <w:r>
        <w:rPr>
          <w:rFonts w:hint="eastAsia" w:ascii="宋体" w:hAnsi="宋体" w:eastAsia="宋体" w:cs="宋体"/>
          <w:color w:val="auto"/>
          <w:sz w:val="24"/>
          <w:highlight w:val="none"/>
        </w:rPr>
        <w:t>。</w:t>
      </w:r>
      <w:r>
        <w:rPr>
          <w:rFonts w:hint="eastAsia" w:ascii="宋体" w:hAnsi="宋体" w:eastAsia="宋体" w:cs="宋体"/>
          <w:i/>
          <w:iCs/>
          <w:color w:val="auto"/>
          <w:sz w:val="24"/>
          <w:highlight w:val="none"/>
        </w:rPr>
        <w:t>（产品名称2）</w:t>
      </w:r>
      <w:r>
        <w:rPr>
          <w:rFonts w:hint="eastAsia" w:ascii="宋体" w:hAnsi="宋体" w:eastAsia="宋体" w:cs="宋体"/>
          <w:color w:val="auto"/>
          <w:sz w:val="24"/>
          <w:highlight w:val="none"/>
        </w:rPr>
        <w:t>的中国境内生产的组件成本占比≥</w:t>
      </w:r>
      <w:r>
        <w:rPr>
          <w:rFonts w:hint="eastAsia" w:ascii="宋体" w:hAnsi="宋体" w:eastAsia="宋体" w:cs="宋体"/>
          <w:i/>
          <w:iCs/>
          <w:color w:val="auto"/>
          <w:sz w:val="24"/>
          <w:highlight w:val="none"/>
        </w:rPr>
        <w:t>（规定比例）</w:t>
      </w:r>
      <w:r>
        <w:rPr>
          <w:rFonts w:hint="eastAsia" w:ascii="宋体" w:hAnsi="宋体" w:eastAsia="宋体" w:cs="宋体"/>
          <w:color w:val="auto"/>
          <w:sz w:val="24"/>
          <w:highlight w:val="none"/>
        </w:rPr>
        <w:t>。</w:t>
      </w:r>
      <w:r>
        <w:rPr>
          <w:rFonts w:hint="eastAsia" w:ascii="宋体" w:hAnsi="宋体" w:eastAsia="宋体" w:cs="宋体"/>
          <w:i/>
          <w:iCs/>
          <w:color w:val="auto"/>
          <w:sz w:val="24"/>
          <w:highlight w:val="none"/>
        </w:rPr>
        <w:t>（产品名称2）</w:t>
      </w:r>
      <w:r>
        <w:rPr>
          <w:rFonts w:hint="eastAsia" w:ascii="宋体" w:hAnsi="宋体" w:eastAsia="宋体" w:cs="宋体"/>
          <w:color w:val="auto"/>
          <w:sz w:val="24"/>
          <w:highlight w:val="none"/>
        </w:rPr>
        <w:t>的</w:t>
      </w:r>
      <w:r>
        <w:rPr>
          <w:rFonts w:hint="eastAsia" w:ascii="宋体" w:hAnsi="宋体" w:eastAsia="宋体" w:cs="宋体"/>
          <w:i/>
          <w:iCs/>
          <w:color w:val="auto"/>
          <w:sz w:val="24"/>
          <w:highlight w:val="none"/>
        </w:rPr>
        <w:t>（关键组件）</w:t>
      </w:r>
      <w:r>
        <w:rPr>
          <w:rFonts w:hint="eastAsia" w:ascii="宋体" w:hAnsi="宋体" w:eastAsia="宋体" w:cs="宋体"/>
          <w:color w:val="auto"/>
          <w:sz w:val="24"/>
          <w:highlight w:val="none"/>
        </w:rPr>
        <w:t>在中国境内生产。</w:t>
      </w:r>
      <w:r>
        <w:rPr>
          <w:rFonts w:hint="eastAsia" w:ascii="宋体" w:hAnsi="宋体" w:eastAsia="宋体" w:cs="宋体"/>
          <w:i/>
          <w:iCs/>
          <w:color w:val="auto"/>
          <w:sz w:val="24"/>
          <w:highlight w:val="none"/>
        </w:rPr>
        <w:t>（产品名称2）</w:t>
      </w:r>
      <w:r>
        <w:rPr>
          <w:rFonts w:hint="eastAsia" w:ascii="宋体" w:hAnsi="宋体" w:eastAsia="宋体" w:cs="宋体"/>
          <w:color w:val="auto"/>
          <w:sz w:val="24"/>
          <w:highlight w:val="none"/>
        </w:rPr>
        <w:t>的</w:t>
      </w:r>
      <w:r>
        <w:rPr>
          <w:rFonts w:hint="eastAsia" w:ascii="宋体" w:hAnsi="宋体" w:eastAsia="宋体" w:cs="宋体"/>
          <w:i/>
          <w:iCs/>
          <w:color w:val="auto"/>
          <w:sz w:val="24"/>
          <w:highlight w:val="none"/>
        </w:rPr>
        <w:t>（关键工序）</w:t>
      </w:r>
      <w:r>
        <w:rPr>
          <w:rFonts w:hint="eastAsia" w:ascii="宋体" w:hAnsi="宋体" w:eastAsia="宋体" w:cs="宋体"/>
          <w:color w:val="auto"/>
          <w:sz w:val="24"/>
          <w:highlight w:val="none"/>
        </w:rPr>
        <w:t>在中国境内完成。</w:t>
      </w:r>
    </w:p>
    <w:p w14:paraId="47D64825">
      <w:pPr>
        <w:widowControl/>
        <w:shd w:val="clear" w:color="auto"/>
        <w:spacing w:before="30" w:after="30"/>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522358DD">
      <w:pPr>
        <w:widowControl/>
        <w:shd w:val="clear" w:color="auto"/>
        <w:spacing w:before="30" w:after="30"/>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本公司（单位）对上述声明内容的真实性负责。如有虚假，愿承担相应法律责任。</w:t>
      </w:r>
    </w:p>
    <w:p w14:paraId="4F9C4DF6">
      <w:pPr>
        <w:widowControl/>
        <w:shd w:val="clear" w:color="auto"/>
        <w:spacing w:before="30" w:after="3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p w14:paraId="4014AC93">
      <w:pPr>
        <w:widowControl/>
        <w:shd w:val="clear" w:color="auto"/>
        <w:spacing w:before="30" w:after="3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公司（单位）名称（盖章）：　        </w:t>
      </w:r>
    </w:p>
    <w:p w14:paraId="5D2535B2">
      <w:pPr>
        <w:widowControl/>
        <w:shd w:val="clear" w:color="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  日         </w:t>
      </w:r>
    </w:p>
    <w:p w14:paraId="15650999">
      <w:pPr>
        <w:widowControl/>
        <w:shd w:val="clear" w:color="auto"/>
        <w:spacing w:before="30" w:after="3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__________________</w:t>
      </w:r>
    </w:p>
    <w:p w14:paraId="3716CFAF">
      <w:pPr>
        <w:widowControl/>
        <w:shd w:val="clear" w:color="auto"/>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1.产品如有型号，请在“产品名称”栏一并填写。</w:t>
      </w:r>
    </w:p>
    <w:p w14:paraId="0788F145">
      <w:pPr>
        <w:widowControl/>
        <w:shd w:val="clear" w:color="auto"/>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2.生产厂名与厂址应与生产厂营业执照载明的相关信息保持一致。</w:t>
      </w:r>
    </w:p>
    <w:p w14:paraId="18077493">
      <w:pPr>
        <w:widowControl/>
        <w:shd w:val="clear" w:color="auto"/>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3.该产品的中国境内生产的组件成本占比相关要求实施前，“规定比例”栏可不填，下同。</w:t>
      </w:r>
    </w:p>
    <w:p w14:paraId="097FA7FE">
      <w:pPr>
        <w:widowControl/>
        <w:shd w:val="clear" w:color="auto"/>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4.该产品的关键组件要求实施前，“关键组件”栏可不填，下同。</w:t>
      </w:r>
    </w:p>
    <w:p w14:paraId="129D7A7A">
      <w:pPr>
        <w:widowControl/>
        <w:shd w:val="clear"/>
        <w:spacing w:before="100" w:beforeAutospacing="1" w:after="100" w:afterAutospacing="1" w:line="440" w:lineRule="exact"/>
        <w:ind w:firstLine="420"/>
        <w:jc w:val="left"/>
        <w:textAlignment w:val="top"/>
        <w:rPr>
          <w:rFonts w:hint="eastAsia" w:ascii="宋体" w:hAnsi="宋体" w:eastAsia="宋体" w:cs="宋体"/>
          <w:color w:val="auto"/>
          <w:szCs w:val="21"/>
          <w:highlight w:val="none"/>
        </w:rPr>
        <w:sectPr>
          <w:pgSz w:w="11906" w:h="16838"/>
          <w:pgMar w:top="1134" w:right="1247" w:bottom="1134" w:left="1247" w:header="851" w:footer="992" w:gutter="0"/>
          <w:pgNumType w:fmt="decimal"/>
          <w:cols w:space="720" w:num="1"/>
          <w:docGrid w:linePitch="312" w:charSpace="0"/>
        </w:sectPr>
      </w:pPr>
      <w:r>
        <w:rPr>
          <w:rFonts w:hint="eastAsia" w:ascii="宋体" w:hAnsi="宋体" w:eastAsia="宋体" w:cs="宋体"/>
          <w:color w:val="auto"/>
          <w:szCs w:val="21"/>
          <w:highlight w:val="none"/>
        </w:rPr>
        <w:t>5.该产品的关键工序要求实施前，“关键工序”栏可不填，下同。</w:t>
      </w:r>
    </w:p>
    <w:p w14:paraId="303BAF16">
      <w:pPr>
        <w:pStyle w:val="3"/>
        <w:spacing w:line="440" w:lineRule="exact"/>
        <w:jc w:val="center"/>
        <w:rPr>
          <w:rFonts w:ascii="宋体" w:hAnsi="宋体" w:cs="宋体"/>
          <w:color w:val="auto"/>
          <w:sz w:val="28"/>
          <w:szCs w:val="28"/>
          <w:highlight w:val="none"/>
        </w:rPr>
      </w:pPr>
      <w:bookmarkStart w:id="30" w:name="_Toc88747295"/>
      <w:r>
        <w:rPr>
          <w:rFonts w:hint="eastAsia" w:ascii="宋体" w:hAnsi="宋体" w:cs="宋体"/>
          <w:color w:val="auto"/>
          <w:sz w:val="28"/>
          <w:szCs w:val="28"/>
          <w:highlight w:val="none"/>
        </w:rPr>
        <w:t>第五章 合同主要条款</w:t>
      </w:r>
      <w:bookmarkEnd w:id="30"/>
    </w:p>
    <w:p w14:paraId="172069DF">
      <w:pPr>
        <w:spacing w:line="440" w:lineRule="exact"/>
        <w:rPr>
          <w:rFonts w:ascii="宋体" w:hAnsi="宋体" w:cs="宋体"/>
          <w:color w:val="auto"/>
          <w:sz w:val="24"/>
          <w:highlight w:val="none"/>
        </w:rPr>
      </w:pPr>
    </w:p>
    <w:p w14:paraId="1BF165A3">
      <w:pPr>
        <w:jc w:val="center"/>
        <w:rPr>
          <w:rFonts w:ascii="宋体" w:hAnsi="宋体" w:cs="宋体"/>
          <w:b/>
          <w:bCs/>
          <w:color w:val="auto"/>
          <w:sz w:val="52"/>
          <w:szCs w:val="52"/>
          <w:highlight w:val="none"/>
        </w:rPr>
      </w:pPr>
    </w:p>
    <w:p w14:paraId="7CB433BD">
      <w:pPr>
        <w:jc w:val="center"/>
        <w:rPr>
          <w:rFonts w:ascii="宋体" w:hAnsi="宋体" w:cs="宋体"/>
          <w:b/>
          <w:bCs/>
          <w:color w:val="auto"/>
          <w:sz w:val="52"/>
          <w:szCs w:val="52"/>
          <w:highlight w:val="none"/>
        </w:rPr>
      </w:pPr>
      <w:r>
        <w:rPr>
          <w:rFonts w:hint="eastAsia" w:ascii="宋体" w:hAnsi="宋体" w:cs="宋体"/>
          <w:b/>
          <w:bCs/>
          <w:color w:val="auto"/>
          <w:sz w:val="52"/>
          <w:szCs w:val="52"/>
          <w:highlight w:val="none"/>
        </w:rPr>
        <w:t xml:space="preserve"> </w:t>
      </w:r>
    </w:p>
    <w:p w14:paraId="4DB10E27">
      <w:pPr>
        <w:jc w:val="center"/>
        <w:rPr>
          <w:rFonts w:ascii="宋体" w:hAnsi="宋体" w:cs="宋体"/>
          <w:b/>
          <w:bCs/>
          <w:color w:val="auto"/>
          <w:sz w:val="52"/>
          <w:szCs w:val="52"/>
          <w:highlight w:val="none"/>
        </w:rPr>
      </w:pPr>
      <w:r>
        <w:rPr>
          <w:rFonts w:hint="eastAsia" w:ascii="宋体" w:hAnsi="宋体" w:cs="宋体"/>
          <w:b/>
          <w:bCs/>
          <w:color w:val="auto"/>
          <w:sz w:val="52"/>
          <w:szCs w:val="52"/>
          <w:highlight w:val="none"/>
        </w:rPr>
        <w:t>广西壮族自治区政府采购合同</w:t>
      </w:r>
    </w:p>
    <w:p w14:paraId="5A949FE0">
      <w:pPr>
        <w:rPr>
          <w:rFonts w:ascii="宋体" w:hAnsi="宋体" w:cs="宋体"/>
          <w:color w:val="auto"/>
          <w:szCs w:val="21"/>
          <w:highlight w:val="none"/>
        </w:rPr>
      </w:pPr>
      <w:r>
        <w:rPr>
          <w:rFonts w:hint="eastAsia" w:ascii="宋体" w:hAnsi="宋体" w:cs="宋体"/>
          <w:color w:val="auto"/>
          <w:highlight w:val="none"/>
        </w:rPr>
        <w:t xml:space="preserve"> </w:t>
      </w:r>
    </w:p>
    <w:p w14:paraId="5E934543">
      <w:pPr>
        <w:rPr>
          <w:rFonts w:ascii="宋体" w:hAnsi="宋体" w:cs="宋体"/>
          <w:color w:val="auto"/>
          <w:highlight w:val="none"/>
        </w:rPr>
      </w:pPr>
      <w:r>
        <w:rPr>
          <w:rFonts w:hint="eastAsia" w:ascii="宋体" w:hAnsi="宋体" w:cs="宋体"/>
          <w:color w:val="auto"/>
          <w:highlight w:val="none"/>
        </w:rPr>
        <w:t xml:space="preserve"> </w:t>
      </w:r>
    </w:p>
    <w:p w14:paraId="3B5E96A0">
      <w:pPr>
        <w:rPr>
          <w:rFonts w:ascii="宋体" w:hAnsi="宋体" w:cs="宋体"/>
          <w:color w:val="auto"/>
          <w:highlight w:val="none"/>
        </w:rPr>
      </w:pPr>
      <w:r>
        <w:rPr>
          <w:rFonts w:hint="eastAsia" w:ascii="宋体" w:hAnsi="宋体" w:cs="宋体"/>
          <w:color w:val="auto"/>
          <w:highlight w:val="none"/>
        </w:rPr>
        <w:t xml:space="preserve"> </w:t>
      </w:r>
    </w:p>
    <w:p w14:paraId="5A635227">
      <w:pPr>
        <w:rPr>
          <w:rFonts w:ascii="宋体" w:hAnsi="宋体" w:cs="宋体"/>
          <w:color w:val="auto"/>
          <w:highlight w:val="none"/>
        </w:rPr>
      </w:pPr>
      <w:r>
        <w:rPr>
          <w:rFonts w:hint="eastAsia" w:ascii="宋体" w:hAnsi="宋体" w:cs="宋体"/>
          <w:color w:val="auto"/>
          <w:highlight w:val="none"/>
        </w:rPr>
        <w:t xml:space="preserve"> </w:t>
      </w:r>
    </w:p>
    <w:p w14:paraId="0F5A280B">
      <w:pPr>
        <w:rPr>
          <w:rFonts w:ascii="宋体" w:hAnsi="宋体" w:cs="宋体"/>
          <w:color w:val="auto"/>
          <w:highlight w:val="none"/>
        </w:rPr>
      </w:pPr>
    </w:p>
    <w:p w14:paraId="47A9DEAA">
      <w:pPr>
        <w:rPr>
          <w:rFonts w:ascii="宋体" w:hAnsi="宋体" w:cs="宋体"/>
          <w:color w:val="auto"/>
          <w:highlight w:val="none"/>
        </w:rPr>
      </w:pPr>
      <w:r>
        <w:rPr>
          <w:rFonts w:hint="eastAsia" w:ascii="宋体" w:hAnsi="宋体" w:cs="宋体"/>
          <w:color w:val="auto"/>
          <w:highlight w:val="none"/>
        </w:rPr>
        <w:t xml:space="preserve"> </w:t>
      </w:r>
    </w:p>
    <w:p w14:paraId="6E3655E0">
      <w:pPr>
        <w:rPr>
          <w:rFonts w:ascii="宋体" w:hAnsi="宋体" w:cs="宋体"/>
          <w:color w:val="auto"/>
          <w:highlight w:val="none"/>
        </w:rPr>
      </w:pPr>
      <w:r>
        <w:rPr>
          <w:rFonts w:hint="eastAsia" w:ascii="宋体" w:hAnsi="宋体" w:cs="宋体"/>
          <w:color w:val="auto"/>
          <w:highlight w:val="none"/>
        </w:rPr>
        <w:t xml:space="preserve"> </w:t>
      </w:r>
    </w:p>
    <w:p w14:paraId="3C53F010">
      <w:pPr>
        <w:ind w:left="2456" w:hanging="1605"/>
        <w:rPr>
          <w:rFonts w:ascii="宋体" w:hAnsi="宋体" w:cs="宋体"/>
          <w:b/>
          <w:bCs/>
          <w:color w:val="auto"/>
          <w:sz w:val="32"/>
          <w:szCs w:val="32"/>
          <w:highlight w:val="none"/>
          <w:u w:val="single"/>
        </w:rPr>
      </w:pPr>
      <w:r>
        <w:rPr>
          <w:rFonts w:hint="eastAsia" w:ascii="宋体" w:hAnsi="宋体" w:cs="宋体"/>
          <w:b/>
          <w:bCs/>
          <w:color w:val="auto"/>
          <w:sz w:val="32"/>
          <w:szCs w:val="32"/>
          <w:highlight w:val="none"/>
        </w:rPr>
        <w:t>项目名称：</w:t>
      </w:r>
      <w:r>
        <w:rPr>
          <w:rFonts w:hint="eastAsia" w:ascii="宋体" w:hAnsi="宋体" w:cs="宋体"/>
          <w:b/>
          <w:bCs/>
          <w:color w:val="auto"/>
          <w:sz w:val="32"/>
          <w:szCs w:val="32"/>
          <w:highlight w:val="none"/>
          <w:u w:val="single"/>
        </w:rPr>
        <w:t xml:space="preserve">                          </w:t>
      </w:r>
    </w:p>
    <w:p w14:paraId="1E957A81">
      <w:pPr>
        <w:ind w:firstLine="851" w:firstLineChars="265"/>
        <w:rPr>
          <w:rFonts w:ascii="宋体" w:hAnsi="宋体" w:cs="宋体"/>
          <w:b/>
          <w:bCs/>
          <w:color w:val="auto"/>
          <w:sz w:val="32"/>
          <w:szCs w:val="32"/>
          <w:highlight w:val="none"/>
          <w:u w:val="single"/>
        </w:rPr>
      </w:pPr>
      <w:r>
        <w:rPr>
          <w:rFonts w:hint="eastAsia" w:ascii="宋体" w:hAnsi="宋体" w:cs="宋体"/>
          <w:b/>
          <w:bCs/>
          <w:color w:val="auto"/>
          <w:sz w:val="32"/>
          <w:szCs w:val="32"/>
          <w:highlight w:val="none"/>
        </w:rPr>
        <w:t>合同编号：</w:t>
      </w:r>
      <w:r>
        <w:rPr>
          <w:rFonts w:hint="eastAsia" w:ascii="宋体" w:hAnsi="宋体" w:cs="宋体"/>
          <w:b/>
          <w:bCs/>
          <w:color w:val="auto"/>
          <w:sz w:val="32"/>
          <w:szCs w:val="32"/>
          <w:highlight w:val="none"/>
          <w:u w:val="single"/>
        </w:rPr>
        <w:t xml:space="preserve">                          </w:t>
      </w:r>
    </w:p>
    <w:p w14:paraId="79EABA8E">
      <w:pPr>
        <w:ind w:firstLine="556" w:firstLineChars="265"/>
        <w:jc w:val="center"/>
        <w:rPr>
          <w:rFonts w:ascii="宋体" w:hAnsi="宋体" w:cs="宋体"/>
          <w:color w:val="auto"/>
          <w:szCs w:val="21"/>
          <w:highlight w:val="none"/>
        </w:rPr>
      </w:pPr>
      <w:r>
        <w:rPr>
          <w:rFonts w:hint="eastAsia" w:ascii="宋体" w:hAnsi="宋体" w:cs="宋体"/>
          <w:color w:val="auto"/>
          <w:highlight w:val="none"/>
        </w:rPr>
        <w:t xml:space="preserve"> </w:t>
      </w:r>
    </w:p>
    <w:p w14:paraId="0A83EB3C">
      <w:pPr>
        <w:ind w:firstLine="556" w:firstLineChars="265"/>
        <w:jc w:val="center"/>
        <w:rPr>
          <w:rFonts w:ascii="宋体" w:hAnsi="宋体" w:cs="宋体"/>
          <w:color w:val="auto"/>
          <w:highlight w:val="none"/>
        </w:rPr>
      </w:pPr>
      <w:r>
        <w:rPr>
          <w:rFonts w:hint="eastAsia" w:ascii="宋体" w:hAnsi="宋体" w:cs="宋体"/>
          <w:color w:val="auto"/>
          <w:highlight w:val="none"/>
        </w:rPr>
        <w:t xml:space="preserve"> </w:t>
      </w:r>
    </w:p>
    <w:p w14:paraId="4106430D">
      <w:pPr>
        <w:ind w:firstLine="556" w:firstLineChars="265"/>
        <w:jc w:val="center"/>
        <w:rPr>
          <w:rFonts w:ascii="宋体" w:hAnsi="宋体" w:cs="宋体"/>
          <w:color w:val="auto"/>
          <w:highlight w:val="none"/>
        </w:rPr>
      </w:pPr>
      <w:r>
        <w:rPr>
          <w:rFonts w:hint="eastAsia" w:ascii="宋体" w:hAnsi="宋体" w:cs="宋体"/>
          <w:color w:val="auto"/>
          <w:highlight w:val="none"/>
        </w:rPr>
        <w:t xml:space="preserve"> </w:t>
      </w:r>
    </w:p>
    <w:p w14:paraId="54ECF63B">
      <w:pPr>
        <w:ind w:firstLine="851" w:firstLineChars="265"/>
        <w:rPr>
          <w:rFonts w:ascii="宋体" w:hAnsi="宋体" w:cs="宋体"/>
          <w:b/>
          <w:bCs/>
          <w:color w:val="auto"/>
          <w:sz w:val="32"/>
          <w:szCs w:val="32"/>
          <w:highlight w:val="none"/>
          <w:u w:val="single"/>
        </w:rPr>
      </w:pPr>
      <w:r>
        <w:rPr>
          <w:rFonts w:hint="eastAsia" w:ascii="宋体" w:hAnsi="宋体" w:cs="宋体"/>
          <w:b/>
          <w:bCs/>
          <w:color w:val="auto"/>
          <w:sz w:val="32"/>
          <w:szCs w:val="32"/>
          <w:highlight w:val="none"/>
        </w:rPr>
        <w:t>采购单位（甲方）：</w:t>
      </w:r>
      <w:r>
        <w:rPr>
          <w:rFonts w:hint="eastAsia" w:ascii="宋体" w:hAnsi="宋体" w:cs="宋体"/>
          <w:b/>
          <w:bCs/>
          <w:color w:val="auto"/>
          <w:sz w:val="32"/>
          <w:szCs w:val="32"/>
          <w:highlight w:val="none"/>
          <w:u w:val="single"/>
        </w:rPr>
        <w:t xml:space="preserve"> </w:t>
      </w:r>
      <w:r>
        <w:rPr>
          <w:rFonts w:hint="eastAsia" w:ascii="宋体" w:hAnsi="宋体" w:cs="宋体"/>
          <w:b/>
          <w:bCs/>
          <w:color w:val="auto"/>
          <w:sz w:val="32"/>
          <w:szCs w:val="32"/>
          <w:highlight w:val="none"/>
          <w:u w:val="single"/>
          <w:lang w:eastAsia="zh-CN"/>
        </w:rPr>
        <w:t>广西农业职业技术大学</w:t>
      </w:r>
      <w:r>
        <w:rPr>
          <w:rFonts w:hint="eastAsia" w:ascii="宋体" w:hAnsi="宋体" w:cs="宋体"/>
          <w:b/>
          <w:bCs/>
          <w:color w:val="auto"/>
          <w:sz w:val="32"/>
          <w:szCs w:val="32"/>
          <w:highlight w:val="none"/>
          <w:u w:val="single"/>
        </w:rPr>
        <w:t xml:space="preserve">   </w:t>
      </w:r>
    </w:p>
    <w:p w14:paraId="18FB395F">
      <w:pPr>
        <w:ind w:firstLine="851" w:firstLineChars="265"/>
        <w:rPr>
          <w:rFonts w:ascii="宋体" w:hAnsi="宋体" w:cs="宋体"/>
          <w:b/>
          <w:bCs/>
          <w:color w:val="auto"/>
          <w:sz w:val="32"/>
          <w:szCs w:val="32"/>
          <w:highlight w:val="none"/>
        </w:rPr>
      </w:pPr>
      <w:r>
        <w:rPr>
          <w:rFonts w:hint="eastAsia" w:ascii="宋体" w:hAnsi="宋体" w:cs="宋体"/>
          <w:b/>
          <w:bCs/>
          <w:color w:val="auto"/>
          <w:sz w:val="32"/>
          <w:szCs w:val="32"/>
          <w:highlight w:val="none"/>
        </w:rPr>
        <w:t xml:space="preserve"> </w:t>
      </w:r>
    </w:p>
    <w:p w14:paraId="2C862364">
      <w:pPr>
        <w:ind w:firstLine="851" w:firstLineChars="265"/>
        <w:rPr>
          <w:rFonts w:ascii="宋体" w:hAnsi="宋体" w:cs="宋体"/>
          <w:b/>
          <w:bCs/>
          <w:color w:val="auto"/>
          <w:sz w:val="32"/>
          <w:szCs w:val="32"/>
          <w:highlight w:val="none"/>
          <w:u w:val="single"/>
        </w:rPr>
      </w:pPr>
      <w:r>
        <w:rPr>
          <w:rFonts w:hint="eastAsia" w:ascii="宋体" w:hAnsi="宋体" w:cs="宋体"/>
          <w:b/>
          <w:bCs/>
          <w:color w:val="auto"/>
          <w:sz w:val="32"/>
          <w:szCs w:val="32"/>
          <w:highlight w:val="none"/>
        </w:rPr>
        <w:t>供 应 商（乙方）：</w:t>
      </w:r>
      <w:r>
        <w:rPr>
          <w:rFonts w:hint="eastAsia" w:ascii="宋体" w:hAnsi="宋体" w:cs="宋体"/>
          <w:b/>
          <w:bCs/>
          <w:color w:val="auto"/>
          <w:sz w:val="32"/>
          <w:szCs w:val="32"/>
          <w:highlight w:val="none"/>
          <w:u w:val="single"/>
        </w:rPr>
        <w:t xml:space="preserve">                            </w:t>
      </w:r>
    </w:p>
    <w:p w14:paraId="039A4B11">
      <w:pPr>
        <w:ind w:firstLine="556" w:firstLineChars="265"/>
        <w:jc w:val="center"/>
        <w:rPr>
          <w:rFonts w:ascii="宋体" w:hAnsi="宋体" w:cs="宋体"/>
          <w:color w:val="auto"/>
          <w:szCs w:val="21"/>
          <w:highlight w:val="none"/>
        </w:rPr>
      </w:pPr>
      <w:r>
        <w:rPr>
          <w:rFonts w:hint="eastAsia" w:ascii="宋体" w:hAnsi="宋体" w:cs="宋体"/>
          <w:color w:val="auto"/>
          <w:highlight w:val="none"/>
        </w:rPr>
        <w:t xml:space="preserve"> </w:t>
      </w:r>
    </w:p>
    <w:p w14:paraId="71AAE02F">
      <w:pPr>
        <w:ind w:firstLine="556" w:firstLineChars="265"/>
        <w:jc w:val="center"/>
        <w:rPr>
          <w:rFonts w:ascii="宋体" w:hAnsi="宋体" w:cs="宋体"/>
          <w:color w:val="auto"/>
          <w:highlight w:val="none"/>
        </w:rPr>
      </w:pPr>
      <w:r>
        <w:rPr>
          <w:rFonts w:hint="eastAsia" w:ascii="宋体" w:hAnsi="宋体" w:cs="宋体"/>
          <w:color w:val="auto"/>
          <w:highlight w:val="none"/>
        </w:rPr>
        <w:t xml:space="preserve"> </w:t>
      </w:r>
    </w:p>
    <w:p w14:paraId="7BD4F72F">
      <w:pPr>
        <w:ind w:firstLine="556" w:firstLineChars="265"/>
        <w:jc w:val="center"/>
        <w:rPr>
          <w:rFonts w:ascii="宋体" w:hAnsi="宋体" w:cs="宋体"/>
          <w:color w:val="auto"/>
          <w:highlight w:val="none"/>
        </w:rPr>
      </w:pPr>
      <w:r>
        <w:rPr>
          <w:rFonts w:hint="eastAsia" w:ascii="宋体" w:hAnsi="宋体" w:cs="宋体"/>
          <w:color w:val="auto"/>
          <w:highlight w:val="none"/>
        </w:rPr>
        <w:t xml:space="preserve"> </w:t>
      </w:r>
    </w:p>
    <w:p w14:paraId="7DDAB32E">
      <w:pPr>
        <w:ind w:firstLine="742" w:firstLineChars="265"/>
        <w:jc w:val="center"/>
        <w:rPr>
          <w:rFonts w:ascii="宋体" w:hAnsi="宋体" w:cs="宋体"/>
          <w:color w:val="auto"/>
          <w:sz w:val="28"/>
          <w:szCs w:val="28"/>
          <w:highlight w:val="none"/>
        </w:rPr>
      </w:pPr>
      <w:r>
        <w:rPr>
          <w:rFonts w:hint="eastAsia" w:ascii="宋体" w:hAnsi="宋体" w:cs="宋体"/>
          <w:color w:val="auto"/>
          <w:sz w:val="28"/>
          <w:szCs w:val="28"/>
          <w:highlight w:val="none"/>
        </w:rPr>
        <w:t xml:space="preserve"> </w:t>
      </w:r>
    </w:p>
    <w:p w14:paraId="56673BBE">
      <w:pPr>
        <w:ind w:firstLine="851" w:firstLineChars="265"/>
        <w:rPr>
          <w:rFonts w:ascii="宋体" w:hAnsi="宋体" w:cs="宋体"/>
          <w:b/>
          <w:bCs/>
          <w:color w:val="auto"/>
          <w:sz w:val="32"/>
          <w:szCs w:val="32"/>
          <w:highlight w:val="none"/>
          <w:u w:val="single"/>
        </w:rPr>
      </w:pPr>
      <w:r>
        <w:rPr>
          <w:rFonts w:hint="eastAsia" w:ascii="宋体" w:hAnsi="宋体" w:cs="宋体"/>
          <w:b/>
          <w:bCs/>
          <w:color w:val="auto"/>
          <w:sz w:val="32"/>
          <w:szCs w:val="32"/>
          <w:highlight w:val="none"/>
        </w:rPr>
        <w:t>签订合同地点：</w:t>
      </w:r>
      <w:r>
        <w:rPr>
          <w:rFonts w:hint="eastAsia" w:ascii="宋体" w:hAnsi="宋体" w:cs="宋体"/>
          <w:b/>
          <w:bCs/>
          <w:color w:val="auto"/>
          <w:sz w:val="32"/>
          <w:szCs w:val="32"/>
          <w:highlight w:val="none"/>
          <w:u w:val="single"/>
        </w:rPr>
        <w:t xml:space="preserve">                                </w:t>
      </w:r>
    </w:p>
    <w:p w14:paraId="585A1C6C">
      <w:pPr>
        <w:ind w:firstLine="851" w:firstLineChars="265"/>
        <w:rPr>
          <w:rFonts w:ascii="宋体" w:hAnsi="宋体" w:cs="宋体"/>
          <w:b/>
          <w:bCs/>
          <w:color w:val="auto"/>
          <w:sz w:val="32"/>
          <w:szCs w:val="32"/>
          <w:highlight w:val="none"/>
        </w:rPr>
      </w:pPr>
    </w:p>
    <w:p w14:paraId="320A19AF">
      <w:pPr>
        <w:ind w:firstLine="851" w:firstLineChars="265"/>
        <w:rPr>
          <w:rFonts w:ascii="宋体" w:hAnsi="宋体" w:cs="宋体"/>
          <w:b/>
          <w:bCs/>
          <w:color w:val="auto"/>
          <w:sz w:val="32"/>
          <w:szCs w:val="32"/>
          <w:highlight w:val="none"/>
          <w:u w:val="single"/>
        </w:rPr>
      </w:pPr>
      <w:r>
        <w:rPr>
          <w:rFonts w:hint="eastAsia" w:ascii="宋体" w:hAnsi="宋体" w:cs="宋体"/>
          <w:b/>
          <w:bCs/>
          <w:color w:val="auto"/>
          <w:sz w:val="32"/>
          <w:szCs w:val="32"/>
          <w:highlight w:val="none"/>
        </w:rPr>
        <w:t>签订合同时间：</w:t>
      </w:r>
      <w:r>
        <w:rPr>
          <w:rFonts w:hint="eastAsia" w:ascii="宋体" w:hAnsi="宋体" w:cs="宋体"/>
          <w:b/>
          <w:bCs/>
          <w:color w:val="auto"/>
          <w:sz w:val="32"/>
          <w:szCs w:val="32"/>
          <w:highlight w:val="none"/>
          <w:u w:val="single"/>
        </w:rPr>
        <w:t xml:space="preserve">                                </w:t>
      </w:r>
    </w:p>
    <w:p w14:paraId="2E962AB7">
      <w:pPr>
        <w:jc w:val="center"/>
        <w:rPr>
          <w:rFonts w:ascii="宋体" w:hAnsi="宋体" w:cs="宋体"/>
          <w:color w:val="auto"/>
          <w:szCs w:val="21"/>
          <w:highlight w:val="none"/>
        </w:rPr>
      </w:pPr>
      <w:r>
        <w:rPr>
          <w:rFonts w:hint="eastAsia" w:ascii="宋体" w:hAnsi="宋体" w:cs="宋体"/>
          <w:color w:val="auto"/>
          <w:highlight w:val="none"/>
        </w:rPr>
        <w:t xml:space="preserve"> </w:t>
      </w:r>
    </w:p>
    <w:p w14:paraId="41122085">
      <w:pPr>
        <w:jc w:val="center"/>
        <w:rPr>
          <w:rFonts w:ascii="宋体" w:hAnsi="宋体" w:cs="宋体"/>
          <w:color w:val="auto"/>
          <w:highlight w:val="none"/>
        </w:rPr>
      </w:pPr>
      <w:r>
        <w:rPr>
          <w:rFonts w:hint="eastAsia" w:ascii="宋体" w:hAnsi="宋体" w:cs="宋体"/>
          <w:color w:val="auto"/>
          <w:highlight w:val="none"/>
        </w:rPr>
        <w:t xml:space="preserve"> </w:t>
      </w:r>
    </w:p>
    <w:p w14:paraId="5093CCF8">
      <w:pPr>
        <w:jc w:val="center"/>
        <w:rPr>
          <w:rFonts w:ascii="宋体" w:hAnsi="宋体" w:cs="宋体"/>
          <w:color w:val="auto"/>
          <w:highlight w:val="none"/>
        </w:rPr>
      </w:pPr>
      <w:r>
        <w:rPr>
          <w:rFonts w:hint="eastAsia" w:ascii="宋体" w:hAnsi="宋体" w:cs="宋体"/>
          <w:color w:val="auto"/>
          <w:highlight w:val="none"/>
        </w:rPr>
        <w:t xml:space="preserve"> </w:t>
      </w:r>
    </w:p>
    <w:p w14:paraId="6894A20F">
      <w:pPr>
        <w:jc w:val="center"/>
        <w:rPr>
          <w:rFonts w:ascii="宋体" w:hAnsi="宋体" w:cs="宋体"/>
          <w:color w:val="auto"/>
          <w:highlight w:val="none"/>
        </w:rPr>
      </w:pPr>
      <w:r>
        <w:rPr>
          <w:rFonts w:hint="eastAsia" w:ascii="宋体" w:hAnsi="宋体" w:cs="宋体"/>
          <w:color w:val="auto"/>
          <w:highlight w:val="none"/>
        </w:rPr>
        <w:t xml:space="preserve"> </w:t>
      </w:r>
    </w:p>
    <w:p w14:paraId="2B7A45C2">
      <w:pPr>
        <w:jc w:val="center"/>
        <w:rPr>
          <w:rFonts w:ascii="宋体" w:hAnsi="宋体" w:cs="宋体"/>
          <w:color w:val="auto"/>
          <w:highlight w:val="none"/>
        </w:rPr>
      </w:pPr>
      <w:r>
        <w:rPr>
          <w:rFonts w:hint="eastAsia" w:ascii="宋体" w:hAnsi="宋体" w:cs="宋体"/>
          <w:color w:val="auto"/>
          <w:highlight w:val="none"/>
        </w:rPr>
        <w:t xml:space="preserve"> </w:t>
      </w:r>
    </w:p>
    <w:p w14:paraId="6DCA521A">
      <w:pPr>
        <w:jc w:val="center"/>
        <w:rPr>
          <w:rFonts w:ascii="宋体" w:hAnsi="宋体" w:cs="宋体"/>
          <w:color w:val="auto"/>
          <w:highlight w:val="none"/>
        </w:rPr>
      </w:pPr>
      <w:r>
        <w:rPr>
          <w:rFonts w:hint="eastAsia" w:ascii="宋体" w:hAnsi="宋体" w:cs="宋体"/>
          <w:color w:val="auto"/>
          <w:highlight w:val="none"/>
        </w:rPr>
        <w:br w:type="page"/>
      </w:r>
    </w:p>
    <w:p w14:paraId="36952A65">
      <w:pPr>
        <w:spacing w:line="300" w:lineRule="auto"/>
        <w:jc w:val="center"/>
        <w:rPr>
          <w:rFonts w:ascii="宋体" w:hAnsi="宋体" w:cs="宋体"/>
          <w:color w:val="auto"/>
          <w:highlight w:val="none"/>
        </w:rPr>
      </w:pPr>
      <w:r>
        <w:rPr>
          <w:rFonts w:hint="eastAsia" w:ascii="宋体" w:hAnsi="宋体" w:cs="宋体"/>
          <w:color w:val="auto"/>
          <w:highlight w:val="none"/>
        </w:rPr>
        <w:t xml:space="preserve"> </w:t>
      </w:r>
    </w:p>
    <w:p w14:paraId="4FC72FE6">
      <w:pPr>
        <w:snapToGrid w:val="0"/>
        <w:spacing w:line="36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广西壮族自治区政府采购合同</w:t>
      </w:r>
    </w:p>
    <w:p w14:paraId="6F2023B9">
      <w:pPr>
        <w:snapToGrid w:val="0"/>
        <w:spacing w:line="360" w:lineRule="exact"/>
        <w:jc w:val="center"/>
        <w:rPr>
          <w:rFonts w:ascii="宋体" w:hAnsi="宋体" w:cs="宋体"/>
          <w:color w:val="auto"/>
          <w:szCs w:val="21"/>
          <w:highlight w:val="none"/>
        </w:rPr>
      </w:pPr>
      <w:r>
        <w:rPr>
          <w:rFonts w:hint="eastAsia" w:ascii="宋体" w:hAnsi="宋体" w:cs="宋体"/>
          <w:color w:val="auto"/>
          <w:highlight w:val="none"/>
        </w:rPr>
        <w:t xml:space="preserve"> </w:t>
      </w:r>
    </w:p>
    <w:p w14:paraId="26A28BEC">
      <w:pPr>
        <w:pStyle w:val="20"/>
        <w:spacing w:after="0" w:line="360" w:lineRule="auto"/>
        <w:ind w:firstLine="444" w:firstLineChars="200"/>
        <w:rPr>
          <w:rFonts w:ascii="宋体" w:hAnsi="宋体" w:cs="宋体"/>
          <w:color w:val="auto"/>
          <w:szCs w:val="21"/>
          <w:highlight w:val="none"/>
        </w:rPr>
      </w:pPr>
      <w:r>
        <w:rPr>
          <w:rFonts w:hint="eastAsia" w:ascii="宋体" w:hAnsi="宋体" w:cs="宋体"/>
          <w:color w:val="auto"/>
          <w:spacing w:val="6"/>
          <w:szCs w:val="21"/>
          <w:highlight w:val="none"/>
        </w:rPr>
        <w:t>采购计划号：</w:t>
      </w:r>
      <w:r>
        <w:rPr>
          <w:rFonts w:hint="eastAsia" w:ascii="宋体" w:hAnsi="宋体" w:cs="宋体"/>
          <w:color w:val="auto"/>
          <w:spacing w:val="6"/>
          <w:szCs w:val="21"/>
          <w:highlight w:val="none"/>
          <w:u w:val="single"/>
        </w:rPr>
        <w:t xml:space="preserve">                     </w:t>
      </w:r>
      <w:r>
        <w:rPr>
          <w:rFonts w:hint="eastAsia" w:ascii="宋体" w:hAnsi="宋体" w:cs="宋体"/>
          <w:color w:val="auto"/>
          <w:spacing w:val="5"/>
          <w:szCs w:val="21"/>
          <w:highlight w:val="none"/>
          <w:u w:val="single"/>
        </w:rPr>
        <w:t xml:space="preserve">    </w:t>
      </w:r>
      <w:r>
        <w:rPr>
          <w:rFonts w:hint="eastAsia" w:ascii="宋体" w:hAnsi="宋体" w:cs="宋体"/>
          <w:color w:val="auto"/>
          <w:spacing w:val="5"/>
          <w:szCs w:val="21"/>
          <w:highlight w:val="none"/>
        </w:rPr>
        <w:t xml:space="preserve">   合同编号：</w:t>
      </w:r>
      <w:r>
        <w:rPr>
          <w:rFonts w:hint="eastAsia" w:ascii="宋体" w:hAnsi="宋体" w:cs="宋体"/>
          <w:color w:val="auto"/>
          <w:spacing w:val="5"/>
          <w:szCs w:val="21"/>
          <w:highlight w:val="none"/>
          <w:u w:val="single"/>
        </w:rPr>
        <w:t xml:space="preserve">                          </w:t>
      </w:r>
    </w:p>
    <w:p w14:paraId="38B5221F">
      <w:pPr>
        <w:pStyle w:val="20"/>
        <w:spacing w:after="0" w:line="360" w:lineRule="auto"/>
        <w:ind w:firstLine="452" w:firstLineChars="200"/>
        <w:rPr>
          <w:rFonts w:ascii="宋体" w:hAnsi="宋体" w:cs="宋体"/>
          <w:color w:val="auto"/>
          <w:szCs w:val="21"/>
          <w:highlight w:val="none"/>
        </w:rPr>
      </w:pPr>
      <w:r>
        <w:rPr>
          <w:rFonts w:hint="eastAsia" w:ascii="宋体" w:hAnsi="宋体" w:cs="宋体"/>
          <w:color w:val="auto"/>
          <w:spacing w:val="8"/>
          <w:szCs w:val="21"/>
          <w:highlight w:val="none"/>
        </w:rPr>
        <w:t>采购人（甲方</w:t>
      </w:r>
      <w:r>
        <w:rPr>
          <w:rFonts w:hint="eastAsia" w:ascii="宋体" w:hAnsi="宋体" w:cs="宋体"/>
          <w:color w:val="auto"/>
          <w:spacing w:val="11"/>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pacing w:val="10"/>
          <w:szCs w:val="21"/>
          <w:highlight w:val="none"/>
        </w:rPr>
        <w:t xml:space="preserve">   </w:t>
      </w:r>
      <w:r>
        <w:rPr>
          <w:rFonts w:hint="eastAsia" w:ascii="宋体" w:hAnsi="宋体" w:cs="宋体"/>
          <w:color w:val="auto"/>
          <w:spacing w:val="8"/>
          <w:szCs w:val="21"/>
          <w:highlight w:val="none"/>
        </w:rPr>
        <w:t>供应商（乙方</w:t>
      </w:r>
      <w:r>
        <w:rPr>
          <w:rFonts w:hint="eastAsia" w:ascii="宋体" w:hAnsi="宋体" w:cs="宋体"/>
          <w:color w:val="auto"/>
          <w:spacing w:val="11"/>
          <w:szCs w:val="21"/>
          <w:highlight w:val="none"/>
        </w:rPr>
        <w:t>）：</w:t>
      </w:r>
      <w:r>
        <w:rPr>
          <w:rFonts w:hint="eastAsia" w:ascii="宋体" w:hAnsi="宋体" w:cs="宋体"/>
          <w:color w:val="auto"/>
          <w:szCs w:val="21"/>
          <w:highlight w:val="none"/>
          <w:u w:val="single"/>
        </w:rPr>
        <w:t xml:space="preserve">                       </w:t>
      </w:r>
    </w:p>
    <w:p w14:paraId="6090088A">
      <w:pPr>
        <w:pStyle w:val="20"/>
        <w:spacing w:after="0" w:line="360" w:lineRule="auto"/>
        <w:ind w:firstLine="436" w:firstLineChars="200"/>
        <w:rPr>
          <w:rFonts w:ascii="宋体" w:hAnsi="宋体" w:cs="宋体"/>
          <w:color w:val="auto"/>
          <w:szCs w:val="21"/>
          <w:highlight w:val="none"/>
        </w:rPr>
      </w:pPr>
      <w:r>
        <w:rPr>
          <w:rFonts w:hint="eastAsia" w:ascii="宋体" w:hAnsi="宋体" w:cs="宋体"/>
          <w:color w:val="auto"/>
          <w:spacing w:val="4"/>
          <w:szCs w:val="21"/>
          <w:highlight w:val="none"/>
        </w:rPr>
        <w:t>项目名称：</w:t>
      </w:r>
      <w:r>
        <w:rPr>
          <w:rFonts w:hint="eastAsia" w:ascii="宋体" w:hAnsi="宋体" w:cs="宋体"/>
          <w:color w:val="auto"/>
          <w:spacing w:val="4"/>
          <w:szCs w:val="21"/>
          <w:highlight w:val="none"/>
          <w:u w:val="single"/>
        </w:rPr>
        <w:t xml:space="preserve">                           </w:t>
      </w:r>
      <w:r>
        <w:rPr>
          <w:rFonts w:hint="eastAsia" w:ascii="宋体" w:hAnsi="宋体" w:cs="宋体"/>
          <w:color w:val="auto"/>
          <w:spacing w:val="4"/>
          <w:szCs w:val="21"/>
          <w:highlight w:val="none"/>
        </w:rPr>
        <w:t xml:space="preserve">   项目编号：</w:t>
      </w:r>
      <w:r>
        <w:rPr>
          <w:rFonts w:hint="eastAsia" w:ascii="宋体" w:hAnsi="宋体" w:cs="宋体"/>
          <w:color w:val="auto"/>
          <w:spacing w:val="4"/>
          <w:szCs w:val="21"/>
          <w:highlight w:val="none"/>
          <w:u w:val="single"/>
        </w:rPr>
        <w:t xml:space="preserve">                            </w:t>
      </w:r>
    </w:p>
    <w:p w14:paraId="7202374C">
      <w:pPr>
        <w:pStyle w:val="20"/>
        <w:spacing w:after="0" w:line="360" w:lineRule="auto"/>
        <w:ind w:firstLine="436" w:firstLineChars="200"/>
        <w:rPr>
          <w:rFonts w:ascii="宋体" w:hAnsi="宋体" w:cs="宋体"/>
          <w:color w:val="auto"/>
          <w:szCs w:val="21"/>
          <w:highlight w:val="none"/>
        </w:rPr>
      </w:pPr>
      <w:r>
        <w:rPr>
          <w:rFonts w:hint="eastAsia" w:ascii="宋体" w:hAnsi="宋体" w:cs="宋体"/>
          <w:color w:val="auto"/>
          <w:spacing w:val="4"/>
          <w:szCs w:val="21"/>
          <w:highlight w:val="none"/>
        </w:rPr>
        <w:t>签订地点：</w:t>
      </w:r>
      <w:r>
        <w:rPr>
          <w:rFonts w:hint="eastAsia" w:ascii="宋体" w:hAnsi="宋体" w:cs="宋体"/>
          <w:color w:val="auto"/>
          <w:spacing w:val="4"/>
          <w:szCs w:val="21"/>
          <w:highlight w:val="none"/>
          <w:u w:val="single"/>
        </w:rPr>
        <w:t xml:space="preserve">                           </w:t>
      </w:r>
      <w:r>
        <w:rPr>
          <w:rFonts w:hint="eastAsia" w:ascii="宋体" w:hAnsi="宋体" w:cs="宋体"/>
          <w:color w:val="auto"/>
          <w:spacing w:val="4"/>
          <w:szCs w:val="21"/>
          <w:highlight w:val="none"/>
        </w:rPr>
        <w:t xml:space="preserve">   签订时间：</w:t>
      </w:r>
      <w:r>
        <w:rPr>
          <w:rFonts w:hint="eastAsia" w:ascii="宋体" w:hAnsi="宋体" w:cs="宋体"/>
          <w:color w:val="auto"/>
          <w:spacing w:val="4"/>
          <w:szCs w:val="21"/>
          <w:highlight w:val="none"/>
          <w:u w:val="single"/>
        </w:rPr>
        <w:t xml:space="preserve">                            </w:t>
      </w:r>
    </w:p>
    <w:p w14:paraId="5A8A5442">
      <w:pPr>
        <w:pStyle w:val="20"/>
        <w:spacing w:after="0" w:line="360" w:lineRule="auto"/>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本合同为中小企业预留合同：（是/否）。</w:t>
      </w:r>
    </w:p>
    <w:p w14:paraId="7AFB872F">
      <w:pPr>
        <w:pStyle w:val="20"/>
        <w:spacing w:after="0" w:line="360" w:lineRule="auto"/>
        <w:ind w:firstLine="452" w:firstLineChars="200"/>
        <w:jc w:val="right"/>
        <w:rPr>
          <w:rFonts w:hint="eastAsia" w:ascii="宋体" w:hAnsi="宋体" w:cs="宋体"/>
          <w:color w:val="auto"/>
          <w:spacing w:val="8"/>
          <w:szCs w:val="21"/>
          <w:highlight w:val="none"/>
        </w:rPr>
      </w:pPr>
    </w:p>
    <w:p w14:paraId="6287244B">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根据《中华人民共和国政府采购法》《中华人民共和国民法典》等法律法规规定，按照采购文件规定条款和</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承诺，甲乙双方签订本合同。</w:t>
      </w:r>
    </w:p>
    <w:p w14:paraId="51FEBF78">
      <w:pPr>
        <w:spacing w:line="500" w:lineRule="exact"/>
        <w:ind w:firstLine="422" w:firstLineChars="200"/>
        <w:rPr>
          <w:rFonts w:hint="eastAsia" w:ascii="宋体" w:hAnsi="宋体" w:cs="宋体"/>
          <w:b/>
          <w:color w:val="auto"/>
          <w:szCs w:val="21"/>
        </w:rPr>
      </w:pPr>
      <w:r>
        <w:rPr>
          <w:rFonts w:hint="eastAsia" w:ascii="宋体" w:hAnsi="宋体" w:cs="宋体"/>
          <w:b/>
          <w:color w:val="auto"/>
          <w:szCs w:val="21"/>
        </w:rPr>
        <w:t>第一条　合同标的</w:t>
      </w:r>
    </w:p>
    <w:p w14:paraId="0BC167C9">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1、项目一览表</w:t>
      </w:r>
    </w:p>
    <w:tbl>
      <w:tblPr>
        <w:tblStyle w:val="41"/>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14:paraId="4B38E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2A61A5FB">
            <w:pPr>
              <w:spacing w:line="500" w:lineRule="exact"/>
              <w:jc w:val="center"/>
              <w:rPr>
                <w:rFonts w:ascii="宋体" w:hAnsi="宋体" w:cs="宋体"/>
                <w:color w:val="auto"/>
                <w:szCs w:val="21"/>
              </w:rPr>
            </w:pPr>
            <w:r>
              <w:rPr>
                <w:rFonts w:hint="eastAsia" w:ascii="宋体" w:hAnsi="宋体" w:cs="宋体"/>
                <w:color w:val="auto"/>
                <w:szCs w:val="21"/>
              </w:rPr>
              <w:t>序号</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5AD71EC7">
            <w:pPr>
              <w:spacing w:line="500" w:lineRule="exact"/>
              <w:jc w:val="center"/>
              <w:rPr>
                <w:rFonts w:ascii="宋体" w:hAnsi="宋体" w:cs="宋体"/>
                <w:color w:val="auto"/>
                <w:szCs w:val="21"/>
              </w:rPr>
            </w:pPr>
            <w:r>
              <w:rPr>
                <w:rFonts w:hint="eastAsia" w:ascii="宋体" w:hAnsi="宋体" w:cs="宋体"/>
                <w:color w:val="auto"/>
                <w:szCs w:val="21"/>
              </w:rPr>
              <w:t>名称</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70B8164A">
            <w:pPr>
              <w:spacing w:line="500" w:lineRule="exact"/>
              <w:jc w:val="center"/>
              <w:rPr>
                <w:rFonts w:ascii="宋体" w:hAnsi="宋体" w:cs="宋体"/>
                <w:color w:val="auto"/>
                <w:szCs w:val="21"/>
              </w:rPr>
            </w:pPr>
            <w:r>
              <w:rPr>
                <w:rFonts w:hint="eastAsia" w:ascii="宋体" w:hAnsi="宋体" w:cs="宋体"/>
                <w:color w:val="auto"/>
                <w:szCs w:val="21"/>
              </w:rPr>
              <w:t>服务内容</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B40E9DE">
            <w:pPr>
              <w:spacing w:line="500" w:lineRule="exact"/>
              <w:jc w:val="center"/>
              <w:rPr>
                <w:rFonts w:ascii="宋体" w:hAnsi="宋体" w:cs="宋体"/>
                <w:color w:val="auto"/>
                <w:szCs w:val="21"/>
              </w:rPr>
            </w:pPr>
            <w:r>
              <w:rPr>
                <w:rFonts w:hint="eastAsia" w:ascii="宋体" w:hAnsi="宋体" w:cs="宋体"/>
                <w:color w:val="auto"/>
                <w:szCs w:val="21"/>
              </w:rPr>
              <w:t>数量</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E27B142">
            <w:pPr>
              <w:spacing w:line="500" w:lineRule="exact"/>
              <w:jc w:val="center"/>
              <w:rPr>
                <w:rFonts w:ascii="宋体" w:hAnsi="宋体" w:cs="宋体"/>
                <w:color w:val="auto"/>
                <w:szCs w:val="21"/>
              </w:rPr>
            </w:pPr>
            <w:r>
              <w:rPr>
                <w:rFonts w:hint="eastAsia" w:ascii="宋体" w:hAnsi="宋体" w:cs="宋体"/>
                <w:color w:val="auto"/>
                <w:szCs w:val="21"/>
              </w:rPr>
              <w:t>单位</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22A2122C">
            <w:pPr>
              <w:spacing w:line="500" w:lineRule="exact"/>
              <w:jc w:val="center"/>
              <w:rPr>
                <w:rFonts w:ascii="宋体" w:hAnsi="宋体" w:cs="宋体"/>
                <w:color w:val="auto"/>
                <w:szCs w:val="21"/>
              </w:rPr>
            </w:pPr>
            <w:r>
              <w:rPr>
                <w:rFonts w:hint="eastAsia" w:ascii="宋体" w:hAnsi="宋体" w:cs="宋体"/>
                <w:color w:val="auto"/>
                <w:szCs w:val="21"/>
              </w:rPr>
              <w:t>单价（元）</w:t>
            </w:r>
          </w:p>
        </w:tc>
        <w:tc>
          <w:tcPr>
            <w:tcW w:w="1207" w:type="dxa"/>
            <w:tcBorders>
              <w:top w:val="single" w:color="auto" w:sz="4" w:space="0"/>
              <w:left w:val="single" w:color="auto" w:sz="4" w:space="0"/>
              <w:bottom w:val="single" w:color="auto" w:sz="4" w:space="0"/>
              <w:right w:val="single" w:color="auto" w:sz="4" w:space="0"/>
            </w:tcBorders>
            <w:noWrap w:val="0"/>
            <w:vAlign w:val="center"/>
          </w:tcPr>
          <w:p w14:paraId="508987DA">
            <w:pPr>
              <w:spacing w:line="500" w:lineRule="exact"/>
              <w:jc w:val="center"/>
              <w:rPr>
                <w:rFonts w:ascii="宋体" w:hAnsi="宋体" w:cs="宋体"/>
                <w:color w:val="auto"/>
                <w:szCs w:val="21"/>
              </w:rPr>
            </w:pPr>
            <w:r>
              <w:rPr>
                <w:rFonts w:hint="eastAsia" w:ascii="宋体" w:hAnsi="宋体" w:cs="宋体"/>
                <w:color w:val="auto"/>
                <w:szCs w:val="21"/>
              </w:rPr>
              <w:t>总价（元）</w:t>
            </w:r>
          </w:p>
        </w:tc>
      </w:tr>
      <w:tr w14:paraId="50939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55EDE888">
            <w:pPr>
              <w:spacing w:line="500" w:lineRule="exact"/>
              <w:jc w:val="center"/>
              <w:rPr>
                <w:rFonts w:hint="eastAsia" w:ascii="宋体" w:hAnsi="宋体" w:cs="宋体"/>
                <w:color w:val="auto"/>
                <w:szCs w:val="21"/>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2A77B93B">
            <w:pPr>
              <w:spacing w:line="500" w:lineRule="exact"/>
              <w:jc w:val="center"/>
              <w:rPr>
                <w:rFonts w:hint="eastAsia" w:ascii="宋体" w:hAnsi="宋体" w:cs="宋体"/>
                <w:color w:val="auto"/>
                <w:szCs w:val="21"/>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14:paraId="2E22E861">
            <w:pPr>
              <w:spacing w:line="500" w:lineRule="exact"/>
              <w:jc w:val="center"/>
              <w:rPr>
                <w:rFonts w:hint="eastAsia" w:ascii="宋体" w:hAnsi="宋体" w:cs="宋体"/>
                <w:color w:val="auto"/>
                <w:szCs w:val="21"/>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BAB90DB">
            <w:pPr>
              <w:spacing w:line="500" w:lineRule="exact"/>
              <w:jc w:val="center"/>
              <w:rPr>
                <w:rFonts w:hint="eastAsia" w:ascii="宋体" w:hAnsi="宋体" w:cs="宋体"/>
                <w:color w:val="auto"/>
                <w:szCs w:val="21"/>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54273C7">
            <w:pPr>
              <w:spacing w:line="500" w:lineRule="exact"/>
              <w:jc w:val="center"/>
              <w:rPr>
                <w:rFonts w:hint="eastAsia" w:ascii="宋体" w:hAnsi="宋体" w:cs="宋体"/>
                <w:color w:val="auto"/>
                <w:szCs w:val="21"/>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57626B00">
            <w:pPr>
              <w:spacing w:line="500" w:lineRule="exact"/>
              <w:jc w:val="center"/>
              <w:rPr>
                <w:rFonts w:hint="eastAsia" w:ascii="宋体" w:hAnsi="宋体" w:cs="宋体"/>
                <w:color w:val="auto"/>
                <w:szCs w:val="21"/>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568F30F1">
            <w:pPr>
              <w:spacing w:line="500" w:lineRule="exact"/>
              <w:jc w:val="center"/>
              <w:rPr>
                <w:rFonts w:hint="eastAsia" w:ascii="宋体" w:hAnsi="宋体" w:cs="宋体"/>
                <w:color w:val="auto"/>
                <w:szCs w:val="21"/>
              </w:rPr>
            </w:pPr>
          </w:p>
        </w:tc>
      </w:tr>
      <w:tr w14:paraId="66097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noWrap w:val="0"/>
            <w:vAlign w:val="center"/>
          </w:tcPr>
          <w:p w14:paraId="2A680F26">
            <w:pPr>
              <w:spacing w:line="500" w:lineRule="exact"/>
              <w:rPr>
                <w:rFonts w:ascii="宋体" w:hAnsi="宋体" w:cs="宋体"/>
                <w:color w:val="auto"/>
                <w:szCs w:val="21"/>
              </w:rPr>
            </w:pPr>
            <w:r>
              <w:rPr>
                <w:rFonts w:hint="eastAsia" w:ascii="宋体" w:hAnsi="宋体" w:cs="宋体"/>
                <w:color w:val="auto"/>
                <w:szCs w:val="21"/>
              </w:rPr>
              <w:t>人民币合计金额（大写）：</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rPr>
              <w:t>元整（¥</w:t>
            </w:r>
            <w:r>
              <w:rPr>
                <w:rFonts w:ascii="宋体" w:hAnsi="宋体" w:cs="宋体"/>
                <w:color w:val="auto"/>
                <w:szCs w:val="21"/>
                <w:u w:val="single"/>
              </w:rPr>
              <w:t xml:space="preserve">           </w:t>
            </w:r>
            <w:r>
              <w:rPr>
                <w:rFonts w:hint="eastAsia" w:ascii="宋体" w:hAnsi="宋体" w:cs="宋体"/>
                <w:color w:val="auto"/>
                <w:szCs w:val="21"/>
              </w:rPr>
              <w:t xml:space="preserve">）              </w:t>
            </w:r>
          </w:p>
        </w:tc>
      </w:tr>
    </w:tbl>
    <w:p w14:paraId="6EA255D8">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2、合同合计金额包括但不限于满足本次</w:t>
      </w:r>
      <w:r>
        <w:rPr>
          <w:rFonts w:hint="eastAsia" w:ascii="宋体" w:hAnsi="宋体" w:cs="宋体"/>
          <w:color w:val="auto"/>
          <w:szCs w:val="21"/>
          <w:lang w:eastAsia="zh-CN"/>
        </w:rPr>
        <w:t>竞标</w:t>
      </w:r>
      <w:r>
        <w:rPr>
          <w:rFonts w:hint="eastAsia" w:ascii="宋体" w:hAnsi="宋体" w:cs="宋体"/>
          <w:color w:val="auto"/>
          <w:szCs w:val="21"/>
        </w:rPr>
        <w:t>全部采购需求所应提供的服务，以及伴随的货物和工程（如有）的价格；包含</w:t>
      </w:r>
      <w:r>
        <w:rPr>
          <w:rFonts w:hint="eastAsia" w:ascii="宋体" w:hAnsi="宋体" w:cs="宋体"/>
          <w:color w:val="auto"/>
          <w:szCs w:val="21"/>
          <w:lang w:eastAsia="zh-CN"/>
        </w:rPr>
        <w:t>竞标</w:t>
      </w:r>
      <w:r>
        <w:rPr>
          <w:rFonts w:hint="eastAsia" w:ascii="宋体" w:hAnsi="宋体" w:cs="宋体"/>
          <w:color w:val="auto"/>
          <w:szCs w:val="21"/>
        </w:rPr>
        <w:t>服务、货物、工程的成本、运输（含保险）、安装（如有）、调试、检验、技术服务、培训、税费等所有费用。如</w:t>
      </w:r>
      <w:r>
        <w:rPr>
          <w:rFonts w:hint="eastAsia" w:ascii="宋体" w:hAnsi="宋体" w:cs="宋体"/>
          <w:color w:val="auto"/>
          <w:szCs w:val="21"/>
          <w:lang w:eastAsia="zh-CN"/>
        </w:rPr>
        <w:t>磋商采购文件</w:t>
      </w:r>
      <w:r>
        <w:rPr>
          <w:rFonts w:hint="eastAsia" w:ascii="宋体" w:hAnsi="宋体" w:cs="宋体"/>
          <w:color w:val="auto"/>
          <w:szCs w:val="21"/>
        </w:rPr>
        <w:t>对其另有规定的，从其规定。</w:t>
      </w:r>
    </w:p>
    <w:p w14:paraId="5B300D96">
      <w:pPr>
        <w:spacing w:line="500" w:lineRule="exact"/>
        <w:ind w:firstLine="422" w:firstLineChars="200"/>
        <w:rPr>
          <w:rFonts w:hint="eastAsia" w:ascii="宋体" w:hAnsi="宋体" w:cs="宋体"/>
          <w:b/>
          <w:color w:val="auto"/>
          <w:szCs w:val="21"/>
        </w:rPr>
      </w:pPr>
      <w:r>
        <w:rPr>
          <w:rFonts w:hint="eastAsia" w:ascii="宋体" w:hAnsi="宋体" w:cs="宋体"/>
          <w:b/>
          <w:color w:val="auto"/>
          <w:szCs w:val="21"/>
        </w:rPr>
        <w:t>第二条　质量保证</w:t>
      </w:r>
    </w:p>
    <w:p w14:paraId="532F8AC8">
      <w:pPr>
        <w:snapToGrid w:val="0"/>
        <w:spacing w:line="500" w:lineRule="exact"/>
        <w:ind w:firstLine="420" w:firstLineChars="200"/>
        <w:rPr>
          <w:rFonts w:hint="eastAsia" w:ascii="宋体" w:hAnsi="宋体" w:cs="宋体"/>
          <w:color w:val="auto"/>
          <w:szCs w:val="21"/>
        </w:rPr>
      </w:pPr>
      <w:r>
        <w:rPr>
          <w:rFonts w:hint="eastAsia" w:ascii="宋体" w:hAnsi="宋体" w:cs="宋体"/>
          <w:color w:val="auto"/>
          <w:szCs w:val="21"/>
        </w:rPr>
        <w:t>乙方所提供的服务及服务内容必须与</w:t>
      </w:r>
      <w:r>
        <w:rPr>
          <w:rFonts w:hint="eastAsia" w:ascii="宋体" w:hAnsi="宋体" w:cs="宋体"/>
          <w:color w:val="auto"/>
          <w:szCs w:val="21"/>
          <w:lang w:eastAsia="zh-CN"/>
        </w:rPr>
        <w:t>响应文件</w:t>
      </w:r>
      <w:r>
        <w:rPr>
          <w:rFonts w:hint="eastAsia" w:ascii="宋体" w:hAnsi="宋体" w:cs="宋体"/>
          <w:color w:val="auto"/>
          <w:szCs w:val="21"/>
        </w:rPr>
        <w:t>承诺相一致，有国家强制性标准的，还必须符合国家强制性标准的规定，没有国家强制性标准但有其他强制性标准的，必须符合其他强制性标准的规定。</w:t>
      </w:r>
    </w:p>
    <w:p w14:paraId="6FC849F2">
      <w:pPr>
        <w:spacing w:line="500" w:lineRule="exact"/>
        <w:ind w:firstLine="422" w:firstLineChars="200"/>
        <w:rPr>
          <w:rFonts w:hint="eastAsia" w:ascii="宋体" w:hAnsi="宋体" w:cs="宋体"/>
          <w:color w:val="auto"/>
          <w:szCs w:val="21"/>
        </w:rPr>
      </w:pPr>
      <w:r>
        <w:rPr>
          <w:rFonts w:hint="eastAsia" w:ascii="宋体" w:hAnsi="宋体" w:cs="宋体"/>
          <w:b/>
          <w:color w:val="auto"/>
          <w:szCs w:val="21"/>
        </w:rPr>
        <w:t>第三条　权利保证</w:t>
      </w:r>
    </w:p>
    <w:p w14:paraId="4027BEFA">
      <w:pPr>
        <w:snapToGrid w:val="0"/>
        <w:spacing w:line="500" w:lineRule="exact"/>
        <w:ind w:firstLine="420" w:firstLineChars="200"/>
        <w:rPr>
          <w:rFonts w:hint="eastAsia" w:ascii="宋体" w:hAnsi="宋体" w:cs="宋体"/>
          <w:color w:val="auto"/>
          <w:szCs w:val="21"/>
        </w:rPr>
      </w:pPr>
      <w:r>
        <w:rPr>
          <w:rFonts w:hint="eastAsia" w:ascii="宋体" w:hAnsi="宋体" w:cs="宋体"/>
          <w:color w:val="auto"/>
          <w:szCs w:val="21"/>
        </w:rPr>
        <w:t>1、乙方应保证所提供服务在使用时不会侵犯任何第三方的专利权、商标权、工业设计权等知识产权及其他合法权利，且所有权、处分权等没有受到任何限制。</w:t>
      </w:r>
    </w:p>
    <w:p w14:paraId="7F1FDD53">
      <w:pPr>
        <w:snapToGrid w:val="0"/>
        <w:spacing w:line="500" w:lineRule="exact"/>
        <w:ind w:firstLine="420" w:firstLineChars="200"/>
        <w:rPr>
          <w:rFonts w:hint="eastAsia" w:ascii="宋体" w:hAnsi="宋体" w:cs="宋体"/>
          <w:color w:val="auto"/>
          <w:szCs w:val="21"/>
        </w:rPr>
      </w:pPr>
      <w:r>
        <w:rPr>
          <w:rFonts w:hint="eastAsia" w:ascii="宋体" w:hAnsi="宋体" w:cs="宋体"/>
          <w:color w:val="auto"/>
          <w:szCs w:val="21"/>
        </w:rPr>
        <w:t>2、没有甲方事先书面同意，乙方不得将由甲方提供的有关合同或者任何合同条文、规格、计划、图纸、样品或者资料提供给予履行本合同无关的任何其他人。即使向履行本合同有关的人员提供，也应注意保密并限于履行合同的必需范围。乙方的保密义务持续有效，不因为本合同履行终止、解除或者无效而解除。</w:t>
      </w:r>
    </w:p>
    <w:p w14:paraId="614345CB">
      <w:pPr>
        <w:spacing w:line="500" w:lineRule="exact"/>
        <w:ind w:firstLine="422" w:firstLineChars="200"/>
        <w:rPr>
          <w:rFonts w:hint="eastAsia" w:ascii="宋体" w:hAnsi="宋体" w:cs="宋体"/>
          <w:color w:val="auto"/>
          <w:szCs w:val="21"/>
        </w:rPr>
      </w:pPr>
      <w:r>
        <w:rPr>
          <w:rFonts w:hint="eastAsia" w:ascii="宋体" w:hAnsi="宋体" w:cs="宋体"/>
          <w:b/>
          <w:color w:val="auto"/>
          <w:szCs w:val="21"/>
        </w:rPr>
        <w:t>第四条　交付和验收</w:t>
      </w:r>
    </w:p>
    <w:p w14:paraId="55251735">
      <w:pPr>
        <w:keepNext w:val="0"/>
        <w:keepLines w:val="0"/>
        <w:pageBreakBefore w:val="0"/>
        <w:widowControl/>
        <w:kinsoku/>
        <w:overflowPunct/>
        <w:autoSpaceDE/>
        <w:autoSpaceDN/>
        <w:bidi w:val="0"/>
        <w:adjustRightInd/>
        <w:spacing w:line="500" w:lineRule="exact"/>
        <w:ind w:firstLine="420" w:firstLineChars="200"/>
        <w:jc w:val="left"/>
        <w:rPr>
          <w:rFonts w:hint="eastAsia" w:ascii="宋体" w:hAnsi="宋体" w:eastAsia="宋体" w:cs="宋体"/>
          <w:bCs/>
          <w:color w:val="auto"/>
          <w:kern w:val="0"/>
          <w:sz w:val="21"/>
          <w:szCs w:val="21"/>
          <w:highlight w:val="none"/>
        </w:rPr>
      </w:pPr>
      <w:r>
        <w:rPr>
          <w:rFonts w:hint="eastAsia" w:ascii="宋体" w:hAnsi="宋体" w:cs="宋体"/>
          <w:color w:val="auto"/>
          <w:szCs w:val="21"/>
        </w:rPr>
        <w:t>1、交付使用时间：</w:t>
      </w:r>
      <w:r>
        <w:rPr>
          <w:rFonts w:hint="eastAsia" w:ascii="宋体" w:hAnsi="宋体" w:eastAsia="宋体" w:cs="宋体"/>
          <w:bCs/>
          <w:color w:val="auto"/>
          <w:kern w:val="0"/>
          <w:sz w:val="21"/>
          <w:szCs w:val="21"/>
          <w:u w:val="single"/>
          <w:lang w:val="en-US" w:eastAsia="zh-CN"/>
        </w:rPr>
        <w:t xml:space="preserve">       </w:t>
      </w:r>
      <w:r>
        <w:rPr>
          <w:rFonts w:hint="eastAsia" w:ascii="宋体" w:hAnsi="宋体" w:eastAsia="宋体" w:cs="宋体"/>
          <w:bCs/>
          <w:color w:val="auto"/>
          <w:kern w:val="0"/>
          <w:sz w:val="21"/>
          <w:szCs w:val="21"/>
          <w:highlight w:val="none"/>
        </w:rPr>
        <w:t>。</w:t>
      </w:r>
    </w:p>
    <w:p w14:paraId="6446D2AE">
      <w:pPr>
        <w:widowControl/>
        <w:spacing w:line="500" w:lineRule="exact"/>
        <w:ind w:firstLine="840" w:firstLineChars="4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交付</w:t>
      </w:r>
      <w:r>
        <w:rPr>
          <w:rFonts w:hint="eastAsia" w:ascii="宋体" w:hAnsi="宋体" w:cs="宋体"/>
          <w:color w:val="auto"/>
          <w:szCs w:val="21"/>
          <w:highlight w:val="none"/>
        </w:rPr>
        <w:t>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14:paraId="6F6EA9E8">
      <w:pPr>
        <w:snapToGrid w:val="0"/>
        <w:spacing w:line="500" w:lineRule="exact"/>
        <w:ind w:firstLine="420" w:firstLineChars="200"/>
        <w:rPr>
          <w:rFonts w:hint="eastAsia" w:ascii="宋体" w:hAnsi="宋体" w:cs="宋体"/>
          <w:color w:val="auto"/>
          <w:szCs w:val="21"/>
        </w:rPr>
      </w:pPr>
      <w:r>
        <w:rPr>
          <w:rFonts w:hint="eastAsia" w:ascii="宋体" w:hAnsi="宋体" w:cs="宋体"/>
          <w:color w:val="auto"/>
          <w:szCs w:val="21"/>
        </w:rPr>
        <w:t>2、乙方应按</w:t>
      </w:r>
      <w:r>
        <w:rPr>
          <w:rFonts w:hint="eastAsia" w:ascii="宋体" w:hAnsi="宋体" w:cs="宋体"/>
          <w:color w:val="auto"/>
          <w:szCs w:val="21"/>
          <w:lang w:eastAsia="zh-CN"/>
        </w:rPr>
        <w:t>响应文件</w:t>
      </w:r>
      <w:r>
        <w:rPr>
          <w:rFonts w:hint="eastAsia" w:ascii="宋体" w:hAnsi="宋体" w:cs="宋体"/>
          <w:color w:val="auto"/>
          <w:szCs w:val="21"/>
        </w:rPr>
        <w:t>的承诺向甲方提供相应的服务，并提供所服务内容的相关技术资料。</w:t>
      </w:r>
    </w:p>
    <w:p w14:paraId="46F50ECA">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3、乙方提供不符合</w:t>
      </w:r>
      <w:r>
        <w:rPr>
          <w:rFonts w:hint="eastAsia" w:ascii="宋体" w:hAnsi="宋体" w:cs="宋体"/>
          <w:color w:val="auto"/>
          <w:szCs w:val="21"/>
          <w:lang w:eastAsia="zh-CN"/>
        </w:rPr>
        <w:t>响应文件</w:t>
      </w:r>
      <w:r>
        <w:rPr>
          <w:rFonts w:hint="eastAsia" w:ascii="宋体" w:hAnsi="宋体" w:cs="宋体"/>
          <w:color w:val="auto"/>
          <w:szCs w:val="21"/>
        </w:rPr>
        <w:t>和本合同规定的服务成果，甲方有权拒绝接受。</w:t>
      </w:r>
    </w:p>
    <w:p w14:paraId="1D38F7DB">
      <w:pPr>
        <w:spacing w:line="500" w:lineRule="exact"/>
        <w:ind w:firstLine="420" w:firstLineChars="200"/>
        <w:rPr>
          <w:rFonts w:hint="eastAsia" w:ascii="宋体" w:hAnsi="宋体"/>
          <w:color w:val="auto"/>
          <w:szCs w:val="21"/>
        </w:rPr>
      </w:pPr>
      <w:r>
        <w:rPr>
          <w:rFonts w:hint="eastAsia" w:ascii="宋体" w:hAnsi="宋体"/>
          <w:color w:val="auto"/>
          <w:szCs w:val="21"/>
        </w:rPr>
        <w:t>4、乙方完成服务后应及时书面通知甲方进行验收，甲方应在收到通知，</w:t>
      </w:r>
      <w:r>
        <w:rPr>
          <w:rFonts w:hint="eastAsia" w:ascii="宋体" w:hAnsi="宋体" w:cs="宋体"/>
          <w:color w:val="auto"/>
          <w:szCs w:val="21"/>
        </w:rPr>
        <w:t>且乙方履行完合同义务之日起七个工作日内组织最终验收</w:t>
      </w:r>
      <w:r>
        <w:rPr>
          <w:rFonts w:hint="eastAsia" w:ascii="宋体" w:hAnsi="宋体"/>
          <w:color w:val="auto"/>
          <w:szCs w:val="21"/>
        </w:rPr>
        <w:t>，逾期不开始验收的，乙方可视同验收合格。验收合格后由甲乙双方签署验收单并加盖甲乙双方单位公章，甲乙双方各执一份。</w:t>
      </w:r>
    </w:p>
    <w:p w14:paraId="7EEDBC18">
      <w:pPr>
        <w:spacing w:line="500" w:lineRule="exact"/>
        <w:ind w:firstLine="420" w:firstLineChars="200"/>
        <w:rPr>
          <w:rFonts w:hint="eastAsia" w:ascii="宋体" w:hAnsi="宋体"/>
          <w:color w:val="auto"/>
          <w:szCs w:val="21"/>
        </w:rPr>
      </w:pPr>
      <w:r>
        <w:rPr>
          <w:rFonts w:hint="eastAsia" w:ascii="宋体" w:hAnsi="宋体" w:cs="宋体"/>
          <w:color w:val="auto"/>
          <w:szCs w:val="21"/>
        </w:rPr>
        <w:t>5、甲乙双方应按照《</w:t>
      </w:r>
      <w:r>
        <w:rPr>
          <w:rFonts w:ascii="宋体" w:hAnsi="宋体" w:cs="宋体"/>
          <w:color w:val="auto"/>
          <w:szCs w:val="21"/>
        </w:rPr>
        <w:t>广西壮族自治区政府采购项目履约验收管理办法</w:t>
      </w:r>
      <w:r>
        <w:rPr>
          <w:rFonts w:hint="eastAsia" w:ascii="宋体" w:hAnsi="宋体" w:cs="宋体"/>
          <w:color w:val="auto"/>
          <w:szCs w:val="21"/>
        </w:rPr>
        <w:t>》、双方合同、</w:t>
      </w:r>
      <w:r>
        <w:rPr>
          <w:rFonts w:hint="eastAsia" w:ascii="宋体" w:hAnsi="宋体" w:cs="宋体"/>
          <w:color w:val="auto"/>
          <w:szCs w:val="21"/>
          <w:lang w:eastAsia="zh-CN"/>
        </w:rPr>
        <w:t>响应文件</w:t>
      </w:r>
      <w:r>
        <w:rPr>
          <w:rFonts w:hint="eastAsia" w:ascii="宋体" w:hAnsi="宋体" w:cs="宋体"/>
          <w:color w:val="auto"/>
          <w:szCs w:val="21"/>
        </w:rPr>
        <w:t>验收。</w:t>
      </w:r>
    </w:p>
    <w:p w14:paraId="1CA0B397">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6、甲方在最终验收过程中如发现乙方提供的服务成果不满足</w:t>
      </w:r>
      <w:r>
        <w:rPr>
          <w:rFonts w:hint="eastAsia" w:ascii="宋体" w:hAnsi="宋体" w:cs="宋体"/>
          <w:color w:val="auto"/>
          <w:szCs w:val="21"/>
          <w:lang w:eastAsia="zh-CN"/>
        </w:rPr>
        <w:t>响应文件</w:t>
      </w:r>
      <w:r>
        <w:rPr>
          <w:rFonts w:hint="eastAsia" w:ascii="宋体" w:hAnsi="宋体" w:cs="宋体"/>
          <w:color w:val="auto"/>
          <w:szCs w:val="21"/>
        </w:rPr>
        <w:t>及本合同规定的，可暂缓向乙方付款，直到乙方及时完善并提交相应的服务成果且经甲方验收合格后，方可办理付款。</w:t>
      </w:r>
    </w:p>
    <w:p w14:paraId="36C7E1FA">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7、若甲方委托第三方组织的验收项目，其验收时间以该项目验收方案确定的验收时间为准，验收结果以该项目验收报告结论为准，验收所产生的费用由乙方负责。</w:t>
      </w:r>
    </w:p>
    <w:p w14:paraId="3D23CDF2">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8、甲方验收时以书面形式提出异议的，乙方应自收到甲方书面异议后五个工作日内及时予以解决，否则甲方有权不出具服务验收合格单。</w:t>
      </w:r>
    </w:p>
    <w:p w14:paraId="7E109393">
      <w:pPr>
        <w:snapToGrid w:val="0"/>
        <w:spacing w:line="500" w:lineRule="exact"/>
        <w:ind w:firstLine="422" w:firstLineChars="200"/>
        <w:rPr>
          <w:rFonts w:hint="eastAsia" w:ascii="宋体" w:hAnsi="宋体" w:cs="宋体"/>
          <w:b/>
          <w:color w:val="auto"/>
          <w:szCs w:val="21"/>
        </w:rPr>
      </w:pPr>
      <w:r>
        <w:rPr>
          <w:rFonts w:hint="eastAsia" w:ascii="宋体" w:hAnsi="宋体" w:cs="宋体"/>
          <w:b/>
          <w:color w:val="auto"/>
          <w:szCs w:val="21"/>
        </w:rPr>
        <w:t>第五条  售后服务及培训</w:t>
      </w:r>
    </w:p>
    <w:p w14:paraId="2741F727">
      <w:pPr>
        <w:snapToGrid w:val="0"/>
        <w:spacing w:line="500" w:lineRule="exact"/>
        <w:ind w:firstLine="420" w:firstLineChars="200"/>
        <w:rPr>
          <w:rFonts w:hint="eastAsia" w:ascii="宋体" w:hAnsi="宋体" w:cs="宋体"/>
          <w:color w:val="auto"/>
          <w:szCs w:val="21"/>
        </w:rPr>
      </w:pPr>
      <w:r>
        <w:rPr>
          <w:rFonts w:hint="eastAsia" w:ascii="宋体" w:hAnsi="宋体" w:cs="宋体"/>
          <w:color w:val="auto"/>
          <w:szCs w:val="21"/>
        </w:rPr>
        <w:t>1、乙方应按照国家有关法律法规和本合同所附的《售后服务承诺》要求为甲方提供相应的售后服务。</w:t>
      </w:r>
    </w:p>
    <w:p w14:paraId="24B69E2A">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2、甲方应提供必要测试条件（如场地、电源、水源等）。</w:t>
      </w:r>
    </w:p>
    <w:p w14:paraId="77446D9E">
      <w:pPr>
        <w:snapToGrid w:val="0"/>
        <w:spacing w:line="500" w:lineRule="exact"/>
        <w:ind w:firstLine="420" w:firstLineChars="200"/>
        <w:rPr>
          <w:rFonts w:hint="eastAsia" w:ascii="宋体" w:hAnsi="宋体" w:cs="宋体"/>
          <w:color w:val="auto"/>
          <w:szCs w:val="21"/>
        </w:rPr>
      </w:pPr>
      <w:r>
        <w:rPr>
          <w:rFonts w:hint="eastAsia" w:ascii="宋体" w:hAnsi="宋体" w:cs="宋体"/>
          <w:color w:val="auto"/>
          <w:szCs w:val="21"/>
        </w:rPr>
        <w:t>3、乙方负责甲方有关人员的培训。培训时间、地点：</w:t>
      </w:r>
      <w:r>
        <w:rPr>
          <w:rFonts w:hint="eastAsia" w:ascii="宋体" w:hAnsi="宋体" w:cs="宋体"/>
          <w:color w:val="auto"/>
          <w:szCs w:val="21"/>
          <w:u w:val="single"/>
        </w:rPr>
        <w:t>具体培训、服务时间由双方协商。（如因不可抗力和学习需求实际需要对培训时间进行调整的，可由双方另行约定一致）</w:t>
      </w:r>
      <w:r>
        <w:rPr>
          <w:rFonts w:hint="eastAsia" w:ascii="宋体" w:hAnsi="宋体" w:cs="宋体"/>
          <w:color w:val="auto"/>
          <w:szCs w:val="21"/>
        </w:rPr>
        <w:t>。</w:t>
      </w:r>
    </w:p>
    <w:p w14:paraId="612D9434">
      <w:pPr>
        <w:keepNext/>
        <w:keepLines/>
        <w:pageBreakBefore w:val="0"/>
        <w:widowControl w:val="0"/>
        <w:kinsoku/>
        <w:wordWrap/>
        <w:overflowPunct/>
        <w:topLinePunct w:val="0"/>
        <w:autoSpaceDE/>
        <w:autoSpaceDN/>
        <w:bidi w:val="0"/>
        <w:adjustRightInd/>
        <w:snapToGrid/>
        <w:spacing w:line="416" w:lineRule="auto"/>
        <w:ind w:firstLine="420" w:firstLineChars="200"/>
        <w:textAlignment w:val="auto"/>
        <w:outlineLvl w:val="9"/>
        <w:rPr>
          <w:rFonts w:hint="default" w:eastAsia="宋体"/>
          <w:color w:val="auto"/>
          <w:lang w:val="en-US" w:eastAsia="zh-CN"/>
        </w:rPr>
      </w:pPr>
      <w:r>
        <w:rPr>
          <w:rFonts w:hint="eastAsia" w:ascii="宋体" w:hAnsi="宋体" w:eastAsia="宋体" w:cs="宋体"/>
          <w:color w:val="auto"/>
          <w:kern w:val="0"/>
          <w:sz w:val="21"/>
          <w:szCs w:val="21"/>
          <w:lang w:val="en-US" w:eastAsia="zh-CN" w:bidi="ar"/>
        </w:rPr>
        <w:t>4、乙方应及时通知甲方并对甲方购买的产品或服务进行免费升级，并且免费对外开放接口，促进学校数据互联互通，且合理建议和需求能够在新版本或紧急补丁中体现</w:t>
      </w:r>
    </w:p>
    <w:p w14:paraId="57CCEF03">
      <w:pPr>
        <w:keepNext/>
        <w:keepLines/>
        <w:pageBreakBefore w:val="0"/>
        <w:widowControl w:val="0"/>
        <w:kinsoku/>
        <w:wordWrap/>
        <w:overflowPunct/>
        <w:topLinePunct w:val="0"/>
        <w:autoSpaceDE/>
        <w:autoSpaceDN/>
        <w:bidi w:val="0"/>
        <w:adjustRightInd/>
        <w:snapToGrid/>
        <w:spacing w:line="416" w:lineRule="auto"/>
        <w:ind w:firstLine="420" w:firstLineChars="200"/>
        <w:textAlignment w:val="auto"/>
        <w:outlineLvl w:val="9"/>
        <w:rPr>
          <w:rFonts w:hint="eastAsia"/>
          <w:color w:val="auto"/>
        </w:rPr>
      </w:pPr>
      <w:r>
        <w:rPr>
          <w:rFonts w:hint="eastAsia" w:ascii="宋体" w:hAnsi="宋体" w:eastAsia="宋体" w:cs="宋体"/>
          <w:color w:val="auto"/>
          <w:kern w:val="0"/>
          <w:sz w:val="21"/>
          <w:szCs w:val="21"/>
          <w:lang w:val="en-US" w:eastAsia="zh-CN" w:bidi="ar"/>
        </w:rPr>
        <w:t>5、乙方应积极参与校企合作，包括但不限于人员培训、共同开展教学研究、共同建设教学实习基地、共同完成技术研发合作等，经双方协商后可签订合作协议。</w:t>
      </w:r>
    </w:p>
    <w:p w14:paraId="3EE8A5F6">
      <w:pPr>
        <w:snapToGrid w:val="0"/>
        <w:spacing w:line="50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第六条　付款方式</w:t>
      </w:r>
    </w:p>
    <w:p w14:paraId="09CE4895">
      <w:pPr>
        <w:snapToGrid w:val="0"/>
        <w:spacing w:after="0" w:afterLines="-2147483648" w:line="500" w:lineRule="exact"/>
        <w:ind w:left="0" w:leftChars="0" w:firstLine="420" w:firstLineChars="200"/>
        <w:rPr>
          <w:rFonts w:hint="eastAsia" w:ascii="宋体" w:hAnsi="宋体" w:eastAsia="宋体" w:cs="宋体"/>
          <w:b w:val="0"/>
          <w:color w:val="auto"/>
          <w:szCs w:val="21"/>
          <w:lang w:eastAsia="zh-CN"/>
        </w:rPr>
      </w:pPr>
      <w:r>
        <w:rPr>
          <w:rFonts w:hint="eastAsia" w:ascii="宋体" w:hAnsi="宋体" w:eastAsia="宋体" w:cs="宋体"/>
          <w:b w:val="0"/>
          <w:color w:val="auto"/>
          <w:szCs w:val="21"/>
          <w:lang w:val="en-US" w:eastAsia="zh-CN"/>
        </w:rPr>
        <w:t>1</w:t>
      </w:r>
      <w:r>
        <w:rPr>
          <w:rFonts w:hint="eastAsia" w:ascii="宋体" w:hAnsi="宋体" w:eastAsia="宋体" w:cs="宋体"/>
          <w:b w:val="0"/>
          <w:color w:val="auto"/>
          <w:szCs w:val="21"/>
        </w:rPr>
        <w:t>.合同签订且项目具备实施条件后</w:t>
      </w:r>
      <w:r>
        <w:rPr>
          <w:rFonts w:hint="eastAsia" w:ascii="宋体" w:hAnsi="宋体" w:eastAsia="宋体" w:cs="宋体"/>
          <w:b w:val="0"/>
          <w:color w:val="auto"/>
          <w:szCs w:val="21"/>
          <w:lang w:val="en-US" w:eastAsia="zh-CN"/>
        </w:rPr>
        <w:t>15</w:t>
      </w:r>
      <w:r>
        <w:rPr>
          <w:rFonts w:hint="eastAsia" w:ascii="宋体" w:hAnsi="宋体" w:eastAsia="宋体" w:cs="宋体"/>
          <w:b w:val="0"/>
          <w:color w:val="auto"/>
          <w:szCs w:val="21"/>
        </w:rPr>
        <w:t>个工作日内，</w:t>
      </w:r>
      <w:r>
        <w:rPr>
          <w:rFonts w:hint="eastAsia" w:ascii="宋体" w:hAnsi="宋体" w:cs="宋体"/>
          <w:b w:val="0"/>
          <w:color w:val="auto"/>
          <w:szCs w:val="21"/>
          <w:lang w:val="en-US" w:eastAsia="zh-CN"/>
        </w:rPr>
        <w:t>甲方</w:t>
      </w:r>
      <w:r>
        <w:rPr>
          <w:rFonts w:hint="eastAsia" w:ascii="宋体" w:hAnsi="宋体" w:eastAsia="宋体" w:cs="宋体"/>
          <w:b w:val="0"/>
          <w:color w:val="auto"/>
          <w:szCs w:val="21"/>
        </w:rPr>
        <w:t>可预付合同价</w:t>
      </w:r>
      <w:r>
        <w:rPr>
          <w:rFonts w:hint="eastAsia" w:ascii="宋体" w:hAnsi="宋体" w:eastAsia="宋体" w:cs="宋体"/>
          <w:b w:val="0"/>
          <w:color w:val="auto"/>
          <w:szCs w:val="21"/>
          <w:lang w:val="en-US" w:eastAsia="zh-CN"/>
        </w:rPr>
        <w:t>4</w:t>
      </w:r>
      <w:r>
        <w:rPr>
          <w:rFonts w:hint="eastAsia" w:ascii="宋体" w:hAnsi="宋体" w:eastAsia="宋体" w:cs="宋体"/>
          <w:b w:val="0"/>
          <w:color w:val="auto"/>
          <w:szCs w:val="21"/>
        </w:rPr>
        <w:t>0%的预付款。剩余款项</w:t>
      </w:r>
      <w:r>
        <w:rPr>
          <w:rFonts w:hint="eastAsia" w:ascii="宋体" w:hAnsi="宋体" w:eastAsia="宋体" w:cs="宋体"/>
          <w:b w:val="0"/>
          <w:color w:val="auto"/>
          <w:szCs w:val="21"/>
          <w:lang w:val="en-US" w:eastAsia="zh-CN"/>
        </w:rPr>
        <w:t>在</w:t>
      </w:r>
      <w:r>
        <w:rPr>
          <w:rFonts w:hint="eastAsia" w:ascii="宋体" w:hAnsi="宋体" w:cs="宋体"/>
          <w:b w:val="0"/>
          <w:color w:val="auto"/>
          <w:szCs w:val="21"/>
          <w:lang w:val="en-US" w:eastAsia="zh-CN"/>
        </w:rPr>
        <w:t>乙方</w:t>
      </w:r>
      <w:r>
        <w:rPr>
          <w:rFonts w:hint="eastAsia" w:ascii="宋体" w:hAnsi="宋体" w:eastAsia="宋体" w:cs="宋体"/>
          <w:b w:val="0"/>
          <w:color w:val="auto"/>
          <w:szCs w:val="21"/>
        </w:rPr>
        <w:t>交货完毕并验收合格后，</w:t>
      </w:r>
      <w:r>
        <w:rPr>
          <w:rFonts w:hint="eastAsia" w:ascii="宋体" w:hAnsi="宋体" w:cs="宋体"/>
          <w:b w:val="0"/>
          <w:color w:val="auto"/>
          <w:szCs w:val="21"/>
          <w:lang w:val="en-US" w:eastAsia="zh-CN"/>
        </w:rPr>
        <w:t>甲方</w:t>
      </w:r>
      <w:r>
        <w:rPr>
          <w:rFonts w:hint="eastAsia" w:ascii="宋体" w:hAnsi="宋体" w:eastAsia="宋体" w:cs="宋体"/>
          <w:b w:val="0"/>
          <w:color w:val="auto"/>
          <w:szCs w:val="21"/>
          <w:lang w:val="en-US" w:eastAsia="zh-CN"/>
        </w:rPr>
        <w:t>一次性</w:t>
      </w:r>
      <w:r>
        <w:rPr>
          <w:rFonts w:hint="eastAsia" w:ascii="宋体" w:hAnsi="宋体" w:eastAsia="宋体" w:cs="宋体"/>
          <w:b w:val="0"/>
          <w:color w:val="auto"/>
          <w:szCs w:val="21"/>
        </w:rPr>
        <w:t>向</w:t>
      </w:r>
      <w:r>
        <w:rPr>
          <w:rFonts w:hint="eastAsia" w:ascii="宋体" w:hAnsi="宋体" w:cs="宋体"/>
          <w:b w:val="0"/>
          <w:color w:val="auto"/>
          <w:szCs w:val="21"/>
          <w:lang w:val="en-US" w:eastAsia="zh-CN"/>
        </w:rPr>
        <w:t>乙方</w:t>
      </w:r>
      <w:r>
        <w:rPr>
          <w:rFonts w:hint="eastAsia" w:ascii="宋体" w:hAnsi="宋体" w:eastAsia="宋体" w:cs="宋体"/>
          <w:b w:val="0"/>
          <w:color w:val="auto"/>
          <w:szCs w:val="21"/>
        </w:rPr>
        <w:t>支付合同总价的</w:t>
      </w:r>
      <w:r>
        <w:rPr>
          <w:rFonts w:hint="eastAsia" w:ascii="宋体" w:hAnsi="宋体" w:eastAsia="宋体" w:cs="宋体"/>
          <w:b w:val="0"/>
          <w:color w:val="auto"/>
          <w:szCs w:val="21"/>
          <w:lang w:val="en-US" w:eastAsia="zh-CN"/>
        </w:rPr>
        <w:t>6</w:t>
      </w:r>
      <w:r>
        <w:rPr>
          <w:rFonts w:hint="eastAsia" w:ascii="宋体" w:hAnsi="宋体" w:eastAsia="宋体" w:cs="宋体"/>
          <w:b w:val="0"/>
          <w:color w:val="auto"/>
          <w:szCs w:val="21"/>
        </w:rPr>
        <w:t>0%，支付前</w:t>
      </w:r>
      <w:r>
        <w:rPr>
          <w:rFonts w:hint="eastAsia" w:ascii="宋体" w:hAnsi="宋体" w:cs="宋体"/>
          <w:b w:val="0"/>
          <w:color w:val="auto"/>
          <w:szCs w:val="21"/>
          <w:lang w:eastAsia="zh-CN"/>
        </w:rPr>
        <w:t>乙方</w:t>
      </w:r>
      <w:r>
        <w:rPr>
          <w:rFonts w:hint="eastAsia" w:ascii="宋体" w:hAnsi="宋体" w:eastAsia="宋体" w:cs="宋体"/>
          <w:b w:val="0"/>
          <w:color w:val="auto"/>
          <w:szCs w:val="21"/>
        </w:rPr>
        <w:t>须先按照已交付并验收合格的金额开具发票给</w:t>
      </w:r>
      <w:r>
        <w:rPr>
          <w:rFonts w:hint="eastAsia" w:ascii="宋体" w:hAnsi="宋体" w:cs="宋体"/>
          <w:b w:val="0"/>
          <w:color w:val="auto"/>
          <w:szCs w:val="21"/>
          <w:lang w:eastAsia="zh-CN"/>
        </w:rPr>
        <w:t>甲方</w:t>
      </w:r>
      <w:r>
        <w:rPr>
          <w:rFonts w:hint="eastAsia" w:ascii="宋体" w:hAnsi="宋体" w:eastAsia="宋体" w:cs="宋体"/>
          <w:b w:val="0"/>
          <w:color w:val="auto"/>
          <w:szCs w:val="21"/>
        </w:rPr>
        <w:t>，</w:t>
      </w:r>
      <w:r>
        <w:rPr>
          <w:rFonts w:hint="eastAsia" w:ascii="宋体" w:hAnsi="宋体" w:cs="宋体"/>
          <w:b w:val="0"/>
          <w:color w:val="auto"/>
          <w:szCs w:val="21"/>
          <w:lang w:eastAsia="zh-CN"/>
        </w:rPr>
        <w:t>甲方</w:t>
      </w:r>
      <w:r>
        <w:rPr>
          <w:rFonts w:hint="eastAsia" w:ascii="宋体" w:hAnsi="宋体" w:eastAsia="宋体" w:cs="宋体"/>
          <w:b w:val="0"/>
          <w:color w:val="auto"/>
          <w:szCs w:val="21"/>
        </w:rPr>
        <w:t>在收到发票后30日历日内按发票面额付款。如</w:t>
      </w:r>
      <w:r>
        <w:rPr>
          <w:rFonts w:hint="eastAsia" w:ascii="宋体" w:hAnsi="宋体" w:cs="宋体"/>
          <w:b w:val="0"/>
          <w:color w:val="auto"/>
          <w:szCs w:val="21"/>
          <w:lang w:eastAsia="zh-CN"/>
        </w:rPr>
        <w:t>乙方</w:t>
      </w:r>
      <w:r>
        <w:rPr>
          <w:rFonts w:hint="eastAsia" w:ascii="宋体" w:hAnsi="宋体" w:eastAsia="宋体" w:cs="宋体"/>
          <w:b w:val="0"/>
          <w:color w:val="auto"/>
          <w:szCs w:val="21"/>
        </w:rPr>
        <w:t>未按国家要求开具发票，或未按合同履约的，视为违约，</w:t>
      </w:r>
      <w:r>
        <w:rPr>
          <w:rFonts w:hint="eastAsia" w:ascii="宋体" w:hAnsi="宋体" w:cs="宋体"/>
          <w:b w:val="0"/>
          <w:color w:val="auto"/>
          <w:szCs w:val="21"/>
          <w:lang w:eastAsia="zh-CN"/>
        </w:rPr>
        <w:t>甲方</w:t>
      </w:r>
      <w:r>
        <w:rPr>
          <w:rFonts w:hint="eastAsia" w:ascii="宋体" w:hAnsi="宋体" w:eastAsia="宋体" w:cs="宋体"/>
          <w:b w:val="0"/>
          <w:color w:val="auto"/>
          <w:szCs w:val="21"/>
        </w:rPr>
        <w:t>有权扣除履约保证金，或要求解除合同，并追究</w:t>
      </w:r>
      <w:r>
        <w:rPr>
          <w:rFonts w:hint="eastAsia" w:ascii="宋体" w:hAnsi="宋体" w:cs="宋体"/>
          <w:b w:val="0"/>
          <w:color w:val="auto"/>
          <w:szCs w:val="21"/>
          <w:lang w:eastAsia="zh-CN"/>
        </w:rPr>
        <w:t>乙方</w:t>
      </w:r>
      <w:r>
        <w:rPr>
          <w:rFonts w:hint="eastAsia" w:ascii="宋体" w:hAnsi="宋体" w:eastAsia="宋体" w:cs="宋体"/>
          <w:b w:val="0"/>
          <w:color w:val="auto"/>
          <w:szCs w:val="21"/>
        </w:rPr>
        <w:t>法律责任</w:t>
      </w:r>
      <w:r>
        <w:rPr>
          <w:rFonts w:hint="eastAsia" w:ascii="宋体" w:hAnsi="宋体" w:cs="宋体"/>
          <w:b w:val="0"/>
          <w:color w:val="auto"/>
          <w:szCs w:val="21"/>
          <w:lang w:eastAsia="zh-CN"/>
        </w:rPr>
        <w:t>。</w:t>
      </w:r>
    </w:p>
    <w:p w14:paraId="5F498424">
      <w:pPr>
        <w:snapToGrid w:val="0"/>
        <w:spacing w:line="500" w:lineRule="exact"/>
        <w:ind w:left="-61" w:leftChars="-29" w:firstLine="517" w:firstLineChars="245"/>
        <w:rPr>
          <w:rFonts w:hint="eastAsia" w:ascii="宋体" w:hAnsi="宋体" w:cs="宋体"/>
          <w:b/>
          <w:color w:val="auto"/>
          <w:szCs w:val="21"/>
        </w:rPr>
      </w:pPr>
      <w:r>
        <w:rPr>
          <w:rFonts w:hint="eastAsia" w:ascii="宋体" w:hAnsi="宋体" w:cs="宋体"/>
          <w:b/>
          <w:color w:val="auto"/>
          <w:szCs w:val="21"/>
        </w:rPr>
        <w:t>第七条　履约保证金</w:t>
      </w:r>
    </w:p>
    <w:p w14:paraId="7F9787B0">
      <w:pPr>
        <w:spacing w:after="96" w:afterLines="4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（1）按标项合同金额</w:t>
      </w: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lang w:val="en-US" w:eastAsia="zh-CN"/>
        </w:rPr>
        <w:t>收取</w:t>
      </w:r>
      <w:r>
        <w:rPr>
          <w:rFonts w:hint="eastAsia" w:ascii="宋体" w:hAnsi="宋体" w:cs="宋体"/>
          <w:color w:val="auto"/>
          <w:sz w:val="21"/>
          <w:szCs w:val="21"/>
          <w:highlight w:val="none"/>
          <w:lang w:val="en-US" w:eastAsia="zh-CN"/>
        </w:rPr>
        <w:t>，即人民币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 xml:space="preserve"> （</w:t>
      </w:r>
      <w:r>
        <w:rPr>
          <w:rFonts w:hint="default" w:ascii="Arial" w:hAnsi="Arial" w:cs="Arial"/>
          <w:color w:val="auto"/>
          <w:sz w:val="21"/>
          <w:szCs w:val="21"/>
          <w:highlight w:val="none"/>
          <w:u w:val="none"/>
          <w:lang w:val="en-US" w:eastAsia="zh-CN"/>
        </w:rPr>
        <w:t>¥</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rPr>
        <w:t>。</w:t>
      </w:r>
    </w:p>
    <w:p w14:paraId="3507CE55">
      <w:pPr>
        <w:spacing w:after="96" w:afterLines="40"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履约保证金递交方式：银行转账、支票、汇票、本票等非现金方式</w:t>
      </w:r>
      <w:r>
        <w:rPr>
          <w:rFonts w:hint="eastAsia" w:ascii="宋体" w:hAnsi="宋体" w:eastAsia="宋体" w:cs="宋体"/>
          <w:color w:val="auto"/>
          <w:sz w:val="21"/>
          <w:szCs w:val="21"/>
          <w:highlight w:val="none"/>
          <w:lang w:eastAsia="zh-CN"/>
        </w:rPr>
        <w:t>。</w:t>
      </w:r>
    </w:p>
    <w:p w14:paraId="6E46B46C">
      <w:pPr>
        <w:spacing w:after="96" w:afterLines="4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lang w:val="en-US" w:eastAsia="zh-CN"/>
        </w:rPr>
        <w:t>应于合同签订后7日内</w:t>
      </w:r>
      <w:r>
        <w:rPr>
          <w:rFonts w:hint="eastAsia" w:ascii="宋体" w:hAnsi="宋体" w:eastAsia="宋体" w:cs="宋体"/>
          <w:color w:val="auto"/>
          <w:sz w:val="21"/>
          <w:szCs w:val="21"/>
          <w:highlight w:val="none"/>
        </w:rPr>
        <w:t>足额递交履约保证金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履约保证金自项目验收合格且</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履行完成合同义务，履行合同期间无违约行为后无息退还。</w:t>
      </w:r>
    </w:p>
    <w:p w14:paraId="7861E2F4">
      <w:pPr>
        <w:spacing w:after="96" w:afterLines="4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（4）乙方</w:t>
      </w:r>
      <w:r>
        <w:rPr>
          <w:rFonts w:hint="eastAsia" w:ascii="宋体" w:hAnsi="宋体" w:eastAsia="宋体" w:cs="宋体"/>
          <w:color w:val="auto"/>
          <w:sz w:val="21"/>
          <w:szCs w:val="21"/>
          <w:highlight w:val="none"/>
        </w:rPr>
        <w:t>履行合同期间违约行为给</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造成损失的，</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有权选择直接</w:t>
      </w:r>
      <w:r>
        <w:rPr>
          <w:rFonts w:hint="eastAsia" w:ascii="宋体" w:hAnsi="宋体" w:eastAsia="宋体" w:cs="宋体"/>
          <w:color w:val="auto"/>
          <w:sz w:val="21"/>
          <w:szCs w:val="21"/>
          <w:highlight w:val="none"/>
          <w:lang w:val="en-US" w:eastAsia="zh-CN"/>
        </w:rPr>
        <w:t>从</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val="en-US" w:eastAsia="zh-CN"/>
        </w:rPr>
        <w:t>扣除</w:t>
      </w:r>
      <w:r>
        <w:rPr>
          <w:rFonts w:hint="eastAsia" w:ascii="宋体" w:hAnsi="宋体" w:eastAsia="宋体" w:cs="宋体"/>
          <w:color w:val="auto"/>
          <w:sz w:val="21"/>
          <w:szCs w:val="21"/>
          <w:highlight w:val="none"/>
        </w:rPr>
        <w:t>，且</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应在收到</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通知之日起5个工作日内补充因弥</w:t>
      </w:r>
      <w:r>
        <w:rPr>
          <w:rFonts w:hint="eastAsia" w:ascii="宋体" w:hAnsi="宋体" w:eastAsia="宋体" w:cs="宋体"/>
          <w:color w:val="auto"/>
          <w:sz w:val="21"/>
          <w:szCs w:val="21"/>
          <w:highlight w:val="none"/>
          <w:lang w:val="en-US" w:eastAsia="zh-CN"/>
        </w:rPr>
        <w:t>补甲方</w:t>
      </w:r>
      <w:r>
        <w:rPr>
          <w:rFonts w:hint="eastAsia" w:ascii="宋体" w:hAnsi="宋体" w:eastAsia="宋体" w:cs="宋体"/>
          <w:color w:val="auto"/>
          <w:sz w:val="21"/>
          <w:szCs w:val="21"/>
          <w:highlight w:val="none"/>
        </w:rPr>
        <w:t>损失而减少的履约保证金。</w:t>
      </w:r>
    </w:p>
    <w:p w14:paraId="38B3A3F1">
      <w:pPr>
        <w:spacing w:after="96" w:afterLines="4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在履约保证金退还日期前，若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的开户名称、开户银行、账号有变动的，请以书面形式通知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，否则由此产生的后果由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自行</w:t>
      </w:r>
      <w:r>
        <w:rPr>
          <w:rFonts w:hint="eastAsia" w:ascii="宋体" w:hAnsi="宋体" w:eastAsia="宋体" w:cs="宋体"/>
          <w:color w:val="auto"/>
          <w:sz w:val="21"/>
          <w:szCs w:val="21"/>
          <w:highlight w:val="none"/>
          <w:lang w:val="en-US" w:eastAsia="zh-CN"/>
        </w:rPr>
        <w:t>负责</w:t>
      </w:r>
      <w:r>
        <w:rPr>
          <w:rFonts w:hint="eastAsia" w:ascii="宋体" w:hAnsi="宋体" w:eastAsia="宋体" w:cs="宋体"/>
          <w:color w:val="auto"/>
          <w:sz w:val="21"/>
          <w:szCs w:val="21"/>
          <w:highlight w:val="none"/>
        </w:rPr>
        <w:t>。</w:t>
      </w:r>
    </w:p>
    <w:p w14:paraId="1E712D72">
      <w:pPr>
        <w:spacing w:after="96" w:afterLines="4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履约保证金指定账户：</w:t>
      </w:r>
    </w:p>
    <w:p w14:paraId="4F6A5D2D">
      <w:pPr>
        <w:spacing w:after="96" w:afterLines="4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账户名称：广西农业职业技术大学</w:t>
      </w:r>
    </w:p>
    <w:p w14:paraId="4681BB1F">
      <w:pPr>
        <w:spacing w:after="96" w:afterLines="4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银行账号：20005 8010 4000 1121</w:t>
      </w:r>
    </w:p>
    <w:p w14:paraId="00A3ED1B">
      <w:pPr>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开户行：中国农业银行南宁市相思湖支行</w:t>
      </w:r>
    </w:p>
    <w:p w14:paraId="31010C80">
      <w:pPr>
        <w:spacing w:line="500" w:lineRule="exact"/>
        <w:ind w:firstLine="422" w:firstLineChars="200"/>
        <w:rPr>
          <w:rFonts w:hint="eastAsia" w:ascii="宋体" w:hAnsi="宋体" w:cs="宋体"/>
          <w:b/>
          <w:color w:val="auto"/>
          <w:szCs w:val="21"/>
        </w:rPr>
      </w:pPr>
      <w:r>
        <w:rPr>
          <w:rFonts w:hint="eastAsia" w:ascii="宋体" w:hAnsi="宋体" w:cs="宋体"/>
          <w:b/>
          <w:color w:val="auto"/>
          <w:szCs w:val="21"/>
        </w:rPr>
        <w:t>第八条  税费</w:t>
      </w:r>
    </w:p>
    <w:p w14:paraId="5479501E">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本合同执行中相关的一切税费均由乙方负担，合同另有约定的除外。</w:t>
      </w:r>
    </w:p>
    <w:p w14:paraId="428F4BC2">
      <w:pPr>
        <w:spacing w:line="500" w:lineRule="exact"/>
        <w:ind w:firstLine="422" w:firstLineChars="200"/>
        <w:rPr>
          <w:rFonts w:hint="eastAsia" w:ascii="宋体" w:hAnsi="宋体" w:cs="宋体"/>
          <w:b/>
          <w:color w:val="auto"/>
          <w:szCs w:val="21"/>
        </w:rPr>
      </w:pPr>
      <w:r>
        <w:rPr>
          <w:rFonts w:hint="eastAsia" w:ascii="宋体" w:hAnsi="宋体" w:cs="宋体"/>
          <w:b/>
          <w:color w:val="auto"/>
          <w:szCs w:val="21"/>
        </w:rPr>
        <w:t>第九条　违约责任</w:t>
      </w:r>
    </w:p>
    <w:p w14:paraId="3B6894D4">
      <w:pPr>
        <w:snapToGrid w:val="0"/>
        <w:spacing w:line="500" w:lineRule="exact"/>
        <w:ind w:firstLine="420" w:firstLineChars="200"/>
        <w:rPr>
          <w:rFonts w:hint="eastAsia" w:ascii="宋体" w:hAnsi="宋体" w:cs="宋体"/>
          <w:color w:val="auto"/>
          <w:szCs w:val="21"/>
        </w:rPr>
      </w:pPr>
      <w:r>
        <w:rPr>
          <w:rFonts w:hint="eastAsia" w:ascii="宋体" w:hAnsi="宋体" w:cs="宋体"/>
          <w:color w:val="auto"/>
          <w:szCs w:val="21"/>
        </w:rPr>
        <w:t>1、除不可抗力原因外，乙方没有按照合同规定的时间提供服务的，甲方可要求乙方支付违约金。每推迟一天按合同金额的3‰支付违约金，该违约金累计不超过合同金额的10%。</w:t>
      </w:r>
    </w:p>
    <w:p w14:paraId="5E496231">
      <w:pPr>
        <w:snapToGrid w:val="0"/>
        <w:spacing w:line="500" w:lineRule="exact"/>
        <w:ind w:firstLine="420" w:firstLineChars="200"/>
        <w:rPr>
          <w:rFonts w:hint="eastAsia" w:ascii="宋体" w:hAnsi="宋体" w:cs="宋体"/>
          <w:color w:val="auto"/>
          <w:szCs w:val="21"/>
        </w:rPr>
      </w:pPr>
      <w:r>
        <w:rPr>
          <w:rFonts w:hint="eastAsia" w:ascii="宋体" w:hAnsi="宋体" w:cs="宋体"/>
          <w:color w:val="auto"/>
          <w:szCs w:val="21"/>
        </w:rPr>
        <w:t>2、乙方提供的服务如侵犯了第三方合法权益而引发的任何纠纷或者诉讼，均由乙方负责交涉并承担全部责任。</w:t>
      </w:r>
    </w:p>
    <w:p w14:paraId="179E9CE3">
      <w:pPr>
        <w:snapToGrid w:val="0"/>
        <w:spacing w:line="500" w:lineRule="exact"/>
        <w:ind w:firstLine="420" w:firstLineChars="200"/>
        <w:rPr>
          <w:rFonts w:hint="eastAsia" w:ascii="宋体" w:hAnsi="宋体" w:cs="宋体"/>
          <w:color w:val="auto"/>
          <w:szCs w:val="21"/>
        </w:rPr>
      </w:pPr>
      <w:r>
        <w:rPr>
          <w:rFonts w:hint="eastAsia" w:ascii="宋体" w:hAnsi="宋体" w:cs="宋体"/>
          <w:color w:val="auto"/>
          <w:szCs w:val="21"/>
        </w:rPr>
        <w:t>3、甲方延期付款的，每天向乙方偿付延期款额0.3‰滞纳金，但滞纳金累计不得超过延期款额5%。</w:t>
      </w:r>
    </w:p>
    <w:p w14:paraId="461ECFF0">
      <w:pPr>
        <w:snapToGrid w:val="0"/>
        <w:spacing w:line="500" w:lineRule="exact"/>
        <w:ind w:firstLine="420" w:firstLineChars="200"/>
        <w:rPr>
          <w:rFonts w:hint="eastAsia" w:ascii="宋体" w:hAnsi="宋体" w:cs="宋体"/>
          <w:color w:val="auto"/>
          <w:szCs w:val="21"/>
        </w:rPr>
      </w:pPr>
      <w:r>
        <w:rPr>
          <w:rFonts w:hint="eastAsia" w:ascii="宋体" w:hAnsi="宋体" w:cs="宋体"/>
          <w:color w:val="auto"/>
          <w:szCs w:val="21"/>
        </w:rPr>
        <w:t>4、乙方支付的违约金不足以弥补甲方损失的，还应承担赔偿责任，甲方有权继续向乙方追偿。乙方应支付给甲方的任何款项，甲方有权从任何应支付未支付给乙方的款项中直接抵扣。</w:t>
      </w:r>
    </w:p>
    <w:p w14:paraId="256BD1FD">
      <w:pPr>
        <w:pStyle w:val="23"/>
        <w:snapToGrid w:val="0"/>
        <w:spacing w:line="500" w:lineRule="exact"/>
        <w:ind w:firstLine="420" w:firstLineChars="200"/>
        <w:rPr>
          <w:rFonts w:hint="eastAsia" w:hAnsi="宋体" w:cs="宋体"/>
          <w:bCs/>
          <w:color w:val="auto"/>
          <w:sz w:val="21"/>
        </w:rPr>
      </w:pPr>
      <w:r>
        <w:rPr>
          <w:rFonts w:hint="eastAsia" w:hAnsi="宋体" w:cs="宋体"/>
          <w:color w:val="auto"/>
          <w:sz w:val="21"/>
        </w:rPr>
        <w:t>5、</w:t>
      </w:r>
      <w:r>
        <w:rPr>
          <w:rFonts w:hint="eastAsia" w:hAnsi="宋体" w:cs="宋体"/>
          <w:bCs/>
          <w:color w:val="auto"/>
          <w:sz w:val="21"/>
        </w:rPr>
        <w:t>未经甲方书面许可，乙方擅自将本合同项下义务交由第三方完成的，视为乙方根本违约，甲方有权单方面解除本合同，乙方应按本合同价款的20%支付违约金，由此造成甲方经济损失的，还应承担全部赔偿责任。</w:t>
      </w:r>
    </w:p>
    <w:p w14:paraId="3F6B0A42">
      <w:pPr>
        <w:spacing w:line="500" w:lineRule="exact"/>
        <w:ind w:firstLine="422" w:firstLineChars="200"/>
        <w:rPr>
          <w:rFonts w:hint="eastAsia" w:ascii="宋体" w:hAnsi="宋体" w:cs="宋体"/>
          <w:b/>
          <w:color w:val="auto"/>
          <w:szCs w:val="21"/>
        </w:rPr>
      </w:pPr>
      <w:r>
        <w:rPr>
          <w:rFonts w:hint="eastAsia" w:ascii="宋体" w:hAnsi="宋体" w:cs="宋体"/>
          <w:b/>
          <w:color w:val="auto"/>
          <w:szCs w:val="21"/>
        </w:rPr>
        <w:t>第十条  不可抗力事件处理</w:t>
      </w:r>
    </w:p>
    <w:p w14:paraId="2EF30123">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1、在合同有效期内，任何一方因不可抗力事件导致不能履行合同，则合同履行期可延长，其延长期与不可抗力影响期相同。</w:t>
      </w:r>
    </w:p>
    <w:p w14:paraId="6869AB7F">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2、不可抗力事件发生后，应立即通知对方，并寄送有关权威机构出具的证明。</w:t>
      </w:r>
    </w:p>
    <w:p w14:paraId="1858E7FA">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3、不可抗力事件延续一百二十天以上，双方应通过友好协商，确定是否继续履行合同。</w:t>
      </w:r>
    </w:p>
    <w:p w14:paraId="1BD01B8F">
      <w:pPr>
        <w:spacing w:line="500" w:lineRule="exact"/>
        <w:ind w:firstLine="422" w:firstLineChars="200"/>
        <w:rPr>
          <w:rFonts w:hint="eastAsia" w:ascii="宋体" w:hAnsi="宋体" w:cs="宋体"/>
          <w:color w:val="auto"/>
          <w:szCs w:val="21"/>
        </w:rPr>
      </w:pPr>
      <w:r>
        <w:rPr>
          <w:rFonts w:hint="eastAsia" w:ascii="宋体" w:hAnsi="宋体" w:cs="宋体"/>
          <w:b/>
          <w:color w:val="auto"/>
          <w:szCs w:val="21"/>
        </w:rPr>
        <w:t>第十一条  合同争议解决</w:t>
      </w:r>
    </w:p>
    <w:p w14:paraId="35AF1165">
      <w:pPr>
        <w:snapToGrid w:val="0"/>
        <w:spacing w:line="500" w:lineRule="exact"/>
        <w:ind w:firstLine="420" w:firstLineChars="200"/>
        <w:rPr>
          <w:rFonts w:hint="eastAsia" w:ascii="宋体" w:hAnsi="宋体" w:cs="宋体"/>
          <w:color w:val="auto"/>
          <w:szCs w:val="21"/>
        </w:rPr>
      </w:pPr>
      <w:r>
        <w:rPr>
          <w:rFonts w:hint="eastAsia" w:ascii="宋体" w:hAnsi="宋体" w:cs="宋体"/>
          <w:color w:val="auto"/>
          <w:szCs w:val="21"/>
        </w:rPr>
        <w:t>1、因服务质量问题发生争议的，应邀请国家认可的质量检测机构进行鉴定。服务符合标准的，鉴定费由甲方承担；服务不符合标准的，鉴定费由乙方承担。</w:t>
      </w:r>
    </w:p>
    <w:p w14:paraId="0FF6B00B">
      <w:pPr>
        <w:snapToGrid w:val="0"/>
        <w:spacing w:line="500" w:lineRule="exact"/>
        <w:ind w:firstLine="420" w:firstLineChars="200"/>
        <w:rPr>
          <w:rFonts w:hint="eastAsia" w:ascii="宋体" w:hAnsi="宋体" w:cs="宋体"/>
          <w:color w:val="auto"/>
          <w:szCs w:val="21"/>
        </w:rPr>
      </w:pPr>
      <w:r>
        <w:rPr>
          <w:rFonts w:hint="eastAsia" w:ascii="宋体" w:hAnsi="宋体" w:cs="宋体"/>
          <w:color w:val="auto"/>
          <w:szCs w:val="21"/>
        </w:rPr>
        <w:t>2、因履行本合同引起的或者与本合同有关的争议，甲乙双方应首先通过友好协商解决，如果协商不能解决，可向甲方所在地有管辖权人民法院提起诉讼。</w:t>
      </w:r>
    </w:p>
    <w:p w14:paraId="38830D09">
      <w:pPr>
        <w:snapToGrid w:val="0"/>
        <w:spacing w:line="500" w:lineRule="exact"/>
        <w:ind w:firstLine="420" w:firstLineChars="200"/>
        <w:rPr>
          <w:rFonts w:hint="eastAsia" w:ascii="宋体" w:hAnsi="宋体" w:cs="宋体"/>
          <w:color w:val="auto"/>
          <w:szCs w:val="21"/>
        </w:rPr>
      </w:pPr>
      <w:r>
        <w:rPr>
          <w:rFonts w:hint="eastAsia" w:ascii="宋体" w:hAnsi="宋体" w:cs="宋体"/>
          <w:color w:val="auto"/>
          <w:szCs w:val="21"/>
        </w:rPr>
        <w:t>3、诉讼期间，本合同继续履行。</w:t>
      </w:r>
    </w:p>
    <w:p w14:paraId="0395AE16">
      <w:pPr>
        <w:spacing w:line="500" w:lineRule="exact"/>
        <w:ind w:firstLine="422" w:firstLineChars="200"/>
        <w:rPr>
          <w:rFonts w:hint="eastAsia" w:ascii="宋体" w:hAnsi="宋体" w:cs="宋体"/>
          <w:b/>
          <w:color w:val="auto"/>
          <w:szCs w:val="21"/>
        </w:rPr>
      </w:pPr>
      <w:r>
        <w:rPr>
          <w:rFonts w:hint="eastAsia" w:ascii="宋体" w:hAnsi="宋体" w:cs="宋体"/>
          <w:b/>
          <w:color w:val="auto"/>
          <w:szCs w:val="21"/>
        </w:rPr>
        <w:t>第十二条  合同生效及其他</w:t>
      </w:r>
    </w:p>
    <w:p w14:paraId="33CE7FD0">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1、合同经双方法定代表人或者授权代表签字并加盖单位公章后生效。</w:t>
      </w:r>
    </w:p>
    <w:p w14:paraId="76F7BDA3">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2、合同执行中涉及采购资金和采购内容修改或者补充的，须经财政部门审批，并签书面补充协议报财政部门备案，方可作为主合同不可分割的一部分。</w:t>
      </w:r>
    </w:p>
    <w:p w14:paraId="755AB16B">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3、本合同未尽事宜，遵照《</w:t>
      </w:r>
      <w:r>
        <w:rPr>
          <w:rFonts w:hint="eastAsia" w:hAnsi="宋体"/>
          <w:b/>
          <w:color w:val="auto"/>
          <w:szCs w:val="21"/>
        </w:rPr>
        <w:t>中华人民共和国民法典</w:t>
      </w:r>
      <w:r>
        <w:rPr>
          <w:rFonts w:hint="eastAsia" w:ascii="宋体" w:hAnsi="宋体" w:cs="宋体"/>
          <w:color w:val="auto"/>
          <w:szCs w:val="21"/>
        </w:rPr>
        <w:t>》有关条文执行。</w:t>
      </w:r>
    </w:p>
    <w:p w14:paraId="2302CCA1">
      <w:pPr>
        <w:spacing w:line="500" w:lineRule="exact"/>
        <w:ind w:firstLine="422" w:firstLineChars="200"/>
        <w:rPr>
          <w:rFonts w:hint="eastAsia" w:ascii="宋体" w:hAnsi="宋体" w:cs="宋体"/>
          <w:b/>
          <w:color w:val="auto"/>
          <w:szCs w:val="21"/>
        </w:rPr>
      </w:pPr>
      <w:r>
        <w:rPr>
          <w:rFonts w:hint="eastAsia" w:ascii="宋体" w:hAnsi="宋体" w:cs="宋体"/>
          <w:b/>
          <w:color w:val="auto"/>
          <w:szCs w:val="21"/>
        </w:rPr>
        <w:t>第十三条　合同的变更、终止与转让</w:t>
      </w:r>
    </w:p>
    <w:p w14:paraId="2CAAC0A0">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1、除《中华人民共和国政府采购法》第五十条规定的情形外，本合同一经签订，甲乙双方不得擅自变更、中止或者终止。</w:t>
      </w:r>
    </w:p>
    <w:p w14:paraId="3951174D">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2、乙方不得擅自转让其应履行的合同义务。</w:t>
      </w:r>
    </w:p>
    <w:p w14:paraId="165F757D">
      <w:pPr>
        <w:spacing w:line="500" w:lineRule="exact"/>
        <w:ind w:firstLine="422" w:firstLineChars="200"/>
        <w:rPr>
          <w:rFonts w:hint="eastAsia" w:ascii="宋体" w:hAnsi="宋体" w:cs="宋体"/>
          <w:b/>
          <w:color w:val="auto"/>
          <w:szCs w:val="21"/>
        </w:rPr>
      </w:pPr>
      <w:r>
        <w:rPr>
          <w:rFonts w:hint="eastAsia" w:ascii="宋体" w:hAnsi="宋体" w:cs="宋体"/>
          <w:b/>
          <w:color w:val="auto"/>
          <w:szCs w:val="21"/>
        </w:rPr>
        <w:t>第十四条　签订本合同依据</w:t>
      </w:r>
    </w:p>
    <w:p w14:paraId="7D78A639">
      <w:pPr>
        <w:spacing w:after="96" w:afterLines="40" w:line="400" w:lineRule="exact"/>
        <w:ind w:firstLine="420" w:firstLineChars="200"/>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 xml:space="preserve">1. 本合同； </w:t>
      </w:r>
    </w:p>
    <w:p w14:paraId="24B4007D">
      <w:pPr>
        <w:spacing w:after="96" w:afterLines="4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1"/>
          <w:sz w:val="21"/>
          <w:szCs w:val="21"/>
          <w:highlight w:val="none"/>
        </w:rPr>
        <w:t>2. 成交通知书；</w:t>
      </w:r>
    </w:p>
    <w:p w14:paraId="4253E045">
      <w:pPr>
        <w:suppressAutoHyphens/>
        <w:spacing w:after="96" w:afterLines="40" w:line="400" w:lineRule="exact"/>
        <w:ind w:firstLine="420" w:firstLineChars="200"/>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3. 乙方提供的响应文件；</w:t>
      </w:r>
    </w:p>
    <w:p w14:paraId="32C0F471">
      <w:pPr>
        <w:suppressAutoHyphens/>
        <w:spacing w:after="96" w:afterLines="40" w:line="400" w:lineRule="exact"/>
        <w:ind w:firstLine="420" w:firstLineChars="200"/>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4. 采购文件。</w:t>
      </w:r>
    </w:p>
    <w:p w14:paraId="261E87A1">
      <w:pPr>
        <w:spacing w:line="500" w:lineRule="exact"/>
        <w:ind w:firstLine="420" w:firstLineChars="200"/>
        <w:rPr>
          <w:rFonts w:hint="eastAsia" w:ascii="宋体" w:hAnsi="宋体" w:cs="宋体"/>
          <w:b/>
          <w:color w:val="auto"/>
          <w:szCs w:val="21"/>
        </w:rPr>
      </w:pPr>
      <w:r>
        <w:rPr>
          <w:rFonts w:hint="eastAsia" w:ascii="宋体" w:hAnsi="宋体" w:eastAsia="宋体" w:cs="宋体"/>
          <w:color w:val="auto"/>
          <w:kern w:val="1"/>
          <w:sz w:val="21"/>
          <w:szCs w:val="21"/>
          <w:highlight w:val="none"/>
        </w:rPr>
        <w:t>上述合同文件互相补充和解释。如果合同文件之间存在矛盾或者不一致之处，以上述文件的排列顺序在先者为准。</w:t>
      </w:r>
    </w:p>
    <w:p w14:paraId="1BCEA9D2">
      <w:pPr>
        <w:snapToGrid w:val="0"/>
        <w:spacing w:line="400" w:lineRule="exact"/>
        <w:ind w:firstLine="422" w:firstLineChars="200"/>
        <w:jc w:val="left"/>
        <w:rPr>
          <w:rFonts w:hint="eastAsia" w:ascii="宋体" w:hAnsi="宋体" w:eastAsia="宋体" w:cs="宋体"/>
          <w:color w:val="auto"/>
          <w:kern w:val="1"/>
          <w:sz w:val="21"/>
          <w:szCs w:val="21"/>
          <w:highlight w:val="none"/>
        </w:rPr>
      </w:pPr>
      <w:r>
        <w:rPr>
          <w:rFonts w:hint="eastAsia" w:ascii="宋体" w:hAnsi="宋体" w:cs="宋体"/>
          <w:b/>
          <w:color w:val="auto"/>
          <w:sz w:val="21"/>
          <w:szCs w:val="21"/>
          <w:highlight w:val="none"/>
          <w:lang w:val="en-US" w:eastAsia="zh-CN"/>
        </w:rPr>
        <w:t xml:space="preserve">第十五条 </w:t>
      </w:r>
      <w:r>
        <w:rPr>
          <w:rFonts w:hint="eastAsia" w:ascii="宋体" w:hAnsi="宋体" w:eastAsia="宋体" w:cs="宋体"/>
          <w:b/>
          <w:color w:val="auto"/>
          <w:sz w:val="21"/>
          <w:szCs w:val="21"/>
          <w:highlight w:val="none"/>
          <w:lang w:eastAsia="zh-Hans"/>
        </w:rPr>
        <w:t>通知</w:t>
      </w:r>
    </w:p>
    <w:p w14:paraId="7A288A72">
      <w:pPr>
        <w:snapToGrid/>
        <w:spacing w:line="500" w:lineRule="exact"/>
        <w:ind w:firstLine="420" w:firstLineChars="200"/>
        <w:jc w:val="left"/>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双方确认本合同落款通讯地址作为文书送达地址，该通讯地址适用于包括双方合同履行过程中的各类通知、协议等文件以及就合同发生争议进入诉讼、仲裁程序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电子邮件、传真送达的，一经发送，即视为送达。</w:t>
      </w:r>
    </w:p>
    <w:p w14:paraId="75A724D3">
      <w:pPr>
        <w:spacing w:line="500" w:lineRule="exact"/>
        <w:ind w:firstLine="422" w:firstLineChars="200"/>
        <w:rPr>
          <w:rFonts w:hint="eastAsia" w:ascii="宋体" w:hAnsi="宋体" w:cs="宋体"/>
          <w:color w:val="auto"/>
          <w:szCs w:val="21"/>
        </w:rPr>
      </w:pPr>
      <w:r>
        <w:rPr>
          <w:rFonts w:hint="eastAsia" w:ascii="宋体" w:hAnsi="宋体" w:eastAsia="宋体" w:cs="宋体"/>
          <w:b/>
          <w:color w:val="auto"/>
          <w:sz w:val="21"/>
          <w:szCs w:val="21"/>
          <w:highlight w:val="none"/>
        </w:rPr>
        <w:t>第</w:t>
      </w:r>
      <w:r>
        <w:rPr>
          <w:rFonts w:hint="eastAsia" w:ascii="宋体" w:hAnsi="宋体" w:cs="宋体"/>
          <w:b/>
          <w:color w:val="auto"/>
          <w:sz w:val="21"/>
          <w:szCs w:val="21"/>
          <w:highlight w:val="none"/>
          <w:lang w:val="en-US" w:eastAsia="zh-CN"/>
        </w:rPr>
        <w:t>十六</w:t>
      </w:r>
      <w:r>
        <w:rPr>
          <w:rFonts w:hint="eastAsia" w:ascii="宋体" w:hAnsi="宋体" w:eastAsia="宋体" w:cs="宋体"/>
          <w:b/>
          <w:color w:val="auto"/>
          <w:sz w:val="21"/>
          <w:szCs w:val="21"/>
          <w:highlight w:val="none"/>
        </w:rPr>
        <w:t xml:space="preserve">条 </w:t>
      </w:r>
      <w:r>
        <w:rPr>
          <w:rFonts w:hint="eastAsia" w:ascii="宋体" w:hAnsi="宋体" w:eastAsia="宋体" w:cs="宋体"/>
          <w:color w:val="auto"/>
          <w:kern w:val="1"/>
          <w:sz w:val="21"/>
          <w:szCs w:val="21"/>
          <w:highlight w:val="none"/>
        </w:rPr>
        <w:t>本合同一式四份，具有同等法律效力。甲方二份，乙方二份。</w:t>
      </w:r>
    </w:p>
    <w:p w14:paraId="7F5BC03F">
      <w:pPr>
        <w:snapToGrid w:val="0"/>
        <w:spacing w:line="400" w:lineRule="exact"/>
        <w:ind w:firstLine="420" w:firstLineChars="200"/>
        <w:rPr>
          <w:rFonts w:hint="eastAsia" w:ascii="宋体" w:hAnsi="宋体" w:eastAsia="宋体" w:cs="宋体"/>
          <w:color w:val="auto"/>
          <w:kern w:val="1"/>
          <w:sz w:val="21"/>
          <w:szCs w:val="21"/>
          <w:highlight w:val="none"/>
        </w:rPr>
      </w:pPr>
    </w:p>
    <w:p w14:paraId="5A14ACE7">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（以下为签章页，无正文）</w:t>
      </w:r>
    </w:p>
    <w:p w14:paraId="2E2F1B67">
      <w:pPr>
        <w:snapToGrid w:val="0"/>
        <w:spacing w:line="400" w:lineRule="exact"/>
        <w:ind w:firstLine="420" w:firstLineChars="200"/>
        <w:rPr>
          <w:rFonts w:hint="eastAsia" w:ascii="宋体" w:hAnsi="宋体" w:eastAsia="宋体" w:cs="宋体"/>
          <w:color w:val="auto"/>
          <w:sz w:val="21"/>
          <w:szCs w:val="21"/>
          <w:highlight w:val="none"/>
        </w:rPr>
      </w:pPr>
    </w:p>
    <w:tbl>
      <w:tblPr>
        <w:tblStyle w:val="41"/>
        <w:tblW w:w="51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1"/>
        <w:gridCol w:w="5108"/>
      </w:tblGrid>
      <w:tr w14:paraId="769B4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45" w:type="dxa"/>
            <w:noWrap w:val="0"/>
            <w:vAlign w:val="center"/>
          </w:tcPr>
          <w:p w14:paraId="42D52890">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甲方（章）</w:t>
            </w:r>
            <w:r>
              <w:rPr>
                <w:rFonts w:hint="eastAsia" w:ascii="宋体" w:hAnsi="宋体" w:cs="宋体"/>
                <w:color w:val="auto"/>
                <w:sz w:val="21"/>
                <w:szCs w:val="21"/>
                <w:highlight w:val="none"/>
                <w:lang w:eastAsia="zh-CN"/>
              </w:rPr>
              <w:t>广西农业职业技术大学</w:t>
            </w:r>
            <w:r>
              <w:rPr>
                <w:rFonts w:hint="eastAsia" w:ascii="宋体" w:hAnsi="宋体" w:eastAsia="宋体" w:cs="宋体"/>
                <w:color w:val="auto"/>
                <w:sz w:val="21"/>
                <w:szCs w:val="21"/>
                <w:highlight w:val="none"/>
              </w:rPr>
              <w:t xml:space="preserve"> </w:t>
            </w:r>
          </w:p>
        </w:tc>
        <w:tc>
          <w:tcPr>
            <w:tcW w:w="4825" w:type="dxa"/>
            <w:noWrap w:val="0"/>
            <w:vAlign w:val="center"/>
          </w:tcPr>
          <w:p w14:paraId="3EEAE8AA">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乙方（章）  </w:t>
            </w:r>
          </w:p>
        </w:tc>
      </w:tr>
      <w:tr w14:paraId="6577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45" w:type="dxa"/>
            <w:noWrap w:val="0"/>
            <w:vAlign w:val="center"/>
          </w:tcPr>
          <w:p w14:paraId="0CDC553C">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w:t>
            </w:r>
          </w:p>
        </w:tc>
        <w:tc>
          <w:tcPr>
            <w:tcW w:w="4825" w:type="dxa"/>
            <w:noWrap w:val="0"/>
            <w:vAlign w:val="center"/>
          </w:tcPr>
          <w:p w14:paraId="11314E78">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单位地址： </w:t>
            </w:r>
          </w:p>
        </w:tc>
      </w:tr>
      <w:tr w14:paraId="28708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45" w:type="dxa"/>
            <w:noWrap w:val="0"/>
            <w:vAlign w:val="center"/>
          </w:tcPr>
          <w:p w14:paraId="5C61A14D">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4825" w:type="dxa"/>
            <w:noWrap w:val="0"/>
            <w:vAlign w:val="center"/>
          </w:tcPr>
          <w:p w14:paraId="749F4769">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法定代表人（负责人或自然人）：</w:t>
            </w:r>
          </w:p>
        </w:tc>
      </w:tr>
      <w:tr w14:paraId="71763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45" w:type="dxa"/>
            <w:noWrap w:val="0"/>
            <w:vAlign w:val="center"/>
          </w:tcPr>
          <w:p w14:paraId="2DDCC839">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c>
          <w:tcPr>
            <w:tcW w:w="4825" w:type="dxa"/>
            <w:noWrap w:val="0"/>
            <w:vAlign w:val="center"/>
          </w:tcPr>
          <w:p w14:paraId="5CFDFC01">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r>
      <w:tr w14:paraId="24B0F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45" w:type="dxa"/>
            <w:noWrap w:val="0"/>
            <w:vAlign w:val="center"/>
          </w:tcPr>
          <w:p w14:paraId="28DC9245">
            <w:pPr>
              <w:snapToGrid w:val="0"/>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电话：</w:t>
            </w:r>
          </w:p>
        </w:tc>
        <w:tc>
          <w:tcPr>
            <w:tcW w:w="4825" w:type="dxa"/>
            <w:noWrap w:val="0"/>
            <w:vAlign w:val="center"/>
          </w:tcPr>
          <w:p w14:paraId="05CA4863">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电话（手机）：</w:t>
            </w:r>
          </w:p>
        </w:tc>
      </w:tr>
      <w:tr w14:paraId="7BE93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45" w:type="dxa"/>
            <w:noWrap w:val="0"/>
            <w:vAlign w:val="center"/>
          </w:tcPr>
          <w:p w14:paraId="6E326775">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4825" w:type="dxa"/>
            <w:noWrap w:val="0"/>
            <w:vAlign w:val="center"/>
          </w:tcPr>
          <w:p w14:paraId="18965249">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 </w:t>
            </w:r>
          </w:p>
        </w:tc>
      </w:tr>
      <w:tr w14:paraId="5D914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45" w:type="dxa"/>
            <w:noWrap w:val="0"/>
            <w:vAlign w:val="center"/>
          </w:tcPr>
          <w:p w14:paraId="00097A54">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账号： </w:t>
            </w:r>
          </w:p>
        </w:tc>
        <w:tc>
          <w:tcPr>
            <w:tcW w:w="4825" w:type="dxa"/>
            <w:noWrap w:val="0"/>
            <w:vAlign w:val="center"/>
          </w:tcPr>
          <w:p w14:paraId="009AB5A9">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r>
      <w:tr w14:paraId="6AB32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45" w:type="dxa"/>
            <w:noWrap w:val="0"/>
            <w:vAlign w:val="center"/>
          </w:tcPr>
          <w:p w14:paraId="54068AF4">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tc>
        <w:tc>
          <w:tcPr>
            <w:tcW w:w="4825" w:type="dxa"/>
            <w:noWrap w:val="0"/>
            <w:vAlign w:val="center"/>
          </w:tcPr>
          <w:p w14:paraId="20BDDBD3">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tc>
      </w:tr>
      <w:tr w14:paraId="1378A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45" w:type="dxa"/>
            <w:noWrap w:val="0"/>
            <w:vAlign w:val="center"/>
          </w:tcPr>
          <w:p w14:paraId="23B70007">
            <w:pPr>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4825" w:type="dxa"/>
            <w:noWrap w:val="0"/>
            <w:vAlign w:val="center"/>
          </w:tcPr>
          <w:p w14:paraId="49C19D5C">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r>
    </w:tbl>
    <w:p w14:paraId="7AE09240">
      <w:pPr>
        <w:rPr>
          <w:rFonts w:hint="eastAsia"/>
          <w:color w:val="auto"/>
          <w:highlight w:val="none"/>
        </w:rPr>
      </w:pPr>
    </w:p>
    <w:p w14:paraId="403FD2B5">
      <w:pPr>
        <w:rPr>
          <w:rFonts w:hint="eastAsia" w:ascii="宋体" w:hAnsi="宋体" w:cs="宋体"/>
          <w:color w:val="auto"/>
          <w:highlight w:val="none"/>
        </w:rPr>
      </w:pPr>
    </w:p>
    <w:p w14:paraId="7FF150FE"/>
    <w:p w14:paraId="38727804"/>
    <w:p w14:paraId="1FAAC694"/>
    <w:p w14:paraId="4D1C7FFB">
      <w:pPr>
        <w:rPr>
          <w:rFonts w:ascii="宋体" w:hAnsi="宋体" w:cs="宋体"/>
          <w:color w:val="auto"/>
          <w:szCs w:val="21"/>
          <w:highlight w:val="none"/>
        </w:rPr>
      </w:pPr>
    </w:p>
    <w:p w14:paraId="5A74C830">
      <w:pPr>
        <w:rPr>
          <w:rFonts w:ascii="宋体" w:hAnsi="宋体" w:cs="宋体"/>
          <w:color w:val="auto"/>
          <w:szCs w:val="21"/>
          <w:highlight w:val="none"/>
        </w:rPr>
      </w:pPr>
    </w:p>
    <w:p w14:paraId="5AF087A8">
      <w:pPr>
        <w:spacing w:line="440" w:lineRule="exact"/>
        <w:rPr>
          <w:rFonts w:ascii="宋体" w:hAnsi="宋体" w:cs="宋体"/>
          <w:color w:val="auto"/>
          <w:szCs w:val="21"/>
          <w:highlight w:val="none"/>
        </w:rPr>
      </w:pPr>
    </w:p>
    <w:p w14:paraId="262CB8DF">
      <w:pPr>
        <w:pStyle w:val="3"/>
        <w:spacing w:line="440" w:lineRule="exact"/>
        <w:jc w:val="center"/>
        <w:rPr>
          <w:rFonts w:ascii="宋体" w:hAnsi="宋体" w:cs="宋体"/>
          <w:color w:val="auto"/>
          <w:sz w:val="32"/>
          <w:szCs w:val="32"/>
          <w:highlight w:val="none"/>
        </w:rPr>
      </w:pPr>
      <w:r>
        <w:rPr>
          <w:rFonts w:hint="eastAsia" w:ascii="宋体" w:hAnsi="宋体" w:cs="宋体"/>
          <w:color w:val="auto"/>
          <w:sz w:val="24"/>
          <w:highlight w:val="none"/>
        </w:rPr>
        <w:br w:type="page"/>
      </w:r>
      <w:bookmarkStart w:id="31" w:name="_Toc88747296"/>
      <w:r>
        <w:rPr>
          <w:rFonts w:hint="eastAsia" w:ascii="宋体" w:hAnsi="宋体" w:cs="宋体"/>
          <w:color w:val="auto"/>
          <w:sz w:val="32"/>
          <w:szCs w:val="32"/>
          <w:highlight w:val="none"/>
        </w:rPr>
        <w:t>第六章 评审方法和评审标准</w:t>
      </w:r>
      <w:bookmarkEnd w:id="31"/>
    </w:p>
    <w:p w14:paraId="670C0548">
      <w:pPr>
        <w:pStyle w:val="23"/>
        <w:spacing w:line="440" w:lineRule="exact"/>
        <w:ind w:firstLine="420"/>
        <w:rPr>
          <w:rFonts w:hAnsi="宋体" w:cs="宋体"/>
          <w:b/>
          <w:bCs/>
          <w:color w:val="auto"/>
          <w:sz w:val="21"/>
          <w:highlight w:val="none"/>
        </w:rPr>
      </w:pPr>
      <w:bookmarkStart w:id="32" w:name="OLE_LINK75"/>
      <w:r>
        <w:rPr>
          <w:rFonts w:hint="eastAsia" w:hAnsi="宋体" w:cs="宋体"/>
          <w:b/>
          <w:bCs/>
          <w:color w:val="auto"/>
          <w:sz w:val="21"/>
          <w:highlight w:val="none"/>
        </w:rPr>
        <w:t>一、评标原则</w:t>
      </w:r>
    </w:p>
    <w:p w14:paraId="44A4F6F6">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(一)“磋商小组”构成：本采购项目的“磋商小组”分别由依法组成的评审专家、采购人代表共</w:t>
      </w:r>
      <w:r>
        <w:rPr>
          <w:rFonts w:hint="eastAsia" w:ascii="宋体" w:hAnsi="宋体" w:cs="宋体"/>
          <w:color w:val="auto"/>
          <w:szCs w:val="21"/>
          <w:highlight w:val="none"/>
          <w:u w:val="single"/>
        </w:rPr>
        <w:t>三</w:t>
      </w:r>
      <w:r>
        <w:rPr>
          <w:rFonts w:hint="eastAsia" w:ascii="宋体" w:hAnsi="宋体" w:cs="宋体"/>
          <w:color w:val="auto"/>
          <w:szCs w:val="21"/>
          <w:highlight w:val="none"/>
        </w:rPr>
        <w:t>人以上单数构成，其中评审专家人数不少于成员总数的三分之二。</w:t>
      </w:r>
    </w:p>
    <w:p w14:paraId="45B2F81D">
      <w:pPr>
        <w:pStyle w:val="23"/>
        <w:spacing w:line="440" w:lineRule="exact"/>
        <w:ind w:firstLine="420"/>
        <w:rPr>
          <w:rFonts w:hAnsi="宋体" w:cs="宋体"/>
          <w:color w:val="auto"/>
          <w:kern w:val="2"/>
          <w:sz w:val="21"/>
          <w:highlight w:val="none"/>
        </w:rPr>
      </w:pPr>
      <w:r>
        <w:rPr>
          <w:rFonts w:hint="eastAsia" w:hAnsi="宋体" w:cs="宋体"/>
          <w:color w:val="auto"/>
          <w:kern w:val="2"/>
          <w:sz w:val="21"/>
          <w:highlight w:val="none"/>
        </w:rPr>
        <w:t>(二)评审依据：磋商小组将以磋商响应文件为评审依据，对供应商的报价、技术服务方案、商务等方面内容按百分制打分。（计分方法按四舍五入取至百分位）。</w:t>
      </w:r>
    </w:p>
    <w:p w14:paraId="644CE2FE">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（三）评标方式：以封闭方式进行。评审全过程中不允许供应商与“磋商小组”之间有可能影响到评审结果公正性的私下会面与谈话，以体现公平、公正的基本原则。</w:t>
      </w:r>
    </w:p>
    <w:p w14:paraId="297AD886">
      <w:pPr>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（四）采购人和采购代理机构、评标委员会成员要严格遵守政府采购相关法律制度，依法履行各自职责，公正、客观、审慎地组织和参与评审工作。</w:t>
      </w:r>
    </w:p>
    <w:p w14:paraId="02F137E0">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二、评标方法</w:t>
      </w:r>
    </w:p>
    <w:p w14:paraId="652F5183">
      <w:pPr>
        <w:snapToGrid w:val="0"/>
        <w:spacing w:line="440" w:lineRule="exact"/>
        <w:ind w:firstLine="643" w:firstLineChars="200"/>
        <w:rPr>
          <w:rFonts w:hint="eastAsia" w:ascii="宋体" w:hAnsi="宋体" w:eastAsia="宋体" w:cs="宋体"/>
          <w:b/>
          <w:bCs w:val="0"/>
          <w:color w:val="auto"/>
          <w:sz w:val="32"/>
          <w:szCs w:val="32"/>
          <w:highlight w:val="none"/>
          <w:shd w:val="clear" w:fill="D7D7D7" w:themeFill="background1" w:themeFillShade="D8"/>
          <w:lang w:eastAsia="zh-CN"/>
        </w:rPr>
      </w:pPr>
      <w:r>
        <w:rPr>
          <w:rFonts w:hint="eastAsia" w:ascii="宋体" w:hAnsi="宋体" w:cs="宋体"/>
          <w:b/>
          <w:bCs w:val="0"/>
          <w:color w:val="auto"/>
          <w:sz w:val="32"/>
          <w:szCs w:val="32"/>
          <w:highlight w:val="none"/>
          <w:shd w:val="clear" w:fill="D7D7D7" w:themeFill="background1" w:themeFillShade="D8"/>
          <w:lang w:eastAsia="zh-CN"/>
        </w:rPr>
        <w:t>（</w:t>
      </w:r>
      <w:r>
        <w:rPr>
          <w:rFonts w:hint="eastAsia" w:ascii="宋体" w:hAnsi="宋体" w:cs="宋体"/>
          <w:b/>
          <w:bCs w:val="0"/>
          <w:color w:val="auto"/>
          <w:sz w:val="32"/>
          <w:szCs w:val="32"/>
          <w:highlight w:val="none"/>
          <w:shd w:val="clear" w:fill="D7D7D7" w:themeFill="background1" w:themeFillShade="D8"/>
          <w:lang w:val="en-US" w:eastAsia="zh-CN"/>
        </w:rPr>
        <w:t>标项一</w:t>
      </w:r>
      <w:r>
        <w:rPr>
          <w:rFonts w:hint="eastAsia" w:ascii="宋体" w:hAnsi="宋体" w:cs="宋体"/>
          <w:b/>
          <w:bCs w:val="0"/>
          <w:color w:val="auto"/>
          <w:sz w:val="32"/>
          <w:szCs w:val="32"/>
          <w:highlight w:val="none"/>
          <w:shd w:val="clear" w:fill="D7D7D7" w:themeFill="background1" w:themeFillShade="D8"/>
          <w:lang w:eastAsia="zh-CN"/>
        </w:rPr>
        <w:t>）</w:t>
      </w:r>
    </w:p>
    <w:p w14:paraId="14B4FED3">
      <w:pPr>
        <w:pStyle w:val="23"/>
        <w:spacing w:line="440" w:lineRule="exact"/>
        <w:ind w:firstLine="420"/>
        <w:rPr>
          <w:rFonts w:hAnsi="宋体" w:cs="宋体"/>
          <w:color w:val="auto"/>
          <w:sz w:val="21"/>
          <w:highlight w:val="none"/>
        </w:rPr>
      </w:pPr>
      <w:r>
        <w:rPr>
          <w:rFonts w:hint="eastAsia" w:hAnsi="宋体" w:cs="宋体"/>
          <w:color w:val="auto"/>
          <w:sz w:val="21"/>
          <w:highlight w:val="none"/>
        </w:rPr>
        <w:t>对进入详评的，采用百分制综合评分法，计分办法（按四舍五入取至百分位）：</w:t>
      </w:r>
    </w:p>
    <w:p w14:paraId="7EA6C2E8">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1、价格分………………………………………………………………………………………</w:t>
      </w:r>
      <w:r>
        <w:rPr>
          <w:rFonts w:hint="eastAsia" w:hAnsi="宋体" w:cs="宋体"/>
          <w:b/>
          <w:bCs/>
          <w:color w:val="auto"/>
          <w:sz w:val="21"/>
          <w:highlight w:val="none"/>
          <w:lang w:val="en-US" w:eastAsia="zh-CN"/>
        </w:rPr>
        <w:t>15</w:t>
      </w:r>
      <w:r>
        <w:rPr>
          <w:rFonts w:hint="eastAsia" w:hAnsi="宋体" w:cs="宋体"/>
          <w:b/>
          <w:bCs/>
          <w:color w:val="auto"/>
          <w:sz w:val="21"/>
          <w:highlight w:val="none"/>
        </w:rPr>
        <w:t>分</w:t>
      </w:r>
    </w:p>
    <w:p w14:paraId="23F7F14C">
      <w:pPr>
        <w:pStyle w:val="23"/>
        <w:spacing w:line="440" w:lineRule="exact"/>
        <w:ind w:firstLine="420"/>
        <w:rPr>
          <w:rFonts w:hint="eastAsia" w:hAnsi="宋体" w:cs="宋体"/>
          <w:color w:val="auto"/>
          <w:sz w:val="21"/>
          <w:highlight w:val="none"/>
        </w:rPr>
      </w:pPr>
      <w:r>
        <w:rPr>
          <w:rFonts w:hint="eastAsia" w:hAnsi="宋体" w:cs="宋体"/>
          <w:color w:val="auto"/>
          <w:sz w:val="21"/>
          <w:highlight w:val="none"/>
        </w:rPr>
        <w:t>（1）评审价为供应商的最后报价进行政策性扣除后的价格，评审价只是作为评审时使用。最终成交供应商的成交金额等于最后报价（如有修正，以确认修正后的最后报价为准）。</w:t>
      </w:r>
    </w:p>
    <w:p w14:paraId="64FBC5E6">
      <w:pPr>
        <w:pStyle w:val="23"/>
        <w:spacing w:line="440" w:lineRule="exact"/>
        <w:ind w:firstLine="420"/>
        <w:rPr>
          <w:rFonts w:hint="eastAsia" w:hAnsi="宋体" w:cs="宋体"/>
          <w:color w:val="auto"/>
          <w:sz w:val="21"/>
          <w:highlight w:val="none"/>
        </w:rPr>
      </w:pPr>
      <w:r>
        <w:rPr>
          <w:rFonts w:hint="eastAsia" w:hAnsi="宋体" w:cs="宋体"/>
          <w:color w:val="auto"/>
          <w:sz w:val="21"/>
          <w:highlight w:val="none"/>
        </w:rPr>
        <w:t>（2）政府采购政策性扣除计算方法</w:t>
      </w:r>
    </w:p>
    <w:p w14:paraId="534C35C3">
      <w:pPr>
        <w:pStyle w:val="23"/>
        <w:spacing w:line="440" w:lineRule="exact"/>
        <w:ind w:firstLine="420"/>
        <w:rPr>
          <w:rFonts w:hint="eastAsia" w:hAnsi="宋体" w:cs="宋体"/>
          <w:color w:val="auto"/>
          <w:sz w:val="21"/>
          <w:highlight w:val="none"/>
        </w:rPr>
      </w:pPr>
      <w:r>
        <w:rPr>
          <w:rFonts w:hint="eastAsia" w:hAnsi="宋体" w:cs="宋体"/>
          <w:color w:val="auto"/>
          <w:sz w:val="21"/>
          <w:highlight w:val="none"/>
        </w:rPr>
        <w:t>根据《政府采购促进中小企业发展管理办法》（财库〔2020〕46号）及《广西壮族自治区财政厅关于持续优化政府采购营商环境推动高质量发展的通知》（桂财采〔2024〕55号）的规定，供应商在其响应文件中提供《中小企业声明函》，且服务全部由小微企业承接，对供应商的最后报价给予20%的扣除，扣除后的价格为评审价，即评审价=最后报价×（1-20%）。</w:t>
      </w:r>
    </w:p>
    <w:p w14:paraId="6F34CF2B">
      <w:pPr>
        <w:pStyle w:val="23"/>
        <w:spacing w:line="440" w:lineRule="exact"/>
        <w:ind w:firstLine="420"/>
        <w:rPr>
          <w:rFonts w:hint="eastAsia" w:hAnsi="宋体" w:cs="宋体"/>
          <w:color w:val="auto"/>
          <w:sz w:val="21"/>
          <w:highlight w:val="none"/>
        </w:rPr>
      </w:pPr>
      <w:r>
        <w:rPr>
          <w:rFonts w:hint="eastAsia" w:hAnsi="宋体" w:cs="宋体"/>
          <w:color w:val="auto"/>
          <w:sz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2ED82D11">
      <w:pPr>
        <w:pStyle w:val="23"/>
        <w:spacing w:line="440" w:lineRule="exact"/>
        <w:ind w:firstLine="420"/>
        <w:rPr>
          <w:rFonts w:hint="eastAsia" w:hAnsi="宋体" w:cs="宋体"/>
          <w:color w:val="auto"/>
          <w:sz w:val="21"/>
          <w:highlight w:val="none"/>
        </w:rPr>
      </w:pPr>
      <w:r>
        <w:rPr>
          <w:rFonts w:hint="eastAsia" w:hAnsi="宋体" w:cs="宋体"/>
          <w:color w:val="auto"/>
          <w:sz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1D1D13A">
      <w:pPr>
        <w:pStyle w:val="23"/>
        <w:spacing w:line="440" w:lineRule="exact"/>
        <w:ind w:firstLine="420"/>
        <w:rPr>
          <w:rFonts w:hint="eastAsia" w:hAnsi="宋体" w:cs="宋体"/>
          <w:color w:val="auto"/>
          <w:sz w:val="21"/>
          <w:highlight w:val="none"/>
        </w:rPr>
      </w:pPr>
      <w:r>
        <w:rPr>
          <w:rFonts w:hint="eastAsia" w:hAnsi="宋体" w:cs="宋体"/>
          <w:color w:val="auto"/>
          <w:sz w:val="21"/>
          <w:highlight w:val="none"/>
        </w:rPr>
        <w:t>（5）本国产品政策性扣除计算方法。</w:t>
      </w:r>
    </w:p>
    <w:p w14:paraId="32944D24">
      <w:pPr>
        <w:pStyle w:val="23"/>
        <w:spacing w:line="440" w:lineRule="exact"/>
        <w:ind w:firstLine="420"/>
        <w:rPr>
          <w:rFonts w:hint="eastAsia" w:hAnsi="宋体" w:cs="宋体"/>
          <w:color w:val="auto"/>
          <w:sz w:val="21"/>
          <w:highlight w:val="none"/>
        </w:rPr>
      </w:pPr>
      <w:r>
        <w:rPr>
          <w:rFonts w:hint="eastAsia" w:hAnsi="宋体" w:cs="宋体"/>
          <w:color w:val="auto"/>
          <w:sz w:val="21"/>
          <w:highlight w:val="none"/>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25F4297F">
      <w:pPr>
        <w:pStyle w:val="23"/>
        <w:spacing w:line="440" w:lineRule="exact"/>
        <w:ind w:firstLine="420"/>
        <w:rPr>
          <w:rFonts w:hint="eastAsia" w:hAnsi="宋体" w:cs="宋体"/>
          <w:color w:val="auto"/>
          <w:sz w:val="21"/>
          <w:highlight w:val="none"/>
        </w:rPr>
      </w:pPr>
      <w:r>
        <w:rPr>
          <w:rFonts w:hint="eastAsia" w:hAnsi="宋体" w:cs="宋体"/>
          <w:color w:val="auto"/>
          <w:sz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14:paraId="69107C2D">
      <w:pPr>
        <w:pStyle w:val="23"/>
        <w:spacing w:line="440" w:lineRule="exact"/>
        <w:ind w:firstLine="420"/>
        <w:rPr>
          <w:rFonts w:hint="eastAsia" w:hAnsi="宋体" w:cs="宋体"/>
          <w:color w:val="auto"/>
          <w:sz w:val="21"/>
          <w:highlight w:val="none"/>
        </w:rPr>
      </w:pPr>
      <w:r>
        <w:rPr>
          <w:rFonts w:hint="eastAsia" w:hAnsi="宋体" w:cs="宋体"/>
          <w:color w:val="auto"/>
          <w:sz w:val="21"/>
          <w:highlight w:val="none"/>
        </w:rPr>
        <w:t>供应商在其响应文件中提供《关于符合本国产品标准的声明函》或财政部会同有关部门规定的有关证明文件，出具符合要求的《声明函》或有关证明文件的，该产品视为本国产品。</w:t>
      </w:r>
    </w:p>
    <w:p w14:paraId="46739A58">
      <w:pPr>
        <w:pStyle w:val="23"/>
        <w:spacing w:line="440" w:lineRule="exact"/>
        <w:ind w:firstLine="420"/>
        <w:rPr>
          <w:rFonts w:hint="eastAsia" w:hAnsi="宋体" w:cs="宋体"/>
          <w:color w:val="auto"/>
          <w:sz w:val="21"/>
          <w:highlight w:val="none"/>
        </w:rPr>
      </w:pPr>
      <w:r>
        <w:rPr>
          <w:rFonts w:hint="eastAsia" w:hAnsi="宋体" w:cs="宋体"/>
          <w:color w:val="auto"/>
          <w:sz w:val="21"/>
          <w:highlight w:val="none"/>
        </w:rPr>
        <w:t>如果所有参与竞争的供应商均可享受本国产品价格评审优惠，则统一不进行价格扣除。</w:t>
      </w:r>
    </w:p>
    <w:p w14:paraId="368F94A1">
      <w:pPr>
        <w:pStyle w:val="23"/>
        <w:spacing w:line="440" w:lineRule="exact"/>
        <w:ind w:firstLine="420"/>
        <w:rPr>
          <w:rFonts w:hint="eastAsia" w:hAnsi="宋体" w:cs="宋体"/>
          <w:color w:val="auto"/>
          <w:sz w:val="21"/>
          <w:highlight w:val="none"/>
        </w:rPr>
      </w:pPr>
      <w:r>
        <w:rPr>
          <w:rFonts w:hint="eastAsia" w:hAnsi="宋体" w:cs="宋体"/>
          <w:color w:val="auto"/>
          <w:sz w:val="21"/>
          <w:highlight w:val="none"/>
        </w:rPr>
        <w:t>（6）中小企业折扣与本国产品折扣进行叠加计算，用扣除后的价格参加评审。即评审价=竞标报价-中小企业折扣-本国产品折扣，除上述情况外，评审价=竞标报价。</w:t>
      </w:r>
    </w:p>
    <w:p w14:paraId="176E8307">
      <w:pPr>
        <w:pStyle w:val="23"/>
        <w:spacing w:line="440" w:lineRule="exact"/>
        <w:ind w:firstLine="420"/>
        <w:rPr>
          <w:rFonts w:hint="eastAsia" w:hAnsi="宋体" w:cs="宋体"/>
          <w:color w:val="auto"/>
          <w:sz w:val="21"/>
          <w:highlight w:val="none"/>
        </w:rPr>
      </w:pPr>
      <w:r>
        <w:rPr>
          <w:rFonts w:hint="eastAsia" w:hAnsi="宋体" w:cs="宋体"/>
          <w:color w:val="auto"/>
          <w:sz w:val="21"/>
          <w:highlight w:val="none"/>
        </w:rPr>
        <w:t>（7）以进入比较与评价环节的最低的评审价为基准价，基准价得分为</w:t>
      </w:r>
      <w:r>
        <w:rPr>
          <w:rFonts w:hint="eastAsia" w:hAnsi="宋体" w:cs="宋体"/>
          <w:color w:val="auto"/>
          <w:sz w:val="21"/>
          <w:highlight w:val="none"/>
          <w:lang w:val="en-US" w:eastAsia="zh-CN"/>
        </w:rPr>
        <w:t>15</w:t>
      </w:r>
      <w:r>
        <w:rPr>
          <w:rFonts w:hint="eastAsia" w:hAnsi="宋体" w:cs="宋体"/>
          <w:color w:val="auto"/>
          <w:sz w:val="21"/>
          <w:highlight w:val="none"/>
        </w:rPr>
        <w:t>分。</w:t>
      </w:r>
    </w:p>
    <w:p w14:paraId="412C92B0">
      <w:pPr>
        <w:pStyle w:val="23"/>
        <w:spacing w:line="440" w:lineRule="exact"/>
        <w:ind w:firstLine="420"/>
        <w:rPr>
          <w:rFonts w:hAnsi="宋体" w:cs="宋体"/>
          <w:color w:val="auto"/>
          <w:sz w:val="21"/>
          <w:highlight w:val="none"/>
        </w:rPr>
      </w:pPr>
      <w:r>
        <w:rPr>
          <w:rFonts w:hint="eastAsia" w:hAnsi="宋体" w:cs="宋体"/>
          <w:color w:val="auto"/>
          <w:sz w:val="21"/>
          <w:highlight w:val="none"/>
        </w:rPr>
        <w:t>（8）价格分计算公式：</w:t>
      </w:r>
      <w:r>
        <w:rPr>
          <w:rFonts w:hint="eastAsia" w:hAnsi="宋体" w:cs="宋体"/>
          <w:b/>
          <w:bCs/>
          <w:color w:val="auto"/>
          <w:sz w:val="21"/>
          <w:highlight w:val="none"/>
          <w:lang w:val="en-US" w:eastAsia="zh-CN"/>
        </w:rPr>
        <w:t>供应商</w:t>
      </w:r>
      <w:r>
        <w:rPr>
          <w:rFonts w:hint="eastAsia" w:hAnsi="宋体" w:cs="宋体"/>
          <w:b/>
          <w:bCs/>
          <w:color w:val="auto"/>
          <w:sz w:val="21"/>
          <w:highlight w:val="none"/>
        </w:rPr>
        <w:t>报价得分=（基准价/</w:t>
      </w:r>
      <w:r>
        <w:rPr>
          <w:rFonts w:hint="eastAsia" w:hAnsi="宋体" w:cs="宋体"/>
          <w:b/>
          <w:bCs/>
          <w:color w:val="auto"/>
          <w:sz w:val="21"/>
          <w:highlight w:val="none"/>
          <w:lang w:val="en-US" w:eastAsia="zh-CN"/>
        </w:rPr>
        <w:t>某有效供应商</w:t>
      </w:r>
      <w:r>
        <w:rPr>
          <w:rFonts w:hint="eastAsia" w:hAnsi="宋体" w:cs="宋体"/>
          <w:b/>
          <w:bCs/>
          <w:color w:val="auto"/>
          <w:sz w:val="21"/>
          <w:highlight w:val="none"/>
        </w:rPr>
        <w:t>最后</w:t>
      </w:r>
      <w:r>
        <w:rPr>
          <w:rFonts w:hint="eastAsia" w:hAnsi="宋体" w:cs="宋体"/>
          <w:b/>
          <w:bCs/>
          <w:color w:val="auto"/>
          <w:sz w:val="21"/>
          <w:highlight w:val="none"/>
          <w:lang w:val="en-US" w:eastAsia="zh-CN"/>
        </w:rPr>
        <w:t>评审</w:t>
      </w:r>
      <w:r>
        <w:rPr>
          <w:rFonts w:hint="eastAsia" w:hAnsi="宋体" w:cs="宋体"/>
          <w:b/>
          <w:bCs/>
          <w:color w:val="auto"/>
          <w:sz w:val="21"/>
          <w:highlight w:val="none"/>
        </w:rPr>
        <w:t>报价）×</w:t>
      </w:r>
      <w:r>
        <w:rPr>
          <w:rFonts w:hint="eastAsia" w:hAnsi="宋体" w:cs="宋体"/>
          <w:b/>
          <w:bCs/>
          <w:color w:val="auto"/>
          <w:sz w:val="21"/>
          <w:highlight w:val="none"/>
          <w:lang w:val="en-US" w:eastAsia="zh-CN"/>
        </w:rPr>
        <w:t>15</w:t>
      </w:r>
      <w:r>
        <w:rPr>
          <w:rFonts w:hint="eastAsia" w:hAnsi="宋体" w:cs="宋体"/>
          <w:b/>
          <w:bCs/>
          <w:color w:val="auto"/>
          <w:sz w:val="21"/>
          <w:highlight w:val="none"/>
        </w:rPr>
        <w:t>分</w:t>
      </w:r>
      <w:r>
        <w:rPr>
          <w:rFonts w:hint="eastAsia" w:hAnsi="宋体" w:cs="宋体"/>
          <w:color w:val="auto"/>
          <w:sz w:val="21"/>
          <w:highlight w:val="none"/>
        </w:rPr>
        <w:t>。</w:t>
      </w:r>
    </w:p>
    <w:p w14:paraId="47291360">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2、技术分………………………………………………………………………………………</w:t>
      </w:r>
      <w:r>
        <w:rPr>
          <w:rFonts w:hint="eastAsia" w:hAnsi="宋体" w:cs="宋体"/>
          <w:b/>
          <w:bCs/>
          <w:color w:val="auto"/>
          <w:sz w:val="21"/>
          <w:highlight w:val="none"/>
          <w:lang w:val="en-US" w:eastAsia="zh-CN"/>
        </w:rPr>
        <w:t>60</w:t>
      </w:r>
      <w:r>
        <w:rPr>
          <w:rFonts w:hint="eastAsia" w:hAnsi="宋体" w:cs="宋体"/>
          <w:b/>
          <w:bCs/>
          <w:color w:val="auto"/>
          <w:sz w:val="21"/>
          <w:highlight w:val="none"/>
        </w:rPr>
        <w:t>分</w:t>
      </w:r>
    </w:p>
    <w:p w14:paraId="08589A77">
      <w:pPr>
        <w:pStyle w:val="23"/>
        <w:spacing w:line="440" w:lineRule="exact"/>
        <w:ind w:firstLine="420"/>
        <w:rPr>
          <w:rFonts w:hint="eastAsia" w:hAnsi="宋体" w:cs="宋体"/>
          <w:b/>
          <w:bCs/>
          <w:color w:val="auto"/>
          <w:sz w:val="21"/>
          <w:highlight w:val="none"/>
        </w:rPr>
      </w:pPr>
      <w:r>
        <w:rPr>
          <w:rFonts w:hint="eastAsia" w:hAnsi="宋体" w:cs="宋体"/>
          <w:b/>
          <w:bCs/>
          <w:color w:val="auto"/>
          <w:sz w:val="21"/>
          <w:highlight w:val="none"/>
        </w:rPr>
        <w:t>(1)项目实施方案分（满分</w:t>
      </w:r>
      <w:r>
        <w:rPr>
          <w:rFonts w:hint="eastAsia" w:hAnsi="宋体" w:cs="宋体"/>
          <w:b/>
          <w:bCs/>
          <w:color w:val="auto"/>
          <w:sz w:val="21"/>
          <w:highlight w:val="none"/>
          <w:lang w:val="en-US" w:eastAsia="zh-CN"/>
        </w:rPr>
        <w:t>15</w:t>
      </w:r>
      <w:r>
        <w:rPr>
          <w:rFonts w:hint="eastAsia" w:hAnsi="宋体" w:cs="宋体"/>
          <w:b/>
          <w:bCs/>
          <w:color w:val="auto"/>
          <w:sz w:val="21"/>
          <w:highlight w:val="none"/>
        </w:rPr>
        <w:t>分）</w:t>
      </w:r>
    </w:p>
    <w:p w14:paraId="482E51CA">
      <w:pPr>
        <w:pStyle w:val="215"/>
        <w:spacing w:line="440" w:lineRule="exact"/>
        <w:ind w:firstLine="445"/>
        <w:rPr>
          <w:rFonts w:hint="eastAsia" w:hAnsi="宋体" w:cs="宋体"/>
          <w:b w:val="0"/>
          <w:bCs w:val="0"/>
          <w:color w:val="auto"/>
          <w:sz w:val="21"/>
          <w:highlight w:val="none"/>
        </w:rPr>
      </w:pPr>
      <w:r>
        <w:rPr>
          <w:rFonts w:hint="eastAsia" w:hAnsi="宋体" w:cs="宋体"/>
          <w:b w:val="0"/>
          <w:bCs w:val="0"/>
          <w:color w:val="auto"/>
          <w:sz w:val="21"/>
          <w:highlight w:val="none"/>
        </w:rPr>
        <w:t>由</w:t>
      </w:r>
      <w:r>
        <w:rPr>
          <w:rFonts w:hint="eastAsia" w:cs="宋体"/>
          <w:b w:val="0"/>
          <w:bCs w:val="0"/>
          <w:color w:val="auto"/>
          <w:sz w:val="21"/>
          <w:highlight w:val="none"/>
          <w:lang w:val="en-US" w:eastAsia="zh-CN"/>
        </w:rPr>
        <w:t>磋商</w:t>
      </w:r>
      <w:r>
        <w:rPr>
          <w:rFonts w:hint="eastAsia" w:hAnsi="宋体" w:cs="宋体"/>
          <w:b w:val="0"/>
          <w:bCs w:val="0"/>
          <w:color w:val="auto"/>
          <w:sz w:val="21"/>
          <w:highlight w:val="none"/>
        </w:rPr>
        <w:t>小组成员根据供应商针对本项目制定的项目实施方案进行评审：</w:t>
      </w:r>
    </w:p>
    <w:p w14:paraId="3B335DBF">
      <w:pPr>
        <w:pStyle w:val="215"/>
        <w:spacing w:line="440" w:lineRule="exact"/>
        <w:ind w:firstLine="445"/>
        <w:rPr>
          <w:rFonts w:hint="eastAsia" w:ascii="宋体" w:hAnsi="宋体" w:eastAsia="宋体" w:cs="宋体"/>
          <w:b w:val="0"/>
          <w:bCs w:val="0"/>
          <w:color w:val="auto"/>
          <w:sz w:val="21"/>
          <w:highlight w:val="none"/>
        </w:rPr>
      </w:pPr>
      <w:r>
        <w:rPr>
          <w:rFonts w:hint="eastAsia" w:hAnsi="宋体" w:cs="宋体"/>
          <w:b w:val="0"/>
          <w:bCs w:val="0"/>
          <w:color w:val="auto"/>
          <w:sz w:val="21"/>
          <w:highlight w:val="none"/>
        </w:rPr>
        <w:t>一档（5分）：仅满足项目实施基本要求，课程建设方案、拍摄制作方案不够全面，缺乏详细的流程说明；项目实施方案内容简单，部分内容不可行或缺乏实施性。</w:t>
      </w:r>
      <w:r>
        <w:rPr>
          <w:rFonts w:hint="eastAsia" w:hAnsi="宋体" w:cs="宋体"/>
          <w:b w:val="0"/>
          <w:bCs w:val="0"/>
          <w:color w:val="auto"/>
          <w:sz w:val="21"/>
          <w:highlight w:val="none"/>
        </w:rPr>
        <w:br w:type="textWrapping"/>
      </w:r>
      <w:r>
        <w:rPr>
          <w:rFonts w:hint="eastAsia" w:hAnsi="宋体" w:cs="宋体"/>
          <w:b w:val="0"/>
          <w:bCs w:val="0"/>
          <w:color w:val="auto"/>
          <w:sz w:val="21"/>
          <w:highlight w:val="none"/>
          <w:lang w:val="en-US" w:eastAsia="zh-CN"/>
        </w:rPr>
        <w:t xml:space="preserve">    </w:t>
      </w:r>
      <w:r>
        <w:rPr>
          <w:rFonts w:hint="eastAsia" w:hAnsi="宋体" w:cs="宋体"/>
          <w:b w:val="0"/>
          <w:bCs w:val="0"/>
          <w:color w:val="auto"/>
          <w:sz w:val="21"/>
          <w:highlight w:val="none"/>
        </w:rPr>
        <w:t>二档（10分）：满足项目实施要求，课程建设方案、拍摄制作方案详细具体，有明确的人员分工和拍摄流程；项目实施方案具有可行性，有基本的进度安排和质量保障措施。</w:t>
      </w:r>
      <w:r>
        <w:rPr>
          <w:rFonts w:hint="eastAsia" w:hAnsi="宋体" w:cs="宋体"/>
          <w:b w:val="0"/>
          <w:bCs w:val="0"/>
          <w:color w:val="auto"/>
          <w:sz w:val="21"/>
          <w:highlight w:val="none"/>
        </w:rPr>
        <w:br w:type="textWrapping"/>
      </w:r>
      <w:r>
        <w:rPr>
          <w:rFonts w:hint="eastAsia" w:hAnsi="宋体" w:cs="宋体"/>
          <w:b w:val="0"/>
          <w:bCs w:val="0"/>
          <w:color w:val="auto"/>
          <w:sz w:val="21"/>
          <w:highlight w:val="none"/>
          <w:lang w:val="en-US" w:eastAsia="zh-CN"/>
        </w:rPr>
        <w:t xml:space="preserve">    </w:t>
      </w:r>
      <w:r>
        <w:rPr>
          <w:rFonts w:hint="eastAsia" w:hAnsi="宋体" w:cs="宋体"/>
          <w:b w:val="0"/>
          <w:bCs w:val="0"/>
          <w:color w:val="auto"/>
          <w:sz w:val="21"/>
          <w:highlight w:val="none"/>
        </w:rPr>
        <w:t>三档（15分）：能充分满足项目实施要求，课程建设方案、拍摄制作方案详细、清晰、完整，包含数字人分身建设</w:t>
      </w:r>
      <w:r>
        <w:rPr>
          <w:rFonts w:hint="eastAsia" w:hAnsi="宋体" w:cs="宋体"/>
          <w:b w:val="0"/>
          <w:bCs w:val="0"/>
          <w:strike w:val="0"/>
          <w:dstrike w:val="0"/>
          <w:color w:val="auto"/>
          <w:sz w:val="21"/>
          <w:highlight w:val="none"/>
        </w:rPr>
        <w:t>、AI素材生成</w:t>
      </w:r>
      <w:r>
        <w:rPr>
          <w:rFonts w:hint="eastAsia" w:hAnsi="宋体" w:cs="宋体"/>
          <w:b w:val="0"/>
          <w:bCs w:val="0"/>
          <w:color w:val="auto"/>
          <w:sz w:val="21"/>
          <w:highlight w:val="none"/>
        </w:rPr>
        <w:t>、二维动画制作等全部内容的详细实施流程；实施方案条</w:t>
      </w:r>
      <w:r>
        <w:rPr>
          <w:rFonts w:hint="eastAsia" w:ascii="宋体" w:hAnsi="宋体" w:eastAsia="宋体" w:cs="宋体"/>
          <w:b w:val="0"/>
          <w:bCs w:val="0"/>
          <w:color w:val="auto"/>
          <w:sz w:val="21"/>
          <w:highlight w:val="none"/>
        </w:rPr>
        <w:t>理清晰、科学合理，有明确的实施进度计划和项目管理制度，有详细的项目实施保障措施，对项目实施质量有完善的控制方案和验收方案，安全保障措施完善细致，项目实施方案完全契合采购需求，针对性强。</w:t>
      </w:r>
    </w:p>
    <w:p w14:paraId="766658E6">
      <w:pPr>
        <w:pStyle w:val="23"/>
        <w:spacing w:line="440" w:lineRule="exact"/>
        <w:ind w:firstLine="420"/>
        <w:rPr>
          <w:rFonts w:hint="default" w:ascii="宋体" w:hAnsi="宋体" w:eastAsia="宋体" w:cs="宋体"/>
          <w:b/>
          <w:bCs/>
          <w:color w:val="auto"/>
          <w:sz w:val="21"/>
          <w:highlight w:val="none"/>
          <w:lang w:val="en-US" w:eastAsia="zh-CN"/>
        </w:rPr>
      </w:pPr>
      <w:r>
        <w:rPr>
          <w:rFonts w:hint="eastAsia" w:ascii="宋体" w:hAnsi="宋体" w:eastAsia="宋体" w:cs="宋体"/>
          <w:b/>
          <w:bCs/>
          <w:color w:val="auto"/>
          <w:sz w:val="21"/>
          <w:highlight w:val="none"/>
          <w:lang w:val="en-US" w:eastAsia="zh-CN"/>
        </w:rPr>
        <w:t>注：未提供方案或为入档的不得分。</w:t>
      </w:r>
    </w:p>
    <w:p w14:paraId="1CF89DE9">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w:t>
      </w:r>
      <w:r>
        <w:rPr>
          <w:rFonts w:hint="eastAsia" w:hAnsi="宋体" w:cs="宋体"/>
          <w:b/>
          <w:bCs/>
          <w:color w:val="auto"/>
          <w:sz w:val="21"/>
          <w:highlight w:val="none"/>
          <w:lang w:val="en-US" w:eastAsia="zh-CN"/>
        </w:rPr>
        <w:t>2</w:t>
      </w:r>
      <w:r>
        <w:rPr>
          <w:rFonts w:hint="eastAsia" w:hAnsi="宋体" w:cs="宋体"/>
          <w:b/>
          <w:bCs/>
          <w:color w:val="auto"/>
          <w:sz w:val="21"/>
          <w:highlight w:val="none"/>
        </w:rPr>
        <w:t>）技术能力分（满分</w:t>
      </w:r>
      <w:r>
        <w:rPr>
          <w:rFonts w:hint="eastAsia" w:hAnsi="宋体" w:cs="宋体"/>
          <w:b/>
          <w:bCs/>
          <w:color w:val="auto"/>
          <w:sz w:val="21"/>
          <w:highlight w:val="none"/>
          <w:lang w:val="en-US" w:eastAsia="zh-CN"/>
        </w:rPr>
        <w:t>15</w:t>
      </w:r>
      <w:r>
        <w:rPr>
          <w:rFonts w:hint="eastAsia" w:hAnsi="宋体" w:cs="宋体"/>
          <w:b/>
          <w:bCs/>
          <w:color w:val="auto"/>
          <w:sz w:val="21"/>
          <w:highlight w:val="none"/>
        </w:rPr>
        <w:t>分）</w:t>
      </w:r>
    </w:p>
    <w:p w14:paraId="6968FD8F">
      <w:pPr>
        <w:pStyle w:val="23"/>
        <w:spacing w:line="440" w:lineRule="exact"/>
        <w:ind w:firstLine="420"/>
        <w:rPr>
          <w:rFonts w:hint="eastAsia" w:hAnsi="宋体" w:cs="宋体"/>
          <w:color w:val="auto"/>
          <w:sz w:val="21"/>
          <w:highlight w:val="none"/>
          <w:lang w:val="en-US" w:eastAsia="zh-CN"/>
        </w:rPr>
      </w:pPr>
      <w:r>
        <w:rPr>
          <w:rFonts w:hint="eastAsia" w:hAnsi="宋体" w:cs="宋体"/>
          <w:b w:val="0"/>
          <w:bCs w:val="0"/>
          <w:color w:val="auto"/>
          <w:sz w:val="21"/>
          <w:highlight w:val="none"/>
        </w:rPr>
        <w:t>由</w:t>
      </w:r>
      <w:r>
        <w:rPr>
          <w:rFonts w:hint="eastAsia" w:cs="宋体"/>
          <w:b w:val="0"/>
          <w:bCs w:val="0"/>
          <w:color w:val="auto"/>
          <w:sz w:val="21"/>
          <w:highlight w:val="none"/>
          <w:lang w:val="en-US" w:eastAsia="zh-CN"/>
        </w:rPr>
        <w:t>磋商</w:t>
      </w:r>
      <w:r>
        <w:rPr>
          <w:rFonts w:hint="eastAsia" w:hAnsi="宋体" w:cs="宋体"/>
          <w:b w:val="0"/>
          <w:bCs w:val="0"/>
          <w:color w:val="auto"/>
          <w:sz w:val="21"/>
          <w:highlight w:val="none"/>
        </w:rPr>
        <w:t>小组成员</w:t>
      </w:r>
      <w:r>
        <w:rPr>
          <w:rFonts w:hint="eastAsia" w:hAnsi="宋体" w:cs="宋体"/>
          <w:color w:val="auto"/>
          <w:sz w:val="21"/>
          <w:highlight w:val="none"/>
          <w:lang w:val="en-US" w:eastAsia="zh-CN"/>
        </w:rPr>
        <w:t>根据供应商提供的视频拍摄与制作能力、</w:t>
      </w:r>
      <w:r>
        <w:rPr>
          <w:rFonts w:hint="eastAsia" w:hAnsi="宋体" w:cs="宋体"/>
          <w:strike w:val="0"/>
          <w:dstrike w:val="0"/>
          <w:color w:val="auto"/>
          <w:sz w:val="21"/>
          <w:highlight w:val="none"/>
          <w:lang w:val="en-US" w:eastAsia="zh-CN"/>
        </w:rPr>
        <w:t>AI教学平台能力、</w:t>
      </w:r>
      <w:r>
        <w:rPr>
          <w:rFonts w:hint="eastAsia" w:hAnsi="宋体" w:cs="宋体"/>
          <w:color w:val="auto"/>
          <w:sz w:val="21"/>
          <w:highlight w:val="none"/>
          <w:lang w:val="en-US" w:eastAsia="zh-CN"/>
        </w:rPr>
        <w:t>课程建设经验进行评审：</w:t>
      </w:r>
    </w:p>
    <w:p w14:paraId="3AC7ABF2">
      <w:pPr>
        <w:pStyle w:val="23"/>
        <w:spacing w:line="440" w:lineRule="exact"/>
        <w:ind w:firstLine="420"/>
        <w:rPr>
          <w:rFonts w:hint="eastAsia" w:hAnsi="宋体" w:cs="宋体"/>
          <w:color w:val="auto"/>
          <w:sz w:val="21"/>
          <w:highlight w:val="none"/>
          <w:lang w:val="en-US" w:eastAsia="zh-CN"/>
        </w:rPr>
      </w:pPr>
      <w:r>
        <w:rPr>
          <w:rFonts w:hint="eastAsia" w:hAnsi="宋体" w:cs="宋体"/>
          <w:color w:val="auto"/>
          <w:sz w:val="21"/>
          <w:highlight w:val="none"/>
          <w:lang w:val="en-US" w:eastAsia="zh-CN"/>
        </w:rPr>
        <w:t>一档（5分）：具备基本的视频拍摄制作能力，能提供基础功能说明。</w:t>
      </w:r>
    </w:p>
    <w:p w14:paraId="303E0E2D">
      <w:pPr>
        <w:pStyle w:val="23"/>
        <w:spacing w:line="440" w:lineRule="exact"/>
        <w:ind w:firstLine="420"/>
        <w:rPr>
          <w:rFonts w:hint="eastAsia" w:hAnsi="宋体" w:cs="宋体"/>
          <w:color w:val="auto"/>
          <w:sz w:val="21"/>
          <w:highlight w:val="none"/>
          <w:lang w:val="en-US" w:eastAsia="zh-CN"/>
        </w:rPr>
      </w:pPr>
      <w:r>
        <w:rPr>
          <w:rFonts w:hint="eastAsia" w:hAnsi="宋体" w:cs="宋体"/>
          <w:color w:val="auto"/>
          <w:sz w:val="21"/>
          <w:highlight w:val="none"/>
          <w:lang w:val="en-US" w:eastAsia="zh-CN"/>
        </w:rPr>
        <w:t>二档（10分）：具备较好的视频拍摄制作能力，能提供多种拍摄模式和后期制作流程说明；</w:t>
      </w:r>
      <w:r>
        <w:rPr>
          <w:rFonts w:hint="eastAsia" w:hAnsi="宋体" w:cs="宋体"/>
          <w:strike w:val="0"/>
          <w:dstrike w:val="0"/>
          <w:color w:val="auto"/>
          <w:sz w:val="21"/>
          <w:highlight w:val="none"/>
          <w:lang w:val="en-US" w:eastAsia="zh-CN"/>
        </w:rPr>
        <w:t>具备AI教学平台基本功能（如教学设计、AI助教、知识图谱等）</w:t>
      </w:r>
      <w:r>
        <w:rPr>
          <w:rFonts w:hint="eastAsia" w:hAnsi="宋体" w:cs="宋体"/>
          <w:color w:val="auto"/>
          <w:sz w:val="21"/>
          <w:highlight w:val="none"/>
          <w:lang w:val="en-US" w:eastAsia="zh-CN"/>
        </w:rPr>
        <w:t>。</w:t>
      </w:r>
    </w:p>
    <w:p w14:paraId="511B40B7">
      <w:pPr>
        <w:pStyle w:val="16"/>
        <w:ind w:firstLine="420" w:firstLineChars="200"/>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三档（15分）：</w:t>
      </w:r>
      <w:r>
        <w:rPr>
          <w:rFonts w:hint="eastAsia"/>
          <w:lang w:val="en-US" w:eastAsia="zh-CN"/>
        </w:rPr>
        <w:t>具惫专业的视频拍摄制作能力，能提供详细的多机位拍摄方案、后期制作流程和案例展示；视频拍摄与制作方案突出，AI教学平台功能完善技术成熟度高，课程建设经验案例丰富。</w:t>
      </w:r>
    </w:p>
    <w:p w14:paraId="358120A3">
      <w:pPr>
        <w:pStyle w:val="23"/>
        <w:spacing w:line="440" w:lineRule="exact"/>
        <w:ind w:firstLine="420"/>
        <w:rPr>
          <w:rFonts w:hint="eastAsia" w:ascii="宋体" w:hAnsi="宋体" w:eastAsia="宋体" w:cs="宋体"/>
          <w:b/>
          <w:bCs/>
          <w:color w:val="auto"/>
          <w:sz w:val="21"/>
          <w:highlight w:val="none"/>
          <w:lang w:val="en-US" w:eastAsia="zh-CN"/>
        </w:rPr>
      </w:pPr>
      <w:r>
        <w:rPr>
          <w:rFonts w:hint="eastAsia" w:ascii="宋体" w:hAnsi="宋体" w:eastAsia="宋体" w:cs="宋体"/>
          <w:b/>
          <w:bCs/>
          <w:color w:val="auto"/>
          <w:sz w:val="21"/>
          <w:highlight w:val="none"/>
          <w:lang w:val="en-US" w:eastAsia="zh-CN"/>
        </w:rPr>
        <w:t>注：未提供方案或为入档的不得分。</w:t>
      </w:r>
    </w:p>
    <w:p w14:paraId="099D8DC4">
      <w:pPr>
        <w:pStyle w:val="23"/>
        <w:spacing w:line="440" w:lineRule="exact"/>
        <w:ind w:firstLine="420"/>
        <w:rPr>
          <w:rFonts w:hint="eastAsia" w:ascii="宋体" w:hAnsi="宋体" w:eastAsia="宋体" w:cs="宋体"/>
          <w:b/>
          <w:bCs/>
          <w:color w:val="auto"/>
          <w:sz w:val="21"/>
          <w:highlight w:val="none"/>
          <w:lang w:val="en-US" w:eastAsia="zh-CN"/>
        </w:rPr>
      </w:pPr>
      <w:r>
        <w:rPr>
          <w:rFonts w:hint="eastAsia" w:ascii="宋体" w:hAnsi="宋体" w:eastAsia="宋体" w:cs="宋体"/>
          <w:b/>
          <w:bCs/>
          <w:color w:val="auto"/>
          <w:sz w:val="21"/>
          <w:highlight w:val="none"/>
          <w:lang w:val="en-US" w:eastAsia="zh-CN"/>
        </w:rPr>
        <w:t>（</w:t>
      </w:r>
      <w:r>
        <w:rPr>
          <w:rFonts w:hint="eastAsia" w:hAnsi="宋体" w:cs="宋体"/>
          <w:b/>
          <w:bCs/>
          <w:color w:val="auto"/>
          <w:sz w:val="21"/>
          <w:highlight w:val="none"/>
          <w:lang w:val="en-US" w:eastAsia="zh-CN"/>
        </w:rPr>
        <w:t>3</w:t>
      </w:r>
      <w:r>
        <w:rPr>
          <w:rFonts w:hint="eastAsia" w:ascii="宋体" w:hAnsi="宋体" w:eastAsia="宋体" w:cs="宋体"/>
          <w:b/>
          <w:bCs/>
          <w:color w:val="auto"/>
          <w:sz w:val="21"/>
          <w:highlight w:val="none"/>
          <w:lang w:val="en-US" w:eastAsia="zh-CN"/>
        </w:rPr>
        <w:t>）团队配置分</w:t>
      </w:r>
      <w:r>
        <w:rPr>
          <w:rFonts w:hint="eastAsia" w:hAnsi="宋体" w:cs="宋体"/>
          <w:b/>
          <w:bCs/>
          <w:color w:val="auto"/>
          <w:sz w:val="21"/>
          <w:highlight w:val="none"/>
        </w:rPr>
        <w:t>（满分</w:t>
      </w:r>
      <w:r>
        <w:rPr>
          <w:rFonts w:hint="eastAsia" w:hAnsi="宋体" w:cs="宋体"/>
          <w:b/>
          <w:bCs/>
          <w:color w:val="auto"/>
          <w:sz w:val="21"/>
          <w:highlight w:val="none"/>
          <w:lang w:val="en-US" w:eastAsia="zh-CN"/>
        </w:rPr>
        <w:t>15</w:t>
      </w:r>
      <w:r>
        <w:rPr>
          <w:rFonts w:hint="eastAsia" w:hAnsi="宋体" w:cs="宋体"/>
          <w:b/>
          <w:bCs/>
          <w:color w:val="auto"/>
          <w:sz w:val="21"/>
          <w:highlight w:val="none"/>
        </w:rPr>
        <w:t>分）</w:t>
      </w:r>
    </w:p>
    <w:p w14:paraId="38650960">
      <w:pPr>
        <w:pStyle w:val="23"/>
        <w:spacing w:line="440" w:lineRule="exact"/>
        <w:ind w:firstLine="420"/>
        <w:rPr>
          <w:rFonts w:hint="eastAsia" w:ascii="宋体" w:hAnsi="宋体" w:eastAsia="宋体" w:cs="宋体"/>
          <w:color w:val="auto"/>
          <w:sz w:val="21"/>
          <w:highlight w:val="none"/>
          <w:lang w:val="en-US" w:eastAsia="zh-CN"/>
        </w:rPr>
      </w:pPr>
      <w:r>
        <w:rPr>
          <w:rFonts w:hint="eastAsia" w:hAnsi="宋体" w:cs="宋体"/>
          <w:b w:val="0"/>
          <w:bCs w:val="0"/>
          <w:color w:val="auto"/>
          <w:sz w:val="21"/>
          <w:highlight w:val="none"/>
        </w:rPr>
        <w:t>由</w:t>
      </w:r>
      <w:r>
        <w:rPr>
          <w:rFonts w:hint="eastAsia" w:cs="宋体"/>
          <w:b w:val="0"/>
          <w:bCs w:val="0"/>
          <w:color w:val="auto"/>
          <w:sz w:val="21"/>
          <w:highlight w:val="none"/>
          <w:lang w:val="en-US" w:eastAsia="zh-CN"/>
        </w:rPr>
        <w:t>磋商</w:t>
      </w:r>
      <w:r>
        <w:rPr>
          <w:rFonts w:hint="eastAsia" w:hAnsi="宋体" w:cs="宋体"/>
          <w:b w:val="0"/>
          <w:bCs w:val="0"/>
          <w:color w:val="auto"/>
          <w:sz w:val="21"/>
          <w:highlight w:val="none"/>
        </w:rPr>
        <w:t>小组成员</w:t>
      </w:r>
      <w:r>
        <w:rPr>
          <w:rFonts w:hint="eastAsia" w:ascii="宋体" w:hAnsi="宋体" w:eastAsia="宋体" w:cs="宋体"/>
          <w:color w:val="auto"/>
          <w:sz w:val="21"/>
          <w:highlight w:val="none"/>
          <w:lang w:val="en-US" w:eastAsia="zh-CN"/>
        </w:rPr>
        <w:t>根据供应商提供的项目团队配置情况进行评审：</w:t>
      </w:r>
    </w:p>
    <w:p w14:paraId="6D74DBE5">
      <w:pPr>
        <w:pStyle w:val="23"/>
        <w:spacing w:line="440" w:lineRule="exact"/>
        <w:ind w:firstLine="42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一档（</w:t>
      </w:r>
      <w:r>
        <w:rPr>
          <w:rFonts w:hint="eastAsia" w:hAnsi="宋体" w:cs="宋体"/>
          <w:color w:val="auto"/>
          <w:sz w:val="21"/>
          <w:highlight w:val="none"/>
          <w:lang w:val="en-US" w:eastAsia="zh-CN"/>
        </w:rPr>
        <w:t>5</w:t>
      </w:r>
      <w:r>
        <w:rPr>
          <w:rFonts w:hint="eastAsia" w:ascii="宋体" w:hAnsi="宋体" w:eastAsia="宋体" w:cs="宋体"/>
          <w:color w:val="auto"/>
          <w:sz w:val="21"/>
          <w:highlight w:val="none"/>
          <w:lang w:val="en-US" w:eastAsia="zh-CN"/>
        </w:rPr>
        <w:t>分）：</w:t>
      </w:r>
      <w:r>
        <w:rPr>
          <w:rFonts w:hint="eastAsia" w:hAnsi="宋体" w:cs="宋体"/>
          <w:color w:val="auto"/>
          <w:sz w:val="21"/>
          <w:highlight w:val="none"/>
          <w:lang w:val="en-US" w:eastAsia="zh-CN"/>
        </w:rPr>
        <w:t>项目团队成员不少于5人，</w:t>
      </w:r>
      <w:r>
        <w:rPr>
          <w:rFonts w:hint="eastAsia" w:ascii="宋体" w:hAnsi="宋体" w:eastAsia="宋体" w:cs="宋体"/>
          <w:color w:val="auto"/>
          <w:sz w:val="21"/>
          <w:highlight w:val="none"/>
          <w:lang w:val="en-US" w:eastAsia="zh-CN"/>
        </w:rPr>
        <w:t>人员配置基本满足项目实施需要，提供人员名单。</w:t>
      </w:r>
    </w:p>
    <w:p w14:paraId="6A73B3E4">
      <w:pPr>
        <w:pStyle w:val="23"/>
        <w:spacing w:line="440" w:lineRule="exact"/>
        <w:ind w:firstLine="42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二档（</w:t>
      </w:r>
      <w:r>
        <w:rPr>
          <w:rFonts w:hint="eastAsia" w:hAnsi="宋体" w:cs="宋体"/>
          <w:color w:val="auto"/>
          <w:sz w:val="21"/>
          <w:highlight w:val="none"/>
          <w:lang w:val="en-US" w:eastAsia="zh-CN"/>
        </w:rPr>
        <w:t>10</w:t>
      </w:r>
      <w:r>
        <w:rPr>
          <w:rFonts w:hint="eastAsia" w:ascii="宋体" w:hAnsi="宋体" w:eastAsia="宋体" w:cs="宋体"/>
          <w:color w:val="auto"/>
          <w:sz w:val="21"/>
          <w:highlight w:val="none"/>
          <w:lang w:val="en-US" w:eastAsia="zh-CN"/>
        </w:rPr>
        <w:t>分）：</w:t>
      </w:r>
      <w:r>
        <w:rPr>
          <w:rFonts w:hint="eastAsia" w:hAnsi="宋体" w:cs="宋体"/>
          <w:color w:val="auto"/>
          <w:sz w:val="21"/>
          <w:highlight w:val="none"/>
          <w:lang w:val="en-US" w:eastAsia="zh-CN"/>
        </w:rPr>
        <w:t>项目团队成员不少于10人，</w:t>
      </w:r>
      <w:r>
        <w:rPr>
          <w:rFonts w:hint="eastAsia" w:ascii="宋体" w:hAnsi="宋体" w:eastAsia="宋体" w:cs="宋体"/>
          <w:color w:val="auto"/>
          <w:sz w:val="21"/>
          <w:highlight w:val="none"/>
          <w:lang w:val="en-US" w:eastAsia="zh-CN"/>
        </w:rPr>
        <w:t>拍摄团队、后期人员、平台技术支持人员配置完整，具备同类项目建设经验，提供人员简历及相关证明材料。</w:t>
      </w:r>
    </w:p>
    <w:p w14:paraId="3156B51F">
      <w:pPr>
        <w:pStyle w:val="23"/>
        <w:spacing w:line="440" w:lineRule="exact"/>
        <w:ind w:firstLine="42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三档（</w:t>
      </w:r>
      <w:r>
        <w:rPr>
          <w:rFonts w:hint="eastAsia" w:hAnsi="宋体" w:cs="宋体"/>
          <w:color w:val="auto"/>
          <w:sz w:val="21"/>
          <w:highlight w:val="none"/>
          <w:lang w:val="en-US" w:eastAsia="zh-CN"/>
        </w:rPr>
        <w:t>15</w:t>
      </w:r>
      <w:r>
        <w:rPr>
          <w:rFonts w:hint="eastAsia" w:ascii="宋体" w:hAnsi="宋体" w:eastAsia="宋体" w:cs="宋体"/>
          <w:color w:val="auto"/>
          <w:sz w:val="21"/>
          <w:highlight w:val="none"/>
          <w:lang w:val="en-US" w:eastAsia="zh-CN"/>
        </w:rPr>
        <w:t>分）：</w:t>
      </w:r>
      <w:r>
        <w:rPr>
          <w:rFonts w:hint="eastAsia" w:hAnsi="宋体" w:cs="宋体"/>
          <w:color w:val="auto"/>
          <w:sz w:val="21"/>
          <w:highlight w:val="none"/>
          <w:lang w:val="en-US" w:eastAsia="zh-CN"/>
        </w:rPr>
        <w:t>项目团队成员不少于15人并具备相关职业技能证书，</w:t>
      </w:r>
      <w:r>
        <w:rPr>
          <w:rFonts w:hint="eastAsia" w:ascii="宋体" w:hAnsi="宋体" w:eastAsia="宋体" w:cs="宋体"/>
          <w:color w:val="auto"/>
          <w:sz w:val="21"/>
          <w:highlight w:val="none"/>
          <w:lang w:val="en-US" w:eastAsia="zh-CN"/>
        </w:rPr>
        <w:t>拍摄团队、后期人员、平台技术支持人员配置完整且分工明确，团队成员具有丰富的课程建设经验，提供人员简历及相关证明</w:t>
      </w:r>
      <w:r>
        <w:rPr>
          <w:rFonts w:hint="eastAsia" w:hAnsi="宋体" w:cs="宋体"/>
          <w:color w:val="auto"/>
          <w:sz w:val="21"/>
          <w:highlight w:val="none"/>
          <w:lang w:val="en-US" w:eastAsia="zh-CN"/>
        </w:rPr>
        <w:t>材料</w:t>
      </w:r>
      <w:r>
        <w:rPr>
          <w:rFonts w:hint="eastAsia" w:ascii="宋体" w:hAnsi="宋体" w:eastAsia="宋体" w:cs="宋体"/>
          <w:color w:val="auto"/>
          <w:sz w:val="21"/>
          <w:highlight w:val="none"/>
          <w:lang w:val="en-US" w:eastAsia="zh-CN"/>
        </w:rPr>
        <w:t>，人员配置方案科学合理。</w:t>
      </w:r>
    </w:p>
    <w:p w14:paraId="0B938150">
      <w:pPr>
        <w:pStyle w:val="23"/>
        <w:spacing w:line="440" w:lineRule="exact"/>
        <w:ind w:firstLine="420"/>
        <w:rPr>
          <w:rFonts w:hint="eastAsia" w:hAnsi="宋体" w:cs="宋体"/>
          <w:b/>
          <w:bCs/>
          <w:color w:val="auto"/>
          <w:sz w:val="21"/>
          <w:highlight w:val="none"/>
        </w:rPr>
      </w:pPr>
      <w:r>
        <w:rPr>
          <w:rFonts w:hint="eastAsia" w:ascii="宋体" w:hAnsi="宋体" w:eastAsia="宋体" w:cs="宋体"/>
          <w:b/>
          <w:bCs/>
          <w:color w:val="auto"/>
          <w:sz w:val="21"/>
          <w:highlight w:val="none"/>
          <w:lang w:val="en-US" w:eastAsia="zh-CN"/>
        </w:rPr>
        <w:t>注：未提供方案或为入档的不得分。</w:t>
      </w:r>
    </w:p>
    <w:p w14:paraId="690A2378">
      <w:pPr>
        <w:pStyle w:val="23"/>
        <w:spacing w:line="440" w:lineRule="exact"/>
        <w:ind w:firstLine="420"/>
        <w:rPr>
          <w:rFonts w:hint="default" w:ascii="宋体" w:hAnsi="宋体" w:eastAsia="宋体" w:cs="宋体"/>
          <w:b/>
          <w:bCs/>
          <w:color w:val="auto"/>
          <w:sz w:val="21"/>
          <w:highlight w:val="none"/>
          <w:lang w:val="en-US" w:eastAsia="zh-CN"/>
        </w:rPr>
      </w:pPr>
      <w:r>
        <w:rPr>
          <w:rFonts w:hint="eastAsia" w:ascii="宋体" w:hAnsi="宋体" w:eastAsia="宋体" w:cs="宋体"/>
          <w:b/>
          <w:bCs/>
          <w:color w:val="auto"/>
          <w:sz w:val="21"/>
          <w:highlight w:val="none"/>
          <w:lang w:val="en-US" w:eastAsia="zh-CN"/>
        </w:rPr>
        <w:t>（</w:t>
      </w:r>
      <w:r>
        <w:rPr>
          <w:rFonts w:hint="eastAsia" w:hAnsi="宋体" w:cs="宋体"/>
          <w:b/>
          <w:bCs/>
          <w:color w:val="auto"/>
          <w:sz w:val="21"/>
          <w:highlight w:val="none"/>
          <w:lang w:val="en-US" w:eastAsia="zh-CN"/>
        </w:rPr>
        <w:t>4</w:t>
      </w:r>
      <w:r>
        <w:rPr>
          <w:rFonts w:hint="eastAsia" w:ascii="宋体" w:hAnsi="宋体" w:eastAsia="宋体" w:cs="宋体"/>
          <w:b/>
          <w:bCs/>
          <w:color w:val="auto"/>
          <w:sz w:val="21"/>
          <w:highlight w:val="none"/>
          <w:lang w:val="en-US" w:eastAsia="zh-CN"/>
        </w:rPr>
        <w:t>）</w:t>
      </w:r>
      <w:r>
        <w:rPr>
          <w:rFonts w:hint="eastAsia" w:hAnsi="宋体" w:cs="宋体"/>
          <w:b/>
          <w:bCs/>
          <w:color w:val="auto"/>
          <w:sz w:val="21"/>
          <w:highlight w:val="none"/>
          <w:lang w:val="en-US" w:eastAsia="zh-CN"/>
        </w:rPr>
        <w:t>内容审读服务保障</w:t>
      </w:r>
      <w:r>
        <w:rPr>
          <w:rFonts w:hint="eastAsia" w:ascii="宋体" w:hAnsi="宋体" w:eastAsia="宋体" w:cs="宋体"/>
          <w:b/>
          <w:bCs/>
          <w:color w:val="auto"/>
          <w:sz w:val="21"/>
          <w:highlight w:val="none"/>
          <w:lang w:val="en-US" w:eastAsia="zh-CN"/>
        </w:rPr>
        <w:t>分</w:t>
      </w:r>
      <w:r>
        <w:rPr>
          <w:rFonts w:hint="eastAsia" w:hAnsi="宋体" w:cs="宋体"/>
          <w:b/>
          <w:bCs/>
          <w:color w:val="auto"/>
          <w:sz w:val="21"/>
          <w:highlight w:val="none"/>
        </w:rPr>
        <w:t>（满分</w:t>
      </w:r>
      <w:r>
        <w:rPr>
          <w:rFonts w:hint="eastAsia" w:hAnsi="宋体" w:cs="宋体"/>
          <w:b/>
          <w:bCs/>
          <w:color w:val="auto"/>
          <w:sz w:val="21"/>
          <w:highlight w:val="none"/>
          <w:lang w:val="en-US" w:eastAsia="zh-CN"/>
        </w:rPr>
        <w:t>15</w:t>
      </w:r>
      <w:r>
        <w:rPr>
          <w:rFonts w:hint="eastAsia" w:hAnsi="宋体" w:cs="宋体"/>
          <w:b/>
          <w:bCs/>
          <w:color w:val="auto"/>
          <w:sz w:val="21"/>
          <w:highlight w:val="none"/>
        </w:rPr>
        <w:t>分）</w:t>
      </w:r>
    </w:p>
    <w:p w14:paraId="2A62BA68">
      <w:pPr>
        <w:pStyle w:val="23"/>
        <w:spacing w:line="440" w:lineRule="exact"/>
        <w:ind w:firstLine="42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根据供应商提供的交付保障措施进行评审：</w:t>
      </w:r>
    </w:p>
    <w:p w14:paraId="34EA29E4">
      <w:pPr>
        <w:pStyle w:val="23"/>
        <w:spacing w:line="440" w:lineRule="exact"/>
        <w:ind w:firstLine="42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一档（</w:t>
      </w:r>
      <w:r>
        <w:rPr>
          <w:rFonts w:hint="eastAsia" w:hAnsi="宋体" w:cs="宋体"/>
          <w:color w:val="auto"/>
          <w:sz w:val="21"/>
          <w:highlight w:val="none"/>
          <w:lang w:val="en-US" w:eastAsia="zh-CN"/>
        </w:rPr>
        <w:t>5</w:t>
      </w:r>
      <w:r>
        <w:rPr>
          <w:rFonts w:hint="eastAsia" w:ascii="宋体" w:hAnsi="宋体" w:eastAsia="宋体" w:cs="宋体"/>
          <w:color w:val="auto"/>
          <w:sz w:val="21"/>
          <w:highlight w:val="none"/>
          <w:lang w:val="en-US" w:eastAsia="zh-CN"/>
        </w:rPr>
        <w:t>分）：提供基本的</w:t>
      </w:r>
      <w:r>
        <w:rPr>
          <w:rFonts w:hint="eastAsia" w:hAnsi="宋体" w:cs="宋体"/>
          <w:color w:val="auto"/>
          <w:sz w:val="21"/>
          <w:highlight w:val="none"/>
          <w:lang w:val="en-US" w:eastAsia="zh-CN"/>
        </w:rPr>
        <w:t>审读报账</w:t>
      </w:r>
      <w:r>
        <w:rPr>
          <w:rFonts w:hint="eastAsia" w:ascii="宋体" w:hAnsi="宋体" w:eastAsia="宋体" w:cs="宋体"/>
          <w:color w:val="auto"/>
          <w:sz w:val="21"/>
          <w:highlight w:val="none"/>
          <w:lang w:val="en-US" w:eastAsia="zh-CN"/>
        </w:rPr>
        <w:t>，包含简单的</w:t>
      </w:r>
      <w:r>
        <w:rPr>
          <w:rFonts w:hint="eastAsia" w:hAnsi="宋体" w:cs="宋体"/>
          <w:color w:val="auto"/>
          <w:sz w:val="21"/>
          <w:highlight w:val="none"/>
          <w:lang w:val="en-US" w:eastAsia="zh-CN"/>
        </w:rPr>
        <w:t>审读服务要求、方向，审读团队配备不少于2名副编审、编审</w:t>
      </w:r>
      <w:r>
        <w:rPr>
          <w:rFonts w:hint="eastAsia" w:ascii="宋体" w:hAnsi="宋体" w:eastAsia="宋体" w:cs="宋体"/>
          <w:color w:val="auto"/>
          <w:sz w:val="21"/>
          <w:highlight w:val="none"/>
          <w:lang w:val="en-US" w:eastAsia="zh-CN"/>
        </w:rPr>
        <w:t>。</w:t>
      </w:r>
    </w:p>
    <w:p w14:paraId="75966E9F">
      <w:pPr>
        <w:pStyle w:val="23"/>
        <w:spacing w:line="440" w:lineRule="exact"/>
        <w:ind w:firstLine="42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二档（</w:t>
      </w:r>
      <w:r>
        <w:rPr>
          <w:rFonts w:hint="eastAsia" w:hAnsi="宋体" w:cs="宋体"/>
          <w:color w:val="auto"/>
          <w:sz w:val="21"/>
          <w:highlight w:val="none"/>
          <w:lang w:val="en-US" w:eastAsia="zh-CN"/>
        </w:rPr>
        <w:t>10</w:t>
      </w:r>
      <w:r>
        <w:rPr>
          <w:rFonts w:hint="eastAsia" w:ascii="宋体" w:hAnsi="宋体" w:eastAsia="宋体" w:cs="宋体"/>
          <w:color w:val="auto"/>
          <w:sz w:val="21"/>
          <w:highlight w:val="none"/>
          <w:lang w:val="en-US" w:eastAsia="zh-CN"/>
        </w:rPr>
        <w:t>分）：</w:t>
      </w:r>
      <w:r>
        <w:rPr>
          <w:rFonts w:hint="eastAsia" w:hAnsi="宋体" w:cs="宋体"/>
          <w:color w:val="auto"/>
          <w:sz w:val="21"/>
          <w:highlight w:val="none"/>
          <w:lang w:val="en-US" w:eastAsia="zh-CN"/>
        </w:rPr>
        <w:t>深度服务保障措施较为完整，能提供AI人工智能审读，人工编辑审读等双重审读服务，包含详细的审读要求、审读标准、审读进度安排等，审读团队配备不少于5名副编审、编审</w:t>
      </w:r>
      <w:r>
        <w:rPr>
          <w:rFonts w:hint="eastAsia" w:ascii="宋体" w:hAnsi="宋体" w:eastAsia="宋体" w:cs="宋体"/>
          <w:color w:val="auto"/>
          <w:sz w:val="21"/>
          <w:highlight w:val="none"/>
          <w:lang w:val="en-US" w:eastAsia="zh-CN"/>
        </w:rPr>
        <w:t>。</w:t>
      </w:r>
    </w:p>
    <w:p w14:paraId="3D12A1FF">
      <w:pPr>
        <w:pStyle w:val="23"/>
        <w:spacing w:line="440" w:lineRule="exact"/>
        <w:ind w:firstLine="42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三档（</w:t>
      </w:r>
      <w:r>
        <w:rPr>
          <w:rFonts w:hint="eastAsia" w:hAnsi="宋体" w:cs="宋体"/>
          <w:color w:val="auto"/>
          <w:sz w:val="21"/>
          <w:highlight w:val="none"/>
          <w:lang w:val="en-US" w:eastAsia="zh-CN"/>
        </w:rPr>
        <w:t>15</w:t>
      </w:r>
      <w:r>
        <w:rPr>
          <w:rFonts w:hint="eastAsia" w:ascii="宋体" w:hAnsi="宋体" w:eastAsia="宋体" w:cs="宋体"/>
          <w:color w:val="auto"/>
          <w:sz w:val="21"/>
          <w:highlight w:val="none"/>
          <w:lang w:val="en-US" w:eastAsia="zh-CN"/>
        </w:rPr>
        <w:t>分）：</w:t>
      </w:r>
      <w:r>
        <w:rPr>
          <w:rFonts w:hint="eastAsia" w:hAnsi="宋体" w:cs="宋体"/>
          <w:color w:val="auto"/>
          <w:sz w:val="21"/>
          <w:highlight w:val="none"/>
          <w:lang w:val="en-US" w:eastAsia="zh-CN"/>
        </w:rPr>
        <w:t>审读服务保证措施完整详细、科学合理，包含预审读、AI人工智能审读，人工编辑审读等多重审读服务，有规范的审读标准、明确的审读方向及要点、明确的审核周期安排、丰富的审读案例等，审读团队配备不少于8名副编审、编审</w:t>
      </w:r>
      <w:r>
        <w:rPr>
          <w:rFonts w:hint="eastAsia" w:ascii="宋体" w:hAnsi="宋体" w:eastAsia="宋体" w:cs="宋体"/>
          <w:color w:val="auto"/>
          <w:sz w:val="21"/>
          <w:highlight w:val="none"/>
          <w:lang w:val="en-US" w:eastAsia="zh-CN"/>
        </w:rPr>
        <w:t>。</w:t>
      </w:r>
    </w:p>
    <w:p w14:paraId="1AB718B2">
      <w:pPr>
        <w:pStyle w:val="23"/>
        <w:spacing w:line="440" w:lineRule="exact"/>
        <w:ind w:firstLine="420"/>
        <w:rPr>
          <w:rFonts w:hint="eastAsia" w:hAnsi="宋体" w:cs="宋体"/>
          <w:b/>
          <w:bCs/>
          <w:color w:val="auto"/>
          <w:sz w:val="21"/>
          <w:highlight w:val="none"/>
        </w:rPr>
      </w:pPr>
      <w:r>
        <w:rPr>
          <w:rFonts w:hint="eastAsia" w:ascii="宋体" w:hAnsi="宋体" w:eastAsia="宋体" w:cs="宋体"/>
          <w:b/>
          <w:bCs/>
          <w:color w:val="auto"/>
          <w:sz w:val="21"/>
          <w:highlight w:val="none"/>
          <w:lang w:val="en-US" w:eastAsia="zh-CN"/>
        </w:rPr>
        <w:t>注：未提供方案或为入档的不得分。</w:t>
      </w:r>
    </w:p>
    <w:p w14:paraId="0C6B6228">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3、商务分………………………………………………………………………………</w:t>
      </w:r>
      <w:r>
        <w:rPr>
          <w:rFonts w:hint="eastAsia" w:hAnsi="宋体" w:cs="宋体"/>
          <w:b/>
          <w:bCs/>
          <w:color w:val="auto"/>
          <w:sz w:val="21"/>
          <w:highlight w:val="none"/>
          <w:lang w:val="en-US" w:eastAsia="zh-CN"/>
        </w:rPr>
        <w:t>25</w:t>
      </w:r>
      <w:r>
        <w:rPr>
          <w:rFonts w:hint="eastAsia" w:hAnsi="宋体" w:cs="宋体"/>
          <w:b/>
          <w:bCs/>
          <w:color w:val="auto"/>
          <w:sz w:val="21"/>
          <w:highlight w:val="none"/>
        </w:rPr>
        <w:t>分</w:t>
      </w:r>
    </w:p>
    <w:p w14:paraId="5855B292">
      <w:pPr>
        <w:pStyle w:val="23"/>
        <w:spacing w:line="440" w:lineRule="exact"/>
        <w:ind w:firstLine="420"/>
        <w:rPr>
          <w:rFonts w:hint="eastAsia" w:ascii="宋体" w:hAnsi="宋体" w:eastAsia="宋体" w:cs="宋体"/>
          <w:b/>
          <w:bCs/>
          <w:color w:val="auto"/>
          <w:sz w:val="21"/>
          <w:highlight w:val="none"/>
          <w:lang w:val="en-US" w:eastAsia="zh-CN"/>
        </w:rPr>
      </w:pPr>
      <w:r>
        <w:rPr>
          <w:rFonts w:hint="eastAsia" w:ascii="宋体" w:hAnsi="宋体" w:eastAsia="宋体" w:cs="宋体"/>
          <w:b/>
          <w:bCs/>
          <w:color w:val="auto"/>
          <w:sz w:val="21"/>
          <w:highlight w:val="none"/>
          <w:lang w:val="en-US" w:eastAsia="zh-CN"/>
        </w:rPr>
        <w:t>（1）同类项目业绩分</w:t>
      </w:r>
      <w:r>
        <w:rPr>
          <w:rFonts w:hint="eastAsia" w:hAnsi="宋体" w:cs="宋体"/>
          <w:b/>
          <w:bCs/>
          <w:color w:val="auto"/>
          <w:sz w:val="21"/>
          <w:highlight w:val="none"/>
        </w:rPr>
        <w:t>（满分</w:t>
      </w:r>
      <w:r>
        <w:rPr>
          <w:rFonts w:hint="eastAsia" w:hAnsi="宋体" w:cs="宋体"/>
          <w:b/>
          <w:bCs/>
          <w:color w:val="auto"/>
          <w:sz w:val="21"/>
          <w:highlight w:val="none"/>
          <w:lang w:val="en-US" w:eastAsia="zh-CN"/>
        </w:rPr>
        <w:t>10</w:t>
      </w:r>
      <w:r>
        <w:rPr>
          <w:rFonts w:hint="eastAsia" w:hAnsi="宋体" w:cs="宋体"/>
          <w:b/>
          <w:bCs/>
          <w:color w:val="auto"/>
          <w:sz w:val="21"/>
          <w:highlight w:val="none"/>
        </w:rPr>
        <w:t>分）</w:t>
      </w:r>
    </w:p>
    <w:p w14:paraId="71E72EF9">
      <w:pPr>
        <w:pStyle w:val="23"/>
        <w:spacing w:line="440" w:lineRule="exact"/>
        <w:ind w:firstLine="420"/>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供应商</w:t>
      </w:r>
      <w:r>
        <w:rPr>
          <w:rFonts w:hint="default" w:ascii="宋体" w:hAnsi="宋体" w:eastAsia="宋体" w:cs="宋体"/>
          <w:color w:val="auto"/>
          <w:sz w:val="21"/>
          <w:highlight w:val="none"/>
          <w:lang w:val="en-US" w:eastAsia="zh-CN"/>
        </w:rPr>
        <w:t>自2023年1月1日起（以合同签订时间为准）完成过同类项目成功案例，</w:t>
      </w:r>
      <w:r>
        <w:rPr>
          <w:rFonts w:hint="eastAsia" w:hAnsi="宋体" w:cs="宋体"/>
          <w:color w:val="auto"/>
          <w:sz w:val="21"/>
          <w:highlight w:val="none"/>
        </w:rPr>
        <w:t>每有一项</w:t>
      </w:r>
      <w:r>
        <w:rPr>
          <w:rFonts w:hint="default" w:ascii="宋体" w:hAnsi="宋体" w:eastAsia="宋体" w:cs="宋体"/>
          <w:color w:val="auto"/>
          <w:sz w:val="21"/>
          <w:highlight w:val="none"/>
          <w:lang w:val="en-US" w:eastAsia="zh-CN"/>
        </w:rPr>
        <w:t>得</w:t>
      </w:r>
      <w:r>
        <w:rPr>
          <w:rFonts w:hint="eastAsia" w:hAnsi="宋体" w:cs="宋体"/>
          <w:color w:val="auto"/>
          <w:sz w:val="21"/>
          <w:highlight w:val="none"/>
          <w:lang w:val="en-US" w:eastAsia="zh-CN"/>
        </w:rPr>
        <w:t>1</w:t>
      </w:r>
      <w:r>
        <w:rPr>
          <w:rFonts w:hint="default" w:ascii="宋体" w:hAnsi="宋体" w:eastAsia="宋体" w:cs="宋体"/>
          <w:color w:val="auto"/>
          <w:sz w:val="21"/>
          <w:highlight w:val="none"/>
          <w:lang w:val="en-US" w:eastAsia="zh-CN"/>
        </w:rPr>
        <w:t>分，满分</w:t>
      </w:r>
      <w:r>
        <w:rPr>
          <w:rFonts w:hint="eastAsia" w:hAnsi="宋体" w:cs="宋体"/>
          <w:color w:val="auto"/>
          <w:sz w:val="21"/>
          <w:highlight w:val="none"/>
          <w:lang w:val="en-US" w:eastAsia="zh-CN"/>
        </w:rPr>
        <w:t>10</w:t>
      </w:r>
      <w:r>
        <w:rPr>
          <w:rFonts w:hint="default" w:ascii="宋体" w:hAnsi="宋体" w:eastAsia="宋体" w:cs="宋体"/>
          <w:color w:val="auto"/>
          <w:sz w:val="21"/>
          <w:highlight w:val="none"/>
          <w:lang w:val="en-US" w:eastAsia="zh-CN"/>
        </w:rPr>
        <w:t>分（注：同类项目指与本</w:t>
      </w:r>
      <w:r>
        <w:rPr>
          <w:rFonts w:hint="eastAsia" w:hAnsi="宋体" w:cs="宋体"/>
          <w:color w:val="auto"/>
          <w:sz w:val="21"/>
          <w:highlight w:val="none"/>
          <w:lang w:val="en-US" w:eastAsia="zh-CN"/>
        </w:rPr>
        <w:t>标项</w:t>
      </w:r>
      <w:r>
        <w:rPr>
          <w:rFonts w:hint="default" w:ascii="宋体" w:hAnsi="宋体" w:eastAsia="宋体" w:cs="宋体"/>
          <w:color w:val="auto"/>
          <w:sz w:val="21"/>
          <w:highlight w:val="none"/>
          <w:lang w:val="en-US" w:eastAsia="zh-CN"/>
        </w:rPr>
        <w:t>采购内容性质相近的项目，须提供合同</w:t>
      </w:r>
      <w:r>
        <w:rPr>
          <w:rFonts w:hint="eastAsia" w:hAnsi="宋体" w:cs="宋体"/>
          <w:color w:val="auto"/>
          <w:sz w:val="21"/>
          <w:highlight w:val="none"/>
          <w:lang w:val="en-US" w:eastAsia="zh-CN"/>
        </w:rPr>
        <w:t>扫描件</w:t>
      </w:r>
      <w:r>
        <w:rPr>
          <w:rFonts w:hint="default" w:ascii="宋体" w:hAnsi="宋体" w:eastAsia="宋体" w:cs="宋体"/>
          <w:color w:val="auto"/>
          <w:sz w:val="21"/>
          <w:highlight w:val="none"/>
          <w:lang w:val="en-US" w:eastAsia="zh-CN"/>
        </w:rPr>
        <w:t>并加盖供应商CA电子签章，否则不予计分。）</w:t>
      </w:r>
    </w:p>
    <w:p w14:paraId="03AE65E5">
      <w:pPr>
        <w:pStyle w:val="23"/>
        <w:numPr>
          <w:ilvl w:val="0"/>
          <w:numId w:val="0"/>
        </w:numPr>
        <w:spacing w:line="440" w:lineRule="exact"/>
        <w:ind w:firstLine="420"/>
        <w:rPr>
          <w:rFonts w:hint="eastAsia" w:hAnsi="宋体" w:cs="宋体"/>
          <w:b/>
          <w:bCs/>
          <w:color w:val="auto"/>
          <w:sz w:val="21"/>
          <w:highlight w:val="none"/>
          <w:lang w:val="en-US" w:eastAsia="zh-CN"/>
        </w:rPr>
      </w:pPr>
      <w:r>
        <w:rPr>
          <w:rFonts w:hint="eastAsia" w:ascii="宋体" w:hAnsi="宋体" w:eastAsia="宋体" w:cs="宋体"/>
          <w:b/>
          <w:bCs/>
          <w:color w:val="auto"/>
          <w:kern w:val="0"/>
          <w:sz w:val="21"/>
          <w:szCs w:val="21"/>
          <w:lang w:val="en-US" w:eastAsia="zh-CN" w:bidi="ar-SA"/>
        </w:rPr>
        <w:t>（2）</w:t>
      </w:r>
      <w:r>
        <w:rPr>
          <w:rFonts w:hint="eastAsia" w:hAnsi="宋体" w:cs="宋体"/>
          <w:b/>
          <w:bCs/>
          <w:color w:val="auto"/>
          <w:sz w:val="21"/>
          <w:highlight w:val="none"/>
          <w:lang w:val="en-US" w:eastAsia="zh-CN"/>
        </w:rPr>
        <w:t>课程资源建设能力分</w:t>
      </w:r>
      <w:r>
        <w:rPr>
          <w:rFonts w:hint="eastAsia" w:hAnsi="宋体" w:cs="宋体"/>
          <w:b/>
          <w:bCs/>
          <w:color w:val="auto"/>
          <w:sz w:val="21"/>
          <w:highlight w:val="none"/>
        </w:rPr>
        <w:t>（满分</w:t>
      </w:r>
      <w:r>
        <w:rPr>
          <w:rFonts w:hint="eastAsia" w:hAnsi="宋体" w:cs="宋体"/>
          <w:b/>
          <w:bCs/>
          <w:color w:val="auto"/>
          <w:sz w:val="21"/>
          <w:highlight w:val="none"/>
          <w:lang w:val="en-US" w:eastAsia="zh-CN"/>
        </w:rPr>
        <w:t>5</w:t>
      </w:r>
      <w:r>
        <w:rPr>
          <w:rFonts w:hint="eastAsia" w:hAnsi="宋体" w:cs="宋体"/>
          <w:b/>
          <w:bCs/>
          <w:color w:val="auto"/>
          <w:sz w:val="21"/>
          <w:highlight w:val="none"/>
        </w:rPr>
        <w:t>分）</w:t>
      </w:r>
    </w:p>
    <w:p w14:paraId="5A4CF7AA">
      <w:pPr>
        <w:pStyle w:val="23"/>
        <w:spacing w:line="440" w:lineRule="exact"/>
        <w:ind w:firstLine="420"/>
        <w:rPr>
          <w:rFonts w:hint="default"/>
          <w:lang w:val="en-US" w:eastAsia="zh-CN"/>
        </w:rPr>
      </w:pPr>
      <w:r>
        <w:rPr>
          <w:rFonts w:hint="eastAsia" w:ascii="宋体" w:hAnsi="宋体" w:eastAsia="宋体" w:cs="宋体"/>
          <w:color w:val="auto"/>
          <w:sz w:val="21"/>
          <w:highlight w:val="none"/>
          <w:lang w:val="en-US" w:eastAsia="zh-CN"/>
        </w:rPr>
        <w:t>供应商</w:t>
      </w:r>
      <w:r>
        <w:rPr>
          <w:rFonts w:hint="eastAsia" w:hAnsi="宋体" w:cs="宋体"/>
          <w:color w:val="auto"/>
          <w:sz w:val="21"/>
          <w:highlight w:val="none"/>
          <w:lang w:val="en-US" w:eastAsia="zh-CN"/>
        </w:rPr>
        <w:t>具备国家级课程资源建设能力，负责制作的课程获评“职业教育国家在线精品课程”</w:t>
      </w:r>
      <w:r>
        <w:rPr>
          <w:rFonts w:hint="default" w:ascii="宋体" w:hAnsi="宋体" w:eastAsia="宋体" w:cs="宋体"/>
          <w:color w:val="auto"/>
          <w:sz w:val="21"/>
          <w:highlight w:val="none"/>
          <w:lang w:val="en-US" w:eastAsia="zh-CN"/>
        </w:rPr>
        <w:t>，</w:t>
      </w:r>
      <w:r>
        <w:rPr>
          <w:rFonts w:hint="eastAsia" w:hAnsi="宋体" w:cs="宋体"/>
          <w:color w:val="auto"/>
          <w:sz w:val="21"/>
          <w:highlight w:val="none"/>
        </w:rPr>
        <w:t>每</w:t>
      </w:r>
      <w:r>
        <w:rPr>
          <w:rFonts w:hint="eastAsia" w:hAnsi="宋体" w:cs="宋体"/>
          <w:color w:val="auto"/>
          <w:sz w:val="21"/>
          <w:highlight w:val="none"/>
          <w:lang w:val="en-US" w:eastAsia="zh-CN"/>
        </w:rPr>
        <w:t>获评一门课程的业绩得0.5</w:t>
      </w:r>
      <w:r>
        <w:rPr>
          <w:rFonts w:hint="default" w:ascii="宋体" w:hAnsi="宋体" w:eastAsia="宋体" w:cs="宋体"/>
          <w:color w:val="auto"/>
          <w:sz w:val="21"/>
          <w:highlight w:val="none"/>
          <w:lang w:val="en-US" w:eastAsia="zh-CN"/>
        </w:rPr>
        <w:t>分，满分</w:t>
      </w:r>
      <w:r>
        <w:rPr>
          <w:rFonts w:hint="eastAsia" w:hAnsi="宋体" w:cs="宋体"/>
          <w:color w:val="auto"/>
          <w:sz w:val="21"/>
          <w:highlight w:val="none"/>
          <w:lang w:val="en-US" w:eastAsia="zh-CN"/>
        </w:rPr>
        <w:t>5</w:t>
      </w:r>
      <w:r>
        <w:rPr>
          <w:rFonts w:hint="default" w:ascii="宋体" w:hAnsi="宋体" w:eastAsia="宋体" w:cs="宋体"/>
          <w:color w:val="auto"/>
          <w:sz w:val="21"/>
          <w:highlight w:val="none"/>
          <w:lang w:val="en-US" w:eastAsia="zh-CN"/>
        </w:rPr>
        <w:t>分</w:t>
      </w:r>
      <w:r>
        <w:rPr>
          <w:rFonts w:hint="eastAsia" w:hAnsi="宋体" w:cs="宋体"/>
          <w:color w:val="auto"/>
          <w:sz w:val="21"/>
          <w:highlight w:val="none"/>
          <w:lang w:val="en-US" w:eastAsia="zh-CN"/>
        </w:rPr>
        <w:t>；未提供得0分。</w:t>
      </w:r>
      <w:r>
        <w:rPr>
          <w:rFonts w:hint="default" w:ascii="宋体" w:hAnsi="宋体" w:eastAsia="宋体" w:cs="宋体"/>
          <w:color w:val="auto"/>
          <w:sz w:val="21"/>
          <w:highlight w:val="none"/>
          <w:lang w:val="en-US" w:eastAsia="zh-CN"/>
        </w:rPr>
        <w:t>（注：</w:t>
      </w:r>
      <w:r>
        <w:rPr>
          <w:rFonts w:hint="eastAsia" w:hAnsi="宋体" w:cs="宋体"/>
          <w:color w:val="auto"/>
          <w:sz w:val="21"/>
          <w:highlight w:val="none"/>
          <w:lang w:val="en-US" w:eastAsia="zh-CN"/>
        </w:rPr>
        <w:t>证明材料包含合同或具有双方盖章合作证明的材料、教育部公示文件。</w:t>
      </w:r>
      <w:r>
        <w:rPr>
          <w:rFonts w:hint="default" w:ascii="宋体" w:hAnsi="宋体" w:eastAsia="宋体" w:cs="宋体"/>
          <w:color w:val="auto"/>
          <w:sz w:val="21"/>
          <w:highlight w:val="none"/>
          <w:lang w:val="en-US" w:eastAsia="zh-CN"/>
        </w:rPr>
        <w:t>）</w:t>
      </w:r>
    </w:p>
    <w:p w14:paraId="790DB70C">
      <w:pPr>
        <w:pStyle w:val="23"/>
        <w:spacing w:line="440" w:lineRule="exact"/>
        <w:ind w:firstLine="420"/>
        <w:rPr>
          <w:rFonts w:hint="default" w:hAnsi="宋体" w:eastAsia="宋体" w:cs="宋体"/>
          <w:b/>
          <w:bCs/>
          <w:color w:val="auto"/>
          <w:sz w:val="21"/>
          <w:highlight w:val="none"/>
          <w:lang w:val="en-US" w:eastAsia="zh-CN"/>
        </w:rPr>
      </w:pPr>
      <w:r>
        <w:rPr>
          <w:rFonts w:hint="eastAsia" w:hAnsi="宋体" w:cs="宋体"/>
          <w:b/>
          <w:bCs/>
          <w:color w:val="auto"/>
          <w:sz w:val="21"/>
          <w:highlight w:val="none"/>
          <w:lang w:val="en-US" w:eastAsia="zh-CN"/>
        </w:rPr>
        <w:t>（3）售后服务方案分</w:t>
      </w:r>
      <w:r>
        <w:rPr>
          <w:rFonts w:hint="eastAsia" w:hAnsi="宋体" w:cs="宋体"/>
          <w:b/>
          <w:bCs/>
          <w:color w:val="auto"/>
          <w:sz w:val="21"/>
          <w:highlight w:val="none"/>
        </w:rPr>
        <w:t>（满分</w:t>
      </w:r>
      <w:r>
        <w:rPr>
          <w:rFonts w:hint="eastAsia" w:hAnsi="宋体" w:cs="宋体"/>
          <w:b/>
          <w:bCs/>
          <w:color w:val="auto"/>
          <w:sz w:val="21"/>
          <w:highlight w:val="none"/>
          <w:lang w:val="en-US" w:eastAsia="zh-CN"/>
        </w:rPr>
        <w:t>10</w:t>
      </w:r>
      <w:r>
        <w:rPr>
          <w:rFonts w:hint="eastAsia" w:hAnsi="宋体" w:cs="宋体"/>
          <w:b/>
          <w:bCs/>
          <w:color w:val="auto"/>
          <w:sz w:val="21"/>
          <w:highlight w:val="none"/>
        </w:rPr>
        <w:t>分）</w:t>
      </w:r>
    </w:p>
    <w:p w14:paraId="3C4CA8BF">
      <w:pPr>
        <w:pStyle w:val="23"/>
        <w:spacing w:line="440" w:lineRule="exact"/>
        <w:ind w:firstLine="420"/>
        <w:rPr>
          <w:rFonts w:hint="eastAsia" w:ascii="宋体" w:hAnsi="宋体" w:eastAsia="宋体" w:cs="宋体"/>
          <w:color w:val="auto"/>
          <w:sz w:val="21"/>
          <w:highlight w:val="none"/>
          <w:lang w:val="en-US" w:eastAsia="zh-CN"/>
        </w:rPr>
      </w:pPr>
      <w:r>
        <w:rPr>
          <w:rFonts w:hint="eastAsia" w:hAnsi="宋体" w:cs="宋体"/>
          <w:b w:val="0"/>
          <w:bCs w:val="0"/>
          <w:color w:val="auto"/>
          <w:sz w:val="21"/>
          <w:highlight w:val="none"/>
        </w:rPr>
        <w:t>由</w:t>
      </w:r>
      <w:r>
        <w:rPr>
          <w:rFonts w:hint="eastAsia" w:cs="宋体"/>
          <w:b w:val="0"/>
          <w:bCs w:val="0"/>
          <w:color w:val="auto"/>
          <w:sz w:val="21"/>
          <w:highlight w:val="none"/>
          <w:lang w:val="en-US" w:eastAsia="zh-CN"/>
        </w:rPr>
        <w:t>磋商</w:t>
      </w:r>
      <w:r>
        <w:rPr>
          <w:rFonts w:hint="eastAsia" w:hAnsi="宋体" w:cs="宋体"/>
          <w:b w:val="0"/>
          <w:bCs w:val="0"/>
          <w:color w:val="auto"/>
          <w:sz w:val="21"/>
          <w:highlight w:val="none"/>
        </w:rPr>
        <w:t>小组成员</w:t>
      </w:r>
      <w:r>
        <w:rPr>
          <w:rFonts w:hint="eastAsia" w:ascii="宋体" w:hAnsi="宋体" w:eastAsia="宋体" w:cs="宋体"/>
          <w:color w:val="auto"/>
          <w:sz w:val="21"/>
          <w:highlight w:val="none"/>
          <w:lang w:val="en-US" w:eastAsia="zh-CN"/>
        </w:rPr>
        <w:t>根据供应商提供的售后服务方案进行评审：</w:t>
      </w:r>
    </w:p>
    <w:p w14:paraId="237FAC0B">
      <w:pPr>
        <w:pStyle w:val="23"/>
        <w:spacing w:line="440" w:lineRule="exact"/>
        <w:ind w:firstLine="42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一档（</w:t>
      </w:r>
      <w:r>
        <w:rPr>
          <w:rFonts w:hint="eastAsia" w:hAnsi="宋体" w:cs="宋体"/>
          <w:color w:val="auto"/>
          <w:sz w:val="21"/>
          <w:highlight w:val="none"/>
          <w:lang w:val="en-US" w:eastAsia="zh-CN"/>
        </w:rPr>
        <w:t>3</w:t>
      </w:r>
      <w:r>
        <w:rPr>
          <w:rFonts w:hint="eastAsia" w:ascii="宋体" w:hAnsi="宋体" w:eastAsia="宋体" w:cs="宋体"/>
          <w:color w:val="auto"/>
          <w:sz w:val="21"/>
          <w:highlight w:val="none"/>
          <w:lang w:val="en-US" w:eastAsia="zh-CN"/>
        </w:rPr>
        <w:t>分）：提供基本的售后服务承诺，质保期、响应时间等满足采购需求。</w:t>
      </w:r>
    </w:p>
    <w:p w14:paraId="003727B9">
      <w:pPr>
        <w:pStyle w:val="23"/>
        <w:spacing w:line="440" w:lineRule="exact"/>
        <w:ind w:firstLine="42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二档（</w:t>
      </w:r>
      <w:r>
        <w:rPr>
          <w:rFonts w:hint="eastAsia" w:hAnsi="宋体" w:cs="宋体"/>
          <w:color w:val="auto"/>
          <w:sz w:val="21"/>
          <w:highlight w:val="none"/>
          <w:lang w:val="en-US" w:eastAsia="zh-CN"/>
        </w:rPr>
        <w:t>6</w:t>
      </w:r>
      <w:r>
        <w:rPr>
          <w:rFonts w:hint="eastAsia" w:ascii="宋体" w:hAnsi="宋体" w:eastAsia="宋体" w:cs="宋体"/>
          <w:color w:val="auto"/>
          <w:sz w:val="21"/>
          <w:highlight w:val="none"/>
          <w:lang w:val="en-US" w:eastAsia="zh-CN"/>
        </w:rPr>
        <w:t>分）：售后服务方案较为完整，包含质保期、响应时间、培训计划、升级服务等内容，承诺较为优厚。</w:t>
      </w:r>
    </w:p>
    <w:p w14:paraId="2A9BA889">
      <w:pPr>
        <w:pStyle w:val="23"/>
        <w:spacing w:line="440" w:lineRule="exact"/>
        <w:ind w:firstLine="42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三档（</w:t>
      </w:r>
      <w:r>
        <w:rPr>
          <w:rFonts w:hint="eastAsia" w:hAnsi="宋体" w:cs="宋体"/>
          <w:color w:val="auto"/>
          <w:sz w:val="21"/>
          <w:highlight w:val="none"/>
          <w:lang w:val="en-US" w:eastAsia="zh-CN"/>
        </w:rPr>
        <w:t>10</w:t>
      </w:r>
      <w:r>
        <w:rPr>
          <w:rFonts w:hint="eastAsia" w:ascii="宋体" w:hAnsi="宋体" w:eastAsia="宋体" w:cs="宋体"/>
          <w:color w:val="auto"/>
          <w:sz w:val="21"/>
          <w:highlight w:val="none"/>
          <w:lang w:val="en-US" w:eastAsia="zh-CN"/>
        </w:rPr>
        <w:t>分）：售后服务方案完整、详细、针对性强，质保期内服务承诺优厚，响应时间优于采购需求，培训计划详细具体（含培训人数、时间、地点、内容），提供终身维护及软件升级服务，售后服务保障措施完善。</w:t>
      </w:r>
    </w:p>
    <w:p w14:paraId="7323A4D4">
      <w:pPr>
        <w:pStyle w:val="23"/>
        <w:spacing w:line="440" w:lineRule="exact"/>
        <w:ind w:firstLine="420"/>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注：未提供方案或为入档的不得分。</w:t>
      </w:r>
    </w:p>
    <w:p w14:paraId="66E7B2E1">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总得分=1+2+3</w:t>
      </w:r>
    </w:p>
    <w:p w14:paraId="4412B7F9">
      <w:pPr>
        <w:pStyle w:val="23"/>
        <w:spacing w:line="440" w:lineRule="exact"/>
        <w:ind w:firstLine="420"/>
        <w:rPr>
          <w:rFonts w:hint="eastAsia" w:hAnsi="宋体" w:cs="宋体"/>
          <w:b/>
          <w:bCs/>
          <w:color w:val="auto"/>
          <w:sz w:val="21"/>
          <w:highlight w:val="none"/>
        </w:rPr>
      </w:pPr>
      <w:r>
        <w:rPr>
          <w:rFonts w:hint="eastAsia" w:hAnsi="宋体" w:cs="宋体"/>
          <w:b/>
          <w:bCs/>
          <w:color w:val="auto"/>
          <w:sz w:val="21"/>
          <w:highlight w:val="none"/>
        </w:rPr>
        <w:t>说明：上述评分标准中提及的证书、证件、证明、业绩材料等须提供有效的证书或证明材料扫描件或其他电子文件，并须</w:t>
      </w:r>
      <w:r>
        <w:rPr>
          <w:rFonts w:hint="eastAsia" w:hAnsi="宋体" w:cs="宋体"/>
          <w:b/>
          <w:bCs/>
          <w:color w:val="auto"/>
          <w:sz w:val="24"/>
          <w:szCs w:val="24"/>
          <w:highlight w:val="none"/>
        </w:rPr>
        <w:t>加盖供应商CA电子签章</w:t>
      </w:r>
      <w:r>
        <w:rPr>
          <w:rFonts w:hint="eastAsia" w:hAnsi="宋体" w:cs="宋体"/>
          <w:b/>
          <w:bCs/>
          <w:color w:val="auto"/>
          <w:sz w:val="21"/>
          <w:highlight w:val="none"/>
        </w:rPr>
        <w:t>，否则不予计分。</w:t>
      </w:r>
    </w:p>
    <w:p w14:paraId="0A16AB12">
      <w:pPr>
        <w:snapToGrid w:val="0"/>
        <w:spacing w:line="440" w:lineRule="exact"/>
        <w:ind w:firstLine="562" w:firstLineChars="200"/>
        <w:rPr>
          <w:rFonts w:hint="eastAsia" w:ascii="宋体" w:hAnsi="宋体" w:cs="宋体"/>
          <w:b/>
          <w:color w:val="auto"/>
          <w:sz w:val="28"/>
          <w:szCs w:val="28"/>
          <w:highlight w:val="none"/>
          <w:shd w:val="clear" w:fill="D7D7D7" w:themeFill="background1" w:themeFillShade="D8"/>
          <w:lang w:eastAsia="zh-CN"/>
        </w:rPr>
      </w:pPr>
    </w:p>
    <w:p w14:paraId="6346555B">
      <w:pPr>
        <w:snapToGrid w:val="0"/>
        <w:spacing w:line="440" w:lineRule="exact"/>
        <w:ind w:firstLine="562" w:firstLineChars="200"/>
        <w:rPr>
          <w:rFonts w:hint="eastAsia" w:ascii="宋体" w:hAnsi="宋体" w:eastAsia="宋体" w:cs="宋体"/>
          <w:b/>
          <w:color w:val="auto"/>
          <w:szCs w:val="21"/>
          <w:highlight w:val="none"/>
          <w:lang w:eastAsia="zh-CN"/>
        </w:rPr>
      </w:pPr>
      <w:r>
        <w:rPr>
          <w:rFonts w:hint="eastAsia" w:ascii="宋体" w:hAnsi="宋体" w:cs="宋体"/>
          <w:b/>
          <w:color w:val="auto"/>
          <w:sz w:val="28"/>
          <w:szCs w:val="28"/>
          <w:highlight w:val="none"/>
          <w:shd w:val="clear" w:fill="D7D7D7" w:themeFill="background1" w:themeFillShade="D8"/>
          <w:lang w:eastAsia="zh-CN"/>
        </w:rPr>
        <w:t>（</w:t>
      </w:r>
      <w:r>
        <w:rPr>
          <w:rFonts w:hint="eastAsia" w:ascii="宋体" w:hAnsi="宋体" w:cs="宋体"/>
          <w:b/>
          <w:color w:val="auto"/>
          <w:sz w:val="28"/>
          <w:szCs w:val="28"/>
          <w:highlight w:val="none"/>
          <w:shd w:val="clear" w:fill="D7D7D7" w:themeFill="background1" w:themeFillShade="D8"/>
          <w:lang w:val="en-US" w:eastAsia="zh-CN"/>
        </w:rPr>
        <w:t>标项二、三、四</w:t>
      </w:r>
      <w:r>
        <w:rPr>
          <w:rFonts w:hint="eastAsia" w:ascii="宋体" w:hAnsi="宋体" w:cs="宋体"/>
          <w:b/>
          <w:color w:val="auto"/>
          <w:sz w:val="28"/>
          <w:szCs w:val="28"/>
          <w:highlight w:val="none"/>
          <w:shd w:val="clear" w:fill="D7D7D7" w:themeFill="background1" w:themeFillShade="D8"/>
          <w:lang w:eastAsia="zh-CN"/>
        </w:rPr>
        <w:t>）</w:t>
      </w:r>
    </w:p>
    <w:p w14:paraId="7E64AFDF">
      <w:pPr>
        <w:pStyle w:val="23"/>
        <w:spacing w:line="440" w:lineRule="exact"/>
        <w:ind w:firstLine="420"/>
        <w:rPr>
          <w:rFonts w:hAnsi="宋体" w:cs="宋体"/>
          <w:color w:val="auto"/>
          <w:sz w:val="21"/>
          <w:highlight w:val="none"/>
        </w:rPr>
      </w:pPr>
      <w:r>
        <w:rPr>
          <w:rFonts w:hint="eastAsia" w:hAnsi="宋体" w:cs="宋体"/>
          <w:color w:val="auto"/>
          <w:sz w:val="21"/>
          <w:highlight w:val="none"/>
        </w:rPr>
        <w:t>对进入详评的，采用百分制综合评分法，计分办法（按四舍五入取至百分位）：</w:t>
      </w:r>
    </w:p>
    <w:p w14:paraId="5E9E79E5">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1、价格分………………………………………………………………………………………</w:t>
      </w:r>
      <w:r>
        <w:rPr>
          <w:rFonts w:hint="eastAsia" w:hAnsi="宋体" w:cs="宋体"/>
          <w:b/>
          <w:bCs/>
          <w:color w:val="auto"/>
          <w:sz w:val="21"/>
          <w:highlight w:val="none"/>
          <w:lang w:val="en-US" w:eastAsia="zh-CN"/>
        </w:rPr>
        <w:t>15</w:t>
      </w:r>
      <w:r>
        <w:rPr>
          <w:rFonts w:hint="eastAsia" w:hAnsi="宋体" w:cs="宋体"/>
          <w:b/>
          <w:bCs/>
          <w:color w:val="auto"/>
          <w:sz w:val="21"/>
          <w:highlight w:val="none"/>
        </w:rPr>
        <w:t>分</w:t>
      </w:r>
    </w:p>
    <w:p w14:paraId="48B92A10">
      <w:pPr>
        <w:pStyle w:val="23"/>
        <w:spacing w:line="440" w:lineRule="exact"/>
        <w:ind w:firstLine="420"/>
        <w:rPr>
          <w:rFonts w:hint="eastAsia" w:hAnsi="宋体" w:cs="宋体"/>
          <w:color w:val="auto"/>
          <w:sz w:val="21"/>
          <w:highlight w:val="none"/>
        </w:rPr>
      </w:pPr>
      <w:r>
        <w:rPr>
          <w:rFonts w:hint="eastAsia" w:hAnsi="宋体" w:cs="宋体"/>
          <w:color w:val="auto"/>
          <w:sz w:val="21"/>
          <w:highlight w:val="none"/>
        </w:rPr>
        <w:t>（1）评审价为供应商的最后报价进行政策性扣除后的价格，评审价只是作为评审时使用。最终成交供应商的成交金额等于最后报价（如有修正，以确认修正后的最后报价为准）。</w:t>
      </w:r>
    </w:p>
    <w:p w14:paraId="79527EA6">
      <w:pPr>
        <w:pStyle w:val="23"/>
        <w:spacing w:line="440" w:lineRule="exact"/>
        <w:ind w:firstLine="420"/>
        <w:rPr>
          <w:rFonts w:hint="eastAsia" w:hAnsi="宋体" w:cs="宋体"/>
          <w:color w:val="auto"/>
          <w:sz w:val="21"/>
          <w:highlight w:val="none"/>
        </w:rPr>
      </w:pPr>
      <w:r>
        <w:rPr>
          <w:rFonts w:hint="eastAsia" w:hAnsi="宋体" w:cs="宋体"/>
          <w:color w:val="auto"/>
          <w:sz w:val="21"/>
          <w:highlight w:val="none"/>
        </w:rPr>
        <w:t>（2）政府采购政策性扣除计算方法</w:t>
      </w:r>
    </w:p>
    <w:p w14:paraId="5A5FB117">
      <w:pPr>
        <w:pStyle w:val="23"/>
        <w:spacing w:line="440" w:lineRule="exact"/>
        <w:ind w:firstLine="420"/>
        <w:rPr>
          <w:rFonts w:hint="eastAsia" w:hAnsi="宋体" w:cs="宋体"/>
          <w:color w:val="auto"/>
          <w:sz w:val="21"/>
          <w:highlight w:val="none"/>
        </w:rPr>
      </w:pPr>
      <w:r>
        <w:rPr>
          <w:rFonts w:hint="eastAsia" w:hAnsi="宋体" w:cs="宋体"/>
          <w:color w:val="auto"/>
          <w:sz w:val="21"/>
          <w:highlight w:val="none"/>
        </w:rPr>
        <w:t>根据《政府采购促进中小企业发展管理办法》（财库〔2020〕46号）及《广西壮族自治区财政厅关于持续优化政府采购营商环境推动高质量发展的通知》（桂财采〔2024〕55号）的规定，供应商在其响应文件中提供《中小企业声明函》，且服务全部由小微企业承接，对供应商的最后报价给予20%的扣除，扣除后的价格为评审价，即评审价=最后报价×（1-20%）。</w:t>
      </w:r>
    </w:p>
    <w:p w14:paraId="2E05502C">
      <w:pPr>
        <w:pStyle w:val="23"/>
        <w:spacing w:line="440" w:lineRule="exact"/>
        <w:ind w:firstLine="420"/>
        <w:rPr>
          <w:rFonts w:hint="eastAsia" w:hAnsi="宋体" w:cs="宋体"/>
          <w:color w:val="auto"/>
          <w:sz w:val="21"/>
          <w:highlight w:val="none"/>
        </w:rPr>
      </w:pPr>
      <w:r>
        <w:rPr>
          <w:rFonts w:hint="eastAsia" w:hAnsi="宋体" w:cs="宋体"/>
          <w:color w:val="auto"/>
          <w:sz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1EBF2F09">
      <w:pPr>
        <w:pStyle w:val="23"/>
        <w:spacing w:line="440" w:lineRule="exact"/>
        <w:ind w:firstLine="420"/>
        <w:rPr>
          <w:rFonts w:hint="eastAsia" w:hAnsi="宋体" w:cs="宋体"/>
          <w:color w:val="auto"/>
          <w:sz w:val="21"/>
          <w:highlight w:val="none"/>
        </w:rPr>
      </w:pPr>
      <w:r>
        <w:rPr>
          <w:rFonts w:hint="eastAsia" w:hAnsi="宋体" w:cs="宋体"/>
          <w:color w:val="auto"/>
          <w:sz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67A58B5B">
      <w:pPr>
        <w:pStyle w:val="23"/>
        <w:spacing w:line="440" w:lineRule="exact"/>
        <w:ind w:firstLine="420"/>
        <w:rPr>
          <w:rFonts w:hint="eastAsia" w:hAnsi="宋体" w:cs="宋体"/>
          <w:color w:val="auto"/>
          <w:sz w:val="21"/>
          <w:highlight w:val="none"/>
        </w:rPr>
      </w:pPr>
      <w:r>
        <w:rPr>
          <w:rFonts w:hint="eastAsia" w:hAnsi="宋体" w:cs="宋体"/>
          <w:color w:val="auto"/>
          <w:sz w:val="21"/>
          <w:highlight w:val="none"/>
        </w:rPr>
        <w:t>（5）本国产品政策性扣除计算方法。</w:t>
      </w:r>
    </w:p>
    <w:p w14:paraId="214F4096">
      <w:pPr>
        <w:pStyle w:val="23"/>
        <w:spacing w:line="440" w:lineRule="exact"/>
        <w:ind w:firstLine="420"/>
        <w:rPr>
          <w:rFonts w:hint="eastAsia" w:hAnsi="宋体" w:cs="宋体"/>
          <w:color w:val="auto"/>
          <w:sz w:val="21"/>
          <w:highlight w:val="none"/>
        </w:rPr>
      </w:pPr>
      <w:r>
        <w:rPr>
          <w:rFonts w:hint="eastAsia" w:hAnsi="宋体" w:cs="宋体"/>
          <w:color w:val="auto"/>
          <w:sz w:val="21"/>
          <w:highlight w:val="none"/>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4791FF25">
      <w:pPr>
        <w:pStyle w:val="23"/>
        <w:spacing w:line="440" w:lineRule="exact"/>
        <w:ind w:firstLine="420"/>
        <w:rPr>
          <w:rFonts w:hint="eastAsia" w:hAnsi="宋体" w:cs="宋体"/>
          <w:color w:val="auto"/>
          <w:sz w:val="21"/>
          <w:highlight w:val="none"/>
        </w:rPr>
      </w:pPr>
      <w:r>
        <w:rPr>
          <w:rFonts w:hint="eastAsia" w:hAnsi="宋体" w:cs="宋体"/>
          <w:color w:val="auto"/>
          <w:sz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14:paraId="7CDACA47">
      <w:pPr>
        <w:pStyle w:val="23"/>
        <w:spacing w:line="440" w:lineRule="exact"/>
        <w:ind w:firstLine="420"/>
        <w:rPr>
          <w:rFonts w:hint="eastAsia" w:hAnsi="宋体" w:cs="宋体"/>
          <w:color w:val="auto"/>
          <w:sz w:val="21"/>
          <w:highlight w:val="none"/>
        </w:rPr>
      </w:pPr>
      <w:r>
        <w:rPr>
          <w:rFonts w:hint="eastAsia" w:hAnsi="宋体" w:cs="宋体"/>
          <w:color w:val="auto"/>
          <w:sz w:val="21"/>
          <w:highlight w:val="none"/>
        </w:rPr>
        <w:t>供应商在其响应文件中提供《关于符合本国产品标准的声明函》或财政部会同有关部门规定的有关证明文件，出具符合要求的《声明函》或有关证明文件的，该产品视为本国产品。</w:t>
      </w:r>
    </w:p>
    <w:p w14:paraId="0757C901">
      <w:pPr>
        <w:pStyle w:val="23"/>
        <w:spacing w:line="440" w:lineRule="exact"/>
        <w:ind w:firstLine="420"/>
        <w:rPr>
          <w:rFonts w:hint="eastAsia" w:hAnsi="宋体" w:cs="宋体"/>
          <w:color w:val="auto"/>
          <w:sz w:val="21"/>
          <w:highlight w:val="none"/>
        </w:rPr>
      </w:pPr>
      <w:r>
        <w:rPr>
          <w:rFonts w:hint="eastAsia" w:hAnsi="宋体" w:cs="宋体"/>
          <w:color w:val="auto"/>
          <w:sz w:val="21"/>
          <w:highlight w:val="none"/>
        </w:rPr>
        <w:t>如果所有参与竞争的供应商均可享受本国产品价格评审优惠，则统一不进行价格扣除。</w:t>
      </w:r>
    </w:p>
    <w:p w14:paraId="15E10C97">
      <w:pPr>
        <w:pStyle w:val="23"/>
        <w:spacing w:line="440" w:lineRule="exact"/>
        <w:ind w:firstLine="420"/>
        <w:rPr>
          <w:rFonts w:hint="eastAsia" w:hAnsi="宋体" w:cs="宋体"/>
          <w:color w:val="auto"/>
          <w:sz w:val="21"/>
          <w:highlight w:val="none"/>
        </w:rPr>
      </w:pPr>
      <w:r>
        <w:rPr>
          <w:rFonts w:hint="eastAsia" w:hAnsi="宋体" w:cs="宋体"/>
          <w:color w:val="auto"/>
          <w:sz w:val="21"/>
          <w:highlight w:val="none"/>
        </w:rPr>
        <w:t>（6）中小企业折扣与本国产品折扣进行叠加计算，用扣除后的价格参加评审。即评审价=竞标报价-中小企业折扣-本国产品折扣，除上述情况外，评审价=竞标报价。</w:t>
      </w:r>
    </w:p>
    <w:p w14:paraId="51BA5F1E">
      <w:pPr>
        <w:pStyle w:val="23"/>
        <w:spacing w:line="440" w:lineRule="exact"/>
        <w:ind w:firstLine="420"/>
        <w:rPr>
          <w:rFonts w:hint="eastAsia" w:hAnsi="宋体" w:cs="宋体"/>
          <w:color w:val="auto"/>
          <w:sz w:val="21"/>
          <w:highlight w:val="none"/>
        </w:rPr>
      </w:pPr>
      <w:r>
        <w:rPr>
          <w:rFonts w:hint="eastAsia" w:hAnsi="宋体" w:cs="宋体"/>
          <w:color w:val="auto"/>
          <w:sz w:val="21"/>
          <w:highlight w:val="none"/>
        </w:rPr>
        <w:t>（7）以进入比较与评价环节的最低的评审价为基准价，基准价得分为</w:t>
      </w:r>
      <w:r>
        <w:rPr>
          <w:rFonts w:hint="eastAsia" w:hAnsi="宋体" w:cs="宋体"/>
          <w:color w:val="auto"/>
          <w:sz w:val="21"/>
          <w:highlight w:val="none"/>
          <w:lang w:val="en-US" w:eastAsia="zh-CN"/>
        </w:rPr>
        <w:t>15</w:t>
      </w:r>
      <w:r>
        <w:rPr>
          <w:rFonts w:hint="eastAsia" w:hAnsi="宋体" w:cs="宋体"/>
          <w:color w:val="auto"/>
          <w:sz w:val="21"/>
          <w:highlight w:val="none"/>
        </w:rPr>
        <w:t>分。</w:t>
      </w:r>
    </w:p>
    <w:p w14:paraId="200FF1D7">
      <w:pPr>
        <w:pStyle w:val="23"/>
        <w:spacing w:line="440" w:lineRule="exact"/>
        <w:ind w:firstLine="420"/>
        <w:rPr>
          <w:rFonts w:hAnsi="宋体" w:cs="宋体"/>
          <w:color w:val="auto"/>
          <w:sz w:val="21"/>
          <w:highlight w:val="none"/>
        </w:rPr>
      </w:pPr>
      <w:r>
        <w:rPr>
          <w:rFonts w:hint="eastAsia" w:hAnsi="宋体" w:cs="宋体"/>
          <w:color w:val="auto"/>
          <w:sz w:val="21"/>
          <w:highlight w:val="none"/>
        </w:rPr>
        <w:t>（8）价格分计算公式：</w:t>
      </w:r>
      <w:r>
        <w:rPr>
          <w:rFonts w:hint="eastAsia" w:hAnsi="宋体" w:cs="宋体"/>
          <w:b/>
          <w:bCs/>
          <w:color w:val="auto"/>
          <w:sz w:val="21"/>
          <w:highlight w:val="none"/>
          <w:lang w:val="en-US" w:eastAsia="zh-CN"/>
        </w:rPr>
        <w:t>供应商</w:t>
      </w:r>
      <w:r>
        <w:rPr>
          <w:rFonts w:hint="eastAsia" w:hAnsi="宋体" w:cs="宋体"/>
          <w:b/>
          <w:bCs/>
          <w:color w:val="auto"/>
          <w:sz w:val="21"/>
          <w:highlight w:val="none"/>
        </w:rPr>
        <w:t>报价得分=（基准价/</w:t>
      </w:r>
      <w:r>
        <w:rPr>
          <w:rFonts w:hint="eastAsia" w:hAnsi="宋体" w:cs="宋体"/>
          <w:b/>
          <w:bCs/>
          <w:color w:val="auto"/>
          <w:sz w:val="21"/>
          <w:highlight w:val="none"/>
          <w:lang w:val="en-US" w:eastAsia="zh-CN"/>
        </w:rPr>
        <w:t>某有效供应商</w:t>
      </w:r>
      <w:r>
        <w:rPr>
          <w:rFonts w:hint="eastAsia" w:hAnsi="宋体" w:cs="宋体"/>
          <w:b/>
          <w:bCs/>
          <w:color w:val="auto"/>
          <w:sz w:val="21"/>
          <w:highlight w:val="none"/>
        </w:rPr>
        <w:t>最后</w:t>
      </w:r>
      <w:r>
        <w:rPr>
          <w:rFonts w:hint="eastAsia" w:hAnsi="宋体" w:cs="宋体"/>
          <w:b/>
          <w:bCs/>
          <w:color w:val="auto"/>
          <w:sz w:val="21"/>
          <w:highlight w:val="none"/>
          <w:lang w:val="en-US" w:eastAsia="zh-CN"/>
        </w:rPr>
        <w:t>评审</w:t>
      </w:r>
      <w:r>
        <w:rPr>
          <w:rFonts w:hint="eastAsia" w:hAnsi="宋体" w:cs="宋体"/>
          <w:b/>
          <w:bCs/>
          <w:color w:val="auto"/>
          <w:sz w:val="21"/>
          <w:highlight w:val="none"/>
        </w:rPr>
        <w:t>报价）×</w:t>
      </w:r>
      <w:r>
        <w:rPr>
          <w:rFonts w:hint="eastAsia" w:hAnsi="宋体" w:cs="宋体"/>
          <w:b/>
          <w:bCs/>
          <w:color w:val="auto"/>
          <w:sz w:val="21"/>
          <w:highlight w:val="none"/>
          <w:lang w:val="en-US" w:eastAsia="zh-CN"/>
        </w:rPr>
        <w:t>15</w:t>
      </w:r>
      <w:r>
        <w:rPr>
          <w:rFonts w:hint="eastAsia" w:hAnsi="宋体" w:cs="宋体"/>
          <w:b/>
          <w:bCs/>
          <w:color w:val="auto"/>
          <w:sz w:val="21"/>
          <w:highlight w:val="none"/>
        </w:rPr>
        <w:t>分</w:t>
      </w:r>
      <w:r>
        <w:rPr>
          <w:rFonts w:hint="eastAsia" w:hAnsi="宋体" w:cs="宋体"/>
          <w:color w:val="auto"/>
          <w:sz w:val="21"/>
          <w:highlight w:val="none"/>
        </w:rPr>
        <w:t>。</w:t>
      </w:r>
    </w:p>
    <w:p w14:paraId="0FEF5CD3">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2、技术分………………………………………………………………………………………</w:t>
      </w:r>
      <w:r>
        <w:rPr>
          <w:rFonts w:hint="eastAsia" w:hAnsi="宋体" w:cs="宋体"/>
          <w:b/>
          <w:bCs/>
          <w:color w:val="auto"/>
          <w:sz w:val="21"/>
          <w:highlight w:val="none"/>
          <w:lang w:val="en-US" w:eastAsia="zh-CN"/>
        </w:rPr>
        <w:t>60</w:t>
      </w:r>
      <w:r>
        <w:rPr>
          <w:rFonts w:hint="eastAsia" w:hAnsi="宋体" w:cs="宋体"/>
          <w:b/>
          <w:bCs/>
          <w:color w:val="auto"/>
          <w:sz w:val="21"/>
          <w:highlight w:val="none"/>
        </w:rPr>
        <w:t>分</w:t>
      </w:r>
    </w:p>
    <w:p w14:paraId="2C3F9412">
      <w:pPr>
        <w:pStyle w:val="23"/>
        <w:spacing w:line="440" w:lineRule="exact"/>
        <w:ind w:firstLine="420"/>
        <w:rPr>
          <w:rFonts w:hint="eastAsia" w:hAnsi="宋体" w:cs="宋体"/>
          <w:b/>
          <w:bCs/>
          <w:color w:val="auto"/>
          <w:sz w:val="21"/>
          <w:highlight w:val="none"/>
        </w:rPr>
      </w:pPr>
      <w:r>
        <w:rPr>
          <w:rFonts w:hint="eastAsia" w:hAnsi="宋体" w:cs="宋体"/>
          <w:b/>
          <w:bCs/>
          <w:color w:val="auto"/>
          <w:sz w:val="21"/>
          <w:highlight w:val="none"/>
        </w:rPr>
        <w:t>(1)项目实施方案分（满分</w:t>
      </w:r>
      <w:r>
        <w:rPr>
          <w:rFonts w:hint="eastAsia" w:hAnsi="宋体" w:cs="宋体"/>
          <w:b/>
          <w:bCs/>
          <w:color w:val="auto"/>
          <w:sz w:val="21"/>
          <w:highlight w:val="none"/>
          <w:lang w:val="en-US" w:eastAsia="zh-CN"/>
        </w:rPr>
        <w:t>15</w:t>
      </w:r>
      <w:r>
        <w:rPr>
          <w:rFonts w:hint="eastAsia" w:hAnsi="宋体" w:cs="宋体"/>
          <w:b/>
          <w:bCs/>
          <w:color w:val="auto"/>
          <w:sz w:val="21"/>
          <w:highlight w:val="none"/>
        </w:rPr>
        <w:t>分）</w:t>
      </w:r>
    </w:p>
    <w:p w14:paraId="5245480A">
      <w:pPr>
        <w:pStyle w:val="215"/>
        <w:spacing w:line="440" w:lineRule="exact"/>
        <w:ind w:firstLine="445"/>
        <w:rPr>
          <w:rFonts w:hint="eastAsia" w:hAnsi="宋体" w:cs="宋体"/>
          <w:b w:val="0"/>
          <w:bCs w:val="0"/>
          <w:color w:val="auto"/>
          <w:sz w:val="21"/>
          <w:highlight w:val="none"/>
        </w:rPr>
      </w:pPr>
      <w:r>
        <w:rPr>
          <w:rFonts w:hint="eastAsia" w:hAnsi="宋体" w:cs="宋体"/>
          <w:b w:val="0"/>
          <w:bCs w:val="0"/>
          <w:color w:val="auto"/>
          <w:sz w:val="21"/>
          <w:highlight w:val="none"/>
        </w:rPr>
        <w:t>由</w:t>
      </w:r>
      <w:r>
        <w:rPr>
          <w:rFonts w:hint="eastAsia" w:cs="宋体"/>
          <w:b w:val="0"/>
          <w:bCs w:val="0"/>
          <w:color w:val="auto"/>
          <w:sz w:val="21"/>
          <w:highlight w:val="none"/>
          <w:lang w:val="en-US" w:eastAsia="zh-CN"/>
        </w:rPr>
        <w:t>磋商</w:t>
      </w:r>
      <w:r>
        <w:rPr>
          <w:rFonts w:hint="eastAsia" w:hAnsi="宋体" w:cs="宋体"/>
          <w:b w:val="0"/>
          <w:bCs w:val="0"/>
          <w:color w:val="auto"/>
          <w:sz w:val="21"/>
          <w:highlight w:val="none"/>
        </w:rPr>
        <w:t>小组成员根据供应商针对本项目制定的项目实施方案进行评审：</w:t>
      </w:r>
    </w:p>
    <w:p w14:paraId="29059EE0">
      <w:pPr>
        <w:pStyle w:val="215"/>
        <w:spacing w:line="440" w:lineRule="exact"/>
        <w:ind w:firstLine="445"/>
        <w:rPr>
          <w:rFonts w:hint="eastAsia" w:ascii="宋体" w:hAnsi="宋体" w:eastAsia="宋体" w:cs="宋体"/>
          <w:b w:val="0"/>
          <w:bCs w:val="0"/>
          <w:color w:val="auto"/>
          <w:sz w:val="21"/>
          <w:highlight w:val="none"/>
        </w:rPr>
      </w:pPr>
      <w:r>
        <w:rPr>
          <w:rFonts w:hint="eastAsia" w:hAnsi="宋体" w:cs="宋体"/>
          <w:b w:val="0"/>
          <w:bCs w:val="0"/>
          <w:color w:val="auto"/>
          <w:sz w:val="21"/>
          <w:highlight w:val="none"/>
        </w:rPr>
        <w:t>一档（5分）：仅满足项目实施基本要求，课程建设方案、拍摄制作方案不够全面，缺乏详细的流程说明；项目实施方案内容简单，部分内容不可行或缺乏实施性。</w:t>
      </w:r>
      <w:r>
        <w:rPr>
          <w:rFonts w:hint="eastAsia" w:hAnsi="宋体" w:cs="宋体"/>
          <w:b w:val="0"/>
          <w:bCs w:val="0"/>
          <w:color w:val="auto"/>
          <w:sz w:val="21"/>
          <w:highlight w:val="none"/>
        </w:rPr>
        <w:br w:type="textWrapping"/>
      </w:r>
      <w:r>
        <w:rPr>
          <w:rFonts w:hint="eastAsia" w:hAnsi="宋体" w:cs="宋体"/>
          <w:b w:val="0"/>
          <w:bCs w:val="0"/>
          <w:color w:val="auto"/>
          <w:sz w:val="21"/>
          <w:highlight w:val="none"/>
          <w:lang w:val="en-US" w:eastAsia="zh-CN"/>
        </w:rPr>
        <w:t xml:space="preserve">    </w:t>
      </w:r>
      <w:r>
        <w:rPr>
          <w:rFonts w:hint="eastAsia" w:hAnsi="宋体" w:cs="宋体"/>
          <w:b w:val="0"/>
          <w:bCs w:val="0"/>
          <w:color w:val="auto"/>
          <w:sz w:val="21"/>
          <w:highlight w:val="none"/>
        </w:rPr>
        <w:t>二档（10分）：满足项目实施要求，课程建设方案、拍摄制作方案详细具体，有明确的人员分工和拍摄流程；项目实施方案具有可行性，有基本的进度安排和质量保障措施。</w:t>
      </w:r>
      <w:r>
        <w:rPr>
          <w:rFonts w:hint="eastAsia" w:hAnsi="宋体" w:cs="宋体"/>
          <w:b w:val="0"/>
          <w:bCs w:val="0"/>
          <w:color w:val="auto"/>
          <w:sz w:val="21"/>
          <w:highlight w:val="none"/>
        </w:rPr>
        <w:br w:type="textWrapping"/>
      </w:r>
      <w:r>
        <w:rPr>
          <w:rFonts w:hint="eastAsia" w:hAnsi="宋体" w:cs="宋体"/>
          <w:b w:val="0"/>
          <w:bCs w:val="0"/>
          <w:color w:val="auto"/>
          <w:sz w:val="21"/>
          <w:highlight w:val="none"/>
          <w:lang w:val="en-US" w:eastAsia="zh-CN"/>
        </w:rPr>
        <w:t xml:space="preserve">    </w:t>
      </w:r>
      <w:r>
        <w:rPr>
          <w:rFonts w:hint="eastAsia" w:hAnsi="宋体" w:cs="宋体"/>
          <w:b w:val="0"/>
          <w:bCs w:val="0"/>
          <w:color w:val="auto"/>
          <w:sz w:val="21"/>
          <w:highlight w:val="none"/>
        </w:rPr>
        <w:t>三档（15分）：能充分满足项目实施要求，课程建设方案、拍摄制作方案详细、清晰、完整，包含双语视频制作、数字人分身建设</w:t>
      </w:r>
      <w:r>
        <w:rPr>
          <w:rFonts w:hint="eastAsia" w:cs="宋体"/>
          <w:b w:val="0"/>
          <w:bCs w:val="0"/>
          <w:strike w:val="0"/>
          <w:dstrike w:val="0"/>
          <w:color w:val="auto"/>
          <w:sz w:val="21"/>
          <w:highlight w:val="none"/>
          <w:lang w:eastAsia="zh-CN"/>
        </w:rPr>
        <w:t>、</w:t>
      </w:r>
      <w:r>
        <w:rPr>
          <w:rFonts w:hint="eastAsia" w:hAnsi="宋体" w:cs="宋体"/>
          <w:b w:val="0"/>
          <w:bCs w:val="0"/>
          <w:color w:val="auto"/>
          <w:sz w:val="21"/>
          <w:highlight w:val="none"/>
        </w:rPr>
        <w:t>二维动画制作等全部内容的详细实施流程；实施方案条</w:t>
      </w:r>
      <w:r>
        <w:rPr>
          <w:rFonts w:hint="eastAsia" w:ascii="宋体" w:hAnsi="宋体" w:eastAsia="宋体" w:cs="宋体"/>
          <w:b w:val="0"/>
          <w:bCs w:val="0"/>
          <w:color w:val="auto"/>
          <w:sz w:val="21"/>
          <w:highlight w:val="none"/>
        </w:rPr>
        <w:t>理清晰、科学合理，有明确的实施进度计划和项目管理制度，有详细的项目实施保障措施，对项目实施质量有完善的控制方案和验收方案，安全保障措施完善细致，项目实施方案完全契合采购需求，针对性强。</w:t>
      </w:r>
    </w:p>
    <w:p w14:paraId="1D767EE8">
      <w:pPr>
        <w:pStyle w:val="23"/>
        <w:spacing w:line="440" w:lineRule="exact"/>
        <w:ind w:firstLine="420"/>
        <w:rPr>
          <w:rFonts w:hint="default" w:ascii="宋体" w:hAnsi="宋体" w:eastAsia="宋体" w:cs="宋体"/>
          <w:b/>
          <w:bCs/>
          <w:color w:val="auto"/>
          <w:sz w:val="21"/>
          <w:highlight w:val="none"/>
          <w:lang w:val="en-US" w:eastAsia="zh-CN"/>
        </w:rPr>
      </w:pPr>
      <w:r>
        <w:rPr>
          <w:rFonts w:hint="eastAsia" w:ascii="宋体" w:hAnsi="宋体" w:eastAsia="宋体" w:cs="宋体"/>
          <w:b/>
          <w:bCs/>
          <w:color w:val="auto"/>
          <w:sz w:val="21"/>
          <w:highlight w:val="none"/>
          <w:lang w:val="en-US" w:eastAsia="zh-CN"/>
        </w:rPr>
        <w:t>注：未提供方案或为入档的不得分。</w:t>
      </w:r>
    </w:p>
    <w:p w14:paraId="2004310C">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w:t>
      </w:r>
      <w:r>
        <w:rPr>
          <w:rFonts w:hint="eastAsia" w:hAnsi="宋体" w:cs="宋体"/>
          <w:b/>
          <w:bCs/>
          <w:color w:val="auto"/>
          <w:sz w:val="21"/>
          <w:highlight w:val="none"/>
          <w:lang w:val="en-US" w:eastAsia="zh-CN"/>
        </w:rPr>
        <w:t>2</w:t>
      </w:r>
      <w:r>
        <w:rPr>
          <w:rFonts w:hint="eastAsia" w:hAnsi="宋体" w:cs="宋体"/>
          <w:b/>
          <w:bCs/>
          <w:color w:val="auto"/>
          <w:sz w:val="21"/>
          <w:highlight w:val="none"/>
        </w:rPr>
        <w:t>）技术能力分（满分</w:t>
      </w:r>
      <w:r>
        <w:rPr>
          <w:rFonts w:hint="eastAsia" w:hAnsi="宋体" w:cs="宋体"/>
          <w:b/>
          <w:bCs/>
          <w:color w:val="auto"/>
          <w:sz w:val="21"/>
          <w:highlight w:val="none"/>
          <w:lang w:val="en-US" w:eastAsia="zh-CN"/>
        </w:rPr>
        <w:t>15</w:t>
      </w:r>
      <w:r>
        <w:rPr>
          <w:rFonts w:hint="eastAsia" w:hAnsi="宋体" w:cs="宋体"/>
          <w:b/>
          <w:bCs/>
          <w:color w:val="auto"/>
          <w:sz w:val="21"/>
          <w:highlight w:val="none"/>
        </w:rPr>
        <w:t>分）</w:t>
      </w:r>
    </w:p>
    <w:p w14:paraId="3A42F6E1">
      <w:pPr>
        <w:pStyle w:val="23"/>
        <w:spacing w:line="440" w:lineRule="exact"/>
        <w:ind w:firstLine="420"/>
        <w:rPr>
          <w:rFonts w:hint="eastAsia" w:hAnsi="宋体" w:cs="宋体"/>
          <w:color w:val="auto"/>
          <w:sz w:val="21"/>
          <w:highlight w:val="none"/>
          <w:lang w:val="en-US" w:eastAsia="zh-CN"/>
        </w:rPr>
      </w:pPr>
      <w:r>
        <w:rPr>
          <w:rFonts w:hint="eastAsia" w:hAnsi="宋体" w:cs="宋体"/>
          <w:b w:val="0"/>
          <w:bCs w:val="0"/>
          <w:color w:val="auto"/>
          <w:sz w:val="21"/>
          <w:highlight w:val="none"/>
        </w:rPr>
        <w:t>由</w:t>
      </w:r>
      <w:r>
        <w:rPr>
          <w:rFonts w:hint="eastAsia" w:cs="宋体"/>
          <w:b w:val="0"/>
          <w:bCs w:val="0"/>
          <w:color w:val="auto"/>
          <w:sz w:val="21"/>
          <w:highlight w:val="none"/>
          <w:lang w:val="en-US" w:eastAsia="zh-CN"/>
        </w:rPr>
        <w:t>磋商</w:t>
      </w:r>
      <w:r>
        <w:rPr>
          <w:rFonts w:hint="eastAsia" w:hAnsi="宋体" w:cs="宋体"/>
          <w:b w:val="0"/>
          <w:bCs w:val="0"/>
          <w:color w:val="auto"/>
          <w:sz w:val="21"/>
          <w:highlight w:val="none"/>
        </w:rPr>
        <w:t>小组成员</w:t>
      </w:r>
      <w:r>
        <w:rPr>
          <w:rFonts w:hint="eastAsia" w:hAnsi="宋体" w:cs="宋体"/>
          <w:color w:val="auto"/>
          <w:sz w:val="21"/>
          <w:highlight w:val="none"/>
          <w:lang w:val="en-US" w:eastAsia="zh-CN"/>
        </w:rPr>
        <w:t>根据供应商提供的视频拍摄与制作能力、课程建设经验进行评审：</w:t>
      </w:r>
    </w:p>
    <w:p w14:paraId="4BE0BAB0">
      <w:pPr>
        <w:pStyle w:val="23"/>
        <w:spacing w:line="440" w:lineRule="exact"/>
        <w:ind w:firstLine="420"/>
        <w:rPr>
          <w:rFonts w:hint="eastAsia" w:hAnsi="宋体" w:cs="宋体"/>
          <w:color w:val="auto"/>
          <w:sz w:val="21"/>
          <w:highlight w:val="none"/>
          <w:lang w:val="en-US" w:eastAsia="zh-CN"/>
        </w:rPr>
      </w:pPr>
      <w:r>
        <w:rPr>
          <w:rFonts w:hint="eastAsia" w:hAnsi="宋体" w:cs="宋体"/>
          <w:color w:val="auto"/>
          <w:sz w:val="21"/>
          <w:highlight w:val="none"/>
          <w:lang w:val="en-US" w:eastAsia="zh-CN"/>
        </w:rPr>
        <w:t>一档（5分）：具备基本的视频拍摄制作能力，能提供基础功能说明。</w:t>
      </w:r>
    </w:p>
    <w:p w14:paraId="7643AC76">
      <w:pPr>
        <w:pStyle w:val="23"/>
        <w:spacing w:line="440" w:lineRule="exact"/>
        <w:ind w:firstLine="420"/>
        <w:rPr>
          <w:rFonts w:hint="eastAsia" w:hAnsi="宋体" w:cs="宋体"/>
          <w:color w:val="auto"/>
          <w:sz w:val="21"/>
          <w:highlight w:val="none"/>
          <w:lang w:val="en-US" w:eastAsia="zh-CN"/>
        </w:rPr>
      </w:pPr>
      <w:r>
        <w:rPr>
          <w:rFonts w:hint="eastAsia" w:hAnsi="宋体" w:cs="宋体"/>
          <w:color w:val="auto"/>
          <w:sz w:val="21"/>
          <w:highlight w:val="none"/>
          <w:lang w:val="en-US" w:eastAsia="zh-CN"/>
        </w:rPr>
        <w:t>二档（10分）：具备较好的视频拍摄制作能力，能提供多种拍摄模式和后期制作流程说明；有课程建设相关经验。</w:t>
      </w:r>
    </w:p>
    <w:p w14:paraId="18F2A55B">
      <w:pPr>
        <w:pStyle w:val="23"/>
        <w:spacing w:line="440" w:lineRule="exact"/>
        <w:ind w:firstLine="420"/>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三档（15分）：具备专业的视频拍摄制作能力，能提供详细的多机位拍摄方案、后期制作流程和案</w:t>
      </w:r>
      <w:r>
        <w:rPr>
          <w:rFonts w:hint="eastAsia" w:hAnsi="宋体" w:cs="宋体"/>
          <w:strike w:val="0"/>
          <w:dstrike w:val="0"/>
          <w:color w:val="auto"/>
          <w:sz w:val="21"/>
          <w:highlight w:val="none"/>
          <w:lang w:val="en-US" w:eastAsia="zh-CN"/>
        </w:rPr>
        <w:t>例展示；</w:t>
      </w:r>
      <w:r>
        <w:rPr>
          <w:rFonts w:hint="eastAsia" w:ascii="宋体" w:hAnsi="宋体" w:eastAsia="宋体" w:cs="宋体"/>
          <w:strike w:val="0"/>
          <w:dstrike w:val="0"/>
          <w:color w:val="auto"/>
          <w:sz w:val="21"/>
          <w:highlight w:val="none"/>
          <w:lang w:val="en-US" w:eastAsia="zh-CN"/>
        </w:rPr>
        <w:t>有丰富的课建设案例或课程项目经验，技术成熟度高。</w:t>
      </w:r>
    </w:p>
    <w:p w14:paraId="7F989A3C">
      <w:pPr>
        <w:pStyle w:val="23"/>
        <w:spacing w:line="440" w:lineRule="exact"/>
        <w:ind w:firstLine="420"/>
        <w:rPr>
          <w:rFonts w:hint="eastAsia" w:ascii="宋体" w:hAnsi="宋体" w:eastAsia="宋体" w:cs="宋体"/>
          <w:b/>
          <w:bCs/>
          <w:color w:val="auto"/>
          <w:sz w:val="21"/>
          <w:highlight w:val="none"/>
          <w:lang w:val="en-US" w:eastAsia="zh-CN"/>
        </w:rPr>
      </w:pPr>
      <w:r>
        <w:rPr>
          <w:rFonts w:hint="eastAsia" w:ascii="宋体" w:hAnsi="宋体" w:eastAsia="宋体" w:cs="宋体"/>
          <w:b/>
          <w:bCs/>
          <w:color w:val="auto"/>
          <w:sz w:val="21"/>
          <w:highlight w:val="none"/>
          <w:lang w:val="en-US" w:eastAsia="zh-CN"/>
        </w:rPr>
        <w:t>注：未提供方案或为入档的不得分。</w:t>
      </w:r>
    </w:p>
    <w:p w14:paraId="1890D498">
      <w:pPr>
        <w:pStyle w:val="23"/>
        <w:spacing w:line="440" w:lineRule="exact"/>
        <w:ind w:firstLine="420"/>
        <w:rPr>
          <w:rFonts w:hint="eastAsia" w:ascii="宋体" w:hAnsi="宋体" w:eastAsia="宋体" w:cs="宋体"/>
          <w:b/>
          <w:bCs/>
          <w:color w:val="auto"/>
          <w:sz w:val="21"/>
          <w:highlight w:val="none"/>
          <w:lang w:val="en-US" w:eastAsia="zh-CN"/>
        </w:rPr>
      </w:pPr>
      <w:r>
        <w:rPr>
          <w:rFonts w:hint="eastAsia" w:ascii="宋体" w:hAnsi="宋体" w:eastAsia="宋体" w:cs="宋体"/>
          <w:b/>
          <w:bCs/>
          <w:color w:val="auto"/>
          <w:sz w:val="21"/>
          <w:highlight w:val="none"/>
          <w:lang w:val="en-US" w:eastAsia="zh-CN"/>
        </w:rPr>
        <w:t>（</w:t>
      </w:r>
      <w:r>
        <w:rPr>
          <w:rFonts w:hint="eastAsia" w:hAnsi="宋体" w:cs="宋体"/>
          <w:b/>
          <w:bCs/>
          <w:color w:val="auto"/>
          <w:sz w:val="21"/>
          <w:highlight w:val="none"/>
          <w:lang w:val="en-US" w:eastAsia="zh-CN"/>
        </w:rPr>
        <w:t>3</w:t>
      </w:r>
      <w:r>
        <w:rPr>
          <w:rFonts w:hint="eastAsia" w:ascii="宋体" w:hAnsi="宋体" w:eastAsia="宋体" w:cs="宋体"/>
          <w:b/>
          <w:bCs/>
          <w:color w:val="auto"/>
          <w:sz w:val="21"/>
          <w:highlight w:val="none"/>
          <w:lang w:val="en-US" w:eastAsia="zh-CN"/>
        </w:rPr>
        <w:t>）团队配置分</w:t>
      </w:r>
      <w:r>
        <w:rPr>
          <w:rFonts w:hint="eastAsia" w:hAnsi="宋体" w:cs="宋体"/>
          <w:b/>
          <w:bCs/>
          <w:color w:val="auto"/>
          <w:sz w:val="21"/>
          <w:highlight w:val="none"/>
        </w:rPr>
        <w:t>（满分</w:t>
      </w:r>
      <w:r>
        <w:rPr>
          <w:rFonts w:hint="eastAsia" w:hAnsi="宋体" w:cs="宋体"/>
          <w:b/>
          <w:bCs/>
          <w:color w:val="auto"/>
          <w:sz w:val="21"/>
          <w:highlight w:val="none"/>
          <w:lang w:val="en-US" w:eastAsia="zh-CN"/>
        </w:rPr>
        <w:t>15</w:t>
      </w:r>
      <w:r>
        <w:rPr>
          <w:rFonts w:hint="eastAsia" w:hAnsi="宋体" w:cs="宋体"/>
          <w:b/>
          <w:bCs/>
          <w:color w:val="auto"/>
          <w:sz w:val="21"/>
          <w:highlight w:val="none"/>
        </w:rPr>
        <w:t>分）</w:t>
      </w:r>
    </w:p>
    <w:p w14:paraId="2E9CD4E9">
      <w:pPr>
        <w:pStyle w:val="23"/>
        <w:spacing w:line="440" w:lineRule="exact"/>
        <w:ind w:firstLine="420"/>
        <w:rPr>
          <w:rFonts w:hint="eastAsia" w:ascii="宋体" w:hAnsi="宋体" w:eastAsia="宋体" w:cs="宋体"/>
          <w:color w:val="auto"/>
          <w:sz w:val="21"/>
          <w:highlight w:val="none"/>
          <w:lang w:val="en-US" w:eastAsia="zh-CN"/>
        </w:rPr>
      </w:pPr>
      <w:r>
        <w:rPr>
          <w:rFonts w:hint="eastAsia" w:hAnsi="宋体" w:cs="宋体"/>
          <w:b w:val="0"/>
          <w:bCs w:val="0"/>
          <w:color w:val="auto"/>
          <w:sz w:val="21"/>
          <w:highlight w:val="none"/>
        </w:rPr>
        <w:t>由</w:t>
      </w:r>
      <w:r>
        <w:rPr>
          <w:rFonts w:hint="eastAsia" w:cs="宋体"/>
          <w:b w:val="0"/>
          <w:bCs w:val="0"/>
          <w:color w:val="auto"/>
          <w:sz w:val="21"/>
          <w:highlight w:val="none"/>
          <w:lang w:val="en-US" w:eastAsia="zh-CN"/>
        </w:rPr>
        <w:t>磋商</w:t>
      </w:r>
      <w:r>
        <w:rPr>
          <w:rFonts w:hint="eastAsia" w:hAnsi="宋体" w:cs="宋体"/>
          <w:b w:val="0"/>
          <w:bCs w:val="0"/>
          <w:color w:val="auto"/>
          <w:sz w:val="21"/>
          <w:highlight w:val="none"/>
        </w:rPr>
        <w:t>小组成员</w:t>
      </w:r>
      <w:r>
        <w:rPr>
          <w:rFonts w:hint="eastAsia" w:ascii="宋体" w:hAnsi="宋体" w:eastAsia="宋体" w:cs="宋体"/>
          <w:color w:val="auto"/>
          <w:sz w:val="21"/>
          <w:highlight w:val="none"/>
          <w:lang w:val="en-US" w:eastAsia="zh-CN"/>
        </w:rPr>
        <w:t>根据供应商提供的项目团队配置情况进行评审：</w:t>
      </w:r>
    </w:p>
    <w:p w14:paraId="0D95E495">
      <w:pPr>
        <w:pStyle w:val="23"/>
        <w:spacing w:line="440" w:lineRule="exact"/>
        <w:ind w:firstLine="42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一档（</w:t>
      </w:r>
      <w:r>
        <w:rPr>
          <w:rFonts w:hint="eastAsia" w:hAnsi="宋体" w:cs="宋体"/>
          <w:color w:val="auto"/>
          <w:sz w:val="21"/>
          <w:highlight w:val="none"/>
          <w:lang w:val="en-US" w:eastAsia="zh-CN"/>
        </w:rPr>
        <w:t>5</w:t>
      </w:r>
      <w:r>
        <w:rPr>
          <w:rFonts w:hint="eastAsia" w:ascii="宋体" w:hAnsi="宋体" w:eastAsia="宋体" w:cs="宋体"/>
          <w:color w:val="auto"/>
          <w:sz w:val="21"/>
          <w:highlight w:val="none"/>
          <w:lang w:val="en-US" w:eastAsia="zh-CN"/>
        </w:rPr>
        <w:t>分）：</w:t>
      </w:r>
      <w:r>
        <w:rPr>
          <w:rFonts w:hint="eastAsia" w:hAnsi="宋体" w:cs="宋体"/>
          <w:color w:val="auto"/>
          <w:sz w:val="21"/>
          <w:highlight w:val="none"/>
          <w:lang w:val="en-US" w:eastAsia="zh-CN"/>
        </w:rPr>
        <w:t>项目团队成员不少于5人，</w:t>
      </w:r>
      <w:r>
        <w:rPr>
          <w:rFonts w:hint="eastAsia" w:ascii="宋体" w:hAnsi="宋体" w:eastAsia="宋体" w:cs="宋体"/>
          <w:color w:val="auto"/>
          <w:sz w:val="21"/>
          <w:highlight w:val="none"/>
          <w:lang w:val="en-US" w:eastAsia="zh-CN"/>
        </w:rPr>
        <w:t>人员配置基本满足项目实施需要，提供人员名单。</w:t>
      </w:r>
    </w:p>
    <w:p w14:paraId="56205DF8">
      <w:pPr>
        <w:pStyle w:val="23"/>
        <w:spacing w:line="440" w:lineRule="exact"/>
        <w:ind w:firstLine="42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二档（</w:t>
      </w:r>
      <w:r>
        <w:rPr>
          <w:rFonts w:hint="eastAsia" w:hAnsi="宋体" w:cs="宋体"/>
          <w:color w:val="auto"/>
          <w:sz w:val="21"/>
          <w:highlight w:val="none"/>
          <w:lang w:val="en-US" w:eastAsia="zh-CN"/>
        </w:rPr>
        <w:t>10</w:t>
      </w:r>
      <w:r>
        <w:rPr>
          <w:rFonts w:hint="eastAsia" w:ascii="宋体" w:hAnsi="宋体" w:eastAsia="宋体" w:cs="宋体"/>
          <w:color w:val="auto"/>
          <w:sz w:val="21"/>
          <w:highlight w:val="none"/>
          <w:lang w:val="en-US" w:eastAsia="zh-CN"/>
        </w:rPr>
        <w:t>分）：</w:t>
      </w:r>
      <w:r>
        <w:rPr>
          <w:rFonts w:hint="eastAsia" w:hAnsi="宋体" w:cs="宋体"/>
          <w:color w:val="auto"/>
          <w:sz w:val="21"/>
          <w:highlight w:val="none"/>
          <w:lang w:val="en-US" w:eastAsia="zh-CN"/>
        </w:rPr>
        <w:t>项目团队成员不少于10人，</w:t>
      </w:r>
      <w:r>
        <w:rPr>
          <w:rFonts w:hint="eastAsia" w:ascii="宋体" w:hAnsi="宋体" w:eastAsia="宋体" w:cs="宋体"/>
          <w:color w:val="auto"/>
          <w:sz w:val="21"/>
          <w:highlight w:val="none"/>
          <w:lang w:val="en-US" w:eastAsia="zh-CN"/>
        </w:rPr>
        <w:t>拍摄团队、后期人员配置完整，具备同类项目建设经验，提供人员简历及相关证明材料。</w:t>
      </w:r>
    </w:p>
    <w:p w14:paraId="28F788BB">
      <w:pPr>
        <w:pStyle w:val="23"/>
        <w:spacing w:line="440" w:lineRule="exact"/>
        <w:ind w:firstLine="42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三档（</w:t>
      </w:r>
      <w:r>
        <w:rPr>
          <w:rFonts w:hint="eastAsia" w:hAnsi="宋体" w:cs="宋体"/>
          <w:color w:val="auto"/>
          <w:sz w:val="21"/>
          <w:highlight w:val="none"/>
          <w:lang w:val="en-US" w:eastAsia="zh-CN"/>
        </w:rPr>
        <w:t>15</w:t>
      </w:r>
      <w:r>
        <w:rPr>
          <w:rFonts w:hint="eastAsia" w:ascii="宋体" w:hAnsi="宋体" w:eastAsia="宋体" w:cs="宋体"/>
          <w:color w:val="auto"/>
          <w:sz w:val="21"/>
          <w:highlight w:val="none"/>
          <w:lang w:val="en-US" w:eastAsia="zh-CN"/>
        </w:rPr>
        <w:t>分）：</w:t>
      </w:r>
      <w:r>
        <w:rPr>
          <w:rFonts w:hint="eastAsia" w:hAnsi="宋体" w:cs="宋体"/>
          <w:color w:val="auto"/>
          <w:sz w:val="21"/>
          <w:highlight w:val="none"/>
          <w:lang w:val="en-US" w:eastAsia="zh-CN"/>
        </w:rPr>
        <w:t>项目团队成员不少于15人并具备相关职业技能证书，</w:t>
      </w:r>
      <w:r>
        <w:rPr>
          <w:rFonts w:hint="eastAsia" w:ascii="宋体" w:hAnsi="宋体" w:eastAsia="宋体" w:cs="宋体"/>
          <w:color w:val="auto"/>
          <w:sz w:val="21"/>
          <w:highlight w:val="none"/>
          <w:lang w:val="en-US" w:eastAsia="zh-CN"/>
        </w:rPr>
        <w:t>拍摄团队、后期人员</w:t>
      </w:r>
      <w:r>
        <w:rPr>
          <w:rFonts w:hint="eastAsia" w:ascii="宋体" w:hAnsi="宋体" w:eastAsia="宋体" w:cs="宋体"/>
          <w:strike w:val="0"/>
          <w:dstrike w:val="0"/>
          <w:color w:val="auto"/>
          <w:sz w:val="21"/>
          <w:highlight w:val="none"/>
          <w:lang w:val="en-US" w:eastAsia="zh-CN"/>
        </w:rPr>
        <w:t>配置完整且分工明确</w:t>
      </w:r>
      <w:r>
        <w:rPr>
          <w:rFonts w:hint="eastAsia" w:ascii="宋体" w:hAnsi="宋体" w:eastAsia="宋体" w:cs="宋体"/>
          <w:color w:val="auto"/>
          <w:sz w:val="21"/>
          <w:highlight w:val="none"/>
          <w:lang w:val="en-US" w:eastAsia="zh-CN"/>
        </w:rPr>
        <w:t>，团队成员具有丰富的课程建设经验，提供人员简历及相关证明材料，人员配置方案科学合理。</w:t>
      </w:r>
    </w:p>
    <w:p w14:paraId="18C63A71">
      <w:pPr>
        <w:pStyle w:val="23"/>
        <w:spacing w:line="440" w:lineRule="exact"/>
        <w:ind w:firstLine="420"/>
        <w:rPr>
          <w:rFonts w:hint="eastAsia" w:hAnsi="宋体" w:cs="宋体"/>
          <w:b/>
          <w:bCs/>
          <w:color w:val="auto"/>
          <w:sz w:val="21"/>
          <w:highlight w:val="none"/>
        </w:rPr>
      </w:pPr>
      <w:r>
        <w:rPr>
          <w:rFonts w:hint="eastAsia" w:ascii="宋体" w:hAnsi="宋体" w:eastAsia="宋体" w:cs="宋体"/>
          <w:b/>
          <w:bCs/>
          <w:color w:val="auto"/>
          <w:sz w:val="21"/>
          <w:highlight w:val="none"/>
          <w:lang w:val="en-US" w:eastAsia="zh-CN"/>
        </w:rPr>
        <w:t>注：未提供方案或为入档的不得分。</w:t>
      </w:r>
    </w:p>
    <w:p w14:paraId="0EEB7B9C">
      <w:pPr>
        <w:pStyle w:val="23"/>
        <w:spacing w:line="440" w:lineRule="exact"/>
        <w:ind w:firstLine="420"/>
        <w:rPr>
          <w:rFonts w:hint="default" w:ascii="宋体" w:hAnsi="宋体" w:eastAsia="宋体" w:cs="宋体"/>
          <w:b/>
          <w:bCs/>
          <w:color w:val="auto"/>
          <w:sz w:val="21"/>
          <w:highlight w:val="none"/>
          <w:lang w:val="en-US" w:eastAsia="zh-CN"/>
        </w:rPr>
      </w:pPr>
      <w:r>
        <w:rPr>
          <w:rFonts w:hint="eastAsia" w:ascii="宋体" w:hAnsi="宋体" w:eastAsia="宋体" w:cs="宋体"/>
          <w:b/>
          <w:bCs/>
          <w:color w:val="auto"/>
          <w:sz w:val="21"/>
          <w:highlight w:val="none"/>
          <w:lang w:val="en-US" w:eastAsia="zh-CN"/>
        </w:rPr>
        <w:t>（</w:t>
      </w:r>
      <w:r>
        <w:rPr>
          <w:rFonts w:hint="eastAsia" w:hAnsi="宋体" w:cs="宋体"/>
          <w:b/>
          <w:bCs/>
          <w:color w:val="auto"/>
          <w:sz w:val="21"/>
          <w:highlight w:val="none"/>
          <w:lang w:val="en-US" w:eastAsia="zh-CN"/>
        </w:rPr>
        <w:t>4</w:t>
      </w:r>
      <w:r>
        <w:rPr>
          <w:rFonts w:hint="eastAsia" w:ascii="宋体" w:hAnsi="宋体" w:eastAsia="宋体" w:cs="宋体"/>
          <w:b/>
          <w:bCs/>
          <w:color w:val="auto"/>
          <w:sz w:val="21"/>
          <w:highlight w:val="none"/>
          <w:lang w:val="en-US" w:eastAsia="zh-CN"/>
        </w:rPr>
        <w:t>）</w:t>
      </w:r>
      <w:r>
        <w:rPr>
          <w:rFonts w:hint="eastAsia" w:hAnsi="宋体" w:cs="宋体"/>
          <w:b/>
          <w:bCs/>
          <w:color w:val="auto"/>
          <w:sz w:val="21"/>
          <w:highlight w:val="none"/>
          <w:lang w:val="en-US" w:eastAsia="zh-CN"/>
        </w:rPr>
        <w:t>内容审读服务保障</w:t>
      </w:r>
      <w:r>
        <w:rPr>
          <w:rFonts w:hint="eastAsia" w:ascii="宋体" w:hAnsi="宋体" w:eastAsia="宋体" w:cs="宋体"/>
          <w:b/>
          <w:bCs/>
          <w:color w:val="auto"/>
          <w:sz w:val="21"/>
          <w:highlight w:val="none"/>
          <w:lang w:val="en-US" w:eastAsia="zh-CN"/>
        </w:rPr>
        <w:t>分</w:t>
      </w:r>
      <w:r>
        <w:rPr>
          <w:rFonts w:hint="eastAsia" w:hAnsi="宋体" w:cs="宋体"/>
          <w:b/>
          <w:bCs/>
          <w:color w:val="auto"/>
          <w:sz w:val="21"/>
          <w:highlight w:val="none"/>
        </w:rPr>
        <w:t>（满分</w:t>
      </w:r>
      <w:r>
        <w:rPr>
          <w:rFonts w:hint="eastAsia" w:hAnsi="宋体" w:cs="宋体"/>
          <w:b/>
          <w:bCs/>
          <w:color w:val="auto"/>
          <w:sz w:val="21"/>
          <w:highlight w:val="none"/>
          <w:lang w:val="en-US" w:eastAsia="zh-CN"/>
        </w:rPr>
        <w:t>15</w:t>
      </w:r>
      <w:r>
        <w:rPr>
          <w:rFonts w:hint="eastAsia" w:hAnsi="宋体" w:cs="宋体"/>
          <w:b/>
          <w:bCs/>
          <w:color w:val="auto"/>
          <w:sz w:val="21"/>
          <w:highlight w:val="none"/>
        </w:rPr>
        <w:t>分）</w:t>
      </w:r>
    </w:p>
    <w:p w14:paraId="02278BE5">
      <w:pPr>
        <w:pStyle w:val="23"/>
        <w:spacing w:line="440" w:lineRule="exact"/>
        <w:ind w:firstLine="42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根据供应商提供的交付保障措施进行评审：</w:t>
      </w:r>
    </w:p>
    <w:p w14:paraId="56FE362E">
      <w:pPr>
        <w:pStyle w:val="23"/>
        <w:spacing w:line="440" w:lineRule="exact"/>
        <w:ind w:firstLine="42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一档（</w:t>
      </w:r>
      <w:r>
        <w:rPr>
          <w:rFonts w:hint="eastAsia" w:hAnsi="宋体" w:cs="宋体"/>
          <w:color w:val="auto"/>
          <w:sz w:val="21"/>
          <w:highlight w:val="none"/>
          <w:lang w:val="en-US" w:eastAsia="zh-CN"/>
        </w:rPr>
        <w:t>5</w:t>
      </w:r>
      <w:r>
        <w:rPr>
          <w:rFonts w:hint="eastAsia" w:ascii="宋体" w:hAnsi="宋体" w:eastAsia="宋体" w:cs="宋体"/>
          <w:color w:val="auto"/>
          <w:sz w:val="21"/>
          <w:highlight w:val="none"/>
          <w:lang w:val="en-US" w:eastAsia="zh-CN"/>
        </w:rPr>
        <w:t>分）：提供基本的</w:t>
      </w:r>
      <w:r>
        <w:rPr>
          <w:rFonts w:hint="eastAsia" w:hAnsi="宋体" w:cs="宋体"/>
          <w:color w:val="auto"/>
          <w:sz w:val="21"/>
          <w:highlight w:val="none"/>
          <w:lang w:val="en-US" w:eastAsia="zh-CN"/>
        </w:rPr>
        <w:t>审读报账</w:t>
      </w:r>
      <w:r>
        <w:rPr>
          <w:rFonts w:hint="eastAsia" w:ascii="宋体" w:hAnsi="宋体" w:eastAsia="宋体" w:cs="宋体"/>
          <w:color w:val="auto"/>
          <w:sz w:val="21"/>
          <w:highlight w:val="none"/>
          <w:lang w:val="en-US" w:eastAsia="zh-CN"/>
        </w:rPr>
        <w:t>，包含简单的</w:t>
      </w:r>
      <w:r>
        <w:rPr>
          <w:rFonts w:hint="eastAsia" w:hAnsi="宋体" w:cs="宋体"/>
          <w:color w:val="auto"/>
          <w:sz w:val="21"/>
          <w:highlight w:val="none"/>
          <w:lang w:val="en-US" w:eastAsia="zh-CN"/>
        </w:rPr>
        <w:t>审读服务要求、方向，审读团队配备不少于2名副编审、编审</w:t>
      </w:r>
      <w:r>
        <w:rPr>
          <w:rFonts w:hint="eastAsia" w:ascii="宋体" w:hAnsi="宋体" w:eastAsia="宋体" w:cs="宋体"/>
          <w:color w:val="auto"/>
          <w:sz w:val="21"/>
          <w:highlight w:val="none"/>
          <w:lang w:val="en-US" w:eastAsia="zh-CN"/>
        </w:rPr>
        <w:t>。</w:t>
      </w:r>
    </w:p>
    <w:p w14:paraId="554F2FF1">
      <w:pPr>
        <w:pStyle w:val="23"/>
        <w:spacing w:line="440" w:lineRule="exact"/>
        <w:ind w:firstLine="42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二档（</w:t>
      </w:r>
      <w:r>
        <w:rPr>
          <w:rFonts w:hint="eastAsia" w:hAnsi="宋体" w:cs="宋体"/>
          <w:color w:val="auto"/>
          <w:sz w:val="21"/>
          <w:highlight w:val="none"/>
          <w:lang w:val="en-US" w:eastAsia="zh-CN"/>
        </w:rPr>
        <w:t>10</w:t>
      </w:r>
      <w:r>
        <w:rPr>
          <w:rFonts w:hint="eastAsia" w:ascii="宋体" w:hAnsi="宋体" w:eastAsia="宋体" w:cs="宋体"/>
          <w:color w:val="auto"/>
          <w:sz w:val="21"/>
          <w:highlight w:val="none"/>
          <w:lang w:val="en-US" w:eastAsia="zh-CN"/>
        </w:rPr>
        <w:t>分）：</w:t>
      </w:r>
      <w:r>
        <w:rPr>
          <w:rFonts w:hint="eastAsia" w:hAnsi="宋体" w:cs="宋体"/>
          <w:color w:val="auto"/>
          <w:sz w:val="21"/>
          <w:highlight w:val="none"/>
          <w:lang w:val="en-US" w:eastAsia="zh-CN"/>
        </w:rPr>
        <w:t>深度服务保障措施较为完整，能提供AI人工智能审读，人工编辑审读等双重审读服务，包含详细的审读要求、审读标准、审读进度安排等，审读团队配备不少于5名副编审、编审</w:t>
      </w:r>
      <w:r>
        <w:rPr>
          <w:rFonts w:hint="eastAsia" w:ascii="宋体" w:hAnsi="宋体" w:eastAsia="宋体" w:cs="宋体"/>
          <w:color w:val="auto"/>
          <w:sz w:val="21"/>
          <w:highlight w:val="none"/>
          <w:lang w:val="en-US" w:eastAsia="zh-CN"/>
        </w:rPr>
        <w:t>。</w:t>
      </w:r>
    </w:p>
    <w:p w14:paraId="44DA0A05">
      <w:pPr>
        <w:pStyle w:val="23"/>
        <w:spacing w:line="440" w:lineRule="exact"/>
        <w:ind w:firstLine="42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三档（</w:t>
      </w:r>
      <w:r>
        <w:rPr>
          <w:rFonts w:hint="eastAsia" w:hAnsi="宋体" w:cs="宋体"/>
          <w:color w:val="auto"/>
          <w:sz w:val="21"/>
          <w:highlight w:val="none"/>
          <w:lang w:val="en-US" w:eastAsia="zh-CN"/>
        </w:rPr>
        <w:t>15</w:t>
      </w:r>
      <w:r>
        <w:rPr>
          <w:rFonts w:hint="eastAsia" w:ascii="宋体" w:hAnsi="宋体" w:eastAsia="宋体" w:cs="宋体"/>
          <w:color w:val="auto"/>
          <w:sz w:val="21"/>
          <w:highlight w:val="none"/>
          <w:lang w:val="en-US" w:eastAsia="zh-CN"/>
        </w:rPr>
        <w:t>分）：</w:t>
      </w:r>
      <w:r>
        <w:rPr>
          <w:rFonts w:hint="eastAsia" w:hAnsi="宋体" w:cs="宋体"/>
          <w:color w:val="auto"/>
          <w:sz w:val="21"/>
          <w:highlight w:val="none"/>
          <w:lang w:val="en-US" w:eastAsia="zh-CN"/>
        </w:rPr>
        <w:t>审读服务保证措施完整详细、科学合理，包含预审读、AI人工智能审读，人工编辑审读等多重审读服务，有规范的审读标准、明确的审读方向及要点、明确的审核周期安排、丰富的审读案例等，审读团队配备不少于8名副编审、编审</w:t>
      </w:r>
      <w:r>
        <w:rPr>
          <w:rFonts w:hint="eastAsia" w:ascii="宋体" w:hAnsi="宋体" w:eastAsia="宋体" w:cs="宋体"/>
          <w:color w:val="auto"/>
          <w:sz w:val="21"/>
          <w:highlight w:val="none"/>
          <w:lang w:val="en-US" w:eastAsia="zh-CN"/>
        </w:rPr>
        <w:t>。</w:t>
      </w:r>
    </w:p>
    <w:p w14:paraId="626BB205">
      <w:pPr>
        <w:pStyle w:val="23"/>
        <w:spacing w:line="440" w:lineRule="exact"/>
        <w:ind w:firstLine="420"/>
        <w:rPr>
          <w:rFonts w:hint="eastAsia" w:hAnsi="宋体" w:cs="宋体"/>
          <w:b/>
          <w:bCs/>
          <w:color w:val="auto"/>
          <w:sz w:val="21"/>
          <w:highlight w:val="none"/>
        </w:rPr>
      </w:pPr>
      <w:r>
        <w:rPr>
          <w:rFonts w:hint="eastAsia" w:ascii="宋体" w:hAnsi="宋体" w:eastAsia="宋体" w:cs="宋体"/>
          <w:b/>
          <w:bCs/>
          <w:color w:val="auto"/>
          <w:sz w:val="21"/>
          <w:highlight w:val="none"/>
          <w:lang w:val="en-US" w:eastAsia="zh-CN"/>
        </w:rPr>
        <w:t>注：未提供方案或为入档的不得分。</w:t>
      </w:r>
    </w:p>
    <w:p w14:paraId="276692EC">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3、商务分………………………………………………………………………………</w:t>
      </w:r>
      <w:r>
        <w:rPr>
          <w:rFonts w:hint="eastAsia" w:hAnsi="宋体" w:cs="宋体"/>
          <w:b/>
          <w:bCs/>
          <w:color w:val="auto"/>
          <w:sz w:val="21"/>
          <w:highlight w:val="none"/>
          <w:lang w:val="en-US" w:eastAsia="zh-CN"/>
        </w:rPr>
        <w:t>25</w:t>
      </w:r>
      <w:r>
        <w:rPr>
          <w:rFonts w:hint="eastAsia" w:hAnsi="宋体" w:cs="宋体"/>
          <w:b/>
          <w:bCs/>
          <w:color w:val="auto"/>
          <w:sz w:val="21"/>
          <w:highlight w:val="none"/>
        </w:rPr>
        <w:t>分</w:t>
      </w:r>
    </w:p>
    <w:p w14:paraId="1D864D32">
      <w:pPr>
        <w:pStyle w:val="23"/>
        <w:spacing w:line="440" w:lineRule="exact"/>
        <w:ind w:firstLine="420"/>
        <w:rPr>
          <w:rFonts w:hint="eastAsia" w:ascii="宋体" w:hAnsi="宋体" w:eastAsia="宋体" w:cs="宋体"/>
          <w:b/>
          <w:bCs/>
          <w:color w:val="auto"/>
          <w:sz w:val="21"/>
          <w:highlight w:val="none"/>
          <w:lang w:val="en-US" w:eastAsia="zh-CN"/>
        </w:rPr>
      </w:pPr>
      <w:r>
        <w:rPr>
          <w:rFonts w:hint="eastAsia" w:ascii="宋体" w:hAnsi="宋体" w:eastAsia="宋体" w:cs="宋体"/>
          <w:b/>
          <w:bCs/>
          <w:color w:val="auto"/>
          <w:sz w:val="21"/>
          <w:highlight w:val="none"/>
          <w:lang w:val="en-US" w:eastAsia="zh-CN"/>
        </w:rPr>
        <w:t>（1）同类项目业绩分</w:t>
      </w:r>
      <w:r>
        <w:rPr>
          <w:rFonts w:hint="eastAsia" w:hAnsi="宋体" w:cs="宋体"/>
          <w:b/>
          <w:bCs/>
          <w:color w:val="auto"/>
          <w:sz w:val="21"/>
          <w:highlight w:val="none"/>
        </w:rPr>
        <w:t>（满分</w:t>
      </w:r>
      <w:r>
        <w:rPr>
          <w:rFonts w:hint="eastAsia" w:hAnsi="宋体" w:cs="宋体"/>
          <w:b/>
          <w:bCs/>
          <w:color w:val="auto"/>
          <w:sz w:val="21"/>
          <w:highlight w:val="none"/>
          <w:lang w:val="en-US" w:eastAsia="zh-CN"/>
        </w:rPr>
        <w:t>10</w:t>
      </w:r>
      <w:r>
        <w:rPr>
          <w:rFonts w:hint="eastAsia" w:hAnsi="宋体" w:cs="宋体"/>
          <w:b/>
          <w:bCs/>
          <w:color w:val="auto"/>
          <w:sz w:val="21"/>
          <w:highlight w:val="none"/>
        </w:rPr>
        <w:t>分）</w:t>
      </w:r>
    </w:p>
    <w:p w14:paraId="67E1FAD8">
      <w:pPr>
        <w:pStyle w:val="23"/>
        <w:spacing w:line="440" w:lineRule="exact"/>
        <w:ind w:firstLine="420"/>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供应商</w:t>
      </w:r>
      <w:r>
        <w:rPr>
          <w:rFonts w:hint="default" w:ascii="宋体" w:hAnsi="宋体" w:eastAsia="宋体" w:cs="宋体"/>
          <w:color w:val="auto"/>
          <w:sz w:val="21"/>
          <w:highlight w:val="none"/>
          <w:lang w:val="en-US" w:eastAsia="zh-CN"/>
        </w:rPr>
        <w:t>自2023年1月1日起（以合同签订时间为准）完成过同类项目成功案例，</w:t>
      </w:r>
      <w:r>
        <w:rPr>
          <w:rFonts w:hint="eastAsia" w:hAnsi="宋体" w:cs="宋体"/>
          <w:color w:val="auto"/>
          <w:sz w:val="21"/>
          <w:highlight w:val="none"/>
        </w:rPr>
        <w:t>每有一项</w:t>
      </w:r>
      <w:r>
        <w:rPr>
          <w:rFonts w:hint="default" w:ascii="宋体" w:hAnsi="宋体" w:eastAsia="宋体" w:cs="宋体"/>
          <w:color w:val="auto"/>
          <w:sz w:val="21"/>
          <w:highlight w:val="none"/>
          <w:lang w:val="en-US" w:eastAsia="zh-CN"/>
        </w:rPr>
        <w:t>得</w:t>
      </w:r>
      <w:r>
        <w:rPr>
          <w:rFonts w:hint="eastAsia" w:hAnsi="宋体" w:cs="宋体"/>
          <w:color w:val="auto"/>
          <w:sz w:val="21"/>
          <w:highlight w:val="none"/>
          <w:lang w:val="en-US" w:eastAsia="zh-CN"/>
        </w:rPr>
        <w:t>1</w:t>
      </w:r>
      <w:r>
        <w:rPr>
          <w:rFonts w:hint="default" w:ascii="宋体" w:hAnsi="宋体" w:eastAsia="宋体" w:cs="宋体"/>
          <w:color w:val="auto"/>
          <w:sz w:val="21"/>
          <w:highlight w:val="none"/>
          <w:lang w:val="en-US" w:eastAsia="zh-CN"/>
        </w:rPr>
        <w:t>分，满分</w:t>
      </w:r>
      <w:r>
        <w:rPr>
          <w:rFonts w:hint="eastAsia" w:hAnsi="宋体" w:cs="宋体"/>
          <w:color w:val="auto"/>
          <w:sz w:val="21"/>
          <w:highlight w:val="none"/>
          <w:lang w:val="en-US" w:eastAsia="zh-CN"/>
        </w:rPr>
        <w:t>10</w:t>
      </w:r>
      <w:r>
        <w:rPr>
          <w:rFonts w:hint="default" w:ascii="宋体" w:hAnsi="宋体" w:eastAsia="宋体" w:cs="宋体"/>
          <w:color w:val="auto"/>
          <w:sz w:val="21"/>
          <w:highlight w:val="none"/>
          <w:lang w:val="en-US" w:eastAsia="zh-CN"/>
        </w:rPr>
        <w:t>分（注：同类项目指与本</w:t>
      </w:r>
      <w:r>
        <w:rPr>
          <w:rFonts w:hint="eastAsia" w:hAnsi="宋体" w:cs="宋体"/>
          <w:color w:val="auto"/>
          <w:sz w:val="21"/>
          <w:highlight w:val="none"/>
          <w:lang w:val="en-US" w:eastAsia="zh-CN"/>
        </w:rPr>
        <w:t>标项</w:t>
      </w:r>
      <w:r>
        <w:rPr>
          <w:rFonts w:hint="default" w:ascii="宋体" w:hAnsi="宋体" w:eastAsia="宋体" w:cs="宋体"/>
          <w:color w:val="auto"/>
          <w:sz w:val="21"/>
          <w:highlight w:val="none"/>
          <w:lang w:val="en-US" w:eastAsia="zh-CN"/>
        </w:rPr>
        <w:t>采购内容性质相近的项目，须提供合同</w:t>
      </w:r>
      <w:r>
        <w:rPr>
          <w:rFonts w:hint="eastAsia" w:hAnsi="宋体" w:cs="宋体"/>
          <w:color w:val="auto"/>
          <w:sz w:val="21"/>
          <w:highlight w:val="none"/>
          <w:lang w:val="en-US" w:eastAsia="zh-CN"/>
        </w:rPr>
        <w:t>扫描件</w:t>
      </w:r>
      <w:r>
        <w:rPr>
          <w:rFonts w:hint="default" w:ascii="宋体" w:hAnsi="宋体" w:eastAsia="宋体" w:cs="宋体"/>
          <w:color w:val="auto"/>
          <w:sz w:val="21"/>
          <w:highlight w:val="none"/>
          <w:lang w:val="en-US" w:eastAsia="zh-CN"/>
        </w:rPr>
        <w:t>并加盖供应商CA电子签章，否则不予计分。）</w:t>
      </w:r>
    </w:p>
    <w:p w14:paraId="13331CF4">
      <w:pPr>
        <w:pStyle w:val="23"/>
        <w:numPr>
          <w:ilvl w:val="0"/>
          <w:numId w:val="0"/>
        </w:numPr>
        <w:spacing w:line="440" w:lineRule="exact"/>
        <w:ind w:firstLine="420"/>
        <w:rPr>
          <w:rFonts w:hint="eastAsia" w:hAnsi="宋体" w:cs="宋体"/>
          <w:b/>
          <w:bCs/>
          <w:color w:val="auto"/>
          <w:sz w:val="21"/>
          <w:highlight w:val="none"/>
          <w:lang w:val="en-US" w:eastAsia="zh-CN"/>
        </w:rPr>
      </w:pPr>
      <w:r>
        <w:rPr>
          <w:rFonts w:hint="eastAsia" w:ascii="宋体" w:hAnsi="宋体" w:eastAsia="宋体" w:cs="宋体"/>
          <w:b/>
          <w:bCs/>
          <w:color w:val="auto"/>
          <w:kern w:val="0"/>
          <w:sz w:val="21"/>
          <w:szCs w:val="21"/>
          <w:lang w:val="en-US" w:eastAsia="zh-CN" w:bidi="ar-SA"/>
        </w:rPr>
        <w:t>（2）</w:t>
      </w:r>
      <w:r>
        <w:rPr>
          <w:rFonts w:hint="eastAsia" w:hAnsi="宋体" w:cs="宋体"/>
          <w:b/>
          <w:bCs/>
          <w:color w:val="auto"/>
          <w:sz w:val="21"/>
          <w:highlight w:val="none"/>
          <w:lang w:val="en-US" w:eastAsia="zh-CN"/>
        </w:rPr>
        <w:t>课程资源建设能力分</w:t>
      </w:r>
      <w:r>
        <w:rPr>
          <w:rFonts w:hint="eastAsia" w:hAnsi="宋体" w:cs="宋体"/>
          <w:b/>
          <w:bCs/>
          <w:color w:val="auto"/>
          <w:sz w:val="21"/>
          <w:highlight w:val="none"/>
        </w:rPr>
        <w:t>（满分</w:t>
      </w:r>
      <w:r>
        <w:rPr>
          <w:rFonts w:hint="eastAsia" w:hAnsi="宋体" w:cs="宋体"/>
          <w:b/>
          <w:bCs/>
          <w:color w:val="auto"/>
          <w:sz w:val="21"/>
          <w:highlight w:val="none"/>
          <w:lang w:val="en-US" w:eastAsia="zh-CN"/>
        </w:rPr>
        <w:t>5</w:t>
      </w:r>
      <w:r>
        <w:rPr>
          <w:rFonts w:hint="eastAsia" w:hAnsi="宋体" w:cs="宋体"/>
          <w:b/>
          <w:bCs/>
          <w:color w:val="auto"/>
          <w:sz w:val="21"/>
          <w:highlight w:val="none"/>
        </w:rPr>
        <w:t>分）</w:t>
      </w:r>
    </w:p>
    <w:p w14:paraId="0942126E">
      <w:pPr>
        <w:pStyle w:val="23"/>
        <w:spacing w:line="440" w:lineRule="exact"/>
        <w:ind w:firstLine="420"/>
        <w:rPr>
          <w:rFonts w:hint="default"/>
          <w:lang w:val="en-US" w:eastAsia="zh-CN"/>
        </w:rPr>
      </w:pPr>
      <w:r>
        <w:rPr>
          <w:rFonts w:hint="eastAsia" w:ascii="宋体" w:hAnsi="宋体" w:eastAsia="宋体" w:cs="宋体"/>
          <w:color w:val="auto"/>
          <w:sz w:val="21"/>
          <w:highlight w:val="none"/>
          <w:lang w:val="en-US" w:eastAsia="zh-CN"/>
        </w:rPr>
        <w:t>供应商</w:t>
      </w:r>
      <w:r>
        <w:rPr>
          <w:rFonts w:hint="eastAsia" w:hAnsi="宋体" w:cs="宋体"/>
          <w:color w:val="auto"/>
          <w:sz w:val="21"/>
          <w:highlight w:val="none"/>
          <w:lang w:val="en-US" w:eastAsia="zh-CN"/>
        </w:rPr>
        <w:t>具备国家级课程资源建设能力，负责制作的课程获评“职业教育国家在线精品课程”</w:t>
      </w:r>
      <w:r>
        <w:rPr>
          <w:rFonts w:hint="default" w:ascii="宋体" w:hAnsi="宋体" w:eastAsia="宋体" w:cs="宋体"/>
          <w:color w:val="auto"/>
          <w:sz w:val="21"/>
          <w:highlight w:val="none"/>
          <w:lang w:val="en-US" w:eastAsia="zh-CN"/>
        </w:rPr>
        <w:t>，</w:t>
      </w:r>
      <w:r>
        <w:rPr>
          <w:rFonts w:hint="eastAsia" w:hAnsi="宋体" w:cs="宋体"/>
          <w:color w:val="auto"/>
          <w:sz w:val="21"/>
          <w:highlight w:val="none"/>
        </w:rPr>
        <w:t>每</w:t>
      </w:r>
      <w:r>
        <w:rPr>
          <w:rFonts w:hint="eastAsia" w:hAnsi="宋体" w:cs="宋体"/>
          <w:color w:val="auto"/>
          <w:sz w:val="21"/>
          <w:highlight w:val="none"/>
          <w:lang w:val="en-US" w:eastAsia="zh-CN"/>
        </w:rPr>
        <w:t>获评一门课程的业绩得0.5</w:t>
      </w:r>
      <w:r>
        <w:rPr>
          <w:rFonts w:hint="default" w:ascii="宋体" w:hAnsi="宋体" w:eastAsia="宋体" w:cs="宋体"/>
          <w:color w:val="auto"/>
          <w:sz w:val="21"/>
          <w:highlight w:val="none"/>
          <w:lang w:val="en-US" w:eastAsia="zh-CN"/>
        </w:rPr>
        <w:t>分，满分</w:t>
      </w:r>
      <w:r>
        <w:rPr>
          <w:rFonts w:hint="eastAsia" w:hAnsi="宋体" w:cs="宋体"/>
          <w:color w:val="auto"/>
          <w:sz w:val="21"/>
          <w:highlight w:val="none"/>
          <w:lang w:val="en-US" w:eastAsia="zh-CN"/>
        </w:rPr>
        <w:t>5</w:t>
      </w:r>
      <w:r>
        <w:rPr>
          <w:rFonts w:hint="default" w:ascii="宋体" w:hAnsi="宋体" w:eastAsia="宋体" w:cs="宋体"/>
          <w:color w:val="auto"/>
          <w:sz w:val="21"/>
          <w:highlight w:val="none"/>
          <w:lang w:val="en-US" w:eastAsia="zh-CN"/>
        </w:rPr>
        <w:t>分</w:t>
      </w:r>
      <w:r>
        <w:rPr>
          <w:rFonts w:hint="eastAsia" w:hAnsi="宋体" w:cs="宋体"/>
          <w:color w:val="auto"/>
          <w:sz w:val="21"/>
          <w:highlight w:val="none"/>
          <w:lang w:val="en-US" w:eastAsia="zh-CN"/>
        </w:rPr>
        <w:t>；未提供得0分。</w:t>
      </w:r>
      <w:r>
        <w:rPr>
          <w:rFonts w:hint="default" w:ascii="宋体" w:hAnsi="宋体" w:eastAsia="宋体" w:cs="宋体"/>
          <w:color w:val="auto"/>
          <w:sz w:val="21"/>
          <w:highlight w:val="none"/>
          <w:lang w:val="en-US" w:eastAsia="zh-CN"/>
        </w:rPr>
        <w:t>（注：</w:t>
      </w:r>
      <w:r>
        <w:rPr>
          <w:rFonts w:hint="eastAsia" w:hAnsi="宋体" w:cs="宋体"/>
          <w:color w:val="auto"/>
          <w:sz w:val="21"/>
          <w:highlight w:val="none"/>
          <w:lang w:val="en-US" w:eastAsia="zh-CN"/>
        </w:rPr>
        <w:t>证明材料包含合同或具有双方盖章合作证明的材料、教育部公示文件。</w:t>
      </w:r>
      <w:r>
        <w:rPr>
          <w:rFonts w:hint="default" w:ascii="宋体" w:hAnsi="宋体" w:eastAsia="宋体" w:cs="宋体"/>
          <w:color w:val="auto"/>
          <w:sz w:val="21"/>
          <w:highlight w:val="none"/>
          <w:lang w:val="en-US" w:eastAsia="zh-CN"/>
        </w:rPr>
        <w:t>）</w:t>
      </w:r>
    </w:p>
    <w:p w14:paraId="459973A7">
      <w:pPr>
        <w:pStyle w:val="23"/>
        <w:spacing w:line="440" w:lineRule="exact"/>
        <w:ind w:firstLine="420"/>
        <w:rPr>
          <w:rFonts w:hint="default" w:hAnsi="宋体" w:eastAsia="宋体" w:cs="宋体"/>
          <w:b/>
          <w:bCs/>
          <w:color w:val="auto"/>
          <w:sz w:val="21"/>
          <w:highlight w:val="none"/>
          <w:lang w:val="en-US" w:eastAsia="zh-CN"/>
        </w:rPr>
      </w:pPr>
      <w:r>
        <w:rPr>
          <w:rFonts w:hint="eastAsia" w:hAnsi="宋体" w:cs="宋体"/>
          <w:b/>
          <w:bCs/>
          <w:color w:val="auto"/>
          <w:sz w:val="21"/>
          <w:highlight w:val="none"/>
          <w:lang w:val="en-US" w:eastAsia="zh-CN"/>
        </w:rPr>
        <w:t>（3）售后服务方案分</w:t>
      </w:r>
      <w:r>
        <w:rPr>
          <w:rFonts w:hint="eastAsia" w:hAnsi="宋体" w:cs="宋体"/>
          <w:b/>
          <w:bCs/>
          <w:color w:val="auto"/>
          <w:sz w:val="21"/>
          <w:highlight w:val="none"/>
        </w:rPr>
        <w:t>（满分</w:t>
      </w:r>
      <w:r>
        <w:rPr>
          <w:rFonts w:hint="eastAsia" w:hAnsi="宋体" w:cs="宋体"/>
          <w:b/>
          <w:bCs/>
          <w:color w:val="auto"/>
          <w:sz w:val="21"/>
          <w:highlight w:val="none"/>
          <w:lang w:val="en-US" w:eastAsia="zh-CN"/>
        </w:rPr>
        <w:t>10</w:t>
      </w:r>
      <w:r>
        <w:rPr>
          <w:rFonts w:hint="eastAsia" w:hAnsi="宋体" w:cs="宋体"/>
          <w:b/>
          <w:bCs/>
          <w:color w:val="auto"/>
          <w:sz w:val="21"/>
          <w:highlight w:val="none"/>
        </w:rPr>
        <w:t>分）</w:t>
      </w:r>
    </w:p>
    <w:p w14:paraId="5844DEF3">
      <w:pPr>
        <w:pStyle w:val="23"/>
        <w:spacing w:line="440" w:lineRule="exact"/>
        <w:ind w:firstLine="420"/>
        <w:rPr>
          <w:rFonts w:hint="eastAsia" w:ascii="宋体" w:hAnsi="宋体" w:eastAsia="宋体" w:cs="宋体"/>
          <w:color w:val="auto"/>
          <w:sz w:val="21"/>
          <w:highlight w:val="none"/>
          <w:lang w:val="en-US" w:eastAsia="zh-CN"/>
        </w:rPr>
      </w:pPr>
      <w:r>
        <w:rPr>
          <w:rFonts w:hint="eastAsia" w:hAnsi="宋体" w:cs="宋体"/>
          <w:b w:val="0"/>
          <w:bCs w:val="0"/>
          <w:color w:val="auto"/>
          <w:sz w:val="21"/>
          <w:highlight w:val="none"/>
        </w:rPr>
        <w:t>由</w:t>
      </w:r>
      <w:r>
        <w:rPr>
          <w:rFonts w:hint="eastAsia" w:cs="宋体"/>
          <w:b w:val="0"/>
          <w:bCs w:val="0"/>
          <w:color w:val="auto"/>
          <w:sz w:val="21"/>
          <w:highlight w:val="none"/>
          <w:lang w:val="en-US" w:eastAsia="zh-CN"/>
        </w:rPr>
        <w:t>磋商</w:t>
      </w:r>
      <w:r>
        <w:rPr>
          <w:rFonts w:hint="eastAsia" w:hAnsi="宋体" w:cs="宋体"/>
          <w:b w:val="0"/>
          <w:bCs w:val="0"/>
          <w:color w:val="auto"/>
          <w:sz w:val="21"/>
          <w:highlight w:val="none"/>
        </w:rPr>
        <w:t>小组成员</w:t>
      </w:r>
      <w:r>
        <w:rPr>
          <w:rFonts w:hint="eastAsia" w:ascii="宋体" w:hAnsi="宋体" w:eastAsia="宋体" w:cs="宋体"/>
          <w:color w:val="auto"/>
          <w:sz w:val="21"/>
          <w:highlight w:val="none"/>
          <w:lang w:val="en-US" w:eastAsia="zh-CN"/>
        </w:rPr>
        <w:t>根据供应商提供的售后服务方案进行评审：</w:t>
      </w:r>
    </w:p>
    <w:p w14:paraId="306F2877">
      <w:pPr>
        <w:pStyle w:val="23"/>
        <w:spacing w:line="440" w:lineRule="exact"/>
        <w:ind w:firstLine="42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一档（</w:t>
      </w:r>
      <w:r>
        <w:rPr>
          <w:rFonts w:hint="eastAsia" w:hAnsi="宋体" w:cs="宋体"/>
          <w:color w:val="auto"/>
          <w:sz w:val="21"/>
          <w:highlight w:val="none"/>
          <w:lang w:val="en-US" w:eastAsia="zh-CN"/>
        </w:rPr>
        <w:t>3</w:t>
      </w:r>
      <w:r>
        <w:rPr>
          <w:rFonts w:hint="eastAsia" w:ascii="宋体" w:hAnsi="宋体" w:eastAsia="宋体" w:cs="宋体"/>
          <w:color w:val="auto"/>
          <w:sz w:val="21"/>
          <w:highlight w:val="none"/>
          <w:lang w:val="en-US" w:eastAsia="zh-CN"/>
        </w:rPr>
        <w:t>分）：提供基本的售后服务承诺，质保期、响应时间等满足采购需求。</w:t>
      </w:r>
    </w:p>
    <w:p w14:paraId="3E9D7C76">
      <w:pPr>
        <w:pStyle w:val="23"/>
        <w:spacing w:line="440" w:lineRule="exact"/>
        <w:ind w:firstLine="42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二档（</w:t>
      </w:r>
      <w:r>
        <w:rPr>
          <w:rFonts w:hint="eastAsia" w:hAnsi="宋体" w:cs="宋体"/>
          <w:color w:val="auto"/>
          <w:sz w:val="21"/>
          <w:highlight w:val="none"/>
          <w:lang w:val="en-US" w:eastAsia="zh-CN"/>
        </w:rPr>
        <w:t>6</w:t>
      </w:r>
      <w:r>
        <w:rPr>
          <w:rFonts w:hint="eastAsia" w:ascii="宋体" w:hAnsi="宋体" w:eastAsia="宋体" w:cs="宋体"/>
          <w:color w:val="auto"/>
          <w:sz w:val="21"/>
          <w:highlight w:val="none"/>
          <w:lang w:val="en-US" w:eastAsia="zh-CN"/>
        </w:rPr>
        <w:t>分）：售后服务方案较为完整，包含质保期、响应时间、培训计划、升级服务等内容，承诺较为优厚。</w:t>
      </w:r>
    </w:p>
    <w:p w14:paraId="6D1F79EA">
      <w:pPr>
        <w:pStyle w:val="23"/>
        <w:spacing w:line="440" w:lineRule="exact"/>
        <w:ind w:firstLine="42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三档（</w:t>
      </w:r>
      <w:r>
        <w:rPr>
          <w:rFonts w:hint="eastAsia" w:hAnsi="宋体" w:cs="宋体"/>
          <w:color w:val="auto"/>
          <w:sz w:val="21"/>
          <w:highlight w:val="none"/>
          <w:lang w:val="en-US" w:eastAsia="zh-CN"/>
        </w:rPr>
        <w:t>10</w:t>
      </w:r>
      <w:r>
        <w:rPr>
          <w:rFonts w:hint="eastAsia" w:ascii="宋体" w:hAnsi="宋体" w:eastAsia="宋体" w:cs="宋体"/>
          <w:color w:val="auto"/>
          <w:sz w:val="21"/>
          <w:highlight w:val="none"/>
          <w:lang w:val="en-US" w:eastAsia="zh-CN"/>
        </w:rPr>
        <w:t>分）：售后服务方案完整、详细、针对性强，质保期内服务承诺优厚，响应时间优于采购需求，培训计划详细具体（含培训人数、时间、地点、内容），</w:t>
      </w:r>
      <w:r>
        <w:rPr>
          <w:rFonts w:hint="eastAsia" w:hAnsi="宋体" w:cs="宋体"/>
          <w:color w:val="auto"/>
          <w:sz w:val="21"/>
          <w:highlight w:val="none"/>
          <w:lang w:val="en-US" w:eastAsia="zh-CN"/>
        </w:rPr>
        <w:t>定期提供优化升级报告</w:t>
      </w:r>
      <w:r>
        <w:rPr>
          <w:rFonts w:hint="eastAsia" w:ascii="宋体" w:hAnsi="宋体" w:eastAsia="宋体" w:cs="宋体"/>
          <w:color w:val="auto"/>
          <w:sz w:val="21"/>
          <w:highlight w:val="none"/>
          <w:lang w:val="en-US" w:eastAsia="zh-CN"/>
        </w:rPr>
        <w:t>，售后服务保障措施完善。</w:t>
      </w:r>
    </w:p>
    <w:p w14:paraId="16AA522C">
      <w:pPr>
        <w:pStyle w:val="23"/>
        <w:spacing w:line="440" w:lineRule="exact"/>
        <w:ind w:firstLine="420"/>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注：未提供方案或为入档的不得分。</w:t>
      </w:r>
    </w:p>
    <w:p w14:paraId="7F7C0602">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总得分=1+2+3</w:t>
      </w:r>
    </w:p>
    <w:p w14:paraId="55152BFD">
      <w:pPr>
        <w:pStyle w:val="23"/>
        <w:spacing w:line="440" w:lineRule="exact"/>
        <w:ind w:firstLine="420"/>
        <w:rPr>
          <w:rFonts w:hint="eastAsia" w:hAnsi="宋体" w:cs="宋体"/>
          <w:b/>
          <w:bCs/>
          <w:color w:val="auto"/>
          <w:sz w:val="21"/>
          <w:highlight w:val="none"/>
        </w:rPr>
      </w:pPr>
      <w:r>
        <w:rPr>
          <w:rFonts w:hint="eastAsia" w:hAnsi="宋体" w:cs="宋体"/>
          <w:b/>
          <w:bCs/>
          <w:color w:val="auto"/>
          <w:sz w:val="21"/>
          <w:highlight w:val="none"/>
        </w:rPr>
        <w:t>说明：上述评分标准中提及的证书、证件、证明、业绩材料等须提供有效的证书或证明材料扫描件或其他电子文件，并须</w:t>
      </w:r>
      <w:r>
        <w:rPr>
          <w:rFonts w:hint="eastAsia" w:hAnsi="宋体" w:cs="宋体"/>
          <w:b/>
          <w:bCs/>
          <w:color w:val="auto"/>
          <w:sz w:val="24"/>
          <w:szCs w:val="24"/>
          <w:highlight w:val="none"/>
        </w:rPr>
        <w:t>加盖供应商CA电子签章</w:t>
      </w:r>
      <w:r>
        <w:rPr>
          <w:rFonts w:hint="eastAsia" w:hAnsi="宋体" w:cs="宋体"/>
          <w:b/>
          <w:bCs/>
          <w:color w:val="auto"/>
          <w:sz w:val="21"/>
          <w:highlight w:val="none"/>
        </w:rPr>
        <w:t>，否则不予计分。</w:t>
      </w:r>
    </w:p>
    <w:p w14:paraId="5550C61D"/>
    <w:p w14:paraId="6979CEAF">
      <w:pPr>
        <w:pStyle w:val="23"/>
        <w:spacing w:line="440" w:lineRule="exact"/>
        <w:ind w:firstLine="420"/>
        <w:rPr>
          <w:rFonts w:hAnsi="宋体" w:cs="宋体"/>
          <w:b/>
          <w:bCs/>
          <w:color w:val="auto"/>
          <w:sz w:val="21"/>
          <w:highlight w:val="none"/>
        </w:rPr>
      </w:pPr>
      <w:r>
        <w:rPr>
          <w:rFonts w:hint="eastAsia" w:hAnsi="宋体" w:cs="宋体"/>
          <w:b/>
          <w:bCs/>
          <w:color w:val="auto"/>
          <w:sz w:val="21"/>
          <w:highlight w:val="none"/>
        </w:rPr>
        <w:t>三、推荐及确定成交候选供应商原则</w:t>
      </w:r>
    </w:p>
    <w:p w14:paraId="7B6BF473">
      <w:pPr>
        <w:pStyle w:val="23"/>
        <w:spacing w:line="440" w:lineRule="exact"/>
        <w:ind w:firstLine="420"/>
        <w:rPr>
          <w:rFonts w:hAnsi="宋体" w:cs="宋体"/>
          <w:color w:val="auto"/>
          <w:sz w:val="21"/>
          <w:highlight w:val="none"/>
        </w:rPr>
      </w:pPr>
      <w:r>
        <w:rPr>
          <w:rFonts w:hint="eastAsia" w:hAnsi="宋体" w:cs="宋体"/>
          <w:color w:val="auto"/>
          <w:sz w:val="21"/>
          <w:highlight w:val="none"/>
        </w:rPr>
        <w:t>由磋商小组根据综合评分情况，按照评审得分由高到低顺序推荐3名以上成交候选供应商，并编写评审报告。评审得分相同的，按照最后报价（不计算价格折扣）由低到高的顺序推荐。评审得分且最后报价（不计算价格折扣）相同的，按照技术指标优劣顺序推荐（按综合评分中服务水平、售后服务、履约能力高低依次确定）。评审得分、最后报价（不计算价格折扣）、技术得分均相同的，由磋商小组随机抽取推荐。</w:t>
      </w:r>
    </w:p>
    <w:p w14:paraId="49EFEAF7">
      <w:pPr>
        <w:pStyle w:val="23"/>
        <w:spacing w:line="440" w:lineRule="exact"/>
        <w:ind w:firstLine="420"/>
        <w:rPr>
          <w:rFonts w:hAnsi="宋体" w:cs="宋体"/>
          <w:color w:val="auto"/>
          <w:sz w:val="21"/>
          <w:highlight w:val="none"/>
        </w:rPr>
      </w:pPr>
      <w:r>
        <w:rPr>
          <w:rFonts w:hint="eastAsia" w:hAnsi="宋体" w:cs="宋体"/>
          <w:color w:val="auto"/>
          <w:sz w:val="21"/>
          <w:highlight w:val="none"/>
        </w:rPr>
        <w:t>本项目</w:t>
      </w:r>
      <w:r>
        <w:rPr>
          <w:rFonts w:hint="eastAsia" w:hAnsi="宋体" w:cs="宋体"/>
          <w:b/>
          <w:bCs/>
          <w:color w:val="auto"/>
          <w:sz w:val="21"/>
          <w:highlight w:val="none"/>
          <w:lang w:val="en-US" w:eastAsia="zh-CN"/>
        </w:rPr>
        <w:t>各标项</w:t>
      </w:r>
      <w:r>
        <w:rPr>
          <w:rFonts w:hint="eastAsia" w:hAnsi="宋体" w:cs="宋体"/>
          <w:color w:val="auto"/>
          <w:sz w:val="21"/>
          <w:highlight w:val="none"/>
        </w:rPr>
        <w:t>确定一名成交供应商。采购单位应当确定磋商小组推荐排名第一的成交候选供应商为成交供应商。</w:t>
      </w:r>
    </w:p>
    <w:p w14:paraId="759A2238">
      <w:pPr>
        <w:pStyle w:val="23"/>
        <w:spacing w:line="440" w:lineRule="exact"/>
        <w:ind w:firstLine="420"/>
        <w:rPr>
          <w:rFonts w:hAnsi="宋体" w:cs="宋体"/>
          <w:color w:val="auto"/>
          <w:sz w:val="21"/>
          <w:highlight w:val="none"/>
        </w:rPr>
      </w:pPr>
      <w:r>
        <w:rPr>
          <w:rFonts w:hint="eastAsia" w:hAnsi="宋体" w:cs="宋体"/>
          <w:color w:val="auto"/>
          <w:sz w:val="21"/>
          <w:highlight w:val="none"/>
        </w:rPr>
        <w:t>排名第一的成交候选供应商放弃中标、因不可抗力提出不能履行合同，或者</w:t>
      </w:r>
      <w:r>
        <w:rPr>
          <w:rFonts w:hint="eastAsia" w:hAnsi="宋体" w:cs="宋体"/>
          <w:color w:val="auto"/>
          <w:sz w:val="21"/>
          <w:highlight w:val="none"/>
          <w:lang w:val="en-US" w:eastAsia="zh-CN"/>
        </w:rPr>
        <w:t>采购</w:t>
      </w:r>
      <w:r>
        <w:rPr>
          <w:rFonts w:hint="eastAsia" w:hAnsi="宋体" w:cs="宋体"/>
          <w:color w:val="auto"/>
          <w:sz w:val="21"/>
          <w:highlight w:val="none"/>
        </w:rPr>
        <w:t>文件规定应当提交履约保证金而在规定的期限内未能提交的，或因失信行为被取消</w:t>
      </w:r>
      <w:r>
        <w:rPr>
          <w:rFonts w:hint="eastAsia" w:hAnsi="宋体" w:cs="宋体"/>
          <w:color w:val="auto"/>
          <w:sz w:val="21"/>
          <w:highlight w:val="none"/>
          <w:lang w:eastAsia="zh-CN"/>
        </w:rPr>
        <w:t>成交候选供应商</w:t>
      </w:r>
      <w:r>
        <w:rPr>
          <w:rFonts w:hint="eastAsia" w:hAnsi="宋体" w:cs="宋体"/>
          <w:color w:val="auto"/>
          <w:sz w:val="21"/>
          <w:highlight w:val="none"/>
        </w:rPr>
        <w:t>资格的，采购人可以确定排名第二的成交候选供应商为</w:t>
      </w:r>
      <w:r>
        <w:rPr>
          <w:rFonts w:hint="eastAsia" w:hAnsi="宋体" w:cs="宋体"/>
          <w:color w:val="auto"/>
          <w:sz w:val="21"/>
          <w:highlight w:val="none"/>
          <w:lang w:eastAsia="zh-CN"/>
        </w:rPr>
        <w:t>成交供应商</w:t>
      </w:r>
      <w:r>
        <w:rPr>
          <w:rFonts w:hint="eastAsia" w:hAnsi="宋体" w:cs="宋体"/>
          <w:color w:val="auto"/>
          <w:sz w:val="21"/>
          <w:highlight w:val="none"/>
        </w:rPr>
        <w:t>，并依此类推。</w:t>
      </w:r>
    </w:p>
    <w:bookmarkEnd w:id="32"/>
    <w:p w14:paraId="4354E8A9">
      <w:pPr>
        <w:spacing w:line="440" w:lineRule="exact"/>
        <w:ind w:firstLine="413" w:firstLineChars="196"/>
        <w:rPr>
          <w:rFonts w:ascii="宋体" w:hAnsi="宋体" w:cs="宋体"/>
          <w:b/>
          <w:bCs/>
          <w:color w:val="auto"/>
          <w:szCs w:val="21"/>
          <w:highlight w:val="lightGray"/>
        </w:rPr>
      </w:pPr>
      <w:r>
        <w:rPr>
          <w:rFonts w:hint="eastAsia" w:ascii="宋体" w:hAnsi="宋体" w:cs="宋体"/>
          <w:b/>
          <w:bCs/>
          <w:color w:val="auto"/>
          <w:szCs w:val="21"/>
          <w:highlight w:val="none"/>
          <w:lang w:val="en-US" w:eastAsia="zh-CN"/>
        </w:rPr>
        <w:t>本项目各标项分别进行评审，供应商可同时参与多个标项竞标，最多只能中选一个标项，中标顺序依照标项排序依次确定。</w:t>
      </w:r>
    </w:p>
    <w:sectPr>
      <w:headerReference r:id="rId5" w:type="default"/>
      <w:footerReference r:id="rId6" w:type="default"/>
      <w:pgSz w:w="11906" w:h="16838"/>
      <w:pgMar w:top="1134" w:right="1247" w:bottom="1134" w:left="1247" w:header="851" w:footer="1310"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大黑简体2.">
    <w:altName w:val="黑体"/>
    <w:panose1 w:val="00000000000000000000"/>
    <w:charset w:val="86"/>
    <w:family w:val="swiss"/>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2143E">
    <w:pPr>
      <w:pStyle w:val="27"/>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07C2E5">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6B07C2E5">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426F6">
    <w:pPr>
      <w:pStyle w:val="27"/>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991FE0">
                          <w:pPr>
                            <w:pStyle w:val="27"/>
                          </w:pPr>
                          <w:r>
                            <w:fldChar w:fldCharType="begin"/>
                          </w:r>
                          <w:r>
                            <w:instrText xml:space="preserve"> PAGE  \* MERGEFORMAT </w:instrText>
                          </w:r>
                          <w:r>
                            <w:fldChar w:fldCharType="separate"/>
                          </w:r>
                          <w:r>
                            <w:t>120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2F991FE0">
                    <w:pPr>
                      <w:pStyle w:val="27"/>
                    </w:pPr>
                    <w:r>
                      <w:fldChar w:fldCharType="begin"/>
                    </w:r>
                    <w:r>
                      <w:instrText xml:space="preserve"> PAGE  \* MERGEFORMAT </w:instrText>
                    </w:r>
                    <w:r>
                      <w:fldChar w:fldCharType="separate"/>
                    </w:r>
                    <w:r>
                      <w:t>120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0FA26">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C9CE3">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BA160D"/>
    <w:multiLevelType w:val="singleLevel"/>
    <w:tmpl w:val="5ABA160D"/>
    <w:lvl w:ilvl="0" w:tentative="0">
      <w:start w:val="7"/>
      <w:numFmt w:val="chineseCounting"/>
      <w:suff w:val="nothing"/>
      <w:lvlText w:val="%1、"/>
      <w:lvlJc w:val="left"/>
      <w:rPr>
        <w:rFonts w:hint="eastAsia"/>
      </w:rPr>
    </w:lvl>
  </w:abstractNum>
  <w:abstractNum w:abstractNumId="1">
    <w:nsid w:val="785048E6"/>
    <w:multiLevelType w:val="singleLevel"/>
    <w:tmpl w:val="785048E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ZjAwNjYwNTlmYTM0NWU4YzBiZjZkZjliNjQ2YzkifQ=="/>
    <w:docVar w:name="KSO_WPS_MARK_KEY" w:val="2a0489cf-a869-4ecf-81ec-ac97af0ac8d4"/>
  </w:docVars>
  <w:rsids>
    <w:rsidRoot w:val="00172A27"/>
    <w:rsid w:val="0000090E"/>
    <w:rsid w:val="000015DB"/>
    <w:rsid w:val="000067C1"/>
    <w:rsid w:val="0000695D"/>
    <w:rsid w:val="00013DC2"/>
    <w:rsid w:val="0001413E"/>
    <w:rsid w:val="0002592F"/>
    <w:rsid w:val="0002786B"/>
    <w:rsid w:val="00035557"/>
    <w:rsid w:val="0004133D"/>
    <w:rsid w:val="00041B3F"/>
    <w:rsid w:val="00043E0A"/>
    <w:rsid w:val="000514EF"/>
    <w:rsid w:val="000560B8"/>
    <w:rsid w:val="00065310"/>
    <w:rsid w:val="00077CC5"/>
    <w:rsid w:val="000815B2"/>
    <w:rsid w:val="00086172"/>
    <w:rsid w:val="00093515"/>
    <w:rsid w:val="000A7C55"/>
    <w:rsid w:val="000C2708"/>
    <w:rsid w:val="000D0985"/>
    <w:rsid w:val="000D2138"/>
    <w:rsid w:val="000D4081"/>
    <w:rsid w:val="000E3C92"/>
    <w:rsid w:val="000E56CB"/>
    <w:rsid w:val="000E78EB"/>
    <w:rsid w:val="000E7901"/>
    <w:rsid w:val="000F0388"/>
    <w:rsid w:val="000F46D6"/>
    <w:rsid w:val="000F6D52"/>
    <w:rsid w:val="00102F6B"/>
    <w:rsid w:val="0010453E"/>
    <w:rsid w:val="0011098A"/>
    <w:rsid w:val="00111AF2"/>
    <w:rsid w:val="00114092"/>
    <w:rsid w:val="00114D6A"/>
    <w:rsid w:val="00115FEF"/>
    <w:rsid w:val="001318DA"/>
    <w:rsid w:val="001324F1"/>
    <w:rsid w:val="001335D8"/>
    <w:rsid w:val="0014576F"/>
    <w:rsid w:val="00152934"/>
    <w:rsid w:val="00172A27"/>
    <w:rsid w:val="001771ED"/>
    <w:rsid w:val="00184CD3"/>
    <w:rsid w:val="00187384"/>
    <w:rsid w:val="00192CF5"/>
    <w:rsid w:val="00197A96"/>
    <w:rsid w:val="001A22E8"/>
    <w:rsid w:val="001A25E3"/>
    <w:rsid w:val="001A681E"/>
    <w:rsid w:val="001B2B72"/>
    <w:rsid w:val="001B2F7C"/>
    <w:rsid w:val="001B7405"/>
    <w:rsid w:val="001C1F14"/>
    <w:rsid w:val="001C7C61"/>
    <w:rsid w:val="001D5246"/>
    <w:rsid w:val="001E73BE"/>
    <w:rsid w:val="00200139"/>
    <w:rsid w:val="002144F0"/>
    <w:rsid w:val="0023030D"/>
    <w:rsid w:val="00236F5B"/>
    <w:rsid w:val="0024402E"/>
    <w:rsid w:val="00250C35"/>
    <w:rsid w:val="0025799C"/>
    <w:rsid w:val="002664CA"/>
    <w:rsid w:val="00266C78"/>
    <w:rsid w:val="002828EE"/>
    <w:rsid w:val="00282EE6"/>
    <w:rsid w:val="00284181"/>
    <w:rsid w:val="00286316"/>
    <w:rsid w:val="00290ABF"/>
    <w:rsid w:val="002A0B70"/>
    <w:rsid w:val="002C1E03"/>
    <w:rsid w:val="002D4643"/>
    <w:rsid w:val="002E0745"/>
    <w:rsid w:val="002E2998"/>
    <w:rsid w:val="002F035C"/>
    <w:rsid w:val="002F1CE1"/>
    <w:rsid w:val="002F4EB4"/>
    <w:rsid w:val="002F524C"/>
    <w:rsid w:val="002F5959"/>
    <w:rsid w:val="002F7395"/>
    <w:rsid w:val="0032415A"/>
    <w:rsid w:val="00330926"/>
    <w:rsid w:val="00330E48"/>
    <w:rsid w:val="0033133C"/>
    <w:rsid w:val="00350B58"/>
    <w:rsid w:val="00354790"/>
    <w:rsid w:val="00363580"/>
    <w:rsid w:val="00374A13"/>
    <w:rsid w:val="003759F0"/>
    <w:rsid w:val="00376E31"/>
    <w:rsid w:val="003927CF"/>
    <w:rsid w:val="00393BED"/>
    <w:rsid w:val="003A67E8"/>
    <w:rsid w:val="003A78D2"/>
    <w:rsid w:val="003B74DD"/>
    <w:rsid w:val="003B7FF9"/>
    <w:rsid w:val="003C7AD6"/>
    <w:rsid w:val="003D69B4"/>
    <w:rsid w:val="003E2F67"/>
    <w:rsid w:val="003E346C"/>
    <w:rsid w:val="003E4FF9"/>
    <w:rsid w:val="003F36B5"/>
    <w:rsid w:val="003F4BD2"/>
    <w:rsid w:val="003F6B4E"/>
    <w:rsid w:val="004048A3"/>
    <w:rsid w:val="004073EC"/>
    <w:rsid w:val="004138F0"/>
    <w:rsid w:val="00417A17"/>
    <w:rsid w:val="00421B89"/>
    <w:rsid w:val="00436F11"/>
    <w:rsid w:val="00442B23"/>
    <w:rsid w:val="004438BE"/>
    <w:rsid w:val="00444E68"/>
    <w:rsid w:val="0044516E"/>
    <w:rsid w:val="0044614E"/>
    <w:rsid w:val="00450AE8"/>
    <w:rsid w:val="00453CAA"/>
    <w:rsid w:val="00454723"/>
    <w:rsid w:val="00457286"/>
    <w:rsid w:val="00457799"/>
    <w:rsid w:val="004646A8"/>
    <w:rsid w:val="0046526E"/>
    <w:rsid w:val="0047262E"/>
    <w:rsid w:val="00474C4D"/>
    <w:rsid w:val="00484142"/>
    <w:rsid w:val="00485BEB"/>
    <w:rsid w:val="004A1D3E"/>
    <w:rsid w:val="004A2EE5"/>
    <w:rsid w:val="004B4985"/>
    <w:rsid w:val="004B551A"/>
    <w:rsid w:val="004C3110"/>
    <w:rsid w:val="004C5291"/>
    <w:rsid w:val="004D71CD"/>
    <w:rsid w:val="004E50FE"/>
    <w:rsid w:val="004F7773"/>
    <w:rsid w:val="00500D36"/>
    <w:rsid w:val="00505534"/>
    <w:rsid w:val="00507882"/>
    <w:rsid w:val="00523F15"/>
    <w:rsid w:val="0052488F"/>
    <w:rsid w:val="00525AA5"/>
    <w:rsid w:val="00527462"/>
    <w:rsid w:val="005275EC"/>
    <w:rsid w:val="00533464"/>
    <w:rsid w:val="0054045B"/>
    <w:rsid w:val="0054736B"/>
    <w:rsid w:val="00551237"/>
    <w:rsid w:val="00556601"/>
    <w:rsid w:val="00557C30"/>
    <w:rsid w:val="00562ABC"/>
    <w:rsid w:val="00565011"/>
    <w:rsid w:val="005674DD"/>
    <w:rsid w:val="00572E67"/>
    <w:rsid w:val="005752A1"/>
    <w:rsid w:val="005808D1"/>
    <w:rsid w:val="00584495"/>
    <w:rsid w:val="005933B0"/>
    <w:rsid w:val="005B36C7"/>
    <w:rsid w:val="005B3CA7"/>
    <w:rsid w:val="005D1E87"/>
    <w:rsid w:val="005D26AC"/>
    <w:rsid w:val="005E0AC0"/>
    <w:rsid w:val="005E0F69"/>
    <w:rsid w:val="005E266D"/>
    <w:rsid w:val="005E4943"/>
    <w:rsid w:val="005E4FA7"/>
    <w:rsid w:val="005F0475"/>
    <w:rsid w:val="005F15A4"/>
    <w:rsid w:val="005F471E"/>
    <w:rsid w:val="0060128B"/>
    <w:rsid w:val="006064E1"/>
    <w:rsid w:val="00607698"/>
    <w:rsid w:val="006116A3"/>
    <w:rsid w:val="00613BEF"/>
    <w:rsid w:val="0061464B"/>
    <w:rsid w:val="00616EE6"/>
    <w:rsid w:val="00621BB0"/>
    <w:rsid w:val="00624849"/>
    <w:rsid w:val="00625B22"/>
    <w:rsid w:val="006304A8"/>
    <w:rsid w:val="006437A1"/>
    <w:rsid w:val="006446AB"/>
    <w:rsid w:val="0064641B"/>
    <w:rsid w:val="006468D9"/>
    <w:rsid w:val="0065527C"/>
    <w:rsid w:val="00661805"/>
    <w:rsid w:val="00667BAC"/>
    <w:rsid w:val="00671F7C"/>
    <w:rsid w:val="00676E82"/>
    <w:rsid w:val="00687FBE"/>
    <w:rsid w:val="00695BF2"/>
    <w:rsid w:val="006A33F2"/>
    <w:rsid w:val="006B6976"/>
    <w:rsid w:val="006B6D24"/>
    <w:rsid w:val="006B7E19"/>
    <w:rsid w:val="006C4F1C"/>
    <w:rsid w:val="006D004D"/>
    <w:rsid w:val="006D0BE3"/>
    <w:rsid w:val="006D2E71"/>
    <w:rsid w:val="006D586C"/>
    <w:rsid w:val="006E2180"/>
    <w:rsid w:val="006E4B63"/>
    <w:rsid w:val="006F70C4"/>
    <w:rsid w:val="00711C91"/>
    <w:rsid w:val="007131B1"/>
    <w:rsid w:val="00726B55"/>
    <w:rsid w:val="00730782"/>
    <w:rsid w:val="00733E84"/>
    <w:rsid w:val="00737F70"/>
    <w:rsid w:val="007609A0"/>
    <w:rsid w:val="00762CD4"/>
    <w:rsid w:val="00775DA7"/>
    <w:rsid w:val="00781360"/>
    <w:rsid w:val="00787233"/>
    <w:rsid w:val="0079150F"/>
    <w:rsid w:val="00793A6F"/>
    <w:rsid w:val="007951FD"/>
    <w:rsid w:val="007C5EC3"/>
    <w:rsid w:val="007D2FF9"/>
    <w:rsid w:val="007D5341"/>
    <w:rsid w:val="007E13F9"/>
    <w:rsid w:val="007E4478"/>
    <w:rsid w:val="007E5553"/>
    <w:rsid w:val="007F26D3"/>
    <w:rsid w:val="007F7145"/>
    <w:rsid w:val="00800876"/>
    <w:rsid w:val="0080268F"/>
    <w:rsid w:val="0081321E"/>
    <w:rsid w:val="00814689"/>
    <w:rsid w:val="0081540E"/>
    <w:rsid w:val="008219B8"/>
    <w:rsid w:val="008277DD"/>
    <w:rsid w:val="00840C78"/>
    <w:rsid w:val="00854713"/>
    <w:rsid w:val="008552AA"/>
    <w:rsid w:val="008642A9"/>
    <w:rsid w:val="00875B64"/>
    <w:rsid w:val="00881E06"/>
    <w:rsid w:val="00882368"/>
    <w:rsid w:val="00885A16"/>
    <w:rsid w:val="0089591B"/>
    <w:rsid w:val="00897C42"/>
    <w:rsid w:val="008A28E9"/>
    <w:rsid w:val="008A4B60"/>
    <w:rsid w:val="008A4D79"/>
    <w:rsid w:val="008A5290"/>
    <w:rsid w:val="008A60A6"/>
    <w:rsid w:val="008A6376"/>
    <w:rsid w:val="008B4ED6"/>
    <w:rsid w:val="008C0AB7"/>
    <w:rsid w:val="008E316B"/>
    <w:rsid w:val="008F4B8C"/>
    <w:rsid w:val="009013C7"/>
    <w:rsid w:val="00901D92"/>
    <w:rsid w:val="00902842"/>
    <w:rsid w:val="00905441"/>
    <w:rsid w:val="00910264"/>
    <w:rsid w:val="00911E65"/>
    <w:rsid w:val="009135BA"/>
    <w:rsid w:val="00914911"/>
    <w:rsid w:val="009164ED"/>
    <w:rsid w:val="00916C6C"/>
    <w:rsid w:val="00925759"/>
    <w:rsid w:val="00933875"/>
    <w:rsid w:val="00941666"/>
    <w:rsid w:val="009502DD"/>
    <w:rsid w:val="009504C8"/>
    <w:rsid w:val="0095325C"/>
    <w:rsid w:val="00971F78"/>
    <w:rsid w:val="0097344E"/>
    <w:rsid w:val="00975445"/>
    <w:rsid w:val="00986FE4"/>
    <w:rsid w:val="00994085"/>
    <w:rsid w:val="009B011B"/>
    <w:rsid w:val="009B6C14"/>
    <w:rsid w:val="009B7507"/>
    <w:rsid w:val="009C5193"/>
    <w:rsid w:val="009D21C1"/>
    <w:rsid w:val="009D59BC"/>
    <w:rsid w:val="009F0AE7"/>
    <w:rsid w:val="00A01634"/>
    <w:rsid w:val="00A04DA8"/>
    <w:rsid w:val="00A115EA"/>
    <w:rsid w:val="00A152E9"/>
    <w:rsid w:val="00A42421"/>
    <w:rsid w:val="00A51634"/>
    <w:rsid w:val="00A60374"/>
    <w:rsid w:val="00A60859"/>
    <w:rsid w:val="00A623A9"/>
    <w:rsid w:val="00A722ED"/>
    <w:rsid w:val="00A85EA8"/>
    <w:rsid w:val="00AA16DB"/>
    <w:rsid w:val="00AB3DB4"/>
    <w:rsid w:val="00AB68A1"/>
    <w:rsid w:val="00AB71E4"/>
    <w:rsid w:val="00AC22EA"/>
    <w:rsid w:val="00AC29D5"/>
    <w:rsid w:val="00AC2DBC"/>
    <w:rsid w:val="00AC73B2"/>
    <w:rsid w:val="00AD0C44"/>
    <w:rsid w:val="00AD2950"/>
    <w:rsid w:val="00AD511A"/>
    <w:rsid w:val="00AD63D3"/>
    <w:rsid w:val="00AE04FE"/>
    <w:rsid w:val="00AE3544"/>
    <w:rsid w:val="00AE7A13"/>
    <w:rsid w:val="00AF4EE7"/>
    <w:rsid w:val="00B02BD7"/>
    <w:rsid w:val="00B05C39"/>
    <w:rsid w:val="00B21E79"/>
    <w:rsid w:val="00B3085B"/>
    <w:rsid w:val="00B32F6D"/>
    <w:rsid w:val="00B33824"/>
    <w:rsid w:val="00B35A99"/>
    <w:rsid w:val="00B361A5"/>
    <w:rsid w:val="00B404D3"/>
    <w:rsid w:val="00B408AC"/>
    <w:rsid w:val="00B453E2"/>
    <w:rsid w:val="00B453F5"/>
    <w:rsid w:val="00B539BF"/>
    <w:rsid w:val="00B57027"/>
    <w:rsid w:val="00B6498C"/>
    <w:rsid w:val="00B64E1F"/>
    <w:rsid w:val="00B8384E"/>
    <w:rsid w:val="00B92702"/>
    <w:rsid w:val="00B93C7F"/>
    <w:rsid w:val="00BB6C2F"/>
    <w:rsid w:val="00BC2783"/>
    <w:rsid w:val="00BC380A"/>
    <w:rsid w:val="00BC3CB6"/>
    <w:rsid w:val="00BD1B07"/>
    <w:rsid w:val="00BD30B2"/>
    <w:rsid w:val="00BD554E"/>
    <w:rsid w:val="00BE056A"/>
    <w:rsid w:val="00BE2082"/>
    <w:rsid w:val="00BE20A1"/>
    <w:rsid w:val="00BE2888"/>
    <w:rsid w:val="00BE4F8C"/>
    <w:rsid w:val="00BF19B4"/>
    <w:rsid w:val="00BF70AB"/>
    <w:rsid w:val="00C054BC"/>
    <w:rsid w:val="00C12C5F"/>
    <w:rsid w:val="00C16A3F"/>
    <w:rsid w:val="00C35EE6"/>
    <w:rsid w:val="00C4123B"/>
    <w:rsid w:val="00C43679"/>
    <w:rsid w:val="00C450BD"/>
    <w:rsid w:val="00C51002"/>
    <w:rsid w:val="00C7124E"/>
    <w:rsid w:val="00C763AD"/>
    <w:rsid w:val="00C77867"/>
    <w:rsid w:val="00C87EED"/>
    <w:rsid w:val="00CB0360"/>
    <w:rsid w:val="00CB6C17"/>
    <w:rsid w:val="00CC7D75"/>
    <w:rsid w:val="00CF33E7"/>
    <w:rsid w:val="00D027AD"/>
    <w:rsid w:val="00D065A5"/>
    <w:rsid w:val="00D159A1"/>
    <w:rsid w:val="00D21270"/>
    <w:rsid w:val="00D21D8D"/>
    <w:rsid w:val="00D27C5C"/>
    <w:rsid w:val="00D30121"/>
    <w:rsid w:val="00D3567D"/>
    <w:rsid w:val="00D44AA3"/>
    <w:rsid w:val="00D56B12"/>
    <w:rsid w:val="00D6485C"/>
    <w:rsid w:val="00D67980"/>
    <w:rsid w:val="00D71C53"/>
    <w:rsid w:val="00D7692A"/>
    <w:rsid w:val="00D76D24"/>
    <w:rsid w:val="00D834FE"/>
    <w:rsid w:val="00D91F49"/>
    <w:rsid w:val="00DB5446"/>
    <w:rsid w:val="00DB6EAC"/>
    <w:rsid w:val="00DC055C"/>
    <w:rsid w:val="00DD09D7"/>
    <w:rsid w:val="00DE11B4"/>
    <w:rsid w:val="00DF0657"/>
    <w:rsid w:val="00DF3C49"/>
    <w:rsid w:val="00E0017A"/>
    <w:rsid w:val="00E00FCE"/>
    <w:rsid w:val="00E05C90"/>
    <w:rsid w:val="00E063CA"/>
    <w:rsid w:val="00E06EE6"/>
    <w:rsid w:val="00E205E7"/>
    <w:rsid w:val="00E238EE"/>
    <w:rsid w:val="00E34119"/>
    <w:rsid w:val="00E37FC3"/>
    <w:rsid w:val="00E41624"/>
    <w:rsid w:val="00E522FB"/>
    <w:rsid w:val="00E60EC9"/>
    <w:rsid w:val="00E63676"/>
    <w:rsid w:val="00E81204"/>
    <w:rsid w:val="00E9713C"/>
    <w:rsid w:val="00EA02C2"/>
    <w:rsid w:val="00EA5F28"/>
    <w:rsid w:val="00EB063D"/>
    <w:rsid w:val="00EC6161"/>
    <w:rsid w:val="00ED0A74"/>
    <w:rsid w:val="00ED1677"/>
    <w:rsid w:val="00ED20C3"/>
    <w:rsid w:val="00ED4402"/>
    <w:rsid w:val="00ED48AC"/>
    <w:rsid w:val="00EE1851"/>
    <w:rsid w:val="00EF6786"/>
    <w:rsid w:val="00F021D7"/>
    <w:rsid w:val="00F06689"/>
    <w:rsid w:val="00F10BA5"/>
    <w:rsid w:val="00F1201C"/>
    <w:rsid w:val="00F13D95"/>
    <w:rsid w:val="00F219EB"/>
    <w:rsid w:val="00F272D0"/>
    <w:rsid w:val="00F3159C"/>
    <w:rsid w:val="00F37635"/>
    <w:rsid w:val="00F37E03"/>
    <w:rsid w:val="00F44F67"/>
    <w:rsid w:val="00F463CE"/>
    <w:rsid w:val="00F47689"/>
    <w:rsid w:val="00F61E8C"/>
    <w:rsid w:val="00F65341"/>
    <w:rsid w:val="00F7046E"/>
    <w:rsid w:val="00F715B4"/>
    <w:rsid w:val="00F725BF"/>
    <w:rsid w:val="00F860E2"/>
    <w:rsid w:val="00F86A97"/>
    <w:rsid w:val="00F91299"/>
    <w:rsid w:val="00F96E38"/>
    <w:rsid w:val="00FA1224"/>
    <w:rsid w:val="00FA159A"/>
    <w:rsid w:val="00FA364F"/>
    <w:rsid w:val="00FB4608"/>
    <w:rsid w:val="00FB70EF"/>
    <w:rsid w:val="00FC49FB"/>
    <w:rsid w:val="00FD552A"/>
    <w:rsid w:val="00FD6C46"/>
    <w:rsid w:val="00FD6D32"/>
    <w:rsid w:val="00FE600C"/>
    <w:rsid w:val="00FF4075"/>
    <w:rsid w:val="00FF52C7"/>
    <w:rsid w:val="017F1002"/>
    <w:rsid w:val="018039CD"/>
    <w:rsid w:val="01A3661E"/>
    <w:rsid w:val="01B138D0"/>
    <w:rsid w:val="02352FCB"/>
    <w:rsid w:val="024A011D"/>
    <w:rsid w:val="028928FD"/>
    <w:rsid w:val="03005BDD"/>
    <w:rsid w:val="031670D6"/>
    <w:rsid w:val="03407948"/>
    <w:rsid w:val="03473B72"/>
    <w:rsid w:val="03FC10E3"/>
    <w:rsid w:val="04226DE4"/>
    <w:rsid w:val="042D3406"/>
    <w:rsid w:val="0446464E"/>
    <w:rsid w:val="04CE2C04"/>
    <w:rsid w:val="052B2F21"/>
    <w:rsid w:val="05313213"/>
    <w:rsid w:val="06086033"/>
    <w:rsid w:val="06B312BD"/>
    <w:rsid w:val="06F537E7"/>
    <w:rsid w:val="073A6A62"/>
    <w:rsid w:val="074167A2"/>
    <w:rsid w:val="075210C8"/>
    <w:rsid w:val="075F1744"/>
    <w:rsid w:val="0778645F"/>
    <w:rsid w:val="0796703F"/>
    <w:rsid w:val="07CF4447"/>
    <w:rsid w:val="07EF15E7"/>
    <w:rsid w:val="081E6C34"/>
    <w:rsid w:val="08456E53"/>
    <w:rsid w:val="08A45612"/>
    <w:rsid w:val="08C01E1B"/>
    <w:rsid w:val="09433009"/>
    <w:rsid w:val="094A733A"/>
    <w:rsid w:val="09CD37D2"/>
    <w:rsid w:val="0AF11100"/>
    <w:rsid w:val="0AF4333B"/>
    <w:rsid w:val="0B7D6C68"/>
    <w:rsid w:val="0B951AB4"/>
    <w:rsid w:val="0BAB6169"/>
    <w:rsid w:val="0BB37D2F"/>
    <w:rsid w:val="0BD30502"/>
    <w:rsid w:val="0C0718FB"/>
    <w:rsid w:val="0C677253"/>
    <w:rsid w:val="0CAB6B8B"/>
    <w:rsid w:val="0D740283"/>
    <w:rsid w:val="0E177B42"/>
    <w:rsid w:val="0E7C5BBA"/>
    <w:rsid w:val="0E8C7D6A"/>
    <w:rsid w:val="0F1A4356"/>
    <w:rsid w:val="0F2B0274"/>
    <w:rsid w:val="0F56037E"/>
    <w:rsid w:val="103A162C"/>
    <w:rsid w:val="109C081A"/>
    <w:rsid w:val="10EB7F83"/>
    <w:rsid w:val="111A64A0"/>
    <w:rsid w:val="113423A2"/>
    <w:rsid w:val="114104C2"/>
    <w:rsid w:val="12492FB5"/>
    <w:rsid w:val="126855F2"/>
    <w:rsid w:val="127E6D86"/>
    <w:rsid w:val="129A7E11"/>
    <w:rsid w:val="12B94AA0"/>
    <w:rsid w:val="12C75AF0"/>
    <w:rsid w:val="12CA6D88"/>
    <w:rsid w:val="12D4198A"/>
    <w:rsid w:val="12EA7371"/>
    <w:rsid w:val="134013C4"/>
    <w:rsid w:val="134317A2"/>
    <w:rsid w:val="13551A69"/>
    <w:rsid w:val="13761F34"/>
    <w:rsid w:val="14481E06"/>
    <w:rsid w:val="15567406"/>
    <w:rsid w:val="158C0F75"/>
    <w:rsid w:val="15BE0D9D"/>
    <w:rsid w:val="15D117D4"/>
    <w:rsid w:val="1621637D"/>
    <w:rsid w:val="168077AB"/>
    <w:rsid w:val="16B21D45"/>
    <w:rsid w:val="16CD5440"/>
    <w:rsid w:val="16D21E3A"/>
    <w:rsid w:val="16F078A5"/>
    <w:rsid w:val="16F26BDC"/>
    <w:rsid w:val="1708097D"/>
    <w:rsid w:val="1732421A"/>
    <w:rsid w:val="17653C9A"/>
    <w:rsid w:val="17C26C63"/>
    <w:rsid w:val="180A18BE"/>
    <w:rsid w:val="180B37EA"/>
    <w:rsid w:val="18137F71"/>
    <w:rsid w:val="18754534"/>
    <w:rsid w:val="188D4D39"/>
    <w:rsid w:val="18C01D90"/>
    <w:rsid w:val="18DD66FE"/>
    <w:rsid w:val="19277932"/>
    <w:rsid w:val="196B6A36"/>
    <w:rsid w:val="197F500A"/>
    <w:rsid w:val="19F442E3"/>
    <w:rsid w:val="1A101FC5"/>
    <w:rsid w:val="1A5775E2"/>
    <w:rsid w:val="1A9F5573"/>
    <w:rsid w:val="1AD5246F"/>
    <w:rsid w:val="1BA16F6F"/>
    <w:rsid w:val="1C1F4E67"/>
    <w:rsid w:val="1C41290C"/>
    <w:rsid w:val="1C990D89"/>
    <w:rsid w:val="1CAC2540"/>
    <w:rsid w:val="1CAD565A"/>
    <w:rsid w:val="1CF8079E"/>
    <w:rsid w:val="1D1C1676"/>
    <w:rsid w:val="1D6E3BAA"/>
    <w:rsid w:val="1D8B2357"/>
    <w:rsid w:val="1DD64580"/>
    <w:rsid w:val="1E5E59F5"/>
    <w:rsid w:val="1E6C1A8F"/>
    <w:rsid w:val="1E7F5C4E"/>
    <w:rsid w:val="1E8F40C9"/>
    <w:rsid w:val="1ED80129"/>
    <w:rsid w:val="1F680515"/>
    <w:rsid w:val="1F853661"/>
    <w:rsid w:val="1FA036A7"/>
    <w:rsid w:val="1FA71630"/>
    <w:rsid w:val="1FAB284F"/>
    <w:rsid w:val="208731A6"/>
    <w:rsid w:val="2094600D"/>
    <w:rsid w:val="20BC2CB0"/>
    <w:rsid w:val="20EC75B1"/>
    <w:rsid w:val="20F875A5"/>
    <w:rsid w:val="21152809"/>
    <w:rsid w:val="211C2806"/>
    <w:rsid w:val="212968C1"/>
    <w:rsid w:val="21315554"/>
    <w:rsid w:val="21920807"/>
    <w:rsid w:val="21B666E7"/>
    <w:rsid w:val="220A45D5"/>
    <w:rsid w:val="225418B2"/>
    <w:rsid w:val="22BC61C2"/>
    <w:rsid w:val="22BF79D6"/>
    <w:rsid w:val="22CF3229"/>
    <w:rsid w:val="23243130"/>
    <w:rsid w:val="232B2543"/>
    <w:rsid w:val="23877D2A"/>
    <w:rsid w:val="2417445E"/>
    <w:rsid w:val="24BA280C"/>
    <w:rsid w:val="24EB703A"/>
    <w:rsid w:val="24EC3854"/>
    <w:rsid w:val="253003B0"/>
    <w:rsid w:val="25377199"/>
    <w:rsid w:val="258B0F50"/>
    <w:rsid w:val="25905E1C"/>
    <w:rsid w:val="25C66622"/>
    <w:rsid w:val="25E33329"/>
    <w:rsid w:val="26511DD2"/>
    <w:rsid w:val="266D4CF0"/>
    <w:rsid w:val="26D1775D"/>
    <w:rsid w:val="27565784"/>
    <w:rsid w:val="27FA543F"/>
    <w:rsid w:val="282E4925"/>
    <w:rsid w:val="28467543"/>
    <w:rsid w:val="28475999"/>
    <w:rsid w:val="28710E21"/>
    <w:rsid w:val="287F40F1"/>
    <w:rsid w:val="2886652D"/>
    <w:rsid w:val="28D85D13"/>
    <w:rsid w:val="29894089"/>
    <w:rsid w:val="29E03A2B"/>
    <w:rsid w:val="2A0E500A"/>
    <w:rsid w:val="2A8057DE"/>
    <w:rsid w:val="2AAA0146"/>
    <w:rsid w:val="2AD2298B"/>
    <w:rsid w:val="2AE64269"/>
    <w:rsid w:val="2B01233C"/>
    <w:rsid w:val="2B157CAA"/>
    <w:rsid w:val="2B4A5600"/>
    <w:rsid w:val="2B512CEB"/>
    <w:rsid w:val="2B812C0E"/>
    <w:rsid w:val="2BB06D6E"/>
    <w:rsid w:val="2BC96582"/>
    <w:rsid w:val="2BE37D65"/>
    <w:rsid w:val="2BF07E80"/>
    <w:rsid w:val="2BF536D0"/>
    <w:rsid w:val="2BF94DA0"/>
    <w:rsid w:val="2C153BB2"/>
    <w:rsid w:val="2C31308C"/>
    <w:rsid w:val="2CCC1540"/>
    <w:rsid w:val="2CF51085"/>
    <w:rsid w:val="2D0E19FB"/>
    <w:rsid w:val="2D425435"/>
    <w:rsid w:val="2D4D65CE"/>
    <w:rsid w:val="2D653F91"/>
    <w:rsid w:val="2D6F0495"/>
    <w:rsid w:val="2D980D54"/>
    <w:rsid w:val="2DA5011B"/>
    <w:rsid w:val="2DF85CB5"/>
    <w:rsid w:val="2E2B4302"/>
    <w:rsid w:val="2E411387"/>
    <w:rsid w:val="2E68598C"/>
    <w:rsid w:val="2E7D0637"/>
    <w:rsid w:val="2E8C10FD"/>
    <w:rsid w:val="2EE846B5"/>
    <w:rsid w:val="2F3C7AFC"/>
    <w:rsid w:val="2F9015F7"/>
    <w:rsid w:val="2FA34028"/>
    <w:rsid w:val="2FB14BFA"/>
    <w:rsid w:val="2FD24608"/>
    <w:rsid w:val="30414815"/>
    <w:rsid w:val="30956DCA"/>
    <w:rsid w:val="30CE6231"/>
    <w:rsid w:val="30FC01F6"/>
    <w:rsid w:val="31707F16"/>
    <w:rsid w:val="318575BE"/>
    <w:rsid w:val="31FA6041"/>
    <w:rsid w:val="32242510"/>
    <w:rsid w:val="32C75788"/>
    <w:rsid w:val="32FD7AE2"/>
    <w:rsid w:val="33002A5A"/>
    <w:rsid w:val="331F5904"/>
    <w:rsid w:val="339C0D25"/>
    <w:rsid w:val="33AF5DBD"/>
    <w:rsid w:val="33C70265"/>
    <w:rsid w:val="33DD16AF"/>
    <w:rsid w:val="344D5332"/>
    <w:rsid w:val="34596520"/>
    <w:rsid w:val="348B1723"/>
    <w:rsid w:val="34AC5B15"/>
    <w:rsid w:val="34B65BA8"/>
    <w:rsid w:val="352F454C"/>
    <w:rsid w:val="356E0FA7"/>
    <w:rsid w:val="35897EE6"/>
    <w:rsid w:val="35A10D62"/>
    <w:rsid w:val="35BF41B7"/>
    <w:rsid w:val="35CF507F"/>
    <w:rsid w:val="35E02152"/>
    <w:rsid w:val="36212A2F"/>
    <w:rsid w:val="362D0AAC"/>
    <w:rsid w:val="364213EB"/>
    <w:rsid w:val="368A3AA0"/>
    <w:rsid w:val="369B3BBB"/>
    <w:rsid w:val="36A24866"/>
    <w:rsid w:val="37476980"/>
    <w:rsid w:val="37F83689"/>
    <w:rsid w:val="37F84106"/>
    <w:rsid w:val="38741B00"/>
    <w:rsid w:val="38C369F1"/>
    <w:rsid w:val="391A2AB5"/>
    <w:rsid w:val="39333B77"/>
    <w:rsid w:val="39355C2E"/>
    <w:rsid w:val="39365415"/>
    <w:rsid w:val="395F5EFD"/>
    <w:rsid w:val="3A3A0F35"/>
    <w:rsid w:val="3A4D0C68"/>
    <w:rsid w:val="3A962A0D"/>
    <w:rsid w:val="3B857EF5"/>
    <w:rsid w:val="3B9F72A2"/>
    <w:rsid w:val="3BF57164"/>
    <w:rsid w:val="3BF9786A"/>
    <w:rsid w:val="3BFC47F2"/>
    <w:rsid w:val="3C2D3BCC"/>
    <w:rsid w:val="3C2F7A2F"/>
    <w:rsid w:val="3C5854FA"/>
    <w:rsid w:val="3CA43637"/>
    <w:rsid w:val="3CB93B8B"/>
    <w:rsid w:val="3D2B3420"/>
    <w:rsid w:val="3D2E039F"/>
    <w:rsid w:val="3D3A2728"/>
    <w:rsid w:val="3D697604"/>
    <w:rsid w:val="3DD746CE"/>
    <w:rsid w:val="3E0237FE"/>
    <w:rsid w:val="3E4D474F"/>
    <w:rsid w:val="3EB1187A"/>
    <w:rsid w:val="3ECD050F"/>
    <w:rsid w:val="3F635508"/>
    <w:rsid w:val="3F814DC4"/>
    <w:rsid w:val="3F942A14"/>
    <w:rsid w:val="3F9654C5"/>
    <w:rsid w:val="3FB129AA"/>
    <w:rsid w:val="3FC3035B"/>
    <w:rsid w:val="3FCA68B7"/>
    <w:rsid w:val="40395517"/>
    <w:rsid w:val="405C37BB"/>
    <w:rsid w:val="411822B4"/>
    <w:rsid w:val="415F5E84"/>
    <w:rsid w:val="416536D7"/>
    <w:rsid w:val="41EE7883"/>
    <w:rsid w:val="42195183"/>
    <w:rsid w:val="42AC5638"/>
    <w:rsid w:val="42CA644B"/>
    <w:rsid w:val="42D61C15"/>
    <w:rsid w:val="43DE2931"/>
    <w:rsid w:val="451D115F"/>
    <w:rsid w:val="451D54D5"/>
    <w:rsid w:val="453F34B5"/>
    <w:rsid w:val="458E4E11"/>
    <w:rsid w:val="46154283"/>
    <w:rsid w:val="4654512D"/>
    <w:rsid w:val="467E22DA"/>
    <w:rsid w:val="46BD4E02"/>
    <w:rsid w:val="47F45591"/>
    <w:rsid w:val="480D36D1"/>
    <w:rsid w:val="48834FAF"/>
    <w:rsid w:val="48EA5263"/>
    <w:rsid w:val="492E08FE"/>
    <w:rsid w:val="49463658"/>
    <w:rsid w:val="49CC7779"/>
    <w:rsid w:val="49F92C03"/>
    <w:rsid w:val="4A4A6F73"/>
    <w:rsid w:val="4A7C41A3"/>
    <w:rsid w:val="4A9F73F2"/>
    <w:rsid w:val="4B065F3E"/>
    <w:rsid w:val="4BA03308"/>
    <w:rsid w:val="4BE800A4"/>
    <w:rsid w:val="4CCA41E9"/>
    <w:rsid w:val="4D505D63"/>
    <w:rsid w:val="4DB276E1"/>
    <w:rsid w:val="4E05713A"/>
    <w:rsid w:val="4E064E9F"/>
    <w:rsid w:val="4E510D5E"/>
    <w:rsid w:val="4E9042A5"/>
    <w:rsid w:val="4EBD41B7"/>
    <w:rsid w:val="4EC105A5"/>
    <w:rsid w:val="4EC2099B"/>
    <w:rsid w:val="4F6A193E"/>
    <w:rsid w:val="501907FB"/>
    <w:rsid w:val="50281F8E"/>
    <w:rsid w:val="50926F7D"/>
    <w:rsid w:val="509803E1"/>
    <w:rsid w:val="50B225EC"/>
    <w:rsid w:val="51062AD6"/>
    <w:rsid w:val="511C5A4B"/>
    <w:rsid w:val="5140229F"/>
    <w:rsid w:val="51886AFA"/>
    <w:rsid w:val="51CB7009"/>
    <w:rsid w:val="51F021AD"/>
    <w:rsid w:val="51F86337"/>
    <w:rsid w:val="520854F6"/>
    <w:rsid w:val="525726F1"/>
    <w:rsid w:val="529979C0"/>
    <w:rsid w:val="52C34DF2"/>
    <w:rsid w:val="52C46295"/>
    <w:rsid w:val="52FE3879"/>
    <w:rsid w:val="53351E09"/>
    <w:rsid w:val="53C12459"/>
    <w:rsid w:val="53FA7FA7"/>
    <w:rsid w:val="53FB15D1"/>
    <w:rsid w:val="5459179A"/>
    <w:rsid w:val="54AB08B3"/>
    <w:rsid w:val="54AE0B6A"/>
    <w:rsid w:val="54B81A07"/>
    <w:rsid w:val="55877D4E"/>
    <w:rsid w:val="55BB0964"/>
    <w:rsid w:val="55C06351"/>
    <w:rsid w:val="55DA7F72"/>
    <w:rsid w:val="56525EF4"/>
    <w:rsid w:val="56650268"/>
    <w:rsid w:val="567A01AB"/>
    <w:rsid w:val="56B81FA2"/>
    <w:rsid w:val="5747234D"/>
    <w:rsid w:val="576F766B"/>
    <w:rsid w:val="57B40121"/>
    <w:rsid w:val="57EB5345"/>
    <w:rsid w:val="57EE7F31"/>
    <w:rsid w:val="5872200A"/>
    <w:rsid w:val="5885761A"/>
    <w:rsid w:val="593755F3"/>
    <w:rsid w:val="59534355"/>
    <w:rsid w:val="59BD4B74"/>
    <w:rsid w:val="5A90351C"/>
    <w:rsid w:val="5ADF6F86"/>
    <w:rsid w:val="5AFA0685"/>
    <w:rsid w:val="5B0736DF"/>
    <w:rsid w:val="5B3F474C"/>
    <w:rsid w:val="5B827561"/>
    <w:rsid w:val="5BE52BC1"/>
    <w:rsid w:val="5C1F00E3"/>
    <w:rsid w:val="5C582DE4"/>
    <w:rsid w:val="5C755C8B"/>
    <w:rsid w:val="5C7E5E7E"/>
    <w:rsid w:val="5C985053"/>
    <w:rsid w:val="5CC42BB4"/>
    <w:rsid w:val="5CC55DD5"/>
    <w:rsid w:val="5DF60B1D"/>
    <w:rsid w:val="5E007E87"/>
    <w:rsid w:val="5E0D6E04"/>
    <w:rsid w:val="5E1C72DF"/>
    <w:rsid w:val="5E1E00A2"/>
    <w:rsid w:val="5E5E0920"/>
    <w:rsid w:val="5E6563CE"/>
    <w:rsid w:val="5E743A3E"/>
    <w:rsid w:val="5EA5614C"/>
    <w:rsid w:val="5ED03D00"/>
    <w:rsid w:val="5F842877"/>
    <w:rsid w:val="5FCB6BB4"/>
    <w:rsid w:val="5FE0097E"/>
    <w:rsid w:val="601B5EA1"/>
    <w:rsid w:val="602960FB"/>
    <w:rsid w:val="603253DE"/>
    <w:rsid w:val="6035743D"/>
    <w:rsid w:val="60591AB4"/>
    <w:rsid w:val="61405198"/>
    <w:rsid w:val="615A76D5"/>
    <w:rsid w:val="61851963"/>
    <w:rsid w:val="61DB1E7F"/>
    <w:rsid w:val="61EA2E80"/>
    <w:rsid w:val="623A203D"/>
    <w:rsid w:val="62A45FB5"/>
    <w:rsid w:val="62D87EFC"/>
    <w:rsid w:val="62E0001C"/>
    <w:rsid w:val="62E53885"/>
    <w:rsid w:val="63005C83"/>
    <w:rsid w:val="63A92B04"/>
    <w:rsid w:val="63EF3C7B"/>
    <w:rsid w:val="64562C2A"/>
    <w:rsid w:val="64570A30"/>
    <w:rsid w:val="647F66FF"/>
    <w:rsid w:val="653E0389"/>
    <w:rsid w:val="655C47AD"/>
    <w:rsid w:val="656D2474"/>
    <w:rsid w:val="65920B3A"/>
    <w:rsid w:val="665F049D"/>
    <w:rsid w:val="670642A3"/>
    <w:rsid w:val="6739269B"/>
    <w:rsid w:val="67DC5103"/>
    <w:rsid w:val="68171689"/>
    <w:rsid w:val="68527CF8"/>
    <w:rsid w:val="686742E8"/>
    <w:rsid w:val="68C915E9"/>
    <w:rsid w:val="692E42FC"/>
    <w:rsid w:val="69EB46B7"/>
    <w:rsid w:val="6A122FEF"/>
    <w:rsid w:val="6A31226B"/>
    <w:rsid w:val="6A4609BE"/>
    <w:rsid w:val="6A4E53A8"/>
    <w:rsid w:val="6A6448E1"/>
    <w:rsid w:val="6AA327D8"/>
    <w:rsid w:val="6B3453A9"/>
    <w:rsid w:val="6BD855C8"/>
    <w:rsid w:val="6C366156"/>
    <w:rsid w:val="6C3B7778"/>
    <w:rsid w:val="6C7D4B2E"/>
    <w:rsid w:val="6C8330C7"/>
    <w:rsid w:val="6D5E3CDA"/>
    <w:rsid w:val="6DBB644B"/>
    <w:rsid w:val="6E166FE8"/>
    <w:rsid w:val="6E4726C8"/>
    <w:rsid w:val="6E505CF5"/>
    <w:rsid w:val="6E5D6FEF"/>
    <w:rsid w:val="6E684047"/>
    <w:rsid w:val="6EB21F1C"/>
    <w:rsid w:val="6EDC78D7"/>
    <w:rsid w:val="6EDE4FCA"/>
    <w:rsid w:val="6EE96A8E"/>
    <w:rsid w:val="6F5C37C2"/>
    <w:rsid w:val="6F8D32DA"/>
    <w:rsid w:val="6FC34B45"/>
    <w:rsid w:val="6FD25E45"/>
    <w:rsid w:val="6FFC1CFD"/>
    <w:rsid w:val="708D464B"/>
    <w:rsid w:val="70F27898"/>
    <w:rsid w:val="713129D2"/>
    <w:rsid w:val="7188610C"/>
    <w:rsid w:val="71EB2191"/>
    <w:rsid w:val="71FB09CF"/>
    <w:rsid w:val="72805BCB"/>
    <w:rsid w:val="73615A08"/>
    <w:rsid w:val="73D826FF"/>
    <w:rsid w:val="73EF00BF"/>
    <w:rsid w:val="742039CC"/>
    <w:rsid w:val="744A07D5"/>
    <w:rsid w:val="74813F47"/>
    <w:rsid w:val="74A62AE9"/>
    <w:rsid w:val="757374AE"/>
    <w:rsid w:val="75CA2B09"/>
    <w:rsid w:val="75D154CB"/>
    <w:rsid w:val="760A66CD"/>
    <w:rsid w:val="76576F10"/>
    <w:rsid w:val="76A70557"/>
    <w:rsid w:val="76C863E9"/>
    <w:rsid w:val="76E52294"/>
    <w:rsid w:val="77C30BC6"/>
    <w:rsid w:val="77C8624F"/>
    <w:rsid w:val="77DA252A"/>
    <w:rsid w:val="77E8339E"/>
    <w:rsid w:val="77EE3FE7"/>
    <w:rsid w:val="786A6925"/>
    <w:rsid w:val="78B64DDB"/>
    <w:rsid w:val="78D17CF6"/>
    <w:rsid w:val="78F51C72"/>
    <w:rsid w:val="7936053E"/>
    <w:rsid w:val="7A3063DE"/>
    <w:rsid w:val="7A5536F5"/>
    <w:rsid w:val="7AC6441E"/>
    <w:rsid w:val="7AD03B56"/>
    <w:rsid w:val="7AFD74CC"/>
    <w:rsid w:val="7B1719F7"/>
    <w:rsid w:val="7BCB4C0E"/>
    <w:rsid w:val="7C9A51F7"/>
    <w:rsid w:val="7D0E5A5A"/>
    <w:rsid w:val="7D482EAC"/>
    <w:rsid w:val="7D5E5958"/>
    <w:rsid w:val="7D7A213C"/>
    <w:rsid w:val="7DB920A8"/>
    <w:rsid w:val="7E13413D"/>
    <w:rsid w:val="7E1E065F"/>
    <w:rsid w:val="7E657413"/>
    <w:rsid w:val="7E952F4B"/>
    <w:rsid w:val="7E982A38"/>
    <w:rsid w:val="7EAC11C6"/>
    <w:rsid w:val="7EB561B5"/>
    <w:rsid w:val="7EE579CB"/>
    <w:rsid w:val="7EED41C0"/>
    <w:rsid w:val="7EFE565A"/>
    <w:rsid w:val="7F21638D"/>
    <w:rsid w:val="7F482940"/>
    <w:rsid w:val="7F632560"/>
    <w:rsid w:val="7FA31F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qFormat="1" w:unhideWhenUsed="0" w:uiPriority="99" w:name="toc 6"/>
    <w:lsdException w:uiPriority="39" w:name="toc 7"/>
    <w:lsdException w:uiPriority="39" w:name="toc 8"/>
    <w:lsdException w:qFormat="1" w:unhideWhenUsed="0" w:uiPriority="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qFormat="1" w:unhideWhenUsed="0" w:uiPriority="0"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0"/>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61"/>
    <w:qFormat/>
    <w:uiPriority w:val="0"/>
    <w:pPr>
      <w:keepNext/>
      <w:keepLines/>
      <w:spacing w:before="260" w:after="260" w:line="416" w:lineRule="auto"/>
      <w:outlineLvl w:val="2"/>
    </w:pPr>
    <w:rPr>
      <w:b/>
      <w:bCs/>
      <w:kern w:val="0"/>
      <w:sz w:val="32"/>
      <w:szCs w:val="32"/>
    </w:rPr>
  </w:style>
  <w:style w:type="paragraph" w:styleId="6">
    <w:name w:val="heading 4"/>
    <w:basedOn w:val="1"/>
    <w:next w:val="1"/>
    <w:qFormat/>
    <w:uiPriority w:val="0"/>
    <w:pPr>
      <w:keepNext/>
      <w:keepLines/>
      <w:spacing w:before="280" w:after="290" w:line="376" w:lineRule="auto"/>
      <w:outlineLvl w:val="3"/>
    </w:pPr>
    <w:rPr>
      <w:rFonts w:ascii="Cambria" w:hAnsi="Cambria"/>
      <w:b/>
      <w:bCs/>
      <w:sz w:val="28"/>
      <w:szCs w:val="28"/>
    </w:rPr>
  </w:style>
  <w:style w:type="paragraph" w:styleId="7">
    <w:name w:val="heading 5"/>
    <w:basedOn w:val="1"/>
    <w:next w:val="1"/>
    <w:link w:val="110"/>
    <w:qFormat/>
    <w:uiPriority w:val="0"/>
    <w:pPr>
      <w:keepNext/>
      <w:keepLines/>
      <w:spacing w:before="280" w:after="290" w:line="376" w:lineRule="auto"/>
      <w:outlineLvl w:val="4"/>
    </w:pPr>
    <w:rPr>
      <w:rFonts w:ascii="Calibri" w:hAnsi="Calibri"/>
      <w:b/>
      <w:bCs/>
      <w:sz w:val="28"/>
      <w:szCs w:val="28"/>
    </w:rPr>
  </w:style>
  <w:style w:type="paragraph" w:styleId="8">
    <w:name w:val="heading 6"/>
    <w:basedOn w:val="1"/>
    <w:next w:val="1"/>
    <w:link w:val="64"/>
    <w:qFormat/>
    <w:uiPriority w:val="0"/>
    <w:pPr>
      <w:keepNext/>
      <w:keepLines/>
      <w:spacing w:before="240" w:after="64" w:line="320" w:lineRule="auto"/>
      <w:outlineLvl w:val="5"/>
    </w:pPr>
    <w:rPr>
      <w:rFonts w:ascii="Calibri Light" w:hAnsi="Calibri Light"/>
      <w:b/>
      <w:bCs/>
      <w:sz w:val="24"/>
    </w:rPr>
  </w:style>
  <w:style w:type="paragraph" w:styleId="9">
    <w:name w:val="heading 7"/>
    <w:basedOn w:val="1"/>
    <w:next w:val="10"/>
    <w:link w:val="54"/>
    <w:qFormat/>
    <w:uiPriority w:val="0"/>
    <w:pPr>
      <w:keepNext/>
      <w:keepLines/>
      <w:spacing w:before="240" w:after="64" w:line="320" w:lineRule="auto"/>
      <w:outlineLvl w:val="6"/>
    </w:pPr>
    <w:rPr>
      <w:b/>
      <w:sz w:val="24"/>
    </w:rPr>
  </w:style>
  <w:style w:type="paragraph" w:styleId="11">
    <w:name w:val="heading 8"/>
    <w:basedOn w:val="1"/>
    <w:next w:val="10"/>
    <w:link w:val="138"/>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10"/>
    <w:link w:val="102"/>
    <w:qFormat/>
    <w:uiPriority w:val="0"/>
    <w:pPr>
      <w:keepNext/>
      <w:keepLines/>
      <w:spacing w:before="240" w:after="64" w:line="320" w:lineRule="auto"/>
      <w:outlineLvl w:val="8"/>
    </w:pPr>
    <w:rPr>
      <w:rFonts w:ascii="Arial" w:hAnsi="Arial" w:eastAsia="黑体"/>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macro"/>
    <w:link w:val="58"/>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lang w:val="en-US" w:eastAsia="zh-CN" w:bidi="ar-SA"/>
    </w:rPr>
  </w:style>
  <w:style w:type="paragraph" w:styleId="10">
    <w:name w:val="Normal Indent"/>
    <w:basedOn w:val="1"/>
    <w:link w:val="104"/>
    <w:qFormat/>
    <w:uiPriority w:val="0"/>
    <w:pPr>
      <w:ind w:firstLine="420"/>
    </w:pPr>
    <w:rPr>
      <w:szCs w:val="20"/>
    </w:rPr>
  </w:style>
  <w:style w:type="paragraph" w:styleId="13">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131"/>
    <w:semiHidden/>
    <w:qFormat/>
    <w:uiPriority w:val="0"/>
    <w:pPr>
      <w:shd w:val="clear" w:color="auto" w:fill="000080"/>
    </w:pPr>
  </w:style>
  <w:style w:type="paragraph" w:styleId="16">
    <w:name w:val="annotation text"/>
    <w:basedOn w:val="1"/>
    <w:next w:val="17"/>
    <w:link w:val="73"/>
    <w:qFormat/>
    <w:uiPriority w:val="0"/>
    <w:pPr>
      <w:jc w:val="left"/>
    </w:pPr>
  </w:style>
  <w:style w:type="paragraph" w:styleId="17">
    <w:name w:val="Body Text Indent"/>
    <w:basedOn w:val="1"/>
    <w:next w:val="18"/>
    <w:link w:val="57"/>
    <w:qFormat/>
    <w:uiPriority w:val="0"/>
    <w:pPr>
      <w:ind w:firstLine="830" w:firstLineChars="352"/>
    </w:pPr>
    <w:rPr>
      <w:rFonts w:ascii="仿宋_GB2312" w:eastAsia="仿宋_GB2312"/>
      <w:kern w:val="0"/>
      <w:sz w:val="32"/>
      <w:szCs w:val="20"/>
    </w:rPr>
  </w:style>
  <w:style w:type="paragraph" w:styleId="18">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19">
    <w:name w:val="Body Text 3"/>
    <w:basedOn w:val="1"/>
    <w:link w:val="133"/>
    <w:qFormat/>
    <w:uiPriority w:val="0"/>
    <w:pPr>
      <w:spacing w:line="500" w:lineRule="exact"/>
    </w:pPr>
    <w:rPr>
      <w:b/>
      <w:bCs/>
      <w:kern w:val="0"/>
      <w:sz w:val="24"/>
    </w:rPr>
  </w:style>
  <w:style w:type="paragraph" w:styleId="20">
    <w:name w:val="Body Text"/>
    <w:basedOn w:val="1"/>
    <w:next w:val="1"/>
    <w:link w:val="85"/>
    <w:unhideWhenUsed/>
    <w:qFormat/>
    <w:uiPriority w:val="99"/>
    <w:pPr>
      <w:spacing w:after="120"/>
    </w:pPr>
  </w:style>
  <w:style w:type="paragraph" w:styleId="21">
    <w:name w:val="List Number 3"/>
    <w:basedOn w:val="1"/>
    <w:qFormat/>
    <w:uiPriority w:val="0"/>
    <w:pPr>
      <w:tabs>
        <w:tab w:val="left" w:pos="900"/>
      </w:tabs>
      <w:ind w:left="900" w:hanging="420"/>
    </w:pPr>
  </w:style>
  <w:style w:type="paragraph" w:styleId="22">
    <w:name w:val="List 2"/>
    <w:basedOn w:val="1"/>
    <w:qFormat/>
    <w:uiPriority w:val="0"/>
    <w:pPr>
      <w:ind w:left="100" w:leftChars="200" w:hanging="200" w:hangingChars="200"/>
    </w:pPr>
    <w:rPr>
      <w:sz w:val="28"/>
    </w:rPr>
  </w:style>
  <w:style w:type="paragraph" w:styleId="23">
    <w:name w:val="Plain Text"/>
    <w:basedOn w:val="1"/>
    <w:next w:val="6"/>
    <w:link w:val="122"/>
    <w:qFormat/>
    <w:uiPriority w:val="0"/>
    <w:rPr>
      <w:rFonts w:ascii="宋体" w:hAnsi="Courier New"/>
      <w:kern w:val="0"/>
      <w:sz w:val="20"/>
      <w:szCs w:val="21"/>
    </w:rPr>
  </w:style>
  <w:style w:type="paragraph" w:styleId="24">
    <w:name w:val="Date"/>
    <w:basedOn w:val="1"/>
    <w:next w:val="1"/>
    <w:link w:val="52"/>
    <w:qFormat/>
    <w:uiPriority w:val="0"/>
    <w:pPr>
      <w:ind w:left="100" w:leftChars="2500"/>
    </w:pPr>
  </w:style>
  <w:style w:type="paragraph" w:styleId="25">
    <w:name w:val="Body Text Indent 2"/>
    <w:basedOn w:val="1"/>
    <w:link w:val="77"/>
    <w:unhideWhenUsed/>
    <w:qFormat/>
    <w:uiPriority w:val="0"/>
    <w:pPr>
      <w:spacing w:after="120" w:line="480" w:lineRule="auto"/>
      <w:ind w:left="420" w:leftChars="200"/>
    </w:pPr>
  </w:style>
  <w:style w:type="paragraph" w:styleId="26">
    <w:name w:val="Balloon Text"/>
    <w:basedOn w:val="1"/>
    <w:link w:val="114"/>
    <w:semiHidden/>
    <w:qFormat/>
    <w:uiPriority w:val="0"/>
    <w:rPr>
      <w:sz w:val="18"/>
      <w:szCs w:val="18"/>
    </w:rPr>
  </w:style>
  <w:style w:type="paragraph" w:styleId="27">
    <w:name w:val="footer"/>
    <w:basedOn w:val="1"/>
    <w:link w:val="117"/>
    <w:unhideWhenUsed/>
    <w:qFormat/>
    <w:uiPriority w:val="0"/>
    <w:pPr>
      <w:tabs>
        <w:tab w:val="center" w:pos="4153"/>
        <w:tab w:val="right" w:pos="8306"/>
      </w:tabs>
      <w:snapToGrid w:val="0"/>
      <w:jc w:val="left"/>
    </w:pPr>
    <w:rPr>
      <w:rFonts w:ascii="Calibri" w:hAnsi="Calibri"/>
      <w:kern w:val="0"/>
      <w:sz w:val="18"/>
      <w:szCs w:val="18"/>
    </w:rPr>
  </w:style>
  <w:style w:type="paragraph" w:styleId="28">
    <w:name w:val="envelope return"/>
    <w:basedOn w:val="1"/>
    <w:qFormat/>
    <w:uiPriority w:val="0"/>
    <w:pPr>
      <w:snapToGrid w:val="0"/>
    </w:pPr>
    <w:rPr>
      <w:rFonts w:ascii="Arial" w:hAnsi="Arial"/>
    </w:rPr>
  </w:style>
  <w:style w:type="paragraph" w:styleId="29">
    <w:name w:val="header"/>
    <w:basedOn w:val="1"/>
    <w:link w:val="108"/>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30">
    <w:name w:val="toc 1"/>
    <w:basedOn w:val="1"/>
    <w:next w:val="1"/>
    <w:qFormat/>
    <w:uiPriority w:val="39"/>
    <w:pPr>
      <w:tabs>
        <w:tab w:val="right" w:leader="dot" w:pos="9000"/>
      </w:tabs>
      <w:spacing w:before="120" w:after="120" w:line="480" w:lineRule="exact"/>
      <w:ind w:left="126" w:leftChars="60" w:firstLine="440" w:firstLineChars="137"/>
      <w:jc w:val="left"/>
    </w:pPr>
    <w:rPr>
      <w:rFonts w:ascii="宋体" w:hAnsi="宋体"/>
      <w:b/>
      <w:bCs/>
      <w:caps/>
      <w:sz w:val="24"/>
    </w:rPr>
  </w:style>
  <w:style w:type="paragraph" w:styleId="31">
    <w:name w:val="List"/>
    <w:basedOn w:val="1"/>
    <w:qFormat/>
    <w:uiPriority w:val="0"/>
    <w:pPr>
      <w:ind w:left="200" w:hanging="200" w:hangingChars="200"/>
    </w:pPr>
    <w:rPr>
      <w:sz w:val="28"/>
    </w:rPr>
  </w:style>
  <w:style w:type="paragraph" w:styleId="32">
    <w:name w:val="toc 6"/>
    <w:basedOn w:val="1"/>
    <w:next w:val="1"/>
    <w:semiHidden/>
    <w:qFormat/>
    <w:uiPriority w:val="99"/>
    <w:pPr>
      <w:ind w:left="2100" w:leftChars="1000"/>
    </w:pPr>
  </w:style>
  <w:style w:type="paragraph" w:styleId="33">
    <w:name w:val="Body Text Indent 3"/>
    <w:basedOn w:val="1"/>
    <w:link w:val="98"/>
    <w:qFormat/>
    <w:uiPriority w:val="0"/>
    <w:pPr>
      <w:spacing w:after="120"/>
      <w:ind w:left="420" w:leftChars="200"/>
    </w:pPr>
    <w:rPr>
      <w:kern w:val="0"/>
      <w:sz w:val="16"/>
      <w:szCs w:val="16"/>
    </w:rPr>
  </w:style>
  <w:style w:type="paragraph" w:styleId="34">
    <w:name w:val="toc 9"/>
    <w:basedOn w:val="1"/>
    <w:next w:val="1"/>
    <w:semiHidden/>
    <w:qFormat/>
    <w:uiPriority w:val="0"/>
    <w:pPr>
      <w:ind w:left="3360" w:leftChars="1600"/>
    </w:pPr>
    <w:rPr>
      <w:rFonts w:ascii="宋体" w:hAnsi="Courier New"/>
      <w:szCs w:val="20"/>
    </w:rPr>
  </w:style>
  <w:style w:type="paragraph" w:styleId="35">
    <w:name w:val="Body Text 2"/>
    <w:basedOn w:val="1"/>
    <w:link w:val="146"/>
    <w:qFormat/>
    <w:uiPriority w:val="0"/>
    <w:pPr>
      <w:spacing w:after="120" w:line="480" w:lineRule="auto"/>
    </w:pPr>
    <w:rPr>
      <w:kern w:val="0"/>
      <w:sz w:val="20"/>
    </w:rPr>
  </w:style>
  <w:style w:type="paragraph" w:styleId="36">
    <w:name w:val="HTML Preformatted"/>
    <w:basedOn w:val="1"/>
    <w:link w:val="11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7">
    <w:name w:val="index 1"/>
    <w:basedOn w:val="1"/>
    <w:next w:val="1"/>
    <w:semiHidden/>
    <w:qFormat/>
    <w:uiPriority w:val="0"/>
    <w:pPr>
      <w:spacing w:line="400" w:lineRule="exact"/>
      <w:ind w:firstLine="420" w:firstLineChars="200"/>
    </w:pPr>
    <w:rPr>
      <w:rFonts w:ascii="宋体" w:hAnsi="Courier New"/>
      <w:b/>
      <w:szCs w:val="20"/>
    </w:rPr>
  </w:style>
  <w:style w:type="paragraph" w:styleId="38">
    <w:name w:val="annotation subject"/>
    <w:basedOn w:val="16"/>
    <w:next w:val="16"/>
    <w:link w:val="53"/>
    <w:semiHidden/>
    <w:qFormat/>
    <w:uiPriority w:val="0"/>
    <w:rPr>
      <w:b/>
      <w:bCs/>
    </w:rPr>
  </w:style>
  <w:style w:type="paragraph" w:styleId="39">
    <w:name w:val="Body Text First Indent"/>
    <w:basedOn w:val="20"/>
    <w:next w:val="32"/>
    <w:unhideWhenUsed/>
    <w:qFormat/>
    <w:uiPriority w:val="99"/>
    <w:pPr>
      <w:ind w:firstLine="420" w:firstLineChars="100"/>
    </w:pPr>
  </w:style>
  <w:style w:type="paragraph" w:styleId="40">
    <w:name w:val="Body Text First Indent 2"/>
    <w:basedOn w:val="17"/>
    <w:link w:val="210"/>
    <w:qFormat/>
    <w:uiPriority w:val="0"/>
    <w:pPr>
      <w:spacing w:after="120"/>
      <w:ind w:left="420" w:leftChars="200" w:firstLine="420" w:firstLineChars="200"/>
    </w:pPr>
    <w:rPr>
      <w:rFonts w:ascii="Times New Roman" w:eastAsia="宋体"/>
      <w:kern w:val="2"/>
      <w:sz w:val="21"/>
      <w:szCs w:val="24"/>
    </w:rPr>
  </w:style>
  <w:style w:type="table" w:styleId="42">
    <w:name w:val="Table Grid"/>
    <w:basedOn w:val="4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44">
    <w:name w:val="Strong"/>
    <w:basedOn w:val="43"/>
    <w:qFormat/>
    <w:uiPriority w:val="22"/>
    <w:rPr>
      <w:b/>
      <w:bCs/>
    </w:rPr>
  </w:style>
  <w:style w:type="character" w:styleId="45">
    <w:name w:val="page number"/>
    <w:basedOn w:val="43"/>
    <w:qFormat/>
    <w:uiPriority w:val="0"/>
  </w:style>
  <w:style w:type="character" w:styleId="46">
    <w:name w:val="FollowedHyperlink"/>
    <w:qFormat/>
    <w:uiPriority w:val="99"/>
    <w:rPr>
      <w:color w:val="800080"/>
      <w:u w:val="single"/>
    </w:rPr>
  </w:style>
  <w:style w:type="character" w:styleId="47">
    <w:name w:val="Emphasis"/>
    <w:qFormat/>
    <w:uiPriority w:val="0"/>
    <w:rPr>
      <w:color w:val="CC0000"/>
    </w:rPr>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customStyle="1" w:styleId="50">
    <w:name w:val="标题 1 Char"/>
    <w:link w:val="3"/>
    <w:qFormat/>
    <w:uiPriority w:val="0"/>
    <w:rPr>
      <w:rFonts w:ascii="Times New Roman" w:hAnsi="Times New Roman"/>
      <w:b/>
      <w:bCs/>
      <w:kern w:val="44"/>
      <w:sz w:val="44"/>
      <w:szCs w:val="44"/>
    </w:rPr>
  </w:style>
  <w:style w:type="character" w:customStyle="1" w:styleId="51">
    <w:name w:val="标题 2 Char"/>
    <w:link w:val="4"/>
    <w:qFormat/>
    <w:uiPriority w:val="0"/>
    <w:rPr>
      <w:rFonts w:ascii="Arial" w:hAnsi="Arial" w:eastAsia="黑体"/>
      <w:b/>
      <w:bCs/>
      <w:kern w:val="2"/>
      <w:sz w:val="32"/>
      <w:szCs w:val="32"/>
      <w:lang w:val="en-US" w:eastAsia="zh-CN" w:bidi="ar-SA"/>
    </w:rPr>
  </w:style>
  <w:style w:type="character" w:customStyle="1" w:styleId="52">
    <w:name w:val="日期 Char"/>
    <w:link w:val="24"/>
    <w:qFormat/>
    <w:uiPriority w:val="0"/>
    <w:rPr>
      <w:rFonts w:ascii="Times New Roman" w:hAnsi="Times New Roman"/>
      <w:kern w:val="2"/>
      <w:sz w:val="21"/>
      <w:szCs w:val="24"/>
    </w:rPr>
  </w:style>
  <w:style w:type="character" w:customStyle="1" w:styleId="53">
    <w:name w:val="批注主题 Char"/>
    <w:link w:val="38"/>
    <w:semiHidden/>
    <w:qFormat/>
    <w:uiPriority w:val="0"/>
    <w:rPr>
      <w:rFonts w:ascii="Times New Roman" w:hAnsi="Times New Roman"/>
      <w:b/>
      <w:bCs/>
      <w:kern w:val="2"/>
      <w:sz w:val="21"/>
      <w:szCs w:val="24"/>
    </w:rPr>
  </w:style>
  <w:style w:type="character" w:customStyle="1" w:styleId="54">
    <w:name w:val="标题 7 Char"/>
    <w:link w:val="9"/>
    <w:qFormat/>
    <w:uiPriority w:val="0"/>
    <w:rPr>
      <w:rFonts w:ascii="Times New Roman" w:hAnsi="Times New Roman"/>
      <w:b/>
      <w:kern w:val="2"/>
      <w:sz w:val="24"/>
      <w:szCs w:val="24"/>
    </w:rPr>
  </w:style>
  <w:style w:type="character" w:customStyle="1" w:styleId="55">
    <w:name w:val="apple-converted-space"/>
    <w:basedOn w:val="43"/>
    <w:qFormat/>
    <w:uiPriority w:val="0"/>
  </w:style>
  <w:style w:type="character" w:customStyle="1" w:styleId="56">
    <w:name w:val="纯文本 Char1"/>
    <w:qFormat/>
    <w:uiPriority w:val="0"/>
    <w:rPr>
      <w:rFonts w:ascii="宋体" w:hAnsi="Courier New" w:eastAsia="宋体" w:cs="Times New Roman"/>
      <w:szCs w:val="20"/>
    </w:rPr>
  </w:style>
  <w:style w:type="character" w:customStyle="1" w:styleId="57">
    <w:name w:val="正文文本缩进 Char"/>
    <w:link w:val="17"/>
    <w:qFormat/>
    <w:uiPriority w:val="0"/>
    <w:rPr>
      <w:rFonts w:ascii="仿宋_GB2312" w:hAnsi="Times New Roman" w:eastAsia="仿宋_GB2312" w:cs="Times New Roman"/>
      <w:sz w:val="32"/>
      <w:szCs w:val="20"/>
    </w:rPr>
  </w:style>
  <w:style w:type="character" w:customStyle="1" w:styleId="58">
    <w:name w:val="宏文本 Char"/>
    <w:link w:val="2"/>
    <w:semiHidden/>
    <w:qFormat/>
    <w:uiPriority w:val="0"/>
    <w:rPr>
      <w:rFonts w:ascii="Courier New" w:hAnsi="Courier New"/>
      <w:lang w:val="en-US" w:eastAsia="zh-CN" w:bidi="ar-SA"/>
    </w:rPr>
  </w:style>
  <w:style w:type="character" w:customStyle="1" w:styleId="59">
    <w:name w:val="Char Char15"/>
    <w:qFormat/>
    <w:locked/>
    <w:uiPriority w:val="0"/>
    <w:rPr>
      <w:rFonts w:eastAsia="宋体"/>
      <w:b/>
      <w:kern w:val="2"/>
      <w:sz w:val="24"/>
      <w:szCs w:val="24"/>
      <w:lang w:bidi="ar-SA"/>
    </w:rPr>
  </w:style>
  <w:style w:type="character" w:customStyle="1" w:styleId="60">
    <w:name w:val="正文文本 2 Char1"/>
    <w:semiHidden/>
    <w:qFormat/>
    <w:uiPriority w:val="99"/>
    <w:rPr>
      <w:rFonts w:ascii="Times New Roman" w:hAnsi="Times New Roman"/>
      <w:kern w:val="2"/>
      <w:sz w:val="21"/>
      <w:szCs w:val="24"/>
    </w:rPr>
  </w:style>
  <w:style w:type="character" w:customStyle="1" w:styleId="61">
    <w:name w:val="标题 3 Char"/>
    <w:link w:val="5"/>
    <w:qFormat/>
    <w:uiPriority w:val="0"/>
    <w:rPr>
      <w:rFonts w:ascii="Times New Roman" w:hAnsi="Times New Roman"/>
      <w:b/>
      <w:bCs/>
      <w:sz w:val="32"/>
      <w:szCs w:val="32"/>
    </w:rPr>
  </w:style>
  <w:style w:type="character" w:customStyle="1" w:styleId="62">
    <w:name w:val="font41"/>
    <w:qFormat/>
    <w:uiPriority w:val="0"/>
    <w:rPr>
      <w:rFonts w:hint="eastAsia" w:ascii="宋体" w:hAnsi="宋体" w:eastAsia="宋体" w:cs="宋体"/>
      <w:color w:val="000000"/>
      <w:sz w:val="22"/>
      <w:szCs w:val="22"/>
      <w:u w:val="none"/>
    </w:rPr>
  </w:style>
  <w:style w:type="character" w:customStyle="1" w:styleId="63">
    <w:name w:val="正文文本 3 Char2"/>
    <w:semiHidden/>
    <w:qFormat/>
    <w:uiPriority w:val="99"/>
    <w:rPr>
      <w:rFonts w:ascii="Times New Roman" w:hAnsi="Times New Roman"/>
      <w:kern w:val="2"/>
      <w:sz w:val="16"/>
      <w:szCs w:val="16"/>
    </w:rPr>
  </w:style>
  <w:style w:type="character" w:customStyle="1" w:styleId="64">
    <w:name w:val="标题 6 Char"/>
    <w:link w:val="8"/>
    <w:qFormat/>
    <w:uiPriority w:val="0"/>
    <w:rPr>
      <w:rFonts w:ascii="Calibri Light" w:hAnsi="Calibri Light" w:eastAsia="宋体" w:cs="Times New Roman"/>
      <w:b/>
      <w:bCs/>
      <w:kern w:val="2"/>
      <w:sz w:val="24"/>
      <w:szCs w:val="24"/>
    </w:rPr>
  </w:style>
  <w:style w:type="character" w:customStyle="1" w:styleId="65">
    <w:name w:val="正文文本 2 Char2"/>
    <w:semiHidden/>
    <w:qFormat/>
    <w:uiPriority w:val="99"/>
    <w:rPr>
      <w:rFonts w:ascii="Times New Roman" w:hAnsi="Times New Roman"/>
      <w:kern w:val="2"/>
      <w:sz w:val="21"/>
      <w:szCs w:val="24"/>
    </w:rPr>
  </w:style>
  <w:style w:type="character" w:customStyle="1" w:styleId="66">
    <w:name w:val="Char Char"/>
    <w:qFormat/>
    <w:locked/>
    <w:uiPriority w:val="0"/>
    <w:rPr>
      <w:rFonts w:ascii="宋体" w:hAnsi="宋体" w:eastAsia="宋体"/>
      <w:kern w:val="2"/>
      <w:sz w:val="21"/>
      <w:szCs w:val="24"/>
      <w:lang w:bidi="ar-SA"/>
    </w:rPr>
  </w:style>
  <w:style w:type="character" w:customStyle="1" w:styleId="67">
    <w:name w:val="Char Char1"/>
    <w:qFormat/>
    <w:locked/>
    <w:uiPriority w:val="0"/>
    <w:rPr>
      <w:rFonts w:ascii="宋体" w:hAnsi="宋体" w:eastAsia="宋体"/>
      <w:szCs w:val="24"/>
      <w:lang w:bidi="ar-SA"/>
    </w:rPr>
  </w:style>
  <w:style w:type="character" w:customStyle="1" w:styleId="68">
    <w:name w:val="日期 Char2"/>
    <w:semiHidden/>
    <w:qFormat/>
    <w:uiPriority w:val="99"/>
    <w:rPr>
      <w:rFonts w:ascii="Times New Roman" w:hAnsi="Times New Roman"/>
      <w:kern w:val="2"/>
      <w:sz w:val="21"/>
      <w:szCs w:val="24"/>
    </w:rPr>
  </w:style>
  <w:style w:type="character" w:customStyle="1" w:styleId="69">
    <w:name w:val="正文文本缩进 Char2"/>
    <w:semiHidden/>
    <w:qFormat/>
    <w:uiPriority w:val="99"/>
    <w:rPr>
      <w:rFonts w:ascii="Times New Roman" w:hAnsi="Times New Roman"/>
      <w:kern w:val="2"/>
      <w:sz w:val="21"/>
      <w:szCs w:val="24"/>
    </w:rPr>
  </w:style>
  <w:style w:type="character" w:customStyle="1" w:styleId="70">
    <w:name w:val="页眉 Char2"/>
    <w:semiHidden/>
    <w:qFormat/>
    <w:uiPriority w:val="99"/>
    <w:rPr>
      <w:rFonts w:ascii="Times New Roman" w:hAnsi="Times New Roman"/>
      <w:kern w:val="2"/>
      <w:sz w:val="18"/>
      <w:szCs w:val="18"/>
    </w:rPr>
  </w:style>
  <w:style w:type="character" w:customStyle="1" w:styleId="71">
    <w:name w:val="Char Char18"/>
    <w:qFormat/>
    <w:locked/>
    <w:uiPriority w:val="0"/>
    <w:rPr>
      <w:rFonts w:eastAsia="宋体"/>
      <w:b/>
      <w:bCs/>
      <w:sz w:val="32"/>
      <w:szCs w:val="32"/>
      <w:lang w:bidi="ar-SA"/>
    </w:rPr>
  </w:style>
  <w:style w:type="character" w:customStyle="1" w:styleId="72">
    <w:name w:val="Char Char9"/>
    <w:qFormat/>
    <w:locked/>
    <w:uiPriority w:val="0"/>
    <w:rPr>
      <w:rFonts w:ascii="宋体" w:hAnsi="宋体" w:eastAsia="宋体"/>
      <w:sz w:val="32"/>
      <w:lang w:bidi="ar-SA"/>
    </w:rPr>
  </w:style>
  <w:style w:type="character" w:customStyle="1" w:styleId="73">
    <w:name w:val="批注文字 Char"/>
    <w:link w:val="16"/>
    <w:qFormat/>
    <w:uiPriority w:val="0"/>
    <w:rPr>
      <w:rFonts w:ascii="Times New Roman" w:hAnsi="Times New Roman"/>
      <w:kern w:val="2"/>
      <w:sz w:val="21"/>
      <w:szCs w:val="24"/>
    </w:rPr>
  </w:style>
  <w:style w:type="character" w:customStyle="1" w:styleId="74">
    <w:name w:val="宏文本 Char2"/>
    <w:semiHidden/>
    <w:qFormat/>
    <w:uiPriority w:val="99"/>
    <w:rPr>
      <w:rFonts w:ascii="Courier New" w:hAnsi="Courier New" w:cs="Courier New"/>
      <w:kern w:val="2"/>
      <w:sz w:val="24"/>
      <w:szCs w:val="24"/>
    </w:rPr>
  </w:style>
  <w:style w:type="character" w:customStyle="1" w:styleId="75">
    <w:name w:val="Char Char10"/>
    <w:qFormat/>
    <w:locked/>
    <w:uiPriority w:val="0"/>
    <w:rPr>
      <w:rFonts w:ascii="宋体" w:hAnsi="宋体" w:eastAsia="宋体"/>
      <w:b/>
      <w:bCs/>
      <w:sz w:val="24"/>
      <w:szCs w:val="24"/>
      <w:lang w:bidi="ar-SA"/>
    </w:rPr>
  </w:style>
  <w:style w:type="character" w:customStyle="1" w:styleId="76">
    <w:name w:val="font51"/>
    <w:qFormat/>
    <w:uiPriority w:val="0"/>
    <w:rPr>
      <w:rFonts w:hint="eastAsia" w:ascii="宋体" w:hAnsi="宋体" w:eastAsia="宋体" w:cs="宋体"/>
      <w:color w:val="000000"/>
      <w:sz w:val="20"/>
      <w:szCs w:val="20"/>
      <w:u w:val="none"/>
    </w:rPr>
  </w:style>
  <w:style w:type="character" w:customStyle="1" w:styleId="77">
    <w:name w:val="正文文本缩进 2 Char"/>
    <w:link w:val="25"/>
    <w:qFormat/>
    <w:uiPriority w:val="0"/>
    <w:rPr>
      <w:rFonts w:ascii="Times New Roman" w:hAnsi="Times New Roman"/>
      <w:kern w:val="2"/>
      <w:sz w:val="21"/>
      <w:szCs w:val="24"/>
    </w:rPr>
  </w:style>
  <w:style w:type="character" w:customStyle="1" w:styleId="78">
    <w:name w:val="mark"/>
    <w:basedOn w:val="43"/>
    <w:qFormat/>
    <w:uiPriority w:val="0"/>
  </w:style>
  <w:style w:type="character" w:customStyle="1" w:styleId="79">
    <w:name w:val="正文文本 Char2"/>
    <w:semiHidden/>
    <w:qFormat/>
    <w:uiPriority w:val="99"/>
    <w:rPr>
      <w:rFonts w:ascii="Times New Roman" w:hAnsi="Times New Roman"/>
      <w:kern w:val="2"/>
      <w:sz w:val="21"/>
      <w:szCs w:val="24"/>
    </w:rPr>
  </w:style>
  <w:style w:type="character" w:customStyle="1" w:styleId="80">
    <w:name w:val="Char Char17"/>
    <w:qFormat/>
    <w:locked/>
    <w:uiPriority w:val="0"/>
    <w:rPr>
      <w:rFonts w:eastAsia="宋体"/>
      <w:b/>
      <w:kern w:val="2"/>
      <w:sz w:val="28"/>
      <w:szCs w:val="24"/>
      <w:lang w:bidi="ar-SA"/>
    </w:rPr>
  </w:style>
  <w:style w:type="character" w:customStyle="1" w:styleId="81">
    <w:name w:val="列出段落 Char"/>
    <w:link w:val="82"/>
    <w:qFormat/>
    <w:locked/>
    <w:uiPriority w:val="0"/>
    <w:rPr>
      <w:kern w:val="2"/>
      <w:sz w:val="21"/>
      <w:szCs w:val="22"/>
    </w:rPr>
  </w:style>
  <w:style w:type="paragraph" w:styleId="82">
    <w:name w:val="List Paragraph"/>
    <w:basedOn w:val="1"/>
    <w:link w:val="81"/>
    <w:qFormat/>
    <w:uiPriority w:val="0"/>
    <w:pPr>
      <w:ind w:firstLine="420" w:firstLineChars="200"/>
    </w:pPr>
    <w:rPr>
      <w:rFonts w:ascii="Calibri" w:hAnsi="Calibri"/>
      <w:szCs w:val="22"/>
    </w:rPr>
  </w:style>
  <w:style w:type="character" w:customStyle="1" w:styleId="83">
    <w:name w:val="正文文本缩进 2 Char1"/>
    <w:semiHidden/>
    <w:qFormat/>
    <w:locked/>
    <w:uiPriority w:val="99"/>
    <w:rPr>
      <w:rFonts w:ascii="Times New Roman" w:hAnsi="Times New Roman"/>
      <w:sz w:val="32"/>
    </w:rPr>
  </w:style>
  <w:style w:type="character" w:customStyle="1" w:styleId="84">
    <w:name w:val="Char Char19"/>
    <w:qFormat/>
    <w:locked/>
    <w:uiPriority w:val="0"/>
    <w:rPr>
      <w:rFonts w:ascii="Arial" w:hAnsi="Arial" w:eastAsia="黑体"/>
      <w:b/>
      <w:bCs/>
      <w:sz w:val="32"/>
      <w:szCs w:val="32"/>
      <w:lang w:bidi="ar-SA"/>
    </w:rPr>
  </w:style>
  <w:style w:type="character" w:customStyle="1" w:styleId="85">
    <w:name w:val="正文文本 Char"/>
    <w:link w:val="20"/>
    <w:qFormat/>
    <w:uiPriority w:val="0"/>
    <w:rPr>
      <w:rFonts w:ascii="Times New Roman" w:hAnsi="Times New Roman"/>
      <w:kern w:val="2"/>
      <w:sz w:val="21"/>
      <w:szCs w:val="24"/>
    </w:rPr>
  </w:style>
  <w:style w:type="character" w:customStyle="1" w:styleId="86">
    <w:name w:val="ca-41"/>
    <w:qFormat/>
    <w:uiPriority w:val="0"/>
    <w:rPr>
      <w:rFonts w:hint="eastAsia" w:ascii="宋体" w:hAnsi="宋体" w:eastAsia="宋体"/>
      <w:color w:val="FF0000"/>
      <w:sz w:val="21"/>
      <w:szCs w:val="21"/>
    </w:rPr>
  </w:style>
  <w:style w:type="character" w:customStyle="1" w:styleId="87">
    <w:name w:val="Char Char4"/>
    <w:qFormat/>
    <w:locked/>
    <w:uiPriority w:val="0"/>
    <w:rPr>
      <w:rFonts w:ascii="宋体" w:hAnsi="Courier New" w:eastAsia="宋体"/>
      <w:szCs w:val="21"/>
      <w:lang w:bidi="ar-SA"/>
    </w:rPr>
  </w:style>
  <w:style w:type="character" w:customStyle="1" w:styleId="88">
    <w:name w:val="Char Char14"/>
    <w:qFormat/>
    <w:locked/>
    <w:uiPriority w:val="0"/>
    <w:rPr>
      <w:rFonts w:ascii="Arial" w:hAnsi="Arial" w:eastAsia="黑体"/>
      <w:kern w:val="2"/>
      <w:sz w:val="24"/>
      <w:szCs w:val="24"/>
      <w:lang w:bidi="ar-SA"/>
    </w:rPr>
  </w:style>
  <w:style w:type="character" w:customStyle="1" w:styleId="89">
    <w:name w:val="日期 Char1"/>
    <w:semiHidden/>
    <w:qFormat/>
    <w:uiPriority w:val="99"/>
    <w:rPr>
      <w:rFonts w:ascii="Times New Roman" w:hAnsi="Times New Roman" w:eastAsia="宋体" w:cs="Times New Roman"/>
      <w:szCs w:val="24"/>
    </w:rPr>
  </w:style>
  <w:style w:type="character" w:customStyle="1" w:styleId="90">
    <w:name w:val="case31"/>
    <w:qFormat/>
    <w:uiPriority w:val="0"/>
    <w:rPr>
      <w:rFonts w:hint="default"/>
      <w:sz w:val="21"/>
      <w:szCs w:val="21"/>
    </w:rPr>
  </w:style>
  <w:style w:type="character" w:customStyle="1" w:styleId="91">
    <w:name w:val="Heading 1 Char"/>
    <w:qFormat/>
    <w:locked/>
    <w:uiPriority w:val="0"/>
    <w:rPr>
      <w:rFonts w:ascii="Calibri" w:hAnsi="Calibri" w:eastAsia="宋体"/>
      <w:b/>
      <w:kern w:val="44"/>
      <w:sz w:val="44"/>
      <w:lang w:val="en-US" w:eastAsia="zh-CN" w:bidi="ar-SA"/>
    </w:rPr>
  </w:style>
  <w:style w:type="character" w:customStyle="1" w:styleId="92">
    <w:name w:val="Char Char20"/>
    <w:qFormat/>
    <w:locked/>
    <w:uiPriority w:val="0"/>
    <w:rPr>
      <w:rFonts w:eastAsia="宋体"/>
      <w:b/>
      <w:bCs/>
      <w:kern w:val="44"/>
      <w:sz w:val="44"/>
      <w:szCs w:val="44"/>
      <w:lang w:bidi="ar-SA"/>
    </w:rPr>
  </w:style>
  <w:style w:type="character" w:customStyle="1" w:styleId="93">
    <w:name w:val="Char Char11"/>
    <w:qFormat/>
    <w:locked/>
    <w:uiPriority w:val="0"/>
    <w:rPr>
      <w:rFonts w:ascii="仿宋_GB2312" w:eastAsia="仿宋_GB2312"/>
      <w:sz w:val="32"/>
      <w:lang w:bidi="ar-SA"/>
    </w:rPr>
  </w:style>
  <w:style w:type="character" w:customStyle="1" w:styleId="94">
    <w:name w:val="Char Char6"/>
    <w:qFormat/>
    <w:locked/>
    <w:uiPriority w:val="0"/>
    <w:rPr>
      <w:rFonts w:ascii="宋体" w:hAnsi="宋体" w:eastAsia="宋体"/>
      <w:sz w:val="16"/>
      <w:szCs w:val="16"/>
      <w:lang w:bidi="ar-SA"/>
    </w:rPr>
  </w:style>
  <w:style w:type="character" w:customStyle="1" w:styleId="95">
    <w:name w:val="Char Char5"/>
    <w:qFormat/>
    <w:locked/>
    <w:uiPriority w:val="0"/>
    <w:rPr>
      <w:sz w:val="18"/>
      <w:szCs w:val="18"/>
      <w:lang w:bidi="ar-SA"/>
    </w:rPr>
  </w:style>
  <w:style w:type="character" w:customStyle="1" w:styleId="96">
    <w:name w:val="批注框文本 Char2"/>
    <w:semiHidden/>
    <w:qFormat/>
    <w:uiPriority w:val="99"/>
    <w:rPr>
      <w:rFonts w:ascii="Times New Roman" w:hAnsi="Times New Roman"/>
      <w:kern w:val="2"/>
      <w:sz w:val="18"/>
      <w:szCs w:val="18"/>
    </w:rPr>
  </w:style>
  <w:style w:type="character" w:customStyle="1" w:styleId="97">
    <w:name w:val="Char Char8"/>
    <w:qFormat/>
    <w:locked/>
    <w:uiPriority w:val="0"/>
    <w:rPr>
      <w:sz w:val="18"/>
      <w:szCs w:val="18"/>
      <w:lang w:bidi="ar-SA"/>
    </w:rPr>
  </w:style>
  <w:style w:type="character" w:customStyle="1" w:styleId="98">
    <w:name w:val="正文文本缩进 3 Char"/>
    <w:link w:val="33"/>
    <w:qFormat/>
    <w:uiPriority w:val="0"/>
    <w:rPr>
      <w:rFonts w:ascii="Times New Roman" w:hAnsi="Times New Roman"/>
      <w:sz w:val="16"/>
      <w:szCs w:val="16"/>
    </w:rPr>
  </w:style>
  <w:style w:type="character" w:customStyle="1" w:styleId="99">
    <w:name w:val="正文文本缩进 Char1"/>
    <w:semiHidden/>
    <w:qFormat/>
    <w:uiPriority w:val="99"/>
    <w:rPr>
      <w:rFonts w:ascii="Times New Roman" w:hAnsi="Times New Roman" w:eastAsia="宋体" w:cs="Times New Roman"/>
      <w:szCs w:val="24"/>
    </w:rPr>
  </w:style>
  <w:style w:type="character" w:customStyle="1" w:styleId="100">
    <w:name w:val="批注框文本 Char1"/>
    <w:semiHidden/>
    <w:qFormat/>
    <w:uiPriority w:val="99"/>
    <w:rPr>
      <w:rFonts w:ascii="Times New Roman" w:hAnsi="Times New Roman" w:eastAsia="宋体" w:cs="Times New Roman"/>
      <w:sz w:val="18"/>
      <w:szCs w:val="18"/>
    </w:rPr>
  </w:style>
  <w:style w:type="character" w:customStyle="1" w:styleId="101">
    <w:name w:val="文档结构图 Char1"/>
    <w:semiHidden/>
    <w:qFormat/>
    <w:uiPriority w:val="99"/>
    <w:rPr>
      <w:rFonts w:ascii="宋体" w:hAnsi="Times New Roman"/>
      <w:kern w:val="2"/>
      <w:sz w:val="18"/>
      <w:szCs w:val="18"/>
    </w:rPr>
  </w:style>
  <w:style w:type="character" w:customStyle="1" w:styleId="102">
    <w:name w:val="标题 9 Char"/>
    <w:link w:val="12"/>
    <w:qFormat/>
    <w:uiPriority w:val="0"/>
    <w:rPr>
      <w:rFonts w:ascii="Arial" w:hAnsi="Arial" w:eastAsia="黑体"/>
      <w:kern w:val="2"/>
      <w:sz w:val="21"/>
      <w:szCs w:val="24"/>
    </w:rPr>
  </w:style>
  <w:style w:type="character" w:customStyle="1" w:styleId="103">
    <w:name w:val="页脚 Char2"/>
    <w:semiHidden/>
    <w:qFormat/>
    <w:uiPriority w:val="99"/>
    <w:rPr>
      <w:rFonts w:ascii="Times New Roman" w:hAnsi="Times New Roman"/>
      <w:kern w:val="2"/>
      <w:sz w:val="18"/>
      <w:szCs w:val="18"/>
    </w:rPr>
  </w:style>
  <w:style w:type="character" w:customStyle="1" w:styleId="104">
    <w:name w:val="正文缩进 Char"/>
    <w:link w:val="10"/>
    <w:qFormat/>
    <w:uiPriority w:val="0"/>
    <w:rPr>
      <w:rFonts w:ascii="Times New Roman" w:hAnsi="Times New Roman"/>
      <w:kern w:val="2"/>
      <w:sz w:val="21"/>
    </w:rPr>
  </w:style>
  <w:style w:type="character" w:customStyle="1" w:styleId="105">
    <w:name w:val="HTML 预设格式 Char2"/>
    <w:semiHidden/>
    <w:qFormat/>
    <w:uiPriority w:val="99"/>
    <w:rPr>
      <w:rFonts w:ascii="Courier New" w:hAnsi="Courier New" w:cs="Courier New"/>
      <w:kern w:val="2"/>
    </w:rPr>
  </w:style>
  <w:style w:type="character" w:customStyle="1" w:styleId="106">
    <w:name w:val="纯文本 Char2"/>
    <w:semiHidden/>
    <w:qFormat/>
    <w:uiPriority w:val="99"/>
    <w:rPr>
      <w:rFonts w:ascii="宋体" w:hAnsi="Courier New" w:cs="Courier New"/>
      <w:kern w:val="2"/>
      <w:sz w:val="21"/>
      <w:szCs w:val="21"/>
    </w:rPr>
  </w:style>
  <w:style w:type="character" w:customStyle="1" w:styleId="107">
    <w:name w:val="正文文本 3 Char1"/>
    <w:semiHidden/>
    <w:qFormat/>
    <w:uiPriority w:val="99"/>
    <w:rPr>
      <w:rFonts w:ascii="Times New Roman" w:hAnsi="Times New Roman"/>
      <w:kern w:val="2"/>
      <w:sz w:val="16"/>
      <w:szCs w:val="16"/>
    </w:rPr>
  </w:style>
  <w:style w:type="character" w:customStyle="1" w:styleId="108">
    <w:name w:val="页眉 Char"/>
    <w:link w:val="29"/>
    <w:qFormat/>
    <w:uiPriority w:val="0"/>
    <w:rPr>
      <w:sz w:val="18"/>
      <w:szCs w:val="18"/>
    </w:rPr>
  </w:style>
  <w:style w:type="character" w:customStyle="1" w:styleId="109">
    <w:name w:val="批注文字 Char1"/>
    <w:semiHidden/>
    <w:qFormat/>
    <w:uiPriority w:val="99"/>
    <w:rPr>
      <w:rFonts w:ascii="Times New Roman" w:hAnsi="Times New Roman"/>
      <w:kern w:val="2"/>
      <w:sz w:val="21"/>
      <w:szCs w:val="24"/>
    </w:rPr>
  </w:style>
  <w:style w:type="character" w:customStyle="1" w:styleId="110">
    <w:name w:val="标题 5 Char"/>
    <w:link w:val="7"/>
    <w:qFormat/>
    <w:uiPriority w:val="0"/>
    <w:rPr>
      <w:rFonts w:eastAsia="宋体"/>
      <w:b/>
      <w:bCs/>
      <w:kern w:val="2"/>
      <w:sz w:val="28"/>
      <w:szCs w:val="28"/>
      <w:lang w:val="en-US" w:eastAsia="zh-CN" w:bidi="ar-SA"/>
    </w:rPr>
  </w:style>
  <w:style w:type="character" w:customStyle="1" w:styleId="111">
    <w:name w:val="表格标题2 Char"/>
    <w:link w:val="112"/>
    <w:qFormat/>
    <w:uiPriority w:val="0"/>
    <w:rPr>
      <w:rFonts w:ascii="Arial" w:hAnsi="Arial" w:eastAsia="微软雅黑"/>
      <w:b/>
      <w:bCs/>
      <w:kern w:val="2"/>
      <w:sz w:val="21"/>
      <w:szCs w:val="24"/>
    </w:rPr>
  </w:style>
  <w:style w:type="paragraph" w:customStyle="1" w:styleId="112">
    <w:name w:val="表格标题2"/>
    <w:basedOn w:val="8"/>
    <w:link w:val="111"/>
    <w:qFormat/>
    <w:uiPriority w:val="0"/>
    <w:pPr>
      <w:spacing w:before="0" w:after="0" w:line="240" w:lineRule="auto"/>
      <w:jc w:val="center"/>
    </w:pPr>
    <w:rPr>
      <w:rFonts w:ascii="Arial" w:hAnsi="Arial" w:eastAsia="微软雅黑"/>
      <w:sz w:val="21"/>
    </w:rPr>
  </w:style>
  <w:style w:type="character" w:customStyle="1" w:styleId="113">
    <w:name w:val="普通文字 Char Char2"/>
    <w:qFormat/>
    <w:uiPriority w:val="0"/>
    <w:rPr>
      <w:rFonts w:ascii="宋体" w:hAnsi="Courier New" w:eastAsia="宋体"/>
      <w:szCs w:val="21"/>
      <w:lang w:bidi="ar-SA"/>
    </w:rPr>
  </w:style>
  <w:style w:type="character" w:customStyle="1" w:styleId="114">
    <w:name w:val="批注框文本 Char"/>
    <w:link w:val="26"/>
    <w:semiHidden/>
    <w:qFormat/>
    <w:uiPriority w:val="0"/>
    <w:rPr>
      <w:rFonts w:ascii="Times New Roman" w:hAnsi="Times New Roman"/>
      <w:kern w:val="2"/>
      <w:sz w:val="18"/>
      <w:szCs w:val="18"/>
    </w:rPr>
  </w:style>
  <w:style w:type="character" w:customStyle="1" w:styleId="115">
    <w:name w:val="font21"/>
    <w:qFormat/>
    <w:uiPriority w:val="0"/>
    <w:rPr>
      <w:rFonts w:hint="eastAsia" w:ascii="宋体" w:hAnsi="宋体" w:eastAsia="宋体" w:cs="宋体"/>
      <w:color w:val="000000"/>
      <w:sz w:val="24"/>
      <w:szCs w:val="24"/>
      <w:u w:val="none"/>
    </w:rPr>
  </w:style>
  <w:style w:type="character" w:customStyle="1" w:styleId="116">
    <w:name w:val="HTML 预设格式 Char"/>
    <w:link w:val="36"/>
    <w:qFormat/>
    <w:uiPriority w:val="99"/>
    <w:rPr>
      <w:rFonts w:ascii="宋体" w:hAnsi="宋体" w:cs="宋体"/>
      <w:sz w:val="24"/>
      <w:szCs w:val="24"/>
    </w:rPr>
  </w:style>
  <w:style w:type="character" w:customStyle="1" w:styleId="117">
    <w:name w:val="页脚 Char"/>
    <w:link w:val="27"/>
    <w:qFormat/>
    <w:uiPriority w:val="0"/>
    <w:rPr>
      <w:sz w:val="18"/>
      <w:szCs w:val="18"/>
    </w:rPr>
  </w:style>
  <w:style w:type="character" w:customStyle="1" w:styleId="118">
    <w:name w:val="明显引用 Char"/>
    <w:link w:val="119"/>
    <w:qFormat/>
    <w:uiPriority w:val="0"/>
    <w:rPr>
      <w:rFonts w:ascii="宋体" w:hAnsi="华文细黑"/>
      <w:bCs/>
      <w:iCs/>
      <w:color w:val="000000"/>
      <w:kern w:val="2"/>
      <w:sz w:val="21"/>
    </w:rPr>
  </w:style>
  <w:style w:type="paragraph" w:customStyle="1" w:styleId="119">
    <w:name w:val="明显引用1"/>
    <w:basedOn w:val="1"/>
    <w:next w:val="1"/>
    <w:link w:val="118"/>
    <w:qFormat/>
    <w:uiPriority w:val="0"/>
    <w:pPr>
      <w:spacing w:line="360" w:lineRule="auto"/>
      <w:jc w:val="center"/>
    </w:pPr>
    <w:rPr>
      <w:rFonts w:ascii="宋体" w:hAnsi="华文细黑"/>
      <w:bCs/>
      <w:iCs/>
      <w:color w:val="000000"/>
      <w:szCs w:val="20"/>
    </w:rPr>
  </w:style>
  <w:style w:type="character" w:customStyle="1" w:styleId="120">
    <w:name w:val="apple-style-span"/>
    <w:basedOn w:val="43"/>
    <w:qFormat/>
    <w:uiPriority w:val="0"/>
  </w:style>
  <w:style w:type="character" w:customStyle="1" w:styleId="121">
    <w:name w:val="Char Char2"/>
    <w:qFormat/>
    <w:locked/>
    <w:uiPriority w:val="0"/>
    <w:rPr>
      <w:rFonts w:ascii="宋体" w:hAnsi="宋体" w:eastAsia="宋体"/>
      <w:sz w:val="24"/>
      <w:szCs w:val="24"/>
      <w:lang w:bidi="ar-SA"/>
    </w:rPr>
  </w:style>
  <w:style w:type="character" w:customStyle="1" w:styleId="122">
    <w:name w:val="纯文本 Char"/>
    <w:link w:val="23"/>
    <w:qFormat/>
    <w:uiPriority w:val="0"/>
    <w:rPr>
      <w:rFonts w:ascii="宋体" w:hAnsi="Courier New" w:eastAsia="宋体" w:cs="Courier New"/>
      <w:szCs w:val="21"/>
    </w:rPr>
  </w:style>
  <w:style w:type="character" w:customStyle="1" w:styleId="123">
    <w:name w:val="font91"/>
    <w:qFormat/>
    <w:uiPriority w:val="0"/>
    <w:rPr>
      <w:rFonts w:hint="default" w:ascii="Times New Roman" w:hAnsi="Times New Roman" w:cs="Times New Roman"/>
      <w:color w:val="000000"/>
      <w:sz w:val="20"/>
      <w:szCs w:val="20"/>
      <w:u w:val="none"/>
    </w:rPr>
  </w:style>
  <w:style w:type="character" w:customStyle="1" w:styleId="124">
    <w:name w:val="Char Char16"/>
    <w:qFormat/>
    <w:locked/>
    <w:uiPriority w:val="0"/>
    <w:rPr>
      <w:rFonts w:ascii="Arial" w:hAnsi="Arial" w:eastAsia="黑体"/>
      <w:b/>
      <w:kern w:val="2"/>
      <w:sz w:val="24"/>
      <w:szCs w:val="24"/>
      <w:lang w:bidi="ar-SA"/>
    </w:rPr>
  </w:style>
  <w:style w:type="character" w:customStyle="1" w:styleId="125">
    <w:name w:val="正文文本缩进 2 Char2"/>
    <w:semiHidden/>
    <w:qFormat/>
    <w:uiPriority w:val="99"/>
    <w:rPr>
      <w:rFonts w:ascii="Times New Roman" w:hAnsi="Times New Roman"/>
      <w:kern w:val="2"/>
      <w:sz w:val="21"/>
      <w:szCs w:val="24"/>
    </w:rPr>
  </w:style>
  <w:style w:type="character" w:customStyle="1" w:styleId="126">
    <w:name w:val="A4"/>
    <w:qFormat/>
    <w:uiPriority w:val="0"/>
    <w:rPr>
      <w:rFonts w:ascii="新宋体" w:eastAsia="新宋体" w:cs="新宋体"/>
      <w:color w:val="000000"/>
      <w:lang w:bidi="ar-SA"/>
    </w:rPr>
  </w:style>
  <w:style w:type="character" w:customStyle="1" w:styleId="127">
    <w:name w:val="正文文本 Char1"/>
    <w:semiHidden/>
    <w:qFormat/>
    <w:uiPriority w:val="99"/>
    <w:rPr>
      <w:rFonts w:ascii="Times New Roman" w:hAnsi="Times New Roman" w:eastAsia="宋体" w:cs="Times New Roman"/>
      <w:szCs w:val="24"/>
    </w:rPr>
  </w:style>
  <w:style w:type="character" w:customStyle="1" w:styleId="128">
    <w:name w:val="页脚 Char1"/>
    <w:semiHidden/>
    <w:qFormat/>
    <w:uiPriority w:val="99"/>
    <w:rPr>
      <w:rFonts w:ascii="Times New Roman" w:hAnsi="Times New Roman" w:eastAsia="宋体" w:cs="Times New Roman"/>
      <w:sz w:val="18"/>
      <w:szCs w:val="18"/>
    </w:rPr>
  </w:style>
  <w:style w:type="character" w:customStyle="1" w:styleId="129">
    <w:name w:val="正文文本 (2)_"/>
    <w:link w:val="130"/>
    <w:qFormat/>
    <w:uiPriority w:val="0"/>
    <w:rPr>
      <w:rFonts w:eastAsia="Times New Roman"/>
      <w:kern w:val="0"/>
      <w:sz w:val="20"/>
      <w:szCs w:val="20"/>
    </w:rPr>
  </w:style>
  <w:style w:type="paragraph" w:customStyle="1" w:styleId="130">
    <w:name w:val="正文文本 (2)"/>
    <w:basedOn w:val="1"/>
    <w:link w:val="129"/>
    <w:qFormat/>
    <w:uiPriority w:val="0"/>
    <w:pPr>
      <w:shd w:val="clear" w:color="auto" w:fill="FFFFFF"/>
      <w:spacing w:before="600" w:line="379" w:lineRule="exact"/>
      <w:jc w:val="distribute"/>
    </w:pPr>
    <w:rPr>
      <w:rFonts w:ascii="Calibri" w:hAnsi="Calibri" w:eastAsia="Times New Roman"/>
      <w:kern w:val="0"/>
      <w:sz w:val="20"/>
      <w:szCs w:val="20"/>
    </w:rPr>
  </w:style>
  <w:style w:type="character" w:customStyle="1" w:styleId="131">
    <w:name w:val="文档结构图 Char"/>
    <w:link w:val="15"/>
    <w:semiHidden/>
    <w:qFormat/>
    <w:uiPriority w:val="0"/>
    <w:rPr>
      <w:rFonts w:ascii="Times New Roman" w:hAnsi="Times New Roman"/>
      <w:kern w:val="2"/>
      <w:sz w:val="21"/>
      <w:szCs w:val="24"/>
      <w:shd w:val="clear" w:color="auto" w:fill="000080"/>
    </w:rPr>
  </w:style>
  <w:style w:type="character" w:customStyle="1" w:styleId="132">
    <w:name w:val="正文文本缩进 3 Char1"/>
    <w:semiHidden/>
    <w:qFormat/>
    <w:uiPriority w:val="99"/>
    <w:rPr>
      <w:rFonts w:ascii="Times New Roman" w:hAnsi="Times New Roman"/>
      <w:kern w:val="2"/>
      <w:sz w:val="16"/>
      <w:szCs w:val="16"/>
    </w:rPr>
  </w:style>
  <w:style w:type="character" w:customStyle="1" w:styleId="133">
    <w:name w:val="正文文本 3 Char"/>
    <w:link w:val="19"/>
    <w:qFormat/>
    <w:uiPriority w:val="0"/>
    <w:rPr>
      <w:rFonts w:ascii="Times New Roman" w:hAnsi="Times New Roman"/>
      <w:b/>
      <w:bCs/>
      <w:sz w:val="24"/>
      <w:szCs w:val="24"/>
    </w:rPr>
  </w:style>
  <w:style w:type="character" w:customStyle="1" w:styleId="134">
    <w:name w:val="批注主题 Char1"/>
    <w:semiHidden/>
    <w:qFormat/>
    <w:uiPriority w:val="99"/>
    <w:rPr>
      <w:rFonts w:ascii="Times New Roman" w:hAnsi="Times New Roman"/>
      <w:b/>
      <w:bCs/>
      <w:kern w:val="2"/>
      <w:sz w:val="21"/>
      <w:szCs w:val="24"/>
    </w:rPr>
  </w:style>
  <w:style w:type="character" w:customStyle="1" w:styleId="135">
    <w:name w:val="页眉 Char1"/>
    <w:semiHidden/>
    <w:qFormat/>
    <w:uiPriority w:val="99"/>
    <w:rPr>
      <w:rFonts w:ascii="Times New Roman" w:hAnsi="Times New Roman" w:eastAsia="宋体" w:cs="Times New Roman"/>
      <w:sz w:val="18"/>
      <w:szCs w:val="18"/>
    </w:rPr>
  </w:style>
  <w:style w:type="character" w:customStyle="1" w:styleId="136">
    <w:name w:val="font11"/>
    <w:qFormat/>
    <w:uiPriority w:val="0"/>
    <w:rPr>
      <w:rFonts w:hint="default" w:ascii="Times New Roman" w:hAnsi="Times New Roman" w:cs="Times New Roman"/>
      <w:color w:val="000000"/>
      <w:sz w:val="24"/>
      <w:szCs w:val="24"/>
      <w:u w:val="none"/>
    </w:rPr>
  </w:style>
  <w:style w:type="character" w:customStyle="1" w:styleId="137">
    <w:name w:val="Char Char3"/>
    <w:qFormat/>
    <w:locked/>
    <w:uiPriority w:val="0"/>
    <w:rPr>
      <w:rFonts w:ascii="宋体" w:hAnsi="宋体" w:eastAsia="宋体"/>
      <w:sz w:val="24"/>
      <w:szCs w:val="24"/>
      <w:lang w:bidi="ar-SA"/>
    </w:rPr>
  </w:style>
  <w:style w:type="character" w:customStyle="1" w:styleId="138">
    <w:name w:val="标题 8 Char"/>
    <w:link w:val="11"/>
    <w:qFormat/>
    <w:uiPriority w:val="0"/>
    <w:rPr>
      <w:rFonts w:ascii="Arial" w:hAnsi="Arial" w:eastAsia="黑体"/>
      <w:kern w:val="2"/>
      <w:sz w:val="24"/>
      <w:szCs w:val="24"/>
    </w:rPr>
  </w:style>
  <w:style w:type="character" w:customStyle="1" w:styleId="139">
    <w:name w:val="font31"/>
    <w:qFormat/>
    <w:uiPriority w:val="0"/>
    <w:rPr>
      <w:rFonts w:hint="default" w:ascii="Times New Roman" w:hAnsi="Times New Roman" w:cs="Times New Roman"/>
      <w:color w:val="000000"/>
      <w:sz w:val="24"/>
      <w:szCs w:val="24"/>
      <w:u w:val="none"/>
    </w:rPr>
  </w:style>
  <w:style w:type="character" w:customStyle="1" w:styleId="140">
    <w:name w:val="宏文本 Char1"/>
    <w:semiHidden/>
    <w:qFormat/>
    <w:uiPriority w:val="99"/>
    <w:rPr>
      <w:rFonts w:ascii="Courier New" w:hAnsi="Courier New" w:cs="Courier New"/>
      <w:kern w:val="2"/>
      <w:sz w:val="24"/>
      <w:szCs w:val="24"/>
    </w:rPr>
  </w:style>
  <w:style w:type="character" w:customStyle="1" w:styleId="141">
    <w:name w:val="普通文字 Char Char3"/>
    <w:qFormat/>
    <w:uiPriority w:val="0"/>
    <w:rPr>
      <w:rFonts w:ascii="宋体" w:hAnsi="Courier New" w:eastAsia="宋体" w:cs="Courier New"/>
      <w:szCs w:val="21"/>
    </w:rPr>
  </w:style>
  <w:style w:type="character" w:customStyle="1" w:styleId="142">
    <w:name w:val="Char Char13"/>
    <w:qFormat/>
    <w:locked/>
    <w:uiPriority w:val="0"/>
    <w:rPr>
      <w:rFonts w:ascii="Arial" w:hAnsi="Arial" w:eastAsia="黑体"/>
      <w:kern w:val="2"/>
      <w:sz w:val="21"/>
      <w:szCs w:val="24"/>
      <w:lang w:bidi="ar-SA"/>
    </w:rPr>
  </w:style>
  <w:style w:type="character" w:customStyle="1" w:styleId="143">
    <w:name w:val="font01"/>
    <w:qFormat/>
    <w:uiPriority w:val="0"/>
    <w:rPr>
      <w:rFonts w:hint="eastAsia" w:ascii="宋体" w:hAnsi="宋体" w:eastAsia="宋体" w:cs="宋体"/>
      <w:color w:val="000000"/>
      <w:sz w:val="24"/>
      <w:szCs w:val="24"/>
      <w:u w:val="none"/>
    </w:rPr>
  </w:style>
  <w:style w:type="character" w:customStyle="1" w:styleId="144">
    <w:name w:val="正文文本缩进 3 Char2"/>
    <w:semiHidden/>
    <w:qFormat/>
    <w:uiPriority w:val="99"/>
    <w:rPr>
      <w:rFonts w:ascii="Times New Roman" w:hAnsi="Times New Roman"/>
      <w:kern w:val="2"/>
      <w:sz w:val="16"/>
      <w:szCs w:val="16"/>
    </w:rPr>
  </w:style>
  <w:style w:type="character" w:customStyle="1" w:styleId="145">
    <w:name w:val="HTML 预设格式 Char1"/>
    <w:semiHidden/>
    <w:qFormat/>
    <w:uiPriority w:val="99"/>
    <w:rPr>
      <w:rFonts w:ascii="Courier New" w:hAnsi="Courier New" w:cs="Courier New"/>
      <w:kern w:val="2"/>
    </w:rPr>
  </w:style>
  <w:style w:type="character" w:customStyle="1" w:styleId="146">
    <w:name w:val="正文文本 2 Char"/>
    <w:link w:val="35"/>
    <w:qFormat/>
    <w:uiPriority w:val="0"/>
    <w:rPr>
      <w:rFonts w:ascii="Times New Roman" w:hAnsi="Times New Roman"/>
      <w:szCs w:val="24"/>
    </w:rPr>
  </w:style>
  <w:style w:type="paragraph" w:customStyle="1" w:styleId="147">
    <w:name w:val="List Paragraph1"/>
    <w:basedOn w:val="1"/>
    <w:qFormat/>
    <w:uiPriority w:val="0"/>
    <w:pPr>
      <w:ind w:firstLine="420" w:firstLineChars="200"/>
    </w:pPr>
  </w:style>
  <w:style w:type="paragraph" w:customStyle="1" w:styleId="148">
    <w:name w:val="Char"/>
    <w:basedOn w:val="1"/>
    <w:qFormat/>
    <w:uiPriority w:val="0"/>
  </w:style>
  <w:style w:type="paragraph" w:customStyle="1" w:styleId="149">
    <w:name w:val="xl65"/>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15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51">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52">
    <w:name w:val="Char1"/>
    <w:basedOn w:val="1"/>
    <w:qFormat/>
    <w:uiPriority w:val="0"/>
    <w:rPr>
      <w:szCs w:val="21"/>
    </w:rPr>
  </w:style>
  <w:style w:type="paragraph" w:customStyle="1" w:styleId="153">
    <w:name w:val="列出段落1"/>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54">
    <w:name w:val="列出段落11"/>
    <w:basedOn w:val="1"/>
    <w:qFormat/>
    <w:uiPriority w:val="0"/>
    <w:pPr>
      <w:ind w:firstLine="420" w:firstLineChars="200"/>
    </w:pPr>
  </w:style>
  <w:style w:type="paragraph" w:customStyle="1" w:styleId="155">
    <w:name w:val="Char Char Char Char"/>
    <w:basedOn w:val="1"/>
    <w:qFormat/>
    <w:uiPriority w:val="0"/>
  </w:style>
  <w:style w:type="paragraph" w:customStyle="1" w:styleId="156">
    <w:name w:val="三级条标题"/>
    <w:basedOn w:val="157"/>
    <w:next w:val="158"/>
    <w:qFormat/>
    <w:uiPriority w:val="0"/>
    <w:pPr>
      <w:outlineLvl w:val="4"/>
    </w:pPr>
  </w:style>
  <w:style w:type="paragraph" w:customStyle="1" w:styleId="157">
    <w:name w:val="二级条标题"/>
    <w:basedOn w:val="1"/>
    <w:next w:val="1"/>
    <w:qFormat/>
    <w:uiPriority w:val="0"/>
    <w:pPr>
      <w:widowControl/>
      <w:jc w:val="left"/>
      <w:outlineLvl w:val="3"/>
    </w:pPr>
    <w:rPr>
      <w:rFonts w:ascii="宋体" w:hAnsi="宋体"/>
      <w:color w:val="000000"/>
      <w:kern w:val="0"/>
      <w:szCs w:val="20"/>
    </w:rPr>
  </w:style>
  <w:style w:type="paragraph" w:customStyle="1" w:styleId="15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60">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161">
    <w:name w:val="Char Char Char"/>
    <w:basedOn w:val="1"/>
    <w:qFormat/>
    <w:uiPriority w:val="0"/>
    <w:rPr>
      <w:rFonts w:ascii="Tahoma" w:hAnsi="Tahoma"/>
      <w:sz w:val="24"/>
      <w:szCs w:val="20"/>
    </w:rPr>
  </w:style>
  <w:style w:type="paragraph" w:customStyle="1" w:styleId="162">
    <w:name w:val="表格"/>
    <w:basedOn w:val="1"/>
    <w:qFormat/>
    <w:uiPriority w:val="0"/>
    <w:pPr>
      <w:spacing w:line="400" w:lineRule="exact"/>
    </w:pPr>
    <w:rPr>
      <w:sz w:val="24"/>
    </w:rPr>
  </w:style>
  <w:style w:type="paragraph" w:customStyle="1" w:styleId="163">
    <w:name w:val="纯文本1"/>
    <w:basedOn w:val="1"/>
    <w:qFormat/>
    <w:uiPriority w:val="0"/>
    <w:rPr>
      <w:rFonts w:ascii="宋体" w:hAnsi="Courier New" w:cs="Courier New"/>
      <w:kern w:val="0"/>
      <w:sz w:val="20"/>
      <w:szCs w:val="21"/>
    </w:rPr>
  </w:style>
  <w:style w:type="paragraph" w:customStyle="1" w:styleId="164">
    <w:name w:val="五级条标题"/>
    <w:basedOn w:val="165"/>
    <w:next w:val="158"/>
    <w:qFormat/>
    <w:uiPriority w:val="0"/>
    <w:pPr>
      <w:outlineLvl w:val="6"/>
    </w:pPr>
  </w:style>
  <w:style w:type="paragraph" w:customStyle="1" w:styleId="165">
    <w:name w:val="四级条标题"/>
    <w:basedOn w:val="156"/>
    <w:next w:val="158"/>
    <w:qFormat/>
    <w:uiPriority w:val="0"/>
    <w:pPr>
      <w:outlineLvl w:val="5"/>
    </w:pPr>
  </w:style>
  <w:style w:type="paragraph" w:customStyle="1" w:styleId="166">
    <w:name w:val="Char11"/>
    <w:basedOn w:val="1"/>
    <w:qFormat/>
    <w:uiPriority w:val="0"/>
    <w:rPr>
      <w:szCs w:val="21"/>
    </w:rPr>
  </w:style>
  <w:style w:type="paragraph" w:customStyle="1" w:styleId="167">
    <w:name w:val="默认段落字体 Para Char Char Char Char Char Char Char Char Char1 Char Char Char Char"/>
    <w:basedOn w:val="1"/>
    <w:qFormat/>
    <w:uiPriority w:val="0"/>
    <w:rPr>
      <w:rFonts w:ascii="Tahoma" w:hAnsi="Tahoma"/>
      <w:sz w:val="24"/>
      <w:szCs w:val="20"/>
    </w:rPr>
  </w:style>
  <w:style w:type="paragraph" w:customStyle="1" w:styleId="168">
    <w:name w:val="列出段落2"/>
    <w:basedOn w:val="1"/>
    <w:qFormat/>
    <w:uiPriority w:val="0"/>
    <w:pPr>
      <w:ind w:firstLine="420" w:firstLineChars="200"/>
    </w:pPr>
    <w:rPr>
      <w:rFonts w:ascii="Calibri" w:hAnsi="Calibri"/>
      <w:szCs w:val="22"/>
    </w:rPr>
  </w:style>
  <w:style w:type="paragraph" w:customStyle="1" w:styleId="169">
    <w:name w:val="样式 首行缩进:  2 字符"/>
    <w:basedOn w:val="1"/>
    <w:qFormat/>
    <w:uiPriority w:val="0"/>
    <w:pPr>
      <w:spacing w:line="400" w:lineRule="exact"/>
      <w:ind w:firstLine="200" w:firstLineChars="200"/>
    </w:pPr>
    <w:rPr>
      <w:rFonts w:cs="宋体"/>
      <w:sz w:val="24"/>
    </w:rPr>
  </w:style>
  <w:style w:type="paragraph" w:customStyle="1" w:styleId="170">
    <w:name w:val="1"/>
    <w:basedOn w:val="1"/>
    <w:next w:val="23"/>
    <w:qFormat/>
    <w:uiPriority w:val="0"/>
    <w:rPr>
      <w:rFonts w:ascii="宋体" w:hAnsi="Courier New"/>
      <w:szCs w:val="20"/>
    </w:rPr>
  </w:style>
  <w:style w:type="paragraph" w:customStyle="1" w:styleId="171">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7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73">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kern w:val="0"/>
      <w:sz w:val="28"/>
      <w:szCs w:val="20"/>
    </w:rPr>
  </w:style>
  <w:style w:type="paragraph" w:customStyle="1" w:styleId="17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5">
    <w:name w:val="列出段落21"/>
    <w:basedOn w:val="1"/>
    <w:qFormat/>
    <w:uiPriority w:val="0"/>
    <w:pPr>
      <w:ind w:firstLine="420" w:firstLineChars="200"/>
    </w:pPr>
    <w:rPr>
      <w:rFonts w:ascii="Calibri" w:hAnsi="Calibri"/>
      <w:szCs w:val="22"/>
    </w:rPr>
  </w:style>
  <w:style w:type="paragraph" w:customStyle="1" w:styleId="176">
    <w:name w:val="_Style 6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7">
    <w:name w:val="前言、引言标题"/>
    <w:next w:val="1"/>
    <w:qFormat/>
    <w:uiPriority w:val="0"/>
    <w:pPr>
      <w:shd w:val="clear" w:color="FFFFFF" w:fill="FFFFFF"/>
      <w:spacing w:before="640" w:after="560"/>
      <w:ind w:left="360" w:hanging="360"/>
      <w:jc w:val="center"/>
      <w:outlineLvl w:val="0"/>
    </w:pPr>
    <w:rPr>
      <w:rFonts w:ascii="黑体" w:hAnsi="Times New Roman" w:eastAsia="黑体" w:cs="Times New Roman"/>
      <w:sz w:val="32"/>
      <w:lang w:val="en-US" w:eastAsia="zh-CN" w:bidi="ar-SA"/>
    </w:rPr>
  </w:style>
  <w:style w:type="paragraph" w:customStyle="1" w:styleId="17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7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0">
    <w:name w:val="Char2"/>
    <w:basedOn w:val="1"/>
    <w:qFormat/>
    <w:uiPriority w:val="0"/>
  </w:style>
  <w:style w:type="paragraph" w:customStyle="1" w:styleId="181">
    <w:name w:val="Char12"/>
    <w:basedOn w:val="15"/>
    <w:qFormat/>
    <w:uiPriority w:val="0"/>
    <w:pPr>
      <w:widowControl/>
      <w:ind w:firstLine="454"/>
      <w:jc w:val="left"/>
    </w:pPr>
    <w:rPr>
      <w:rFonts w:ascii="Tahoma" w:hAnsi="Tahoma" w:cs="宋体"/>
      <w:kern w:val="0"/>
      <w:sz w:val="24"/>
      <w:szCs w:val="20"/>
    </w:rPr>
  </w:style>
  <w:style w:type="paragraph" w:customStyle="1" w:styleId="18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83">
    <w:name w:val="Char3"/>
    <w:basedOn w:val="1"/>
    <w:qFormat/>
    <w:uiPriority w:val="0"/>
  </w:style>
  <w:style w:type="paragraph" w:styleId="184">
    <w:name w:val="No Spacing"/>
    <w:qFormat/>
    <w:uiPriority w:val="1"/>
    <w:pPr>
      <w:widowControl w:val="0"/>
      <w:jc w:val="both"/>
    </w:pPr>
    <w:rPr>
      <w:rFonts w:ascii="Calibri" w:hAnsi="Calibri" w:eastAsia="宋体" w:cs="Times New Roman"/>
      <w:kern w:val="2"/>
      <w:sz w:val="21"/>
      <w:szCs w:val="24"/>
      <w:lang w:val="en-US" w:eastAsia="zh-CN" w:bidi="ar-SA"/>
    </w:rPr>
  </w:style>
  <w:style w:type="paragraph" w:customStyle="1" w:styleId="185">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86">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87">
    <w:name w:val="p0"/>
    <w:basedOn w:val="1"/>
    <w:qFormat/>
    <w:uiPriority w:val="0"/>
    <w:pPr>
      <w:widowControl/>
    </w:pPr>
    <w:rPr>
      <w:kern w:val="0"/>
      <w:szCs w:val="21"/>
    </w:rPr>
  </w:style>
  <w:style w:type="paragraph" w:customStyle="1" w:styleId="188">
    <w:name w:val="正文段"/>
    <w:basedOn w:val="1"/>
    <w:qFormat/>
    <w:uiPriority w:val="0"/>
    <w:pPr>
      <w:widowControl/>
      <w:snapToGrid w:val="0"/>
      <w:spacing w:afterLines="50"/>
      <w:ind w:firstLine="200" w:firstLineChars="200"/>
    </w:pPr>
    <w:rPr>
      <w:kern w:val="0"/>
      <w:sz w:val="24"/>
      <w:szCs w:val="20"/>
    </w:rPr>
  </w:style>
  <w:style w:type="paragraph" w:customStyle="1" w:styleId="189">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0">
    <w:name w:val="xl7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1">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2">
    <w:name w:val="xl66"/>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193">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94">
    <w:name w:val="Char Char Char Char Char Char Char"/>
    <w:basedOn w:val="1"/>
    <w:qFormat/>
    <w:uiPriority w:val="0"/>
    <w:pPr>
      <w:tabs>
        <w:tab w:val="left" w:pos="432"/>
      </w:tabs>
      <w:ind w:left="432" w:hanging="432"/>
    </w:pPr>
    <w:rPr>
      <w:rFonts w:ascii="Tahoma" w:hAnsi="Tahoma"/>
      <w:sz w:val="24"/>
      <w:szCs w:val="20"/>
    </w:rPr>
  </w:style>
  <w:style w:type="paragraph" w:customStyle="1" w:styleId="19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一级条标题"/>
    <w:next w:val="158"/>
    <w:qFormat/>
    <w:uiPriority w:val="0"/>
    <w:pPr>
      <w:ind w:left="284"/>
      <w:outlineLvl w:val="2"/>
    </w:pPr>
    <w:rPr>
      <w:rFonts w:ascii="Times New Roman" w:hAnsi="Times New Roman" w:eastAsia="黑体" w:cs="Times New Roman"/>
      <w:sz w:val="21"/>
      <w:lang w:val="en-US" w:eastAsia="zh-CN" w:bidi="ar-SA"/>
    </w:rPr>
  </w:style>
  <w:style w:type="paragraph" w:customStyle="1" w:styleId="197">
    <w:name w:val="xl67"/>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198">
    <w:name w:val="Char Char Char Char2"/>
    <w:basedOn w:val="1"/>
    <w:qFormat/>
    <w:uiPriority w:val="0"/>
  </w:style>
  <w:style w:type="paragraph" w:customStyle="1" w:styleId="199">
    <w:name w:val="正文首行缩进两字符"/>
    <w:basedOn w:val="1"/>
    <w:qFormat/>
    <w:uiPriority w:val="0"/>
    <w:pPr>
      <w:spacing w:line="360" w:lineRule="auto"/>
      <w:ind w:firstLine="200" w:firstLineChars="200"/>
    </w:pPr>
  </w:style>
  <w:style w:type="paragraph" w:customStyle="1" w:styleId="200">
    <w:name w:val="无间隔1"/>
    <w:qFormat/>
    <w:uiPriority w:val="1"/>
    <w:pPr>
      <w:widowControl w:val="0"/>
      <w:jc w:val="both"/>
    </w:pPr>
    <w:rPr>
      <w:rFonts w:ascii="Calibri" w:hAnsi="Calibri" w:eastAsia="宋体" w:cs="Times New Roman"/>
      <w:kern w:val="2"/>
      <w:sz w:val="21"/>
      <w:szCs w:val="24"/>
      <w:lang w:val="en-US" w:eastAsia="zh-CN" w:bidi="ar-SA"/>
    </w:rPr>
  </w:style>
  <w:style w:type="paragraph" w:customStyle="1" w:styleId="201">
    <w:name w:val="Char Char Char Char Char Char Char1"/>
    <w:basedOn w:val="1"/>
    <w:qFormat/>
    <w:uiPriority w:val="0"/>
  </w:style>
  <w:style w:type="paragraph" w:customStyle="1" w:styleId="202">
    <w:name w:val="Char Char Char Char1"/>
    <w:basedOn w:val="1"/>
    <w:qFormat/>
    <w:uiPriority w:val="0"/>
  </w:style>
  <w:style w:type="paragraph" w:customStyle="1" w:styleId="203">
    <w:name w:val="xl11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Times" w:hAnsi="Times"/>
      <w:kern w:val="0"/>
      <w:sz w:val="20"/>
      <w:szCs w:val="20"/>
    </w:rPr>
  </w:style>
  <w:style w:type="paragraph" w:customStyle="1" w:styleId="204">
    <w:name w:val="Char Char Char1"/>
    <w:basedOn w:val="1"/>
    <w:qFormat/>
    <w:uiPriority w:val="0"/>
    <w:rPr>
      <w:rFonts w:ascii="Tahoma" w:hAnsi="Tahoma"/>
      <w:sz w:val="24"/>
      <w:szCs w:val="20"/>
    </w:rPr>
  </w:style>
  <w:style w:type="paragraph" w:customStyle="1" w:styleId="205">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06">
    <w:name w:val="样式3"/>
    <w:basedOn w:val="82"/>
    <w:qFormat/>
    <w:uiPriority w:val="0"/>
    <w:pPr>
      <w:spacing w:line="360" w:lineRule="auto"/>
      <w:ind w:left="900" w:firstLine="0" w:firstLineChars="0"/>
      <w:jc w:val="center"/>
    </w:pPr>
    <w:rPr>
      <w:rFonts w:ascii="宋体" w:hAnsi="宋体"/>
      <w:sz w:val="24"/>
      <w:szCs w:val="28"/>
      <w:lang w:val="zh-CN"/>
    </w:rPr>
  </w:style>
  <w:style w:type="paragraph" w:customStyle="1" w:styleId="207">
    <w:name w:val="Table Paragraph"/>
    <w:basedOn w:val="1"/>
    <w:qFormat/>
    <w:uiPriority w:val="1"/>
    <w:pPr>
      <w:ind w:left="100" w:right="-10"/>
      <w:jc w:val="left"/>
    </w:pPr>
    <w:rPr>
      <w:rFonts w:ascii="宋体" w:hAnsi="宋体" w:cs="宋体"/>
      <w:kern w:val="0"/>
      <w:sz w:val="22"/>
      <w:szCs w:val="22"/>
      <w:lang w:eastAsia="en-US"/>
    </w:rPr>
  </w:style>
  <w:style w:type="paragraph" w:customStyle="1" w:styleId="208">
    <w:name w:val="正文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character" w:customStyle="1" w:styleId="210">
    <w:name w:val="正文首行缩进 2 Char"/>
    <w:basedOn w:val="57"/>
    <w:link w:val="40"/>
    <w:qFormat/>
    <w:uiPriority w:val="0"/>
    <w:rPr>
      <w:rFonts w:ascii="Times New Roman" w:hAnsi="Times New Roman" w:eastAsia="仿宋_GB2312" w:cs="Times New Roman"/>
      <w:kern w:val="2"/>
      <w:sz w:val="21"/>
      <w:szCs w:val="24"/>
    </w:rPr>
  </w:style>
  <w:style w:type="paragraph" w:customStyle="1" w:styleId="211">
    <w:name w:val="引言二级条标题"/>
    <w:basedOn w:val="212"/>
    <w:next w:val="158"/>
    <w:qFormat/>
    <w:uiPriority w:val="0"/>
    <w:pPr>
      <w:ind w:left="0" w:firstLine="0"/>
    </w:pPr>
    <w:rPr>
      <w:rFonts w:eastAsia="宋体"/>
    </w:rPr>
  </w:style>
  <w:style w:type="paragraph" w:customStyle="1" w:styleId="212">
    <w:name w:val="引言一级条标题"/>
    <w:basedOn w:val="1"/>
    <w:next w:val="158"/>
    <w:qFormat/>
    <w:uiPriority w:val="0"/>
    <w:pPr>
      <w:widowControl/>
      <w:spacing w:before="100" w:beforeAutospacing="1" w:after="100" w:afterAutospacing="1"/>
      <w:ind w:left="900" w:hanging="900"/>
    </w:pPr>
    <w:rPr>
      <w:rFonts w:eastAsia="黑体"/>
      <w:b/>
      <w:bCs/>
    </w:rPr>
  </w:style>
  <w:style w:type="paragraph" w:customStyle="1" w:styleId="213">
    <w:name w:val="表格文字"/>
    <w:basedOn w:val="1"/>
    <w:qFormat/>
    <w:uiPriority w:val="99"/>
    <w:pPr>
      <w:spacing w:before="25" w:after="25"/>
      <w:jc w:val="left"/>
    </w:pPr>
    <w:rPr>
      <w:bCs/>
      <w:spacing w:val="10"/>
      <w:kern w:val="0"/>
      <w:sz w:val="24"/>
    </w:rPr>
  </w:style>
  <w:style w:type="character" w:customStyle="1" w:styleId="214">
    <w:name w:val="font61"/>
    <w:basedOn w:val="43"/>
    <w:qFormat/>
    <w:uiPriority w:val="0"/>
    <w:rPr>
      <w:rFonts w:ascii="Arial" w:hAnsi="Arial" w:cs="Arial"/>
      <w:color w:val="000000"/>
      <w:sz w:val="20"/>
      <w:szCs w:val="20"/>
      <w:u w:val="none"/>
    </w:rPr>
  </w:style>
  <w:style w:type="paragraph" w:customStyle="1" w:styleId="215">
    <w:name w:val="Table Text"/>
    <w:basedOn w:val="1"/>
    <w:semiHidden/>
    <w:qFormat/>
    <w:uiPriority w:val="0"/>
    <w:rPr>
      <w:rFonts w:ascii="宋体" w:hAnsi="宋体" w:cs="宋体"/>
      <w:sz w:val="20"/>
      <w:szCs w:val="20"/>
      <w:lang w:eastAsia="en-US"/>
    </w:rPr>
  </w:style>
  <w:style w:type="table" w:customStyle="1" w:styleId="2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ooxWord://word/media/image2.png"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134</Pages>
  <Words>19444</Words>
  <Characters>20443</Characters>
  <Lines>645</Lines>
  <Paragraphs>181</Paragraphs>
  <TotalTime>85</TotalTime>
  <ScaleCrop>false</ScaleCrop>
  <LinksUpToDate>false</LinksUpToDate>
  <CharactersWithSpaces>20604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2025-04-17T09:59:00Z</dcterms:created>
  <dc:creator>广西智瀚</dc:creator>
  <cp:lastModifiedBy>懒懒</cp:lastModifiedBy>
  <cp:lastPrinted>2025-06-03T09:58:00Z</cp:lastPrinted>
  <dcterms:modified xsi:type="dcterms:W3CDTF">2026-04-28T08:19:15Z</dcterms:modified>
  <dc:title>竞争性磋商文件规范</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60DCBF967AAA4BCD87C4E0A4150DC5DB_13</vt:lpwstr>
  </property>
  <property fmtid="{D5CDD505-2E9C-101B-9397-08002B2CF9AE}" pid="4" name="KSOTemplateDocerSaveRecord">
    <vt:lpwstr>eyJoZGlkIjoiNzU3YTg2MjlhNTgzYjFkNTMyODU0ZDVlYTQ2NWU4MDciLCJ1c2VySWQiOiI1NDY0ODI0ODkifQ==</vt:lpwstr>
  </property>
</Properties>
</file>